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DA1ABB" w14:textId="246F3ABE" w:rsidR="002736B4" w:rsidRPr="006338B4" w:rsidRDefault="00813548" w:rsidP="006338B4">
      <w:pPr>
        <w:widowControl w:val="0"/>
        <w:spacing w:after="200" w:line="276" w:lineRule="auto"/>
        <w:ind w:firstLine="0"/>
        <w:jc w:val="center"/>
        <w:rPr>
          <w:rFonts w:eastAsia="Calibri"/>
          <w:b/>
          <w:bCs/>
          <w:sz w:val="28"/>
          <w:szCs w:val="28"/>
          <w:shd w:val="clear" w:color="auto" w:fill="FFFFFF"/>
        </w:rPr>
      </w:pPr>
      <w:r w:rsidRPr="00106649">
        <w:rPr>
          <w:rFonts w:eastAsia="Calibri"/>
          <w:b/>
          <w:bCs/>
          <w:sz w:val="28"/>
          <w:szCs w:val="28"/>
          <w:shd w:val="clear" w:color="auto" w:fill="FFFFFF"/>
        </w:rPr>
        <w:t xml:space="preserve">    </w:t>
      </w:r>
      <w:r w:rsidRPr="00143381">
        <w:rPr>
          <w:rFonts w:eastAsia="Calibri"/>
          <w:b/>
          <w:bCs/>
          <w:sz w:val="28"/>
          <w:szCs w:val="28"/>
          <w:shd w:val="clear" w:color="auto" w:fill="FFFFFF"/>
        </w:rPr>
        <w:t>Likumprojekta "Grozījumi Krimināllikumā" papildinātā anotācija</w:t>
      </w:r>
    </w:p>
    <w:p w14:paraId="329B61CB" w14:textId="77777777" w:rsidR="002736B4" w:rsidRDefault="002736B4" w:rsidP="00813548">
      <w:pPr>
        <w:pStyle w:val="Sarakstarindkopa"/>
        <w:widowControl w:val="0"/>
        <w:autoSpaceDE w:val="0"/>
        <w:autoSpaceDN w:val="0"/>
        <w:adjustRightInd w:val="0"/>
        <w:spacing w:before="120" w:after="120"/>
        <w:ind w:left="0" w:firstLine="0"/>
        <w:jc w:val="center"/>
        <w:rPr>
          <w:rFonts w:eastAsia="Calibri"/>
          <w:b/>
          <w:szCs w:val="24"/>
          <w:shd w:val="clear" w:color="auto" w:fill="FFFFFF"/>
        </w:rPr>
      </w:pPr>
    </w:p>
    <w:p w14:paraId="0E33E1D1" w14:textId="7D397307" w:rsidR="002736B4" w:rsidRPr="008A684A" w:rsidRDefault="002736B4" w:rsidP="003B1609">
      <w:pPr>
        <w:pStyle w:val="Sarakstarindkopa"/>
        <w:numPr>
          <w:ilvl w:val="0"/>
          <w:numId w:val="16"/>
        </w:numPr>
        <w:ind w:left="426" w:right="-199"/>
        <w:rPr>
          <w:rFonts w:eastAsia="Times New Roman"/>
          <w:b/>
          <w:bCs/>
          <w:szCs w:val="24"/>
        </w:rPr>
      </w:pPr>
      <w:r w:rsidRPr="008A684A">
        <w:rPr>
          <w:rFonts w:eastAsia="Times New Roman"/>
          <w:b/>
          <w:bCs/>
          <w:szCs w:val="24"/>
        </w:rPr>
        <w:t>Kādēļ likums ir vajadzīgs?</w:t>
      </w:r>
    </w:p>
    <w:p w14:paraId="73154499" w14:textId="77777777" w:rsidR="008A684A" w:rsidRDefault="008A684A" w:rsidP="008A684A">
      <w:pPr>
        <w:ind w:right="-199"/>
        <w:rPr>
          <w:rFonts w:eastAsia="Times New Roman"/>
          <w:b/>
          <w:bCs/>
          <w:szCs w:val="24"/>
        </w:rPr>
      </w:pPr>
    </w:p>
    <w:p w14:paraId="480CC36B" w14:textId="77777777" w:rsidR="008A684A" w:rsidRDefault="008A684A" w:rsidP="008A684A">
      <w:pPr>
        <w:pStyle w:val="VPBody"/>
        <w:spacing w:before="0" w:after="0"/>
        <w:rPr>
          <w:b/>
          <w:bCs w:val="0"/>
          <w:i/>
          <w:iCs/>
          <w:szCs w:val="24"/>
          <w:shd w:val="clear" w:color="auto" w:fill="FFFFFF"/>
        </w:rPr>
      </w:pPr>
      <w:r w:rsidRPr="00143381">
        <w:rPr>
          <w:b/>
          <w:bCs w:val="0"/>
          <w:szCs w:val="24"/>
          <w:shd w:val="clear" w:color="auto" w:fill="FFFFFF"/>
        </w:rPr>
        <w:tab/>
      </w:r>
      <w:r w:rsidRPr="00143381">
        <w:rPr>
          <w:b/>
          <w:bCs w:val="0"/>
          <w:i/>
          <w:iCs/>
          <w:szCs w:val="24"/>
          <w:shd w:val="clear" w:color="auto" w:fill="FFFFFF"/>
        </w:rPr>
        <w:t xml:space="preserve">Par </w:t>
      </w:r>
      <w:r>
        <w:rPr>
          <w:b/>
          <w:bCs w:val="0"/>
          <w:i/>
          <w:iCs/>
          <w:szCs w:val="24"/>
          <w:shd w:val="clear" w:color="auto" w:fill="FFFFFF"/>
        </w:rPr>
        <w:t>kriminālatbildību par cietsirdīgu izturēšanos pret dzīvniekiem un dzīvnieku spīdzināšanu</w:t>
      </w:r>
      <w:r w:rsidRPr="00143381">
        <w:rPr>
          <w:b/>
          <w:bCs w:val="0"/>
          <w:i/>
          <w:iCs/>
          <w:szCs w:val="24"/>
          <w:shd w:val="clear" w:color="auto" w:fill="FFFFFF"/>
        </w:rPr>
        <w:t xml:space="preserve"> (grozījumi KL </w:t>
      </w:r>
      <w:r>
        <w:rPr>
          <w:b/>
          <w:bCs w:val="0"/>
          <w:i/>
          <w:iCs/>
          <w:szCs w:val="24"/>
          <w:shd w:val="clear" w:color="auto" w:fill="FFFFFF"/>
        </w:rPr>
        <w:t>230</w:t>
      </w:r>
      <w:r w:rsidRPr="00143381">
        <w:rPr>
          <w:b/>
          <w:bCs w:val="0"/>
          <w:i/>
          <w:iCs/>
          <w:szCs w:val="24"/>
          <w:shd w:val="clear" w:color="auto" w:fill="FFFFFF"/>
        </w:rPr>
        <w:t>. pantā)</w:t>
      </w:r>
    </w:p>
    <w:p w14:paraId="3FDAE146" w14:textId="77777777" w:rsidR="008A684A" w:rsidRPr="008A684A" w:rsidRDefault="008A684A" w:rsidP="008A684A">
      <w:pPr>
        <w:ind w:right="-199"/>
        <w:rPr>
          <w:rFonts w:eastAsia="Times New Roman"/>
          <w:b/>
          <w:bCs/>
          <w:szCs w:val="24"/>
        </w:rPr>
      </w:pPr>
    </w:p>
    <w:p w14:paraId="776ABD01" w14:textId="77777777" w:rsidR="002736B4" w:rsidRDefault="002736B4" w:rsidP="002736B4">
      <w:pPr>
        <w:ind w:right="-199" w:firstLine="851"/>
        <w:rPr>
          <w:rFonts w:eastAsia="Times New Roman"/>
          <w:szCs w:val="24"/>
        </w:rPr>
      </w:pPr>
      <w:r w:rsidRPr="00841DAE">
        <w:rPr>
          <w:rFonts w:eastAsia="Times New Roman"/>
          <w:szCs w:val="24"/>
        </w:rPr>
        <w:t xml:space="preserve">2023.  gada 5. oktobra Saeimas sēdē </w:t>
      </w:r>
      <w:r>
        <w:rPr>
          <w:rFonts w:eastAsia="Times New Roman"/>
          <w:szCs w:val="24"/>
        </w:rPr>
        <w:t>nolēma</w:t>
      </w:r>
      <w:r w:rsidRPr="00841DAE">
        <w:rPr>
          <w:rFonts w:eastAsia="Times New Roman"/>
          <w:szCs w:val="24"/>
        </w:rPr>
        <w:t xml:space="preserve"> nodot 29 905 Latvijas pilsoņu kolektīvo iesniegumu “Reālu cietumsodu dzīvnieku spīdzinātājiem un slepkavām”</w:t>
      </w:r>
      <w:r w:rsidRPr="00841DAE">
        <w:rPr>
          <w:rFonts w:eastAsia="Times New Roman"/>
          <w:szCs w:val="24"/>
          <w:vertAlign w:val="superscript"/>
        </w:rPr>
        <w:footnoteReference w:id="1"/>
      </w:r>
      <w:r w:rsidRPr="00841DAE">
        <w:rPr>
          <w:rFonts w:eastAsia="Times New Roman"/>
          <w:szCs w:val="24"/>
        </w:rPr>
        <w:t xml:space="preserve"> </w:t>
      </w:r>
      <w:r w:rsidRPr="001113E1">
        <w:rPr>
          <w:rFonts w:eastAsia="Times New Roman"/>
          <w:szCs w:val="24"/>
        </w:rPr>
        <w:t xml:space="preserve">(turpmāk – </w:t>
      </w:r>
      <w:bookmarkStart w:id="0" w:name="_Hlk150164369"/>
      <w:r w:rsidRPr="001113E1">
        <w:rPr>
          <w:rFonts w:eastAsia="Times New Roman"/>
          <w:szCs w:val="24"/>
        </w:rPr>
        <w:t>pilsoņu kolektīvais iesniegums</w:t>
      </w:r>
      <w:bookmarkEnd w:id="0"/>
      <w:r w:rsidRPr="001113E1">
        <w:rPr>
          <w:rFonts w:eastAsia="Times New Roman"/>
          <w:szCs w:val="24"/>
        </w:rPr>
        <w:t>)</w:t>
      </w:r>
      <w:r>
        <w:rPr>
          <w:rFonts w:eastAsia="Times New Roman"/>
          <w:szCs w:val="24"/>
        </w:rPr>
        <w:t xml:space="preserve"> </w:t>
      </w:r>
      <w:r w:rsidRPr="00841DAE">
        <w:rPr>
          <w:rFonts w:eastAsia="Times New Roman"/>
          <w:szCs w:val="24"/>
        </w:rPr>
        <w:t>Saeimas Juridiskajai komisijai turpmākai izvērtēšanai</w:t>
      </w:r>
      <w:r w:rsidRPr="001113E1">
        <w:rPr>
          <w:rFonts w:eastAsia="Times New Roman"/>
          <w:szCs w:val="24"/>
        </w:rPr>
        <w:t>.</w:t>
      </w:r>
    </w:p>
    <w:p w14:paraId="54E1C466" w14:textId="77777777" w:rsidR="002736B4" w:rsidRPr="00841DAE" w:rsidRDefault="002736B4" w:rsidP="002736B4">
      <w:pPr>
        <w:ind w:right="-199" w:firstLine="851"/>
        <w:rPr>
          <w:rFonts w:eastAsia="Times New Roman"/>
          <w:szCs w:val="24"/>
        </w:rPr>
      </w:pPr>
      <w:r>
        <w:rPr>
          <w:rFonts w:eastAsia="Times New Roman"/>
          <w:szCs w:val="24"/>
        </w:rPr>
        <w:t>P</w:t>
      </w:r>
      <w:r w:rsidRPr="001113E1">
        <w:rPr>
          <w:rFonts w:eastAsia="Times New Roman"/>
          <w:szCs w:val="24"/>
        </w:rPr>
        <w:t>ilsoņu kolektīv</w:t>
      </w:r>
      <w:r>
        <w:rPr>
          <w:rFonts w:eastAsia="Times New Roman"/>
          <w:szCs w:val="24"/>
        </w:rPr>
        <w:t>ajā</w:t>
      </w:r>
      <w:r w:rsidRPr="001113E1">
        <w:rPr>
          <w:rFonts w:eastAsia="Times New Roman"/>
          <w:szCs w:val="24"/>
        </w:rPr>
        <w:t xml:space="preserve"> iesniegum</w:t>
      </w:r>
      <w:r>
        <w:rPr>
          <w:rFonts w:eastAsia="Times New Roman"/>
          <w:szCs w:val="24"/>
        </w:rPr>
        <w:t xml:space="preserve">ā aicināts pastiprināt kriminālatbildību dzīvnieku pāri darītājiem, izslēdzot iespēju piemērot alternatīvos soda veidus brīvības atņemšanas soda vietā.  </w:t>
      </w:r>
    </w:p>
    <w:p w14:paraId="743872C4" w14:textId="77777777" w:rsidR="002736B4" w:rsidRPr="001113E1" w:rsidRDefault="002736B4" w:rsidP="002736B4">
      <w:pPr>
        <w:ind w:right="-199" w:firstLine="851"/>
        <w:rPr>
          <w:rFonts w:eastAsia="Times New Roman"/>
          <w:szCs w:val="24"/>
        </w:rPr>
      </w:pPr>
      <w:r w:rsidRPr="001113E1">
        <w:rPr>
          <w:rFonts w:eastAsia="Times New Roman"/>
          <w:szCs w:val="24"/>
        </w:rPr>
        <w:t>Tieslietu ministrijas pastāvīgajā Krimināllikuma darba grupā (turpmāk – darba grupa) 2023.</w:t>
      </w:r>
      <w:r>
        <w:rPr>
          <w:rFonts w:eastAsia="Times New Roman"/>
          <w:szCs w:val="24"/>
        </w:rPr>
        <w:t xml:space="preserve"> </w:t>
      </w:r>
      <w:r w:rsidRPr="001113E1">
        <w:rPr>
          <w:rFonts w:eastAsia="Times New Roman"/>
          <w:szCs w:val="24"/>
        </w:rPr>
        <w:t>gada 25.</w:t>
      </w:r>
      <w:r>
        <w:rPr>
          <w:rFonts w:eastAsia="Times New Roman"/>
          <w:szCs w:val="24"/>
        </w:rPr>
        <w:t xml:space="preserve"> </w:t>
      </w:r>
      <w:r w:rsidRPr="001113E1">
        <w:rPr>
          <w:rFonts w:eastAsia="Times New Roman"/>
          <w:szCs w:val="24"/>
        </w:rPr>
        <w:t xml:space="preserve">oktobrī </w:t>
      </w:r>
      <w:r>
        <w:rPr>
          <w:rFonts w:eastAsia="Times New Roman"/>
          <w:szCs w:val="24"/>
        </w:rPr>
        <w:t>izvērtēts</w:t>
      </w:r>
      <w:r w:rsidRPr="001113E1">
        <w:rPr>
          <w:rFonts w:eastAsia="Times New Roman"/>
          <w:szCs w:val="24"/>
        </w:rPr>
        <w:t xml:space="preserve"> pilsoņu kolektīvais iesniegums un tajā piedāvātā Krimināllikuma (turpmāk – KL) 230. panta “Cietsirdīga izturēšanās pret dzīvnieku un dzīvnieka spīdzināšana” redakcija. </w:t>
      </w:r>
    </w:p>
    <w:p w14:paraId="3497B0C1" w14:textId="77777777" w:rsidR="002736B4" w:rsidRPr="001113E1" w:rsidRDefault="002736B4" w:rsidP="002736B4">
      <w:pPr>
        <w:ind w:right="-199" w:firstLine="851"/>
        <w:rPr>
          <w:rFonts w:eastAsia="Times New Roman"/>
          <w:szCs w:val="24"/>
        </w:rPr>
      </w:pPr>
      <w:r w:rsidRPr="001113E1">
        <w:rPr>
          <w:rFonts w:eastAsia="Times New Roman"/>
          <w:szCs w:val="24"/>
        </w:rPr>
        <w:t xml:space="preserve">2023. gada 15. augusta Nr. 33 (1299) žurnālā “Jurista Vārds” publicēts krimināltiesību speciālistes profesores </w:t>
      </w:r>
      <w:proofErr w:type="spellStart"/>
      <w:r w:rsidRPr="001113E1">
        <w:rPr>
          <w:rFonts w:eastAsia="Times New Roman"/>
          <w:szCs w:val="24"/>
        </w:rPr>
        <w:t>Valentijas</w:t>
      </w:r>
      <w:proofErr w:type="spellEnd"/>
      <w:r w:rsidRPr="001113E1">
        <w:rPr>
          <w:rFonts w:eastAsia="Times New Roman"/>
          <w:szCs w:val="24"/>
        </w:rPr>
        <w:t xml:space="preserve"> </w:t>
      </w:r>
      <w:proofErr w:type="spellStart"/>
      <w:r w:rsidRPr="001113E1">
        <w:rPr>
          <w:rFonts w:eastAsia="Times New Roman"/>
          <w:szCs w:val="24"/>
        </w:rPr>
        <w:t>Liholajas</w:t>
      </w:r>
      <w:proofErr w:type="spellEnd"/>
      <w:r w:rsidRPr="001113E1">
        <w:rPr>
          <w:rFonts w:eastAsia="Times New Roman"/>
          <w:szCs w:val="24"/>
        </w:rPr>
        <w:t xml:space="preserve"> raksts “Cietsirdība pret dzīvnieku un atbildība par to”</w:t>
      </w:r>
      <w:r w:rsidRPr="001113E1">
        <w:rPr>
          <w:rFonts w:eastAsia="Times New Roman"/>
          <w:szCs w:val="24"/>
          <w:vertAlign w:val="superscript"/>
        </w:rPr>
        <w:footnoteReference w:id="2"/>
      </w:r>
      <w:r w:rsidRPr="001113E1">
        <w:rPr>
          <w:rFonts w:eastAsia="Times New Roman"/>
          <w:szCs w:val="24"/>
        </w:rPr>
        <w:t xml:space="preserve"> (turpmāk – </w:t>
      </w:r>
      <w:bookmarkStart w:id="1" w:name="_Hlk147826735"/>
      <w:r w:rsidRPr="001113E1">
        <w:rPr>
          <w:rFonts w:eastAsia="Times New Roman"/>
          <w:szCs w:val="24"/>
        </w:rPr>
        <w:t>profesores V.</w:t>
      </w:r>
      <w:r>
        <w:rPr>
          <w:rFonts w:eastAsia="Times New Roman"/>
          <w:szCs w:val="24"/>
        </w:rPr>
        <w:t> </w:t>
      </w:r>
      <w:proofErr w:type="spellStart"/>
      <w:r w:rsidRPr="001113E1">
        <w:rPr>
          <w:rFonts w:eastAsia="Times New Roman"/>
          <w:szCs w:val="24"/>
        </w:rPr>
        <w:t>Liholajas</w:t>
      </w:r>
      <w:proofErr w:type="spellEnd"/>
      <w:r w:rsidRPr="001113E1">
        <w:rPr>
          <w:rFonts w:eastAsia="Times New Roman"/>
          <w:szCs w:val="24"/>
        </w:rPr>
        <w:t xml:space="preserve"> raksts</w:t>
      </w:r>
      <w:bookmarkEnd w:id="1"/>
      <w:r w:rsidRPr="001113E1">
        <w:rPr>
          <w:rFonts w:eastAsia="Times New Roman"/>
          <w:szCs w:val="24"/>
        </w:rPr>
        <w:t>), kurā analizēta tiesu prakse un arī ietverti priekšlikumi KL 230. panta grozījumiem. Profesore V.</w:t>
      </w:r>
      <w:r>
        <w:rPr>
          <w:rFonts w:eastAsia="Times New Roman"/>
          <w:szCs w:val="24"/>
        </w:rPr>
        <w:t xml:space="preserve"> </w:t>
      </w:r>
      <w:proofErr w:type="spellStart"/>
      <w:r w:rsidRPr="001113E1">
        <w:rPr>
          <w:rFonts w:eastAsia="Times New Roman"/>
          <w:szCs w:val="24"/>
        </w:rPr>
        <w:t>Liholaja</w:t>
      </w:r>
      <w:proofErr w:type="spellEnd"/>
      <w:r w:rsidRPr="001113E1">
        <w:rPr>
          <w:rFonts w:eastAsia="Times New Roman"/>
          <w:szCs w:val="24"/>
        </w:rPr>
        <w:t xml:space="preserve"> savā rakstā līdzīgi kā  pilsoņu kolektīvajā iesniegumā piedāvā KL 230. pantu papildināt ar jaunu trešo daļu, paredzot atbildību par cietsirdīgu izturēšanos pret dzīvnieku, kuras rezultātā tas gājis bojā, vai par dzīvnieka spīdzināšanu, kā rezultātā tas gājis bojā vai sakropļots, nosakot par to brīvības atņemšanu uz laiku līdz pieciem gadiem vai īslaicīgu brīvības atņemšanu, vai probācijas uzraudzību, vai sabiedrisko darbu vai naudas sodu, atņemot tiesības uz noteiktu vai visu sugu dzīvnieku turēšanu uz laiku līdz septiņiem gadiem.</w:t>
      </w:r>
    </w:p>
    <w:p w14:paraId="3A64B727" w14:textId="77777777" w:rsidR="002736B4" w:rsidRPr="001113E1" w:rsidRDefault="002736B4" w:rsidP="002736B4">
      <w:pPr>
        <w:ind w:right="-199" w:firstLine="851"/>
        <w:rPr>
          <w:rFonts w:eastAsia="Times New Roman"/>
          <w:szCs w:val="24"/>
        </w:rPr>
      </w:pPr>
      <w:r>
        <w:rPr>
          <w:rFonts w:eastAsia="Times New Roman"/>
          <w:szCs w:val="24"/>
        </w:rPr>
        <w:t>P</w:t>
      </w:r>
      <w:r w:rsidRPr="001113E1">
        <w:rPr>
          <w:rFonts w:eastAsia="Times New Roman"/>
          <w:szCs w:val="24"/>
        </w:rPr>
        <w:t xml:space="preserve">ilsoņu kolektīvajā ierosinājumā piedāvātie grozījumi KL 230. pantā </w:t>
      </w:r>
      <w:r w:rsidRPr="009D7BD4">
        <w:rPr>
          <w:rFonts w:eastAsia="Times New Roman"/>
          <w:szCs w:val="24"/>
        </w:rPr>
        <w:t>kopumā</w:t>
      </w:r>
      <w:r w:rsidRPr="001113E1">
        <w:rPr>
          <w:rFonts w:eastAsia="Times New Roman"/>
          <w:szCs w:val="24"/>
        </w:rPr>
        <w:t xml:space="preserve"> ir identiski profesores V.</w:t>
      </w:r>
      <w:r>
        <w:rPr>
          <w:rFonts w:eastAsia="Times New Roman"/>
          <w:szCs w:val="24"/>
        </w:rPr>
        <w:t xml:space="preserve"> </w:t>
      </w:r>
      <w:proofErr w:type="spellStart"/>
      <w:r w:rsidRPr="001113E1">
        <w:rPr>
          <w:rFonts w:eastAsia="Times New Roman"/>
          <w:szCs w:val="24"/>
        </w:rPr>
        <w:t>Liholajas</w:t>
      </w:r>
      <w:proofErr w:type="spellEnd"/>
      <w:r w:rsidRPr="001113E1">
        <w:rPr>
          <w:rFonts w:eastAsia="Times New Roman"/>
          <w:szCs w:val="24"/>
        </w:rPr>
        <w:t xml:space="preserve"> rakstā ietvertajiem, </w:t>
      </w:r>
      <w:r>
        <w:rPr>
          <w:rFonts w:eastAsia="Times New Roman"/>
          <w:szCs w:val="24"/>
        </w:rPr>
        <w:t>taču</w:t>
      </w:r>
      <w:r w:rsidRPr="001113E1">
        <w:rPr>
          <w:rFonts w:eastAsia="Times New Roman"/>
          <w:szCs w:val="24"/>
        </w:rPr>
        <w:t xml:space="preserve"> piedāvāt</w:t>
      </w:r>
      <w:r>
        <w:rPr>
          <w:rFonts w:eastAsia="Times New Roman"/>
          <w:szCs w:val="24"/>
        </w:rPr>
        <w:t>o</w:t>
      </w:r>
      <w:r w:rsidRPr="001113E1">
        <w:rPr>
          <w:rFonts w:eastAsia="Times New Roman"/>
          <w:szCs w:val="24"/>
        </w:rPr>
        <w:t xml:space="preserve"> grozījum</w:t>
      </w:r>
      <w:r>
        <w:rPr>
          <w:rFonts w:eastAsia="Times New Roman"/>
          <w:szCs w:val="24"/>
        </w:rPr>
        <w:t>u</w:t>
      </w:r>
      <w:r w:rsidRPr="001113E1">
        <w:rPr>
          <w:rFonts w:eastAsia="Times New Roman"/>
          <w:szCs w:val="24"/>
        </w:rPr>
        <w:t xml:space="preserve"> KL 230. panta trešās daļas sankcijā paredz noteikt vienīgi brīvības atņemšanas sodu uz laiku no trim mēnešiem līdz pieciem gadiem, neparedzot nevienu citu alternatīvo soda veidu.  </w:t>
      </w:r>
      <w:r>
        <w:rPr>
          <w:rFonts w:eastAsia="Times New Roman"/>
          <w:szCs w:val="24"/>
        </w:rPr>
        <w:t>Š</w:t>
      </w:r>
      <w:r w:rsidRPr="001113E1">
        <w:rPr>
          <w:rFonts w:eastAsia="Times New Roman"/>
          <w:szCs w:val="24"/>
        </w:rPr>
        <w:t xml:space="preserve">āds priekšlikums </w:t>
      </w:r>
      <w:r>
        <w:rPr>
          <w:rFonts w:eastAsia="Times New Roman"/>
          <w:szCs w:val="24"/>
        </w:rPr>
        <w:t xml:space="preserve">atbilstoši </w:t>
      </w:r>
      <w:r w:rsidRPr="001113E1">
        <w:rPr>
          <w:rFonts w:eastAsia="Times New Roman"/>
          <w:szCs w:val="24"/>
        </w:rPr>
        <w:t xml:space="preserve">KL 230. panta trešās daļas sankcijai </w:t>
      </w:r>
      <w:r>
        <w:rPr>
          <w:rFonts w:eastAsia="Times New Roman"/>
          <w:szCs w:val="24"/>
        </w:rPr>
        <w:t>ir</w:t>
      </w:r>
      <w:r w:rsidRPr="001113E1">
        <w:rPr>
          <w:rFonts w:eastAsia="Times New Roman"/>
          <w:szCs w:val="24"/>
        </w:rPr>
        <w:t xml:space="preserve"> pretrunā KL 7. panta sestajai daļai, kas nosaka, ka, ja par noziegumu KL paredzēta brīvības atņemšana uz laiku, ne ilgāku par pieciem gadiem, tad par attiecīgo noziegumu tajā paredz arī vieglāka soda veidu. Ievērojot minēto, </w:t>
      </w:r>
      <w:r>
        <w:rPr>
          <w:rFonts w:eastAsia="Times New Roman"/>
          <w:szCs w:val="24"/>
        </w:rPr>
        <w:t>vienlaikus</w:t>
      </w:r>
      <w:r w:rsidRPr="001113E1">
        <w:rPr>
          <w:rFonts w:eastAsia="Times New Roman"/>
          <w:szCs w:val="24"/>
        </w:rPr>
        <w:t xml:space="preserve"> brīvības atņemšanas soda</w:t>
      </w:r>
      <w:r>
        <w:rPr>
          <w:rFonts w:eastAsia="Times New Roman"/>
          <w:szCs w:val="24"/>
        </w:rPr>
        <w:t>m</w:t>
      </w:r>
      <w:r w:rsidRPr="001113E1">
        <w:rPr>
          <w:rFonts w:eastAsia="Times New Roman"/>
          <w:szCs w:val="24"/>
        </w:rPr>
        <w:t xml:space="preserve"> nepieciešams paredzēt vismaz vienu alternatīvo soda veidu. </w:t>
      </w:r>
    </w:p>
    <w:p w14:paraId="44D3213E" w14:textId="77777777" w:rsidR="002736B4" w:rsidRDefault="002736B4" w:rsidP="002736B4">
      <w:pPr>
        <w:ind w:right="-199" w:firstLine="851"/>
        <w:rPr>
          <w:rFonts w:eastAsia="Times New Roman"/>
          <w:szCs w:val="24"/>
        </w:rPr>
      </w:pPr>
      <w:r>
        <w:rPr>
          <w:rFonts w:eastAsia="Times New Roman"/>
          <w:szCs w:val="24"/>
        </w:rPr>
        <w:t>G</w:t>
      </w:r>
      <w:r w:rsidRPr="001113E1">
        <w:rPr>
          <w:rFonts w:eastAsia="Times New Roman"/>
          <w:szCs w:val="24"/>
        </w:rPr>
        <w:t xml:space="preserve">adījumā, kad ir notikusi cietsirdīga izturēšanās pret dzīvnieku, kuras rezultātā tas gājis bojā vai kad dzīvnieks ir ticis spīdzināts, kā rezultātā tas gājis bojā vai sakropļots, nebūtu paredzams sankcijā noteikt tādu brīvības atņemšanai alternatīvo soda veidu kā sabiedriskais darbs un naudas sods. </w:t>
      </w:r>
    </w:p>
    <w:p w14:paraId="72AF2BB3" w14:textId="77777777" w:rsidR="002736B4" w:rsidRPr="001113E1" w:rsidRDefault="002736B4" w:rsidP="002736B4">
      <w:pPr>
        <w:ind w:right="-199" w:firstLine="851"/>
        <w:rPr>
          <w:rFonts w:eastAsia="Times New Roman"/>
          <w:szCs w:val="24"/>
        </w:rPr>
      </w:pPr>
      <w:r>
        <w:rPr>
          <w:rFonts w:eastAsia="Times New Roman"/>
          <w:szCs w:val="24"/>
        </w:rPr>
        <w:t>Likumprojekts paredz</w:t>
      </w:r>
      <w:r w:rsidRPr="001113E1">
        <w:rPr>
          <w:rFonts w:eastAsia="Times New Roman"/>
          <w:szCs w:val="24"/>
        </w:rPr>
        <w:t xml:space="preserve"> </w:t>
      </w:r>
      <w:r>
        <w:rPr>
          <w:rFonts w:eastAsia="Times New Roman"/>
          <w:szCs w:val="24"/>
        </w:rPr>
        <w:t xml:space="preserve">KL 230. panta pirmajā daļā izslēgt kriminālatbildību par </w:t>
      </w:r>
      <w:r w:rsidRPr="007E0D49">
        <w:rPr>
          <w:rFonts w:eastAsia="Times New Roman"/>
          <w:szCs w:val="24"/>
        </w:rPr>
        <w:t>cietsirdīgu izturēšanos pret dzīvnieku, kuras rezultātā tas gājis bojā</w:t>
      </w:r>
      <w:r>
        <w:rPr>
          <w:rFonts w:eastAsia="Times New Roman"/>
          <w:szCs w:val="24"/>
        </w:rPr>
        <w:t xml:space="preserve">, bet to nosakot KL </w:t>
      </w:r>
      <w:r>
        <w:rPr>
          <w:rFonts w:eastAsia="Times New Roman"/>
          <w:szCs w:val="24"/>
        </w:rPr>
        <w:lastRenderedPageBreak/>
        <w:t xml:space="preserve">230. panta otrajā daļā. Proti, </w:t>
      </w:r>
      <w:r w:rsidRPr="001113E1">
        <w:rPr>
          <w:rFonts w:eastAsia="Times New Roman"/>
          <w:szCs w:val="24"/>
        </w:rPr>
        <w:t>KL 230.</w:t>
      </w:r>
      <w:r>
        <w:rPr>
          <w:rFonts w:eastAsia="Times New Roman"/>
          <w:szCs w:val="24"/>
        </w:rPr>
        <w:t xml:space="preserve"> </w:t>
      </w:r>
      <w:r w:rsidRPr="001113E1">
        <w:rPr>
          <w:rFonts w:eastAsia="Times New Roman"/>
          <w:szCs w:val="24"/>
        </w:rPr>
        <w:t>pant</w:t>
      </w:r>
      <w:r>
        <w:rPr>
          <w:rFonts w:eastAsia="Times New Roman"/>
          <w:szCs w:val="24"/>
        </w:rPr>
        <w:t>a</w:t>
      </w:r>
      <w:r w:rsidRPr="001113E1">
        <w:rPr>
          <w:rFonts w:eastAsia="Times New Roman"/>
          <w:szCs w:val="24"/>
        </w:rPr>
        <w:t xml:space="preserve"> otrajā daļā no</w:t>
      </w:r>
      <w:r>
        <w:rPr>
          <w:rFonts w:eastAsia="Times New Roman"/>
          <w:szCs w:val="24"/>
        </w:rPr>
        <w:t>sakot</w:t>
      </w:r>
      <w:r w:rsidRPr="001113E1">
        <w:rPr>
          <w:rFonts w:eastAsia="Times New Roman"/>
          <w:szCs w:val="24"/>
        </w:rPr>
        <w:t xml:space="preserve"> kriminālatbildību par cietsirdīgu izturēšanos pret dzīvnieku, ja tās izdarījusi personu grupa pēc iepriekšējas vienošanās, vai ja ar to radīts būtisks kaitējums, </w:t>
      </w:r>
      <w:r w:rsidRPr="001113E1">
        <w:rPr>
          <w:rFonts w:eastAsia="Times New Roman"/>
          <w:szCs w:val="24"/>
          <w:u w:val="single"/>
        </w:rPr>
        <w:t>vai par cietsirdīgu izturēšanos pret dzīvnieku, kuras rezultātā tas gājis bojā, vai par dzīvnieka spīdzināšanu, kā rezultātā tas gājis bojā vai sakropļots</w:t>
      </w:r>
      <w:r w:rsidRPr="001113E1">
        <w:rPr>
          <w:rFonts w:eastAsia="Times New Roman"/>
          <w:szCs w:val="24"/>
        </w:rPr>
        <w:t xml:space="preserve">, sodot personas ar brīvības atņemšanu uz laiku līdz pieciem gadiem vai ar īslaicīgu brīvības atņemšanu, vai ar probācijas uzraudzību, atņemot tiesības uz noteiktu vai visu sugu dzīvnieku turēšanu uz laiku līdz pieciem gadiem. </w:t>
      </w:r>
      <w:r>
        <w:rPr>
          <w:rFonts w:eastAsia="Times New Roman"/>
          <w:szCs w:val="24"/>
        </w:rPr>
        <w:t>Tādējādi</w:t>
      </w:r>
      <w:r w:rsidRPr="001113E1">
        <w:rPr>
          <w:rFonts w:eastAsia="Times New Roman"/>
          <w:szCs w:val="24"/>
        </w:rPr>
        <w:t xml:space="preserve"> par cietsirdīgu noziedzīgu nodarījumu </w:t>
      </w:r>
      <w:r>
        <w:rPr>
          <w:rFonts w:eastAsia="Times New Roman"/>
          <w:szCs w:val="24"/>
        </w:rPr>
        <w:t xml:space="preserve">izdarīšanu </w:t>
      </w:r>
      <w:r w:rsidRPr="001113E1">
        <w:rPr>
          <w:rFonts w:eastAsia="Times New Roman"/>
          <w:szCs w:val="24"/>
        </w:rPr>
        <w:t xml:space="preserve">pret dzīvniekiem </w:t>
      </w:r>
      <w:r>
        <w:rPr>
          <w:rFonts w:eastAsia="Times New Roman"/>
          <w:szCs w:val="24"/>
        </w:rPr>
        <w:t>turpmāk</w:t>
      </w:r>
      <w:r w:rsidRPr="001113E1">
        <w:rPr>
          <w:rFonts w:eastAsia="Times New Roman"/>
          <w:szCs w:val="24"/>
        </w:rPr>
        <w:t xml:space="preserve"> nebū</w:t>
      </w:r>
      <w:r>
        <w:rPr>
          <w:rFonts w:eastAsia="Times New Roman"/>
          <w:szCs w:val="24"/>
        </w:rPr>
        <w:t>s</w:t>
      </w:r>
      <w:r w:rsidRPr="001113E1">
        <w:rPr>
          <w:rFonts w:eastAsia="Times New Roman"/>
          <w:szCs w:val="24"/>
        </w:rPr>
        <w:t xml:space="preserve"> iespējams piemērot brīvības atņemšanai alternatīvos sodus – sabiedriskais darbs un naudas sods. Šāds grozījums KL 230.</w:t>
      </w:r>
      <w:r>
        <w:rPr>
          <w:rFonts w:eastAsia="Times New Roman"/>
          <w:szCs w:val="24"/>
        </w:rPr>
        <w:t> </w:t>
      </w:r>
      <w:r w:rsidRPr="001113E1">
        <w:rPr>
          <w:rFonts w:eastAsia="Times New Roman"/>
          <w:szCs w:val="24"/>
        </w:rPr>
        <w:t xml:space="preserve">panta otrajā daļā pēc būtības un satura atbilst </w:t>
      </w:r>
      <w:r>
        <w:rPr>
          <w:rFonts w:eastAsia="Times New Roman"/>
          <w:szCs w:val="24"/>
        </w:rPr>
        <w:t xml:space="preserve">arī </w:t>
      </w:r>
      <w:r w:rsidRPr="001113E1">
        <w:rPr>
          <w:rFonts w:eastAsia="Times New Roman"/>
          <w:szCs w:val="24"/>
        </w:rPr>
        <w:t>tam, kas tika ietverts pilsoņu kolektīv</w:t>
      </w:r>
      <w:r>
        <w:rPr>
          <w:rFonts w:eastAsia="Times New Roman"/>
          <w:szCs w:val="24"/>
        </w:rPr>
        <w:t>ajā</w:t>
      </w:r>
      <w:r w:rsidRPr="001113E1">
        <w:rPr>
          <w:rFonts w:eastAsia="Times New Roman"/>
          <w:szCs w:val="24"/>
        </w:rPr>
        <w:t xml:space="preserve"> iesniegumā </w:t>
      </w:r>
      <w:r>
        <w:rPr>
          <w:rFonts w:eastAsia="Times New Roman"/>
          <w:szCs w:val="24"/>
        </w:rPr>
        <w:t>par</w:t>
      </w:r>
      <w:r w:rsidRPr="001113E1">
        <w:rPr>
          <w:rFonts w:eastAsia="Times New Roman"/>
          <w:szCs w:val="24"/>
        </w:rPr>
        <w:t xml:space="preserve"> KL 230.</w:t>
      </w:r>
      <w:r>
        <w:rPr>
          <w:rFonts w:eastAsia="Times New Roman"/>
          <w:szCs w:val="24"/>
        </w:rPr>
        <w:t> </w:t>
      </w:r>
      <w:r w:rsidRPr="001113E1">
        <w:rPr>
          <w:rFonts w:eastAsia="Times New Roman"/>
          <w:szCs w:val="24"/>
        </w:rPr>
        <w:t>panta papildināšanu ar trešo daļu.</w:t>
      </w:r>
    </w:p>
    <w:p w14:paraId="452C6C9C" w14:textId="77777777" w:rsidR="002736B4" w:rsidRDefault="002736B4" w:rsidP="002736B4">
      <w:pPr>
        <w:ind w:right="-199" w:firstLine="851"/>
        <w:rPr>
          <w:rFonts w:eastAsia="Times New Roman"/>
          <w:szCs w:val="24"/>
        </w:rPr>
      </w:pPr>
      <w:r w:rsidRPr="001113E1">
        <w:rPr>
          <w:rFonts w:eastAsia="Times New Roman"/>
          <w:szCs w:val="24"/>
        </w:rPr>
        <w:t xml:space="preserve">Vienlaikus īpaši kaitīga un nežēlīga izturēšanās pret dzīvniekiem atzīstama gadījumos, kad tā tiek izdarīta publiskā vietā vai nepilngadīgā klātbūtnē. Ievērojot minēto, </w:t>
      </w:r>
      <w:r>
        <w:rPr>
          <w:rFonts w:eastAsia="Times New Roman"/>
          <w:szCs w:val="24"/>
        </w:rPr>
        <w:t>likumprojekts paredz</w:t>
      </w:r>
      <w:r w:rsidRPr="001113E1">
        <w:rPr>
          <w:rFonts w:eastAsia="Times New Roman"/>
          <w:szCs w:val="24"/>
        </w:rPr>
        <w:t xml:space="preserve"> KL 230.</w:t>
      </w:r>
      <w:r>
        <w:rPr>
          <w:rFonts w:eastAsia="Times New Roman"/>
          <w:szCs w:val="24"/>
        </w:rPr>
        <w:t xml:space="preserve"> </w:t>
      </w:r>
      <w:r w:rsidRPr="001113E1">
        <w:rPr>
          <w:rFonts w:eastAsia="Times New Roman"/>
          <w:szCs w:val="24"/>
        </w:rPr>
        <w:t xml:space="preserve">pantu papildināt ar jaunu trešo daļu, kurā </w:t>
      </w:r>
      <w:r>
        <w:rPr>
          <w:rFonts w:eastAsia="Times New Roman"/>
          <w:szCs w:val="24"/>
        </w:rPr>
        <w:t>tiek</w:t>
      </w:r>
      <w:r w:rsidRPr="001113E1">
        <w:rPr>
          <w:rFonts w:eastAsia="Times New Roman"/>
          <w:szCs w:val="24"/>
        </w:rPr>
        <w:t xml:space="preserve"> paredzēta kriminālatbildība par KL 230. panta pirmajā vai otrajā daļā paredzētajām darbībām, ja tās </w:t>
      </w:r>
      <w:r w:rsidRPr="001113E1">
        <w:rPr>
          <w:rFonts w:eastAsia="Times New Roman"/>
          <w:szCs w:val="24"/>
          <w:u w:val="single"/>
        </w:rPr>
        <w:t>izdarītas publiskā vietā vai nepilngadīgā klātbūtnē</w:t>
      </w:r>
      <w:r w:rsidRPr="001113E1">
        <w:rPr>
          <w:rFonts w:eastAsia="Times New Roman"/>
          <w:szCs w:val="24"/>
        </w:rPr>
        <w:t xml:space="preserve">, sodot personas ar brīvības atņemšanu uz laiku līdz sešiem gadiem, atņemot tiesības uz noteiktu vai visu sugu dzīvnieku turēšanu uz laiku līdz pieciem gadiem. Proti, par </w:t>
      </w:r>
      <w:r w:rsidRPr="009A286E">
        <w:rPr>
          <w:rFonts w:eastAsia="Times New Roman"/>
          <w:szCs w:val="24"/>
        </w:rPr>
        <w:t xml:space="preserve">šādu </w:t>
      </w:r>
      <w:r w:rsidRPr="001113E1">
        <w:rPr>
          <w:rFonts w:eastAsia="Times New Roman"/>
          <w:szCs w:val="24"/>
        </w:rPr>
        <w:t xml:space="preserve">cietsirdīgu noziedzīgu nodarījumu </w:t>
      </w:r>
      <w:r>
        <w:rPr>
          <w:rFonts w:eastAsia="Times New Roman"/>
          <w:szCs w:val="24"/>
        </w:rPr>
        <w:t xml:space="preserve">izdarīšanu </w:t>
      </w:r>
      <w:r w:rsidRPr="001113E1">
        <w:rPr>
          <w:rFonts w:eastAsia="Times New Roman"/>
          <w:szCs w:val="24"/>
        </w:rPr>
        <w:t xml:space="preserve">pret dzīvniekiem paredzot </w:t>
      </w:r>
      <w:r>
        <w:rPr>
          <w:rFonts w:eastAsia="Times New Roman"/>
          <w:szCs w:val="24"/>
        </w:rPr>
        <w:t xml:space="preserve">kā </w:t>
      </w:r>
      <w:r w:rsidRPr="001113E1">
        <w:rPr>
          <w:rFonts w:eastAsia="Times New Roman"/>
          <w:szCs w:val="24"/>
        </w:rPr>
        <w:t xml:space="preserve">pamatsodu tikai brīvības atņemšanu, bez iespējām piemērot alternatīvos sodu veidus. </w:t>
      </w:r>
    </w:p>
    <w:p w14:paraId="66134473" w14:textId="77777777" w:rsidR="001627F7" w:rsidRDefault="001627F7" w:rsidP="001627F7">
      <w:pPr>
        <w:tabs>
          <w:tab w:val="left" w:pos="284"/>
          <w:tab w:val="left" w:pos="1134"/>
        </w:tabs>
        <w:rPr>
          <w:rFonts w:eastAsia="Times New Roman"/>
          <w:szCs w:val="24"/>
          <w:lang w:eastAsia="lv-LV"/>
        </w:rPr>
      </w:pPr>
    </w:p>
    <w:p w14:paraId="3920867F" w14:textId="5FE818FB" w:rsidR="001627F7" w:rsidRPr="00863D58" w:rsidRDefault="001627F7" w:rsidP="001627F7">
      <w:pPr>
        <w:tabs>
          <w:tab w:val="left" w:pos="284"/>
          <w:tab w:val="left" w:pos="1134"/>
        </w:tabs>
        <w:rPr>
          <w:color w:val="000000"/>
          <w:szCs w:val="24"/>
          <w:shd w:val="clear" w:color="auto" w:fill="FFFFFF"/>
        </w:rPr>
      </w:pPr>
      <w:r w:rsidRPr="00863D58">
        <w:rPr>
          <w:rFonts w:eastAsia="Times New Roman"/>
          <w:szCs w:val="24"/>
          <w:lang w:eastAsia="lv-LV"/>
        </w:rPr>
        <w:t>Papildus jautājumam par kriminālatbildību par cietsirdīgu izturēšanos pret dzīvniekiem un dzīvnieku spīdzināšanu, s</w:t>
      </w:r>
      <w:r w:rsidRPr="00863D58">
        <w:rPr>
          <w:szCs w:val="24"/>
        </w:rPr>
        <w:t>tarp lasījumiem projektā tika iesniegti papildus nepieciešamie grozījumi Krimināllikumā (turpmāk – KL) attiecībā uz:</w:t>
      </w:r>
    </w:p>
    <w:p w14:paraId="2FD4888F" w14:textId="77777777" w:rsidR="001627F7" w:rsidRPr="00A03DE8" w:rsidRDefault="001627F7" w:rsidP="001627F7">
      <w:pPr>
        <w:pStyle w:val="Sarakstarindkopa"/>
        <w:numPr>
          <w:ilvl w:val="1"/>
          <w:numId w:val="1"/>
        </w:numPr>
        <w:tabs>
          <w:tab w:val="left" w:pos="284"/>
          <w:tab w:val="left" w:pos="1134"/>
        </w:tabs>
        <w:ind w:left="1418" w:hanging="284"/>
        <w:rPr>
          <w:color w:val="000000"/>
          <w:szCs w:val="24"/>
          <w:shd w:val="clear" w:color="auto" w:fill="FFFFFF"/>
        </w:rPr>
      </w:pPr>
      <w:r>
        <w:rPr>
          <w:szCs w:val="24"/>
        </w:rPr>
        <w:t>tiesas iespējām piemērot medicīniska rakstura piespiedu līdzekļus ierobežoti pieskaitāmām personām;</w:t>
      </w:r>
    </w:p>
    <w:p w14:paraId="0787A84D" w14:textId="77777777" w:rsidR="001627F7" w:rsidRPr="00A03DE8" w:rsidRDefault="001627F7" w:rsidP="001627F7">
      <w:pPr>
        <w:pStyle w:val="Sarakstarindkopa"/>
        <w:numPr>
          <w:ilvl w:val="1"/>
          <w:numId w:val="1"/>
        </w:numPr>
        <w:tabs>
          <w:tab w:val="left" w:pos="284"/>
          <w:tab w:val="left" w:pos="1134"/>
        </w:tabs>
        <w:ind w:left="1418" w:hanging="284"/>
        <w:rPr>
          <w:color w:val="000000"/>
          <w:szCs w:val="24"/>
          <w:shd w:val="clear" w:color="auto" w:fill="FFFFFF"/>
        </w:rPr>
      </w:pPr>
      <w:r>
        <w:rPr>
          <w:szCs w:val="24"/>
        </w:rPr>
        <w:t>kriminālsodu politiku par atsevišķu kategoriju noziedzīgajiem nodarījumiem, jo īpaši nodarījumiem, kas saistīti ar vardarbību;</w:t>
      </w:r>
    </w:p>
    <w:p w14:paraId="7A5036FC" w14:textId="77777777" w:rsidR="001627F7" w:rsidRPr="00A03DE8" w:rsidRDefault="001627F7" w:rsidP="001627F7">
      <w:pPr>
        <w:pStyle w:val="Sarakstarindkopa"/>
        <w:numPr>
          <w:ilvl w:val="1"/>
          <w:numId w:val="1"/>
        </w:numPr>
        <w:tabs>
          <w:tab w:val="left" w:pos="284"/>
          <w:tab w:val="left" w:pos="1134"/>
        </w:tabs>
        <w:ind w:left="1418" w:hanging="284"/>
        <w:rPr>
          <w:color w:val="000000"/>
          <w:szCs w:val="24"/>
          <w:shd w:val="clear" w:color="auto" w:fill="FFFFFF"/>
        </w:rPr>
      </w:pPr>
      <w:r>
        <w:rPr>
          <w:szCs w:val="24"/>
        </w:rPr>
        <w:t>iespējām piemērot naudas sodu, gadījumā, ja kriminālprocess tiek pabeigts ar prokurora priekšrakstu par sodu;</w:t>
      </w:r>
    </w:p>
    <w:p w14:paraId="725A5768" w14:textId="77777777" w:rsidR="001627F7" w:rsidRPr="00A03DE8" w:rsidRDefault="001627F7" w:rsidP="001627F7">
      <w:pPr>
        <w:pStyle w:val="Sarakstarindkopa"/>
        <w:numPr>
          <w:ilvl w:val="1"/>
          <w:numId w:val="1"/>
        </w:numPr>
        <w:tabs>
          <w:tab w:val="left" w:pos="284"/>
          <w:tab w:val="left" w:pos="1134"/>
        </w:tabs>
        <w:ind w:left="1418" w:hanging="284"/>
        <w:rPr>
          <w:color w:val="000000"/>
          <w:szCs w:val="24"/>
          <w:shd w:val="clear" w:color="auto" w:fill="FFFFFF"/>
        </w:rPr>
      </w:pPr>
      <w:r>
        <w:rPr>
          <w:szCs w:val="24"/>
        </w:rPr>
        <w:t>nelikumīgām darbībām ar fiziskas personas datiem un identitātes zādzību;</w:t>
      </w:r>
    </w:p>
    <w:p w14:paraId="0ED82659" w14:textId="77777777" w:rsidR="001627F7" w:rsidRPr="00A03DE8" w:rsidRDefault="001627F7" w:rsidP="001627F7">
      <w:pPr>
        <w:pStyle w:val="Sarakstarindkopa"/>
        <w:numPr>
          <w:ilvl w:val="1"/>
          <w:numId w:val="1"/>
        </w:numPr>
        <w:tabs>
          <w:tab w:val="left" w:pos="284"/>
          <w:tab w:val="left" w:pos="1134"/>
        </w:tabs>
        <w:ind w:left="1418" w:hanging="284"/>
        <w:rPr>
          <w:color w:val="000000"/>
          <w:szCs w:val="24"/>
          <w:shd w:val="clear" w:color="auto" w:fill="FFFFFF"/>
        </w:rPr>
      </w:pPr>
      <w:r w:rsidRPr="00A03DE8">
        <w:rPr>
          <w:szCs w:val="24"/>
        </w:rPr>
        <w:t>apdrošināšanas krāpšanu, noziedzīga nodarījuma kvalificējošo pazīmi, kas saistīts ar nolūku iegūt nepamatotas priekšrocības sev vai jebkurai citai personai</w:t>
      </w:r>
      <w:r>
        <w:rPr>
          <w:szCs w:val="24"/>
        </w:rPr>
        <w:t>;</w:t>
      </w:r>
    </w:p>
    <w:p w14:paraId="1543D7A9" w14:textId="77777777" w:rsidR="001627F7" w:rsidRPr="00A03DE8" w:rsidRDefault="001627F7" w:rsidP="001627F7">
      <w:pPr>
        <w:pStyle w:val="Sarakstarindkopa"/>
        <w:numPr>
          <w:ilvl w:val="1"/>
          <w:numId w:val="1"/>
        </w:numPr>
        <w:tabs>
          <w:tab w:val="left" w:pos="284"/>
          <w:tab w:val="left" w:pos="1134"/>
        </w:tabs>
        <w:ind w:left="1418" w:hanging="284"/>
        <w:rPr>
          <w:color w:val="000000"/>
          <w:szCs w:val="24"/>
          <w:shd w:val="clear" w:color="auto" w:fill="FFFFFF"/>
        </w:rPr>
      </w:pPr>
      <w:r w:rsidRPr="00A03DE8">
        <w:rPr>
          <w:szCs w:val="24"/>
        </w:rPr>
        <w:t xml:space="preserve">šaujamieroča, šaujamieroča būtisko sastāvdaļu, lielas enerģijas pneimatiskā ieroča, gāzes ieroča vai </w:t>
      </w:r>
      <w:proofErr w:type="spellStart"/>
      <w:r w:rsidRPr="00A03DE8">
        <w:rPr>
          <w:szCs w:val="24"/>
        </w:rPr>
        <w:t>signālieroča</w:t>
      </w:r>
      <w:proofErr w:type="spellEnd"/>
      <w:r w:rsidRPr="00A03DE8">
        <w:rPr>
          <w:szCs w:val="24"/>
        </w:rPr>
        <w:t xml:space="preserve"> marķējuma viltošanu vai iznīcināšanu</w:t>
      </w:r>
      <w:r>
        <w:rPr>
          <w:szCs w:val="24"/>
        </w:rPr>
        <w:t>;</w:t>
      </w:r>
    </w:p>
    <w:p w14:paraId="66B53221" w14:textId="77777777" w:rsidR="001627F7" w:rsidRPr="00A03DE8" w:rsidRDefault="001627F7" w:rsidP="001627F7">
      <w:pPr>
        <w:pStyle w:val="Sarakstarindkopa"/>
        <w:numPr>
          <w:ilvl w:val="1"/>
          <w:numId w:val="1"/>
        </w:numPr>
        <w:tabs>
          <w:tab w:val="left" w:pos="284"/>
          <w:tab w:val="left" w:pos="1134"/>
        </w:tabs>
        <w:ind w:left="1418" w:hanging="284"/>
        <w:rPr>
          <w:color w:val="000000"/>
          <w:szCs w:val="24"/>
          <w:shd w:val="clear" w:color="auto" w:fill="FFFFFF"/>
        </w:rPr>
      </w:pPr>
      <w:r w:rsidRPr="00A03DE8">
        <w:rPr>
          <w:szCs w:val="24"/>
        </w:rPr>
        <w:t>personas atbrīvošanu no kriminālatbildības par KL 253.</w:t>
      </w:r>
      <w:r w:rsidRPr="00A03DE8">
        <w:rPr>
          <w:szCs w:val="24"/>
          <w:vertAlign w:val="superscript"/>
        </w:rPr>
        <w:t>2</w:t>
      </w:r>
      <w:r w:rsidRPr="00A03DE8">
        <w:rPr>
          <w:szCs w:val="24"/>
        </w:rPr>
        <w:t xml:space="preserve"> panta pirmajā daļā paredzētā noziedzīgā nodarījuma izdarīšanu, ja tā sniegusi vai organizējusi palīdzību personai narkotisko vielu pārdozēšanas gadījumā</w:t>
      </w:r>
      <w:r>
        <w:rPr>
          <w:szCs w:val="24"/>
        </w:rPr>
        <w:t>;</w:t>
      </w:r>
    </w:p>
    <w:p w14:paraId="5050FD9F" w14:textId="77777777" w:rsidR="001627F7" w:rsidRPr="00A03DE8" w:rsidRDefault="001627F7" w:rsidP="001627F7">
      <w:pPr>
        <w:pStyle w:val="Sarakstarindkopa"/>
        <w:numPr>
          <w:ilvl w:val="1"/>
          <w:numId w:val="1"/>
        </w:numPr>
        <w:tabs>
          <w:tab w:val="left" w:pos="284"/>
          <w:tab w:val="left" w:pos="1134"/>
        </w:tabs>
        <w:ind w:left="1418" w:hanging="284"/>
        <w:rPr>
          <w:color w:val="000000"/>
          <w:szCs w:val="24"/>
          <w:shd w:val="clear" w:color="auto" w:fill="FFFFFF"/>
        </w:rPr>
      </w:pPr>
      <w:r w:rsidRPr="00A03DE8">
        <w:rPr>
          <w:szCs w:val="24"/>
        </w:rPr>
        <w:t>atbildību transportlīdzekļu vadītajiem</w:t>
      </w:r>
      <w:r>
        <w:rPr>
          <w:szCs w:val="24"/>
        </w:rPr>
        <w:t>;</w:t>
      </w:r>
    </w:p>
    <w:p w14:paraId="4E1E8A3D" w14:textId="77777777" w:rsidR="001627F7" w:rsidRPr="000F5972" w:rsidRDefault="001627F7" w:rsidP="001627F7">
      <w:pPr>
        <w:pStyle w:val="Sarakstarindkopa"/>
        <w:numPr>
          <w:ilvl w:val="1"/>
          <w:numId w:val="1"/>
        </w:numPr>
        <w:tabs>
          <w:tab w:val="left" w:pos="284"/>
          <w:tab w:val="left" w:pos="1134"/>
        </w:tabs>
        <w:ind w:left="1418" w:hanging="284"/>
        <w:rPr>
          <w:color w:val="000000"/>
          <w:szCs w:val="24"/>
          <w:shd w:val="clear" w:color="auto" w:fill="FFFFFF"/>
        </w:rPr>
      </w:pPr>
      <w:r w:rsidRPr="00A03DE8">
        <w:rPr>
          <w:szCs w:val="24"/>
        </w:rPr>
        <w:t>kriminālatbildības pastiprināšanu par bēgšanu no īslaicīgās aizturēšanas vai ieslodzījumu vietas</w:t>
      </w:r>
      <w:r>
        <w:rPr>
          <w:szCs w:val="24"/>
        </w:rPr>
        <w:t>;</w:t>
      </w:r>
    </w:p>
    <w:p w14:paraId="04AA18F6" w14:textId="77777777" w:rsidR="001627F7" w:rsidRPr="001E2352" w:rsidRDefault="001627F7" w:rsidP="001627F7">
      <w:pPr>
        <w:pStyle w:val="Sarakstarindkopa"/>
        <w:numPr>
          <w:ilvl w:val="1"/>
          <w:numId w:val="1"/>
        </w:numPr>
        <w:tabs>
          <w:tab w:val="left" w:pos="284"/>
          <w:tab w:val="left" w:pos="1134"/>
        </w:tabs>
        <w:ind w:left="1418" w:hanging="284"/>
        <w:rPr>
          <w:color w:val="000000"/>
          <w:szCs w:val="24"/>
          <w:shd w:val="clear" w:color="auto" w:fill="FFFFFF"/>
        </w:rPr>
      </w:pPr>
      <w:r>
        <w:rPr>
          <w:szCs w:val="24"/>
        </w:rPr>
        <w:t>personas, kas nav sasniegusi četrpadsmit gadu vecumu, atrašanos bezpalīdzības stāvoklī, XVI nodaļas minēto noziedzīgo nodarījumu izpratnē;</w:t>
      </w:r>
    </w:p>
    <w:p w14:paraId="0C8C3DD5" w14:textId="77777777" w:rsidR="001627F7" w:rsidRPr="001E2352" w:rsidRDefault="001627F7" w:rsidP="001627F7">
      <w:pPr>
        <w:pStyle w:val="Sarakstarindkopa"/>
        <w:numPr>
          <w:ilvl w:val="1"/>
          <w:numId w:val="1"/>
        </w:numPr>
        <w:tabs>
          <w:tab w:val="left" w:pos="284"/>
          <w:tab w:val="left" w:pos="1134"/>
        </w:tabs>
        <w:ind w:left="1276" w:hanging="284"/>
        <w:rPr>
          <w:color w:val="000000"/>
          <w:szCs w:val="24"/>
          <w:shd w:val="clear" w:color="auto" w:fill="FFFFFF"/>
        </w:rPr>
      </w:pPr>
      <w:r w:rsidRPr="00172E63">
        <w:rPr>
          <w:szCs w:val="24"/>
        </w:rPr>
        <w:t xml:space="preserve">negodīgu konkurenci, maldinošu reklāmu un negodīgu </w:t>
      </w:r>
      <w:proofErr w:type="spellStart"/>
      <w:r w:rsidRPr="00172E63">
        <w:rPr>
          <w:szCs w:val="24"/>
        </w:rPr>
        <w:t>komercpraksi</w:t>
      </w:r>
      <w:proofErr w:type="spellEnd"/>
      <w:r w:rsidRPr="00172E63">
        <w:rPr>
          <w:szCs w:val="24"/>
        </w:rPr>
        <w:t xml:space="preserve">. </w:t>
      </w:r>
    </w:p>
    <w:p w14:paraId="4D3CF95E" w14:textId="77777777" w:rsidR="008A684A" w:rsidRDefault="008A684A" w:rsidP="002736B4">
      <w:pPr>
        <w:ind w:right="-199" w:firstLine="851"/>
        <w:rPr>
          <w:rFonts w:eastAsia="Times New Roman"/>
          <w:szCs w:val="24"/>
        </w:rPr>
      </w:pPr>
    </w:p>
    <w:p w14:paraId="6D741245" w14:textId="77777777" w:rsidR="008A684A" w:rsidRDefault="008A684A" w:rsidP="008A684A">
      <w:pPr>
        <w:pStyle w:val="VPBody"/>
        <w:spacing w:before="0" w:after="0"/>
        <w:rPr>
          <w:b/>
          <w:bCs w:val="0"/>
          <w:i/>
          <w:iCs/>
          <w:szCs w:val="24"/>
          <w:shd w:val="clear" w:color="auto" w:fill="FFFFFF"/>
        </w:rPr>
      </w:pPr>
      <w:r w:rsidRPr="00143381">
        <w:rPr>
          <w:b/>
          <w:bCs w:val="0"/>
          <w:szCs w:val="24"/>
          <w:shd w:val="clear" w:color="auto" w:fill="FFFFFF"/>
        </w:rPr>
        <w:lastRenderedPageBreak/>
        <w:tab/>
      </w:r>
      <w:r w:rsidRPr="00143381">
        <w:rPr>
          <w:b/>
          <w:bCs w:val="0"/>
          <w:i/>
          <w:iCs/>
          <w:szCs w:val="24"/>
          <w:shd w:val="clear" w:color="auto" w:fill="FFFFFF"/>
        </w:rPr>
        <w:t xml:space="preserve">Par </w:t>
      </w:r>
      <w:r>
        <w:rPr>
          <w:b/>
          <w:bCs w:val="0"/>
          <w:i/>
          <w:iCs/>
          <w:szCs w:val="24"/>
          <w:shd w:val="clear" w:color="auto" w:fill="FFFFFF"/>
        </w:rPr>
        <w:t>tiesas iespējām piemērot medicīniska rakstura piespiedu līdzekļus ierobežoti pieskaitāmības personām</w:t>
      </w:r>
      <w:r w:rsidRPr="00143381">
        <w:rPr>
          <w:b/>
          <w:bCs w:val="0"/>
          <w:i/>
          <w:iCs/>
          <w:szCs w:val="24"/>
          <w:shd w:val="clear" w:color="auto" w:fill="FFFFFF"/>
        </w:rPr>
        <w:t xml:space="preserve"> (grozījumi KL </w:t>
      </w:r>
      <w:r>
        <w:rPr>
          <w:b/>
          <w:bCs w:val="0"/>
          <w:i/>
          <w:iCs/>
          <w:szCs w:val="24"/>
          <w:shd w:val="clear" w:color="auto" w:fill="FFFFFF"/>
        </w:rPr>
        <w:t>14</w:t>
      </w:r>
      <w:r w:rsidRPr="00143381">
        <w:rPr>
          <w:b/>
          <w:bCs w:val="0"/>
          <w:i/>
          <w:iCs/>
          <w:szCs w:val="24"/>
          <w:shd w:val="clear" w:color="auto" w:fill="FFFFFF"/>
        </w:rPr>
        <w:t>. pantā)</w:t>
      </w:r>
    </w:p>
    <w:p w14:paraId="18EDCC97" w14:textId="77777777" w:rsidR="008A684A" w:rsidRPr="00143381" w:rsidRDefault="008A684A" w:rsidP="008A684A">
      <w:pPr>
        <w:pStyle w:val="VPBody"/>
        <w:spacing w:before="0" w:after="0"/>
        <w:rPr>
          <w:b/>
          <w:bCs w:val="0"/>
          <w:i/>
          <w:iCs/>
          <w:szCs w:val="24"/>
          <w:shd w:val="clear" w:color="auto" w:fill="FFFFFF"/>
        </w:rPr>
      </w:pPr>
    </w:p>
    <w:p w14:paraId="75CE8981" w14:textId="77777777" w:rsidR="008A684A" w:rsidRDefault="008A684A" w:rsidP="008A684A">
      <w:pPr>
        <w:rPr>
          <w:szCs w:val="24"/>
          <w:lang w:val="cs-CZ"/>
        </w:rPr>
      </w:pPr>
      <w:r>
        <w:rPr>
          <w:szCs w:val="24"/>
        </w:rPr>
        <w:t xml:space="preserve">KL </w:t>
      </w:r>
      <w:r>
        <w:rPr>
          <w:szCs w:val="24"/>
          <w:lang w:val="cs-CZ"/>
        </w:rPr>
        <w:t xml:space="preserve">13. panta otrā daļa paredz, ka personai, kas atzīta par nepieskaitāmu, tiesa var piemērot šajā likumā noteiktos medicīniska rakstura piespiedu līdzekļus, savukārt atbilstoši KL 14. panta otrajai daļai personai, </w:t>
      </w:r>
      <w:bookmarkStart w:id="2" w:name="_Hlk137445979"/>
      <w:r>
        <w:rPr>
          <w:szCs w:val="24"/>
          <w:lang w:val="cs-CZ"/>
        </w:rPr>
        <w:t>kura atzīta par ierobežoti pieskaitāmu, tiesa piemēro šajā likumā noteiktos medicīniska rakstura piespiedu līdzekļus</w:t>
      </w:r>
      <w:bookmarkEnd w:id="2"/>
      <w:r>
        <w:rPr>
          <w:szCs w:val="24"/>
          <w:lang w:val="cs-CZ"/>
        </w:rPr>
        <w:t>. Līdz ar to šā brīža KL regulējumā konstatējama tiesību normu savstarpēja neatbilstība, jo ierobežoti pieskaitāmai personai vienmēr jāpiemēro medicīniska rakstura piespiedu līdzeklis, bet, ja persona atzīta par nepieskaitāmu, tiesai ir izvēle. Savukārt, izskatot šo jautājumu Tieslietu ministrijas pastāvīgajā Krimināllikuma darba grupā (turpmāk – darba grupa), tika secināts, ka KL 13. un 14. pantā ietvertajam tiesiskajam regulējumam attiecībā uz tiesas kompetenci medicīniska rakstura piespiedu līdzekļu piemērošanā ir jābūt savstarpēji salāgotam.</w:t>
      </w:r>
    </w:p>
    <w:p w14:paraId="0F7E131A" w14:textId="77777777" w:rsidR="008A684A" w:rsidRDefault="008A684A" w:rsidP="008A684A">
      <w:pPr>
        <w:rPr>
          <w:szCs w:val="24"/>
          <w:shd w:val="clear" w:color="auto" w:fill="FFFFFF"/>
          <w:lang w:val="cs-CZ"/>
        </w:rPr>
      </w:pPr>
      <w:r>
        <w:rPr>
          <w:szCs w:val="24"/>
          <w:shd w:val="clear" w:color="auto" w:fill="FFFFFF"/>
          <w:lang w:val="cs-CZ"/>
        </w:rPr>
        <w:t xml:space="preserve">Vēršam uzmanību, ka līdz KL grozījumiem, kas stājās spēkā 2014. gada 3. aprīlī, KL 13. panta otrajā daļā bija noteikts, ka personai, kas atzīta par nepieskaitāmu, tiesa piemēro šajā likumā noteiktos medicīniska rakstura piespiedu līdzekļus, tādējādi paredzot tiesas obligātu pienākumu tos noteikt, ja attiecīgā persona atzīta par nepieskaitāmu. Lai to mainītu, tika iesniegts priekšlikums, kas paredzēja KL </w:t>
      </w:r>
      <w:r>
        <w:rPr>
          <w:szCs w:val="24"/>
          <w:shd w:val="clear" w:color="auto" w:fill="FFFFFF"/>
        </w:rPr>
        <w:t>13. panta otrajā daļā vārdu “piemēro” aizstāt ar vārdiem “var piemērot”, Saeimas sēdē norādot</w:t>
      </w:r>
      <w:r>
        <w:rPr>
          <w:szCs w:val="24"/>
          <w:shd w:val="clear" w:color="auto" w:fill="FFFFFF"/>
          <w:lang w:val="cs-CZ"/>
        </w:rPr>
        <w:t xml:space="preserve">, ka: “[..] ir paredzēts precizēt normu, kas saistīta ar medicīniska rakstura piespiedu līdzekļu piemērošanu. Patlaban ir paredzēts, ka attiecīgos līdzekļus tiesa </w:t>
      </w:r>
      <w:r>
        <w:rPr>
          <w:szCs w:val="24"/>
          <w:shd w:val="clear" w:color="auto" w:fill="FFFFFF"/>
        </w:rPr>
        <w:t>“</w:t>
      </w:r>
      <w:r>
        <w:rPr>
          <w:szCs w:val="24"/>
          <w:shd w:val="clear" w:color="auto" w:fill="FFFFFF"/>
          <w:lang w:val="cs-CZ"/>
        </w:rPr>
        <w:t xml:space="preserve">piemēro”. Citā pantā ir norādīts, ka attiecīgos līdzekļus tiesa </w:t>
      </w:r>
      <w:r>
        <w:rPr>
          <w:szCs w:val="24"/>
          <w:shd w:val="clear" w:color="auto" w:fill="FFFFFF"/>
        </w:rPr>
        <w:t>“</w:t>
      </w:r>
      <w:r>
        <w:rPr>
          <w:szCs w:val="24"/>
          <w:shd w:val="clear" w:color="auto" w:fill="FFFFFF"/>
          <w:lang w:val="cs-CZ"/>
        </w:rPr>
        <w:t xml:space="preserve">var piemērot”. Lai būtu atbilstība starp tiesību normām, pantā ir jāveic precizējums. Proti, nosakot, ka tiesa var piemērot medicīniska rakstura piespiedu līdzekļus. Ja tiesa uzskata, ka tādas nepieciešamības nav, tiesa var nodot personu, kurai piemērots medicīniska rakstura piespiedu līdzeklis, tuvinieku gādībā.” </w:t>
      </w:r>
    </w:p>
    <w:p w14:paraId="72AF7C06" w14:textId="77777777" w:rsidR="008A684A" w:rsidRDefault="008A684A" w:rsidP="008A684A">
      <w:pPr>
        <w:rPr>
          <w:szCs w:val="24"/>
          <w:shd w:val="clear" w:color="auto" w:fill="FFFFFF"/>
          <w:lang w:val="cs-CZ"/>
        </w:rPr>
      </w:pPr>
      <w:r>
        <w:rPr>
          <w:szCs w:val="24"/>
          <w:shd w:val="clear" w:color="auto" w:fill="FFFFFF"/>
          <w:lang w:val="cs-CZ"/>
        </w:rPr>
        <w:t xml:space="preserve">Tāpat jānorāda, ka šā brīža KL 14. panta otrās daļas regulējums ir pretrunā arī citiem KL un Kriminālprocesa likuma (turpmāk – KPL) pantiem. Proti, KL 68. panta pirmajā daļā noteikts, ka personām, kas izdarījušas šajā likumā paredzētos nodarījumus, bet sirgst ar psihiskiem traucējumiem un ir atzītas par nepieskaitāmām vai ierobežoti pieskaitāmām, var noteikt uzskaitītos medicīniska rakstura piespiedu līdzekļus. Šā panta otrajā daļā noteikts, </w:t>
      </w:r>
      <w:r>
        <w:rPr>
          <w:szCs w:val="24"/>
          <w:shd w:val="clear" w:color="auto" w:fill="FFFFFF"/>
        </w:rPr>
        <w:t>ja šā panta pirmajā daļā minētā persona pēc izdarītā nodarījuma rakstura un sava psihiskā stāvokļa dēļ nav bīstama sabiedrībai, tiesa var nodot to tuvinieku vai citu personu, kas veic slimnieku kopšanu, gādībā.</w:t>
      </w:r>
      <w:r>
        <w:rPr>
          <w:szCs w:val="24"/>
          <w:shd w:val="clear" w:color="auto" w:fill="FFFFFF"/>
          <w:lang w:val="cs-CZ"/>
        </w:rPr>
        <w:t xml:space="preserve"> Savukārt KPL 514. panta 8. punktā noteikts, ka tiesa apspriežu istabā izlemj jautājumu vai personai, kura atzīta par ierobežoti pieskaitāmu, ir jānosaka</w:t>
      </w:r>
      <w:r>
        <w:t xml:space="preserve"> KL</w:t>
      </w:r>
      <w:r>
        <w:rPr>
          <w:szCs w:val="24"/>
          <w:shd w:val="clear" w:color="auto" w:fill="FFFFFF"/>
          <w:lang w:val="cs-CZ"/>
        </w:rPr>
        <w:t> </w:t>
      </w:r>
      <w:r w:rsidRPr="00A03DE8">
        <w:rPr>
          <w:szCs w:val="24"/>
          <w:shd w:val="clear" w:color="auto" w:fill="FFFFFF"/>
          <w:lang w:val="cs-CZ"/>
        </w:rPr>
        <w:t>68. pantā</w:t>
      </w:r>
      <w:r>
        <w:rPr>
          <w:szCs w:val="24"/>
          <w:shd w:val="clear" w:color="auto" w:fill="FFFFFF"/>
          <w:lang w:val="cs-CZ"/>
        </w:rPr>
        <w:t> paredzētie medicīniska rakstura piespiedu līdzekļi. KPL 592. pantā iekļauts medicīniska rakstura piespiedu līdzekļu noteiktšanas pamats, paredzot, ka ja šī persona pēc izdarītā nodarījuma rakstura un sava psihiskā stāvokļa ir bīstama sabiedrībai, ir piemērojami KL 68. pantā paredzētie medicīniska rakstura piespiedu līdzekli, taču, ja persona nav bīstama sabiedrībai, kriminālprocesu var izbeigt, nododot attiecīgo personu tuvinieku vai citu personu gādībā. Līdz ar to KL 14. pants ir jāprecizē, neuzliekot tiesai obligātu pienākumu ikreiz, kad persona atzīta par ierobežoti pieskaitāmu, piemērot KL noteiktos medicīniska rakstura piespiedu līdzekļus.</w:t>
      </w:r>
    </w:p>
    <w:p w14:paraId="5135D921" w14:textId="77777777" w:rsidR="008A684A" w:rsidRPr="00044BF5" w:rsidRDefault="008A684A" w:rsidP="008A684A">
      <w:pPr>
        <w:rPr>
          <w:szCs w:val="24"/>
          <w:shd w:val="clear" w:color="auto" w:fill="FFFFFF"/>
        </w:rPr>
      </w:pPr>
      <w:r>
        <w:rPr>
          <w:szCs w:val="24"/>
        </w:rPr>
        <w:t xml:space="preserve">Ar grozījumiem paredzēts </w:t>
      </w:r>
      <w:r w:rsidRPr="006C3148">
        <w:rPr>
          <w:szCs w:val="24"/>
          <w:shd w:val="clear" w:color="auto" w:fill="FFFFFF"/>
          <w:lang w:val="cs-CZ"/>
        </w:rPr>
        <w:t>Krimināllikuma</w:t>
      </w:r>
      <w:r>
        <w:rPr>
          <w:szCs w:val="24"/>
          <w:shd w:val="clear" w:color="auto" w:fill="FFFFFF"/>
          <w:lang w:val="cs-CZ"/>
        </w:rPr>
        <w:t xml:space="preserve"> (turpmāk – KL) </w:t>
      </w:r>
      <w:r w:rsidRPr="006C3148">
        <w:rPr>
          <w:b/>
          <w:bCs/>
          <w:szCs w:val="24"/>
          <w:shd w:val="clear" w:color="auto" w:fill="FFFFFF"/>
          <w:lang w:val="cs-CZ"/>
        </w:rPr>
        <w:t>14. panta</w:t>
      </w:r>
      <w:r>
        <w:rPr>
          <w:szCs w:val="24"/>
          <w:shd w:val="clear" w:color="auto" w:fill="FFFFFF"/>
          <w:lang w:val="cs-CZ"/>
        </w:rPr>
        <w:t xml:space="preserve"> otrajā daļā noteikt, ka personai, kura atzīta par ierobežoti pieskaitāmu, tiesa var piemērot šajā likumā noteiktos medicīniska rakstura piespiedu līdzekļus, tādējādi dodot tiesai izvēli tos piemērot pēc nepieciešamības. </w:t>
      </w:r>
    </w:p>
    <w:p w14:paraId="19D7B702" w14:textId="77777777" w:rsidR="008A684A" w:rsidRDefault="008A684A" w:rsidP="008A684A">
      <w:pPr>
        <w:rPr>
          <w:szCs w:val="24"/>
          <w:shd w:val="clear" w:color="auto" w:fill="FFFFFF"/>
          <w:lang w:val="cs-CZ"/>
        </w:rPr>
      </w:pPr>
    </w:p>
    <w:p w14:paraId="03949069" w14:textId="77777777" w:rsidR="008A684A" w:rsidRPr="00143381" w:rsidRDefault="008A684A" w:rsidP="008A684A">
      <w:pPr>
        <w:shd w:val="clear" w:color="auto" w:fill="FFFFFF"/>
        <w:rPr>
          <w:szCs w:val="24"/>
          <w:shd w:val="clear" w:color="auto" w:fill="FFFFFF"/>
        </w:rPr>
      </w:pPr>
    </w:p>
    <w:p w14:paraId="7574C6F6" w14:textId="77777777" w:rsidR="008A684A" w:rsidRDefault="008A684A" w:rsidP="008A684A">
      <w:pPr>
        <w:shd w:val="clear" w:color="auto" w:fill="FFFFFF"/>
        <w:rPr>
          <w:b/>
          <w:bCs/>
          <w:i/>
          <w:iCs/>
          <w:szCs w:val="24"/>
          <w:shd w:val="clear" w:color="auto" w:fill="FFFFFF"/>
        </w:rPr>
      </w:pPr>
      <w:r w:rsidRPr="00143381">
        <w:rPr>
          <w:b/>
          <w:bCs/>
          <w:i/>
          <w:iCs/>
          <w:szCs w:val="24"/>
          <w:shd w:val="clear" w:color="auto" w:fill="FFFFFF"/>
        </w:rPr>
        <w:t xml:space="preserve">Par </w:t>
      </w:r>
      <w:r>
        <w:rPr>
          <w:b/>
          <w:bCs/>
          <w:i/>
          <w:iCs/>
          <w:szCs w:val="24"/>
          <w:shd w:val="clear" w:color="auto" w:fill="FFFFFF"/>
        </w:rPr>
        <w:t xml:space="preserve">nepieciešamību mainīt kriminālsodu politiku par atsevišķu kategoriju noziedzīgajiem nodarījumiem, jo īpaši nodarījumiem, kas saistīti ar vardarbību </w:t>
      </w:r>
      <w:r w:rsidRPr="00143381">
        <w:rPr>
          <w:b/>
          <w:bCs/>
          <w:i/>
          <w:iCs/>
          <w:szCs w:val="24"/>
          <w:shd w:val="clear" w:color="auto" w:fill="FFFFFF"/>
        </w:rPr>
        <w:t xml:space="preserve">(grozījumi KL </w:t>
      </w:r>
      <w:r>
        <w:rPr>
          <w:b/>
          <w:bCs/>
          <w:i/>
          <w:iCs/>
          <w:szCs w:val="24"/>
          <w:shd w:val="clear" w:color="auto" w:fill="FFFFFF"/>
        </w:rPr>
        <w:t>48., 81.</w:t>
      </w:r>
      <w:r>
        <w:rPr>
          <w:b/>
          <w:bCs/>
          <w:i/>
          <w:iCs/>
          <w:szCs w:val="24"/>
          <w:shd w:val="clear" w:color="auto" w:fill="FFFFFF"/>
          <w:vertAlign w:val="superscript"/>
        </w:rPr>
        <w:t>1</w:t>
      </w:r>
      <w:r>
        <w:rPr>
          <w:b/>
          <w:bCs/>
          <w:i/>
          <w:iCs/>
          <w:szCs w:val="24"/>
          <w:shd w:val="clear" w:color="auto" w:fill="FFFFFF"/>
        </w:rPr>
        <w:t>, 119., 120., 124., 126., 130., 130.</w:t>
      </w:r>
      <w:r>
        <w:rPr>
          <w:b/>
          <w:bCs/>
          <w:i/>
          <w:iCs/>
          <w:szCs w:val="24"/>
          <w:shd w:val="clear" w:color="auto" w:fill="FFFFFF"/>
          <w:vertAlign w:val="superscript"/>
        </w:rPr>
        <w:t>1</w:t>
      </w:r>
      <w:r>
        <w:rPr>
          <w:b/>
          <w:bCs/>
          <w:i/>
          <w:iCs/>
          <w:szCs w:val="24"/>
          <w:shd w:val="clear" w:color="auto" w:fill="FFFFFF"/>
        </w:rPr>
        <w:t>, 132., 132.</w:t>
      </w:r>
      <w:r>
        <w:rPr>
          <w:b/>
          <w:bCs/>
          <w:i/>
          <w:iCs/>
          <w:szCs w:val="24"/>
          <w:shd w:val="clear" w:color="auto" w:fill="FFFFFF"/>
          <w:vertAlign w:val="superscript"/>
        </w:rPr>
        <w:t>1</w:t>
      </w:r>
      <w:r>
        <w:rPr>
          <w:b/>
          <w:bCs/>
          <w:i/>
          <w:iCs/>
          <w:szCs w:val="24"/>
          <w:shd w:val="clear" w:color="auto" w:fill="FFFFFF"/>
        </w:rPr>
        <w:t>, 143., 147., 149.</w:t>
      </w:r>
      <w:r>
        <w:rPr>
          <w:b/>
          <w:bCs/>
          <w:i/>
          <w:iCs/>
          <w:szCs w:val="24"/>
          <w:shd w:val="clear" w:color="auto" w:fill="FFFFFF"/>
          <w:vertAlign w:val="superscript"/>
        </w:rPr>
        <w:t>1</w:t>
      </w:r>
      <w:r>
        <w:rPr>
          <w:b/>
          <w:bCs/>
          <w:i/>
          <w:iCs/>
          <w:szCs w:val="24"/>
          <w:shd w:val="clear" w:color="auto" w:fill="FFFFFF"/>
        </w:rPr>
        <w:t>, 150., 152., 153., 174., 174.</w:t>
      </w:r>
      <w:r>
        <w:rPr>
          <w:b/>
          <w:bCs/>
          <w:i/>
          <w:iCs/>
          <w:szCs w:val="24"/>
          <w:shd w:val="clear" w:color="auto" w:fill="FFFFFF"/>
          <w:vertAlign w:val="superscript"/>
        </w:rPr>
        <w:t>1</w:t>
      </w:r>
      <w:r>
        <w:rPr>
          <w:b/>
          <w:bCs/>
          <w:i/>
          <w:iCs/>
          <w:szCs w:val="24"/>
          <w:shd w:val="clear" w:color="auto" w:fill="FFFFFF"/>
        </w:rPr>
        <w:t>, 241., 269., 270., 272.</w:t>
      </w:r>
      <w:r>
        <w:rPr>
          <w:b/>
          <w:bCs/>
          <w:i/>
          <w:iCs/>
          <w:szCs w:val="24"/>
          <w:shd w:val="clear" w:color="auto" w:fill="FFFFFF"/>
          <w:vertAlign w:val="superscript"/>
        </w:rPr>
        <w:t>1</w:t>
      </w:r>
      <w:r>
        <w:rPr>
          <w:b/>
          <w:bCs/>
          <w:i/>
          <w:iCs/>
          <w:szCs w:val="24"/>
          <w:shd w:val="clear" w:color="auto" w:fill="FFFFFF"/>
        </w:rPr>
        <w:t>, 279., 280., 282.</w:t>
      </w:r>
      <w:r>
        <w:rPr>
          <w:b/>
          <w:bCs/>
          <w:i/>
          <w:iCs/>
          <w:szCs w:val="24"/>
          <w:shd w:val="clear" w:color="auto" w:fill="FFFFFF"/>
          <w:vertAlign w:val="superscript"/>
        </w:rPr>
        <w:t>1</w:t>
      </w:r>
      <w:r>
        <w:rPr>
          <w:b/>
          <w:bCs/>
          <w:i/>
          <w:iCs/>
          <w:szCs w:val="24"/>
          <w:shd w:val="clear" w:color="auto" w:fill="FFFFFF"/>
        </w:rPr>
        <w:t>, 282.</w:t>
      </w:r>
      <w:r>
        <w:rPr>
          <w:b/>
          <w:bCs/>
          <w:i/>
          <w:iCs/>
          <w:szCs w:val="24"/>
          <w:shd w:val="clear" w:color="auto" w:fill="FFFFFF"/>
          <w:vertAlign w:val="superscript"/>
        </w:rPr>
        <w:t>2</w:t>
      </w:r>
      <w:r w:rsidRPr="00143381">
        <w:rPr>
          <w:b/>
          <w:bCs/>
          <w:i/>
          <w:iCs/>
          <w:szCs w:val="24"/>
          <w:shd w:val="clear" w:color="auto" w:fill="FFFFFF"/>
        </w:rPr>
        <w:t xml:space="preserve"> pantā)  </w:t>
      </w:r>
    </w:p>
    <w:p w14:paraId="1C01BBC3" w14:textId="77777777" w:rsidR="008A684A" w:rsidRPr="00143381" w:rsidRDefault="008A684A" w:rsidP="008A684A">
      <w:pPr>
        <w:shd w:val="clear" w:color="auto" w:fill="FFFFFF"/>
        <w:ind w:firstLine="0"/>
        <w:rPr>
          <w:b/>
          <w:bCs/>
          <w:i/>
          <w:iCs/>
          <w:szCs w:val="24"/>
          <w:shd w:val="clear" w:color="auto" w:fill="FFFFFF"/>
        </w:rPr>
      </w:pPr>
    </w:p>
    <w:p w14:paraId="098CED01" w14:textId="77777777" w:rsidR="008A684A" w:rsidRDefault="008A684A" w:rsidP="008A684A">
      <w:pPr>
        <w:rPr>
          <w:szCs w:val="24"/>
          <w:lang w:val="cs-CZ"/>
        </w:rPr>
      </w:pPr>
      <w:r>
        <w:rPr>
          <w:szCs w:val="24"/>
          <w:shd w:val="clear" w:color="auto" w:fill="FFFFFF"/>
          <w:lang w:val="cs-CZ"/>
        </w:rPr>
        <w:t>Grozījumi paredz</w:t>
      </w:r>
      <w:r>
        <w:rPr>
          <w:szCs w:val="24"/>
        </w:rPr>
        <w:t xml:space="preserve"> </w:t>
      </w:r>
      <w:r w:rsidRPr="00601D8C">
        <w:rPr>
          <w:b/>
          <w:bCs/>
          <w:szCs w:val="24"/>
        </w:rPr>
        <w:t>KL 48. panta</w:t>
      </w:r>
      <w:r>
        <w:rPr>
          <w:szCs w:val="24"/>
        </w:rPr>
        <w:t xml:space="preserve"> pirmo daļu papildināt ar jaunu atbildību pastiprinošu apstākli – noziedzīgs nodarījums pret tikumību un dzimumneaizskaramību apdraudējis nepilngadīgā dzīvību, kas izstrādāts saistībā ar Eiropas komisijas 2023. gada 15. februārī saņemto papildus formālo paziņojumu pārkāpuma procedūras lietas Nr. INFR(2019)2237 ietvaros pret Latvijas Republiku par neatbilstošu Eiropas Parlamenta un Padomes 2011. gada 13. decembra Direktīvas 2011/93/ES par seksuālas vardarbības pret bērniem, bērnu seksuālas izmantošanas un bērnu pornogrāfijas apkarošanu, un ar kuru aizstāj Padomes Pamatlēmumu 2004/68/ TI (turpmāk – Direktīva 2011/93/ES) pārņemšanu.  </w:t>
      </w:r>
    </w:p>
    <w:p w14:paraId="7E6CE593" w14:textId="77777777" w:rsidR="008A684A" w:rsidRDefault="008A684A" w:rsidP="008A684A">
      <w:pPr>
        <w:rPr>
          <w:szCs w:val="24"/>
        </w:rPr>
      </w:pPr>
      <w:r>
        <w:rPr>
          <w:szCs w:val="24"/>
        </w:rPr>
        <w:t xml:space="preserve">Eiropas Komisija norādījusi, ka Latvija nav atbilstoši pārņēmusi </w:t>
      </w:r>
      <w:bookmarkStart w:id="3" w:name="_Hlk24363474"/>
      <w:r>
        <w:rPr>
          <w:szCs w:val="24"/>
        </w:rPr>
        <w:t>Direktīvas 2011/93/ES 9. panta f) punktu, kurā noteikts, ka, ja vien turpmāk minētie apstākļi jau nav 3. līdz 7. pantā minēto nodarījumu sastāva pazīmes, dalībvalstis veic vajadzīgos pasākumus, lai nodrošinātu, ka saskaņā ar attiecīgajiem valsts tiesību aktu noteikumiem par atbildību pastiprinošiem apstākļiem saistībā ar 3. līdz 7. pantā minētajiem atbilstīgajiem nodarījumiem var uzskatīt apstākli, ka nodarījuma izdarītājs ar nodomu vai aiz neuzmanības apdraudējis bērna dzīvību.</w:t>
      </w:r>
    </w:p>
    <w:p w14:paraId="32B02AAB" w14:textId="77777777" w:rsidR="008A684A" w:rsidRDefault="008A684A" w:rsidP="008A684A">
      <w:pPr>
        <w:rPr>
          <w:szCs w:val="24"/>
        </w:rPr>
      </w:pPr>
      <w:r>
        <w:rPr>
          <w:szCs w:val="24"/>
        </w:rPr>
        <w:t>Tā kā Direktīvas 2011/93/ES 3.-7. pantā paredzēta atbildība par: nodarījumiem saistībā ar seksuālu vardarbību (3.pants); nodarījumiem saistībā ar seksuālu izmantošanu (4. pants); nodarījumiem saistībā ar bērnu pornogrāfiju (5. pants); uzmākšanos bērniem seksuālos nolūkos (6. pants); kūdīšanu, palīdzēšanu, atbalstīšanu un mēģinājumu (7. pants), KL 48. panta pirmā daļa ir jāpapildina ar atbildību pastiprinošu a</w:t>
      </w:r>
      <w:bookmarkEnd w:id="3"/>
      <w:r>
        <w:rPr>
          <w:szCs w:val="24"/>
        </w:rPr>
        <w:t>pstākli, kas neietver kādu no šajos pantos minētajām noziedzīga nodarījuma sastāva pazīmēm.</w:t>
      </w:r>
    </w:p>
    <w:p w14:paraId="2B61BC1D" w14:textId="77777777" w:rsidR="008A684A" w:rsidRDefault="008A684A" w:rsidP="008A684A">
      <w:pPr>
        <w:ind w:firstLine="0"/>
        <w:rPr>
          <w:szCs w:val="24"/>
        </w:rPr>
      </w:pPr>
    </w:p>
    <w:p w14:paraId="5F7A5DC7" w14:textId="77777777" w:rsidR="008A684A" w:rsidRDefault="008A684A" w:rsidP="008A684A">
      <w:pPr>
        <w:rPr>
          <w:szCs w:val="24"/>
          <w:shd w:val="clear" w:color="auto" w:fill="FFFFFF"/>
          <w:lang w:val="cs-CZ"/>
        </w:rPr>
      </w:pPr>
      <w:r>
        <w:rPr>
          <w:szCs w:val="24"/>
          <w:shd w:val="clear" w:color="auto" w:fill="FFFFFF"/>
          <w:lang w:val="cs-CZ"/>
        </w:rPr>
        <w:t xml:space="preserve">Ar grozījumiem paredzēts izteikt </w:t>
      </w:r>
      <w:r w:rsidRPr="00601D8C">
        <w:rPr>
          <w:b/>
          <w:bCs/>
          <w:szCs w:val="24"/>
          <w:shd w:val="clear" w:color="auto" w:fill="FFFFFF"/>
          <w:lang w:val="cs-CZ"/>
        </w:rPr>
        <w:t>KL 81.</w:t>
      </w:r>
      <w:r w:rsidRPr="00601D8C">
        <w:rPr>
          <w:b/>
          <w:bCs/>
          <w:szCs w:val="24"/>
          <w:shd w:val="clear" w:color="auto" w:fill="FFFFFF"/>
          <w:vertAlign w:val="superscript"/>
          <w:lang w:val="cs-CZ"/>
        </w:rPr>
        <w:t>1</w:t>
      </w:r>
      <w:r w:rsidRPr="00601D8C">
        <w:rPr>
          <w:b/>
          <w:bCs/>
          <w:szCs w:val="24"/>
          <w:shd w:val="clear" w:color="auto" w:fill="FFFFFF"/>
          <w:lang w:val="cs-CZ"/>
        </w:rPr>
        <w:t xml:space="preserve"> panta</w:t>
      </w:r>
      <w:r>
        <w:rPr>
          <w:szCs w:val="24"/>
          <w:shd w:val="clear" w:color="auto" w:fill="FFFFFF"/>
          <w:lang w:val="cs-CZ"/>
        </w:rPr>
        <w:t xml:space="preserve"> </w:t>
      </w:r>
      <w:r>
        <w:rPr>
          <w:szCs w:val="24"/>
          <w:shd w:val="clear" w:color="auto" w:fill="FFFFFF"/>
        </w:rPr>
        <w:t>“</w:t>
      </w:r>
      <w:r>
        <w:rPr>
          <w:szCs w:val="24"/>
          <w:shd w:val="clear" w:color="auto" w:fill="FFFFFF"/>
          <w:lang w:val="cs-CZ"/>
        </w:rPr>
        <w:t>Palīdzība ārvalstij pret Latvijas Republiku vērstā darbībā</w:t>
      </w:r>
      <w:r>
        <w:rPr>
          <w:szCs w:val="24"/>
          <w:shd w:val="clear" w:color="auto" w:fill="FFFFFF"/>
        </w:rPr>
        <w:t>”</w:t>
      </w:r>
      <w:r>
        <w:rPr>
          <w:szCs w:val="24"/>
          <w:shd w:val="clear" w:color="auto" w:fill="FFFFFF"/>
          <w:lang w:val="cs-CZ"/>
        </w:rPr>
        <w:t xml:space="preserve"> pirmās daļas sankciju jaunā redakcijā, proti, palielinot brīvības atņemšanas sodu no pieciem gadiem uz brīvības atņemšanu no viena līdz desmit gadiem, tādējādi izslēdzot no sankcijas brīvības atņemšanai alternatīvo pamatsodu – probācijas uzraudzība, kā arī papildinot sankciju ar papildsodu – probācijas uzraudzību uz laiku līdz trim gadiem. </w:t>
      </w:r>
    </w:p>
    <w:p w14:paraId="746C92CD" w14:textId="77777777" w:rsidR="008A684A" w:rsidRDefault="008A684A" w:rsidP="008A684A">
      <w:pPr>
        <w:rPr>
          <w:szCs w:val="24"/>
          <w:shd w:val="clear" w:color="auto" w:fill="FFFFFF"/>
          <w:lang w:val="cs-CZ"/>
        </w:rPr>
      </w:pPr>
      <w:r>
        <w:rPr>
          <w:szCs w:val="24"/>
          <w:shd w:val="clear" w:color="auto" w:fill="FFFFFF"/>
          <w:lang w:val="cs-CZ"/>
        </w:rPr>
        <w:t>Minētais grozījums nepieciešams, lai pastiprinātu kriminālatbildību par palīdzību ārvalstij pret Latvijas Republiku vērstā darbībā, kā arī lai sabalancētu KL 81.</w:t>
      </w:r>
      <w:r>
        <w:rPr>
          <w:szCs w:val="24"/>
          <w:shd w:val="clear" w:color="auto" w:fill="FFFFFF"/>
          <w:vertAlign w:val="superscript"/>
          <w:lang w:val="cs-CZ"/>
        </w:rPr>
        <w:t>1</w:t>
      </w:r>
      <w:r>
        <w:rPr>
          <w:szCs w:val="24"/>
          <w:shd w:val="clear" w:color="auto" w:fill="FFFFFF"/>
          <w:lang w:val="cs-CZ"/>
        </w:rPr>
        <w:t xml:space="preserve"> panta pirmās daļas sankciju ar minētā panta otrās daļas sankciju, kurā paredzēta brīvības atņemšana uz laiku no trim līdz divdesmit gadiem, konfiscējot mantu vai bez mantas konfiskācijas, un ar probācijas uzraudzību uz laiku līdz trim gadiem.</w:t>
      </w:r>
    </w:p>
    <w:p w14:paraId="0448B7D0" w14:textId="77777777" w:rsidR="008A684A" w:rsidRDefault="008A684A" w:rsidP="008A684A">
      <w:pPr>
        <w:ind w:firstLine="0"/>
        <w:rPr>
          <w:szCs w:val="24"/>
          <w:shd w:val="clear" w:color="auto" w:fill="FFFFFF"/>
          <w:lang w:val="cs-CZ"/>
        </w:rPr>
      </w:pPr>
    </w:p>
    <w:p w14:paraId="74C06B6B" w14:textId="77777777" w:rsidR="008A684A" w:rsidRPr="008C771D" w:rsidRDefault="008A684A" w:rsidP="008A684A">
      <w:pPr>
        <w:rPr>
          <w:rFonts w:eastAsia="Times New Roman"/>
          <w:color w:val="000000"/>
          <w:szCs w:val="24"/>
          <w:shd w:val="clear" w:color="auto" w:fill="FFFFFF"/>
          <w:lang w:eastAsia="lv-LV" w:bidi="my-MM"/>
        </w:rPr>
      </w:pPr>
      <w:r>
        <w:rPr>
          <w:rFonts w:eastAsia="Times New Roman"/>
          <w:color w:val="000000"/>
          <w:szCs w:val="24"/>
          <w:shd w:val="clear" w:color="auto" w:fill="FFFFFF"/>
          <w:lang w:eastAsia="lv-LV" w:bidi="my-MM"/>
        </w:rPr>
        <w:t xml:space="preserve">Grozījumi paredz mainīt sodu politiku atsevišķās noziedzīgo nodarījumu kategorijās, it īpaši nodarījumos, kas saistīt ar vardarbību, un nodrošināt, ka noziedzīgo nodarījumu izdarījušām personām tiek piemērots tāds soda veids, kas ir vērsts uz personas domāšanas un uzvedības maiņu, kā arī personas noziedzīgās rīcības cēloņu novēršanu. Tādi soda veidi kā sabiedriskais darbs un naudas sods nav vērsti uz personas domāšanu un uzvedības maiņu, līdz ar to </w:t>
      </w:r>
      <w:r>
        <w:rPr>
          <w:rFonts w:eastAsia="Times New Roman"/>
          <w:szCs w:val="24"/>
          <w:lang w:eastAsia="lv-LV"/>
        </w:rPr>
        <w:t xml:space="preserve">grozījumi paredz pastiprināt atbildību par šādiem vardarbīgiem noziedzīgiem nodarījumiem, </w:t>
      </w:r>
      <w:r>
        <w:rPr>
          <w:rFonts w:eastAsia="Times New Roman"/>
          <w:color w:val="000000"/>
          <w:szCs w:val="24"/>
          <w:shd w:val="clear" w:color="auto" w:fill="FFFFFF"/>
          <w:lang w:eastAsia="lv-LV" w:bidi="my-MM"/>
        </w:rPr>
        <w:t xml:space="preserve">proti, no sankcijas izslēdzot brīvības atņemšanai alternatīvo sodu – sabiedriskais darbs un naudas sods. Vienlaikus par šiem </w:t>
      </w:r>
      <w:r>
        <w:rPr>
          <w:rFonts w:eastAsia="Times New Roman"/>
          <w:color w:val="000000"/>
          <w:szCs w:val="24"/>
          <w:shd w:val="clear" w:color="auto" w:fill="FFFFFF"/>
          <w:lang w:eastAsia="lv-LV" w:bidi="my-MM"/>
        </w:rPr>
        <w:lastRenderedPageBreak/>
        <w:t>noziedzīgajiem nodarījumiem kā alternatīva brīvības atņemšanai tiek saglabāta probācijas uzraudzība.</w:t>
      </w:r>
      <w:r>
        <w:rPr>
          <w:kern w:val="2"/>
          <w:szCs w:val="24"/>
          <w:lang w:bidi="my-MM"/>
          <w14:ligatures w14:val="standardContextual"/>
        </w:rPr>
        <w:t xml:space="preserve"> </w:t>
      </w:r>
      <w:r>
        <w:rPr>
          <w:rFonts w:eastAsia="Times New Roman"/>
          <w:color w:val="000000"/>
          <w:szCs w:val="24"/>
          <w:shd w:val="clear" w:color="auto" w:fill="FFFFFF"/>
          <w:lang w:eastAsia="lv-LV" w:bidi="my-MM"/>
        </w:rPr>
        <w:t>Probācijas uzraudzība ir vērsta uz personas uzvedības un domāšanas korekciju. Piemērojot probācijas uzraudzību, tiek nodrošināta personas ilgstoša kontrole un gadījumā, ja persona bez attaisnojoša iemesla nepilda kriminālsodu izpildi reglamentējošā likumā paredzētos vai soda izpildes iestādes noteiktos pienākumus, tad to aizstāj ar brīvības atņemšanu.</w:t>
      </w:r>
    </w:p>
    <w:p w14:paraId="14E5E54E" w14:textId="77777777" w:rsidR="008A684A" w:rsidRDefault="008A684A" w:rsidP="008A684A">
      <w:pPr>
        <w:rPr>
          <w:rFonts w:eastAsia="Times New Roman"/>
          <w:color w:val="000000"/>
          <w:szCs w:val="24"/>
          <w:shd w:val="clear" w:color="auto" w:fill="FFFFFF"/>
          <w:lang w:eastAsia="lv-LV" w:bidi="my-MM"/>
        </w:rPr>
      </w:pPr>
      <w:r>
        <w:rPr>
          <w:szCs w:val="24"/>
          <w:shd w:val="clear" w:color="auto" w:fill="FFFFFF"/>
          <w:lang w:val="cs-CZ"/>
        </w:rPr>
        <w:t xml:space="preserve">Ievērojot minēto, grozījumi paredz no </w:t>
      </w:r>
      <w:r w:rsidRPr="00601D8C">
        <w:rPr>
          <w:b/>
          <w:bCs/>
          <w:szCs w:val="24"/>
          <w:shd w:val="clear" w:color="auto" w:fill="FFFFFF"/>
          <w:lang w:val="cs-CZ"/>
        </w:rPr>
        <w:t>KL 119. panta</w:t>
      </w:r>
      <w:r>
        <w:rPr>
          <w:szCs w:val="24"/>
          <w:shd w:val="clear" w:color="auto" w:fill="FFFFFF"/>
          <w:lang w:val="cs-CZ"/>
        </w:rPr>
        <w:t xml:space="preserve"> </w:t>
      </w:r>
      <w:r>
        <w:rPr>
          <w:szCs w:val="24"/>
          <w:shd w:val="clear" w:color="auto" w:fill="FFFFFF"/>
        </w:rPr>
        <w:t>“</w:t>
      </w:r>
      <w:r>
        <w:rPr>
          <w:szCs w:val="24"/>
          <w:shd w:val="clear" w:color="auto" w:fill="FFFFFF"/>
          <w:lang w:val="cs-CZ"/>
        </w:rPr>
        <w:t>Jaundzimuša bērna slepkavība</w:t>
      </w:r>
      <w:r>
        <w:rPr>
          <w:szCs w:val="24"/>
          <w:shd w:val="clear" w:color="auto" w:fill="FFFFFF"/>
        </w:rPr>
        <w:t>”</w:t>
      </w:r>
      <w:r>
        <w:rPr>
          <w:szCs w:val="24"/>
          <w:shd w:val="clear" w:color="auto" w:fill="FFFFFF"/>
          <w:lang w:val="cs-CZ"/>
        </w:rPr>
        <w:t xml:space="preserve"> un </w:t>
      </w:r>
      <w:r w:rsidRPr="00601D8C">
        <w:rPr>
          <w:b/>
          <w:bCs/>
          <w:szCs w:val="24"/>
          <w:shd w:val="clear" w:color="auto" w:fill="FFFFFF"/>
          <w:lang w:val="cs-CZ"/>
        </w:rPr>
        <w:t>120. panta</w:t>
      </w:r>
      <w:r>
        <w:rPr>
          <w:szCs w:val="24"/>
          <w:shd w:val="clear" w:color="auto" w:fill="FFFFFF"/>
          <w:lang w:val="cs-CZ"/>
        </w:rPr>
        <w:t xml:space="preserve"> </w:t>
      </w:r>
      <w:r>
        <w:rPr>
          <w:szCs w:val="24"/>
          <w:shd w:val="clear" w:color="auto" w:fill="FFFFFF"/>
        </w:rPr>
        <w:t>“</w:t>
      </w:r>
      <w:r>
        <w:rPr>
          <w:szCs w:val="24"/>
          <w:shd w:val="clear" w:color="auto" w:fill="FFFFFF"/>
          <w:lang w:val="cs-CZ"/>
        </w:rPr>
        <w:t>Slepkavība, kas izdarīta stipra psihiska uzbudinājuma stāvoklī</w:t>
      </w:r>
      <w:r>
        <w:rPr>
          <w:szCs w:val="24"/>
          <w:shd w:val="clear" w:color="auto" w:fill="FFFFFF"/>
        </w:rPr>
        <w:t>”</w:t>
      </w:r>
      <w:r>
        <w:rPr>
          <w:szCs w:val="24"/>
          <w:shd w:val="clear" w:color="auto" w:fill="FFFFFF"/>
          <w:lang w:val="cs-CZ"/>
        </w:rPr>
        <w:t xml:space="preserve"> sankcijas izslēgt sodu </w:t>
      </w:r>
      <w:r>
        <w:rPr>
          <w:rFonts w:eastAsia="Times New Roman"/>
          <w:color w:val="000000"/>
          <w:szCs w:val="24"/>
          <w:shd w:val="clear" w:color="auto" w:fill="FFFFFF"/>
          <w:lang w:eastAsia="lv-LV" w:bidi="my-MM"/>
        </w:rPr>
        <w:t xml:space="preserve">– </w:t>
      </w:r>
      <w:r>
        <w:rPr>
          <w:szCs w:val="24"/>
          <w:shd w:val="clear" w:color="auto" w:fill="FFFFFF"/>
          <w:lang w:val="cs-CZ"/>
        </w:rPr>
        <w:t xml:space="preserve">sabiedriskais darbs. </w:t>
      </w:r>
    </w:p>
    <w:p w14:paraId="529A9782" w14:textId="77777777" w:rsidR="008A684A" w:rsidRPr="00063CA2" w:rsidRDefault="008A684A" w:rsidP="008A684A">
      <w:pPr>
        <w:rPr>
          <w:rFonts w:eastAsia="Times New Roman"/>
          <w:color w:val="000000"/>
          <w:szCs w:val="24"/>
          <w:shd w:val="clear" w:color="auto" w:fill="FFFFFF"/>
          <w:lang w:eastAsia="lv-LV" w:bidi="my-MM"/>
        </w:rPr>
      </w:pPr>
      <w:r>
        <w:rPr>
          <w:szCs w:val="24"/>
          <w:shd w:val="clear" w:color="auto" w:fill="FFFFFF"/>
          <w:lang w:val="cs-CZ"/>
        </w:rPr>
        <w:t xml:space="preserve">Grozījumos paredzēts </w:t>
      </w:r>
      <w:r w:rsidRPr="00601D8C">
        <w:rPr>
          <w:b/>
          <w:bCs/>
          <w:szCs w:val="24"/>
          <w:shd w:val="clear" w:color="auto" w:fill="FFFFFF"/>
          <w:lang w:val="cs-CZ"/>
        </w:rPr>
        <w:t>KL 124. panta</w:t>
      </w:r>
      <w:r>
        <w:rPr>
          <w:szCs w:val="24"/>
          <w:shd w:val="clear" w:color="auto" w:fill="FFFFFF"/>
          <w:lang w:val="cs-CZ"/>
        </w:rPr>
        <w:t xml:space="preserve"> </w:t>
      </w:r>
      <w:r>
        <w:rPr>
          <w:szCs w:val="24"/>
          <w:shd w:val="clear" w:color="auto" w:fill="FFFFFF"/>
        </w:rPr>
        <w:t>“</w:t>
      </w:r>
      <w:r>
        <w:rPr>
          <w:szCs w:val="24"/>
          <w:shd w:val="clear" w:color="auto" w:fill="FFFFFF"/>
          <w:lang w:val="cs-CZ"/>
        </w:rPr>
        <w:t>Novešana līdz pašnāvībai</w:t>
      </w:r>
      <w:r>
        <w:rPr>
          <w:szCs w:val="24"/>
          <w:shd w:val="clear" w:color="auto" w:fill="FFFFFF"/>
        </w:rPr>
        <w:t>”</w:t>
      </w:r>
      <w:r>
        <w:rPr>
          <w:szCs w:val="24"/>
          <w:shd w:val="clear" w:color="auto" w:fill="FFFFFF"/>
          <w:lang w:val="cs-CZ"/>
        </w:rPr>
        <w:t xml:space="preserve"> pirmās daļas sankcijā palielināt brīvības atņemšanas sodu no trim uz pieciem gadiem, kā arī paredzēts izslēgt sodu – sabiedriskais darbs. </w:t>
      </w:r>
      <w:r>
        <w:rPr>
          <w:rFonts w:eastAsia="Times New Roman"/>
          <w:szCs w:val="24"/>
          <w:lang w:eastAsia="lv-LV"/>
        </w:rPr>
        <w:t xml:space="preserve">Grozījumi paredz pastiprināt atbildību par šādu personas dzīvību apdraudošu noziegumu, </w:t>
      </w:r>
      <w:r>
        <w:rPr>
          <w:rFonts w:eastAsia="Times New Roman"/>
          <w:color w:val="000000"/>
          <w:szCs w:val="24"/>
          <w:shd w:val="clear" w:color="auto" w:fill="FFFFFF"/>
          <w:lang w:eastAsia="lv-LV" w:bidi="my-MM"/>
        </w:rPr>
        <w:t xml:space="preserve">proti, palielinot brīvības atņemšanas sodu, kā arī no sankcijas izslēdzot brīvības atņemšanai alternatīvo sodu – sabiedriskais darbs. Ievērojot to, ka novešana līdz pašnāvībai ir īpaši bīstama gadījumos, kad tā izdarīta pret  personu, kas atradusies materiālā vai citādā atkarībā no vainīgā, </w:t>
      </w:r>
      <w:r w:rsidRPr="00601D8C">
        <w:rPr>
          <w:rFonts w:eastAsia="Times New Roman"/>
          <w:color w:val="000000"/>
          <w:szCs w:val="24"/>
          <w:shd w:val="clear" w:color="auto" w:fill="FFFFFF"/>
          <w:lang w:eastAsia="lv-LV" w:bidi="my-MM"/>
        </w:rPr>
        <w:t>grozījumi</w:t>
      </w:r>
      <w:r>
        <w:rPr>
          <w:rFonts w:eastAsia="Times New Roman"/>
          <w:color w:val="000000"/>
          <w:szCs w:val="24"/>
          <w:shd w:val="clear" w:color="auto" w:fill="FFFFFF"/>
          <w:lang w:eastAsia="lv-LV" w:bidi="my-MM"/>
        </w:rPr>
        <w:t xml:space="preserve"> paredz  </w:t>
      </w:r>
      <w:r>
        <w:rPr>
          <w:szCs w:val="24"/>
          <w:shd w:val="clear" w:color="auto" w:fill="FFFFFF"/>
          <w:lang w:val="cs-CZ"/>
        </w:rPr>
        <w:t>KL 124. panta otrās daļas sankcijā palielināt brīvības atņemšanas sodu no pieciem uz septiņiem gadiem, tādējādi izlēdzot iespēju par šādu smagu noziegumu piemērot brīvības atņemšanai alternatīvos sodu veidus.</w:t>
      </w:r>
    </w:p>
    <w:p w14:paraId="0FB33C95" w14:textId="77777777" w:rsidR="008A684A" w:rsidRDefault="008A684A" w:rsidP="008A684A">
      <w:pPr>
        <w:rPr>
          <w:rFonts w:eastAsia="Times New Roman"/>
          <w:color w:val="000000"/>
          <w:szCs w:val="24"/>
          <w:shd w:val="clear" w:color="auto" w:fill="FFFFFF"/>
          <w:lang w:eastAsia="lv-LV" w:bidi="my-MM"/>
        </w:rPr>
      </w:pPr>
      <w:r>
        <w:rPr>
          <w:szCs w:val="24"/>
          <w:shd w:val="clear" w:color="auto" w:fill="FFFFFF"/>
          <w:lang w:val="cs-CZ"/>
        </w:rPr>
        <w:t xml:space="preserve">Grozījumi paredz no </w:t>
      </w:r>
      <w:r w:rsidRPr="00601D8C">
        <w:rPr>
          <w:b/>
          <w:bCs/>
          <w:szCs w:val="24"/>
          <w:shd w:val="clear" w:color="auto" w:fill="FFFFFF"/>
          <w:lang w:val="cs-CZ"/>
        </w:rPr>
        <w:t>KL 126. panta</w:t>
      </w:r>
      <w:r>
        <w:rPr>
          <w:szCs w:val="24"/>
          <w:shd w:val="clear" w:color="auto" w:fill="FFFFFF"/>
          <w:lang w:val="cs-CZ"/>
        </w:rPr>
        <w:t xml:space="preserve"> </w:t>
      </w:r>
      <w:r>
        <w:rPr>
          <w:szCs w:val="24"/>
          <w:shd w:val="clear" w:color="auto" w:fill="FFFFFF"/>
        </w:rPr>
        <w:t>“</w:t>
      </w:r>
      <w:r>
        <w:rPr>
          <w:szCs w:val="24"/>
          <w:shd w:val="clear" w:color="auto" w:fill="FFFFFF"/>
          <w:lang w:val="cs-CZ"/>
        </w:rPr>
        <w:t>Tīšs vidēja smaguma miesas bojājums</w:t>
      </w:r>
      <w:r>
        <w:rPr>
          <w:szCs w:val="24"/>
          <w:shd w:val="clear" w:color="auto" w:fill="FFFFFF"/>
        </w:rPr>
        <w:t>”</w:t>
      </w:r>
      <w:r>
        <w:rPr>
          <w:szCs w:val="24"/>
          <w:shd w:val="clear" w:color="auto" w:fill="FFFFFF"/>
          <w:lang w:val="cs-CZ"/>
        </w:rPr>
        <w:t xml:space="preserve"> otrās daļas, </w:t>
      </w:r>
      <w:r w:rsidRPr="00601D8C">
        <w:rPr>
          <w:b/>
          <w:bCs/>
          <w:szCs w:val="24"/>
          <w:shd w:val="clear" w:color="auto" w:fill="FFFFFF"/>
          <w:lang w:val="cs-CZ"/>
        </w:rPr>
        <w:t>130. panta</w:t>
      </w:r>
      <w:r>
        <w:rPr>
          <w:szCs w:val="24"/>
          <w:shd w:val="clear" w:color="auto" w:fill="FFFFFF"/>
          <w:lang w:val="cs-CZ"/>
        </w:rPr>
        <w:t xml:space="preserve"> </w:t>
      </w:r>
      <w:r>
        <w:rPr>
          <w:szCs w:val="24"/>
          <w:shd w:val="clear" w:color="auto" w:fill="FFFFFF"/>
        </w:rPr>
        <w:t>“</w:t>
      </w:r>
      <w:r>
        <w:rPr>
          <w:szCs w:val="24"/>
          <w:shd w:val="clear" w:color="auto" w:fill="FFFFFF"/>
          <w:lang w:val="cs-CZ"/>
        </w:rPr>
        <w:t>Tīšs viegls miesas bojājums</w:t>
      </w:r>
      <w:r>
        <w:rPr>
          <w:szCs w:val="24"/>
          <w:shd w:val="clear" w:color="auto" w:fill="FFFFFF"/>
        </w:rPr>
        <w:t xml:space="preserve">” </w:t>
      </w:r>
      <w:r>
        <w:rPr>
          <w:szCs w:val="24"/>
          <w:shd w:val="clear" w:color="auto" w:fill="FFFFFF"/>
          <w:lang w:val="cs-CZ"/>
        </w:rPr>
        <w:t xml:space="preserve">trešās daļas, </w:t>
      </w:r>
      <w:r w:rsidRPr="00601D8C">
        <w:rPr>
          <w:b/>
          <w:bCs/>
          <w:szCs w:val="24"/>
          <w:shd w:val="clear" w:color="auto" w:fill="FFFFFF"/>
        </w:rPr>
        <w:t>130.</w:t>
      </w:r>
      <w:r w:rsidRPr="00601D8C">
        <w:rPr>
          <w:b/>
          <w:bCs/>
          <w:szCs w:val="24"/>
          <w:shd w:val="clear" w:color="auto" w:fill="FFFFFF"/>
          <w:vertAlign w:val="superscript"/>
        </w:rPr>
        <w:t>1</w:t>
      </w:r>
      <w:r w:rsidRPr="00601D8C">
        <w:rPr>
          <w:b/>
          <w:bCs/>
          <w:szCs w:val="24"/>
          <w:shd w:val="clear" w:color="auto" w:fill="FFFFFF"/>
        </w:rPr>
        <w:t> panta</w:t>
      </w:r>
      <w:r>
        <w:rPr>
          <w:szCs w:val="24"/>
          <w:shd w:val="clear" w:color="auto" w:fill="FFFFFF"/>
        </w:rPr>
        <w:t xml:space="preserve"> “Spīdzināšana”,  </w:t>
      </w:r>
      <w:r w:rsidRPr="00601D8C">
        <w:rPr>
          <w:b/>
          <w:bCs/>
          <w:szCs w:val="24"/>
          <w:shd w:val="clear" w:color="auto" w:fill="FFFFFF"/>
          <w:lang w:val="cs-CZ"/>
        </w:rPr>
        <w:t>132. panta</w:t>
      </w:r>
      <w:r>
        <w:rPr>
          <w:szCs w:val="24"/>
          <w:shd w:val="clear" w:color="auto" w:fill="FFFFFF"/>
          <w:lang w:val="cs-CZ"/>
        </w:rPr>
        <w:t xml:space="preserve"> </w:t>
      </w:r>
      <w:r>
        <w:rPr>
          <w:szCs w:val="24"/>
          <w:shd w:val="clear" w:color="auto" w:fill="FFFFFF"/>
        </w:rPr>
        <w:t>“</w:t>
      </w:r>
      <w:r>
        <w:rPr>
          <w:szCs w:val="24"/>
          <w:shd w:val="clear" w:color="auto" w:fill="FFFFFF"/>
          <w:lang w:val="cs-CZ"/>
        </w:rPr>
        <w:t>Draudi izdarīt slepkavību un nodarīt smagu miesas bojājumu</w:t>
      </w:r>
      <w:r>
        <w:rPr>
          <w:szCs w:val="24"/>
          <w:shd w:val="clear" w:color="auto" w:fill="FFFFFF"/>
        </w:rPr>
        <w:t>”</w:t>
      </w:r>
      <w:r>
        <w:rPr>
          <w:szCs w:val="24"/>
          <w:shd w:val="clear" w:color="auto" w:fill="FFFFFF"/>
          <w:lang w:val="cs-CZ"/>
        </w:rPr>
        <w:t xml:space="preserve"> pirmās un otrās daļas,  </w:t>
      </w:r>
      <w:r w:rsidRPr="00601D8C">
        <w:rPr>
          <w:b/>
          <w:bCs/>
          <w:szCs w:val="24"/>
          <w:shd w:val="clear" w:color="auto" w:fill="FFFFFF"/>
          <w:lang w:val="cs-CZ"/>
        </w:rPr>
        <w:t>132.</w:t>
      </w:r>
      <w:r w:rsidRPr="00601D8C">
        <w:rPr>
          <w:b/>
          <w:bCs/>
          <w:szCs w:val="24"/>
          <w:shd w:val="clear" w:color="auto" w:fill="FFFFFF"/>
          <w:vertAlign w:val="superscript"/>
          <w:lang w:val="cs-CZ"/>
        </w:rPr>
        <w:t>1</w:t>
      </w:r>
      <w:r w:rsidRPr="00601D8C">
        <w:rPr>
          <w:b/>
          <w:bCs/>
          <w:szCs w:val="24"/>
          <w:shd w:val="clear" w:color="auto" w:fill="FFFFFF"/>
          <w:lang w:val="cs-CZ"/>
        </w:rPr>
        <w:t> panta</w:t>
      </w:r>
      <w:r>
        <w:rPr>
          <w:szCs w:val="24"/>
          <w:shd w:val="clear" w:color="auto" w:fill="FFFFFF"/>
          <w:lang w:val="cs-CZ"/>
        </w:rPr>
        <w:t xml:space="preserve"> </w:t>
      </w:r>
      <w:r>
        <w:rPr>
          <w:szCs w:val="24"/>
          <w:shd w:val="clear" w:color="auto" w:fill="FFFFFF"/>
        </w:rPr>
        <w:t>“</w:t>
      </w:r>
      <w:r>
        <w:rPr>
          <w:szCs w:val="24"/>
          <w:shd w:val="clear" w:color="auto" w:fill="FFFFFF"/>
          <w:lang w:val="cs-CZ"/>
        </w:rPr>
        <w:t>Vajāšana</w:t>
      </w:r>
      <w:r>
        <w:rPr>
          <w:szCs w:val="24"/>
          <w:shd w:val="clear" w:color="auto" w:fill="FFFFFF"/>
        </w:rPr>
        <w:t>”</w:t>
      </w:r>
      <w:r>
        <w:rPr>
          <w:szCs w:val="24"/>
          <w:shd w:val="clear" w:color="auto" w:fill="FFFFFF"/>
          <w:lang w:val="cs-CZ"/>
        </w:rPr>
        <w:t xml:space="preserve"> pirmās un otrās daļas,</w:t>
      </w:r>
      <w:r>
        <w:rPr>
          <w:lang w:val="cs-CZ"/>
        </w:rPr>
        <w:t xml:space="preserve"> </w:t>
      </w:r>
      <w:r w:rsidRPr="00601D8C">
        <w:rPr>
          <w:b/>
          <w:bCs/>
          <w:szCs w:val="24"/>
          <w:shd w:val="clear" w:color="auto" w:fill="FFFFFF"/>
          <w:lang w:val="cs-CZ"/>
        </w:rPr>
        <w:t>143.panta</w:t>
      </w:r>
      <w:r>
        <w:rPr>
          <w:szCs w:val="24"/>
          <w:shd w:val="clear" w:color="auto" w:fill="FFFFFF"/>
          <w:lang w:val="cs-CZ"/>
        </w:rPr>
        <w:t xml:space="preserve"> </w:t>
      </w:r>
      <w:r>
        <w:rPr>
          <w:szCs w:val="24"/>
          <w:shd w:val="clear" w:color="auto" w:fill="FFFFFF"/>
        </w:rPr>
        <w:t>“</w:t>
      </w:r>
      <w:r>
        <w:rPr>
          <w:szCs w:val="24"/>
          <w:shd w:val="clear" w:color="auto" w:fill="FFFFFF"/>
          <w:lang w:val="cs-CZ"/>
        </w:rPr>
        <w:t>Personas mājokļa neaizskaramības pārkāpšana</w:t>
      </w:r>
      <w:r>
        <w:rPr>
          <w:szCs w:val="24"/>
          <w:shd w:val="clear" w:color="auto" w:fill="FFFFFF"/>
        </w:rPr>
        <w:t>”</w:t>
      </w:r>
      <w:r>
        <w:rPr>
          <w:szCs w:val="24"/>
          <w:shd w:val="clear" w:color="auto" w:fill="FFFFFF"/>
          <w:lang w:val="cs-CZ"/>
        </w:rPr>
        <w:t xml:space="preserve"> otrās daļas, </w:t>
      </w:r>
      <w:r w:rsidRPr="00601D8C">
        <w:rPr>
          <w:b/>
          <w:bCs/>
          <w:szCs w:val="24"/>
          <w:shd w:val="clear" w:color="auto" w:fill="FFFFFF"/>
          <w:lang w:val="cs-CZ"/>
        </w:rPr>
        <w:t>147. panta</w:t>
      </w:r>
      <w:r>
        <w:rPr>
          <w:szCs w:val="24"/>
          <w:shd w:val="clear" w:color="auto" w:fill="FFFFFF"/>
          <w:lang w:val="cs-CZ"/>
        </w:rPr>
        <w:t xml:space="preserve"> </w:t>
      </w:r>
      <w:r>
        <w:rPr>
          <w:szCs w:val="24"/>
          <w:shd w:val="clear" w:color="auto" w:fill="FFFFFF"/>
        </w:rPr>
        <w:t>“</w:t>
      </w:r>
      <w:r>
        <w:rPr>
          <w:szCs w:val="24"/>
          <w:shd w:val="clear" w:color="auto" w:fill="FFFFFF"/>
          <w:lang w:val="cs-CZ"/>
        </w:rPr>
        <w:t>Izgudrotāja un dizainera tiesību pārkāpšana</w:t>
      </w:r>
      <w:r>
        <w:rPr>
          <w:szCs w:val="24"/>
          <w:shd w:val="clear" w:color="auto" w:fill="FFFFFF"/>
        </w:rPr>
        <w:t>”</w:t>
      </w:r>
      <w:r>
        <w:rPr>
          <w:szCs w:val="24"/>
          <w:shd w:val="clear" w:color="auto" w:fill="FFFFFF"/>
          <w:lang w:val="cs-CZ"/>
        </w:rPr>
        <w:t xml:space="preserve"> otrās daļas, </w:t>
      </w:r>
      <w:r w:rsidRPr="00601D8C">
        <w:rPr>
          <w:b/>
          <w:bCs/>
          <w:szCs w:val="24"/>
          <w:shd w:val="clear" w:color="auto" w:fill="FFFFFF"/>
          <w:lang w:val="cs-CZ"/>
        </w:rPr>
        <w:t>153. panta</w:t>
      </w:r>
      <w:r>
        <w:rPr>
          <w:szCs w:val="24"/>
          <w:shd w:val="clear" w:color="auto" w:fill="FFFFFF"/>
          <w:lang w:val="cs-CZ"/>
        </w:rPr>
        <w:t xml:space="preserve"> </w:t>
      </w:r>
      <w:r>
        <w:rPr>
          <w:szCs w:val="24"/>
          <w:shd w:val="clear" w:color="auto" w:fill="FFFFFF"/>
        </w:rPr>
        <w:t>“</w:t>
      </w:r>
      <w:r>
        <w:rPr>
          <w:szCs w:val="24"/>
          <w:shd w:val="clear" w:color="auto" w:fill="FFFFFF"/>
          <w:lang w:val="cs-CZ"/>
        </w:rPr>
        <w:t>Personas nolaupīšana</w:t>
      </w:r>
      <w:r>
        <w:rPr>
          <w:szCs w:val="24"/>
          <w:shd w:val="clear" w:color="auto" w:fill="FFFFFF"/>
        </w:rPr>
        <w:t>”</w:t>
      </w:r>
      <w:r>
        <w:rPr>
          <w:szCs w:val="24"/>
          <w:shd w:val="clear" w:color="auto" w:fill="FFFFFF"/>
          <w:lang w:val="cs-CZ"/>
        </w:rPr>
        <w:t xml:space="preserve"> pirmās daļas, </w:t>
      </w:r>
      <w:r w:rsidRPr="00601D8C">
        <w:rPr>
          <w:b/>
          <w:bCs/>
          <w:szCs w:val="24"/>
          <w:shd w:val="clear" w:color="auto" w:fill="FFFFFF"/>
          <w:lang w:val="cs-CZ"/>
        </w:rPr>
        <w:t>174. panta</w:t>
      </w:r>
      <w:r>
        <w:rPr>
          <w:szCs w:val="24"/>
          <w:shd w:val="clear" w:color="auto" w:fill="FFFFFF"/>
          <w:lang w:val="cs-CZ"/>
        </w:rPr>
        <w:t xml:space="preserve"> </w:t>
      </w:r>
      <w:r>
        <w:rPr>
          <w:szCs w:val="24"/>
          <w:shd w:val="clear" w:color="auto" w:fill="FFFFFF"/>
        </w:rPr>
        <w:t>“</w:t>
      </w:r>
      <w:r>
        <w:rPr>
          <w:szCs w:val="24"/>
          <w:shd w:val="clear" w:color="auto" w:fill="FFFFFF"/>
          <w:lang w:val="cs-CZ"/>
        </w:rPr>
        <w:t>Cietsirdība un vardarbība pret nepilngadīgo</w:t>
      </w:r>
      <w:r>
        <w:rPr>
          <w:szCs w:val="24"/>
          <w:shd w:val="clear" w:color="auto" w:fill="FFFFFF"/>
        </w:rPr>
        <w:t>”</w:t>
      </w:r>
      <w:r>
        <w:rPr>
          <w:szCs w:val="24"/>
          <w:shd w:val="clear" w:color="auto" w:fill="FFFFFF"/>
          <w:lang w:val="cs-CZ"/>
        </w:rPr>
        <w:t xml:space="preserve"> pirmās un otrās daļas, </w:t>
      </w:r>
      <w:r w:rsidRPr="00601D8C">
        <w:rPr>
          <w:b/>
          <w:bCs/>
          <w:szCs w:val="24"/>
          <w:shd w:val="clear" w:color="auto" w:fill="FFFFFF"/>
          <w:lang w:val="cs-CZ"/>
        </w:rPr>
        <w:t>269.panta</w:t>
      </w:r>
      <w:r>
        <w:rPr>
          <w:szCs w:val="24"/>
          <w:shd w:val="clear" w:color="auto" w:fill="FFFFFF"/>
          <w:lang w:val="cs-CZ"/>
        </w:rPr>
        <w:t xml:space="preserve"> </w:t>
      </w:r>
      <w:r>
        <w:rPr>
          <w:szCs w:val="24"/>
          <w:shd w:val="clear" w:color="auto" w:fill="FFFFFF"/>
        </w:rPr>
        <w:t>“</w:t>
      </w:r>
      <w:r>
        <w:rPr>
          <w:szCs w:val="24"/>
          <w:shd w:val="clear" w:color="auto" w:fill="FFFFFF"/>
          <w:lang w:val="cs-CZ"/>
        </w:rPr>
        <w:t>Uzbrukums varas pārstāvim un citai valsts amatpersonai</w:t>
      </w:r>
      <w:r>
        <w:rPr>
          <w:szCs w:val="24"/>
          <w:shd w:val="clear" w:color="auto" w:fill="FFFFFF"/>
        </w:rPr>
        <w:t>”</w:t>
      </w:r>
      <w:r>
        <w:rPr>
          <w:szCs w:val="24"/>
          <w:shd w:val="clear" w:color="auto" w:fill="FFFFFF"/>
          <w:lang w:val="cs-CZ"/>
        </w:rPr>
        <w:t xml:space="preserve"> pirmās daļas, </w:t>
      </w:r>
      <w:r w:rsidRPr="00601D8C">
        <w:rPr>
          <w:b/>
          <w:bCs/>
          <w:szCs w:val="24"/>
          <w:shd w:val="clear" w:color="auto" w:fill="FFFFFF"/>
          <w:lang w:val="cs-CZ"/>
        </w:rPr>
        <w:t>270. panta</w:t>
      </w:r>
      <w:r>
        <w:rPr>
          <w:szCs w:val="24"/>
          <w:shd w:val="clear" w:color="auto" w:fill="FFFFFF"/>
          <w:lang w:val="cs-CZ"/>
        </w:rPr>
        <w:t xml:space="preserve"> </w:t>
      </w:r>
      <w:r>
        <w:rPr>
          <w:szCs w:val="24"/>
          <w:shd w:val="clear" w:color="auto" w:fill="FFFFFF"/>
        </w:rPr>
        <w:t>“</w:t>
      </w:r>
      <w:r>
        <w:rPr>
          <w:szCs w:val="24"/>
          <w:shd w:val="clear" w:color="auto" w:fill="FFFFFF"/>
          <w:lang w:val="cs-CZ"/>
        </w:rPr>
        <w:t>Pretošanās varas pārstāvim un citai valsts amatpersonai</w:t>
      </w:r>
      <w:r>
        <w:rPr>
          <w:szCs w:val="24"/>
          <w:shd w:val="clear" w:color="auto" w:fill="FFFFFF"/>
        </w:rPr>
        <w:t>”</w:t>
      </w:r>
      <w:r>
        <w:rPr>
          <w:szCs w:val="24"/>
          <w:shd w:val="clear" w:color="auto" w:fill="FFFFFF"/>
          <w:lang w:val="cs-CZ"/>
        </w:rPr>
        <w:t xml:space="preserve"> pirmās un  otrās daļas, </w:t>
      </w:r>
      <w:r w:rsidRPr="00601D8C">
        <w:rPr>
          <w:b/>
          <w:bCs/>
          <w:szCs w:val="24"/>
          <w:shd w:val="clear" w:color="auto" w:fill="FFFFFF"/>
          <w:lang w:val="cs-CZ"/>
        </w:rPr>
        <w:t>272.</w:t>
      </w:r>
      <w:r w:rsidRPr="00601D8C">
        <w:rPr>
          <w:b/>
          <w:bCs/>
          <w:szCs w:val="24"/>
          <w:shd w:val="clear" w:color="auto" w:fill="FFFFFF"/>
          <w:vertAlign w:val="superscript"/>
          <w:lang w:val="cs-CZ"/>
        </w:rPr>
        <w:t>1</w:t>
      </w:r>
      <w:r w:rsidRPr="00601D8C">
        <w:rPr>
          <w:b/>
          <w:bCs/>
          <w:szCs w:val="24"/>
          <w:shd w:val="clear" w:color="auto" w:fill="FFFFFF"/>
          <w:lang w:val="cs-CZ"/>
        </w:rPr>
        <w:t xml:space="preserve"> panta</w:t>
      </w:r>
      <w:r>
        <w:rPr>
          <w:szCs w:val="24"/>
          <w:shd w:val="clear" w:color="auto" w:fill="FFFFFF"/>
          <w:lang w:val="cs-CZ"/>
        </w:rPr>
        <w:t xml:space="preserve"> </w:t>
      </w:r>
      <w:r>
        <w:rPr>
          <w:szCs w:val="24"/>
          <w:shd w:val="clear" w:color="auto" w:fill="FFFFFF"/>
        </w:rPr>
        <w:t>“</w:t>
      </w:r>
      <w:r>
        <w:rPr>
          <w:szCs w:val="24"/>
          <w:shd w:val="clear" w:color="auto" w:fill="FFFFFF"/>
          <w:lang w:val="cs-CZ"/>
        </w:rPr>
        <w:t>Piespiešana dot nepatiesu paskaidrojumu, atzinumu vai tulkojumu parlamentārās izmeklēšanas komisijai</w:t>
      </w:r>
      <w:r>
        <w:rPr>
          <w:szCs w:val="24"/>
          <w:shd w:val="clear" w:color="auto" w:fill="FFFFFF"/>
        </w:rPr>
        <w:t>”</w:t>
      </w:r>
      <w:r>
        <w:rPr>
          <w:szCs w:val="24"/>
          <w:shd w:val="clear" w:color="auto" w:fill="FFFFFF"/>
          <w:lang w:val="cs-CZ"/>
        </w:rPr>
        <w:t xml:space="preserve"> otrās daļas, </w:t>
      </w:r>
      <w:r w:rsidRPr="00601D8C">
        <w:rPr>
          <w:b/>
          <w:bCs/>
          <w:szCs w:val="24"/>
          <w:shd w:val="clear" w:color="auto" w:fill="FFFFFF"/>
          <w:lang w:val="cs-CZ"/>
        </w:rPr>
        <w:t>279. panta</w:t>
      </w:r>
      <w:r>
        <w:rPr>
          <w:szCs w:val="24"/>
          <w:shd w:val="clear" w:color="auto" w:fill="FFFFFF"/>
          <w:lang w:val="cs-CZ"/>
        </w:rPr>
        <w:t xml:space="preserve"> </w:t>
      </w:r>
      <w:r>
        <w:rPr>
          <w:szCs w:val="24"/>
          <w:shd w:val="clear" w:color="auto" w:fill="FFFFFF"/>
        </w:rPr>
        <w:t>“</w:t>
      </w:r>
      <w:r>
        <w:rPr>
          <w:szCs w:val="24"/>
          <w:shd w:val="clear" w:color="auto" w:fill="FFFFFF"/>
          <w:lang w:val="cs-CZ"/>
        </w:rPr>
        <w:t>Patvarība</w:t>
      </w:r>
      <w:r>
        <w:rPr>
          <w:szCs w:val="24"/>
          <w:shd w:val="clear" w:color="auto" w:fill="FFFFFF"/>
        </w:rPr>
        <w:t>”</w:t>
      </w:r>
      <w:r>
        <w:rPr>
          <w:szCs w:val="24"/>
          <w:shd w:val="clear" w:color="auto" w:fill="FFFFFF"/>
          <w:lang w:val="cs-CZ"/>
        </w:rPr>
        <w:t xml:space="preserve"> trešās daļas sankcijas </w:t>
      </w:r>
      <w:bookmarkStart w:id="4" w:name="_Hlk153359571"/>
      <w:r>
        <w:rPr>
          <w:szCs w:val="24"/>
          <w:shd w:val="clear" w:color="auto" w:fill="FFFFFF"/>
          <w:lang w:val="cs-CZ"/>
        </w:rPr>
        <w:t xml:space="preserve">izslēgt sodu </w:t>
      </w:r>
      <w:r>
        <w:rPr>
          <w:rFonts w:eastAsia="Times New Roman"/>
          <w:color w:val="000000"/>
          <w:szCs w:val="24"/>
          <w:shd w:val="clear" w:color="auto" w:fill="FFFFFF"/>
          <w:lang w:eastAsia="lv-LV" w:bidi="my-MM"/>
        </w:rPr>
        <w:t xml:space="preserve">– </w:t>
      </w:r>
      <w:r>
        <w:rPr>
          <w:szCs w:val="24"/>
          <w:shd w:val="clear" w:color="auto" w:fill="FFFFFF"/>
          <w:lang w:val="cs-CZ"/>
        </w:rPr>
        <w:t>sabiedriskais darbs un naudas sods.</w:t>
      </w:r>
      <w:bookmarkEnd w:id="4"/>
    </w:p>
    <w:p w14:paraId="6A27D83F" w14:textId="77777777" w:rsidR="008A684A" w:rsidRPr="00063CA2" w:rsidRDefault="008A684A" w:rsidP="008A684A">
      <w:pPr>
        <w:rPr>
          <w:bCs/>
          <w:szCs w:val="24"/>
          <w:shd w:val="clear" w:color="auto" w:fill="FFFFFF"/>
        </w:rPr>
      </w:pPr>
      <w:r>
        <w:rPr>
          <w:szCs w:val="24"/>
          <w:shd w:val="clear" w:color="auto" w:fill="FFFFFF"/>
          <w:lang w:val="cs-CZ"/>
        </w:rPr>
        <w:t xml:space="preserve">Grozījumi paredz no </w:t>
      </w:r>
      <w:r w:rsidRPr="00601D8C">
        <w:rPr>
          <w:b/>
          <w:bCs/>
          <w:szCs w:val="24"/>
          <w:shd w:val="clear" w:color="auto" w:fill="FFFFFF"/>
          <w:lang w:val="cs-CZ"/>
        </w:rPr>
        <w:t>KL 149.</w:t>
      </w:r>
      <w:r w:rsidRPr="00601D8C">
        <w:rPr>
          <w:b/>
          <w:bCs/>
          <w:szCs w:val="24"/>
          <w:shd w:val="clear" w:color="auto" w:fill="FFFFFF"/>
          <w:vertAlign w:val="superscript"/>
          <w:lang w:val="cs-CZ"/>
        </w:rPr>
        <w:t>1</w:t>
      </w:r>
      <w:r w:rsidRPr="00601D8C">
        <w:rPr>
          <w:b/>
          <w:bCs/>
          <w:szCs w:val="24"/>
          <w:shd w:val="clear" w:color="auto" w:fill="FFFFFF"/>
          <w:lang w:val="cs-CZ"/>
        </w:rPr>
        <w:t xml:space="preserve"> panta</w:t>
      </w:r>
      <w:r>
        <w:rPr>
          <w:rFonts w:eastAsia="Times New Roman"/>
          <w:bCs/>
          <w:sz w:val="28"/>
          <w:szCs w:val="28"/>
          <w:lang w:val="cs-CZ" w:eastAsia="lv-LV"/>
        </w:rPr>
        <w:t xml:space="preserve"> </w:t>
      </w:r>
      <w:r>
        <w:rPr>
          <w:bCs/>
          <w:szCs w:val="24"/>
          <w:shd w:val="clear" w:color="auto" w:fill="FFFFFF"/>
        </w:rPr>
        <w:t xml:space="preserve">otrās daļas dispozīcijā izslēgt vārdus “vai par šā panta pirmajā daļā paredzētajām darbībām, ja tās saistītas ar spīdzināšanu”, nosakot par šīm darbībām kriminālatbildību jaunajā </w:t>
      </w:r>
      <w:r>
        <w:rPr>
          <w:szCs w:val="24"/>
          <w:shd w:val="clear" w:color="auto" w:fill="FFFFFF"/>
          <w:lang w:val="cs-CZ"/>
        </w:rPr>
        <w:t>KL 149.</w:t>
      </w:r>
      <w:r>
        <w:rPr>
          <w:szCs w:val="24"/>
          <w:shd w:val="clear" w:color="auto" w:fill="FFFFFF"/>
          <w:vertAlign w:val="superscript"/>
          <w:lang w:val="cs-CZ"/>
        </w:rPr>
        <w:t>1</w:t>
      </w:r>
      <w:r>
        <w:rPr>
          <w:szCs w:val="24"/>
          <w:shd w:val="clear" w:color="auto" w:fill="FFFFFF"/>
          <w:lang w:val="cs-CZ"/>
        </w:rPr>
        <w:t xml:space="preserve"> panta</w:t>
      </w:r>
      <w:r>
        <w:rPr>
          <w:rFonts w:eastAsia="Times New Roman"/>
          <w:bCs/>
          <w:sz w:val="28"/>
          <w:szCs w:val="28"/>
          <w:lang w:val="cs-CZ" w:eastAsia="lv-LV"/>
        </w:rPr>
        <w:t xml:space="preserve"> </w:t>
      </w:r>
      <w:r>
        <w:rPr>
          <w:bCs/>
          <w:szCs w:val="24"/>
          <w:shd w:val="clear" w:color="auto" w:fill="FFFFFF"/>
        </w:rPr>
        <w:t>trešajā daļā, tādējādi pastiprinot kriminālatbildību par diskriminācijas aizlieguma pārkāpšanu, ja tā saistīta ar spīdzināšanu, kā arī ja tā saistīta ar vardarbību vai draudiem. Grozījumi ir veidoti pēc līdzības ar KL 150. panta “Sociālā naida un nesaticības izraisīšana” trešās daļas dispozīciju. Jaunajā KL 149.</w:t>
      </w:r>
      <w:r>
        <w:rPr>
          <w:bCs/>
          <w:szCs w:val="24"/>
          <w:shd w:val="clear" w:color="auto" w:fill="FFFFFF"/>
          <w:vertAlign w:val="superscript"/>
        </w:rPr>
        <w:t>1</w:t>
      </w:r>
      <w:r>
        <w:rPr>
          <w:bCs/>
          <w:szCs w:val="24"/>
          <w:shd w:val="clear" w:color="auto" w:fill="FFFFFF"/>
        </w:rPr>
        <w:t xml:space="preserve"> panta trešajā daļā </w:t>
      </w:r>
      <w:r>
        <w:rPr>
          <w:rFonts w:eastAsia="Times New Roman"/>
          <w:color w:val="000000"/>
          <w:szCs w:val="24"/>
          <w:shd w:val="clear" w:color="auto" w:fill="FFFFFF"/>
          <w:lang w:eastAsia="lv-LV" w:bidi="my-MM"/>
        </w:rPr>
        <w:t>netiek paredzēti brīvības atņemšanai alternatīvie sodi – sabiedriskais darbs un naudas sods. Tādējādi tiek pastiprināta atbildība par šādām ar vardarbību saistītām kvalificējošām pazīmēm.</w:t>
      </w:r>
    </w:p>
    <w:p w14:paraId="159FEAF7" w14:textId="77777777" w:rsidR="008A684A" w:rsidRPr="00063CA2" w:rsidRDefault="008A684A" w:rsidP="008A684A">
      <w:pPr>
        <w:rPr>
          <w:bCs/>
          <w:szCs w:val="24"/>
          <w:shd w:val="clear" w:color="auto" w:fill="FFFFFF"/>
        </w:rPr>
      </w:pPr>
      <w:r>
        <w:rPr>
          <w:szCs w:val="24"/>
          <w:shd w:val="clear" w:color="auto" w:fill="FFFFFF"/>
          <w:lang w:val="cs-CZ"/>
        </w:rPr>
        <w:t xml:space="preserve">Grozījumos paredzēts pēc līdzības ar KL </w:t>
      </w:r>
      <w:r>
        <w:rPr>
          <w:bCs/>
          <w:szCs w:val="24"/>
          <w:shd w:val="clear" w:color="auto" w:fill="FFFFFF"/>
        </w:rPr>
        <w:t>149.</w:t>
      </w:r>
      <w:r>
        <w:rPr>
          <w:bCs/>
          <w:szCs w:val="24"/>
          <w:shd w:val="clear" w:color="auto" w:fill="FFFFFF"/>
          <w:vertAlign w:val="superscript"/>
        </w:rPr>
        <w:t>1</w:t>
      </w:r>
      <w:r>
        <w:rPr>
          <w:bCs/>
          <w:szCs w:val="24"/>
          <w:shd w:val="clear" w:color="auto" w:fill="FFFFFF"/>
        </w:rPr>
        <w:t xml:space="preserve"> pantu papildināt </w:t>
      </w:r>
      <w:r w:rsidRPr="00601D8C">
        <w:rPr>
          <w:b/>
          <w:szCs w:val="24"/>
          <w:shd w:val="clear" w:color="auto" w:fill="FFFFFF"/>
        </w:rPr>
        <w:t>KL 150. panta</w:t>
      </w:r>
      <w:r>
        <w:rPr>
          <w:bCs/>
          <w:szCs w:val="24"/>
          <w:shd w:val="clear" w:color="auto" w:fill="FFFFFF"/>
        </w:rPr>
        <w:t xml:space="preserve"> trešās daļas dispozīciju ar kvalificējošo pazīmi – spīdzināšana, tādējādi nosakot un pastiprinot kriminālatbildību </w:t>
      </w:r>
      <w:bookmarkStart w:id="5" w:name="_Hlk153360881"/>
      <w:r>
        <w:rPr>
          <w:bCs/>
          <w:szCs w:val="24"/>
          <w:shd w:val="clear" w:color="auto" w:fill="FFFFFF"/>
        </w:rPr>
        <w:t>par sociālā naida un nesaticības izraisīšana</w:t>
      </w:r>
      <w:bookmarkEnd w:id="5"/>
      <w:r>
        <w:rPr>
          <w:bCs/>
          <w:szCs w:val="24"/>
          <w:shd w:val="clear" w:color="auto" w:fill="FFFFFF"/>
        </w:rPr>
        <w:t>,</w:t>
      </w:r>
      <w:r>
        <w:t xml:space="preserve"> </w:t>
      </w:r>
      <w:r>
        <w:rPr>
          <w:bCs/>
          <w:szCs w:val="24"/>
          <w:shd w:val="clear" w:color="auto" w:fill="FFFFFF"/>
        </w:rPr>
        <w:t xml:space="preserve">ja tā saistīta ar spīdzināšanu. Vienlaikus priekšlikums paredz no KL 150. panta trešās daļas </w:t>
      </w:r>
      <w:r>
        <w:rPr>
          <w:rFonts w:eastAsia="Times New Roman"/>
          <w:color w:val="000000"/>
          <w:szCs w:val="24"/>
          <w:shd w:val="clear" w:color="auto" w:fill="FFFFFF"/>
          <w:lang w:eastAsia="lv-LV" w:bidi="my-MM"/>
        </w:rPr>
        <w:t>izslēgt brīvības atņemšanai alternatīvos sodus – sabiedriskais darbs un naudas sods. Tādējādi tiek pastiprināta atbildība par  sociālā naida un nesaticības izraisīšana,</w:t>
      </w:r>
      <w:r>
        <w:t xml:space="preserve"> </w:t>
      </w:r>
      <w:r>
        <w:rPr>
          <w:rFonts w:eastAsia="Times New Roman"/>
          <w:color w:val="000000"/>
          <w:szCs w:val="24"/>
          <w:shd w:val="clear" w:color="auto" w:fill="FFFFFF"/>
          <w:lang w:eastAsia="lv-LV" w:bidi="my-MM"/>
        </w:rPr>
        <w:t xml:space="preserve">ja tā saistīta ar vardarbību vai draudiem, vai ja tā saistīta ar spīdzināšanu, vai ja to izdarījusi organizēta grupa. </w:t>
      </w:r>
    </w:p>
    <w:p w14:paraId="3305C5CC" w14:textId="77777777" w:rsidR="008A684A" w:rsidRDefault="008A684A" w:rsidP="008A684A">
      <w:pPr>
        <w:rPr>
          <w:rFonts w:eastAsia="Times New Roman"/>
          <w:color w:val="000000"/>
          <w:szCs w:val="24"/>
          <w:shd w:val="clear" w:color="auto" w:fill="FFFFFF"/>
          <w:lang w:eastAsia="lv-LV" w:bidi="my-MM"/>
        </w:rPr>
      </w:pPr>
      <w:r>
        <w:rPr>
          <w:szCs w:val="24"/>
          <w:shd w:val="clear" w:color="auto" w:fill="FFFFFF"/>
          <w:lang w:val="cs-CZ"/>
        </w:rPr>
        <w:lastRenderedPageBreak/>
        <w:t xml:space="preserve">Grozījumi paredz </w:t>
      </w:r>
      <w:r w:rsidRPr="00601D8C">
        <w:rPr>
          <w:b/>
          <w:bCs/>
          <w:szCs w:val="24"/>
          <w:shd w:val="clear" w:color="auto" w:fill="FFFFFF"/>
          <w:lang w:val="cs-CZ"/>
        </w:rPr>
        <w:t>KL 152. pantā</w:t>
      </w:r>
      <w:r>
        <w:rPr>
          <w:szCs w:val="24"/>
          <w:shd w:val="clear" w:color="auto" w:fill="FFFFFF"/>
          <w:lang w:val="cs-CZ"/>
        </w:rPr>
        <w:t xml:space="preserve"> pastiprināt kriminālatbildību par nelikumīgu brīvības atņemšanu. Proti, KL 152. panta pirmajā daļā nosakot brīvības atņemšanas sodu līdz vienam gadam. Savukārt </w:t>
      </w:r>
      <w:r>
        <w:rPr>
          <w:bCs/>
          <w:szCs w:val="24"/>
          <w:shd w:val="clear" w:color="auto" w:fill="FFFFFF"/>
        </w:rPr>
        <w:t xml:space="preserve">KL 152. panta otrajā daļā </w:t>
      </w:r>
      <w:r>
        <w:rPr>
          <w:rFonts w:eastAsia="Times New Roman"/>
          <w:color w:val="000000"/>
          <w:szCs w:val="24"/>
          <w:shd w:val="clear" w:color="auto" w:fill="FFFFFF"/>
          <w:lang w:eastAsia="lv-LV" w:bidi="my-MM"/>
        </w:rPr>
        <w:t>izslēdzot brīvības atņemšanai alternatīvo sodu – sabiedriskais darbs un naudas sods.</w:t>
      </w:r>
    </w:p>
    <w:p w14:paraId="7F81E232" w14:textId="77777777" w:rsidR="008A684A" w:rsidRPr="0080025C" w:rsidRDefault="008A684A" w:rsidP="008A684A">
      <w:pPr>
        <w:ind w:firstLine="0"/>
      </w:pPr>
    </w:p>
    <w:p w14:paraId="34CF961F" w14:textId="77777777" w:rsidR="008A684A" w:rsidRDefault="008A684A" w:rsidP="008A684A">
      <w:pPr>
        <w:rPr>
          <w:szCs w:val="24"/>
          <w:shd w:val="clear" w:color="auto" w:fill="FFFFFF"/>
        </w:rPr>
      </w:pPr>
      <w:r>
        <w:rPr>
          <w:szCs w:val="24"/>
          <w:shd w:val="clear" w:color="auto" w:fill="FFFFFF"/>
          <w:lang w:val="cs-CZ"/>
        </w:rPr>
        <w:t xml:space="preserve">Ar grozījumiem paredzēts papildināt KL ar jaunu </w:t>
      </w:r>
      <w:r w:rsidRPr="00601D8C">
        <w:rPr>
          <w:b/>
          <w:bCs/>
          <w:szCs w:val="24"/>
          <w:shd w:val="clear" w:color="auto" w:fill="FFFFFF"/>
        </w:rPr>
        <w:t>174.</w:t>
      </w:r>
      <w:r w:rsidRPr="00601D8C">
        <w:rPr>
          <w:b/>
          <w:bCs/>
          <w:szCs w:val="24"/>
          <w:shd w:val="clear" w:color="auto" w:fill="FFFFFF"/>
          <w:vertAlign w:val="superscript"/>
        </w:rPr>
        <w:t>1</w:t>
      </w:r>
      <w:r w:rsidRPr="00601D8C">
        <w:rPr>
          <w:b/>
          <w:bCs/>
          <w:szCs w:val="24"/>
          <w:shd w:val="clear" w:color="auto" w:fill="FFFFFF"/>
        </w:rPr>
        <w:t xml:space="preserve"> pantu</w:t>
      </w:r>
      <w:r>
        <w:rPr>
          <w:szCs w:val="24"/>
          <w:shd w:val="clear" w:color="auto" w:fill="FFFFFF"/>
        </w:rPr>
        <w:t xml:space="preserve"> “Cietsirdība un vardarbība pret tuvinieku”, kurā paredzēta kriminālatbildība par cietsirdīgu vai vardarbīgu apiešanos ar personu, ar kuru noziedzīgā nodarījuma izdarītājs ir pirmajā vai otrajā radniecības pakāpē, vai pret laulāto vai bijušo laulāto, vai pret personu, ar kuru noziedzīgā nodarījuma izdarītājs ir vai ir bijis pastāvīgās intīmās attiecībās, vai pret personu, ar kuru noziedzīgā nodarījuma izdarītājam ir kopīga (nedalīta) saimniecība</w:t>
      </w:r>
      <w:r w:rsidRPr="00231786">
        <w:t xml:space="preserve"> </w:t>
      </w:r>
      <w:r>
        <w:t>ar to minētai personai nodarītas psihiskas vai fiziskas ciešanas. Līdz ar to attiecīgi grozījumi paredz papildus noteikt, ka KL 174.</w:t>
      </w:r>
      <w:r>
        <w:rPr>
          <w:vertAlign w:val="superscript"/>
        </w:rPr>
        <w:t>1</w:t>
      </w:r>
      <w:r>
        <w:t xml:space="preserve"> pants ir piemērojams, ja ar minētajām darbībām nav radītas KL 125., 126. vai 130. pantā paredzētās sekas. </w:t>
      </w:r>
      <w:r>
        <w:rPr>
          <w:szCs w:val="24"/>
          <w:shd w:val="clear" w:color="auto" w:fill="FFFFFF"/>
        </w:rPr>
        <w:t>Par šādu noziedzīgu nodarījumu paredzēts sodīt ar brīvības atņemšanu uz laiku līdz trim gadiem vai ar īslaicīgu brīvības atņemšanu, vai ar probācijas uzraudzību.</w:t>
      </w:r>
    </w:p>
    <w:p w14:paraId="1ABEE3C7" w14:textId="77777777" w:rsidR="008A684A" w:rsidRDefault="008A684A" w:rsidP="008A684A">
      <w:pPr>
        <w:rPr>
          <w:szCs w:val="24"/>
          <w:shd w:val="clear" w:color="auto" w:fill="FFFFFF"/>
        </w:rPr>
      </w:pPr>
      <w:r>
        <w:rPr>
          <w:szCs w:val="24"/>
          <w:shd w:val="clear" w:color="auto" w:fill="FFFFFF"/>
        </w:rPr>
        <w:t xml:space="preserve">Latvijas juridiskās psiholoģijas asociācija vērsa Tieslietu ministrijas uzmanību uz to, ka, lai nodrošinātu nulles toleranci pret vardarbību ģimenē, vēlams KL noteikt atsevišķu pantu, kas paredz kriminālatbildību par vardarbību, kas veikta ģimenē/partnerattiecībās. Kā jau iepriekš norādīts vardarbība partnerattiecībās ir specifisks vardarbības veids ar savu iekšējo psiholoģisko dinamiku un tā pārsvarā ir sistemātiska un ilgstoša, kā arī tā iekļauj daudzas dažādas vardarbīgas rīcības formas.  Līdz ar to Tieslietu ministrija jau ir piedāvājusi KL paredzēt atsevišķu likuma pantu par vardarbību partnerattiecībās, kas cietušajam rada psihiskas ciešanas, kvalificējot noziedzīgo nodarījumu pēc vardarbīgās rīcības kopuma. Vienlaikus, tā kā vardarbību partnerattiecībās/ģimenē specifisku padara pastāvošā emocionālā saikne starp varmāku un cietušo, kas nosaka šim vardarbības veidam specifisku dinamiku un ierobežo cietušās personas spējas pretoties vai izrādīt pretestību vardarbībai un tā iekļauj dažāda veida vardarbīgas uzvedības formas, ko vieno kopīga pazīme –  mērķis nodarīt sāpes vai realizēt savu varu pār cietušo personu, kura nespēj pilnā mērā aizsargāties. Turklāt vardarbībai ir tendence atkārtoties un kļūt smagākai laika gaitā, kas rada riskus cietušajai personai. </w:t>
      </w:r>
      <w:r>
        <w:t xml:space="preserve">Pantā nosakot fizisku ciešanu nodarīšanu, tiks panākts, ka tas aptvers </w:t>
      </w:r>
      <w:r>
        <w:rPr>
          <w:szCs w:val="24"/>
          <w:shd w:val="clear" w:color="auto" w:fill="FFFFFF"/>
        </w:rPr>
        <w:t xml:space="preserve">vardarbību ģimenē/partnerattiecībās konceptuāli pēc analoģijas ar KL 174. pantu, kas </w:t>
      </w:r>
      <w:proofErr w:type="spellStart"/>
      <w:r>
        <w:rPr>
          <w:szCs w:val="24"/>
          <w:shd w:val="clear" w:color="auto" w:fill="FFFFFF"/>
        </w:rPr>
        <w:t>kriminalizē</w:t>
      </w:r>
      <w:proofErr w:type="spellEnd"/>
      <w:r>
        <w:rPr>
          <w:szCs w:val="24"/>
          <w:shd w:val="clear" w:color="auto" w:fill="FFFFFF"/>
        </w:rPr>
        <w:t xml:space="preserve"> vardarbīgu un cietsirdīgu izturēšanos pret nepilngadīgajiem, kas sevī ietver gan fizisku, gan psihisku ciešanu nodarīšanu. Minētais cietušajiem rada signālu vērsties policijā par jebkāda veida vardarbību, arī, ja tā nesasniedz mazāk smagu miesas bojājumu nodarīšanu un sniedz signālu, ka vardarbība nav ģimenes iekšējā lieta, bet krimināli sodāma darbība. </w:t>
      </w:r>
    </w:p>
    <w:p w14:paraId="28350BD5" w14:textId="77777777" w:rsidR="008A684A" w:rsidRDefault="008A684A" w:rsidP="008A684A">
      <w:r>
        <w:rPr>
          <w:szCs w:val="24"/>
          <w:shd w:val="clear" w:color="auto" w:fill="FFFFFF"/>
        </w:rPr>
        <w:t>Norādāms, ka tiesību normu piemērotājiem</w:t>
      </w:r>
      <w:r>
        <w:rPr>
          <w:szCs w:val="24"/>
        </w:rPr>
        <w:t xml:space="preserve"> </w:t>
      </w:r>
      <w:r>
        <w:rPr>
          <w:szCs w:val="24"/>
          <w:shd w:val="clear" w:color="auto" w:fill="FFFFFF"/>
        </w:rPr>
        <w:t>terminoloģija “nodarītas fiziskas vai psihiskas ciešanas” ir zināma un tiek lietota praksē. Tāpat zināma ir tiesību normas piemērošanas prakse fizisku un psihisku ciešanu konstatācijas gadījumā, piemērojot minēto KL 174. pantu attiecībā uz nepilngadīgām personām, proti, šai gadījumā KL 174.</w:t>
      </w:r>
      <w:r>
        <w:rPr>
          <w:szCs w:val="24"/>
          <w:shd w:val="clear" w:color="auto" w:fill="FFFFFF"/>
          <w:vertAlign w:val="superscript"/>
        </w:rPr>
        <w:t>1</w:t>
      </w:r>
      <w:r>
        <w:rPr>
          <w:szCs w:val="24"/>
          <w:shd w:val="clear" w:color="auto" w:fill="FFFFFF"/>
        </w:rPr>
        <w:t xml:space="preserve"> pantā ir nostiprināta daļa no KL 174. panta dispozīcijas un kā atšķirība piemērošanā būs, ka minētais vērtējams gadījumos, kad nodarījums izdarīts pret tuvinieku. Vienlaikus </w:t>
      </w:r>
      <w:r>
        <w:rPr>
          <w:szCs w:val="24"/>
        </w:rPr>
        <w:t xml:space="preserve">saskaņā ar prof. V. </w:t>
      </w:r>
      <w:proofErr w:type="spellStart"/>
      <w:r>
        <w:rPr>
          <w:szCs w:val="24"/>
        </w:rPr>
        <w:t>Liholajas</w:t>
      </w:r>
      <w:proofErr w:type="spellEnd"/>
      <w:r>
        <w:rPr>
          <w:szCs w:val="24"/>
        </w:rPr>
        <w:t xml:space="preserve"> KL 174. panta komentāriem krimināltiesībās vardarbību iedala fiziskā (enerģētiskā, mehāniskā) un psihiskā (emocionālā,  informatīvā) vardarbībā. Fiziskā vardarbība izpaužas kā spēka lietošana ikvienā veidā un izmantojot</w:t>
      </w:r>
      <w:r>
        <w:t xml:space="preserve"> jebkādus līdzekļus un paņēmienus. Tā varbūt vardarbība, kas izraisa fiziskas sāpes – sišana, piekaušana, spīdzināšana, mocīšana, maznozīmīgu miesas bojājumu nodarīšanu. Fiziskā vardarbība var izpausties arī bez fizisku sāpju un </w:t>
      </w:r>
      <w:r>
        <w:lastRenderedPageBreak/>
        <w:t>miesas bojājumu nodarīšanas, kad vainīgais ierobežo cietušā kustību vai pārvietošanās brīvību, sasienot, izolējot kādā slēgtā telpā, turot cietušo, pagrūžot vai atgrūžot vai kā citādi lietojot fizisku spēku.</w:t>
      </w:r>
      <w:r>
        <w:rPr>
          <w:vertAlign w:val="superscript"/>
        </w:rPr>
        <w:footnoteReference w:id="3"/>
      </w:r>
      <w:r>
        <w:t xml:space="preserve"> </w:t>
      </w:r>
    </w:p>
    <w:p w14:paraId="1613A93F" w14:textId="77777777" w:rsidR="008A684A" w:rsidRDefault="008A684A" w:rsidP="008A684A">
      <w:r>
        <w:t>Tāpat eksperti norādījuši, ka  ir svarīgi, lai šis pantu tiktu attiecināts uz situācijām, kad viena persona (varmāka) realizē vardarbību pret otru personu (cietušais), kur cietušais personisko attiecību dēļ ar varmāku nespēj pilnā mērā sevi aizstāvēt, t. i. pastāv varas un kontroles  nevienlīdzība starp šīm divām personām - vardarbīgā persona atrodas varas pozīcijā pret cietušo, un cietusī persona atrodas atkarīgā pozīcijā no varmākas. Šo pantu nebūtu pamatoti attiecināt uz konfliktsituācijām starp divām personām, kur abas personas atrodas līdzvērtīgās varas pozīcijās un izmanto dažādus līdzekļus (t.sk. vārdiskus un fiziskus) viena pret otru konflikta ietvaros. Piemēram, kad divi ģimenes locekļi lieto alkoholu un abpusēju vardarbību vienam pret otru. Svarīgi, ka KL regulējums aizsargā cietušos, kuri paši nevar pilnvērtīgi sevi pasargāt.</w:t>
      </w:r>
    </w:p>
    <w:p w14:paraId="0B509894" w14:textId="77777777" w:rsidR="008A684A" w:rsidRDefault="008A684A" w:rsidP="008A684A">
      <w:pPr>
        <w:rPr>
          <w:szCs w:val="24"/>
          <w:shd w:val="clear" w:color="auto" w:fill="FFFFFF"/>
        </w:rPr>
      </w:pPr>
      <w:r>
        <w:rPr>
          <w:szCs w:val="24"/>
          <w:shd w:val="clear" w:color="auto" w:fill="FFFFFF"/>
          <w:lang w:val="cs-CZ"/>
        </w:rPr>
        <w:t xml:space="preserve">Vienlaikus būtiski norādīt, ka gadījumā, ja no cietsirdības un vardarbības cietušais būs nepilngadīga persona, kriminālatbildība tiks piemērota pēc KL 174. panta. Tāpat </w:t>
      </w:r>
      <w:r>
        <w:rPr>
          <w:szCs w:val="24"/>
          <w:shd w:val="clear" w:color="auto" w:fill="FFFFFF"/>
        </w:rPr>
        <w:t>gadījumā, ja tiek konstatētas KL 125. panta pirmajā daļā, 126. panta pirmajā daļā vai 130.</w:t>
      </w:r>
      <w:r>
        <w:t> panta otrajā daļā minētās sekas</w:t>
      </w:r>
      <w:r>
        <w:rPr>
          <w:szCs w:val="24"/>
          <w:shd w:val="clear" w:color="auto" w:fill="FFFFFF"/>
        </w:rPr>
        <w:t>, tad persona ir saucama pie kriminālatbildības pēc šiem pantiem, nevis pēc piedāvātā jaunā KL 174.</w:t>
      </w:r>
      <w:r>
        <w:rPr>
          <w:szCs w:val="24"/>
          <w:shd w:val="clear" w:color="auto" w:fill="FFFFFF"/>
          <w:vertAlign w:val="superscript"/>
        </w:rPr>
        <w:t>1</w:t>
      </w:r>
      <w:r>
        <w:rPr>
          <w:szCs w:val="24"/>
          <w:shd w:val="clear" w:color="auto" w:fill="FFFFFF"/>
        </w:rPr>
        <w:t xml:space="preserve"> panta.</w:t>
      </w:r>
    </w:p>
    <w:p w14:paraId="2DFA0C35" w14:textId="77777777" w:rsidR="008A684A" w:rsidRDefault="008A684A" w:rsidP="008A684A">
      <w:pPr>
        <w:ind w:firstLine="0"/>
      </w:pPr>
    </w:p>
    <w:p w14:paraId="6CB307B2" w14:textId="77777777" w:rsidR="008A684A" w:rsidRDefault="008A684A" w:rsidP="008A684A">
      <w:pPr>
        <w:rPr>
          <w:szCs w:val="24"/>
          <w:shd w:val="clear" w:color="auto" w:fill="FFFFFF"/>
          <w:lang w:val="cs-CZ"/>
        </w:rPr>
      </w:pPr>
      <w:r>
        <w:rPr>
          <w:szCs w:val="24"/>
          <w:shd w:val="clear" w:color="auto" w:fill="FFFFFF"/>
          <w:lang w:val="cs-CZ"/>
        </w:rPr>
        <w:t xml:space="preserve">Grozījumi paredz </w:t>
      </w:r>
      <w:r w:rsidRPr="007A631F">
        <w:rPr>
          <w:rFonts w:eastAsia="Times New Roman"/>
          <w:b/>
          <w:bCs/>
          <w:szCs w:val="24"/>
          <w:lang w:eastAsia="lv-LV"/>
        </w:rPr>
        <w:t>KL 241. panta</w:t>
      </w:r>
      <w:r>
        <w:rPr>
          <w:rFonts w:eastAsia="Times New Roman"/>
          <w:szCs w:val="24"/>
          <w:lang w:eastAsia="lv-LV"/>
        </w:rPr>
        <w:t xml:space="preserve"> “Patvaļīga piekļūšana automatizētai datu apstrādes sistēmai” trešajā daļā palielināt brīvības atņemšanas sodu no pieciem uz septiņiem gadiem, atsakoties no alternatīvajām sankcijām, kā arī papildinot sankciju ar papildsodu – probācijas uzraudzība, jo tajā paredzēta kriminālatbildība par patvaļīgu piekļūšanu automatizētas datu apstrādes sistēmas resursiem, ja tas saistīts ar sistēmas aizsardzības līdzekļu pārvarēšanu vai ja tas izdarīts bez attiecīgas atļaujas vai izmantojot citai personai piešķirtas tiesības, ja šīs darbības izdarījusi organizēta grupa vai ja tās izraisījušas smagas sekas, vai ja tās vērstas pret automatizētu datu apstrādes sistēmu, kas apstrādā informāciju, kura saistīta ar valsts politisko, ekonomisko, militāro, sociālo vai citu drošību</w:t>
      </w:r>
      <w:r>
        <w:rPr>
          <w:szCs w:val="24"/>
          <w:shd w:val="clear" w:color="auto" w:fill="FFFFFF"/>
          <w:lang w:val="cs-CZ"/>
        </w:rPr>
        <w:t xml:space="preserve">. </w:t>
      </w:r>
    </w:p>
    <w:p w14:paraId="2B3B2B94" w14:textId="77777777" w:rsidR="008A684A" w:rsidRDefault="008A684A" w:rsidP="008A684A">
      <w:pPr>
        <w:rPr>
          <w:szCs w:val="24"/>
          <w:shd w:val="clear" w:color="auto" w:fill="FFFFFF"/>
          <w:lang w:val="cs-CZ"/>
        </w:rPr>
      </w:pPr>
      <w:r>
        <w:rPr>
          <w:szCs w:val="24"/>
          <w:shd w:val="clear" w:color="auto" w:fill="FFFFFF"/>
          <w:lang w:val="cs-CZ"/>
        </w:rPr>
        <w:t xml:space="preserve">Vēršam uz to, ka KL 241. panta trešās daļas sankcija veidota pēc līdzības ar KL 243. panta </w:t>
      </w:r>
      <w:r>
        <w:rPr>
          <w:rFonts w:eastAsia="Times New Roman"/>
          <w:szCs w:val="24"/>
          <w:lang w:eastAsia="lv-LV"/>
        </w:rPr>
        <w:t>“</w:t>
      </w:r>
      <w:r>
        <w:rPr>
          <w:szCs w:val="24"/>
          <w:shd w:val="clear" w:color="auto" w:fill="FFFFFF"/>
          <w:lang w:val="cs-CZ"/>
        </w:rPr>
        <w:t>Automatizētas datu apstrādes sistēmas darbības traucēšana un nelikumīga rīcība ar šajā sistēmā iekļauto informāciju</w:t>
      </w:r>
      <w:r>
        <w:rPr>
          <w:rFonts w:eastAsia="Times New Roman"/>
          <w:szCs w:val="24"/>
          <w:lang w:eastAsia="lv-LV"/>
        </w:rPr>
        <w:t>”</w:t>
      </w:r>
      <w:r>
        <w:rPr>
          <w:szCs w:val="24"/>
          <w:shd w:val="clear" w:color="auto" w:fill="FFFFFF"/>
          <w:lang w:val="cs-CZ"/>
        </w:rPr>
        <w:t xml:space="preserve"> piektās daļas sankciju, kurā paredzēti analogi sodi un papildsodi pie indentiskām kvalificējošām pazīmēm.  </w:t>
      </w:r>
    </w:p>
    <w:p w14:paraId="1803A69B" w14:textId="77777777" w:rsidR="008A684A" w:rsidRDefault="008A684A" w:rsidP="008A684A"/>
    <w:p w14:paraId="5F1B59FB" w14:textId="77777777" w:rsidR="008A684A" w:rsidRDefault="008A684A" w:rsidP="008A684A">
      <w:pPr>
        <w:rPr>
          <w:szCs w:val="24"/>
          <w:shd w:val="clear" w:color="auto" w:fill="FFFFFF"/>
          <w:lang w:val="cs-CZ"/>
        </w:rPr>
      </w:pPr>
      <w:r>
        <w:rPr>
          <w:szCs w:val="24"/>
          <w:shd w:val="clear" w:color="auto" w:fill="FFFFFF"/>
          <w:lang w:val="cs-CZ"/>
        </w:rPr>
        <w:t xml:space="preserve">Ar grozījumiem paredzēts </w:t>
      </w:r>
      <w:r w:rsidRPr="007A631F">
        <w:rPr>
          <w:b/>
          <w:bCs/>
          <w:szCs w:val="24"/>
          <w:shd w:val="clear" w:color="auto" w:fill="FFFFFF"/>
          <w:lang w:val="cs-CZ"/>
        </w:rPr>
        <w:t>KL 280. pantā</w:t>
      </w:r>
      <w:r>
        <w:rPr>
          <w:szCs w:val="24"/>
          <w:shd w:val="clear" w:color="auto" w:fill="FFFFFF"/>
          <w:lang w:val="cs-CZ"/>
        </w:rPr>
        <w:t xml:space="preserve"> pastiprināt kriminālatbildību par personas nodarbināšanas noteikumu pārkāpšanu, proti, KL 280. panta pirmās daļas sankcijā nosakot brīvības atņemšanas sodu līdz vienam gadam, kurā paredzēta kriminālatbildība par likumā paredzēto personas nodarbināšanas ierobežojumu vai noteikumu pārkāpšanu, ja to izdarījis darba devējs un ja ar to radīts būtisks kaitējums. </w:t>
      </w:r>
    </w:p>
    <w:p w14:paraId="3757CB93" w14:textId="77777777" w:rsidR="008A684A" w:rsidRDefault="008A684A" w:rsidP="008A684A">
      <w:pPr>
        <w:rPr>
          <w:szCs w:val="24"/>
          <w:shd w:val="clear" w:color="auto" w:fill="FFFFFF"/>
          <w:lang w:val="cs-CZ"/>
        </w:rPr>
      </w:pPr>
      <w:r>
        <w:rPr>
          <w:szCs w:val="24"/>
          <w:shd w:val="clear" w:color="auto" w:fill="FFFFFF"/>
          <w:lang w:val="cs-CZ"/>
        </w:rPr>
        <w:t>Savukārt ar grozījumiem KL 280. panta otrās daļas sankcijā tiek noteikts brīvības atņemšanas sods līdz trim gadiem, kurā paredzēta kriminālatbildība par tādas personas nodarbināšanu, kura nav tiesīga uzturēties Latvijas Republikā, ja to izdarījis darba devējs un ja nodarbināts nepilngadīgais vai ja nodarbinātas vairāk nekā piecas personas, vai ja persona nodarbināta īpaši ekspluatējošos darba apstākļos, vai ja apzināti nodarbināts cilvēku tirdzniecības upuris. Proti, kas ir īpaši kaitīgi un bīstami. Vēršam uzmanību, ka minētās normas sankcijas apmērs tika pārskatīts, pamatojoties uz</w:t>
      </w:r>
      <w:r>
        <w:rPr>
          <w:lang w:val="cs-CZ"/>
        </w:rPr>
        <w:t xml:space="preserve"> </w:t>
      </w:r>
      <w:r>
        <w:t xml:space="preserve">nepieciešamību pilnveidot kriminālsodu politiku par atsevišķu kategoriju noziedzīgiem </w:t>
      </w:r>
      <w:r>
        <w:lastRenderedPageBreak/>
        <w:t xml:space="preserve">nodarījumiem, tai skaitā arī </w:t>
      </w:r>
      <w:r>
        <w:rPr>
          <w:szCs w:val="24"/>
          <w:shd w:val="clear" w:color="auto" w:fill="FFFFFF"/>
          <w:lang w:val="cs-CZ"/>
        </w:rPr>
        <w:t>Krimināllikuma XXII nodaļā “Noziedzīgi nodarījumi pret pārvaldības kārtību</w:t>
      </w:r>
      <w:r>
        <w:rPr>
          <w:rFonts w:eastAsia="Times New Roman"/>
          <w:szCs w:val="24"/>
          <w:lang w:eastAsia="lv-LV"/>
        </w:rPr>
        <w:t>” ietvertajiem noziedzīgajiem nodarījumiem. Šajā sakarā tika secināts, ka KL 280. panta otrajā daļā paredzētais noziedzīgais nodarījums ar tajā ietvertajām kvalificējošām pazīmēm – būtisks kaitējums, ekspluatējoši darba apstākļi, cilvēku tirdzniecības upuru izmantošana – neatbilst kriminālpārkāpuma klasifikācijai atbilstoši personas un sabiedrības interešu apdraudējuma raksturam un kaitīgumam. Ievērojot minēto, KL 280. panta otrajā daļā paredzētais noziedzīgais nodarījums ar grozījumiem tiek klasificēts kā mazāk smags noziegums.</w:t>
      </w:r>
      <w:r>
        <w:rPr>
          <w:szCs w:val="24"/>
          <w:shd w:val="clear" w:color="auto" w:fill="FFFFFF"/>
          <w:lang w:val="cs-CZ"/>
        </w:rPr>
        <w:t xml:space="preserve"> </w:t>
      </w:r>
    </w:p>
    <w:p w14:paraId="3E2994A1" w14:textId="77777777" w:rsidR="008A684A" w:rsidRDefault="008A684A" w:rsidP="008A684A">
      <w:pPr>
        <w:rPr>
          <w:szCs w:val="24"/>
          <w:shd w:val="clear" w:color="auto" w:fill="FFFFFF"/>
          <w:lang w:val="cs-CZ"/>
        </w:rPr>
      </w:pPr>
    </w:p>
    <w:p w14:paraId="5C37B03D" w14:textId="77777777" w:rsidR="008A684A" w:rsidRDefault="008A684A" w:rsidP="008A684A">
      <w:pPr>
        <w:rPr>
          <w:szCs w:val="24"/>
          <w:shd w:val="clear" w:color="auto" w:fill="FFFFFF"/>
          <w:lang w:val="cs-CZ"/>
        </w:rPr>
      </w:pPr>
      <w:r>
        <w:rPr>
          <w:szCs w:val="24"/>
          <w:shd w:val="clear" w:color="auto" w:fill="FFFFFF"/>
        </w:rPr>
        <w:t xml:space="preserve">Krievijas pilna mēroga militārais iebrukums  Ukrainā  ir radījis draudus Eiropas drošībai. Daudzas valstis, ieskaitot Latviju, ir apzinājušas nepieciešamību pastiprināt savus aizsardzības un mobilizācijas resursus. Minētā kontekstā tīša izvairīšanās no mobilizācijas var ietekmēt valsts drošību un tās aizsardzības spējas. Ievērojot minēto, </w:t>
      </w:r>
      <w:r w:rsidRPr="00C01958">
        <w:rPr>
          <w:szCs w:val="24"/>
          <w:shd w:val="clear" w:color="auto" w:fill="FFFFFF"/>
        </w:rPr>
        <w:t>grozījumi</w:t>
      </w:r>
      <w:r>
        <w:rPr>
          <w:szCs w:val="24"/>
          <w:shd w:val="clear" w:color="auto" w:fill="FFFFFF"/>
          <w:lang w:val="cs-CZ"/>
        </w:rPr>
        <w:t xml:space="preserve"> paredz </w:t>
      </w:r>
      <w:r w:rsidRPr="00C01958">
        <w:rPr>
          <w:b/>
          <w:bCs/>
          <w:szCs w:val="24"/>
          <w:shd w:val="clear" w:color="auto" w:fill="FFFFFF"/>
          <w:lang w:val="cs-CZ"/>
        </w:rPr>
        <w:t>KL 282.</w:t>
      </w:r>
      <w:r w:rsidRPr="00C01958">
        <w:rPr>
          <w:b/>
          <w:bCs/>
          <w:szCs w:val="24"/>
          <w:shd w:val="clear" w:color="auto" w:fill="FFFFFF"/>
          <w:vertAlign w:val="superscript"/>
          <w:lang w:val="cs-CZ"/>
        </w:rPr>
        <w:t>1</w:t>
      </w:r>
      <w:r w:rsidRPr="00C01958">
        <w:rPr>
          <w:b/>
          <w:bCs/>
          <w:szCs w:val="24"/>
          <w:shd w:val="clear" w:color="auto" w:fill="FFFFFF"/>
          <w:lang w:val="cs-CZ"/>
        </w:rPr>
        <w:t> pantā</w:t>
      </w:r>
      <w:r>
        <w:rPr>
          <w:szCs w:val="24"/>
          <w:shd w:val="clear" w:color="auto" w:fill="FFFFFF"/>
          <w:lang w:val="cs-CZ"/>
        </w:rPr>
        <w:t xml:space="preserve"> pastiprināt kriminālatbildību par izvairīšanos no mobilizācijas. Proti, KL 282.</w:t>
      </w:r>
      <w:r>
        <w:rPr>
          <w:szCs w:val="24"/>
          <w:shd w:val="clear" w:color="auto" w:fill="FFFFFF"/>
          <w:vertAlign w:val="superscript"/>
          <w:lang w:val="cs-CZ"/>
        </w:rPr>
        <w:t>1 </w:t>
      </w:r>
      <w:r>
        <w:rPr>
          <w:szCs w:val="24"/>
          <w:shd w:val="clear" w:color="auto" w:fill="FFFFFF"/>
          <w:lang w:val="cs-CZ"/>
        </w:rPr>
        <w:t xml:space="preserve">panta pirmās daļas sankcijā tiek noteikts brīvības atņemšanas sods līdz vienam gadam, kurā paredzēta kriminālatbildība par tīšu izvairīšanos no mobilizācijas, ja to izdarījusi persona, kura pakļauta mobilizācijai civilās aizsardzības pasākumu veikšanai. </w:t>
      </w:r>
    </w:p>
    <w:p w14:paraId="5F710680" w14:textId="77777777" w:rsidR="008A684A" w:rsidRPr="006C3148" w:rsidRDefault="008A684A" w:rsidP="008A684A">
      <w:pPr>
        <w:rPr>
          <w:szCs w:val="24"/>
          <w:shd w:val="clear" w:color="auto" w:fill="FFFFFF"/>
          <w:lang w:val="cs-CZ"/>
        </w:rPr>
      </w:pPr>
      <w:r>
        <w:rPr>
          <w:szCs w:val="24"/>
          <w:shd w:val="clear" w:color="auto" w:fill="FFFFFF"/>
          <w:lang w:val="cs-CZ"/>
        </w:rPr>
        <w:t>Savukārt ar grozījumiem KL 282.</w:t>
      </w:r>
      <w:r>
        <w:rPr>
          <w:szCs w:val="24"/>
          <w:shd w:val="clear" w:color="auto" w:fill="FFFFFF"/>
          <w:vertAlign w:val="superscript"/>
          <w:lang w:val="cs-CZ"/>
        </w:rPr>
        <w:t>1 </w:t>
      </w:r>
      <w:r>
        <w:rPr>
          <w:szCs w:val="24"/>
          <w:shd w:val="clear" w:color="auto" w:fill="FFFFFF"/>
          <w:lang w:val="cs-CZ"/>
        </w:rPr>
        <w:t xml:space="preserve">panta otrās daļas sankcijā tiek noteikts brīvības atņemšanas sods līdz trim gadiem, kurā paredzēta kriminālatbildība par tīšu izvairīšanos no mobilizācijas, ja to izdarījis rezerves karavīrs, rezervists vai zemessargs. </w:t>
      </w:r>
    </w:p>
    <w:p w14:paraId="0E133D63" w14:textId="77777777" w:rsidR="008A684A" w:rsidRDefault="008A684A" w:rsidP="008A684A">
      <w:pPr>
        <w:rPr>
          <w:szCs w:val="24"/>
          <w:shd w:val="clear" w:color="auto" w:fill="FFFFFF"/>
          <w:lang w:val="cs-CZ"/>
        </w:rPr>
      </w:pPr>
      <w:r>
        <w:rPr>
          <w:szCs w:val="24"/>
          <w:shd w:val="clear" w:color="auto" w:fill="FFFFFF"/>
          <w:lang w:val="cs-CZ"/>
        </w:rPr>
        <w:t xml:space="preserve">Ievērojot minētos apstākļus, ar grozījumiem tiek paredzēts </w:t>
      </w:r>
      <w:r w:rsidRPr="00C01958">
        <w:rPr>
          <w:b/>
          <w:bCs/>
          <w:szCs w:val="24"/>
          <w:shd w:val="clear" w:color="auto" w:fill="FFFFFF"/>
          <w:lang w:val="cs-CZ"/>
        </w:rPr>
        <w:t>KL 282.</w:t>
      </w:r>
      <w:r w:rsidRPr="00C01958">
        <w:rPr>
          <w:b/>
          <w:bCs/>
          <w:szCs w:val="24"/>
          <w:shd w:val="clear" w:color="auto" w:fill="FFFFFF"/>
          <w:vertAlign w:val="superscript"/>
          <w:lang w:val="cs-CZ"/>
        </w:rPr>
        <w:t>2</w:t>
      </w:r>
      <w:r w:rsidRPr="00C01958">
        <w:rPr>
          <w:b/>
          <w:bCs/>
          <w:szCs w:val="24"/>
          <w:shd w:val="clear" w:color="auto" w:fill="FFFFFF"/>
          <w:lang w:val="cs-CZ"/>
        </w:rPr>
        <w:t> pantā</w:t>
      </w:r>
      <w:r>
        <w:rPr>
          <w:szCs w:val="24"/>
          <w:shd w:val="clear" w:color="auto" w:fill="FFFFFF"/>
          <w:lang w:val="cs-CZ"/>
        </w:rPr>
        <w:t xml:space="preserve"> pastiprināt kriminālatbildību par mobilizācijas darbību kavēšanu un mobilizācijas pieprasījuma neizpildīšanu. Proti, KL 282.</w:t>
      </w:r>
      <w:r>
        <w:rPr>
          <w:szCs w:val="24"/>
          <w:shd w:val="clear" w:color="auto" w:fill="FFFFFF"/>
          <w:vertAlign w:val="superscript"/>
          <w:lang w:val="cs-CZ"/>
        </w:rPr>
        <w:t>2 </w:t>
      </w:r>
      <w:r>
        <w:rPr>
          <w:szCs w:val="24"/>
          <w:shd w:val="clear" w:color="auto" w:fill="FFFFFF"/>
          <w:lang w:val="cs-CZ"/>
        </w:rPr>
        <w:t>panta pirmās daļas sankcijā nosakot brīvības atņemšanas sodu līdz vienam gadam, kurā paredzēta kriminālatbildība par kompetentas valsts iestādes rīkojuma izpildes tīšu kavēšanu mobilizācijas laikā vai par pašvaldības rīkojuma izpildes tīšu kavēšanu, veicot civilās aizsardzības pasākumus, vai par citu mobilizācijas darbību vai mobilizācijas pieprasījuma tīšu neizpildīšanu.</w:t>
      </w:r>
    </w:p>
    <w:p w14:paraId="1326AD20" w14:textId="77777777" w:rsidR="008A684A" w:rsidRDefault="008A684A" w:rsidP="008A684A">
      <w:pPr>
        <w:rPr>
          <w:szCs w:val="24"/>
          <w:shd w:val="clear" w:color="auto" w:fill="FFFFFF"/>
          <w:lang w:val="cs-CZ"/>
        </w:rPr>
      </w:pPr>
      <w:r>
        <w:rPr>
          <w:szCs w:val="24"/>
          <w:shd w:val="clear" w:color="auto" w:fill="FFFFFF"/>
          <w:lang w:val="cs-CZ"/>
        </w:rPr>
        <w:t>Savukārt ar priekšlikumu KL 282.</w:t>
      </w:r>
      <w:r>
        <w:rPr>
          <w:szCs w:val="24"/>
          <w:shd w:val="clear" w:color="auto" w:fill="FFFFFF"/>
          <w:vertAlign w:val="superscript"/>
          <w:lang w:val="cs-CZ"/>
        </w:rPr>
        <w:t>2 </w:t>
      </w:r>
      <w:r>
        <w:rPr>
          <w:szCs w:val="24"/>
          <w:shd w:val="clear" w:color="auto" w:fill="FFFFFF"/>
          <w:lang w:val="cs-CZ"/>
        </w:rPr>
        <w:t xml:space="preserve">panta otrās daļas sankcijā tiek palielināts brīvības atņemšanas sods līdz trim gadiem, kurā paredzēta kriminālatbildība par pirmajā daļā paredzētajām darbībām, ja ar tām radīts būtisks kaitējums. </w:t>
      </w:r>
    </w:p>
    <w:p w14:paraId="4DCC53E7" w14:textId="77777777" w:rsidR="008A684A" w:rsidRPr="006C3148" w:rsidRDefault="008A684A" w:rsidP="008A684A">
      <w:pPr>
        <w:rPr>
          <w:szCs w:val="24"/>
          <w:shd w:val="clear" w:color="auto" w:fill="FFFFFF"/>
          <w:lang w:val="cs-CZ"/>
        </w:rPr>
      </w:pPr>
    </w:p>
    <w:p w14:paraId="32BBB65C" w14:textId="77777777" w:rsidR="008A684A" w:rsidRDefault="008A684A" w:rsidP="008A684A">
      <w:pPr>
        <w:pStyle w:val="VPBody"/>
        <w:spacing w:before="0" w:after="0"/>
        <w:rPr>
          <w:b/>
          <w:bCs w:val="0"/>
          <w:i/>
          <w:iCs/>
          <w:szCs w:val="24"/>
          <w:shd w:val="clear" w:color="auto" w:fill="FFFFFF"/>
        </w:rPr>
      </w:pPr>
      <w:r w:rsidRPr="00143381">
        <w:rPr>
          <w:b/>
          <w:bCs w:val="0"/>
          <w:szCs w:val="24"/>
          <w:shd w:val="clear" w:color="auto" w:fill="FFFFFF"/>
        </w:rPr>
        <w:tab/>
      </w:r>
      <w:r w:rsidRPr="00143381">
        <w:rPr>
          <w:b/>
          <w:bCs w:val="0"/>
          <w:i/>
          <w:iCs/>
          <w:szCs w:val="24"/>
          <w:shd w:val="clear" w:color="auto" w:fill="FFFFFF"/>
        </w:rPr>
        <w:t xml:space="preserve">Par </w:t>
      </w:r>
      <w:r>
        <w:rPr>
          <w:b/>
          <w:bCs w:val="0"/>
          <w:i/>
          <w:iCs/>
          <w:szCs w:val="24"/>
          <w:shd w:val="clear" w:color="auto" w:fill="FFFFFF"/>
        </w:rPr>
        <w:t>prokurora iespējām piemērot naudas sodu, gadījumā, ja kriminālprocess tiek pabeigts ar prokurora priekšrakstu par sodu</w:t>
      </w:r>
      <w:r w:rsidRPr="00143381">
        <w:rPr>
          <w:b/>
          <w:bCs w:val="0"/>
          <w:i/>
          <w:iCs/>
          <w:szCs w:val="24"/>
          <w:shd w:val="clear" w:color="auto" w:fill="FFFFFF"/>
        </w:rPr>
        <w:t xml:space="preserve"> (grozījumi KL </w:t>
      </w:r>
      <w:r>
        <w:rPr>
          <w:b/>
          <w:bCs w:val="0"/>
          <w:i/>
          <w:iCs/>
          <w:szCs w:val="24"/>
          <w:shd w:val="clear" w:color="auto" w:fill="FFFFFF"/>
        </w:rPr>
        <w:t>52</w:t>
      </w:r>
      <w:r w:rsidRPr="00143381">
        <w:rPr>
          <w:b/>
          <w:bCs w:val="0"/>
          <w:i/>
          <w:iCs/>
          <w:szCs w:val="24"/>
          <w:shd w:val="clear" w:color="auto" w:fill="FFFFFF"/>
        </w:rPr>
        <w:t>. pantā)</w:t>
      </w:r>
    </w:p>
    <w:p w14:paraId="664FC169" w14:textId="77777777" w:rsidR="008A684A" w:rsidRDefault="008A684A" w:rsidP="008A684A"/>
    <w:p w14:paraId="1CBBB8C1" w14:textId="77777777" w:rsidR="008A684A" w:rsidRDefault="008A684A" w:rsidP="008A684A">
      <w:pPr>
        <w:ind w:firstLine="720"/>
        <w:rPr>
          <w:szCs w:val="24"/>
        </w:rPr>
      </w:pPr>
      <w:r>
        <w:rPr>
          <w:szCs w:val="24"/>
        </w:rPr>
        <w:t xml:space="preserve">Ģenerālprokuratūras eksperti darba grupu informēja, ka prokuroriem rodas jautājums par </w:t>
      </w:r>
      <w:r w:rsidRPr="006C3148">
        <w:rPr>
          <w:b/>
          <w:bCs/>
          <w:szCs w:val="24"/>
        </w:rPr>
        <w:t>KL 52. panta</w:t>
      </w:r>
      <w:r>
        <w:rPr>
          <w:szCs w:val="24"/>
        </w:rPr>
        <w:t xml:space="preserve"> normu piemērošanu gadījumos, kad ar prokurora priekšrakstu par sodu tiek piemērots naudas sods, bet persona šajā kriminālprocesā ir bijusi aizturēta vai viņai ticis piemērots ar brīvības atņemšanu saistīts drošības līdzeklis. Tādējādi prokuroriem ir radies jautājums, vai un kā šādos gadījumos to ieskaita kā izciesto soda daļu vai ņem vērā pie soda noteikšanas, jo KL 52. panta pirmā daļa to neparedz, savukārt KL 52. panta trešajā daļā noteikts, ka nosakot sodus, kas nav minēti KL 52. panta pirmajā daļā tiesa, ņemot vērā apcietinājumu, izciestā soda daļu vai medicīniska rakstura piespiedu līdzekļu piemērošanas laiku, var mīkstināt sodu vai pilnīgi atbrīvot vainīgo no soda izciešanas.</w:t>
      </w:r>
    </w:p>
    <w:p w14:paraId="68AB9542" w14:textId="77777777" w:rsidR="008A684A" w:rsidRDefault="008A684A" w:rsidP="008A684A">
      <w:pPr>
        <w:ind w:firstLine="720"/>
        <w:rPr>
          <w:color w:val="414142"/>
          <w:lang w:eastAsia="lv-LV" w:bidi="my-MM"/>
        </w:rPr>
      </w:pPr>
      <w:r>
        <w:rPr>
          <w:szCs w:val="24"/>
          <w:shd w:val="clear" w:color="auto" w:fill="FFFFFF"/>
          <w:lang w:val="cs-CZ"/>
        </w:rPr>
        <w:t>Ievērojot minēto, g</w:t>
      </w:r>
      <w:r w:rsidRPr="00C01958">
        <w:rPr>
          <w:szCs w:val="24"/>
          <w:shd w:val="clear" w:color="auto" w:fill="FFFFFF"/>
          <w:lang w:val="cs-CZ"/>
        </w:rPr>
        <w:t>rozījumi</w:t>
      </w:r>
      <w:r>
        <w:rPr>
          <w:b/>
          <w:bCs/>
          <w:szCs w:val="24"/>
          <w:shd w:val="clear" w:color="auto" w:fill="FFFFFF"/>
          <w:lang w:val="cs-CZ"/>
        </w:rPr>
        <w:t xml:space="preserve"> </w:t>
      </w:r>
      <w:r>
        <w:rPr>
          <w:szCs w:val="24"/>
          <w:shd w:val="clear" w:color="auto" w:fill="FFFFFF"/>
          <w:lang w:val="cs-CZ"/>
        </w:rPr>
        <w:t xml:space="preserve">paredz KL 52. panta pirmo daļu  papildināt ar jaunu punktu, kas nosaka, ka </w:t>
      </w:r>
      <w:r>
        <w:rPr>
          <w:color w:val="414142"/>
          <w:lang w:eastAsia="lv-LV" w:bidi="my-MM"/>
        </w:rPr>
        <w:t xml:space="preserve">saskaitot sodus par vairākiem noziedzīgiem nodarījumiem vienā spriedumā vai pēc vairākiem spriedumiem, brīvības atņemšanas soda viena diena atbilst vienai ceturtdaļai minimālās mēnešalgas no naudas soda. Taču jāņem vērā, ka šādā </w:t>
      </w:r>
      <w:r>
        <w:rPr>
          <w:color w:val="414142"/>
          <w:lang w:eastAsia="lv-LV" w:bidi="my-MM"/>
        </w:rPr>
        <w:lastRenderedPageBreak/>
        <w:t>gadījumā šis jaunais punkts neatceļ to, kas ir noteikts KL 52. panta otrajā daļā, ka naudas sods izpildāms patstāvīgi.</w:t>
      </w:r>
    </w:p>
    <w:p w14:paraId="1989FA51" w14:textId="77777777" w:rsidR="008A684A" w:rsidRDefault="008A684A" w:rsidP="008A684A">
      <w:pPr>
        <w:ind w:firstLine="720"/>
        <w:rPr>
          <w:color w:val="414142"/>
          <w:lang w:eastAsia="lv-LV" w:bidi="my-MM"/>
        </w:rPr>
      </w:pPr>
      <w:r>
        <w:rPr>
          <w:rFonts w:eastAsia="Times New Roman"/>
          <w:szCs w:val="24"/>
          <w:lang w:eastAsia="lv-LV"/>
        </w:rPr>
        <w:t xml:space="preserve">Vienlaikus, lai precizētu prokuroru kompetenci piemērot kādu no KL 52. panta pirmajā daļā sodu saskaitīšanas un aizstāšanas veidiem, </w:t>
      </w:r>
      <w:r w:rsidRPr="00C01958">
        <w:rPr>
          <w:rFonts w:eastAsia="Times New Roman"/>
          <w:szCs w:val="24"/>
          <w:lang w:eastAsia="lv-LV"/>
        </w:rPr>
        <w:t>grozījumi</w:t>
      </w:r>
      <w:r>
        <w:rPr>
          <w:rFonts w:eastAsia="Times New Roman"/>
          <w:szCs w:val="24"/>
          <w:lang w:eastAsia="lv-LV"/>
        </w:rPr>
        <w:t xml:space="preserve"> paredz šā panta trešajā daļā aizstāt vārdu “tiesa” ar vārdu “nolēmumā”.  </w:t>
      </w:r>
    </w:p>
    <w:p w14:paraId="5D54BA22" w14:textId="77777777" w:rsidR="008A684A" w:rsidRDefault="008A684A" w:rsidP="008A684A"/>
    <w:p w14:paraId="167599D9" w14:textId="77777777" w:rsidR="008A684A" w:rsidRDefault="008A684A" w:rsidP="008A684A">
      <w:pPr>
        <w:pStyle w:val="VPBody"/>
        <w:spacing w:before="0" w:after="0"/>
        <w:rPr>
          <w:b/>
          <w:bCs w:val="0"/>
          <w:i/>
          <w:iCs/>
          <w:szCs w:val="24"/>
          <w:shd w:val="clear" w:color="auto" w:fill="FFFFFF"/>
        </w:rPr>
      </w:pPr>
      <w:r w:rsidRPr="00143381">
        <w:rPr>
          <w:b/>
          <w:bCs w:val="0"/>
          <w:szCs w:val="24"/>
          <w:shd w:val="clear" w:color="auto" w:fill="FFFFFF"/>
        </w:rPr>
        <w:tab/>
      </w:r>
      <w:r w:rsidRPr="00143381">
        <w:rPr>
          <w:b/>
          <w:bCs w:val="0"/>
          <w:i/>
          <w:iCs/>
          <w:szCs w:val="24"/>
          <w:shd w:val="clear" w:color="auto" w:fill="FFFFFF"/>
        </w:rPr>
        <w:t xml:space="preserve">Par </w:t>
      </w:r>
      <w:r>
        <w:rPr>
          <w:b/>
          <w:bCs w:val="0"/>
          <w:i/>
          <w:iCs/>
          <w:szCs w:val="24"/>
          <w:shd w:val="clear" w:color="auto" w:fill="FFFFFF"/>
        </w:rPr>
        <w:t>nelikumīgām darbībām ar fiziskās personas datiem un identitātes zādzību</w:t>
      </w:r>
      <w:r w:rsidRPr="00143381">
        <w:rPr>
          <w:b/>
          <w:bCs w:val="0"/>
          <w:i/>
          <w:iCs/>
          <w:szCs w:val="24"/>
          <w:shd w:val="clear" w:color="auto" w:fill="FFFFFF"/>
        </w:rPr>
        <w:t xml:space="preserve"> (grozījumi KL </w:t>
      </w:r>
      <w:r>
        <w:rPr>
          <w:b/>
          <w:bCs w:val="0"/>
          <w:i/>
          <w:iCs/>
          <w:szCs w:val="24"/>
          <w:shd w:val="clear" w:color="auto" w:fill="FFFFFF"/>
        </w:rPr>
        <w:t>145</w:t>
      </w:r>
      <w:r w:rsidRPr="00143381">
        <w:rPr>
          <w:b/>
          <w:bCs w:val="0"/>
          <w:i/>
          <w:iCs/>
          <w:szCs w:val="24"/>
          <w:shd w:val="clear" w:color="auto" w:fill="FFFFFF"/>
        </w:rPr>
        <w:t>.</w:t>
      </w:r>
      <w:r>
        <w:rPr>
          <w:b/>
          <w:bCs w:val="0"/>
          <w:i/>
          <w:iCs/>
          <w:szCs w:val="24"/>
          <w:shd w:val="clear" w:color="auto" w:fill="FFFFFF"/>
        </w:rPr>
        <w:t>. 275.</w:t>
      </w:r>
      <w:r>
        <w:rPr>
          <w:b/>
          <w:bCs w:val="0"/>
          <w:i/>
          <w:iCs/>
          <w:szCs w:val="24"/>
          <w:shd w:val="clear" w:color="auto" w:fill="FFFFFF"/>
          <w:vertAlign w:val="superscript"/>
        </w:rPr>
        <w:t>1</w:t>
      </w:r>
      <w:r>
        <w:rPr>
          <w:b/>
          <w:bCs w:val="0"/>
          <w:i/>
          <w:iCs/>
          <w:szCs w:val="24"/>
          <w:shd w:val="clear" w:color="auto" w:fill="FFFFFF"/>
        </w:rPr>
        <w:t>, 281.</w:t>
      </w:r>
      <w:r>
        <w:rPr>
          <w:b/>
          <w:bCs w:val="0"/>
          <w:i/>
          <w:iCs/>
          <w:szCs w:val="24"/>
          <w:shd w:val="clear" w:color="auto" w:fill="FFFFFF"/>
          <w:vertAlign w:val="superscript"/>
        </w:rPr>
        <w:t>1</w:t>
      </w:r>
      <w:r w:rsidRPr="00143381">
        <w:rPr>
          <w:b/>
          <w:bCs w:val="0"/>
          <w:i/>
          <w:iCs/>
          <w:szCs w:val="24"/>
          <w:shd w:val="clear" w:color="auto" w:fill="FFFFFF"/>
        </w:rPr>
        <w:t> pantā)</w:t>
      </w:r>
    </w:p>
    <w:p w14:paraId="389BD819" w14:textId="77777777" w:rsidR="008A684A" w:rsidRDefault="008A684A" w:rsidP="008A684A"/>
    <w:p w14:paraId="4DBE0EBF" w14:textId="77777777" w:rsidR="008A684A" w:rsidRDefault="008A684A" w:rsidP="008A684A">
      <w:pPr>
        <w:rPr>
          <w:iCs/>
          <w:szCs w:val="24"/>
        </w:rPr>
      </w:pPr>
      <w:r>
        <w:rPr>
          <w:szCs w:val="24"/>
        </w:rPr>
        <w:t xml:space="preserve">Datu valsts inspekcija (turpmāk – Inspekcija) informēja Tieslietu ministriju, ka </w:t>
      </w:r>
      <w:r>
        <w:rPr>
          <w:iCs/>
          <w:szCs w:val="24"/>
        </w:rPr>
        <w:t xml:space="preserve">ir </w:t>
      </w:r>
      <w:proofErr w:type="spellStart"/>
      <w:r>
        <w:rPr>
          <w:iCs/>
          <w:szCs w:val="24"/>
        </w:rPr>
        <w:t>saskārusies</w:t>
      </w:r>
      <w:proofErr w:type="spellEnd"/>
      <w:r>
        <w:rPr>
          <w:iCs/>
          <w:szCs w:val="24"/>
        </w:rPr>
        <w:t xml:space="preserve"> ar situācijām, kad sabiedrībā zināmas personas attēls un vārds, uzvārds tiek izmantots, lai reklamētu kādu preci vai pakalpojumu, turklāt minētās personas vārdā tiek sniegta arī atsauksme par preces vai pakalpojuma efektivitāti, tādējādi uzdodoties par minēto personu un norādot uz preces vai pakalpojuma drošumu, kā arī to, ka sociālajos tīklos tiek radīti viltus profili. Tāpat Inspekcija ir saņēmusi sūdzības par viltus elektroniskā pasta adrešu izmantošanu, lai konkrētās personas vārdā veiktu pretlikumīgas darbības.</w:t>
      </w:r>
    </w:p>
    <w:p w14:paraId="0F48A329" w14:textId="77777777" w:rsidR="008A684A" w:rsidRDefault="008A684A" w:rsidP="008A684A">
      <w:pPr>
        <w:rPr>
          <w:szCs w:val="24"/>
        </w:rPr>
      </w:pPr>
      <w:r>
        <w:rPr>
          <w:szCs w:val="24"/>
        </w:rPr>
        <w:t xml:space="preserve">Inspekcija norāda, ka “identitātes zādzību” gadījumā personas vispirms ir vērsušās Valsts policijā ar lūgumu ierosināt krimināllietu un konstatēt pārkāpumu, taču policija, nesaskatot noziedzīga nodarījuma sastāvu, lietu neuzsāk, jo lieta var tikt ierosināta tikai tad, ja ar “identitātes zādzību” ir veikts arī kāds cits noziedzīgs nodarījums, par kuru atbildība ir paredzēta KL, piemēram, par apzinātu nepatiesas informācijas izplatīšanu (KL 157. pants “Neslavas celšana”).  </w:t>
      </w:r>
    </w:p>
    <w:p w14:paraId="70A81357" w14:textId="77777777" w:rsidR="008A684A" w:rsidRDefault="008A684A" w:rsidP="008A684A">
      <w:pPr>
        <w:rPr>
          <w:szCs w:val="24"/>
        </w:rPr>
      </w:pPr>
      <w:r>
        <w:rPr>
          <w:szCs w:val="24"/>
        </w:rPr>
        <w:t xml:space="preserve">Inspekcija vērš uzmanību, ka “identitātes zādzību” </w:t>
      </w:r>
      <w:proofErr w:type="spellStart"/>
      <w:r>
        <w:rPr>
          <w:szCs w:val="24"/>
        </w:rPr>
        <w:t>virsmērķis</w:t>
      </w:r>
      <w:proofErr w:type="spellEnd"/>
      <w:r>
        <w:rPr>
          <w:szCs w:val="24"/>
        </w:rPr>
        <w:t xml:space="preserve"> nav datu apstrāde, bet gan, piemēram, iedzīvošanās, citas personas nomelnošana vai atriebības īstenošana, izmantojot personas datus, tādējādi īstenojot citus pārkāpumus. Proti, lai veiktu darbības, izmantojot svešas personas identitāti, vainīgajai personai sākotnēji ir jāpiekļūst personas datiem. Šāda piekļuve vairumā gadījumu būs prettiesiska un tādējādi būtu konstatējams personas datu apstrādes pārkāpums, veicot prettiesisku personas datu apstrādi.  </w:t>
      </w:r>
    </w:p>
    <w:p w14:paraId="7AFADA53" w14:textId="77777777" w:rsidR="008A684A" w:rsidRDefault="008A684A" w:rsidP="008A684A">
      <w:pPr>
        <w:rPr>
          <w:szCs w:val="24"/>
        </w:rPr>
      </w:pPr>
      <w:r>
        <w:rPr>
          <w:szCs w:val="24"/>
        </w:rPr>
        <w:t>Vienlaikus ir jāņem vērā, ka personas datu aizsardzība ir mērķēta uz personas datu apstrādi kā tādu, nevērtējot kontekstu kādā dati tiek apstrādāti. Konkrētajos gadījumos personas datu apstrāde nav personas pašmērķis, bet gan rīks, ar kā palīdzību sasniegt mērķi – iedzīvoties vai veikt citas darbības savtīgos nolūkos, izmantojot citas personas identitāti. Līdz ar to Inspekcija var piemērot sodu tikai par datu apstrādes pārkāpumu, bet nevar sodīt par pārkāpuma būtību, kas būtu sasniedzamais mērķis. Papildus Inspekcija parasti nevērtē datu apstrādes pārkāpumu, ja datu apstrāde ir neatraujama citas darbības sastāvdaļa. Konkrētajā gadījumā Inspekcija to dara tikai tāpēc, ka personai šobrīd nav citu tiesiskās aizsardzības līdzekļu.</w:t>
      </w:r>
    </w:p>
    <w:p w14:paraId="0496ADBF" w14:textId="77777777" w:rsidR="008A684A" w:rsidRDefault="008A684A" w:rsidP="008A684A">
      <w:pPr>
        <w:rPr>
          <w:szCs w:val="24"/>
        </w:rPr>
      </w:pPr>
      <w:r>
        <w:rPr>
          <w:szCs w:val="24"/>
        </w:rPr>
        <w:t xml:space="preserve">Tāpat Inspekcija bieži vien nevar novērst šo pārkāpumu, jo nav iespējams konstatēt datu apstrādes pārzini, kurš veicis iespējamu pretlikumīgu datu apstrādi. Inspekcijas rīcībā nav tādu līdzekļu kādi ir, piemēram, Valsts policijai, tādējādi šis pārkāpums bieži vien paliek nesodīts. Līdz ar to, Inspekcijas ieskatā, nepastāvot atbilstošiem līdzekļiem, lai pārkāpumu novērstu, “identitātes zādzību” lietu izskatīšana gan pārkāpuma izdarīšanas nolūka dēļ, gan arī esošo resursu potenciālā pārkāpēja noskaidrošanā dēļ nebūtu piekritīga Inspekcijai. </w:t>
      </w:r>
    </w:p>
    <w:p w14:paraId="23943B26" w14:textId="77777777" w:rsidR="008A684A" w:rsidRDefault="008A684A" w:rsidP="008A684A">
      <w:pPr>
        <w:rPr>
          <w:rFonts w:eastAsia="Times New Roman"/>
          <w:szCs w:val="24"/>
          <w:lang w:eastAsia="lv-LV"/>
        </w:rPr>
      </w:pPr>
      <w:r>
        <w:rPr>
          <w:rFonts w:eastAsia="Times New Roman"/>
          <w:szCs w:val="24"/>
          <w:lang w:eastAsia="lv-LV"/>
        </w:rPr>
        <w:t xml:space="preserve">Sākotnēji </w:t>
      </w:r>
      <w:r w:rsidRPr="007567E3">
        <w:rPr>
          <w:rFonts w:eastAsia="Times New Roman"/>
          <w:b/>
          <w:bCs/>
          <w:szCs w:val="24"/>
          <w:lang w:eastAsia="lv-LV"/>
        </w:rPr>
        <w:t>KL 145. pantā</w:t>
      </w:r>
      <w:r>
        <w:rPr>
          <w:rFonts w:eastAsia="Times New Roman"/>
          <w:szCs w:val="24"/>
          <w:lang w:eastAsia="lv-LV"/>
        </w:rPr>
        <w:t xml:space="preserve"> tika paredzēta kriminālatbildība tikai par sveša noslēpuma tīšu izpaušanu,  ja to izdarījusi persona, kam pēc sava amata vai nodarbošanās jāglabā slepenībā tai uzticētās vai zināmas kļuvušās ziņas</w:t>
      </w:r>
      <w:r>
        <w:rPr>
          <w:rFonts w:eastAsia="Times New Roman"/>
          <w:i/>
          <w:iCs/>
          <w:szCs w:val="24"/>
          <w:lang w:eastAsia="lv-LV"/>
        </w:rPr>
        <w:t xml:space="preserve">. </w:t>
      </w:r>
      <w:r>
        <w:rPr>
          <w:rFonts w:eastAsia="Times New Roman"/>
          <w:szCs w:val="24"/>
          <w:lang w:eastAsia="lv-LV"/>
        </w:rPr>
        <w:t xml:space="preserve">Taču 2009. gada 10. septembrī tika pieņemti grozījumi KL, ar kuriem KL 145. pants tika </w:t>
      </w:r>
      <w:r>
        <w:rPr>
          <w:rFonts w:eastAsia="Times New Roman"/>
          <w:szCs w:val="24"/>
          <w:lang w:eastAsia="lv-LV"/>
        </w:rPr>
        <w:lastRenderedPageBreak/>
        <w:t>izteikts jaunā redakcijā. Atbilstoši likumprojekta anotācijai grozījumi bija nepieciešami sakarā ar Eiropas Parlamenta un Padomes 1995. gada 24. oktobrī pieņemto direktīvu 95/46/EK par personu aizsardzību attiecībā uz personas datu apstrādi un šādu datu brīvu apriti (turpmāk – Direktīva 95/46/EK), kurā noteikti personas datu apstrādes nosacījumi. Saskaņā ar Direktīvas 95/46/EK 24. pantu, dalībvalstīm ir jāparedz atbilstoši pasākumi, lai nodrošinātu šīs direktīvas noteikumu ieviešanu pilnībā, un īpaši jānosaka sankcijas, kas jāuzliek gadījumā, ja tiek pārkāpti saskaņā ar šo Direktīvu 95/46/EK pieņemtie noteikumi.</w:t>
      </w:r>
    </w:p>
    <w:p w14:paraId="08ADF494" w14:textId="77777777" w:rsidR="008A684A" w:rsidRDefault="008A684A" w:rsidP="008A684A">
      <w:pPr>
        <w:rPr>
          <w:rFonts w:eastAsia="Times New Roman"/>
          <w:szCs w:val="24"/>
          <w:lang w:eastAsia="lv-LV"/>
        </w:rPr>
      </w:pPr>
      <w:r>
        <w:rPr>
          <w:rFonts w:eastAsia="Times New Roman"/>
          <w:szCs w:val="24"/>
          <w:lang w:eastAsia="lv-LV"/>
        </w:rPr>
        <w:t>Līdz ar to likumprojekta mērķis bija precizēt KL 145. pantu, izsakot to jaunā redakcijā un nosakot kriminālatbildību par nelikumīgām darbībām ar fiziskas personas datiem, lai veicinātu personas datu aizsardzību un atturētu personas veikt jebkādas nelikumīgas darbības ar fiziskās personas datiem. Atbilstoši tobrīd spēkā esošajam Fizisko personu datu aizsardzības likumam nelikumīgas darbības ar personas datiem ir nelikumīga personas datu apstrāde, tai skaitā personas datu apstrāde, nepielietojot apstrādei atbilstošus tehniskos un organizatoriskos līdzekļus, lai aizsargātu personas datus un novērstu to nelikumīgu apstrādi.</w:t>
      </w:r>
    </w:p>
    <w:p w14:paraId="148C8817" w14:textId="77777777" w:rsidR="008A684A" w:rsidRDefault="008A684A" w:rsidP="008A684A">
      <w:pPr>
        <w:rPr>
          <w:rFonts w:eastAsia="Times New Roman"/>
          <w:szCs w:val="24"/>
          <w:lang w:eastAsia="lv-LV"/>
        </w:rPr>
      </w:pPr>
      <w:r>
        <w:rPr>
          <w:rFonts w:eastAsia="Times New Roman"/>
          <w:szCs w:val="24"/>
          <w:lang w:eastAsia="lv-LV"/>
        </w:rPr>
        <w:t xml:space="preserve">KL 145. panta pirmajā daļā tika paredzēta atbildība par jebkādām nelikumīgām darbībām ar fiziskas personas datiem, kas var izpausties kā datu vākšana, reģistrēšana, ievadīšana, glabāšana, sakārtošana, pārveidošana, izmantošana, nodošana, pārraidīšana, izpaušana, bloķēšana vai dzēšana, ja šādas darbības izdarītas, neievērojot likuma priekšrakstus par to veikšanas kārtību un nosacījumiem. Par nelikumīgām darbībām ar fiziskas personas datiem tāpat atzīstama fiziskas personas datu bloķēšana, kļūdaini vai nelikumīgi iegūtu datu izdzēšanas vai iznīcināšanas rīkojuma neizpildīšana, kā arī fiziskās personas datu apstrādes turpināšana pēc tam, kad apstrādei noteikts pastāvīgs vai pagaidu aizliegums. </w:t>
      </w:r>
    </w:p>
    <w:p w14:paraId="6E4DA847" w14:textId="77777777" w:rsidR="008A684A" w:rsidRDefault="008A684A" w:rsidP="008A684A">
      <w:pPr>
        <w:rPr>
          <w:rFonts w:eastAsia="Times New Roman"/>
          <w:szCs w:val="24"/>
          <w:lang w:eastAsia="lv-LV"/>
        </w:rPr>
      </w:pPr>
      <w:r>
        <w:rPr>
          <w:rFonts w:eastAsia="Times New Roman"/>
          <w:szCs w:val="24"/>
          <w:lang w:eastAsia="lv-LV"/>
        </w:rPr>
        <w:t>Vienlaikus būtiska kaitējuma</w:t>
      </w:r>
      <w:r>
        <w:rPr>
          <w:rFonts w:eastAsia="Times New Roman"/>
          <w:b/>
          <w:bCs/>
          <w:szCs w:val="24"/>
          <w:lang w:eastAsia="lv-LV"/>
        </w:rPr>
        <w:t xml:space="preserve"> </w:t>
      </w:r>
      <w:r>
        <w:rPr>
          <w:rFonts w:eastAsia="Times New Roman"/>
          <w:szCs w:val="24"/>
          <w:lang w:eastAsia="lv-LV"/>
        </w:rPr>
        <w:t xml:space="preserve">konstatēšana attiecībā uz KL 145. panta pirmajā daļā paredzēto noziedzīgo nodarījumu bieži vien ir apgrūtinoša. Par to liecina arī praksē sastaptās grūtības uzsākt kriminālprocesu saskaņā ar KL 145. panta pirmo daļu, nepastāvot iespējamam būtiskam kaitējumam, kas nodarīts, veicot nelikumīgas darbības ar fiziskās personas datiem. Ņemot vērā, ka būtiska kaitējuma konstatēšana ir vērtējuma jautājums un norāde, ka nelikumīgo darbību rezultātā radīts būtisks kaitējums, jo ir aizskartas Satversmē garantētās tiesības uz privātās dzīves neaizskaramību, nav pietiekama, bieži tiek pieņemts lēmums par atteikšanos uzsākt kriminālprocesu. Kaut arī tiesu praksē ir ticis apskatīts jautājums par būtiska kaitējuma noteikšanu KL 145. panta kontekstā, minētās tiesas atziņas vairāk vērtējamas kā vispārīgas, nesniedzot detalizētāku kritēriju uzskaitījumu, to attiecinot tieši uz nelikumīgām darbībām personas datu apstrādes jomā. </w:t>
      </w:r>
    </w:p>
    <w:p w14:paraId="343DA866" w14:textId="77777777" w:rsidR="008A684A" w:rsidRDefault="008A684A" w:rsidP="008A684A">
      <w:pPr>
        <w:rPr>
          <w:rFonts w:eastAsia="Calibri"/>
          <w:bCs/>
        </w:rPr>
      </w:pPr>
      <w:r>
        <w:t xml:space="preserve">Ievērojot minēto, </w:t>
      </w:r>
      <w:r w:rsidRPr="00C01958">
        <w:t>grozījumi</w:t>
      </w:r>
      <w:r>
        <w:t xml:space="preserve"> paredz </w:t>
      </w:r>
      <w:r w:rsidRPr="00C01958">
        <w:rPr>
          <w:b/>
          <w:bCs/>
        </w:rPr>
        <w:t>KL 145. panta</w:t>
      </w:r>
      <w:r>
        <w:t xml:space="preserve"> pirmās daļas dispozīcijā </w:t>
      </w:r>
      <w:r>
        <w:rPr>
          <w:bCs/>
        </w:rPr>
        <w:t>vārdus “ar to radīts būtisks kaitējums” aizstāt ar  vārdiem “tās izdarītas atriebības, mantkārības vai šantāžas nolūkā”, savukārt sankcijā noteikt, ka par šādu noziedzīgu nodarījumu soda ar brīvības atņemšanu uz laiku līdz vienam gadam. Tādējādi KL 145. pantā tiek paredzēta kriminālatbildība par nelikumīgām darbībām ar fiziskās personas datiem, ja tās izdarītas atriebības, mantkārības vai šantāžas nolūkā. Uzskaitītie nolūku veidi līdz šim bija ietverti KL 145. panta otrajā daļā, un subjekts bija paredzēts tikai datu apstrādes pārzinis vai operators. Ievērojot to, ka atriebības, mantkārīguma un šantāžas nolūks pats par sevi ir pietiekami kaitīgs, par to nosakāma kriminālatbildība neatkarīgi no būtiska kaitējuma konstatēšanas, kā arī neatkarīgi no tā, kāds subjekts šādas darbības ir veicis.</w:t>
      </w:r>
    </w:p>
    <w:p w14:paraId="3C722D97" w14:textId="77777777" w:rsidR="008A684A" w:rsidRDefault="008A684A" w:rsidP="008A684A">
      <w:r>
        <w:rPr>
          <w:bCs/>
        </w:rPr>
        <w:t xml:space="preserve"> </w:t>
      </w:r>
      <w:r>
        <w:t xml:space="preserve">Atriebības jūtas var rasties saskaņā ar personiskajām attiecībām personas konkrētas rīcības vai uzvedības rezultātā vai jebkādu citu iemeslu dēļ. Mantkārīgu </w:t>
      </w:r>
      <w:r>
        <w:lastRenderedPageBreak/>
        <w:t xml:space="preserve">nolūku raksturo vainīgā vēlme gūt reālus jebkura veida materiālus labumus sev vai citām personām, vai izvairīties pašam, vai lai no materiāliem izdevumiem izvairītos citas personas. Šantāža, savukārt, ir draudi izpaust apkaunojošas ziņas par cietušo vai viņa tuviniekiem. </w:t>
      </w:r>
    </w:p>
    <w:p w14:paraId="034BE036" w14:textId="77777777" w:rsidR="008A684A" w:rsidRDefault="008A684A" w:rsidP="008A684A">
      <w:pPr>
        <w:rPr>
          <w:bCs/>
        </w:rPr>
      </w:pPr>
      <w:r>
        <w:rPr>
          <w:bCs/>
        </w:rPr>
        <w:t xml:space="preserve">Tāpat </w:t>
      </w:r>
      <w:r w:rsidRPr="00C01958">
        <w:rPr>
          <w:bCs/>
        </w:rPr>
        <w:t>grozījumi</w:t>
      </w:r>
      <w:r>
        <w:rPr>
          <w:b/>
          <w:bCs/>
        </w:rPr>
        <w:t xml:space="preserve"> </w:t>
      </w:r>
      <w:r>
        <w:t xml:space="preserve">paredz KL 145. panta ar </w:t>
      </w:r>
      <w:r>
        <w:rPr>
          <w:bCs/>
        </w:rPr>
        <w:t xml:space="preserve">2. daļu, izteikt jaunā redakcijā,  nosakot atbildību par nelikumīgām darbībām ar fiziskās personas datiem, ja ar to radīts būtisks kaitējums, tādējādi pēc būtības pārnesot pašreizējo panta pirmo daļu uz panta 2. daļu ar tādām pašām sankcijām. </w:t>
      </w:r>
    </w:p>
    <w:p w14:paraId="10E52FBE" w14:textId="77777777" w:rsidR="008A684A" w:rsidRDefault="008A684A" w:rsidP="008A684A">
      <w:pPr>
        <w:rPr>
          <w:bCs/>
        </w:rPr>
      </w:pPr>
      <w:r>
        <w:rPr>
          <w:bCs/>
        </w:rPr>
        <w:t>Izlemjot jautājumu par būtiska kaitējuma esamību, vērā ņemama Latvijas Republikas Augstākās tiesas Senāta Krimināllietu departamenta 2008. gada 1. septembra lēmumā lietā Nr. SKK-351/2008,</w:t>
      </w:r>
      <w:r>
        <w:rPr>
          <w:rStyle w:val="Vresatsauce"/>
          <w:bCs/>
        </w:rPr>
        <w:footnoteReference w:id="4"/>
      </w:r>
      <w:r>
        <w:rPr>
          <w:bCs/>
        </w:rPr>
        <w:t xml:space="preserve"> krimināllieta Nr. 12330002307, ietvertā norāde, ka Satversmē garantēto tiesību aizskārums katrā ziņā atzīstams par personas interešu ievērojamu aizskārumu likuma “</w:t>
      </w:r>
      <w:r>
        <w:rPr>
          <w:rFonts w:eastAsia="Calibri"/>
          <w:szCs w:val="24"/>
        </w:rPr>
        <w:t xml:space="preserve">Par Krimināllikuma spēkā stāšanās un piemērošanas kārtību” (turpmāk – PKLS) </w:t>
      </w:r>
      <w:r>
        <w:rPr>
          <w:bCs/>
        </w:rPr>
        <w:t>23. panta izpratnē. KL 145. panta gadījumā tiek aizsargātas Satversmes 96. pantā garantētās tiesības, proti, ikvienam ir tiesības uz privātās dzīves, mājokļa un korespondences neaizskaramību.</w:t>
      </w:r>
    </w:p>
    <w:p w14:paraId="43654160" w14:textId="77777777" w:rsidR="008A684A" w:rsidRDefault="008A684A" w:rsidP="008A684A">
      <w:r>
        <w:t>Vienlaikus vēršam uzmanību, ka Augstākās tiesas Senāts savā 2016. gada 29. septembra lēmumā lietā Nr. SKK-190/2016</w:t>
      </w:r>
      <w:r>
        <w:rPr>
          <w:rStyle w:val="Vresatsauce"/>
        </w:rPr>
        <w:footnoteReference w:id="5"/>
      </w:r>
      <w:r>
        <w:t xml:space="preserve"> ir paudis atziņu, kas ievērojami atšķiras no 2008. gada 1. septembra lēmuma lietā Nr. SKK-351/2008</w:t>
      </w:r>
      <w:r>
        <w:rPr>
          <w:rStyle w:val="Vresatsauce"/>
        </w:rPr>
        <w:footnoteReference w:id="6"/>
      </w:r>
      <w:r>
        <w:t xml:space="preserve"> paustajām. Proti, tajā secināts, ka KL 145. pantā paredzētais noziedzīgais nodarījums (nelikumīgas darbības ar fiziskās personas datiem) apdraud ar Latvijas Republikas Satversmes 96. pantu garantētās personas tiesības uz privātās dzīves neaizskaramību un noslēpumu, taču, lai iestātos kriminālatbildība, ar šīm darbībām jābūt radītam būtiskam kaitējumam. Proti, ne katrs Latvijas Republikas Satversmē garantēto tiesību aizskārums pats par sevi, bez aizskāruma </w:t>
      </w:r>
      <w:proofErr w:type="spellStart"/>
      <w:r>
        <w:t>izvērtējuma</w:t>
      </w:r>
      <w:proofErr w:type="spellEnd"/>
      <w:r>
        <w:t>, atzīstams par būtisku kaitējumu PKLS 23. panta izpratnē. Būtisks kaitējums nosakāms, pamatojoties uz tiesā pārbaudītiem pierādījumiem, izvērtējot interešu apdraudējuma veidu, saturu, intereses nesēja jeb personas, pret kuru vērsts apdraudējums, īpašības un attieksmi pret konkrēto interešu apdraudējumu.</w:t>
      </w:r>
    </w:p>
    <w:p w14:paraId="1E89D6F2" w14:textId="77777777" w:rsidR="008A684A" w:rsidRDefault="008A684A" w:rsidP="008A684A">
      <w:pPr>
        <w:rPr>
          <w:bCs/>
        </w:rPr>
      </w:pPr>
      <w:r>
        <w:rPr>
          <w:bCs/>
        </w:rPr>
        <w:t>Satversmē noteikto un ar likumu aizsargāto interešu apdraudējuma būtiskums vērtējams, ņemot vērā konkrētā nodarījuma faktiskos apstākļus. Līdz ar to ne katrs Satversmes 96. pantā garantēto tiesību aizskārums atzīstams par  būtisku interešu apdraudējumu PKLS 23. panta izpratnē, kvalificējot noziedzīgo nodarījumu pēc KL 145. panta pirmās daļas.</w:t>
      </w:r>
    </w:p>
    <w:p w14:paraId="2907B7F0" w14:textId="77777777" w:rsidR="008A684A" w:rsidRDefault="008A684A" w:rsidP="008A684A">
      <w:pPr>
        <w:rPr>
          <w:bCs/>
        </w:rPr>
      </w:pPr>
      <w:r>
        <w:rPr>
          <w:bCs/>
        </w:rPr>
        <w:t>Ievērojot minēto, lai konstatētu, ka ir radīts būtisks kaitējums atbilstoši KL 145. pantam, (1) vispirms ir jānoskaidro, vai ar nelikumīgām darbībām ar fiziskās personas datiem ir apdraudētas vai aizskartas Satversmes 96. pantā garantētās tiesības, proti, tiesības uz privātās dzīves, mājokļa vai korespondences neaizskaramību. Ja tiek konstatēts, ka šīs Satversmes 96. pantā garantētās tiesības ir tikušas apdraudētas vai aizskartas, tad (2) tālāk ir jānoskaidro, vai aizsargāto tiesību aizskārums ir būtisks, proti, tam ir jābūt ievērojamam, uz ko norāda konkrētā nodarījuma faktiskie apstākļi. KL 145. panta 2. daļas gadījumā būtu novērtējami viens vai vairāki šādi faktiskie apstākļi:</w:t>
      </w:r>
    </w:p>
    <w:p w14:paraId="28284A9B" w14:textId="77777777" w:rsidR="008A684A" w:rsidRDefault="008A684A" w:rsidP="008A684A">
      <w:pPr>
        <w:pStyle w:val="Sarakstarindkopa"/>
        <w:numPr>
          <w:ilvl w:val="0"/>
          <w:numId w:val="12"/>
        </w:numPr>
        <w:rPr>
          <w:bCs/>
        </w:rPr>
      </w:pPr>
      <w:r>
        <w:rPr>
          <w:bCs/>
        </w:rPr>
        <w:t>vai nelikumīgi apstrādāto personas datu apjoms ir kvantitatīvi liels;</w:t>
      </w:r>
    </w:p>
    <w:p w14:paraId="2CC2DCAC" w14:textId="77777777" w:rsidR="008A684A" w:rsidRDefault="008A684A" w:rsidP="008A684A">
      <w:pPr>
        <w:pStyle w:val="Sarakstarindkopa"/>
        <w:numPr>
          <w:ilvl w:val="0"/>
          <w:numId w:val="12"/>
        </w:numPr>
        <w:rPr>
          <w:bCs/>
        </w:rPr>
      </w:pPr>
      <w:r>
        <w:rPr>
          <w:bCs/>
        </w:rPr>
        <w:lastRenderedPageBreak/>
        <w:t xml:space="preserve">cik plaša ir bijusi nelikumīgi apstrādāto datu publiska izplatīšana (lokāla vai plaša, piemēram, publiski pieejama interneta saitēs un platformās, cik daudz citi pēc tam ir dalījušies ar šiem nelikumīgi publiskotajiem personas datiem);  </w:t>
      </w:r>
    </w:p>
    <w:p w14:paraId="4A988D72" w14:textId="77777777" w:rsidR="008A684A" w:rsidRDefault="008A684A" w:rsidP="008A684A">
      <w:pPr>
        <w:pStyle w:val="Sarakstarindkopa"/>
        <w:numPr>
          <w:ilvl w:val="0"/>
          <w:numId w:val="12"/>
        </w:numPr>
        <w:rPr>
          <w:bCs/>
        </w:rPr>
      </w:pPr>
      <w:r>
        <w:rPr>
          <w:bCs/>
        </w:rPr>
        <w:t xml:space="preserve">kāds bija apstrādājamo personas datu veids. Ievērojams aizsargāto tiesību apdraudējums vai aizskārums jo īpaši var tikt konstatēts gadījumos, kad nelikumīgi tiek apstrādāti īpašo kategoriju personas dati, kas ir atrunāti </w:t>
      </w:r>
      <w:r>
        <w:t xml:space="preserve">Eiropas Parlamenta un Padomes Regulas (ES) 2016/679 (2016. gada 27. aprīlis) par fizisku personu aizsardzību attiecībā uz personas datu apstrādi un šādu datu brīvu apriti un ar ko atceļ Direktīvu 95/46/EK (Vispārīgā datu aizsardzības regula) </w:t>
      </w:r>
      <w:r>
        <w:rPr>
          <w:bCs/>
        </w:rPr>
        <w:t xml:space="preserve">(turpmāk – Regulas) 9.pantā, proti, dati, kas atklāj rases vai etnisko piederību, politiskos uzskatus, reliģisko vai filozofisko pārliecību vai dalību arodbiedrībās, ģenētiskie dati, </w:t>
      </w:r>
      <w:proofErr w:type="spellStart"/>
      <w:r>
        <w:rPr>
          <w:bCs/>
        </w:rPr>
        <w:t>biometriskie</w:t>
      </w:r>
      <w:proofErr w:type="spellEnd"/>
      <w:r>
        <w:rPr>
          <w:bCs/>
        </w:rPr>
        <w:t xml:space="preserve"> dati, lai veiktu fiziskas personas unikālu identifikāciju, veselības dati vai dati par fiziskas personas dzimumdzīvi vai seksuālo orientāciju.</w:t>
      </w:r>
    </w:p>
    <w:p w14:paraId="59773BE2" w14:textId="77777777" w:rsidR="008A684A" w:rsidRDefault="008A684A" w:rsidP="008A684A">
      <w:pPr>
        <w:pStyle w:val="Sarakstarindkopa"/>
        <w:numPr>
          <w:ilvl w:val="0"/>
          <w:numId w:val="12"/>
        </w:numPr>
        <w:rPr>
          <w:bCs/>
        </w:rPr>
      </w:pPr>
      <w:r>
        <w:rPr>
          <w:bCs/>
        </w:rPr>
        <w:t>kāds bija personas datiem noteiktais statuss (piemēram, informācija dienesta vajadzībām, valsts noslēpums, u.c.);</w:t>
      </w:r>
    </w:p>
    <w:p w14:paraId="4E413567" w14:textId="77777777" w:rsidR="008A684A" w:rsidRDefault="008A684A" w:rsidP="008A684A">
      <w:pPr>
        <w:pStyle w:val="Sarakstarindkopa"/>
        <w:numPr>
          <w:ilvl w:val="0"/>
          <w:numId w:val="12"/>
        </w:numPr>
        <w:rPr>
          <w:bCs/>
        </w:rPr>
      </w:pPr>
      <w:r>
        <w:rPr>
          <w:bCs/>
        </w:rPr>
        <w:t>cik ilgstoši (diena, mēneši, gadi) vai cik reizes (vienreizēji vai daudzkārtīgi) notika nelikumīga personas datu apstrāde;</w:t>
      </w:r>
    </w:p>
    <w:p w14:paraId="36AA8443" w14:textId="77777777" w:rsidR="008A684A" w:rsidRDefault="008A684A" w:rsidP="008A684A">
      <w:pPr>
        <w:pStyle w:val="Sarakstarindkopa"/>
        <w:numPr>
          <w:ilvl w:val="0"/>
          <w:numId w:val="12"/>
        </w:numPr>
        <w:rPr>
          <w:bCs/>
        </w:rPr>
      </w:pPr>
      <w:r>
        <w:rPr>
          <w:bCs/>
        </w:rPr>
        <w:t>personas nelikumīgas datu apstrādes rezultātā ir sagrauta personas reputācija vai par to sabiedrībā radīts maldīgs priekšstats;</w:t>
      </w:r>
    </w:p>
    <w:p w14:paraId="46A0E1FF" w14:textId="77777777" w:rsidR="008A684A" w:rsidRDefault="008A684A" w:rsidP="008A684A">
      <w:pPr>
        <w:pStyle w:val="Sarakstarindkopa"/>
        <w:numPr>
          <w:ilvl w:val="0"/>
          <w:numId w:val="12"/>
        </w:numPr>
        <w:rPr>
          <w:bCs/>
        </w:rPr>
      </w:pPr>
      <w:r>
        <w:rPr>
          <w:bCs/>
        </w:rPr>
        <w:t>uz to, ka interešu apdraudējums vai aizskārums ir ievērojams norāda ne tikai radītais kaitējums datu subjektam, bet arī citām personām, piemēram, datu subjekta tuviniekiem, uzņēmumam vai iestādei, kurā datu subjekts strādā, tāpat iespējams apdraudējums valsts interesēm (piemēram, valsts drošībai, sabiedrības drošībai);</w:t>
      </w:r>
    </w:p>
    <w:p w14:paraId="250ABD71" w14:textId="77777777" w:rsidR="008A684A" w:rsidRDefault="008A684A" w:rsidP="008A684A">
      <w:pPr>
        <w:pStyle w:val="Sarakstarindkopa"/>
        <w:numPr>
          <w:ilvl w:val="0"/>
          <w:numId w:val="12"/>
        </w:numPr>
        <w:rPr>
          <w:bCs/>
        </w:rPr>
      </w:pPr>
      <w:r>
        <w:rPr>
          <w:bCs/>
        </w:rPr>
        <w:t>vai tika nelikumīgi apstrādāti dati par nepilngadīgu personu vai personu ar īpašām vajadzībām (invalīdu), kuri ir mazāk aizsargāti un nespēj pastāvīgi sevi pilnvērtīgi aizsargāt;</w:t>
      </w:r>
    </w:p>
    <w:p w14:paraId="28126EAB" w14:textId="77777777" w:rsidR="008A684A" w:rsidRPr="007567E3" w:rsidRDefault="008A684A" w:rsidP="008A684A">
      <w:pPr>
        <w:pStyle w:val="Sarakstarindkopa"/>
        <w:numPr>
          <w:ilvl w:val="0"/>
          <w:numId w:val="12"/>
        </w:numPr>
        <w:rPr>
          <w:bCs/>
        </w:rPr>
      </w:pPr>
      <w:r>
        <w:rPr>
          <w:bCs/>
        </w:rPr>
        <w:t>un citi kaitīgi apstākļi un sekas, t.sk., cik neatgriezenisks kaitējums nodarīts (var vai nevar novērst).</w:t>
      </w:r>
    </w:p>
    <w:p w14:paraId="662C6F0F" w14:textId="77777777" w:rsidR="008A684A" w:rsidRDefault="008A684A" w:rsidP="008A684A">
      <w:pPr>
        <w:rPr>
          <w:bCs/>
        </w:rPr>
      </w:pPr>
      <w:r>
        <w:rPr>
          <w:bCs/>
        </w:rPr>
        <w:t>Regulas 83. panta 2. punktā noteikts, kas katrā konkrētā gadījumā pienācīgi jāņem vērā, lemjot par to, vai piemērot administratīvo naudas sodu, un pieņemot lēmumu par administratīvā naudas soda apmēru. Atsevišķi sekojošie elementi varētu kalpot arī kā apstākļi būtiska kaitējuma konstatēšanai, piemēram:</w:t>
      </w:r>
    </w:p>
    <w:p w14:paraId="51AD8397" w14:textId="77777777" w:rsidR="008A684A" w:rsidRDefault="008A684A" w:rsidP="008A684A">
      <w:pPr>
        <w:pStyle w:val="Sarakstarindkopa"/>
        <w:numPr>
          <w:ilvl w:val="0"/>
          <w:numId w:val="13"/>
        </w:numPr>
        <w:rPr>
          <w:bCs/>
        </w:rPr>
      </w:pPr>
      <w:r>
        <w:rPr>
          <w:bCs/>
        </w:rPr>
        <w:t>pārkāpuma būtību, smagumu un ilgumu, ņemot vērā attiecīgo datu apstrādes veidu, apmēru vai nolūku, kā arī ietekmēto datu subjektu skaitu un tiem nodarītā kaitējuma apmēru;</w:t>
      </w:r>
    </w:p>
    <w:p w14:paraId="089E1C57" w14:textId="77777777" w:rsidR="008A684A" w:rsidRDefault="008A684A" w:rsidP="008A684A">
      <w:pPr>
        <w:pStyle w:val="Sarakstarindkopa"/>
        <w:numPr>
          <w:ilvl w:val="0"/>
          <w:numId w:val="13"/>
        </w:numPr>
        <w:rPr>
          <w:bCs/>
        </w:rPr>
      </w:pPr>
      <w:r>
        <w:rPr>
          <w:bCs/>
        </w:rPr>
        <w:t>to, vai pārkāpums izdarīts tīši vai neuzmanības dēļ;</w:t>
      </w:r>
    </w:p>
    <w:p w14:paraId="34B1D8F9" w14:textId="77777777" w:rsidR="008A684A" w:rsidRDefault="008A684A" w:rsidP="008A684A">
      <w:pPr>
        <w:pStyle w:val="Sarakstarindkopa"/>
        <w:numPr>
          <w:ilvl w:val="0"/>
          <w:numId w:val="13"/>
        </w:numPr>
        <w:rPr>
          <w:bCs/>
        </w:rPr>
      </w:pPr>
      <w:r>
        <w:rPr>
          <w:bCs/>
        </w:rPr>
        <w:t>to, kādu kategoriju personas datus ietekmējis pārkāpums;</w:t>
      </w:r>
    </w:p>
    <w:p w14:paraId="25DD981C" w14:textId="77777777" w:rsidR="008A684A" w:rsidRPr="007567E3" w:rsidRDefault="008A684A" w:rsidP="008A684A">
      <w:pPr>
        <w:pStyle w:val="Sarakstarindkopa"/>
        <w:numPr>
          <w:ilvl w:val="0"/>
          <w:numId w:val="13"/>
        </w:numPr>
        <w:rPr>
          <w:bCs/>
        </w:rPr>
      </w:pPr>
      <w:r>
        <w:rPr>
          <w:bCs/>
        </w:rPr>
        <w:t>jebkādu citu pastiprinošu apstākli, kas piemērojams lietas apstākļiem, piemēram, no pārkāpuma tieši vai netieši gūti finansiālie labumi.</w:t>
      </w:r>
    </w:p>
    <w:p w14:paraId="412120DF" w14:textId="77777777" w:rsidR="008A684A" w:rsidRDefault="008A684A" w:rsidP="008A684A">
      <w:pPr>
        <w:rPr>
          <w:bCs/>
        </w:rPr>
      </w:pPr>
      <w:r>
        <w:rPr>
          <w:bCs/>
        </w:rPr>
        <w:t xml:space="preserve">Tāpat </w:t>
      </w:r>
      <w:r w:rsidRPr="00C01958">
        <w:rPr>
          <w:bCs/>
        </w:rPr>
        <w:t>grozījumi</w:t>
      </w:r>
      <w:r>
        <w:rPr>
          <w:bCs/>
        </w:rPr>
        <w:t xml:space="preserve"> paredz panta trešo daļu izteikt jaunā redakcijā, paredzot atbildību par šā panta pirmajā vai otrajā daļā izdarīto noziedzīgo nodarījumu, ja to izdarījis speciālais subjekts - valsts amatpersona vai uzņēmuma (uzņēmējsabiedrības) vai organizācijas atbildīgs darbinieks.</w:t>
      </w:r>
      <w:r>
        <w:t xml:space="preserve"> Īpaši atzīmējams, ka gadījumos, kad </w:t>
      </w:r>
      <w:r>
        <w:rPr>
          <w:bCs/>
        </w:rPr>
        <w:t xml:space="preserve">nebūs konstatējamas KL 145.panta pirmās daļas atriebības, mantkārības vai šantāžas nolūks vai  otrajā daļā paredzētais būtisks kaitējums, tad amatpersonām būs nosakāma </w:t>
      </w:r>
      <w:r>
        <w:rPr>
          <w:bCs/>
        </w:rPr>
        <w:lastRenderedPageBreak/>
        <w:t>administratīvā atbildība par nelikumīgām darbībām ar fiziskās personas datiem saskaņā ar Regulu.</w:t>
      </w:r>
    </w:p>
    <w:p w14:paraId="2EF6D56B" w14:textId="77777777" w:rsidR="008A684A" w:rsidRDefault="008A684A" w:rsidP="008A684A">
      <w:r>
        <w:rPr>
          <w:bCs/>
        </w:rPr>
        <w:t xml:space="preserve">Lai KL 145. pantu precizētu atbilstoši Regulā lietotajiem terminiem, </w:t>
      </w:r>
      <w:r w:rsidRPr="00C01958">
        <w:rPr>
          <w:bCs/>
        </w:rPr>
        <w:t>grozījumi</w:t>
      </w:r>
      <w:r>
        <w:rPr>
          <w:bCs/>
        </w:rPr>
        <w:t xml:space="preserve"> paredz KL 145. pantu papildināt ar jaunu ceturto daļu, kurā noteikta atbildība par </w:t>
      </w:r>
      <w:r w:rsidRPr="00A921A3">
        <w:rPr>
          <w:bCs/>
        </w:rPr>
        <w:t>personas datu apstrādes pārziņa, apstrādātāja vai datu subjekta ietekmēšanu, pielietojot vardarbību vai draudus vai ļaunprātīgi izmantojot uzticību, vai ar viltu nolūkā veikt nelikumīgas darbības ar fiziskās personas datiem</w:t>
      </w:r>
      <w:r>
        <w:rPr>
          <w:bCs/>
        </w:rPr>
        <w:t>. Panta saturs un soda apmērs pārcelts no pašreizējās panta trešās daļas saturu un aizstājot vārdu “operators” ar vārdu “apstrādātājs”.</w:t>
      </w:r>
      <w:r>
        <w:t xml:space="preserve"> Ar 2018. gada 25. maiju personas datu aizsardzības jomā Eiropas Savienībā tiek piemērota Regula. Regula vairs neparedz terminu “operators”, kāds bija līdz šim Fizisko personu datu aizsardzības likumā, ar kuru pārņemtas Eiropas Parlamenta un Padomes Direktīvas 95/46/EK prasības. Atbilstoši Regulas ceturtā panta 8. punktam termins “operators” ir aizvietots ar terminu “apstrādātājs”, kas ir fiziska vai juridiska persona, publiska iestāde, aģentūra vai cita struktūra, kura pārziņa vārdā apstrādā personas datus.</w:t>
      </w:r>
    </w:p>
    <w:p w14:paraId="4E662B82" w14:textId="77777777" w:rsidR="008A684A" w:rsidRPr="007567E3" w:rsidRDefault="008A684A" w:rsidP="008A684A">
      <w:pPr>
        <w:rPr>
          <w:rFonts w:eastAsia="Times New Roman"/>
          <w:color w:val="000000"/>
          <w:szCs w:val="24"/>
          <w:shd w:val="clear" w:color="auto" w:fill="FFFFFF"/>
          <w:lang w:eastAsia="lv-LV" w:bidi="my-MM"/>
        </w:rPr>
      </w:pPr>
      <w:r>
        <w:t xml:space="preserve">Visbeidzot </w:t>
      </w:r>
      <w:r w:rsidRPr="00C01958">
        <w:rPr>
          <w:szCs w:val="24"/>
          <w:shd w:val="clear" w:color="auto" w:fill="FFFFFF"/>
          <w:lang w:val="cs-CZ"/>
        </w:rPr>
        <w:t>grozījumi</w:t>
      </w:r>
      <w:r>
        <w:rPr>
          <w:b/>
          <w:bCs/>
          <w:szCs w:val="24"/>
          <w:shd w:val="clear" w:color="auto" w:fill="FFFFFF"/>
          <w:lang w:val="cs-CZ"/>
        </w:rPr>
        <w:t xml:space="preserve"> </w:t>
      </w:r>
      <w:r>
        <w:rPr>
          <w:szCs w:val="24"/>
          <w:shd w:val="clear" w:color="auto" w:fill="FFFFFF"/>
          <w:lang w:val="cs-CZ"/>
        </w:rPr>
        <w:t xml:space="preserve"> paredz no KL 145. panta ceturtās daļas izslēgt sodu </w:t>
      </w:r>
      <w:r>
        <w:rPr>
          <w:rFonts w:eastAsia="Times New Roman"/>
          <w:color w:val="000000"/>
          <w:szCs w:val="24"/>
          <w:shd w:val="clear" w:color="auto" w:fill="FFFFFF"/>
          <w:lang w:eastAsia="lv-LV" w:bidi="my-MM"/>
        </w:rPr>
        <w:t xml:space="preserve">– </w:t>
      </w:r>
      <w:r>
        <w:rPr>
          <w:szCs w:val="24"/>
          <w:shd w:val="clear" w:color="auto" w:fill="FFFFFF"/>
          <w:lang w:val="cs-CZ"/>
        </w:rPr>
        <w:t xml:space="preserve">sabiedriskais darbs un naudas sods. </w:t>
      </w:r>
      <w:r>
        <w:rPr>
          <w:rFonts w:eastAsia="Times New Roman"/>
          <w:szCs w:val="24"/>
          <w:lang w:eastAsia="lv-LV"/>
        </w:rPr>
        <w:t xml:space="preserve">Priekšlikums paredz pastiprināt atbildību par </w:t>
      </w:r>
      <w:r>
        <w:rPr>
          <w:szCs w:val="24"/>
        </w:rPr>
        <w:t>personas datu apstrādes pārziņa, apstrādātāja vai datu subjekta ietekmēšanu, pielietojot vardarbību vai draudus vai ļaunprātīgi izmantojot uzticību, vai ar viltu nolūkā veikt nelikumīgas darbības ar fiziskās personas datiem</w:t>
      </w:r>
      <w:r>
        <w:rPr>
          <w:rFonts w:eastAsia="Times New Roman"/>
          <w:szCs w:val="24"/>
          <w:lang w:eastAsia="lv-LV"/>
        </w:rPr>
        <w:t xml:space="preserve">, </w:t>
      </w:r>
      <w:r>
        <w:rPr>
          <w:rFonts w:eastAsia="Times New Roman"/>
          <w:color w:val="000000"/>
          <w:szCs w:val="24"/>
          <w:shd w:val="clear" w:color="auto" w:fill="FFFFFF"/>
          <w:lang w:eastAsia="lv-LV" w:bidi="my-MM"/>
        </w:rPr>
        <w:t>proti, no sankcijas izslēdzot brīvības atņemšanai alternatīvo sodu – sabiedriskais darbs un naudas sods, jo šie soda veidi nav vērsti uz domāšanas un uzvedības maiņu. Vienlaikus par šiem noziedzīgajiem nodarījumiem kā alternatīvais sods brīvības atņemšanai tiek saglabāts soda veids – probācijas uzraudzība.</w:t>
      </w:r>
      <w:r>
        <w:rPr>
          <w:kern w:val="2"/>
          <w:szCs w:val="24"/>
          <w:lang w:bidi="my-MM"/>
          <w14:ligatures w14:val="standardContextual"/>
        </w:rPr>
        <w:t xml:space="preserve"> </w:t>
      </w:r>
      <w:r>
        <w:rPr>
          <w:rFonts w:eastAsia="Times New Roman"/>
          <w:color w:val="000000"/>
          <w:szCs w:val="24"/>
          <w:shd w:val="clear" w:color="auto" w:fill="FFFFFF"/>
          <w:lang w:eastAsia="lv-LV" w:bidi="my-MM"/>
        </w:rPr>
        <w:t xml:space="preserve">Probācijas uzraudzība ir vērsta uz personas uzvedības un domāšanas korekciju. Piemērojot probācijas uzraudzību, tiek nodrošināta personas ilgstoša kontrole un gadījumā, ja persona bez attaisnojoša iemesla nepilda kriminālsodu izpildi reglamentējošā likumā paredzētos vai soda izpildes iestādes noteiktos pienākumus, tad to aizstāj ar brīvības atņemšanu.  </w:t>
      </w:r>
    </w:p>
    <w:p w14:paraId="409FF890" w14:textId="77777777" w:rsidR="008A684A" w:rsidRDefault="008A684A" w:rsidP="008A684A">
      <w:pPr>
        <w:rPr>
          <w:bCs/>
        </w:rPr>
      </w:pPr>
      <w:r>
        <w:rPr>
          <w:bCs/>
        </w:rPr>
        <w:t>Vēršam uzmanību, ka Administratīvo sodu likuma par pārkāpumiem pārvaldes, sabiedriskās kārtības un valsts valodas lietošanas jomā 6. panta otrajā daļā ir paredzēta vispārēja atbildība par citas personas identitātes izmantošanu, ja ar to nav radītas kaitīgas sekas vai ja tas nav izdarīts īpašā nolūkā.</w:t>
      </w:r>
    </w:p>
    <w:p w14:paraId="540F7A16" w14:textId="77777777" w:rsidR="008A684A" w:rsidRDefault="008A684A" w:rsidP="008A684A">
      <w:pPr>
        <w:rPr>
          <w:bCs/>
        </w:rPr>
      </w:pPr>
      <w:r>
        <w:rPr>
          <w:bCs/>
        </w:rPr>
        <w:t>Savukārt KL ir paredzēti speciālie noziedzīgu nodarījumu sastāvi, kas saistīti ar citas personas identitātes izmantošanu, proti, KL 275.</w:t>
      </w:r>
      <w:r>
        <w:rPr>
          <w:bCs/>
          <w:vertAlign w:val="superscript"/>
        </w:rPr>
        <w:t>1</w:t>
      </w:r>
      <w:r>
        <w:rPr>
          <w:bCs/>
        </w:rPr>
        <w:t> pantā paredzēta atbildība par personu apliecinoša dokumenta iegūšanu, izmantojot citas personas datus, KL 281. pantā paredzēta atbildība par personas identitātes slēpšanu, bet KL 281.</w:t>
      </w:r>
      <w:r>
        <w:rPr>
          <w:bCs/>
          <w:vertAlign w:val="superscript"/>
        </w:rPr>
        <w:t>1</w:t>
      </w:r>
      <w:r>
        <w:rPr>
          <w:bCs/>
        </w:rPr>
        <w:t xml:space="preserve"> pantā paredzēta atbildība par uzdošanos par citu personu.</w:t>
      </w:r>
    </w:p>
    <w:p w14:paraId="70CB8CA9" w14:textId="77777777" w:rsidR="008A684A" w:rsidRDefault="008A684A" w:rsidP="008A684A">
      <w:pPr>
        <w:rPr>
          <w:bCs/>
        </w:rPr>
      </w:pPr>
    </w:p>
    <w:p w14:paraId="4BE01419" w14:textId="77777777" w:rsidR="008A684A" w:rsidRDefault="008A684A" w:rsidP="008A684A">
      <w:pPr>
        <w:rPr>
          <w:bCs/>
        </w:rPr>
      </w:pPr>
      <w:r>
        <w:t xml:space="preserve">Grozījumi paredz izslēgt </w:t>
      </w:r>
      <w:r w:rsidRPr="00C01958">
        <w:rPr>
          <w:b/>
          <w:bCs/>
        </w:rPr>
        <w:t>KL 275.</w:t>
      </w:r>
      <w:r w:rsidRPr="00C01958">
        <w:rPr>
          <w:b/>
          <w:bCs/>
          <w:vertAlign w:val="superscript"/>
        </w:rPr>
        <w:t>1 </w:t>
      </w:r>
      <w:r w:rsidRPr="00C01958">
        <w:rPr>
          <w:b/>
          <w:bCs/>
        </w:rPr>
        <w:t>pantu</w:t>
      </w:r>
      <w:r>
        <w:rPr>
          <w:bCs/>
        </w:rPr>
        <w:t xml:space="preserve">, kurā paredzēta atbildība par </w:t>
      </w:r>
      <w:r>
        <w:t xml:space="preserve">personu apliecinoša dokumenta iegūšana, izmantojot citas personas datus. </w:t>
      </w:r>
      <w:r>
        <w:rPr>
          <w:bCs/>
        </w:rPr>
        <w:t>Darba grupa secināja, ka atbildība par citas personas identitātes izmantošanu KL ir pārāk sadrumstalota, tāpēc KL 275.</w:t>
      </w:r>
      <w:r>
        <w:rPr>
          <w:bCs/>
          <w:vertAlign w:val="superscript"/>
        </w:rPr>
        <w:t>1</w:t>
      </w:r>
      <w:r>
        <w:rPr>
          <w:bCs/>
        </w:rPr>
        <w:t> pantā paredzēto noziedzīga nodarījuma sastāvu nepieciešams ietvert KL 281.</w:t>
      </w:r>
      <w:r>
        <w:rPr>
          <w:bCs/>
          <w:vertAlign w:val="superscript"/>
        </w:rPr>
        <w:t>1</w:t>
      </w:r>
      <w:r>
        <w:rPr>
          <w:bCs/>
        </w:rPr>
        <w:t xml:space="preserve"> pantā. </w:t>
      </w:r>
    </w:p>
    <w:p w14:paraId="55331321" w14:textId="77777777" w:rsidR="008A684A" w:rsidRDefault="008A684A" w:rsidP="008A684A"/>
    <w:p w14:paraId="2371B753" w14:textId="77777777" w:rsidR="008A684A" w:rsidRDefault="008A684A" w:rsidP="008A684A">
      <w:r>
        <w:t xml:space="preserve">Tādējādi </w:t>
      </w:r>
      <w:r w:rsidRPr="00C01958">
        <w:t>grozījumi</w:t>
      </w:r>
      <w:r>
        <w:t xml:space="preserve"> paredz </w:t>
      </w:r>
      <w:r w:rsidRPr="00C01958">
        <w:rPr>
          <w:b/>
          <w:bCs/>
        </w:rPr>
        <w:t>KL 281.</w:t>
      </w:r>
      <w:r w:rsidRPr="00C01958">
        <w:rPr>
          <w:b/>
          <w:bCs/>
          <w:vertAlign w:val="superscript"/>
        </w:rPr>
        <w:t xml:space="preserve">1 </w:t>
      </w:r>
      <w:r w:rsidRPr="00C01958">
        <w:rPr>
          <w:b/>
          <w:bCs/>
        </w:rPr>
        <w:t>panta</w:t>
      </w:r>
      <w:r>
        <w:t xml:space="preserve"> nosaukumu “Uzdošanās par citu personu” aizstāt ar nosaukumu “Citas personas identitātes izmantošana”.</w:t>
      </w:r>
    </w:p>
    <w:p w14:paraId="5C92B8ED" w14:textId="77777777" w:rsidR="008A684A" w:rsidRDefault="008A684A" w:rsidP="008A684A">
      <w:r>
        <w:t>Papildus</w:t>
      </w:r>
      <w:r>
        <w:rPr>
          <w:b/>
          <w:bCs/>
        </w:rPr>
        <w:t xml:space="preserve"> </w:t>
      </w:r>
      <w:r w:rsidRPr="00C01958">
        <w:t>grozījumi</w:t>
      </w:r>
      <w:r>
        <w:t xml:space="preserve"> paredz papildināt KL 281.</w:t>
      </w:r>
      <w:r>
        <w:rPr>
          <w:vertAlign w:val="superscript"/>
        </w:rPr>
        <w:t>1</w:t>
      </w:r>
      <w:r>
        <w:t xml:space="preserve"> pantu ar 1.</w:t>
      </w:r>
      <w:r>
        <w:rPr>
          <w:vertAlign w:val="superscript"/>
        </w:rPr>
        <w:t>1</w:t>
      </w:r>
      <w:r>
        <w:t xml:space="preserve"> daļu, nosakot atbildību par citas personas identitātes izmantošanu, ja ar to valstij, pašvaldībai vai personai, kuras identitāte tika izmantota, radīts būtisks kaitējums, vai ja tā izdarīta atriebības, mantkārības vai šantāžas nolūkā. Proti, paredzot līdzvērtīgas kvalificējošās pazīmes, </w:t>
      </w:r>
      <w:r>
        <w:lastRenderedPageBreak/>
        <w:t xml:space="preserve">kādas ir ietvertas KL 145. pantā pirmajā un 2. daļā par nelikumīgām darbībām ar fiziskās personas datiem. </w:t>
      </w:r>
    </w:p>
    <w:p w14:paraId="03CD4AC5" w14:textId="77777777" w:rsidR="008A684A" w:rsidRDefault="008A684A" w:rsidP="008A684A">
      <w:pPr>
        <w:rPr>
          <w:bCs/>
        </w:rPr>
      </w:pPr>
      <w:r>
        <w:t xml:space="preserve">Vienlaikus </w:t>
      </w:r>
      <w:r w:rsidRPr="00C01958">
        <w:t>grozījumi</w:t>
      </w:r>
      <w:r>
        <w:t xml:space="preserve"> paredz izteikt </w:t>
      </w:r>
      <w:r>
        <w:rPr>
          <w:bCs/>
        </w:rPr>
        <w:t>KL 281.</w:t>
      </w:r>
      <w:r>
        <w:rPr>
          <w:bCs/>
          <w:vertAlign w:val="superscript"/>
        </w:rPr>
        <w:t>1</w:t>
      </w:r>
      <w:r>
        <w:rPr>
          <w:bCs/>
        </w:rPr>
        <w:t xml:space="preserve"> panta </w:t>
      </w:r>
      <w:r>
        <w:t>otro daļu jaunā redakcijā, paredzot, ka atbildība iestājas par</w:t>
      </w:r>
      <w:r>
        <w:rPr>
          <w:bCs/>
        </w:rPr>
        <w:t xml:space="preserve"> citas personas identitātes izmantošanu, lai iegūtu personu apliecinošu dokumentu, vai par citas personas identitātes izmantošanu, kārtojot latviešu valodas prasmes vai citu Pilsonības likumā noteikto zināšanu pārbaudi, lai radītu šai personai iespēju iegūt Latvijas pilsonību naturalizācijas kārtībā. Tādējādi KL 275.</w:t>
      </w:r>
      <w:r>
        <w:rPr>
          <w:bCs/>
          <w:vertAlign w:val="superscript"/>
        </w:rPr>
        <w:t>1</w:t>
      </w:r>
      <w:r>
        <w:rPr>
          <w:bCs/>
        </w:rPr>
        <w:t> pantā paredzētais noziedzīga nodarījuma sastāvs tiek ietverts KL 281.</w:t>
      </w:r>
      <w:r>
        <w:rPr>
          <w:bCs/>
          <w:vertAlign w:val="superscript"/>
        </w:rPr>
        <w:t>1</w:t>
      </w:r>
      <w:r>
        <w:rPr>
          <w:bCs/>
        </w:rPr>
        <w:t xml:space="preserve"> panta otrajā daļā. Papildu no </w:t>
      </w:r>
      <w:bookmarkStart w:id="6" w:name="_Hlk153034069"/>
      <w:r>
        <w:rPr>
          <w:bCs/>
        </w:rPr>
        <w:t>KL 281.</w:t>
      </w:r>
      <w:r>
        <w:rPr>
          <w:bCs/>
          <w:vertAlign w:val="superscript"/>
        </w:rPr>
        <w:t>1</w:t>
      </w:r>
      <w:r>
        <w:rPr>
          <w:bCs/>
        </w:rPr>
        <w:t xml:space="preserve"> panta </w:t>
      </w:r>
      <w:bookmarkEnd w:id="6"/>
      <w:r>
        <w:rPr>
          <w:bCs/>
        </w:rPr>
        <w:t xml:space="preserve">otrās daļas dispozīcijas tiek izslēgts mantkārīgs nolūks, jo minētajā dispozīcijā paredzētās darbības pašas par sevi ir pietiekami kaitīgas neatkarīgi no tā, kādā nolūkā tās veiktas. </w:t>
      </w:r>
    </w:p>
    <w:p w14:paraId="75BA25E7" w14:textId="77777777" w:rsidR="008A684A" w:rsidRDefault="008A684A" w:rsidP="008A684A">
      <w:pPr>
        <w:rPr>
          <w:bCs/>
        </w:rPr>
      </w:pPr>
      <w:r>
        <w:rPr>
          <w:bCs/>
        </w:rPr>
        <w:t xml:space="preserve">Visbeidzot </w:t>
      </w:r>
      <w:r w:rsidRPr="00C01958">
        <w:t>grozījumi</w:t>
      </w:r>
      <w:r>
        <w:t xml:space="preserve"> paredz </w:t>
      </w:r>
      <w:r>
        <w:rPr>
          <w:bCs/>
        </w:rPr>
        <w:t>palielināt KL 281.</w:t>
      </w:r>
      <w:r>
        <w:rPr>
          <w:bCs/>
          <w:vertAlign w:val="superscript"/>
        </w:rPr>
        <w:t>1</w:t>
      </w:r>
      <w:r>
        <w:rPr>
          <w:bCs/>
        </w:rPr>
        <w:t xml:space="preserve"> panta otrās daļas sankcijā brīvības atņemšanas sodu no viena uz  diviem gadiem, tādējādi pastiprinot atbildību par šādu noziedzīgu nodarījumu.</w:t>
      </w:r>
    </w:p>
    <w:p w14:paraId="014D13EB" w14:textId="77777777" w:rsidR="008A684A" w:rsidRDefault="008A684A" w:rsidP="008A684A">
      <w:pPr>
        <w:rPr>
          <w:bCs/>
        </w:rPr>
      </w:pPr>
    </w:p>
    <w:p w14:paraId="0501E1BC" w14:textId="77777777" w:rsidR="008A684A" w:rsidRDefault="008A684A" w:rsidP="008A684A">
      <w:pPr>
        <w:pStyle w:val="VPBody"/>
        <w:spacing w:before="0" w:after="0"/>
        <w:rPr>
          <w:b/>
          <w:bCs w:val="0"/>
          <w:i/>
          <w:iCs/>
          <w:szCs w:val="24"/>
          <w:shd w:val="clear" w:color="auto" w:fill="FFFFFF"/>
        </w:rPr>
      </w:pPr>
      <w:r w:rsidRPr="00143381">
        <w:rPr>
          <w:b/>
          <w:bCs w:val="0"/>
          <w:szCs w:val="24"/>
          <w:shd w:val="clear" w:color="auto" w:fill="FFFFFF"/>
        </w:rPr>
        <w:tab/>
      </w:r>
      <w:r w:rsidRPr="00143381">
        <w:rPr>
          <w:b/>
          <w:bCs w:val="0"/>
          <w:i/>
          <w:iCs/>
          <w:szCs w:val="24"/>
          <w:shd w:val="clear" w:color="auto" w:fill="FFFFFF"/>
        </w:rPr>
        <w:t xml:space="preserve">Par </w:t>
      </w:r>
      <w:r>
        <w:rPr>
          <w:b/>
          <w:bCs w:val="0"/>
          <w:i/>
          <w:iCs/>
          <w:szCs w:val="24"/>
          <w:shd w:val="clear" w:color="auto" w:fill="FFFFFF"/>
        </w:rPr>
        <w:t>apdrošināšanas krāpšanu</w:t>
      </w:r>
      <w:r w:rsidRPr="00143381">
        <w:rPr>
          <w:b/>
          <w:bCs w:val="0"/>
          <w:i/>
          <w:iCs/>
          <w:szCs w:val="24"/>
          <w:shd w:val="clear" w:color="auto" w:fill="FFFFFF"/>
        </w:rPr>
        <w:t xml:space="preserve"> (grozījumi KL </w:t>
      </w:r>
      <w:r>
        <w:rPr>
          <w:b/>
          <w:bCs w:val="0"/>
          <w:i/>
          <w:iCs/>
          <w:szCs w:val="24"/>
          <w:shd w:val="clear" w:color="auto" w:fill="FFFFFF"/>
        </w:rPr>
        <w:t>178</w:t>
      </w:r>
      <w:r w:rsidRPr="00143381">
        <w:rPr>
          <w:b/>
          <w:bCs w:val="0"/>
          <w:i/>
          <w:iCs/>
          <w:szCs w:val="24"/>
          <w:shd w:val="clear" w:color="auto" w:fill="FFFFFF"/>
        </w:rPr>
        <w:t>. pantā)</w:t>
      </w:r>
    </w:p>
    <w:p w14:paraId="343DA817" w14:textId="77777777" w:rsidR="008A684A" w:rsidRDefault="008A684A" w:rsidP="008A684A">
      <w:pPr>
        <w:rPr>
          <w:bCs/>
        </w:rPr>
      </w:pPr>
    </w:p>
    <w:p w14:paraId="3C664192" w14:textId="77777777" w:rsidR="008A684A" w:rsidRDefault="008A684A" w:rsidP="008A684A">
      <w:pPr>
        <w:ind w:firstLine="720"/>
      </w:pPr>
      <w:r>
        <w:t>Latvijas Apdrošinātāju asociācija vērsa Tieslietu ministrijas uzmanību, ka KL 178. pants “Apdrošināšanas krāpšana” tā pašreizējā redakcijā nav atbilstošs mūsdienu tiesiskajai realitātei un praktiskajai situācijai. Proti, saskaņā ar šobrīd spēkā esošo KL 178. panta pirmo daļu apdrošināšanas krāpšana ir savas mantas tīša iznīcināšana, bojāšana vai slēpšana nolūkā saņemt apdrošināšanas atlīdzību. Tomēr minētās normas dispozīcija neaptver visus gadījumus, kad persona, apzināti maldinot apdrošinātāju, vēršas pie apdrošinātāja pēc apdrošināšanas atlīdzības gadījumā, kad šī atlīdzība personai nepienākas. Problēmas izraisa skaidrā norāde uz iznīcināmās mantas piederību. Tāpat tiesību norma šobrīd neparedz iespēju noteikt kriminālatbildību arī par miesas bojājumu tīšu nodarīšanu sev vai citai personai nolūkā saņemt apdrošināšanas atlīdzību, taču apdrošināšanas atlīdzību pieprasījumi un to izmaksas par konkrētajiem gadījumiem pēdējā laikā ir ievērojami palielinājušās. Arī termins „apdrošinājuma summa” panta redakcijas otrās un trešās daļas dispozīcijā tika lietots nepareizi, jo naudas summa, kuru apdrošinātājs izmaksā savam klientam apdrošināšanas līgumā paredzētajos gadījumos, ir apdrošināšanas atlīdzība (Apdrošināšanas līguma likuma 1. pants).</w:t>
      </w:r>
    </w:p>
    <w:p w14:paraId="39EE55F8" w14:textId="77777777" w:rsidR="008A684A" w:rsidRDefault="008A684A" w:rsidP="008A684A">
      <w:pPr>
        <w:ind w:firstLine="720"/>
      </w:pPr>
      <w:r>
        <w:t xml:space="preserve">Ievērojot minēto, </w:t>
      </w:r>
      <w:r w:rsidRPr="00B307AC">
        <w:t>grozījumi</w:t>
      </w:r>
      <w:r>
        <w:t xml:space="preserve"> paredz </w:t>
      </w:r>
      <w:r w:rsidRPr="00E5344D">
        <w:rPr>
          <w:b/>
          <w:bCs/>
        </w:rPr>
        <w:t>KL 178. pantu</w:t>
      </w:r>
      <w:r>
        <w:t xml:space="preserve"> “Apdrošināšanas krāpšana” izteikt jaunā redakcijā, panta pirmajā daļā nosakot kriminālatbildību par apdrošināšanas krāpšanu, tas ir, par apdrošināšanas atlīdzības vai tiesību uz apdrošināšanas atlīdzību prettiesisku iegūšanu, sniedzot apzināti nepatiesas ziņas, tīši nodarot miesas bojājumu sev vai citai personai, lietojot vardarbību vai draudus, tīši iznīcinot, bojājot vai slēpjot mantu, lietojot viltu, šantāžu, uzpirkšanu vai citā prettiesiskā veidā. </w:t>
      </w:r>
    </w:p>
    <w:p w14:paraId="0764D7AD" w14:textId="77777777" w:rsidR="008A684A" w:rsidRDefault="008A684A" w:rsidP="008A684A">
      <w:pPr>
        <w:ind w:firstLine="720"/>
      </w:pPr>
      <w:r>
        <w:t xml:space="preserve">Vēršam uzmanību, ka ar minēto normu tiktu nodrošināta iespēja personu saukt pie kriminālatbildības, ja tiek iesniegts pieteikums apdrošināšanas atlīdzības saņemšanai, sniedzot apzināti nepatiesas ziņas, tīši nodarot miesas bojājumu gan sev, tā arī citai personai, lietojot vardarbību vai draudus, tīši iznīcinot, bojājot vai slēpjot mantu, lietojot viltu vai viltojot dokumentus, lietojot šantāžu vai uzpirkšanu, apdrošinot jau iepriekš bojātu mantu un vēlāk piesakot atlīdzību par bojājumiem, draudot, falsificējot notikuma vietu (situāciju). Tāpat pēc panta pirmās daļas kvalificējami arī gadījumi, kad persona, pie kuras atrodas īpašnieka manta, ar viltu ir pierunājusi īpašnieku noslēgt apdrošināšanas līgumu, lai saskaņā ar līgumu tiktu atlīdzināti zaudējumi, kas mantai (piemēram, transportlīdzeklim) radušies pirms līguma noslēgšanas un par kuriem īpašnieks nav informēts. Proti, attiecīgajā situācijā </w:t>
      </w:r>
      <w:r>
        <w:lastRenderedPageBreak/>
        <w:t xml:space="preserve">apdrošināšanas krāpšanu veikusi persona, kas nav transportlīdzekļa īpašnieks, lai viņam nevajadzētu mantas īpašniekam atlīdzināt zaudējumus. Papildus norādāms, ka piedāvātā normas redakcija neizslēdz arī citas iespējamās apdrošināšanas krāpšanas darbības, jo tiek paredzēta iespēja personu saukt pie kriminālatbildības arī par apdrošināšanas krāpšanu, ja tā izdarītā citā prettiesiskā veidā.  </w:t>
      </w:r>
    </w:p>
    <w:p w14:paraId="42B2AD63" w14:textId="77777777" w:rsidR="008A684A" w:rsidRDefault="008A684A" w:rsidP="008A684A">
      <w:pPr>
        <w:ind w:firstLine="720"/>
      </w:pPr>
      <w:r>
        <w:t xml:space="preserve">Vienlaikus normā lietotie vārdi “par apdrošināšanas atlīdzības vai tiesību uz apdrošināšanas atlīdzību iegūšanu” nodrošina iespēju vērsties </w:t>
      </w:r>
      <w:proofErr w:type="spellStart"/>
      <w:r>
        <w:t>tiesībsargājošās</w:t>
      </w:r>
      <w:proofErr w:type="spellEnd"/>
      <w:r>
        <w:t xml:space="preserve"> iestādēs arī pirms lēmuma par apdrošināšanas atlīdzību pieņemšanas un apdrošināšanas atlīdzības izmaksas. Tāpat nepieciešams norādīt, ka tie aptver arī terminu “tiesības uz apdrošināšanas pakalpojumu”, atbilstoši Apdrošināšanas līguma likumā noteiktajam, t.i., ka apdrošināšanas atlīdzība ir par apdrošināšanas gadījumu izmaksājamā naudas summa vai nodrošināmie pakalpojumi atbilstoši apdrošināšanas līgumam. Turklāt, šāda termina lietošana var radīt pārpratumu, jo apdrošināšanas pakalpojums ir viss, kas saistīts ar apdrošināšanas līguma slēgšanu un tā izpildi, ne tikai apdrošināšanas atlīdzības saņemšana pakalpojuma veidā. </w:t>
      </w:r>
    </w:p>
    <w:p w14:paraId="5BB288E1" w14:textId="77777777" w:rsidR="008A684A" w:rsidRDefault="008A684A" w:rsidP="008A684A">
      <w:pPr>
        <w:ind w:firstLine="720"/>
      </w:pPr>
      <w:r>
        <w:t>Attiecībā par KL 178. panta pirmās daļas sankciju norādām, ka grozījumi paredz palielināt arī brīvības atņemšanas termiņu, to paaugstinot no diviem uz pieciem gadiem. Šādā gadījumā minētais noziedzīgais nodarījums iepretim krāpšanas pantam (KL 177. pants) tiek atzīts par smagu noziegumu, ņemot vērā, ka KL 178. pantā ir paredzēts kvalificēts noziedzīga nodarījuma sastāvs. Līdz ar to nebūtu pareizi par apdrošināšanas krāpšanu noteikt vieglākus soda veidus nekā par citu veidu krāpšanu, jo šis noziegums skar visus apdrošinātāju polišu pircējus, kuri, maksājot par apdrošināšanu, būtībā veido kopējo fondu, no kura apdrošinātājs veic apdrošināšanas atlīdzības izmaksas.</w:t>
      </w:r>
    </w:p>
    <w:p w14:paraId="6B39F860" w14:textId="77777777" w:rsidR="008A684A" w:rsidRDefault="008A684A" w:rsidP="008A684A">
      <w:pPr>
        <w:ind w:firstLine="720"/>
      </w:pPr>
      <w:r>
        <w:t>Savukārt panta otrajā daļā tiek paredzēts pastiprināt kriminālatbildību par apdrošināšanas krāpšanu, ja tā izdarīta nolūkā saņemt apdrošināšanas atlīdzību lielā apmērā, vai ja to izdarījusi personu grupa pēc iepriekšējas vienošanās, vai ja ar to radītas smagas sekas. Par minētā noziedzīgā nodarījuma izdarīšanu tiek paredzēta brīvības atņemšana uz laiku no diviem līdz desmit gadiem un ar probācijas uzraudzību uz laiku līdz trim gadiem vai bez tās.</w:t>
      </w:r>
    </w:p>
    <w:p w14:paraId="29FA7682" w14:textId="77777777" w:rsidR="008A684A" w:rsidRDefault="008A684A" w:rsidP="008A684A">
      <w:pPr>
        <w:ind w:firstLine="720"/>
      </w:pPr>
    </w:p>
    <w:p w14:paraId="08A127FB" w14:textId="77777777" w:rsidR="008A684A" w:rsidRDefault="008A684A" w:rsidP="008A684A">
      <w:pPr>
        <w:pStyle w:val="VPBody"/>
        <w:spacing w:before="0" w:after="0"/>
        <w:rPr>
          <w:b/>
          <w:bCs w:val="0"/>
          <w:i/>
          <w:iCs/>
          <w:szCs w:val="24"/>
          <w:shd w:val="clear" w:color="auto" w:fill="FFFFFF"/>
        </w:rPr>
      </w:pPr>
      <w:r w:rsidRPr="00143381">
        <w:rPr>
          <w:b/>
          <w:bCs w:val="0"/>
          <w:szCs w:val="24"/>
          <w:shd w:val="clear" w:color="auto" w:fill="FFFFFF"/>
        </w:rPr>
        <w:tab/>
      </w:r>
      <w:r w:rsidRPr="00143381">
        <w:rPr>
          <w:b/>
          <w:bCs w:val="0"/>
          <w:i/>
          <w:iCs/>
          <w:szCs w:val="24"/>
          <w:shd w:val="clear" w:color="auto" w:fill="FFFFFF"/>
        </w:rPr>
        <w:t xml:space="preserve">Par </w:t>
      </w:r>
      <w:r>
        <w:rPr>
          <w:b/>
          <w:bCs w:val="0"/>
          <w:i/>
          <w:iCs/>
          <w:szCs w:val="24"/>
          <w:shd w:val="clear" w:color="auto" w:fill="FFFFFF"/>
        </w:rPr>
        <w:t>noziedzīga nodarījuma kvalificējošo pazīmi, kas saistīts ar nolūku iegūt nepamatotas priekšrocības sev vai jebkurai citai personai</w:t>
      </w:r>
      <w:r w:rsidRPr="00143381">
        <w:rPr>
          <w:b/>
          <w:bCs w:val="0"/>
          <w:i/>
          <w:iCs/>
          <w:szCs w:val="24"/>
          <w:shd w:val="clear" w:color="auto" w:fill="FFFFFF"/>
        </w:rPr>
        <w:t xml:space="preserve"> (grozījumi KL </w:t>
      </w:r>
      <w:r>
        <w:rPr>
          <w:b/>
          <w:bCs w:val="0"/>
          <w:i/>
          <w:iCs/>
          <w:szCs w:val="24"/>
          <w:shd w:val="clear" w:color="auto" w:fill="FFFFFF"/>
        </w:rPr>
        <w:t>196</w:t>
      </w:r>
      <w:r w:rsidRPr="00143381">
        <w:rPr>
          <w:b/>
          <w:bCs w:val="0"/>
          <w:i/>
          <w:iCs/>
          <w:szCs w:val="24"/>
          <w:shd w:val="clear" w:color="auto" w:fill="FFFFFF"/>
        </w:rPr>
        <w:t>.</w:t>
      </w:r>
      <w:r>
        <w:rPr>
          <w:b/>
          <w:bCs w:val="0"/>
          <w:i/>
          <w:iCs/>
          <w:szCs w:val="24"/>
          <w:shd w:val="clear" w:color="auto" w:fill="FFFFFF"/>
        </w:rPr>
        <w:t xml:space="preserve">, 317., 318., 319., 341. </w:t>
      </w:r>
      <w:r w:rsidRPr="00143381">
        <w:rPr>
          <w:b/>
          <w:bCs w:val="0"/>
          <w:i/>
          <w:iCs/>
          <w:szCs w:val="24"/>
          <w:shd w:val="clear" w:color="auto" w:fill="FFFFFF"/>
        </w:rPr>
        <w:t> pantā)</w:t>
      </w:r>
    </w:p>
    <w:p w14:paraId="298777FD" w14:textId="77777777" w:rsidR="008A684A" w:rsidRDefault="008A684A" w:rsidP="008A684A">
      <w:pPr>
        <w:ind w:firstLine="720"/>
      </w:pPr>
    </w:p>
    <w:p w14:paraId="4D12FA67" w14:textId="77777777" w:rsidR="008A684A" w:rsidRDefault="008A684A" w:rsidP="008A684A">
      <w:pPr>
        <w:rPr>
          <w:rFonts w:eastAsia="Times New Roman"/>
          <w:szCs w:val="24"/>
          <w:shd w:val="clear" w:color="auto" w:fill="FFFFFF"/>
        </w:rPr>
      </w:pPr>
      <w:r>
        <w:rPr>
          <w:rFonts w:eastAsia="Times New Roman"/>
          <w:szCs w:val="24"/>
          <w:lang w:eastAsia="lv-LV" w:bidi="my-MM"/>
        </w:rPr>
        <w:t xml:space="preserve">Noziedzīgiem nodarījumiem, kas ietverti KL 196., 317., 318., 319. un 341. pantā, jau šobrīd ir paredzēta kvalificējošā pazīme – mantkārīgs nolūks. </w:t>
      </w:r>
      <w:r>
        <w:rPr>
          <w:rFonts w:eastAsia="Times New Roman"/>
          <w:szCs w:val="24"/>
          <w:shd w:val="clear" w:color="auto" w:fill="FFFFFF"/>
        </w:rPr>
        <w:t>Piemēram, par mantkārīgu nolūku amatnoziegumos (KL 317., 318. pants) paskaidrots, ka primārais uzdevums ir konstatēt mantkārīgu nolūku, un, ja tas ir izdarīts, fakts, ka iecerēto labumu nav izdevies gūt vispār, kvalifikāciju neietekmē.</w:t>
      </w:r>
      <w:r>
        <w:rPr>
          <w:rFonts w:eastAsia="Times New Roman"/>
          <w:szCs w:val="24"/>
          <w:shd w:val="clear" w:color="auto" w:fill="FFFFFF"/>
          <w:vertAlign w:val="superscript"/>
          <w:lang w:val="en-US"/>
        </w:rPr>
        <w:footnoteReference w:id="7"/>
      </w:r>
      <w:r>
        <w:rPr>
          <w:rFonts w:eastAsia="Times New Roman"/>
          <w:szCs w:val="24"/>
          <w:shd w:val="clear" w:color="auto" w:fill="FFFFFF"/>
        </w:rPr>
        <w:t xml:space="preserve"> Vienlaikus darba grupa secināja, ka bez mantkārīga nolūka, amatpersonai rīkojoties prettiesiski vai ļaunprātīgi izmantojot savu dienesta stāvokli, var būt arī citi nolūki, kas saistīti ar nepamatotu priekšrocību iegūšanu sev vai jebkurai citai personai, un kas nav saistīti ar materiāla labuma gūšanu. Īpaši tas var izpausties dažādās publisko iepirkumu procedūrās, piemēram, kad publiskā iepirkuma komisijas loceklis izdara tīšas darbības, ļaunprātīgi izmantojot dienesta stāvokli, nolūkā panākt konkrēta pretendenta (sava radinieka, paziņas), kas ir iesniedzis vai var iesniegt piedāvājumu, atzīšanu par uzvarētāju iepirkuma procedūrā. </w:t>
      </w:r>
    </w:p>
    <w:p w14:paraId="6C1D24EC" w14:textId="77777777" w:rsidR="008A684A" w:rsidRDefault="008A684A" w:rsidP="008A684A">
      <w:pPr>
        <w:rPr>
          <w:rFonts w:eastAsia="Times New Roman"/>
          <w:szCs w:val="24"/>
          <w:lang w:eastAsia="lv-LV" w:bidi="my-MM"/>
        </w:rPr>
      </w:pPr>
      <w:r>
        <w:rPr>
          <w:rFonts w:eastAsia="Times New Roman"/>
          <w:szCs w:val="24"/>
          <w:lang w:eastAsia="lv-LV" w:bidi="my-MM"/>
        </w:rPr>
        <w:lastRenderedPageBreak/>
        <w:t>Tāpat amatpersonai var būt nolūks palielināt savu varu vai ietekmi, izmantojot savu dienesta stāvokli, lai iegūtu labāku pozīciju vai kontrolētu situācijas, kas varētu būt nesaistītas ar materiālo labumu.</w:t>
      </w:r>
      <w:r>
        <w:rPr>
          <w:rFonts w:ascii="Segoe UI" w:hAnsi="Segoe UI" w:cs="Segoe UI"/>
          <w:color w:val="374151"/>
        </w:rPr>
        <w:t xml:space="preserve"> </w:t>
      </w:r>
      <w:r>
        <w:rPr>
          <w:rFonts w:eastAsia="Times New Roman"/>
          <w:szCs w:val="24"/>
          <w:lang w:eastAsia="lv-LV" w:bidi="my-MM"/>
        </w:rPr>
        <w:t>Dienesta stāvokļa ļaunprātīga izmantošana var dot pieeju konfidenciālai informācijai vai iespējām, kas citiem nav pieejamas, radot priekšrocības sev vai jebkurai citai personai.</w:t>
      </w:r>
      <w:r>
        <w:t xml:space="preserve"> A</w:t>
      </w:r>
      <w:r>
        <w:rPr>
          <w:rFonts w:eastAsia="Times New Roman"/>
          <w:szCs w:val="24"/>
          <w:lang w:eastAsia="lv-LV" w:bidi="my-MM"/>
        </w:rPr>
        <w:t>matpersonai tāpat var būt nolūks izmantot savu stāvokli, lai veicinātu personiskas attiecības ar konkrētām personām vai grupām, kas var radīt priekšrocības sabiedriskā, sociālā vai personiskā līmenī.</w:t>
      </w:r>
    </w:p>
    <w:p w14:paraId="351E53F7" w14:textId="77777777" w:rsidR="008A684A" w:rsidRDefault="008A684A" w:rsidP="008A684A">
      <w:pPr>
        <w:rPr>
          <w:rFonts w:eastAsia="Times New Roman"/>
          <w:szCs w:val="24"/>
          <w:lang w:eastAsia="lv-LV" w:bidi="my-MM"/>
        </w:rPr>
      </w:pPr>
      <w:r>
        <w:rPr>
          <w:kern w:val="2"/>
          <w:szCs w:val="24"/>
          <w:lang w:bidi="my-MM"/>
          <w14:ligatures w14:val="standardContextual"/>
        </w:rPr>
        <w:t>Ievērojot minēto, g</w:t>
      </w:r>
      <w:r w:rsidRPr="00B307AC">
        <w:rPr>
          <w:kern w:val="2"/>
          <w:szCs w:val="24"/>
          <w:lang w:bidi="my-MM"/>
          <w14:ligatures w14:val="standardContextual"/>
        </w:rPr>
        <w:t>rozījumi</w:t>
      </w:r>
      <w:r>
        <w:rPr>
          <w:b/>
          <w:bCs/>
          <w:kern w:val="2"/>
          <w:szCs w:val="24"/>
          <w:lang w:bidi="my-MM"/>
          <w14:ligatures w14:val="standardContextual"/>
        </w:rPr>
        <w:t xml:space="preserve"> </w:t>
      </w:r>
      <w:r>
        <w:rPr>
          <w:kern w:val="2"/>
          <w:szCs w:val="24"/>
          <w:lang w:bidi="my-MM"/>
          <w14:ligatures w14:val="standardContextual"/>
        </w:rPr>
        <w:t>paredz</w:t>
      </w:r>
      <w:r>
        <w:rPr>
          <w:b/>
          <w:bCs/>
          <w:kern w:val="2"/>
          <w:szCs w:val="24"/>
          <w:lang w:bidi="my-MM"/>
          <w14:ligatures w14:val="standardContextual"/>
        </w:rPr>
        <w:t xml:space="preserve"> </w:t>
      </w:r>
      <w:r>
        <w:rPr>
          <w:kern w:val="2"/>
          <w:szCs w:val="24"/>
          <w:lang w:bidi="my-MM"/>
          <w14:ligatures w14:val="standardContextual"/>
        </w:rPr>
        <w:t>papildināt</w:t>
      </w:r>
      <w:r>
        <w:rPr>
          <w:b/>
          <w:bCs/>
          <w:kern w:val="2"/>
          <w:szCs w:val="24"/>
          <w:lang w:bidi="my-MM"/>
          <w14:ligatures w14:val="standardContextual"/>
        </w:rPr>
        <w:t xml:space="preserve"> </w:t>
      </w:r>
      <w:r w:rsidRPr="00B307AC">
        <w:rPr>
          <w:b/>
          <w:bCs/>
          <w:kern w:val="2"/>
          <w:szCs w:val="24"/>
          <w:lang w:bidi="my-MM"/>
          <w14:ligatures w14:val="standardContextual"/>
        </w:rPr>
        <w:t xml:space="preserve">KL </w:t>
      </w:r>
      <w:r w:rsidRPr="00B307AC">
        <w:rPr>
          <w:rFonts w:eastAsia="Times New Roman"/>
          <w:b/>
          <w:bCs/>
          <w:szCs w:val="24"/>
          <w:lang w:eastAsia="lv-LV" w:bidi="my-MM"/>
        </w:rPr>
        <w:t>196. panta</w:t>
      </w:r>
      <w:r>
        <w:rPr>
          <w:rFonts w:eastAsia="Times New Roman"/>
          <w:szCs w:val="24"/>
          <w:lang w:eastAsia="lv-LV" w:bidi="my-MM"/>
        </w:rPr>
        <w:t xml:space="preserve"> “Pilnvaru ļaunprātīga izmantošana un pārsniegšana” otrās daļas, </w:t>
      </w:r>
      <w:r w:rsidRPr="00B307AC">
        <w:rPr>
          <w:b/>
          <w:bCs/>
          <w:kern w:val="2"/>
          <w:szCs w:val="24"/>
          <w:lang w:bidi="my-MM"/>
          <w14:ligatures w14:val="standardContextual"/>
        </w:rPr>
        <w:t xml:space="preserve">KL </w:t>
      </w:r>
      <w:r w:rsidRPr="00B307AC">
        <w:rPr>
          <w:rFonts w:eastAsia="Times New Roman"/>
          <w:b/>
          <w:bCs/>
          <w:szCs w:val="24"/>
          <w:lang w:eastAsia="lv-LV" w:bidi="my-MM"/>
        </w:rPr>
        <w:t>317. panta</w:t>
      </w:r>
      <w:r>
        <w:rPr>
          <w:rFonts w:eastAsia="Times New Roman"/>
          <w:szCs w:val="24"/>
          <w:lang w:eastAsia="lv-LV" w:bidi="my-MM"/>
        </w:rPr>
        <w:t xml:space="preserve"> “Dienesta pilnvaru pārsniegšana” otrās daļas, </w:t>
      </w:r>
      <w:r w:rsidRPr="00B307AC">
        <w:rPr>
          <w:b/>
          <w:bCs/>
          <w:kern w:val="2"/>
          <w:szCs w:val="24"/>
          <w:lang w:bidi="my-MM"/>
          <w14:ligatures w14:val="standardContextual"/>
        </w:rPr>
        <w:t xml:space="preserve">KL </w:t>
      </w:r>
      <w:r w:rsidRPr="00B307AC">
        <w:rPr>
          <w:rFonts w:eastAsia="Times New Roman"/>
          <w:b/>
          <w:bCs/>
          <w:szCs w:val="24"/>
          <w:lang w:eastAsia="lv-LV" w:bidi="my-MM"/>
        </w:rPr>
        <w:t>318. panta</w:t>
      </w:r>
      <w:r>
        <w:rPr>
          <w:rFonts w:eastAsia="Times New Roman"/>
          <w:szCs w:val="24"/>
          <w:lang w:eastAsia="lv-LV" w:bidi="my-MM"/>
        </w:rPr>
        <w:t xml:space="preserve"> “Dienesta stāvokļa ļaunprātīga izmantošana” otrās daļas,  </w:t>
      </w:r>
      <w:r w:rsidRPr="00B307AC">
        <w:rPr>
          <w:b/>
          <w:bCs/>
          <w:kern w:val="2"/>
          <w:szCs w:val="24"/>
          <w:lang w:bidi="my-MM"/>
          <w14:ligatures w14:val="standardContextual"/>
        </w:rPr>
        <w:t xml:space="preserve">KL </w:t>
      </w:r>
      <w:r w:rsidRPr="00B307AC">
        <w:rPr>
          <w:rFonts w:eastAsia="Times New Roman"/>
          <w:b/>
          <w:bCs/>
          <w:szCs w:val="24"/>
          <w:lang w:eastAsia="lv-LV" w:bidi="my-MM"/>
        </w:rPr>
        <w:t>319. panta</w:t>
      </w:r>
      <w:r>
        <w:rPr>
          <w:rFonts w:eastAsia="Times New Roman"/>
          <w:szCs w:val="24"/>
          <w:lang w:eastAsia="lv-LV" w:bidi="my-MM"/>
        </w:rPr>
        <w:t xml:space="preserve"> “Valsts amatpersonas bezdarbība” otrās daļas un </w:t>
      </w:r>
      <w:r w:rsidRPr="00B307AC">
        <w:rPr>
          <w:b/>
          <w:bCs/>
          <w:kern w:val="2"/>
          <w:szCs w:val="24"/>
          <w:lang w:bidi="my-MM"/>
          <w14:ligatures w14:val="standardContextual"/>
        </w:rPr>
        <w:t xml:space="preserve">KL </w:t>
      </w:r>
      <w:r w:rsidRPr="00B307AC">
        <w:rPr>
          <w:rFonts w:eastAsia="Times New Roman"/>
          <w:b/>
          <w:bCs/>
          <w:szCs w:val="24"/>
          <w:lang w:eastAsia="lv-LV" w:bidi="my-MM"/>
        </w:rPr>
        <w:t>341. panta</w:t>
      </w:r>
      <w:r>
        <w:rPr>
          <w:rFonts w:eastAsia="Times New Roman"/>
          <w:szCs w:val="24"/>
          <w:lang w:eastAsia="lv-LV" w:bidi="my-MM"/>
        </w:rPr>
        <w:t xml:space="preserve"> “Varas ļaunprātīga izmantošana un dienesta pilnvaru pārkāpšana” pirmās daļas disproziju ar jaunu nolūka veidu, proti, nolūkā iegūt nepamatotas priekšrocības sev vai jebkurai citai personai. </w:t>
      </w:r>
    </w:p>
    <w:p w14:paraId="678809AA" w14:textId="77777777" w:rsidR="008A684A" w:rsidRDefault="008A684A" w:rsidP="008A684A">
      <w:pPr>
        <w:ind w:firstLine="720"/>
      </w:pPr>
    </w:p>
    <w:p w14:paraId="68E79DEA" w14:textId="77777777" w:rsidR="008A684A" w:rsidRDefault="008A684A" w:rsidP="008A684A">
      <w:pPr>
        <w:pStyle w:val="VPBody"/>
        <w:spacing w:before="0" w:after="0"/>
        <w:rPr>
          <w:b/>
          <w:bCs w:val="0"/>
          <w:i/>
          <w:iCs/>
          <w:szCs w:val="24"/>
          <w:shd w:val="clear" w:color="auto" w:fill="FFFFFF"/>
        </w:rPr>
      </w:pPr>
      <w:r w:rsidRPr="00143381">
        <w:rPr>
          <w:b/>
          <w:bCs w:val="0"/>
          <w:szCs w:val="24"/>
          <w:shd w:val="clear" w:color="auto" w:fill="FFFFFF"/>
        </w:rPr>
        <w:tab/>
      </w:r>
      <w:r w:rsidRPr="00143381">
        <w:rPr>
          <w:b/>
          <w:bCs w:val="0"/>
          <w:i/>
          <w:iCs/>
          <w:szCs w:val="24"/>
          <w:shd w:val="clear" w:color="auto" w:fill="FFFFFF"/>
        </w:rPr>
        <w:t xml:space="preserve">Par </w:t>
      </w:r>
      <w:r>
        <w:rPr>
          <w:b/>
          <w:bCs w:val="0"/>
          <w:i/>
          <w:iCs/>
          <w:szCs w:val="24"/>
          <w:shd w:val="clear" w:color="auto" w:fill="FFFFFF"/>
        </w:rPr>
        <w:t xml:space="preserve">šaujamieroča, šaujamieroča būtisko sastāvdaļu, lielas enerģijas pneimatiskā ieroča, gāzes ieroča vai </w:t>
      </w:r>
      <w:proofErr w:type="spellStart"/>
      <w:r>
        <w:rPr>
          <w:b/>
          <w:bCs w:val="0"/>
          <w:i/>
          <w:iCs/>
          <w:szCs w:val="24"/>
          <w:shd w:val="clear" w:color="auto" w:fill="FFFFFF"/>
        </w:rPr>
        <w:t>signālieroča</w:t>
      </w:r>
      <w:proofErr w:type="spellEnd"/>
      <w:r>
        <w:rPr>
          <w:b/>
          <w:bCs w:val="0"/>
          <w:i/>
          <w:iCs/>
          <w:szCs w:val="24"/>
          <w:shd w:val="clear" w:color="auto" w:fill="FFFFFF"/>
        </w:rPr>
        <w:t xml:space="preserve"> marķējuma viltošanu vai iznīcināšanu</w:t>
      </w:r>
      <w:r w:rsidRPr="00143381">
        <w:rPr>
          <w:b/>
          <w:bCs w:val="0"/>
          <w:i/>
          <w:iCs/>
          <w:szCs w:val="24"/>
          <w:shd w:val="clear" w:color="auto" w:fill="FFFFFF"/>
        </w:rPr>
        <w:t xml:space="preserve"> (grozījumi KL </w:t>
      </w:r>
      <w:r>
        <w:rPr>
          <w:b/>
          <w:bCs w:val="0"/>
          <w:i/>
          <w:iCs/>
          <w:szCs w:val="24"/>
          <w:shd w:val="clear" w:color="auto" w:fill="FFFFFF"/>
        </w:rPr>
        <w:t>233.</w:t>
      </w:r>
      <w:r>
        <w:rPr>
          <w:b/>
          <w:bCs w:val="0"/>
          <w:i/>
          <w:iCs/>
          <w:szCs w:val="24"/>
          <w:shd w:val="clear" w:color="auto" w:fill="FFFFFF"/>
          <w:vertAlign w:val="superscript"/>
        </w:rPr>
        <w:t xml:space="preserve">1 </w:t>
      </w:r>
      <w:r w:rsidRPr="00143381">
        <w:rPr>
          <w:b/>
          <w:bCs w:val="0"/>
          <w:i/>
          <w:iCs/>
          <w:szCs w:val="24"/>
          <w:shd w:val="clear" w:color="auto" w:fill="FFFFFF"/>
        </w:rPr>
        <w:t>pantā)</w:t>
      </w:r>
    </w:p>
    <w:p w14:paraId="18A20E13" w14:textId="77777777" w:rsidR="008A684A" w:rsidRDefault="008A684A" w:rsidP="008A684A">
      <w:pPr>
        <w:ind w:firstLine="720"/>
      </w:pPr>
    </w:p>
    <w:p w14:paraId="1C02B03E" w14:textId="77777777" w:rsidR="008A684A" w:rsidRDefault="008A684A" w:rsidP="008A684A">
      <w:pPr>
        <w:rPr>
          <w:szCs w:val="24"/>
          <w:lang w:val="cs-CZ"/>
        </w:rPr>
      </w:pPr>
      <w:r w:rsidRPr="004D7449">
        <w:rPr>
          <w:szCs w:val="24"/>
          <w:lang w:val="cs-CZ"/>
        </w:rPr>
        <w:t>Grozījumi</w:t>
      </w:r>
      <w:r>
        <w:rPr>
          <w:szCs w:val="24"/>
          <w:lang w:val="cs-CZ"/>
        </w:rPr>
        <w:t xml:space="preserve"> paredz KL papildināt ar jaunu </w:t>
      </w:r>
      <w:r w:rsidRPr="00E5344D">
        <w:rPr>
          <w:b/>
          <w:szCs w:val="24"/>
        </w:rPr>
        <w:t>233.</w:t>
      </w:r>
      <w:r w:rsidRPr="00E5344D">
        <w:rPr>
          <w:b/>
          <w:szCs w:val="24"/>
          <w:vertAlign w:val="superscript"/>
        </w:rPr>
        <w:t>1</w:t>
      </w:r>
      <w:r w:rsidRPr="00E5344D">
        <w:rPr>
          <w:b/>
          <w:szCs w:val="24"/>
          <w:lang w:val="cs-CZ"/>
        </w:rPr>
        <w:t xml:space="preserve"> pantu</w:t>
      </w:r>
      <w:r>
        <w:rPr>
          <w:szCs w:val="24"/>
          <w:lang w:val="cs-CZ"/>
        </w:rPr>
        <w:t xml:space="preserve">, tādējādi paredzot kriminālatbildību par šaujamieroča, šaujamieroča būtisko sastāvdaļu, lielas enerģijas pneimatiskā ieroča, gāzes ieroča vai signālieroča marķējuma viltošanu vai iznīcināšanu. </w:t>
      </w:r>
    </w:p>
    <w:p w14:paraId="2E2FFCFC" w14:textId="77777777" w:rsidR="008A684A" w:rsidRDefault="008A684A" w:rsidP="008A684A">
      <w:pPr>
        <w:rPr>
          <w:szCs w:val="24"/>
          <w:lang w:val="cs-CZ"/>
        </w:rPr>
      </w:pPr>
      <w:r>
        <w:rPr>
          <w:szCs w:val="24"/>
          <w:lang w:val="cs-CZ"/>
        </w:rPr>
        <w:t xml:space="preserve">Darba grupas sēdē 2022. gada 5. oktobrī tika izskatītas </w:t>
      </w:r>
      <w:r>
        <w:rPr>
          <w:bCs/>
          <w:szCs w:val="24"/>
          <w:lang w:val="cs-CZ"/>
        </w:rPr>
        <w:t>ANO Pretterorisma komitejas izpilddirektorāta sākotnējā ekspertu novērtējuma rekomendācijas (</w:t>
      </w:r>
      <w:r>
        <w:rPr>
          <w:szCs w:val="24"/>
          <w:lang w:val="cs-CZ"/>
        </w:rPr>
        <w:t>rezolūcija Nr. 2482 (2019)) (turpmāk – rekomendācija)</w:t>
      </w:r>
      <w:r>
        <w:rPr>
          <w:bCs/>
          <w:szCs w:val="24"/>
          <w:lang w:val="cs-CZ"/>
        </w:rPr>
        <w:t>, tostarp rekomendācija</w:t>
      </w:r>
      <w:bookmarkStart w:id="7" w:name="_Hlk115700945"/>
      <w:r>
        <w:rPr>
          <w:bCs/>
          <w:szCs w:val="24"/>
          <w:lang w:val="cs-CZ"/>
        </w:rPr>
        <w:t xml:space="preserve">s 11.punkts, kas aicina </w:t>
      </w:r>
      <w:r>
        <w:rPr>
          <w:szCs w:val="24"/>
          <w:lang w:val="cs-CZ"/>
        </w:rPr>
        <w:t>paplašināt KL 233. pantu, iekļaujot tajā kriminālsodu par šaujamieroču marķējuma tīšu dzēšanu</w:t>
      </w:r>
      <w:bookmarkEnd w:id="7"/>
      <w:r>
        <w:rPr>
          <w:szCs w:val="24"/>
          <w:lang w:val="cs-CZ"/>
        </w:rPr>
        <w:t>.</w:t>
      </w:r>
    </w:p>
    <w:p w14:paraId="02092DD0" w14:textId="77777777" w:rsidR="008A684A" w:rsidRDefault="008A684A" w:rsidP="008A684A">
      <w:pPr>
        <w:rPr>
          <w:szCs w:val="24"/>
          <w:lang w:val="cs-CZ"/>
        </w:rPr>
      </w:pPr>
      <w:r>
        <w:rPr>
          <w:szCs w:val="24"/>
          <w:lang w:val="cs-CZ"/>
        </w:rPr>
        <w:t xml:space="preserve">Rekomendācijas 11. punkts mudina valstis pieņemt likumdošanas un citus pasākumus, kas atbilst iekšzemes marķēšanas likumiem un noteikumiem, tostarp kriminālsodus, lai aizliegtu nemarķētu vai nepietiekami marķētu kājnieku ieroču un vieglo ieroču nelikumīgu ražošanu, kā arī nelikumīgu viltošanu, iznīcināšanu, izņemšanu vai grozīšanu Starptautiskajā izsekošanas instrumentā noteiktos unikālos marķējumus; (angliski: </w:t>
      </w:r>
      <w:r>
        <w:rPr>
          <w:i/>
          <w:iCs/>
          <w:szCs w:val="24"/>
          <w:lang w:val="en-GB"/>
        </w:rPr>
        <w:t>Urges States to adopt legislative and other measures, consistent with domestic marking laws and regulations, including criminal measures, to prohibit the illegal manufacture of unmarked or inadequately marked small arms and light weapons, as well as the illicit falsification, obliteration, removal or alteration of the unique markings prescribed in the International Tracing Instrument</w:t>
      </w:r>
      <w:r>
        <w:rPr>
          <w:szCs w:val="24"/>
          <w:lang w:val="cs-CZ"/>
        </w:rPr>
        <w:t>).</w:t>
      </w:r>
    </w:p>
    <w:p w14:paraId="352F2502" w14:textId="77777777" w:rsidR="008A684A" w:rsidRDefault="008A684A" w:rsidP="008A684A">
      <w:pPr>
        <w:rPr>
          <w:szCs w:val="24"/>
          <w:lang w:val="cs-CZ"/>
        </w:rPr>
      </w:pPr>
      <w:r>
        <w:rPr>
          <w:szCs w:val="24"/>
          <w:lang w:val="cs-CZ"/>
        </w:rPr>
        <w:t xml:space="preserve">Norādāms, ka saskaņā ar Ieroču aprites likumu </w:t>
      </w:r>
      <w:r>
        <w:rPr>
          <w:bCs/>
          <w:szCs w:val="24"/>
          <w:lang w:val="cs-CZ"/>
        </w:rPr>
        <w:t>marķēšana</w:t>
      </w:r>
      <w:r>
        <w:rPr>
          <w:szCs w:val="24"/>
          <w:lang w:val="cs-CZ"/>
        </w:rPr>
        <w:t xml:space="preserve"> ir tādu īpašu atzīmju vai numuru iestrādāšana uz ieroča, tā būtiskajām sastāvdaļām un munīcijas, kas ļauj to atšķirt no citiem ieročiem, to sastāvdaļām un munīcijas. Savukārt saskaņā ar Ieroču aprites likuma 12. pantu Latvijā ir aizliegta tādu šaujamieroču un to būtisko sastāvdaļu un munīcijas, lielas enerģijas pneimatisko ieroču, gāzes ieroču un signālieroču aprite, kuri nav marķēti saskaņā ar normatīvajos aktos noteikto marķēšanas kārtību. Tādējādi ir aizliegtas jebkādas darbības ar šaujamieročiem un to būtiskajām sastāvdaļām, munīciju, lielas enerģijas pneimatiskajiem ieročiem, gāzes ieročiem un signālieročiem, kam nav marķējuma vai tas ir viltots (izmainīts).</w:t>
      </w:r>
    </w:p>
    <w:p w14:paraId="6CAB8A27" w14:textId="77777777" w:rsidR="008A684A" w:rsidRDefault="008A684A" w:rsidP="008A684A">
      <w:pPr>
        <w:rPr>
          <w:szCs w:val="24"/>
          <w:lang w:val="cs-CZ"/>
        </w:rPr>
      </w:pPr>
      <w:r>
        <w:rPr>
          <w:szCs w:val="24"/>
          <w:lang w:val="cs-CZ"/>
        </w:rPr>
        <w:t>Pēc Valsts policijas sniegtās informācijas, piemēram, ja tiek konstatēts, ka persona glabā šaujamieroci, kam nav marķējuma vai tas ir viltots (izmainīts), persona tiek saukta pie kriminālatbildības saskaņā ar KL 233. panta otro daļu (par šaujamieroča glabāšanu bez attiecīgas atļaujas).</w:t>
      </w:r>
    </w:p>
    <w:p w14:paraId="0BDFF581" w14:textId="77777777" w:rsidR="008A684A" w:rsidRDefault="008A684A" w:rsidP="008A684A">
      <w:pPr>
        <w:rPr>
          <w:szCs w:val="24"/>
          <w:lang w:val="cs-CZ"/>
        </w:rPr>
      </w:pPr>
      <w:r>
        <w:rPr>
          <w:szCs w:val="24"/>
          <w:lang w:val="cs-CZ"/>
        </w:rPr>
        <w:lastRenderedPageBreak/>
        <w:t>Savukārt personai, kura būs veikusi minētā šaujamieroča marķējuma iznīcināšanu vai viltošanu atbildība šobrīd nav paredzēta. Iekšlietu ministrijas ieskatā marķējuma viltošana ir īpaši kaitīga darbība, kas var būtiski apdraudēt vispārējo drošību un sabiedrisko kārtību un par to būtu nosakāma  kriminālatbildība.</w:t>
      </w:r>
    </w:p>
    <w:p w14:paraId="29DA08BE" w14:textId="77777777" w:rsidR="008A684A" w:rsidRDefault="008A684A" w:rsidP="008A684A">
      <w:pPr>
        <w:rPr>
          <w:szCs w:val="24"/>
          <w:lang w:val="cs-CZ"/>
        </w:rPr>
      </w:pPr>
      <w:r>
        <w:rPr>
          <w:szCs w:val="24"/>
          <w:lang w:val="cs-CZ"/>
        </w:rPr>
        <w:t>Papildu darba grupa Iekšlietu ministrijas KL 233.</w:t>
      </w:r>
      <w:r>
        <w:rPr>
          <w:szCs w:val="24"/>
          <w:vertAlign w:val="superscript"/>
          <w:lang w:val="cs-CZ"/>
        </w:rPr>
        <w:t>1</w:t>
      </w:r>
      <w:r>
        <w:rPr>
          <w:szCs w:val="24"/>
          <w:lang w:val="cs-CZ"/>
        </w:rPr>
        <w:t xml:space="preserve"> panta piedāvāto redakciju nolēma papildināt ar vārdiem </w:t>
      </w:r>
      <w:r>
        <w:rPr>
          <w:lang w:eastAsia="lv-LV"/>
        </w:rPr>
        <w:t>“vai iznīcināšana”, jo</w:t>
      </w:r>
      <w:r>
        <w:rPr>
          <w:szCs w:val="24"/>
          <w:lang w:val="cs-CZ" w:eastAsia="lv-LV"/>
        </w:rPr>
        <w:t xml:space="preserve"> </w:t>
      </w:r>
      <w:r>
        <w:rPr>
          <w:lang w:val="cs-CZ" w:eastAsia="lv-LV"/>
        </w:rPr>
        <w:t xml:space="preserve">ar viltošanas darbībām šajā pantā ir saprotama ne tikai marķējuma izmainīšana, bet arī cita marķējuma izveidošana, kā arī marķējuma pilnīga dzēšana un iznīcināšana. </w:t>
      </w:r>
    </w:p>
    <w:p w14:paraId="2C8E2150" w14:textId="77777777" w:rsidR="008A684A" w:rsidRDefault="008A684A" w:rsidP="008A684A">
      <w:pPr>
        <w:ind w:firstLine="720"/>
      </w:pPr>
    </w:p>
    <w:p w14:paraId="63A0CE0E" w14:textId="77777777" w:rsidR="008A684A" w:rsidRPr="001E2352" w:rsidRDefault="008A684A" w:rsidP="008A684A">
      <w:pPr>
        <w:pStyle w:val="VPBody"/>
        <w:spacing w:before="0" w:after="0"/>
        <w:rPr>
          <w:b/>
          <w:bCs w:val="0"/>
          <w:i/>
          <w:iCs/>
          <w:szCs w:val="24"/>
          <w:shd w:val="clear" w:color="auto" w:fill="FFFFFF"/>
        </w:rPr>
      </w:pPr>
      <w:r w:rsidRPr="00143381">
        <w:rPr>
          <w:b/>
          <w:bCs w:val="0"/>
          <w:szCs w:val="24"/>
          <w:shd w:val="clear" w:color="auto" w:fill="FFFFFF"/>
        </w:rPr>
        <w:tab/>
      </w:r>
      <w:r w:rsidRPr="00143381">
        <w:rPr>
          <w:b/>
          <w:bCs w:val="0"/>
          <w:i/>
          <w:iCs/>
          <w:szCs w:val="24"/>
          <w:shd w:val="clear" w:color="auto" w:fill="FFFFFF"/>
        </w:rPr>
        <w:t xml:space="preserve">Par </w:t>
      </w:r>
      <w:r>
        <w:rPr>
          <w:b/>
          <w:bCs w:val="0"/>
          <w:i/>
          <w:iCs/>
          <w:szCs w:val="24"/>
          <w:shd w:val="clear" w:color="auto" w:fill="FFFFFF"/>
        </w:rPr>
        <w:t>personas atbrīvošanu no kriminālatbildības par KL 253.</w:t>
      </w:r>
      <w:r>
        <w:rPr>
          <w:b/>
          <w:bCs w:val="0"/>
          <w:i/>
          <w:iCs/>
          <w:szCs w:val="24"/>
          <w:shd w:val="clear" w:color="auto" w:fill="FFFFFF"/>
          <w:vertAlign w:val="superscript"/>
        </w:rPr>
        <w:t>2</w:t>
      </w:r>
      <w:r>
        <w:rPr>
          <w:b/>
          <w:bCs w:val="0"/>
          <w:i/>
          <w:iCs/>
          <w:szCs w:val="24"/>
          <w:shd w:val="clear" w:color="auto" w:fill="FFFFFF"/>
        </w:rPr>
        <w:t xml:space="preserve"> panta pirmajā daļā paredzētā noziedzīgā nodarījuma izdarīšanu, ja tā sniegusi vai organizējusi palīdzību personai narkotisko vielu pārdozēšanas gadījumā</w:t>
      </w:r>
      <w:r w:rsidRPr="00143381">
        <w:rPr>
          <w:b/>
          <w:bCs w:val="0"/>
          <w:i/>
          <w:iCs/>
          <w:szCs w:val="24"/>
          <w:shd w:val="clear" w:color="auto" w:fill="FFFFFF"/>
        </w:rPr>
        <w:t xml:space="preserve"> (grozījumi KL </w:t>
      </w:r>
      <w:r>
        <w:rPr>
          <w:b/>
          <w:bCs w:val="0"/>
          <w:i/>
          <w:iCs/>
          <w:szCs w:val="24"/>
          <w:shd w:val="clear" w:color="auto" w:fill="FFFFFF"/>
        </w:rPr>
        <w:t>254.</w:t>
      </w:r>
      <w:r>
        <w:rPr>
          <w:b/>
          <w:bCs w:val="0"/>
          <w:i/>
          <w:iCs/>
          <w:szCs w:val="24"/>
          <w:shd w:val="clear" w:color="auto" w:fill="FFFFFF"/>
          <w:vertAlign w:val="superscript"/>
        </w:rPr>
        <w:t xml:space="preserve"> </w:t>
      </w:r>
      <w:r>
        <w:rPr>
          <w:b/>
          <w:bCs w:val="0"/>
          <w:i/>
          <w:iCs/>
          <w:szCs w:val="24"/>
          <w:shd w:val="clear" w:color="auto" w:fill="FFFFFF"/>
        </w:rPr>
        <w:t xml:space="preserve"> pantā)</w:t>
      </w:r>
    </w:p>
    <w:p w14:paraId="2B0DE0AE" w14:textId="77777777" w:rsidR="008A684A" w:rsidRDefault="008A684A" w:rsidP="008A684A">
      <w:pPr>
        <w:pStyle w:val="VPBody"/>
        <w:spacing w:before="0" w:after="0"/>
        <w:rPr>
          <w:szCs w:val="24"/>
          <w:lang w:bidi="my-MM"/>
          <w14:ligatures w14:val="standardContextual"/>
        </w:rPr>
      </w:pPr>
    </w:p>
    <w:p w14:paraId="4E7134C6" w14:textId="77777777" w:rsidR="008A684A" w:rsidRDefault="008A684A" w:rsidP="008A684A">
      <w:pPr>
        <w:ind w:firstLine="720"/>
        <w:rPr>
          <w:szCs w:val="24"/>
          <w:lang w:bidi="my-MM"/>
          <w14:ligatures w14:val="standardContextual"/>
        </w:rPr>
      </w:pPr>
      <w:r w:rsidRPr="001E2352">
        <w:rPr>
          <w:b/>
          <w:bCs/>
          <w:szCs w:val="24"/>
          <w:lang w:bidi="my-MM"/>
          <w14:ligatures w14:val="standardContextual"/>
        </w:rPr>
        <w:t>KL 254. pants</w:t>
      </w:r>
      <w:r>
        <w:rPr>
          <w:szCs w:val="24"/>
          <w:lang w:bidi="my-MM"/>
          <w14:ligatures w14:val="standardContextual"/>
        </w:rPr>
        <w:t xml:space="preserve"> atsevišķus gadījumus, kuriem iestājoties, persona atbrīvojama no kriminālatbildības par nelikumīgām darbībām ar narkotiskajām, psihotropām vai jaunām </w:t>
      </w:r>
      <w:proofErr w:type="spellStart"/>
      <w:r>
        <w:rPr>
          <w:szCs w:val="24"/>
          <w:lang w:bidi="my-MM"/>
          <w14:ligatures w14:val="standardContextual"/>
        </w:rPr>
        <w:t>psihoaktīvām</w:t>
      </w:r>
      <w:proofErr w:type="spellEnd"/>
      <w:r>
        <w:rPr>
          <w:szCs w:val="24"/>
          <w:lang w:bidi="my-MM"/>
          <w14:ligatures w14:val="standardContextual"/>
        </w:rPr>
        <w:t xml:space="preserve"> vielām, proti, persona, kura labprātīgi nodevusi narkotiskās, psihotropās, jaunas </w:t>
      </w:r>
      <w:proofErr w:type="spellStart"/>
      <w:r>
        <w:rPr>
          <w:szCs w:val="24"/>
          <w:lang w:bidi="my-MM"/>
          <w14:ligatures w14:val="standardContextual"/>
        </w:rPr>
        <w:t>psihoaktīvās</w:t>
      </w:r>
      <w:proofErr w:type="spellEnd"/>
      <w:r>
        <w:rPr>
          <w:szCs w:val="24"/>
          <w:lang w:bidi="my-MM"/>
          <w14:ligatures w14:val="standardContextual"/>
        </w:rPr>
        <w:t xml:space="preserve"> vielas vai tās saturošus izstrādājumus, kuru aprite ir aizliegta vai ierobežota, vai labprātīgi paziņojusi par to iegādāšanos, glabāšanu, pārvadāšanu vai pārsūtīšanu, tiek atbrīvota no kriminālatbildības par šo vielu lietošanu, iegādāšanos, glabāšanu, pārvadāšanu vai pārsūtīšanu.</w:t>
      </w:r>
    </w:p>
    <w:p w14:paraId="6802674B" w14:textId="77777777" w:rsidR="008A684A" w:rsidRDefault="008A684A" w:rsidP="008A684A">
      <w:pPr>
        <w:ind w:firstLine="720"/>
        <w:rPr>
          <w:kern w:val="2"/>
          <w:szCs w:val="24"/>
          <w:lang w:bidi="my-MM"/>
          <w14:ligatures w14:val="standardContextual"/>
        </w:rPr>
      </w:pPr>
      <w:r>
        <w:rPr>
          <w:szCs w:val="24"/>
          <w:lang w:bidi="my-MM"/>
          <w14:ligatures w14:val="standardContextual"/>
        </w:rPr>
        <w:t xml:space="preserve">Informējam, ka Narkotiku kontroles un narkomānijas ierobežošanas koordinācijas padome 2023. gada 24. maija sēdē Tieslietu ministrijai uzdeva izvērtēt Labklājības ministrijas priekšlikumu tiesību normu grozījumiem, kas paredz </w:t>
      </w:r>
      <w:r>
        <w:rPr>
          <w:rFonts w:eastAsia="Times New Roman"/>
          <w:szCs w:val="24"/>
          <w:lang w:bidi="my-MM"/>
          <w14:ligatures w14:val="standardContextual"/>
        </w:rPr>
        <w:t>iespēju personu atbrīvot no kriminālatbildības par KL 253.</w:t>
      </w:r>
      <w:r>
        <w:rPr>
          <w:rFonts w:eastAsia="Times New Roman"/>
          <w:szCs w:val="24"/>
          <w:vertAlign w:val="superscript"/>
          <w:lang w:bidi="my-MM"/>
          <w14:ligatures w14:val="standardContextual"/>
        </w:rPr>
        <w:t>2</w:t>
      </w:r>
      <w:r>
        <w:rPr>
          <w:rFonts w:eastAsia="Times New Roman"/>
          <w:szCs w:val="24"/>
          <w:lang w:bidi="my-MM"/>
          <w14:ligatures w14:val="standardContextual"/>
        </w:rPr>
        <w:t> panta pirmajā daļā paredzētā noziedzīgā nodarījuma izdarīšanu, ja tā sniegusi vai organizējusi palīdzību personai narkotisko vielu pārdozēšanas gadījumā, tādējādi novēršot vai mazinot cietušā dzīvības un veselības apdraudējumu.</w:t>
      </w:r>
      <w:r>
        <w:rPr>
          <w:szCs w:val="24"/>
          <w:lang w:bidi="my-MM"/>
          <w14:ligatures w14:val="standardContextual"/>
        </w:rPr>
        <w:t xml:space="preserve"> Darba grupa atbalstīja minēto Labklājības ministrijas priekšlikumu, jo š</w:t>
      </w:r>
      <w:r>
        <w:rPr>
          <w:kern w:val="2"/>
          <w:szCs w:val="24"/>
          <w:lang w:bidi="my-MM"/>
          <w14:ligatures w14:val="standardContextual"/>
        </w:rPr>
        <w:t xml:space="preserve">āda grozījuma mērķis ir novērst situācijas, kad, izvairoties no atbildības par narkotiku lietošanu, persona atstāj narkotikas pārdozējušu līdzcilvēku bezpalīdzības stāvoklī. </w:t>
      </w:r>
    </w:p>
    <w:p w14:paraId="3F41A082" w14:textId="77777777" w:rsidR="008A684A" w:rsidRPr="00632C47" w:rsidRDefault="008A684A" w:rsidP="008A684A">
      <w:pPr>
        <w:pStyle w:val="VPBody"/>
        <w:spacing w:before="0" w:after="0"/>
        <w:rPr>
          <w:b/>
          <w:bCs w:val="0"/>
          <w:i/>
          <w:iCs/>
          <w:szCs w:val="24"/>
          <w:shd w:val="clear" w:color="auto" w:fill="FFFFFF"/>
        </w:rPr>
      </w:pPr>
      <w:r>
        <w:rPr>
          <w:kern w:val="2"/>
          <w:szCs w:val="24"/>
          <w:lang w:bidi="my-MM"/>
          <w14:ligatures w14:val="standardContextual"/>
        </w:rPr>
        <w:tab/>
        <w:t>Ievērojot minēto g</w:t>
      </w:r>
      <w:r w:rsidRPr="004D7449">
        <w:rPr>
          <w:szCs w:val="24"/>
          <w:lang w:bidi="my-MM"/>
          <w14:ligatures w14:val="standardContextual"/>
        </w:rPr>
        <w:t>rozījumi</w:t>
      </w:r>
      <w:r>
        <w:rPr>
          <w:szCs w:val="24"/>
          <w:lang w:bidi="my-MM"/>
          <w14:ligatures w14:val="standardContextual"/>
        </w:rPr>
        <w:t xml:space="preserve"> paredz </w:t>
      </w:r>
      <w:r w:rsidRPr="00E5344D">
        <w:rPr>
          <w:b/>
          <w:bCs w:val="0"/>
          <w:szCs w:val="24"/>
          <w:lang w:bidi="my-MM"/>
          <w14:ligatures w14:val="standardContextual"/>
        </w:rPr>
        <w:t>KL 254. pantu</w:t>
      </w:r>
      <w:r>
        <w:rPr>
          <w:szCs w:val="24"/>
          <w:lang w:bidi="my-MM"/>
          <w14:ligatures w14:val="standardContextual"/>
        </w:rPr>
        <w:t xml:space="preserve"> “Personas atbrīvošana no kriminālatbildības par narkotisko un psihotropo vielu iegādāšanos, glabāšanu, pārvadāšanu un pārsūtīšanu” papildināt ar jaunu atbrīvošanas no kriminālatbildības pamatu, kas attiektos uz personu, kas sniegusi vai organizējusi palīdzību citai personai šo vielu pārdozēšanas gadījumā, tādējādi novēršot vai mazinot tās dzīvības un veselības apdraudējumu.</w:t>
      </w:r>
    </w:p>
    <w:p w14:paraId="53B76328" w14:textId="77777777" w:rsidR="008A684A" w:rsidRDefault="008A684A" w:rsidP="008A684A">
      <w:pPr>
        <w:ind w:firstLine="720"/>
        <w:rPr>
          <w:kern w:val="2"/>
          <w:szCs w:val="24"/>
          <w:lang w:bidi="my-MM"/>
          <w14:ligatures w14:val="standardContextual"/>
        </w:rPr>
      </w:pPr>
    </w:p>
    <w:p w14:paraId="3D63DDC2" w14:textId="77777777" w:rsidR="008A684A" w:rsidRDefault="008A684A" w:rsidP="008A684A">
      <w:pPr>
        <w:rPr>
          <w:b/>
          <w:bCs/>
          <w:i/>
          <w:iCs/>
          <w:szCs w:val="24"/>
          <w:shd w:val="clear" w:color="auto" w:fill="FFFFFF"/>
        </w:rPr>
      </w:pPr>
      <w:r w:rsidRPr="00143381">
        <w:rPr>
          <w:b/>
          <w:i/>
          <w:iCs/>
          <w:szCs w:val="24"/>
          <w:shd w:val="clear" w:color="auto" w:fill="FFFFFF"/>
        </w:rPr>
        <w:t xml:space="preserve">Par </w:t>
      </w:r>
      <w:r>
        <w:rPr>
          <w:b/>
          <w:bCs/>
          <w:i/>
          <w:iCs/>
          <w:szCs w:val="24"/>
          <w:shd w:val="clear" w:color="auto" w:fill="FFFFFF"/>
        </w:rPr>
        <w:t>atbildību transportlīdzekļu vadītājiem (grozījumi KL 262., 262.</w:t>
      </w:r>
      <w:r>
        <w:rPr>
          <w:b/>
          <w:bCs/>
          <w:i/>
          <w:iCs/>
          <w:szCs w:val="24"/>
          <w:shd w:val="clear" w:color="auto" w:fill="FFFFFF"/>
          <w:vertAlign w:val="superscript"/>
        </w:rPr>
        <w:t>1</w:t>
      </w:r>
      <w:r>
        <w:rPr>
          <w:b/>
          <w:bCs/>
          <w:i/>
          <w:iCs/>
          <w:szCs w:val="24"/>
          <w:shd w:val="clear" w:color="auto" w:fill="FFFFFF"/>
        </w:rPr>
        <w:t xml:space="preserve"> pantā)</w:t>
      </w:r>
    </w:p>
    <w:p w14:paraId="3B3F285B" w14:textId="77777777" w:rsidR="008A684A" w:rsidRDefault="008A684A" w:rsidP="008A684A">
      <w:pPr>
        <w:ind w:firstLine="720"/>
        <w:rPr>
          <w:b/>
          <w:bCs/>
          <w:i/>
          <w:iCs/>
          <w:szCs w:val="24"/>
          <w:shd w:val="clear" w:color="auto" w:fill="FFFFFF"/>
        </w:rPr>
      </w:pPr>
    </w:p>
    <w:p w14:paraId="00FBEC7A" w14:textId="77777777" w:rsidR="008A684A" w:rsidRDefault="008A684A" w:rsidP="008A684A">
      <w:pPr>
        <w:rPr>
          <w:szCs w:val="24"/>
        </w:rPr>
      </w:pPr>
      <w:r>
        <w:rPr>
          <w:szCs w:val="24"/>
        </w:rPr>
        <w:t>2022. gada 25. novembrī stājās spēkā grozījumi Krimināllikumā (turpmāk – KL), kas paredz kriminālatbildību par transportlīdzekļa vadīšanu vai mācīšanu vadīt transportlīdzekli, ja izelpotā gaisa vai asins pārbaudē konstatētā alkohola koncentrācija asinīs pārsniedz 1,5 promiles, vai par transportlīdzekļa vadīšanu vai mācīšanu vadīt transportlīdzekli, atrodoties narkotisko, psihotropo, toksisko vai citu apreibinošo vielu ietekmē. Vienlaikus ar minētajiem grozījumiem noteikts, ka konfiskācijai pakļauj noziedzīgu nodarījumu izdarījušai personai piederošu transportlīdzekli, ar kuru tā izdarījusi KL 262. vai 262.</w:t>
      </w:r>
      <w:r>
        <w:rPr>
          <w:szCs w:val="24"/>
          <w:vertAlign w:val="superscript"/>
        </w:rPr>
        <w:t>1</w:t>
      </w:r>
      <w:r>
        <w:rPr>
          <w:szCs w:val="24"/>
        </w:rPr>
        <w:t xml:space="preserve"> pantā paredzēto noziedzīgo nodarījumu, vai, ja noziedzīgais nodarījums izdarīts ar transportlīdzekli, kas pieder citai personai, no noziedzīgu nodarījumu izdarījušās personas piedzen pilnu vai daļēju šā </w:t>
      </w:r>
      <w:r>
        <w:rPr>
          <w:szCs w:val="24"/>
        </w:rPr>
        <w:lastRenderedPageBreak/>
        <w:t>transportlīdzekļa vērtību. Ar šiem grozījumiem bija paredzēts sekmēt tādu personu skaita samazināšanos, kuri vada transportlīdzekli vai māca vadīt transportlīdzekli, atrodoties alkohola reibumā vai narkotisko, psihotropo, toksisko vai citu apreibinošu vielu ietekmē.</w:t>
      </w:r>
    </w:p>
    <w:p w14:paraId="5BABA763" w14:textId="77777777" w:rsidR="008A684A" w:rsidRDefault="008A684A" w:rsidP="008A684A">
      <w:pPr>
        <w:rPr>
          <w:szCs w:val="24"/>
        </w:rPr>
      </w:pPr>
      <w:r>
        <w:rPr>
          <w:szCs w:val="24"/>
        </w:rPr>
        <w:t xml:space="preserve">Tomēr Ģenerālprokuratūra 2023. gada 15. augusta vēstulē Nr. N-101-2023-00380 Saeimas Juridiskai komisijai norāda, ka sods ir ietekmēšanas līdzeklis, kas tiek piemērots pārkāpumu izdarījušai personai, lai aizsargātu sabiedrisko kārtību, atjaunotu taisnīgumu un sodītu par izdarīto pārkāpumu, kā arī lai atturētu pārkāpumu izdarījušo personu un citas personas no turpmākas pārkāpumu izdarīšanas. </w:t>
      </w:r>
    </w:p>
    <w:p w14:paraId="63415B1A" w14:textId="77777777" w:rsidR="008A684A" w:rsidRDefault="008A684A" w:rsidP="008A684A">
      <w:pPr>
        <w:rPr>
          <w:szCs w:val="24"/>
        </w:rPr>
      </w:pPr>
      <w:r>
        <w:rPr>
          <w:szCs w:val="24"/>
        </w:rPr>
        <w:t>Analizējot prokuratūras rīcībā esošo statistisko informāciju, secinām, ka arī pēc grozījumu KL spēkā stāšanās personai piemērojamais sods par transportlīdzekļa vadīšanu, atrodoties alkohola reibumā, nesasniedz mērķi un vēl aizvien saglabājas ievērojams to transportlīdzekļa vadītāju skaits, kuri vada transportlīdzekli alkohola reibumā vai narkotisko vielu iespaidā.</w:t>
      </w:r>
    </w:p>
    <w:p w14:paraId="5D50ED74" w14:textId="77777777" w:rsidR="008A684A" w:rsidRDefault="008A684A" w:rsidP="008A684A">
      <w:pPr>
        <w:rPr>
          <w:szCs w:val="24"/>
        </w:rPr>
      </w:pPr>
      <w:r>
        <w:rPr>
          <w:szCs w:val="24"/>
        </w:rPr>
        <w:t>Saskaņā ar Valsts policijas sniegto informāciju 2020. gadā konstatēti 2320 transportlīdzekļu vadītāji, kuri vadījuši transportlīdzekli un kuru izelpotā gaisa vai asins pārbaudē konstatētā alkohola koncentrācija asinīs pārsniedza 1,5 promiles, –  211 transportlīdzekļa vadītāji, kuri transportlīdzekli vadīja, atrodoties narkotisko, psihotropo, toksisko vai citu apreibinošu vielu ietekmē. Pašreiz saskaņā ar prokuratūras sniegto statistiku par pirmo pusgadu – šādus nodarījumus izdarījušas 481 personas, t.i., vidēji gadā joprojām 1000 nodarījumu. Pēc nodarījuma kriminalizācijas ir samazinājies nodarījumu skaits vairāk kā uz pusi (-1500 jeb 60%), bet izdarīto nodarījumu skaits saglabājas joprojām pietiekami augsts.</w:t>
      </w:r>
    </w:p>
    <w:p w14:paraId="04B26265" w14:textId="77777777" w:rsidR="008A684A" w:rsidRDefault="008A684A" w:rsidP="008A684A">
      <w:pPr>
        <w:rPr>
          <w:szCs w:val="24"/>
        </w:rPr>
      </w:pPr>
      <w:r>
        <w:rPr>
          <w:szCs w:val="24"/>
        </w:rPr>
        <w:t>Ņemot vērā minēto, Ģenerālprokuratūra aicināja pārskatīt KL 262. panta pirmās un 1.</w:t>
      </w:r>
      <w:r>
        <w:rPr>
          <w:szCs w:val="24"/>
          <w:vertAlign w:val="superscript"/>
        </w:rPr>
        <w:t>1</w:t>
      </w:r>
      <w:r>
        <w:rPr>
          <w:szCs w:val="24"/>
        </w:rPr>
        <w:t xml:space="preserve"> daļas, 262.</w:t>
      </w:r>
      <w:r>
        <w:rPr>
          <w:szCs w:val="24"/>
          <w:vertAlign w:val="superscript"/>
        </w:rPr>
        <w:t>1</w:t>
      </w:r>
      <w:r>
        <w:rPr>
          <w:szCs w:val="24"/>
        </w:rPr>
        <w:t xml:space="preserve"> panta pirmās daļas sankcijas, piemēram, vērtējot jautājumu par iespēju izslēgt vieglāka soda veida – sabiedriskā darba vai naudas soda – piemērošanu.</w:t>
      </w:r>
    </w:p>
    <w:p w14:paraId="4A757BB5" w14:textId="77777777" w:rsidR="008A684A" w:rsidRDefault="008A684A" w:rsidP="008A684A">
      <w:pPr>
        <w:rPr>
          <w:szCs w:val="24"/>
        </w:rPr>
      </w:pPr>
      <w:r>
        <w:rPr>
          <w:szCs w:val="24"/>
        </w:rPr>
        <w:t>Ģenerālprokuratūras aktualizētais jautājums tika izskatīts 2023. gada 12. septembra Saeimas Juridiskās komisijas Krimināltiesību politikas apakškomisijas (turpmāk – apakškomisija) sēdē, kur tika secināts, ka iepriekš par šādiem nodarījumiem bija paredzēta administratīvā atbildība, kas ietvēra sevī administratīvo arestu, naudas sodu un tiesību ierobežošanu. Tāpēc ir izvērtējama lietderība atteikties no sabiedriskā darba un naudas soda piemērošanas par šādu noziedzīgu nodarījumu.</w:t>
      </w:r>
    </w:p>
    <w:p w14:paraId="18179F61" w14:textId="77777777" w:rsidR="008A684A" w:rsidRDefault="008A684A" w:rsidP="008A684A">
      <w:pPr>
        <w:rPr>
          <w:szCs w:val="24"/>
        </w:rPr>
      </w:pPr>
      <w:r>
        <w:rPr>
          <w:szCs w:val="24"/>
        </w:rPr>
        <w:t>Ievērojot minēto, apakškomisija konceptuāli atbalstīja Ģenerālprokuratūras priekšlikumu pārskatīt KL 262. panta pirmās, 1.</w:t>
      </w:r>
      <w:r>
        <w:rPr>
          <w:szCs w:val="24"/>
          <w:vertAlign w:val="superscript"/>
        </w:rPr>
        <w:t>1</w:t>
      </w:r>
      <w:r>
        <w:rPr>
          <w:szCs w:val="24"/>
        </w:rPr>
        <w:t xml:space="preserve"> daļas un 262.</w:t>
      </w:r>
      <w:r>
        <w:rPr>
          <w:szCs w:val="24"/>
          <w:vertAlign w:val="superscript"/>
        </w:rPr>
        <w:t>1</w:t>
      </w:r>
      <w:r>
        <w:rPr>
          <w:szCs w:val="24"/>
        </w:rPr>
        <w:t xml:space="preserve"> panta pirmās daļas sankcijas, aicinot konkrētus grozījumus izstrādāt darba grupā. </w:t>
      </w:r>
    </w:p>
    <w:p w14:paraId="5D4A10CC" w14:textId="77777777" w:rsidR="008A684A" w:rsidRDefault="008A684A" w:rsidP="008A684A">
      <w:pPr>
        <w:rPr>
          <w:szCs w:val="24"/>
        </w:rPr>
      </w:pPr>
      <w:r>
        <w:rPr>
          <w:szCs w:val="24"/>
        </w:rPr>
        <w:t>2023. gada 13. septembrī un 8. novembrī notika darba grupas sanāksme, kurā, izvērtējot Ģenerālprokuratūras un Saeimas apakškomisijas deputātu priekšlikumus, Darba grupa panāca vienošanās par šādiem nepieciešamajiem grozījumiem KL 262. un 262.</w:t>
      </w:r>
      <w:r>
        <w:rPr>
          <w:szCs w:val="24"/>
          <w:vertAlign w:val="superscript"/>
        </w:rPr>
        <w:t>1</w:t>
      </w:r>
      <w:r>
        <w:rPr>
          <w:szCs w:val="24"/>
        </w:rPr>
        <w:t xml:space="preserve"> pantā, proti:</w:t>
      </w:r>
    </w:p>
    <w:p w14:paraId="7D7343AA" w14:textId="77777777" w:rsidR="008A684A" w:rsidRDefault="008A684A" w:rsidP="008A684A">
      <w:pPr>
        <w:rPr>
          <w:szCs w:val="24"/>
        </w:rPr>
      </w:pPr>
      <w:r>
        <w:rPr>
          <w:szCs w:val="24"/>
        </w:rPr>
        <w:t xml:space="preserve">Grozījumi paredz sodu pastiprināšanu ne tikai </w:t>
      </w:r>
      <w:r w:rsidRPr="004D7449">
        <w:rPr>
          <w:b/>
          <w:bCs/>
          <w:szCs w:val="24"/>
        </w:rPr>
        <w:t xml:space="preserve">KL 262. panta </w:t>
      </w:r>
      <w:r>
        <w:rPr>
          <w:szCs w:val="24"/>
        </w:rPr>
        <w:t>pirmās un 1.</w:t>
      </w:r>
      <w:r>
        <w:rPr>
          <w:szCs w:val="24"/>
          <w:vertAlign w:val="superscript"/>
        </w:rPr>
        <w:t>1</w:t>
      </w:r>
      <w:r>
        <w:rPr>
          <w:szCs w:val="24"/>
        </w:rPr>
        <w:t xml:space="preserve"> daļas, </w:t>
      </w:r>
      <w:r w:rsidRPr="004D7449">
        <w:rPr>
          <w:b/>
          <w:bCs/>
          <w:szCs w:val="24"/>
        </w:rPr>
        <w:t>262.</w:t>
      </w:r>
      <w:r w:rsidRPr="004D7449">
        <w:rPr>
          <w:b/>
          <w:bCs/>
          <w:szCs w:val="24"/>
          <w:vertAlign w:val="superscript"/>
        </w:rPr>
        <w:t>1</w:t>
      </w:r>
      <w:r w:rsidRPr="004D7449">
        <w:rPr>
          <w:b/>
          <w:bCs/>
          <w:szCs w:val="24"/>
        </w:rPr>
        <w:t xml:space="preserve"> panta</w:t>
      </w:r>
      <w:r>
        <w:rPr>
          <w:szCs w:val="24"/>
        </w:rPr>
        <w:t xml:space="preserve"> pirmās daļas sankcijās, bet arī KL 262. panta otrās, trešās un 262.</w:t>
      </w:r>
      <w:r>
        <w:rPr>
          <w:szCs w:val="24"/>
          <w:vertAlign w:val="superscript"/>
        </w:rPr>
        <w:t>1</w:t>
      </w:r>
      <w:r>
        <w:rPr>
          <w:szCs w:val="24"/>
        </w:rPr>
        <w:t xml:space="preserve"> panta otrās daļas sankcijās, jo arī tajās ir noteikta kriminālatbildības par transportlīdzekļa vadīšanu alkohola un narkotisko vielu ietekmē. Tāpat grozījumi paredz no KL 262. panta pirmās, 1.</w:t>
      </w:r>
      <w:r>
        <w:rPr>
          <w:szCs w:val="24"/>
          <w:vertAlign w:val="superscript"/>
        </w:rPr>
        <w:t>1</w:t>
      </w:r>
      <w:r>
        <w:rPr>
          <w:szCs w:val="24"/>
        </w:rPr>
        <w:t>, otrās un trešās daļas, kā arī 262.</w:t>
      </w:r>
      <w:r>
        <w:rPr>
          <w:szCs w:val="24"/>
          <w:vertAlign w:val="superscript"/>
        </w:rPr>
        <w:t>1</w:t>
      </w:r>
      <w:r>
        <w:rPr>
          <w:szCs w:val="24"/>
        </w:rPr>
        <w:t xml:space="preserve"> panta pirmās un otrās daļas izslēgt brīvības saņemšanai alternatīvo pamatsodu – sabiedriskais darbs un naudas sods, jo šie soda veidi ir nepietiekami, lai atturētu personas no noziedzīga nodarījuma izdarīšanas, kas saistīts ar transportlīdzekļa vadīšanas alkohola un narkotisko vielu ietekmē. </w:t>
      </w:r>
    </w:p>
    <w:p w14:paraId="49F7BDA1" w14:textId="77777777" w:rsidR="008A684A" w:rsidRDefault="008A684A" w:rsidP="008A684A">
      <w:pPr>
        <w:rPr>
          <w:szCs w:val="24"/>
        </w:rPr>
      </w:pPr>
      <w:r>
        <w:rPr>
          <w:szCs w:val="24"/>
        </w:rPr>
        <w:t>Visbeidzot grozījumi paredz KL 262. panta pirmajā, 1.</w:t>
      </w:r>
      <w:r>
        <w:rPr>
          <w:szCs w:val="24"/>
          <w:vertAlign w:val="superscript"/>
        </w:rPr>
        <w:t>1</w:t>
      </w:r>
      <w:r>
        <w:rPr>
          <w:szCs w:val="24"/>
        </w:rPr>
        <w:t>, otrajā un trešajā daļā, kā arī 262.</w:t>
      </w:r>
      <w:r>
        <w:rPr>
          <w:szCs w:val="24"/>
          <w:vertAlign w:val="superscript"/>
        </w:rPr>
        <w:t>1</w:t>
      </w:r>
      <w:r>
        <w:rPr>
          <w:szCs w:val="24"/>
        </w:rPr>
        <w:t xml:space="preserve"> panta pirmajā un otrajā daļā saglabāt brīvības atņemšanai alternatīvo </w:t>
      </w:r>
      <w:r>
        <w:rPr>
          <w:szCs w:val="24"/>
        </w:rPr>
        <w:lastRenderedPageBreak/>
        <w:t>pamatsodu – probācijas uzraudzība. Probācijas uzraudzība ir vērsta uz personas uzvedības un domāšanas korekciju un ir nepieciešama personām, kas izdarījušas noziedzīgu nodarījumu, vadot transportlīdzekli alkohola vai narkotisko vielu ietekmē. Piemērojot probācijas uzraudzību, tiek nodrošināta personas ilgstoša kontrole. Gadījumos, ja persona bez attaisnojoša iemesla nepilda kriminālsodu izpildi reglamentējošā likumā paredzētos vai soda izpildes iestādes noteiktos pienākumus, atbilstoši KL 38.</w:t>
      </w:r>
      <w:r>
        <w:rPr>
          <w:szCs w:val="24"/>
          <w:vertAlign w:val="superscript"/>
        </w:rPr>
        <w:t>1</w:t>
      </w:r>
      <w:r>
        <w:rPr>
          <w:szCs w:val="24"/>
        </w:rPr>
        <w:t xml:space="preserve"> panta septītajai daļai, neizciesto probācijas uzraudzības laiku aizstāj, vienu probācijas uzraudzības dienu rēķinot kā vienu brīvības atņemšanas dienu. Ievērojot minēto, šāds soda veids ir pietiekami efektīvs, lai atturētu personas no noziedzīga nodarījuma izdarīšanas, kas vērsts pret satiksmes drošību.</w:t>
      </w:r>
    </w:p>
    <w:p w14:paraId="4032A07B" w14:textId="77777777" w:rsidR="008A684A" w:rsidRDefault="008A684A" w:rsidP="008A684A">
      <w:pPr>
        <w:ind w:firstLine="720"/>
        <w:rPr>
          <w:szCs w:val="24"/>
          <w:lang w:bidi="my-MM"/>
          <w14:ligatures w14:val="standardContextual"/>
        </w:rPr>
      </w:pPr>
    </w:p>
    <w:p w14:paraId="71436419" w14:textId="77777777" w:rsidR="008A684A" w:rsidRDefault="008A684A" w:rsidP="008A684A">
      <w:pPr>
        <w:pStyle w:val="VPBody"/>
        <w:spacing w:before="0" w:after="0"/>
        <w:rPr>
          <w:b/>
          <w:bCs w:val="0"/>
          <w:i/>
          <w:iCs/>
          <w:szCs w:val="24"/>
          <w:shd w:val="clear" w:color="auto" w:fill="FFFFFF"/>
        </w:rPr>
      </w:pPr>
      <w:r w:rsidRPr="00143381">
        <w:rPr>
          <w:b/>
          <w:bCs w:val="0"/>
          <w:szCs w:val="24"/>
          <w:shd w:val="clear" w:color="auto" w:fill="FFFFFF"/>
        </w:rPr>
        <w:tab/>
      </w:r>
      <w:r w:rsidRPr="00143381">
        <w:rPr>
          <w:b/>
          <w:bCs w:val="0"/>
          <w:i/>
          <w:iCs/>
          <w:szCs w:val="24"/>
          <w:shd w:val="clear" w:color="auto" w:fill="FFFFFF"/>
        </w:rPr>
        <w:t xml:space="preserve">Par </w:t>
      </w:r>
      <w:r>
        <w:rPr>
          <w:b/>
          <w:bCs w:val="0"/>
          <w:i/>
          <w:iCs/>
          <w:szCs w:val="24"/>
          <w:shd w:val="clear" w:color="auto" w:fill="FFFFFF"/>
        </w:rPr>
        <w:t>kriminālatbildības pastiprināšanu par bēgšanu no īslaicīgās aizturēšanas vai ieslodzījuma vietas</w:t>
      </w:r>
      <w:r w:rsidRPr="00143381">
        <w:rPr>
          <w:b/>
          <w:bCs w:val="0"/>
          <w:i/>
          <w:iCs/>
          <w:szCs w:val="24"/>
          <w:shd w:val="clear" w:color="auto" w:fill="FFFFFF"/>
        </w:rPr>
        <w:t xml:space="preserve"> (grozījumi KL </w:t>
      </w:r>
      <w:r>
        <w:rPr>
          <w:b/>
          <w:bCs w:val="0"/>
          <w:i/>
          <w:iCs/>
          <w:szCs w:val="24"/>
          <w:shd w:val="clear" w:color="auto" w:fill="FFFFFF"/>
        </w:rPr>
        <w:t>310.</w:t>
      </w:r>
      <w:r>
        <w:rPr>
          <w:b/>
          <w:bCs w:val="0"/>
          <w:i/>
          <w:iCs/>
          <w:szCs w:val="24"/>
          <w:shd w:val="clear" w:color="auto" w:fill="FFFFFF"/>
          <w:vertAlign w:val="superscript"/>
        </w:rPr>
        <w:t xml:space="preserve"> </w:t>
      </w:r>
      <w:r w:rsidRPr="00143381">
        <w:rPr>
          <w:b/>
          <w:bCs w:val="0"/>
          <w:i/>
          <w:iCs/>
          <w:szCs w:val="24"/>
          <w:shd w:val="clear" w:color="auto" w:fill="FFFFFF"/>
        </w:rPr>
        <w:t>pantā)</w:t>
      </w:r>
    </w:p>
    <w:p w14:paraId="416415FB" w14:textId="77777777" w:rsidR="008A684A" w:rsidRPr="004D7449" w:rsidRDefault="008A684A" w:rsidP="008A684A">
      <w:pPr>
        <w:ind w:firstLine="720"/>
        <w:rPr>
          <w:szCs w:val="24"/>
          <w:lang w:bidi="my-MM"/>
          <w14:ligatures w14:val="standardContextual"/>
        </w:rPr>
      </w:pPr>
    </w:p>
    <w:p w14:paraId="37AC249D" w14:textId="77777777" w:rsidR="008A684A" w:rsidRDefault="008A684A" w:rsidP="008A684A">
      <w:pPr>
        <w:rPr>
          <w:kern w:val="2"/>
          <w:szCs w:val="24"/>
          <w:lang w:bidi="my-MM"/>
          <w14:ligatures w14:val="standardContextual"/>
        </w:rPr>
      </w:pPr>
      <w:r w:rsidRPr="001E2352">
        <w:rPr>
          <w:b/>
          <w:bCs/>
          <w:kern w:val="2"/>
          <w:szCs w:val="24"/>
          <w:lang w:bidi="my-MM"/>
          <w14:ligatures w14:val="standardContextual"/>
        </w:rPr>
        <w:t>KL 310. pantā</w:t>
      </w:r>
      <w:r>
        <w:rPr>
          <w:kern w:val="2"/>
          <w:szCs w:val="24"/>
          <w:lang w:bidi="my-MM"/>
          <w14:ligatures w14:val="standardContextual"/>
        </w:rPr>
        <w:t xml:space="preserve"> paredzētais noziedzīgais nodarījums netiek izdarīts bieži, tomēr tiek konstatēti mēģinājumi bēgt no īslaicīgās aizturēšanas vai ieslodzījuma vietas. Pēdējais šāds ieslodzītā bēgšanas gadījums notika 2023. gada jūlijā no Rīgas Centrālcietuma. Izvērtējot visus apstākļus, Tieslietu ministrijā tika secināts, ka ir jāpastiprina kriminālatbildība par bēgšanu, lai  stingrāk sodītu personas par bēgšanu no īslaicīgās aizturēšanas vai ieslodzījuma vietas, un vienlaikus  atturētu citas personas no šādu noziedzīga noadījuma izdarīšanas. </w:t>
      </w:r>
    </w:p>
    <w:p w14:paraId="62055A1F" w14:textId="77777777" w:rsidR="008A684A" w:rsidRDefault="008A684A" w:rsidP="008A684A">
      <w:pPr>
        <w:rPr>
          <w:kern w:val="2"/>
          <w:szCs w:val="24"/>
          <w:lang w:bidi="my-MM"/>
          <w14:ligatures w14:val="standardContextual"/>
        </w:rPr>
      </w:pPr>
      <w:r>
        <w:rPr>
          <w:kern w:val="2"/>
          <w:szCs w:val="24"/>
          <w:lang w:bidi="my-MM"/>
          <w14:ligatures w14:val="standardContextual"/>
        </w:rPr>
        <w:t>Ievērojot minēto, g</w:t>
      </w:r>
      <w:r w:rsidRPr="004D7449">
        <w:rPr>
          <w:kern w:val="2"/>
          <w:szCs w:val="24"/>
          <w:lang w:bidi="my-MM"/>
          <w14:ligatures w14:val="standardContextual"/>
        </w:rPr>
        <w:t>rozījumi</w:t>
      </w:r>
      <w:r>
        <w:rPr>
          <w:b/>
          <w:bCs/>
          <w:kern w:val="2"/>
          <w:szCs w:val="24"/>
          <w:lang w:bidi="my-MM"/>
          <w14:ligatures w14:val="standardContextual"/>
        </w:rPr>
        <w:t xml:space="preserve"> </w:t>
      </w:r>
      <w:r>
        <w:rPr>
          <w:kern w:val="2"/>
          <w:szCs w:val="24"/>
          <w:lang w:bidi="my-MM"/>
          <w14:ligatures w14:val="standardContextual"/>
        </w:rPr>
        <w:t xml:space="preserve">paredz pastiprināt kriminālatbildību par bēgšanu no īslaicīgās aizturēšanas vai ieslodzījuma vietas. Proti, tas paredz </w:t>
      </w:r>
      <w:r w:rsidRPr="00DB5294">
        <w:rPr>
          <w:b/>
          <w:bCs/>
          <w:kern w:val="2"/>
          <w:szCs w:val="24"/>
          <w:lang w:bidi="my-MM"/>
          <w14:ligatures w14:val="standardContextual"/>
        </w:rPr>
        <w:t>KL 310. panta</w:t>
      </w:r>
      <w:r>
        <w:rPr>
          <w:kern w:val="2"/>
          <w:szCs w:val="24"/>
          <w:lang w:bidi="my-MM"/>
          <w14:ligatures w14:val="standardContextual"/>
        </w:rPr>
        <w:t xml:space="preserve"> “Bēgšana no īslaicīgās aizturēšanas un ieslodzījuma vietas” pirmās daļas sankcijā palielināt brīvības atņemšanas sodu no viena uz trim gadiem, kā arī izslēgt pamatsodus – sabiedriskais darbs un naudas sods, jo tie nav atbilstoši pantā paredzētā noziedzīgā nodarījuma radītajam valsts un sabiedrības drošības apdraudējumam.</w:t>
      </w:r>
    </w:p>
    <w:p w14:paraId="025F5538" w14:textId="77777777" w:rsidR="008A684A" w:rsidRDefault="008A684A" w:rsidP="008A684A">
      <w:pPr>
        <w:rPr>
          <w:kern w:val="2"/>
          <w:szCs w:val="24"/>
          <w:lang w:bidi="my-MM"/>
          <w14:ligatures w14:val="standardContextual"/>
        </w:rPr>
      </w:pPr>
      <w:r>
        <w:rPr>
          <w:kern w:val="2"/>
          <w:szCs w:val="24"/>
          <w:lang w:bidi="my-MM"/>
          <w14:ligatures w14:val="standardContextual"/>
        </w:rPr>
        <w:t>Papildus grozījumi paredz KL 310. panta otrās daļas sankcijā palielināt brīvības atņemšanas sodu no pieciem uz astoņiem gadiem, tādējādi izslēdzot iespēju par šādu noziegumu piemērot brīvības atņemšanai alternatīvos sodu veidus – īslaicīga brīvības atņemšana, probācijas uzraudzība, sabiedriskais darbs un naudas sods, ievērojot to, ka šāds noziegums ir īpaši bīstams, jo ir saistīts ar vardarbību vai ar vardarbības piedraudējumu īslaicīgās aizturēšanas vai ieslodzījuma vietas amatpersonai, kā arī nodarījumu ir izdarījusi personu grupa.</w:t>
      </w:r>
    </w:p>
    <w:p w14:paraId="1E5505C9" w14:textId="77777777" w:rsidR="008A684A" w:rsidRDefault="008A684A" w:rsidP="008A684A">
      <w:pPr>
        <w:rPr>
          <w:kern w:val="2"/>
          <w:szCs w:val="24"/>
          <w:lang w:bidi="my-MM"/>
          <w14:ligatures w14:val="standardContextual"/>
        </w:rPr>
      </w:pPr>
    </w:p>
    <w:p w14:paraId="3ECBAB97" w14:textId="77777777" w:rsidR="008A684A" w:rsidRDefault="008A684A" w:rsidP="008A684A">
      <w:pPr>
        <w:pStyle w:val="VPBody"/>
        <w:spacing w:before="0" w:after="0"/>
        <w:rPr>
          <w:b/>
          <w:bCs w:val="0"/>
          <w:i/>
          <w:iCs/>
          <w:szCs w:val="24"/>
          <w:shd w:val="clear" w:color="auto" w:fill="FFFFFF"/>
        </w:rPr>
      </w:pPr>
      <w:r w:rsidRPr="00143381">
        <w:rPr>
          <w:b/>
          <w:bCs w:val="0"/>
          <w:szCs w:val="24"/>
          <w:shd w:val="clear" w:color="auto" w:fill="FFFFFF"/>
        </w:rPr>
        <w:tab/>
      </w:r>
      <w:r w:rsidRPr="00143381">
        <w:rPr>
          <w:b/>
          <w:bCs w:val="0"/>
          <w:i/>
          <w:iCs/>
          <w:szCs w:val="24"/>
          <w:shd w:val="clear" w:color="auto" w:fill="FFFFFF"/>
        </w:rPr>
        <w:t xml:space="preserve">Par </w:t>
      </w:r>
      <w:r>
        <w:rPr>
          <w:b/>
          <w:bCs w:val="0"/>
          <w:i/>
          <w:iCs/>
          <w:szCs w:val="24"/>
          <w:shd w:val="clear" w:color="auto" w:fill="FFFFFF"/>
        </w:rPr>
        <w:t>personas, kas nav sasniegusi četrpadsmit gadu vecumu, atrašanos bezpalīdzības stāvoklī, KL XVI nodaļas minēto noziedzīgo nodarījumu izpratnē</w:t>
      </w:r>
      <w:r w:rsidRPr="00143381">
        <w:rPr>
          <w:b/>
          <w:bCs w:val="0"/>
          <w:i/>
          <w:iCs/>
          <w:szCs w:val="24"/>
          <w:shd w:val="clear" w:color="auto" w:fill="FFFFFF"/>
        </w:rPr>
        <w:t xml:space="preserve"> (grozījumi KL </w:t>
      </w:r>
      <w:r>
        <w:rPr>
          <w:b/>
          <w:bCs w:val="0"/>
          <w:i/>
          <w:iCs/>
          <w:szCs w:val="24"/>
          <w:shd w:val="clear" w:color="auto" w:fill="FFFFFF"/>
        </w:rPr>
        <w:t>166.</w:t>
      </w:r>
      <w:r>
        <w:rPr>
          <w:b/>
          <w:bCs w:val="0"/>
          <w:i/>
          <w:iCs/>
          <w:szCs w:val="24"/>
          <w:shd w:val="clear" w:color="auto" w:fill="FFFFFF"/>
          <w:vertAlign w:val="superscript"/>
        </w:rPr>
        <w:t>1</w:t>
      </w:r>
      <w:r w:rsidRPr="00143381">
        <w:rPr>
          <w:b/>
          <w:bCs w:val="0"/>
          <w:i/>
          <w:iCs/>
          <w:szCs w:val="24"/>
          <w:shd w:val="clear" w:color="auto" w:fill="FFFFFF"/>
        </w:rPr>
        <w:t> pantā)</w:t>
      </w:r>
    </w:p>
    <w:p w14:paraId="268299D9" w14:textId="77777777" w:rsidR="008A684A" w:rsidRDefault="008A684A" w:rsidP="008A684A">
      <w:pPr>
        <w:rPr>
          <w:kern w:val="2"/>
          <w:szCs w:val="24"/>
          <w:lang w:bidi="my-MM"/>
          <w14:ligatures w14:val="standardContextual"/>
        </w:rPr>
      </w:pPr>
    </w:p>
    <w:p w14:paraId="7B54D313" w14:textId="77777777" w:rsidR="008A684A" w:rsidRDefault="008A684A" w:rsidP="008A684A">
      <w:pPr>
        <w:tabs>
          <w:tab w:val="left" w:pos="-284"/>
        </w:tabs>
        <w:rPr>
          <w:szCs w:val="24"/>
        </w:rPr>
      </w:pPr>
      <w:r>
        <w:rPr>
          <w:szCs w:val="24"/>
          <w:lang w:val="cs-CZ"/>
        </w:rPr>
        <w:t xml:space="preserve">Grozījumi paredz papildināt Krimināllikumu (turpmāk – KL) ar </w:t>
      </w:r>
      <w:r w:rsidRPr="00DB5294">
        <w:rPr>
          <w:b/>
          <w:bCs/>
          <w:szCs w:val="24"/>
          <w:lang w:val="cs-CZ"/>
        </w:rPr>
        <w:t>166.</w:t>
      </w:r>
      <w:r w:rsidRPr="00DB5294">
        <w:rPr>
          <w:b/>
          <w:bCs/>
          <w:szCs w:val="24"/>
          <w:vertAlign w:val="superscript"/>
          <w:lang w:val="cs-CZ"/>
        </w:rPr>
        <w:t>1</w:t>
      </w:r>
      <w:r w:rsidRPr="00DB5294">
        <w:rPr>
          <w:b/>
          <w:bCs/>
          <w:szCs w:val="24"/>
          <w:lang w:val="cs-CZ"/>
        </w:rPr>
        <w:t> pantu</w:t>
      </w:r>
      <w:r>
        <w:rPr>
          <w:szCs w:val="24"/>
          <w:lang w:val="cs-CZ"/>
        </w:rPr>
        <w:t xml:space="preserve">, kurā paredzēts noteikt prezumpciju, ka persona, kas </w:t>
      </w:r>
      <w:r>
        <w:rPr>
          <w:szCs w:val="24"/>
        </w:rPr>
        <w:t xml:space="preserve">nav sasniegusi četrpadsmit gadu vecumu, atrodas bezpalīdzības stāvoklī KL XVI nodaļas “Noziedzīgi nodarījumi pret tikumību un dzimumneaizskaramību” minēto noziedzīgu nodarījumu izpratnē. </w:t>
      </w:r>
    </w:p>
    <w:p w14:paraId="0032776B" w14:textId="77777777" w:rsidR="008A684A" w:rsidRDefault="008A684A" w:rsidP="008A684A">
      <w:pPr>
        <w:tabs>
          <w:tab w:val="left" w:pos="-284"/>
        </w:tabs>
        <w:rPr>
          <w:szCs w:val="24"/>
        </w:rPr>
      </w:pPr>
      <w:r>
        <w:rPr>
          <w:szCs w:val="24"/>
        </w:rPr>
        <w:tab/>
      </w:r>
      <w:r>
        <w:rPr>
          <w:kern w:val="2"/>
          <w:szCs w:val="24"/>
          <w14:ligatures w14:val="standardContextual"/>
        </w:rPr>
        <w:t xml:space="preserve">Atbilstoši KL komentāros skaidrotajam </w:t>
      </w:r>
      <w:r>
        <w:rPr>
          <w:szCs w:val="24"/>
        </w:rPr>
        <w:t xml:space="preserve">cietušā bezpalīdzības stāvoklis jāsaprot kā stāvoklis, kad cietusī persona sava fiziskā vai psihiskā stāvokļa dēļ (fiziski trūkumi, </w:t>
      </w:r>
      <w:r w:rsidRPr="00882CDD">
        <w:rPr>
          <w:szCs w:val="24"/>
        </w:rPr>
        <w:t>mazgadība</w:t>
      </w:r>
      <w:r>
        <w:rPr>
          <w:szCs w:val="24"/>
        </w:rPr>
        <w:t xml:space="preserve">, cienījams vecums, psihiskas dabas traucējumi, cits slimīgs vai bezsamaņas stāvoklis, kā arī cietušās personas atrašanās smagā alkohola, narkotisko, psihotropo vai cietu vielu izraisītā reibuma stāvoklī) nav varējusi saprast ar viņu izdarīto darbību raksturu un nozīmi vai nav varējusi vainīgajam pretoties, un izdarītājs, stājoties dzimumattiecībās, apzinājies (zinājis vai apzināti pieļāvis), ka cietušais atrodas tādā </w:t>
      </w:r>
      <w:r>
        <w:rPr>
          <w:szCs w:val="24"/>
        </w:rPr>
        <w:lastRenderedPageBreak/>
        <w:t>bezpalīdzības stāvoklī.</w:t>
      </w:r>
      <w:r>
        <w:rPr>
          <w:szCs w:val="24"/>
          <w:vertAlign w:val="superscript"/>
        </w:rPr>
        <w:footnoteReference w:id="8"/>
      </w:r>
      <w:r>
        <w:rPr>
          <w:szCs w:val="24"/>
        </w:rPr>
        <w:t xml:space="preserve"> Skaidrojot bezpalīdzības stāvokļa izpratni, Latvijas Republikas Augstākās tiesas Senāts norādījis, ka bezpalīdzību raksturo divi fiziskā un psihiskā stāvokļa kritēriji: cietušais nesaprot ar viņu izdarīto darbību raksturu un nozīmi un līdz ar to nevar izrādīt jebkādu pretestību vardarbībai vai cietušais saprot ar viņu izdarīto darbību raksturu un nozīmi, bet nevar fiziski nodrošināt sev aizsardzību.</w:t>
      </w:r>
      <w:r>
        <w:rPr>
          <w:szCs w:val="24"/>
          <w:vertAlign w:val="superscript"/>
        </w:rPr>
        <w:footnoteReference w:id="9"/>
      </w:r>
      <w:r>
        <w:rPr>
          <w:szCs w:val="24"/>
        </w:rPr>
        <w:t xml:space="preserve"> </w:t>
      </w:r>
    </w:p>
    <w:p w14:paraId="2B1BEC8F" w14:textId="77777777" w:rsidR="008A684A" w:rsidRDefault="008A684A" w:rsidP="008A684A">
      <w:pPr>
        <w:ind w:firstLine="720"/>
        <w:rPr>
          <w:szCs w:val="24"/>
        </w:rPr>
      </w:pPr>
      <w:r>
        <w:rPr>
          <w:szCs w:val="24"/>
        </w:rPr>
        <w:t>Saskaņā ar KL 11. panta nosacījumiem mazgadīgais ir persona, kura nav sasniegusi 14 gadu vecumu. Līdz ar to līdz šim attiecībā par bezpalīdzības stāvokli saskaņā ar krimināltiesību doktrīnā paustajām atziņām četrpadsmit gadu vecums ir uzskatīts par vecuma robežu, līdz kurai persona automātiski tiek atzīta par bezpalīdzības stāvoklī esošu.</w:t>
      </w:r>
    </w:p>
    <w:p w14:paraId="694EF5A0" w14:textId="77777777" w:rsidR="008A684A" w:rsidRDefault="008A684A" w:rsidP="008A684A">
      <w:pPr>
        <w:ind w:firstLine="720"/>
        <w:rPr>
          <w:szCs w:val="24"/>
        </w:rPr>
      </w:pPr>
      <w:r>
        <w:rPr>
          <w:szCs w:val="24"/>
        </w:rPr>
        <w:t>Vienlaikus Latvijas Republikas Senāta Krimināllietu departaments pagājušā gada Lietā Nr. [..], SKK [O]/2023</w:t>
      </w:r>
      <w:r>
        <w:rPr>
          <w:szCs w:val="24"/>
          <w:vertAlign w:val="superscript"/>
        </w:rPr>
        <w:footnoteReference w:id="10"/>
      </w:r>
      <w:r>
        <w:rPr>
          <w:szCs w:val="24"/>
        </w:rPr>
        <w:t xml:space="preserve"> izteica secinājumu, ka mazgadība KL 160. panta tvērumā ir viens no apstākļiem, kas raksturo bezpalīdzības stāvokli, tomēr atziņa par to, ka mazgadīga persona atrodas bezpalīdzības stāvoklī, nav attiecināma uz jebkuru situāciju. Ja tiesai rodas saprātīgas šaubas par mazgadīgas personas atrašanos bezpalīdzības stāvoklī vai uz šādām šaubām argumentēti norāda aizstāvība, tiesai atzinums par cietušā atrašanos bezpalīdzības stāvoklī ir jāmotivē, aplūkojot kopumā un savstarpējā sakarībā visas kriminālprocesa laikā iegūtās ziņas par cietušā atrašanos tādā fiziskā vai psiholoģiskā stāvoklī, kas liedz izrādīt jebkādu vērā ņemamu pretošanos un/vai iespēju saprast ar viņu izdarīto darbību raksturu un nozīmi. Ņemot vērā bezpalīdzības stāvokļa fizisko un psihisko kritēriju, ir acīmredzami, ka personas griba vai arī spēja to īstenot, atrodoties šādā stāvoklī, ir deformēta. Cietušā bezpalīdzības stāvokļa izmantošanai kā </w:t>
      </w:r>
      <w:proofErr w:type="spellStart"/>
      <w:r>
        <w:rPr>
          <w:szCs w:val="24"/>
        </w:rPr>
        <w:t>izvarošanas</w:t>
      </w:r>
      <w:proofErr w:type="spellEnd"/>
      <w:r>
        <w:rPr>
          <w:szCs w:val="24"/>
        </w:rPr>
        <w:t xml:space="preserve"> un seksuālās vardarbības izdarīšanas veidam raksturīgs, ka vainīgā persona neizmanto nedz vardarbību, nedz draudus cietušā pretdarbības pārvarēšanai, jo tas nav nepieciešams, ievērojot cietušā psihisko vai fizisko stāvokli. Cietušais fiziskas bezpalīdzības dēļ nav spējīgs izrādīt jebkādu vērā ņemamu pretošanos vai arī psihiska vai gribas defekta dēļ neapzinās notiekošo un tāpēc nevar apzināti demonstrēt savu izvēli (gribu), kā ietekmē personai nav iespējas izrādīt pretošanos. Ārēji bezpalīdzības stāvoklī esošas personas </w:t>
      </w:r>
      <w:proofErr w:type="spellStart"/>
      <w:r>
        <w:rPr>
          <w:szCs w:val="24"/>
        </w:rPr>
        <w:t>izvarošana</w:t>
      </w:r>
      <w:proofErr w:type="spellEnd"/>
      <w:r>
        <w:rPr>
          <w:szCs w:val="24"/>
        </w:rPr>
        <w:t xml:space="preserve"> vai seksuāla vardarbība pret to maldīgi var šķist labprātīga. Vienlaikus Senāts secināja, ka, izvērtējot cietušā atrašanos bezpalīdzības stāvoklī mazgadības dēļ, ir jāvērtē personas garīgais, sociālais briedums un tas, vai persona skaidri un apzināti izteikusi piekrišanu seksuālām attiecībām, un piekrišanas cēloņus. </w:t>
      </w:r>
    </w:p>
    <w:p w14:paraId="1531F4E3" w14:textId="77777777" w:rsidR="008A684A" w:rsidRDefault="008A684A" w:rsidP="008A684A">
      <w:pPr>
        <w:ind w:firstLine="720"/>
        <w:rPr>
          <w:szCs w:val="24"/>
        </w:rPr>
      </w:pPr>
      <w:r>
        <w:rPr>
          <w:szCs w:val="24"/>
        </w:rPr>
        <w:t xml:space="preserve">No Senāta lēmuma var secināt, ka prezumpcija, ka četrpadsmit gadus nesasniegusi persona tiek uzskatīta kā bezpalīdzības stāvoklī esošu, nepastāv, jo likumdevējs to nav tiesiski nostiprinājis ārējā normatīvajā aktā. Līdz ar to tas praksē ir vērtēšanas jautājums, ņemot vērā konkrētos lietas apstākļus, cietušā briedumu un psihologa atzinumā izteikto.  Vienlaikus no Senāta lēmuma izriet, ka šāds vērtējums, ja tiesai rodas saprātīgas šaubas vai uz šādām šaubām norāda aizstāvība, jāsniedz par visām mazgadīgām personām, tai skaitā, bērniem, kas ir, piemēram, deviņus, desmit vai vienpadsmit gadus veci.  Līdz ar to pašlaik ir pieļaujama situācija, ka mazgadība </w:t>
      </w:r>
      <w:r>
        <w:rPr>
          <w:szCs w:val="24"/>
        </w:rPr>
        <w:lastRenderedPageBreak/>
        <w:t xml:space="preserve">tiktu vērtēta katrā konkrētajā situācijā, pakļaujot bērnu arī nevajadzīgām psihologa izpētēm. Tieslietu ministrijas ieskatā mazgadīga persona nevar dot labprātīgu piekrišanu seksuālām attiecībām, jo šāds vecums neatbilst ne psiholoģiskam un emocionālam, ne dzimumbrieduma vecumam. </w:t>
      </w:r>
    </w:p>
    <w:p w14:paraId="388C624F" w14:textId="77777777" w:rsidR="008A684A" w:rsidRDefault="008A684A" w:rsidP="008A684A">
      <w:pPr>
        <w:ind w:firstLine="720"/>
        <w:rPr>
          <w:szCs w:val="24"/>
        </w:rPr>
      </w:pPr>
      <w:r>
        <w:rPr>
          <w:szCs w:val="24"/>
        </w:rPr>
        <w:t xml:space="preserve">Ņemot vērā minēto, ir nepieciešams KL nostiprināt jau krimināltiesību doktrīnā pausto, ka noziedzīgos nodarījumos pret tikumību un dzimumneaizskaramību persona, kas nav sasniegusi četrpadsmit gadu vecumu, atrodas bezpalīdzības stāvoklī. </w:t>
      </w:r>
    </w:p>
    <w:p w14:paraId="7CA4533A" w14:textId="77777777" w:rsidR="008A684A" w:rsidRDefault="008A684A" w:rsidP="008A684A">
      <w:pPr>
        <w:ind w:firstLine="720"/>
        <w:rPr>
          <w:szCs w:val="24"/>
        </w:rPr>
      </w:pPr>
    </w:p>
    <w:p w14:paraId="4719D2CE" w14:textId="77777777" w:rsidR="008A684A" w:rsidRDefault="008A684A" w:rsidP="008A684A">
      <w:pPr>
        <w:ind w:firstLine="720"/>
        <w:rPr>
          <w:b/>
          <w:bCs/>
          <w:i/>
          <w:iCs/>
          <w:szCs w:val="24"/>
        </w:rPr>
      </w:pPr>
      <w:r w:rsidRPr="001E2352">
        <w:rPr>
          <w:b/>
          <w:bCs/>
          <w:i/>
          <w:iCs/>
          <w:szCs w:val="24"/>
        </w:rPr>
        <w:t xml:space="preserve">Par negodīgu konkurenci, maldinošu reklāmu un negodīgu </w:t>
      </w:r>
      <w:proofErr w:type="spellStart"/>
      <w:r w:rsidRPr="001E2352">
        <w:rPr>
          <w:b/>
          <w:bCs/>
          <w:i/>
          <w:iCs/>
          <w:szCs w:val="24"/>
        </w:rPr>
        <w:t>komercpraksi</w:t>
      </w:r>
      <w:proofErr w:type="spellEnd"/>
      <w:r w:rsidRPr="001E2352">
        <w:rPr>
          <w:b/>
          <w:bCs/>
          <w:i/>
          <w:iCs/>
          <w:szCs w:val="24"/>
        </w:rPr>
        <w:t xml:space="preserve"> (grozījumi KL 211. pantā)</w:t>
      </w:r>
    </w:p>
    <w:p w14:paraId="44B8F0B1" w14:textId="77777777" w:rsidR="008A684A" w:rsidRDefault="008A684A" w:rsidP="008A684A">
      <w:pPr>
        <w:ind w:firstLine="720"/>
        <w:rPr>
          <w:b/>
          <w:bCs/>
          <w:i/>
          <w:iCs/>
          <w:szCs w:val="24"/>
        </w:rPr>
      </w:pPr>
    </w:p>
    <w:p w14:paraId="05F69790" w14:textId="77777777" w:rsidR="008A684A" w:rsidRDefault="008A684A" w:rsidP="008A684A">
      <w:pPr>
        <w:ind w:firstLine="720"/>
        <w:rPr>
          <w:rFonts w:eastAsia="Times New Roman"/>
          <w:color w:val="000000"/>
          <w:szCs w:val="24"/>
          <w:shd w:val="clear" w:color="auto" w:fill="FFFFFF"/>
          <w:lang w:eastAsia="lv-LV" w:bidi="my-MM"/>
        </w:rPr>
      </w:pPr>
      <w:r>
        <w:rPr>
          <w:szCs w:val="24"/>
        </w:rPr>
        <w:t xml:space="preserve">Grozījumi paredz </w:t>
      </w:r>
      <w:r w:rsidRPr="001E2352">
        <w:rPr>
          <w:b/>
          <w:bCs/>
          <w:szCs w:val="24"/>
        </w:rPr>
        <w:t>KL 211. pantā</w:t>
      </w:r>
      <w:r>
        <w:rPr>
          <w:szCs w:val="24"/>
        </w:rPr>
        <w:t xml:space="preserve"> palielināt sankciju par negodīgu konkurenci, maldinošu reklāmu vai nekodīgu </w:t>
      </w:r>
      <w:proofErr w:type="spellStart"/>
      <w:r>
        <w:rPr>
          <w:szCs w:val="24"/>
        </w:rPr>
        <w:t>komercpraksi</w:t>
      </w:r>
      <w:proofErr w:type="spellEnd"/>
      <w:r>
        <w:rPr>
          <w:szCs w:val="24"/>
        </w:rPr>
        <w:t>, ja ar to radīts būtisks kaitējums, nosakot soda apmēru no īslaicīgas brīvības atņemšanu uz laiku līdz diviem gadiem vai īslaicīgu brīvības atņemšanu. Papildus norādāms, ka sankcijā tiek paturēti brīvības atņemšanai alternatīvie sodi</w:t>
      </w:r>
      <w:r>
        <w:rPr>
          <w:rFonts w:eastAsia="Times New Roman"/>
          <w:color w:val="000000"/>
          <w:szCs w:val="24"/>
          <w:shd w:val="clear" w:color="auto" w:fill="FFFFFF"/>
          <w:lang w:eastAsia="lv-LV" w:bidi="my-MM"/>
        </w:rPr>
        <w:t xml:space="preserve"> – sabiedriskais darbs un naudas sods. </w:t>
      </w:r>
    </w:p>
    <w:p w14:paraId="602119F2" w14:textId="77777777" w:rsidR="008A684A" w:rsidRDefault="008A684A" w:rsidP="008A684A">
      <w:pPr>
        <w:ind w:firstLine="720"/>
        <w:rPr>
          <w:rFonts w:eastAsia="Times New Roman"/>
          <w:color w:val="000000"/>
          <w:szCs w:val="24"/>
          <w:shd w:val="clear" w:color="auto" w:fill="FFFFFF"/>
          <w:lang w:eastAsia="lv-LV" w:bidi="my-MM"/>
        </w:rPr>
      </w:pPr>
    </w:p>
    <w:p w14:paraId="70ED4050" w14:textId="77777777" w:rsidR="008A684A" w:rsidRDefault="008A684A" w:rsidP="008A684A">
      <w:pPr>
        <w:ind w:firstLine="720"/>
        <w:rPr>
          <w:rFonts w:eastAsia="Times New Roman"/>
          <w:b/>
          <w:bCs/>
          <w:i/>
          <w:iCs/>
          <w:color w:val="000000"/>
          <w:szCs w:val="24"/>
          <w:shd w:val="clear" w:color="auto" w:fill="FFFFFF"/>
          <w:lang w:eastAsia="lv-LV" w:bidi="my-MM"/>
        </w:rPr>
      </w:pPr>
      <w:r w:rsidRPr="00863D58">
        <w:rPr>
          <w:rFonts w:eastAsia="Times New Roman"/>
          <w:b/>
          <w:bCs/>
          <w:i/>
          <w:iCs/>
          <w:color w:val="000000"/>
          <w:szCs w:val="24"/>
          <w:shd w:val="clear" w:color="auto" w:fill="FFFFFF"/>
          <w:lang w:eastAsia="lv-LV" w:bidi="my-MM"/>
        </w:rPr>
        <w:t>Grozījumi pārejas noteikumos</w:t>
      </w:r>
    </w:p>
    <w:p w14:paraId="58C93060" w14:textId="77777777" w:rsidR="008A684A" w:rsidRDefault="008A684A" w:rsidP="008A684A">
      <w:pPr>
        <w:ind w:firstLine="0"/>
        <w:rPr>
          <w:rFonts w:eastAsia="Times New Roman"/>
          <w:iCs/>
          <w:szCs w:val="24"/>
          <w:lang w:eastAsia="lv-LV" w:bidi="my-MM"/>
        </w:rPr>
      </w:pPr>
    </w:p>
    <w:p w14:paraId="3951C1B2" w14:textId="77777777" w:rsidR="008A684A" w:rsidRDefault="008A684A" w:rsidP="008A684A">
      <w:pPr>
        <w:rPr>
          <w:rFonts w:eastAsia="Times New Roman"/>
          <w:bCs/>
          <w:iCs/>
          <w:szCs w:val="24"/>
          <w:lang w:eastAsia="lv-LV" w:bidi="my-MM"/>
        </w:rPr>
      </w:pPr>
      <w:r>
        <w:rPr>
          <w:rFonts w:eastAsia="Times New Roman"/>
          <w:iCs/>
          <w:szCs w:val="24"/>
          <w:lang w:eastAsia="lv-LV" w:bidi="my-MM"/>
        </w:rPr>
        <w:t>Lai nodrošinātu saprātīgu un līdzsvarotu pāreju no līdzšinējā tiesiskā regulējuma uz jauno tiesisko regulējumu, ar grozījumiem KL papildināts pārejas noteikumus ar 25.</w:t>
      </w:r>
      <w:r>
        <w:rPr>
          <w:rFonts w:eastAsia="Times New Roman"/>
          <w:iCs/>
          <w:szCs w:val="24"/>
          <w:vertAlign w:val="superscript"/>
          <w:lang w:eastAsia="lv-LV" w:bidi="my-MM"/>
        </w:rPr>
        <w:t>3</w:t>
      </w:r>
      <w:r>
        <w:rPr>
          <w:rFonts w:eastAsia="Times New Roman"/>
          <w:iCs/>
          <w:szCs w:val="24"/>
          <w:lang w:eastAsia="lv-LV" w:bidi="my-MM"/>
        </w:rPr>
        <w:t xml:space="preserve"> punktu, nosakot, ka pamatsodu – probācijas uzraudzību – sāk piemērot ar 2025. gada 1. janvāri pilngadīgām personām, kuras izdarījušas šā likuma 119., 120., 124., 126., 130., </w:t>
      </w:r>
      <w:r w:rsidRPr="002736B4">
        <w:rPr>
          <w:rFonts w:eastAsia="Times New Roman"/>
          <w:bCs/>
          <w:iCs/>
          <w:szCs w:val="24"/>
          <w:lang w:eastAsia="lv-LV" w:bidi="my-MM"/>
        </w:rPr>
        <w:t>130.</w:t>
      </w:r>
      <w:r w:rsidRPr="002736B4">
        <w:rPr>
          <w:rFonts w:eastAsia="Times New Roman"/>
          <w:bCs/>
          <w:iCs/>
          <w:szCs w:val="24"/>
          <w:vertAlign w:val="superscript"/>
          <w:lang w:eastAsia="lv-LV" w:bidi="my-MM"/>
        </w:rPr>
        <w:t>1</w:t>
      </w:r>
      <w:r w:rsidRPr="002736B4">
        <w:rPr>
          <w:rFonts w:eastAsia="Times New Roman"/>
          <w:bCs/>
          <w:iCs/>
          <w:szCs w:val="24"/>
          <w:lang w:eastAsia="lv-LV" w:bidi="my-MM"/>
        </w:rPr>
        <w:t>, 132., 132.</w:t>
      </w:r>
      <w:r w:rsidRPr="002736B4">
        <w:rPr>
          <w:rFonts w:eastAsia="Times New Roman"/>
          <w:bCs/>
          <w:iCs/>
          <w:szCs w:val="24"/>
          <w:vertAlign w:val="superscript"/>
          <w:lang w:eastAsia="lv-LV" w:bidi="my-MM"/>
        </w:rPr>
        <w:t>1</w:t>
      </w:r>
      <w:r w:rsidRPr="002736B4">
        <w:rPr>
          <w:rFonts w:eastAsia="Times New Roman"/>
          <w:bCs/>
          <w:iCs/>
          <w:szCs w:val="24"/>
          <w:lang w:eastAsia="lv-LV" w:bidi="my-MM"/>
        </w:rPr>
        <w:t>, 143., 145., 147., 150., 152., 153., 174., 230., 262., 262.</w:t>
      </w:r>
      <w:r w:rsidRPr="002736B4">
        <w:rPr>
          <w:rFonts w:eastAsia="Times New Roman"/>
          <w:bCs/>
          <w:iCs/>
          <w:szCs w:val="24"/>
          <w:vertAlign w:val="superscript"/>
          <w:lang w:eastAsia="lv-LV" w:bidi="my-MM"/>
        </w:rPr>
        <w:t>1</w:t>
      </w:r>
      <w:r w:rsidRPr="002736B4">
        <w:rPr>
          <w:rFonts w:eastAsia="Times New Roman"/>
          <w:bCs/>
          <w:iCs/>
          <w:szCs w:val="24"/>
          <w:lang w:eastAsia="lv-LV" w:bidi="my-MM"/>
        </w:rPr>
        <w:t>, 269., 270., 272.</w:t>
      </w:r>
      <w:r w:rsidRPr="002736B4">
        <w:rPr>
          <w:rFonts w:eastAsia="Times New Roman"/>
          <w:bCs/>
          <w:iCs/>
          <w:szCs w:val="24"/>
          <w:vertAlign w:val="superscript"/>
          <w:lang w:eastAsia="lv-LV" w:bidi="my-MM"/>
        </w:rPr>
        <w:t>1</w:t>
      </w:r>
      <w:r w:rsidRPr="002736B4">
        <w:rPr>
          <w:rFonts w:eastAsia="Times New Roman"/>
          <w:bCs/>
          <w:iCs/>
          <w:szCs w:val="24"/>
          <w:lang w:eastAsia="lv-LV" w:bidi="my-MM"/>
        </w:rPr>
        <w:t xml:space="preserve"> un 279. pantā paredzēto noziedzīgo nodarījumu pēc</w:t>
      </w:r>
      <w:r>
        <w:rPr>
          <w:rFonts w:eastAsia="Times New Roman"/>
          <w:bCs/>
          <w:iCs/>
          <w:szCs w:val="24"/>
          <w:lang w:eastAsia="lv-LV" w:bidi="my-MM"/>
        </w:rPr>
        <w:t xml:space="preserve"> 2024. gada 31. decembra.</w:t>
      </w:r>
    </w:p>
    <w:p w14:paraId="108095F2" w14:textId="77777777" w:rsidR="008A684A" w:rsidRDefault="008A684A" w:rsidP="008A684A">
      <w:pPr>
        <w:rPr>
          <w:rFonts w:eastAsia="Times New Roman"/>
          <w:iCs/>
          <w:szCs w:val="24"/>
          <w:lang w:eastAsia="lv-LV" w:bidi="my-MM"/>
        </w:rPr>
      </w:pPr>
      <w:r w:rsidRPr="002736B4">
        <w:rPr>
          <w:rFonts w:eastAsia="Times New Roman"/>
          <w:iCs/>
          <w:szCs w:val="24"/>
          <w:lang w:eastAsia="lv-LV" w:bidi="my-MM"/>
        </w:rPr>
        <w:t>Ievērojot to, ka par šiem noziedzīgajiem nodarījumiem saskaņā ar grozījumiem sabiedriskais</w:t>
      </w:r>
      <w:r>
        <w:rPr>
          <w:rFonts w:eastAsia="Times New Roman"/>
          <w:iCs/>
          <w:szCs w:val="24"/>
          <w:lang w:eastAsia="lv-LV" w:bidi="my-MM"/>
        </w:rPr>
        <w:t xml:space="preserve"> darbs un naudas sods vairāk nav piemērojams, līdz 2025. gada 1, janvārim, kad būs iespējams piemērot pamatsodu – probācijas uzraudzība, visi kriminālprocesi par noziedzīgiem nodarījumiem, kas izdarīti pēc 2024. gada 3. jūlija līdz 2024. gada 31. decembrim, virzāmi izskatīšanai tiesā brīvības atņemšanas piemērošanai, nosakot to reāli vai nosacīti. </w:t>
      </w:r>
    </w:p>
    <w:p w14:paraId="300514F2" w14:textId="77777777" w:rsidR="008A684A" w:rsidRPr="002736B4" w:rsidRDefault="008A684A" w:rsidP="008A684A">
      <w:pPr>
        <w:rPr>
          <w:rFonts w:eastAsia="Times New Roman"/>
          <w:iCs/>
          <w:szCs w:val="24"/>
          <w:lang w:eastAsia="lv-LV" w:bidi="my-MM"/>
        </w:rPr>
      </w:pPr>
      <w:r>
        <w:rPr>
          <w:rFonts w:eastAsia="Times New Roman"/>
          <w:iCs/>
          <w:szCs w:val="24"/>
          <w:lang w:eastAsia="lv-LV" w:bidi="my-MM"/>
        </w:rPr>
        <w:t>Vienlaikus vēršamu uzmanību, ka attiecībā uz KL pārejas noteikumu 25.</w:t>
      </w:r>
      <w:r>
        <w:rPr>
          <w:rFonts w:eastAsia="Times New Roman"/>
          <w:iCs/>
          <w:szCs w:val="24"/>
          <w:vertAlign w:val="superscript"/>
          <w:lang w:eastAsia="lv-LV" w:bidi="my-MM"/>
        </w:rPr>
        <w:t xml:space="preserve">3 </w:t>
      </w:r>
      <w:r>
        <w:rPr>
          <w:rFonts w:eastAsia="Times New Roman"/>
          <w:iCs/>
          <w:szCs w:val="24"/>
          <w:lang w:eastAsia="lv-LV" w:bidi="my-MM"/>
        </w:rPr>
        <w:t xml:space="preserve">punktā </w:t>
      </w:r>
      <w:r w:rsidRPr="002736B4">
        <w:rPr>
          <w:rFonts w:eastAsia="Times New Roman"/>
          <w:bCs/>
          <w:iCs/>
          <w:szCs w:val="24"/>
          <w:lang w:eastAsia="lv-LV" w:bidi="my-MM"/>
        </w:rPr>
        <w:t>minētajiem</w:t>
      </w:r>
      <w:r w:rsidRPr="002736B4">
        <w:rPr>
          <w:rFonts w:eastAsia="Times New Roman"/>
          <w:iCs/>
          <w:szCs w:val="24"/>
          <w:lang w:eastAsia="lv-LV" w:bidi="my-MM"/>
        </w:rPr>
        <w:t xml:space="preserve"> noziedzīgajiem nodarījumiem, kas izdarīti pirms 2024. gada 4. jūlija, </w:t>
      </w:r>
      <w:r w:rsidRPr="002736B4">
        <w:rPr>
          <w:rFonts w:eastAsia="Times New Roman"/>
          <w:bCs/>
          <w:iCs/>
          <w:szCs w:val="24"/>
          <w:lang w:eastAsia="lv-LV" w:bidi="my-MM"/>
        </w:rPr>
        <w:t xml:space="preserve">saskaņā ar KL 5. panta trešo daļu </w:t>
      </w:r>
      <w:r w:rsidRPr="002736B4">
        <w:rPr>
          <w:rFonts w:eastAsia="Times New Roman"/>
          <w:iCs/>
          <w:szCs w:val="24"/>
          <w:lang w:eastAsia="lv-LV" w:bidi="my-MM"/>
        </w:rPr>
        <w:t>joprojām būs iespējams piemērot brīvības atņemšanai alternatīvos sodus – sabiedriskais darbs un naudas sods.</w:t>
      </w:r>
    </w:p>
    <w:p w14:paraId="4E014BF3" w14:textId="77777777" w:rsidR="008A684A" w:rsidRPr="002736B4" w:rsidRDefault="008A684A" w:rsidP="008A684A">
      <w:pPr>
        <w:rPr>
          <w:rFonts w:eastAsia="Times New Roman"/>
          <w:iCs/>
          <w:szCs w:val="24"/>
          <w:lang w:eastAsia="lv-LV" w:bidi="my-MM"/>
        </w:rPr>
      </w:pPr>
      <w:r w:rsidRPr="002736B4">
        <w:rPr>
          <w:rFonts w:eastAsia="Times New Roman"/>
          <w:iCs/>
          <w:szCs w:val="24"/>
          <w:lang w:eastAsia="lv-LV" w:bidi="my-MM"/>
        </w:rPr>
        <w:t>Vienlaikus atgādinām, ka saskaņā ar KL pārejas noteikumu 25. punktu pamatsodu — probācijas uzraudzība</w:t>
      </w:r>
      <w:r>
        <w:rPr>
          <w:rFonts w:eastAsia="Times New Roman"/>
          <w:iCs/>
          <w:szCs w:val="24"/>
          <w:lang w:eastAsia="lv-LV" w:bidi="my-MM"/>
        </w:rPr>
        <w:t xml:space="preserve"> – </w:t>
      </w:r>
      <w:r w:rsidRPr="009D7778">
        <w:rPr>
          <w:rFonts w:eastAsia="Times New Roman"/>
          <w:iCs/>
          <w:szCs w:val="24"/>
          <w:lang w:eastAsia="lv-LV" w:bidi="my-MM"/>
        </w:rPr>
        <w:t>nepilngadīgajiem var piemērot par jebkuru KL sevišķajā daļā paredzēto noziedzīgo nodarījumu</w:t>
      </w:r>
      <w:r>
        <w:rPr>
          <w:rFonts w:eastAsia="Times New Roman"/>
          <w:iCs/>
          <w:szCs w:val="24"/>
          <w:lang w:eastAsia="lv-LV" w:bidi="my-MM"/>
        </w:rPr>
        <w:t>.</w:t>
      </w:r>
    </w:p>
    <w:p w14:paraId="6B02D8FD" w14:textId="696F622B" w:rsidR="008A684A" w:rsidRPr="008A684A" w:rsidRDefault="008A684A" w:rsidP="008A684A">
      <w:pPr>
        <w:rPr>
          <w:rFonts w:eastAsia="Times New Roman"/>
          <w:bCs/>
          <w:iCs/>
          <w:szCs w:val="24"/>
          <w:lang w:eastAsia="lv-LV" w:bidi="my-MM"/>
        </w:rPr>
      </w:pPr>
      <w:r w:rsidRPr="002736B4">
        <w:rPr>
          <w:rFonts w:eastAsia="Times New Roman"/>
          <w:iCs/>
          <w:szCs w:val="24"/>
          <w:lang w:eastAsia="lv-LV" w:bidi="my-MM"/>
        </w:rPr>
        <w:t xml:space="preserve">Ievērojot to, ka ar grozījumiem no KL ir izslēgts </w:t>
      </w:r>
      <w:r w:rsidRPr="002736B4">
        <w:rPr>
          <w:rFonts w:eastAsia="Times New Roman"/>
          <w:bCs/>
          <w:iCs/>
          <w:szCs w:val="24"/>
          <w:lang w:eastAsia="lv-LV" w:bidi="my-MM"/>
        </w:rPr>
        <w:t>275.</w:t>
      </w:r>
      <w:r w:rsidRPr="002736B4">
        <w:rPr>
          <w:rFonts w:eastAsia="Times New Roman"/>
          <w:bCs/>
          <w:iCs/>
          <w:szCs w:val="24"/>
          <w:vertAlign w:val="superscript"/>
          <w:lang w:eastAsia="lv-LV" w:bidi="my-MM"/>
        </w:rPr>
        <w:t>1 </w:t>
      </w:r>
      <w:r w:rsidRPr="002736B4">
        <w:rPr>
          <w:rFonts w:eastAsia="Times New Roman"/>
          <w:bCs/>
          <w:iCs/>
          <w:szCs w:val="24"/>
          <w:lang w:eastAsia="lv-LV" w:bidi="my-MM"/>
        </w:rPr>
        <w:t>pants, KL papildināts ar pārejas noteikumus 31. punktu, kurā noteikts, ka personas, kuras šā likuma 275.</w:t>
      </w:r>
      <w:r w:rsidRPr="002736B4">
        <w:rPr>
          <w:rFonts w:eastAsia="Times New Roman"/>
          <w:bCs/>
          <w:iCs/>
          <w:szCs w:val="24"/>
          <w:vertAlign w:val="superscript"/>
          <w:lang w:eastAsia="lv-LV" w:bidi="my-MM"/>
        </w:rPr>
        <w:t>1</w:t>
      </w:r>
      <w:r w:rsidRPr="002736B4">
        <w:rPr>
          <w:rFonts w:eastAsia="Times New Roman"/>
          <w:bCs/>
          <w:iCs/>
          <w:szCs w:val="24"/>
          <w:lang w:eastAsia="lv-LV" w:bidi="my-MM"/>
        </w:rPr>
        <w:t xml:space="preserve"> pantā paredzēto noziedzīgo nodarījumu izdarījušas līdz dienai, kad stājies spēkā grozījums par šā panta izslēgšanu, saucamas pie kriminālatbildības un sodāmas saskaņā ar tām šā likuma normām, kuras bija spēkā attiecīgā nodarījuma izdarīšanas laikā.</w:t>
      </w:r>
    </w:p>
    <w:p w14:paraId="544F7CCE" w14:textId="77777777" w:rsidR="002736B4" w:rsidRPr="00114CF8" w:rsidRDefault="002736B4" w:rsidP="003B1609">
      <w:pPr>
        <w:ind w:left="426" w:firstLine="709"/>
        <w:rPr>
          <w:iCs/>
          <w:szCs w:val="24"/>
        </w:rPr>
      </w:pPr>
    </w:p>
    <w:p w14:paraId="0873C667" w14:textId="0AF88DCC" w:rsidR="002736B4" w:rsidRPr="003B1609" w:rsidRDefault="002736B4" w:rsidP="00E71D39">
      <w:pPr>
        <w:pStyle w:val="Sarakstarindkopa"/>
        <w:numPr>
          <w:ilvl w:val="0"/>
          <w:numId w:val="16"/>
        </w:numPr>
        <w:ind w:left="426"/>
        <w:rPr>
          <w:rFonts w:eastAsia="Times New Roman"/>
          <w:b/>
          <w:iCs/>
          <w:szCs w:val="24"/>
        </w:rPr>
      </w:pPr>
      <w:r w:rsidRPr="003B1609">
        <w:rPr>
          <w:rFonts w:eastAsia="Times New Roman"/>
          <w:b/>
          <w:iCs/>
          <w:szCs w:val="24"/>
        </w:rPr>
        <w:t>Kāda var būt likuma ietekme uz sabiedrības un tautsaimniecības attīstību?</w:t>
      </w:r>
    </w:p>
    <w:p w14:paraId="3DBB6DBB" w14:textId="77777777" w:rsidR="00CB39A7" w:rsidRPr="00114CF8" w:rsidRDefault="00CB39A7" w:rsidP="002736B4">
      <w:pPr>
        <w:ind w:firstLine="851"/>
        <w:rPr>
          <w:rFonts w:eastAsia="Times New Roman"/>
          <w:iCs/>
          <w:szCs w:val="24"/>
          <w:lang w:eastAsia="lv-LV"/>
        </w:rPr>
      </w:pPr>
    </w:p>
    <w:p w14:paraId="5C8F0F8B" w14:textId="77777777" w:rsidR="002736B4" w:rsidRDefault="002736B4" w:rsidP="002736B4">
      <w:pPr>
        <w:ind w:firstLine="851"/>
        <w:rPr>
          <w:rFonts w:eastAsia="Times New Roman"/>
          <w:iCs/>
          <w:szCs w:val="24"/>
          <w:lang w:eastAsia="lv-LV"/>
        </w:rPr>
      </w:pPr>
      <w:r w:rsidRPr="00C23B84">
        <w:rPr>
          <w:rFonts w:eastAsia="Times New Roman"/>
          <w:iCs/>
          <w:szCs w:val="24"/>
          <w:lang w:eastAsia="lv-LV"/>
        </w:rPr>
        <w:t>Ar š</w:t>
      </w:r>
      <w:r>
        <w:rPr>
          <w:rFonts w:eastAsia="Times New Roman"/>
          <w:iCs/>
          <w:szCs w:val="24"/>
          <w:lang w:eastAsia="lv-LV"/>
        </w:rPr>
        <w:t>iem</w:t>
      </w:r>
      <w:r w:rsidRPr="00C23B84">
        <w:rPr>
          <w:rFonts w:eastAsia="Times New Roman"/>
          <w:iCs/>
          <w:szCs w:val="24"/>
          <w:lang w:eastAsia="lv-LV"/>
        </w:rPr>
        <w:t xml:space="preserve"> grozījum</w:t>
      </w:r>
      <w:r>
        <w:rPr>
          <w:rFonts w:eastAsia="Times New Roman"/>
          <w:iCs/>
          <w:szCs w:val="24"/>
          <w:lang w:eastAsia="lv-LV"/>
        </w:rPr>
        <w:t>iem</w:t>
      </w:r>
      <w:r w:rsidRPr="00C23B84">
        <w:rPr>
          <w:rFonts w:eastAsia="Times New Roman"/>
          <w:iCs/>
          <w:szCs w:val="24"/>
          <w:lang w:eastAsia="lv-LV"/>
        </w:rPr>
        <w:t xml:space="preserve"> </w:t>
      </w:r>
      <w:r w:rsidRPr="006474F2">
        <w:rPr>
          <w:rFonts w:eastAsia="Times New Roman"/>
          <w:iCs/>
          <w:szCs w:val="24"/>
          <w:lang w:eastAsia="lv-LV"/>
        </w:rPr>
        <w:t>tiks pastiprināta kriminālatbildība par cietsirdīgu izturēšanos pret dzīvniekiem un dzīvnieku spīdzināšanu</w:t>
      </w:r>
      <w:r>
        <w:rPr>
          <w:rFonts w:eastAsia="Times New Roman"/>
          <w:iCs/>
          <w:szCs w:val="24"/>
          <w:lang w:eastAsia="lv-LV"/>
        </w:rPr>
        <w:t xml:space="preserve">. </w:t>
      </w:r>
    </w:p>
    <w:p w14:paraId="15E7BA55" w14:textId="0B5681E6" w:rsidR="008A684A" w:rsidRDefault="008A684A" w:rsidP="002736B4">
      <w:pPr>
        <w:ind w:firstLine="851"/>
        <w:rPr>
          <w:rFonts w:eastAsia="Times New Roman"/>
          <w:iCs/>
          <w:szCs w:val="24"/>
          <w:lang w:eastAsia="lv-LV"/>
        </w:rPr>
      </w:pPr>
      <w:r>
        <w:rPr>
          <w:rFonts w:eastAsia="Times New Roman"/>
          <w:iCs/>
          <w:szCs w:val="24"/>
          <w:lang w:eastAsia="lv-LV"/>
        </w:rPr>
        <w:lastRenderedPageBreak/>
        <w:t xml:space="preserve">Papildus ar grozījumiem </w:t>
      </w:r>
      <w:r w:rsidR="00CB39A7">
        <w:rPr>
          <w:rFonts w:eastAsia="Times New Roman"/>
          <w:iCs/>
          <w:szCs w:val="24"/>
          <w:lang w:eastAsia="lv-LV"/>
        </w:rPr>
        <w:t xml:space="preserve">tiks pastiprināta atbildība </w:t>
      </w:r>
      <w:r w:rsidR="00CB39A7" w:rsidRPr="00CB39A7">
        <w:rPr>
          <w:rFonts w:eastAsia="Times New Roman"/>
          <w:iCs/>
          <w:szCs w:val="24"/>
          <w:lang w:eastAsia="lv-LV"/>
        </w:rPr>
        <w:t>atsevišķu kategoriju noziedzīgajiem nodarījumiem, jo īpaši nodarījumiem, kas saistīti ar vardarbību, personas tiks atbrīvotas no kriminālatbildības par KL 25</w:t>
      </w:r>
      <w:r w:rsidR="00CB39A7">
        <w:rPr>
          <w:rFonts w:eastAsia="Times New Roman"/>
          <w:iCs/>
          <w:szCs w:val="24"/>
          <w:lang w:eastAsia="lv-LV"/>
        </w:rPr>
        <w:t>3.</w:t>
      </w:r>
      <w:r w:rsidR="00CB39A7" w:rsidRPr="00CB39A7">
        <w:rPr>
          <w:rFonts w:eastAsia="Times New Roman"/>
          <w:iCs/>
          <w:szCs w:val="24"/>
          <w:vertAlign w:val="superscript"/>
          <w:lang w:eastAsia="lv-LV"/>
        </w:rPr>
        <w:t>2</w:t>
      </w:r>
      <w:r w:rsidR="00CB39A7" w:rsidRPr="00CB39A7">
        <w:rPr>
          <w:rFonts w:eastAsia="Times New Roman"/>
          <w:iCs/>
          <w:szCs w:val="24"/>
          <w:lang w:eastAsia="lv-LV"/>
        </w:rPr>
        <w:t xml:space="preserve"> panta pirmajā daļā paredzētā noziedzīgā nodarījuma izdarīšanu, ja tā sniegusi vai organizējusi palīdzību personai narkotisko vielu pārdozēšanas gadījumā, </w:t>
      </w:r>
      <w:r w:rsidR="00CB39A7">
        <w:rPr>
          <w:rFonts w:eastAsia="Times New Roman"/>
          <w:iCs/>
          <w:szCs w:val="24"/>
          <w:lang w:eastAsia="lv-LV"/>
        </w:rPr>
        <w:t xml:space="preserve">kā arī citi </w:t>
      </w:r>
      <w:r w:rsidR="003B1609">
        <w:rPr>
          <w:rFonts w:eastAsia="Times New Roman"/>
          <w:iCs/>
          <w:szCs w:val="24"/>
          <w:lang w:eastAsia="lv-LV"/>
        </w:rPr>
        <w:t>atbildības jautājumi</w:t>
      </w:r>
      <w:r w:rsidR="00CB39A7">
        <w:rPr>
          <w:rFonts w:eastAsia="Times New Roman"/>
          <w:iCs/>
          <w:szCs w:val="24"/>
          <w:lang w:eastAsia="lv-LV"/>
        </w:rPr>
        <w:t xml:space="preserve">. </w:t>
      </w:r>
    </w:p>
    <w:p w14:paraId="0249086D" w14:textId="77777777" w:rsidR="008A684A" w:rsidRPr="00CB39A7" w:rsidRDefault="008A684A" w:rsidP="002736B4">
      <w:pPr>
        <w:ind w:firstLine="851"/>
        <w:rPr>
          <w:rFonts w:eastAsia="Times New Roman"/>
          <w:iCs/>
          <w:szCs w:val="24"/>
          <w:lang w:eastAsia="lv-LV"/>
        </w:rPr>
      </w:pPr>
    </w:p>
    <w:p w14:paraId="74896FA4" w14:textId="36FB7407" w:rsidR="002736B4" w:rsidRPr="003B1609" w:rsidRDefault="002736B4" w:rsidP="00E71D39">
      <w:pPr>
        <w:pStyle w:val="Sarakstarindkopa"/>
        <w:numPr>
          <w:ilvl w:val="0"/>
          <w:numId w:val="16"/>
        </w:numPr>
        <w:ind w:left="426"/>
        <w:rPr>
          <w:rFonts w:eastAsia="Times New Roman"/>
          <w:b/>
          <w:iCs/>
          <w:szCs w:val="24"/>
        </w:rPr>
      </w:pPr>
      <w:r w:rsidRPr="003B1609">
        <w:rPr>
          <w:rFonts w:eastAsia="Times New Roman"/>
          <w:b/>
          <w:iCs/>
          <w:szCs w:val="24"/>
        </w:rPr>
        <w:t>Kāda var būt likuma ietekme uz valsts budžetu un pašvaldību budžetiem?</w:t>
      </w:r>
    </w:p>
    <w:p w14:paraId="73069182" w14:textId="77777777" w:rsidR="00CB39A7" w:rsidRDefault="00CB39A7" w:rsidP="002736B4">
      <w:pPr>
        <w:ind w:firstLine="851"/>
        <w:rPr>
          <w:rFonts w:eastAsia="Times New Roman"/>
          <w:b/>
          <w:iCs/>
          <w:szCs w:val="24"/>
        </w:rPr>
      </w:pPr>
    </w:p>
    <w:p w14:paraId="578CD47F" w14:textId="77777777" w:rsidR="002736B4" w:rsidRPr="00114CF8" w:rsidRDefault="002736B4" w:rsidP="002736B4">
      <w:pPr>
        <w:ind w:firstLine="851"/>
        <w:rPr>
          <w:b/>
          <w:szCs w:val="24"/>
        </w:rPr>
      </w:pPr>
      <w:r w:rsidRPr="00114CF8">
        <w:rPr>
          <w:szCs w:val="24"/>
        </w:rPr>
        <w:t>Likumprojekts šo jomu neskar.</w:t>
      </w:r>
    </w:p>
    <w:p w14:paraId="50C0F7F5" w14:textId="77777777" w:rsidR="002736B4" w:rsidRPr="00114CF8" w:rsidRDefault="002736B4" w:rsidP="002736B4">
      <w:pPr>
        <w:rPr>
          <w:rFonts w:eastAsia="Times New Roman"/>
          <w:b/>
          <w:iCs/>
          <w:szCs w:val="24"/>
        </w:rPr>
      </w:pPr>
    </w:p>
    <w:p w14:paraId="15F55A75" w14:textId="1E05320F" w:rsidR="002736B4" w:rsidRPr="003B1609" w:rsidRDefault="002736B4" w:rsidP="00E71D39">
      <w:pPr>
        <w:pStyle w:val="Sarakstarindkopa"/>
        <w:numPr>
          <w:ilvl w:val="0"/>
          <w:numId w:val="16"/>
        </w:numPr>
        <w:ind w:left="426"/>
        <w:rPr>
          <w:b/>
          <w:szCs w:val="24"/>
        </w:rPr>
      </w:pPr>
      <w:r w:rsidRPr="003B1609">
        <w:rPr>
          <w:b/>
          <w:szCs w:val="24"/>
        </w:rPr>
        <w:t>Kāda var būt likuma ietekme uz spēkā esošo tiesību normu sistēmu?</w:t>
      </w:r>
    </w:p>
    <w:p w14:paraId="7DB1BE40" w14:textId="77777777" w:rsidR="00CB39A7" w:rsidRPr="00114CF8" w:rsidRDefault="00CB39A7" w:rsidP="002736B4">
      <w:pPr>
        <w:ind w:firstLine="851"/>
        <w:rPr>
          <w:b/>
          <w:szCs w:val="24"/>
        </w:rPr>
      </w:pPr>
    </w:p>
    <w:p w14:paraId="009BF5ED" w14:textId="77777777" w:rsidR="002736B4" w:rsidRPr="00114CF8" w:rsidRDefault="002736B4" w:rsidP="002736B4">
      <w:pPr>
        <w:ind w:firstLine="851"/>
        <w:rPr>
          <w:b/>
          <w:szCs w:val="24"/>
        </w:rPr>
      </w:pPr>
      <w:r w:rsidRPr="00114CF8">
        <w:rPr>
          <w:szCs w:val="24"/>
        </w:rPr>
        <w:t>Likumprojekts šo jomu neskar.</w:t>
      </w:r>
    </w:p>
    <w:p w14:paraId="7A363A25" w14:textId="77777777" w:rsidR="002736B4" w:rsidRPr="00114CF8" w:rsidRDefault="002736B4" w:rsidP="002736B4">
      <w:pPr>
        <w:tabs>
          <w:tab w:val="left" w:pos="567"/>
        </w:tabs>
        <w:ind w:firstLine="851"/>
        <w:rPr>
          <w:b/>
          <w:szCs w:val="24"/>
        </w:rPr>
      </w:pPr>
    </w:p>
    <w:p w14:paraId="0D618E5D" w14:textId="2F4C2E34" w:rsidR="002736B4" w:rsidRPr="003B1609" w:rsidRDefault="002736B4" w:rsidP="00E71D39">
      <w:pPr>
        <w:pStyle w:val="Sarakstarindkopa"/>
        <w:numPr>
          <w:ilvl w:val="0"/>
          <w:numId w:val="16"/>
        </w:numPr>
        <w:tabs>
          <w:tab w:val="left" w:pos="567"/>
        </w:tabs>
        <w:ind w:left="426"/>
        <w:rPr>
          <w:b/>
          <w:szCs w:val="24"/>
        </w:rPr>
      </w:pPr>
      <w:r w:rsidRPr="003B1609">
        <w:rPr>
          <w:b/>
          <w:szCs w:val="24"/>
        </w:rPr>
        <w:t xml:space="preserve">Kādām Latvijas starptautiskajām saistībām atbilst likumprojekts? </w:t>
      </w:r>
    </w:p>
    <w:p w14:paraId="4A66DBDB" w14:textId="77777777" w:rsidR="00CB39A7" w:rsidRPr="00114CF8" w:rsidRDefault="00CB39A7" w:rsidP="002736B4">
      <w:pPr>
        <w:tabs>
          <w:tab w:val="left" w:pos="567"/>
        </w:tabs>
        <w:ind w:firstLine="851"/>
        <w:rPr>
          <w:b/>
          <w:szCs w:val="24"/>
        </w:rPr>
      </w:pPr>
    </w:p>
    <w:p w14:paraId="729F3A9B" w14:textId="77777777" w:rsidR="002736B4" w:rsidRDefault="002736B4" w:rsidP="002736B4">
      <w:pPr>
        <w:ind w:firstLine="851"/>
        <w:rPr>
          <w:szCs w:val="24"/>
        </w:rPr>
      </w:pPr>
      <w:r w:rsidRPr="00114CF8">
        <w:rPr>
          <w:szCs w:val="24"/>
        </w:rPr>
        <w:t>Likumprojekts šo jomu neskar.</w:t>
      </w:r>
    </w:p>
    <w:p w14:paraId="61984EAF" w14:textId="77777777" w:rsidR="002736B4" w:rsidRDefault="002736B4" w:rsidP="002736B4">
      <w:pPr>
        <w:tabs>
          <w:tab w:val="left" w:pos="567"/>
        </w:tabs>
        <w:ind w:firstLine="851"/>
        <w:rPr>
          <w:b/>
          <w:szCs w:val="24"/>
        </w:rPr>
      </w:pPr>
    </w:p>
    <w:p w14:paraId="2B0F6B83" w14:textId="681A6E9D" w:rsidR="002736B4" w:rsidRPr="003B1609" w:rsidRDefault="002736B4" w:rsidP="00E71D39">
      <w:pPr>
        <w:pStyle w:val="Sarakstarindkopa"/>
        <w:numPr>
          <w:ilvl w:val="0"/>
          <w:numId w:val="16"/>
        </w:numPr>
        <w:tabs>
          <w:tab w:val="left" w:pos="567"/>
        </w:tabs>
        <w:ind w:left="426"/>
        <w:rPr>
          <w:b/>
          <w:szCs w:val="24"/>
        </w:rPr>
      </w:pPr>
      <w:r w:rsidRPr="003B1609">
        <w:rPr>
          <w:b/>
          <w:szCs w:val="24"/>
        </w:rPr>
        <w:t>Kādas konsultācijas notikušas, sagatavojot likumprojektu?</w:t>
      </w:r>
    </w:p>
    <w:p w14:paraId="1B091251" w14:textId="77777777" w:rsidR="00CB39A7" w:rsidRPr="00114CF8" w:rsidRDefault="00CB39A7" w:rsidP="002736B4">
      <w:pPr>
        <w:tabs>
          <w:tab w:val="left" w:pos="567"/>
        </w:tabs>
        <w:ind w:firstLine="851"/>
        <w:rPr>
          <w:szCs w:val="24"/>
        </w:rPr>
      </w:pPr>
    </w:p>
    <w:p w14:paraId="099C5590" w14:textId="77777777" w:rsidR="002736B4" w:rsidRDefault="002736B4" w:rsidP="002736B4">
      <w:pPr>
        <w:ind w:firstLine="851"/>
        <w:rPr>
          <w:szCs w:val="24"/>
        </w:rPr>
      </w:pPr>
      <w:r w:rsidRPr="00114CF8">
        <w:rPr>
          <w:szCs w:val="24"/>
        </w:rPr>
        <w:t xml:space="preserve">Sagatavojot likumprojektu, diskusijas notikušas Saeimas Juridiskās komisijas Krimināltiesību </w:t>
      </w:r>
      <w:r>
        <w:rPr>
          <w:szCs w:val="24"/>
        </w:rPr>
        <w:t xml:space="preserve">un sodu </w:t>
      </w:r>
      <w:r w:rsidRPr="00114CF8">
        <w:rPr>
          <w:szCs w:val="24"/>
        </w:rPr>
        <w:t xml:space="preserve">politikas apakškomisijā, piedaloties ekspertiem no Saeimas Juridiskā biroja, </w:t>
      </w:r>
      <w:proofErr w:type="spellStart"/>
      <w:r w:rsidRPr="00114CF8">
        <w:rPr>
          <w:szCs w:val="24"/>
        </w:rPr>
        <w:t>Iekšlietu</w:t>
      </w:r>
      <w:proofErr w:type="spellEnd"/>
      <w:r w:rsidRPr="00114CF8">
        <w:rPr>
          <w:szCs w:val="24"/>
        </w:rPr>
        <w:t xml:space="preserve"> ministrijas, Tieslietu ministrijas, </w:t>
      </w:r>
      <w:r>
        <w:rPr>
          <w:szCs w:val="24"/>
        </w:rPr>
        <w:t>Zemkopības ministrijas un</w:t>
      </w:r>
      <w:r w:rsidRPr="00114CF8">
        <w:rPr>
          <w:szCs w:val="24"/>
        </w:rPr>
        <w:t xml:space="preserve"> Ģenerālprokuratūras</w:t>
      </w:r>
      <w:r>
        <w:rPr>
          <w:szCs w:val="24"/>
        </w:rPr>
        <w:t>, kā arī darba grupā</w:t>
      </w:r>
      <w:r w:rsidRPr="00114CF8">
        <w:rPr>
          <w:szCs w:val="24"/>
        </w:rPr>
        <w:t>.</w:t>
      </w:r>
    </w:p>
    <w:p w14:paraId="6FF1D185" w14:textId="78BCA451" w:rsidR="008A684A" w:rsidRPr="00143381" w:rsidRDefault="008A684A" w:rsidP="008A684A">
      <w:pPr>
        <w:rPr>
          <w:szCs w:val="24"/>
          <w:shd w:val="clear" w:color="auto" w:fill="FFFFFF"/>
        </w:rPr>
      </w:pPr>
      <w:r>
        <w:rPr>
          <w:szCs w:val="24"/>
        </w:rPr>
        <w:t xml:space="preserve">Attiecībā uz papildus iesniegtajiem grozījumiem </w:t>
      </w:r>
      <w:r w:rsidR="00CB39A7">
        <w:rPr>
          <w:rFonts w:eastAsia="Times New Roman"/>
          <w:szCs w:val="24"/>
          <w:lang w:eastAsia="lv-LV"/>
        </w:rPr>
        <w:t>l</w:t>
      </w:r>
      <w:r w:rsidRPr="00143381">
        <w:rPr>
          <w:rFonts w:eastAsia="Times New Roman"/>
          <w:szCs w:val="24"/>
          <w:lang w:eastAsia="lv-LV"/>
        </w:rPr>
        <w:t xml:space="preserve">ikumprojekta izstrādes ietvaros notikušas diskusijas ar tieslietu ministra 2020. gada 9. marta rīkojumu Nr. 1-1/69 izveidotās pastāvīgās </w:t>
      </w:r>
      <w:r>
        <w:rPr>
          <w:rFonts w:eastAsia="Times New Roman"/>
          <w:szCs w:val="24"/>
          <w:lang w:eastAsia="lv-LV"/>
        </w:rPr>
        <w:t>Krimināll</w:t>
      </w:r>
      <w:r w:rsidRPr="00143381">
        <w:rPr>
          <w:rFonts w:eastAsia="Times New Roman"/>
          <w:szCs w:val="24"/>
          <w:lang w:eastAsia="lv-LV"/>
        </w:rPr>
        <w:t xml:space="preserve">ikuma darba grupas sanāksmēs, kuras sastāvā ir tiesību zinātņu eksperti un praktiķi, tostarp Valsts policijas, Ģenerālprokuratūras, Valsts ieņēmumu dienesta un </w:t>
      </w:r>
      <w:r w:rsidRPr="00143381">
        <w:rPr>
          <w:szCs w:val="24"/>
          <w:shd w:val="clear" w:color="auto" w:fill="FFFFFF"/>
        </w:rPr>
        <w:t>tiesu pārstāvji, kā arī Latvijas Republikas Uzņēmumu reģistra pārstāvji.</w:t>
      </w:r>
    </w:p>
    <w:p w14:paraId="4D8B280A" w14:textId="2AFFCFE8" w:rsidR="002736B4" w:rsidRPr="00114CF8" w:rsidRDefault="002736B4" w:rsidP="002736B4">
      <w:pPr>
        <w:ind w:firstLine="851"/>
        <w:rPr>
          <w:b/>
          <w:szCs w:val="24"/>
        </w:rPr>
      </w:pPr>
    </w:p>
    <w:p w14:paraId="6E8BE058" w14:textId="35D849B1" w:rsidR="002736B4" w:rsidRPr="003B1609" w:rsidRDefault="002736B4" w:rsidP="00E71D39">
      <w:pPr>
        <w:pStyle w:val="Sarakstarindkopa"/>
        <w:numPr>
          <w:ilvl w:val="0"/>
          <w:numId w:val="16"/>
        </w:numPr>
        <w:ind w:left="426"/>
        <w:rPr>
          <w:b/>
          <w:szCs w:val="24"/>
        </w:rPr>
      </w:pPr>
      <w:r w:rsidRPr="003B1609">
        <w:rPr>
          <w:b/>
          <w:szCs w:val="24"/>
        </w:rPr>
        <w:t>Kā tiks nodrošināta likuma izpilde?</w:t>
      </w:r>
    </w:p>
    <w:p w14:paraId="0EA63D84" w14:textId="77777777" w:rsidR="003B1609" w:rsidRPr="00114CF8" w:rsidRDefault="003B1609" w:rsidP="002736B4">
      <w:pPr>
        <w:ind w:firstLine="851"/>
        <w:rPr>
          <w:b/>
          <w:szCs w:val="24"/>
        </w:rPr>
      </w:pPr>
    </w:p>
    <w:p w14:paraId="072A9293" w14:textId="77777777" w:rsidR="002736B4" w:rsidRPr="00114CF8" w:rsidRDefault="002736B4" w:rsidP="002736B4">
      <w:pPr>
        <w:ind w:firstLine="851"/>
        <w:rPr>
          <w:szCs w:val="24"/>
        </w:rPr>
      </w:pPr>
      <w:r w:rsidRPr="00114CF8">
        <w:rPr>
          <w:rFonts w:eastAsia="Times New Roman"/>
          <w:bCs/>
          <w:szCs w:val="24"/>
        </w:rPr>
        <w:t>Likuma izpilde tiks nodrošināta saskaņā ar likumā un normatīvajos aktos noteikto kārtību. Jaunu institūciju izveide nav nepieciešama.</w:t>
      </w:r>
    </w:p>
    <w:p w14:paraId="65A4FE05" w14:textId="77777777" w:rsidR="002736B4" w:rsidRPr="00143381" w:rsidRDefault="002736B4" w:rsidP="00863D58">
      <w:pPr>
        <w:pStyle w:val="Sarakstarindkopa"/>
        <w:widowControl w:val="0"/>
        <w:autoSpaceDE w:val="0"/>
        <w:autoSpaceDN w:val="0"/>
        <w:adjustRightInd w:val="0"/>
        <w:spacing w:before="120" w:after="120"/>
        <w:ind w:left="0" w:firstLine="0"/>
        <w:rPr>
          <w:rFonts w:eastAsia="Calibri"/>
          <w:b/>
          <w:szCs w:val="24"/>
          <w:shd w:val="clear" w:color="auto" w:fill="FFFFFF"/>
        </w:rPr>
      </w:pPr>
    </w:p>
    <w:p w14:paraId="454488B7" w14:textId="77777777" w:rsidR="00C01958" w:rsidRDefault="00C01958" w:rsidP="00C07BB2"/>
    <w:p w14:paraId="5C8F9EA0" w14:textId="77777777" w:rsidR="007A631F" w:rsidRPr="00601D8C" w:rsidRDefault="007A631F" w:rsidP="00C07BB2"/>
    <w:sectPr w:rsidR="007A631F" w:rsidRPr="00601D8C">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670AF3" w14:textId="77777777" w:rsidR="00FC3D58" w:rsidRDefault="00FC3D58" w:rsidP="00C07BB2">
      <w:r>
        <w:separator/>
      </w:r>
    </w:p>
  </w:endnote>
  <w:endnote w:type="continuationSeparator" w:id="0">
    <w:p w14:paraId="527E41F3" w14:textId="77777777" w:rsidR="00FC3D58" w:rsidRDefault="00FC3D58" w:rsidP="00C07B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24826750"/>
      <w:docPartObj>
        <w:docPartGallery w:val="Page Numbers (Bottom of Page)"/>
        <w:docPartUnique/>
      </w:docPartObj>
    </w:sdtPr>
    <w:sdtEndPr/>
    <w:sdtContent>
      <w:p w14:paraId="5F0C92BA" w14:textId="42689C85" w:rsidR="00DA5CC7" w:rsidRDefault="00DA5CC7">
        <w:pPr>
          <w:pStyle w:val="Kjene"/>
          <w:jc w:val="center"/>
        </w:pPr>
        <w:r>
          <w:fldChar w:fldCharType="begin"/>
        </w:r>
        <w:r>
          <w:instrText>PAGE   \* MERGEFORMAT</w:instrText>
        </w:r>
        <w:r>
          <w:fldChar w:fldCharType="separate"/>
        </w:r>
        <w:r w:rsidR="006E2162">
          <w:rPr>
            <w:noProof/>
          </w:rPr>
          <w:t>3</w:t>
        </w:r>
        <w:r w:rsidR="006E2162">
          <w:rPr>
            <w:noProof/>
          </w:rPr>
          <w:t>4</w:t>
        </w:r>
        <w:r>
          <w:fldChar w:fldCharType="end"/>
        </w:r>
      </w:p>
    </w:sdtContent>
  </w:sdt>
  <w:p w14:paraId="2BDD1B43" w14:textId="77777777" w:rsidR="00DA5CC7" w:rsidRDefault="00DA5CC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3C1AF9" w14:textId="77777777" w:rsidR="00FC3D58" w:rsidRDefault="00FC3D58" w:rsidP="00C07BB2">
      <w:r>
        <w:separator/>
      </w:r>
    </w:p>
  </w:footnote>
  <w:footnote w:type="continuationSeparator" w:id="0">
    <w:p w14:paraId="2310DBF1" w14:textId="77777777" w:rsidR="00FC3D58" w:rsidRDefault="00FC3D58" w:rsidP="00C07BB2">
      <w:r>
        <w:continuationSeparator/>
      </w:r>
    </w:p>
  </w:footnote>
  <w:footnote w:id="1">
    <w:p w14:paraId="2CFCF2A2" w14:textId="5259330F" w:rsidR="002736B4" w:rsidRPr="003D3BAC" w:rsidRDefault="002736B4" w:rsidP="002736B4">
      <w:pPr>
        <w:pStyle w:val="Vresteksts"/>
      </w:pPr>
      <w:r>
        <w:rPr>
          <w:rStyle w:val="Vresatsauce"/>
        </w:rPr>
        <w:footnoteRef/>
      </w:r>
      <w:hyperlink r:id="rId1" w:history="1">
        <w:r w:rsidR="00C07AB8" w:rsidRPr="002A417F">
          <w:rPr>
            <w:rStyle w:val="Hipersaite"/>
          </w:rPr>
          <w:t>https://taurid.saeima.lv/LIVS14/saeimalivs_lmp.nsf/0/EF96C5A3B8143B8DC2258A370045D4AA?OpenDocument</w:t>
        </w:r>
      </w:hyperlink>
    </w:p>
  </w:footnote>
  <w:footnote w:id="2">
    <w:p w14:paraId="7EF4F21C" w14:textId="77777777" w:rsidR="002736B4" w:rsidRPr="009A77BD" w:rsidRDefault="002736B4" w:rsidP="002736B4">
      <w:pPr>
        <w:pStyle w:val="Vresteksts"/>
      </w:pPr>
      <w:r w:rsidRPr="003D3BAC">
        <w:rPr>
          <w:rStyle w:val="Vresatsauce"/>
        </w:rPr>
        <w:footnoteRef/>
      </w:r>
      <w:r w:rsidRPr="00B46A3E">
        <w:rPr>
          <w:sz w:val="18"/>
          <w:szCs w:val="18"/>
        </w:rPr>
        <w:t xml:space="preserve"> </w:t>
      </w:r>
      <w:hyperlink r:id="rId2" w:history="1">
        <w:r w:rsidRPr="00B46A3E">
          <w:rPr>
            <w:rStyle w:val="Hipersaite"/>
            <w:sz w:val="18"/>
            <w:szCs w:val="18"/>
          </w:rPr>
          <w:t>https://juristavards.lv/doc/283737-cietsirdiba-pret-dzivnieku-un-atbildiba-par-to/</w:t>
        </w:r>
      </w:hyperlink>
      <w:r>
        <w:t xml:space="preserve"> </w:t>
      </w:r>
    </w:p>
  </w:footnote>
  <w:footnote w:id="3">
    <w:p w14:paraId="4EE6C15D" w14:textId="77777777" w:rsidR="008A684A" w:rsidRDefault="008A684A" w:rsidP="008A684A">
      <w:pPr>
        <w:pStyle w:val="Vresteksts"/>
      </w:pPr>
      <w:r>
        <w:rPr>
          <w:rStyle w:val="Vresatsauce"/>
        </w:rPr>
        <w:footnoteRef/>
      </w:r>
      <w:r>
        <w:t xml:space="preserve"> </w:t>
      </w:r>
      <w:r>
        <w:t xml:space="preserve">Krastiņš U., </w:t>
      </w:r>
      <w:proofErr w:type="spellStart"/>
      <w:r>
        <w:t>Liholaja</w:t>
      </w:r>
      <w:proofErr w:type="spellEnd"/>
      <w:r>
        <w:t xml:space="preserve"> V</w:t>
      </w:r>
      <w:r>
        <w:rPr>
          <w:i/>
        </w:rPr>
        <w:t>. Krimināllikuma komentāri. Otrā daļa (IX-XVII nodaļa)</w:t>
      </w:r>
      <w:r>
        <w:t>. Otrais papildinātais izdevums. Rīga</w:t>
      </w:r>
      <w:r>
        <w:rPr>
          <w:lang w:val="en-US"/>
        </w:rPr>
        <w:t>:</w:t>
      </w:r>
      <w:r>
        <w:t xml:space="preserve"> Tiesu namu aģentūra, 2018, 554.</w:t>
      </w:r>
      <w:r>
        <w:rPr>
          <w:lang w:val="en-US"/>
        </w:rPr>
        <w:t xml:space="preserve"> </w:t>
      </w:r>
      <w:r>
        <w:t>lpp.</w:t>
      </w:r>
    </w:p>
  </w:footnote>
  <w:footnote w:id="4">
    <w:p w14:paraId="0594F3F7" w14:textId="77777777" w:rsidR="008A684A" w:rsidRDefault="008A684A" w:rsidP="008A684A">
      <w:pPr>
        <w:pStyle w:val="Vresteksts"/>
      </w:pPr>
      <w:r>
        <w:rPr>
          <w:rStyle w:val="Vresatsauce"/>
        </w:rPr>
        <w:footnoteRef/>
      </w:r>
      <w:r>
        <w:t xml:space="preserve"> </w:t>
      </w:r>
      <w:r>
        <w:t xml:space="preserve">Latvijas Republikas Augstākās tiesas Senāta Krimināllietu departamenta lēmums lietā Nr.SKK-351/2008. Pieejams: </w:t>
      </w:r>
      <w:hyperlink r:id="rId3" w:history="1">
        <w:r w:rsidRPr="000E5E78">
          <w:rPr>
            <w:rStyle w:val="Hipersaite"/>
          </w:rPr>
          <w:t>https://www.at.gov.lv/lv/tiesu-prakse/judikaturas-nolemumu-arhivs/kriminallietu-departaments/hronologiska-seciba?year=2008</w:t>
        </w:r>
      </w:hyperlink>
      <w:r>
        <w:t xml:space="preserve"> </w:t>
      </w:r>
    </w:p>
  </w:footnote>
  <w:footnote w:id="5">
    <w:p w14:paraId="3E6002C7" w14:textId="77777777" w:rsidR="008A684A" w:rsidRDefault="008A684A" w:rsidP="008A684A">
      <w:pPr>
        <w:pStyle w:val="Vresteksts"/>
      </w:pPr>
      <w:r>
        <w:rPr>
          <w:rStyle w:val="Vresatsauce"/>
        </w:rPr>
        <w:footnoteRef/>
      </w:r>
      <w:r>
        <w:t xml:space="preserve"> </w:t>
      </w:r>
      <w:r>
        <w:t xml:space="preserve">Latvijas Republikas Augstākās tiesas Senāta Krimināllietu departamenta lēmums lietā Nr.SKK-190/2016. Pieejams: </w:t>
      </w:r>
      <w:hyperlink r:id="rId4" w:history="1">
        <w:r w:rsidRPr="000E5E78">
          <w:rPr>
            <w:rStyle w:val="Hipersaite"/>
          </w:rPr>
          <w:t>https://www.at.gov.lv/lv/tiesu-prakse/judikaturas-nolemumu-arhivs/kriminallietu-departaments/hronologiska-seciba?year=2016</w:t>
        </w:r>
      </w:hyperlink>
      <w:r>
        <w:t xml:space="preserve"> </w:t>
      </w:r>
    </w:p>
  </w:footnote>
  <w:footnote w:id="6">
    <w:p w14:paraId="0457610A" w14:textId="77777777" w:rsidR="008A684A" w:rsidRDefault="008A684A" w:rsidP="008A684A">
      <w:pPr>
        <w:pStyle w:val="Vresteksts"/>
      </w:pPr>
      <w:r>
        <w:rPr>
          <w:rStyle w:val="Vresatsauce"/>
        </w:rPr>
        <w:footnoteRef/>
      </w:r>
      <w:r>
        <w:t xml:space="preserve"> </w:t>
      </w:r>
      <w:r>
        <w:t>Skat. 2.</w:t>
      </w:r>
    </w:p>
  </w:footnote>
  <w:footnote w:id="7">
    <w:p w14:paraId="273280D2" w14:textId="77777777" w:rsidR="008A684A" w:rsidRDefault="008A684A" w:rsidP="008A684A">
      <w:pPr>
        <w:tabs>
          <w:tab w:val="left" w:pos="7740"/>
        </w:tabs>
        <w:rPr>
          <w:rFonts w:eastAsia="Calibri"/>
          <w:sz w:val="18"/>
          <w:szCs w:val="18"/>
        </w:rPr>
      </w:pPr>
      <w:r>
        <w:rPr>
          <w:rStyle w:val="BalontekstsRakstz"/>
          <w:sz w:val="18"/>
          <w:szCs w:val="18"/>
          <w:vertAlign w:val="superscript"/>
        </w:rPr>
        <w:footnoteRef/>
      </w:r>
      <w:r>
        <w:rPr>
          <w:sz w:val="18"/>
          <w:szCs w:val="18"/>
          <w:vertAlign w:val="superscript"/>
        </w:rPr>
        <w:t xml:space="preserve"> </w:t>
      </w:r>
      <w:hyperlink r:id="rId5" w:history="1">
        <w:r>
          <w:rPr>
            <w:rStyle w:val="Hipersaite"/>
            <w:sz w:val="18"/>
            <w:szCs w:val="18"/>
          </w:rPr>
          <w:t>Tiesu prakse krimināllietās pēc Krimināllikuma 317. panta otrās daļas, 318. panta otrās daļas un 319. panta otrās daļas</w:t>
        </w:r>
      </w:hyperlink>
      <w:r>
        <w:rPr>
          <w:sz w:val="18"/>
          <w:szCs w:val="18"/>
        </w:rPr>
        <w:t xml:space="preserve">. 2014, 38. lpp. Pieejams: </w:t>
      </w:r>
      <w:hyperlink r:id="rId6" w:history="1">
        <w:r>
          <w:rPr>
            <w:rStyle w:val="Hipersaite"/>
            <w:i/>
            <w:iCs/>
            <w:sz w:val="18"/>
            <w:szCs w:val="18"/>
          </w:rPr>
          <w:t>http://at.gov.lv/lv/tiesu-prakse/tiesu-prakses-apkopojumi/kriminaltiesibas</w:t>
        </w:r>
      </w:hyperlink>
      <w:r>
        <w:rPr>
          <w:sz w:val="18"/>
          <w:szCs w:val="18"/>
        </w:rPr>
        <w:t xml:space="preserve"> (skatīts 24.05.2022.).</w:t>
      </w:r>
    </w:p>
  </w:footnote>
  <w:footnote w:id="8">
    <w:p w14:paraId="5784B701" w14:textId="77777777" w:rsidR="008A684A" w:rsidRDefault="008A684A" w:rsidP="008A684A">
      <w:pPr>
        <w:pStyle w:val="Vresteksts"/>
      </w:pPr>
      <w:r>
        <w:rPr>
          <w:rStyle w:val="Vresatsauce"/>
        </w:rPr>
        <w:footnoteRef/>
      </w:r>
      <w:r>
        <w:t xml:space="preserve"> </w:t>
      </w:r>
      <w:r>
        <w:t xml:space="preserve">Krastiņš U., </w:t>
      </w:r>
      <w:proofErr w:type="spellStart"/>
      <w:r>
        <w:t>Liholaja</w:t>
      </w:r>
      <w:proofErr w:type="spellEnd"/>
      <w:r>
        <w:t xml:space="preserve"> V</w:t>
      </w:r>
      <w:r>
        <w:rPr>
          <w:i/>
        </w:rPr>
        <w:t>. Krimināllikuma komentāri. Otrā daļa (IX-XVII nodaļa)</w:t>
      </w:r>
      <w:r>
        <w:t>. Otrais papildinātais izdevums. Rīga</w:t>
      </w:r>
      <w:r>
        <w:rPr>
          <w:lang w:val="en-US"/>
        </w:rPr>
        <w:t>:</w:t>
      </w:r>
      <w:r>
        <w:t xml:space="preserve"> Tiesu namu aģentūra, 2018, 444.</w:t>
      </w:r>
      <w:r>
        <w:rPr>
          <w:lang w:val="en-US"/>
        </w:rPr>
        <w:t xml:space="preserve"> </w:t>
      </w:r>
      <w:r>
        <w:t>lpp.</w:t>
      </w:r>
    </w:p>
  </w:footnote>
  <w:footnote w:id="9">
    <w:p w14:paraId="196D7C7B" w14:textId="77777777" w:rsidR="008A684A" w:rsidRDefault="008A684A" w:rsidP="008A684A">
      <w:pPr>
        <w:pStyle w:val="Vresteksts"/>
        <w:rPr>
          <w:rFonts w:ascii="Calibri" w:hAnsi="Calibri" w:cs="Calibri"/>
        </w:rPr>
      </w:pPr>
      <w:r>
        <w:rPr>
          <w:rStyle w:val="Vresatsauce"/>
        </w:rPr>
        <w:footnoteRef/>
      </w:r>
      <w:r>
        <w:t xml:space="preserve"> </w:t>
      </w:r>
      <w:r>
        <w:t>Latvijas Republikas Augstākās tiesas Senāta Krimināllietu departamenta lēmums lietā Nr. SKK-258/2012. Pieejams: </w:t>
      </w:r>
      <w:hyperlink r:id="rId7" w:history="1">
        <w:r>
          <w:rPr>
            <w:rStyle w:val="Hipersaite"/>
          </w:rPr>
          <w:t>https://www.at.gov.lv/lv/judikaturas-nolemumu-arhivs-old/senata-kriminallietu-departaments/hronologiska-seciba/2012</w:t>
        </w:r>
      </w:hyperlink>
      <w:r>
        <w:t xml:space="preserve"> </w:t>
      </w:r>
    </w:p>
  </w:footnote>
  <w:footnote w:id="10">
    <w:p w14:paraId="184D295E" w14:textId="77777777" w:rsidR="008A684A" w:rsidRDefault="008A684A" w:rsidP="008A684A">
      <w:pPr>
        <w:pStyle w:val="Vresteksts"/>
      </w:pPr>
      <w:r>
        <w:rPr>
          <w:rStyle w:val="Vresatsauce"/>
        </w:rPr>
        <w:footnoteRef/>
      </w:r>
      <w:r>
        <w:t> </w:t>
      </w:r>
      <w:r>
        <w:t>Latvijas Republikas Senāta Krimināllietu departamenta lēmums Lieta Nr. [..], SKK [O]/2023 Pieejams: </w:t>
      </w:r>
      <w:hyperlink r:id="rId8" w:history="1">
        <w:r>
          <w:rPr>
            <w:rStyle w:val="Hipersaite"/>
          </w:rPr>
          <w:t>https://www.at.gov.lv/lv/tiesu-prakse/judikaturas-nolemumu-arhivs/kriminallietu-departaments/klasifikators-pec-lietu-kategorijam/kriminallikuma-seviska-dala/xvi-nodala-noziedzigi-nodarijumi-pret-tikumibu-un-dzimumneaizskaramibu</w:t>
        </w:r>
      </w:hyperlink>
      <w:r>
        <w:t xml:space="preserve"> </w:t>
      </w:r>
    </w:p>
    <w:p w14:paraId="6338B4D7" w14:textId="77777777" w:rsidR="008A684A" w:rsidRDefault="008A684A" w:rsidP="008A684A">
      <w:pPr>
        <w:pStyle w:val="Vresteksts"/>
        <w:rPr>
          <w:rFonts w:ascii="Calibri" w:hAnsi="Calibri" w:cs="Calibri"/>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82EA9"/>
    <w:multiLevelType w:val="hybridMultilevel"/>
    <w:tmpl w:val="39BC676A"/>
    <w:lvl w:ilvl="0" w:tplc="EC506158">
      <w:start w:val="1"/>
      <w:numFmt w:val="decimal"/>
      <w:lvlText w:val="%1."/>
      <w:lvlJc w:val="left"/>
      <w:pPr>
        <w:ind w:left="1440" w:hanging="360"/>
      </w:pPr>
      <w:rPr>
        <w:b/>
        <w:bCs/>
      </w:r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 w15:restartNumberingAfterBreak="0">
    <w:nsid w:val="081C567F"/>
    <w:multiLevelType w:val="hybridMultilevel"/>
    <w:tmpl w:val="84CC0A84"/>
    <w:lvl w:ilvl="0" w:tplc="04090011">
      <w:start w:val="1"/>
      <w:numFmt w:val="decimal"/>
      <w:lvlText w:val="%1)"/>
      <w:lvlJc w:val="left"/>
      <w:pPr>
        <w:ind w:left="2149"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9AB4651"/>
    <w:multiLevelType w:val="multilevel"/>
    <w:tmpl w:val="95E626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9826D23"/>
    <w:multiLevelType w:val="hybridMultilevel"/>
    <w:tmpl w:val="2390CB1C"/>
    <w:lvl w:ilvl="0" w:tplc="04090011">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4" w15:restartNumberingAfterBreak="0">
    <w:nsid w:val="3D8E4007"/>
    <w:multiLevelType w:val="hybridMultilevel"/>
    <w:tmpl w:val="3390693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4B566DC4"/>
    <w:multiLevelType w:val="hybridMultilevel"/>
    <w:tmpl w:val="7A7A403A"/>
    <w:lvl w:ilvl="0" w:tplc="B810CA38">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4F3912C3"/>
    <w:multiLevelType w:val="hybridMultilevel"/>
    <w:tmpl w:val="2A02F47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52DA2C31"/>
    <w:multiLevelType w:val="multilevel"/>
    <w:tmpl w:val="0A000F6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6B51E00"/>
    <w:multiLevelType w:val="hybridMultilevel"/>
    <w:tmpl w:val="F15040FC"/>
    <w:lvl w:ilvl="0" w:tplc="AC1A0374">
      <w:start w:val="1"/>
      <w:numFmt w:val="decimal"/>
      <w:lvlText w:val="%1."/>
      <w:lvlJc w:val="left"/>
      <w:pPr>
        <w:ind w:left="1146" w:hanging="360"/>
      </w:pPr>
      <w:rPr>
        <w:rFonts w:hint="default"/>
      </w:r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9" w15:restartNumberingAfterBreak="0">
    <w:nsid w:val="5FA34554"/>
    <w:multiLevelType w:val="hybridMultilevel"/>
    <w:tmpl w:val="B238B20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63F44FB4"/>
    <w:multiLevelType w:val="hybridMultilevel"/>
    <w:tmpl w:val="AD4E27E0"/>
    <w:lvl w:ilvl="0" w:tplc="74660CD6">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11" w15:restartNumberingAfterBreak="0">
    <w:nsid w:val="68247C98"/>
    <w:multiLevelType w:val="hybridMultilevel"/>
    <w:tmpl w:val="4D7AC288"/>
    <w:lvl w:ilvl="0" w:tplc="A4F24EE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71EA65AE"/>
    <w:multiLevelType w:val="hybridMultilevel"/>
    <w:tmpl w:val="FCACEBFE"/>
    <w:lvl w:ilvl="0" w:tplc="0426000D">
      <w:start w:val="1"/>
      <w:numFmt w:val="bullet"/>
      <w:lvlText w:val=""/>
      <w:lvlJc w:val="left"/>
      <w:pPr>
        <w:ind w:left="1287" w:hanging="360"/>
      </w:pPr>
      <w:rPr>
        <w:rFonts w:ascii="Wingdings" w:hAnsi="Wingdings" w:hint="default"/>
      </w:rPr>
    </w:lvl>
    <w:lvl w:ilvl="1" w:tplc="04260003">
      <w:start w:val="1"/>
      <w:numFmt w:val="bullet"/>
      <w:lvlText w:val="o"/>
      <w:lvlJc w:val="left"/>
      <w:pPr>
        <w:ind w:left="2007" w:hanging="360"/>
      </w:pPr>
      <w:rPr>
        <w:rFonts w:ascii="Courier New" w:hAnsi="Courier New" w:cs="Courier New" w:hint="default"/>
      </w:rPr>
    </w:lvl>
    <w:lvl w:ilvl="2" w:tplc="04260005">
      <w:start w:val="1"/>
      <w:numFmt w:val="bullet"/>
      <w:lvlText w:val=""/>
      <w:lvlJc w:val="left"/>
      <w:pPr>
        <w:ind w:left="2727" w:hanging="360"/>
      </w:pPr>
      <w:rPr>
        <w:rFonts w:ascii="Wingdings" w:hAnsi="Wingdings" w:hint="default"/>
      </w:rPr>
    </w:lvl>
    <w:lvl w:ilvl="3" w:tplc="04260001">
      <w:start w:val="1"/>
      <w:numFmt w:val="bullet"/>
      <w:lvlText w:val=""/>
      <w:lvlJc w:val="left"/>
      <w:pPr>
        <w:ind w:left="3447" w:hanging="360"/>
      </w:pPr>
      <w:rPr>
        <w:rFonts w:ascii="Symbol" w:hAnsi="Symbol" w:hint="default"/>
      </w:rPr>
    </w:lvl>
    <w:lvl w:ilvl="4" w:tplc="04260003">
      <w:start w:val="1"/>
      <w:numFmt w:val="bullet"/>
      <w:lvlText w:val="o"/>
      <w:lvlJc w:val="left"/>
      <w:pPr>
        <w:ind w:left="4167" w:hanging="360"/>
      </w:pPr>
      <w:rPr>
        <w:rFonts w:ascii="Courier New" w:hAnsi="Courier New" w:cs="Courier New" w:hint="default"/>
      </w:rPr>
    </w:lvl>
    <w:lvl w:ilvl="5" w:tplc="04260005">
      <w:start w:val="1"/>
      <w:numFmt w:val="bullet"/>
      <w:lvlText w:val=""/>
      <w:lvlJc w:val="left"/>
      <w:pPr>
        <w:ind w:left="4887" w:hanging="360"/>
      </w:pPr>
      <w:rPr>
        <w:rFonts w:ascii="Wingdings" w:hAnsi="Wingdings" w:hint="default"/>
      </w:rPr>
    </w:lvl>
    <w:lvl w:ilvl="6" w:tplc="04260001">
      <w:start w:val="1"/>
      <w:numFmt w:val="bullet"/>
      <w:lvlText w:val=""/>
      <w:lvlJc w:val="left"/>
      <w:pPr>
        <w:ind w:left="5607" w:hanging="360"/>
      </w:pPr>
      <w:rPr>
        <w:rFonts w:ascii="Symbol" w:hAnsi="Symbol" w:hint="default"/>
      </w:rPr>
    </w:lvl>
    <w:lvl w:ilvl="7" w:tplc="04260003">
      <w:start w:val="1"/>
      <w:numFmt w:val="bullet"/>
      <w:lvlText w:val="o"/>
      <w:lvlJc w:val="left"/>
      <w:pPr>
        <w:ind w:left="6327" w:hanging="360"/>
      </w:pPr>
      <w:rPr>
        <w:rFonts w:ascii="Courier New" w:hAnsi="Courier New" w:cs="Courier New" w:hint="default"/>
      </w:rPr>
    </w:lvl>
    <w:lvl w:ilvl="8" w:tplc="04260005">
      <w:start w:val="1"/>
      <w:numFmt w:val="bullet"/>
      <w:lvlText w:val=""/>
      <w:lvlJc w:val="left"/>
      <w:pPr>
        <w:ind w:left="7047" w:hanging="360"/>
      </w:pPr>
      <w:rPr>
        <w:rFonts w:ascii="Wingdings" w:hAnsi="Wingdings" w:hint="default"/>
      </w:rPr>
    </w:lvl>
  </w:abstractNum>
  <w:abstractNum w:abstractNumId="13" w15:restartNumberingAfterBreak="0">
    <w:nsid w:val="72322960"/>
    <w:multiLevelType w:val="hybridMultilevel"/>
    <w:tmpl w:val="D1FA1A72"/>
    <w:lvl w:ilvl="0" w:tplc="0440727E">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4" w15:restartNumberingAfterBreak="0">
    <w:nsid w:val="78913155"/>
    <w:multiLevelType w:val="hybridMultilevel"/>
    <w:tmpl w:val="9D1CC2F2"/>
    <w:lvl w:ilvl="0" w:tplc="0426000D">
      <w:start w:val="1"/>
      <w:numFmt w:val="bullet"/>
      <w:lvlText w:val=""/>
      <w:lvlJc w:val="left"/>
      <w:pPr>
        <w:ind w:left="1287" w:hanging="360"/>
      </w:pPr>
      <w:rPr>
        <w:rFonts w:ascii="Wingdings" w:hAnsi="Wingdings" w:hint="default"/>
      </w:rPr>
    </w:lvl>
    <w:lvl w:ilvl="1" w:tplc="04260003">
      <w:start w:val="1"/>
      <w:numFmt w:val="bullet"/>
      <w:lvlText w:val="o"/>
      <w:lvlJc w:val="left"/>
      <w:pPr>
        <w:ind w:left="2007" w:hanging="360"/>
      </w:pPr>
      <w:rPr>
        <w:rFonts w:ascii="Courier New" w:hAnsi="Courier New" w:cs="Courier New" w:hint="default"/>
      </w:rPr>
    </w:lvl>
    <w:lvl w:ilvl="2" w:tplc="04260005">
      <w:start w:val="1"/>
      <w:numFmt w:val="bullet"/>
      <w:lvlText w:val=""/>
      <w:lvlJc w:val="left"/>
      <w:pPr>
        <w:ind w:left="2727" w:hanging="360"/>
      </w:pPr>
      <w:rPr>
        <w:rFonts w:ascii="Wingdings" w:hAnsi="Wingdings" w:hint="default"/>
      </w:rPr>
    </w:lvl>
    <w:lvl w:ilvl="3" w:tplc="04260001">
      <w:start w:val="1"/>
      <w:numFmt w:val="bullet"/>
      <w:lvlText w:val=""/>
      <w:lvlJc w:val="left"/>
      <w:pPr>
        <w:ind w:left="3447" w:hanging="360"/>
      </w:pPr>
      <w:rPr>
        <w:rFonts w:ascii="Symbol" w:hAnsi="Symbol" w:hint="default"/>
      </w:rPr>
    </w:lvl>
    <w:lvl w:ilvl="4" w:tplc="04260003">
      <w:start w:val="1"/>
      <w:numFmt w:val="bullet"/>
      <w:lvlText w:val="o"/>
      <w:lvlJc w:val="left"/>
      <w:pPr>
        <w:ind w:left="4167" w:hanging="360"/>
      </w:pPr>
      <w:rPr>
        <w:rFonts w:ascii="Courier New" w:hAnsi="Courier New" w:cs="Courier New" w:hint="default"/>
      </w:rPr>
    </w:lvl>
    <w:lvl w:ilvl="5" w:tplc="04260005">
      <w:start w:val="1"/>
      <w:numFmt w:val="bullet"/>
      <w:lvlText w:val=""/>
      <w:lvlJc w:val="left"/>
      <w:pPr>
        <w:ind w:left="4887" w:hanging="360"/>
      </w:pPr>
      <w:rPr>
        <w:rFonts w:ascii="Wingdings" w:hAnsi="Wingdings" w:hint="default"/>
      </w:rPr>
    </w:lvl>
    <w:lvl w:ilvl="6" w:tplc="04260001">
      <w:start w:val="1"/>
      <w:numFmt w:val="bullet"/>
      <w:lvlText w:val=""/>
      <w:lvlJc w:val="left"/>
      <w:pPr>
        <w:ind w:left="5607" w:hanging="360"/>
      </w:pPr>
      <w:rPr>
        <w:rFonts w:ascii="Symbol" w:hAnsi="Symbol" w:hint="default"/>
      </w:rPr>
    </w:lvl>
    <w:lvl w:ilvl="7" w:tplc="04260003">
      <w:start w:val="1"/>
      <w:numFmt w:val="bullet"/>
      <w:lvlText w:val="o"/>
      <w:lvlJc w:val="left"/>
      <w:pPr>
        <w:ind w:left="6327" w:hanging="360"/>
      </w:pPr>
      <w:rPr>
        <w:rFonts w:ascii="Courier New" w:hAnsi="Courier New" w:cs="Courier New" w:hint="default"/>
      </w:rPr>
    </w:lvl>
    <w:lvl w:ilvl="8" w:tplc="04260005">
      <w:start w:val="1"/>
      <w:numFmt w:val="bullet"/>
      <w:lvlText w:val=""/>
      <w:lvlJc w:val="left"/>
      <w:pPr>
        <w:ind w:left="7047" w:hanging="360"/>
      </w:pPr>
      <w:rPr>
        <w:rFonts w:ascii="Wingdings" w:hAnsi="Wingdings" w:hint="default"/>
      </w:rPr>
    </w:lvl>
  </w:abstractNum>
  <w:abstractNum w:abstractNumId="15" w15:restartNumberingAfterBreak="0">
    <w:nsid w:val="7C0C3080"/>
    <w:multiLevelType w:val="hybridMultilevel"/>
    <w:tmpl w:val="96329C7A"/>
    <w:lvl w:ilvl="0" w:tplc="EB4C4530">
      <w:start w:val="1"/>
      <w:numFmt w:val="decimal"/>
      <w:lvlText w:val="%1."/>
      <w:lvlJc w:val="left"/>
      <w:pPr>
        <w:ind w:left="644"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97070908">
    <w:abstractNumId w:val="0"/>
  </w:num>
  <w:num w:numId="2" w16cid:durableId="1334841678">
    <w:abstractNumId w:val="9"/>
  </w:num>
  <w:num w:numId="3" w16cid:durableId="936131161">
    <w:abstractNumId w:val="7"/>
  </w:num>
  <w:num w:numId="4" w16cid:durableId="745568814">
    <w:abstractNumId w:val="11"/>
  </w:num>
  <w:num w:numId="5" w16cid:durableId="484400467">
    <w:abstractNumId w:val="5"/>
  </w:num>
  <w:num w:numId="6" w16cid:durableId="13322961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36446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44283205">
    <w:abstractNumId w:val="15"/>
  </w:num>
  <w:num w:numId="9" w16cid:durableId="1062757811">
    <w:abstractNumId w:val="6"/>
  </w:num>
  <w:num w:numId="10" w16cid:durableId="813983293">
    <w:abstractNumId w:val="1"/>
  </w:num>
  <w:num w:numId="11" w16cid:durableId="286393825">
    <w:abstractNumId w:val="3"/>
  </w:num>
  <w:num w:numId="12" w16cid:durableId="11540975">
    <w:abstractNumId w:val="14"/>
  </w:num>
  <w:num w:numId="13" w16cid:durableId="109402112">
    <w:abstractNumId w:val="12"/>
  </w:num>
  <w:num w:numId="14" w16cid:durableId="743182928">
    <w:abstractNumId w:val="10"/>
  </w:num>
  <w:num w:numId="15" w16cid:durableId="1265503465">
    <w:abstractNumId w:val="13"/>
  </w:num>
  <w:num w:numId="16" w16cid:durableId="17542773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548"/>
    <w:rsid w:val="000057E0"/>
    <w:rsid w:val="000101B8"/>
    <w:rsid w:val="00031165"/>
    <w:rsid w:val="00043C6A"/>
    <w:rsid w:val="00044BF5"/>
    <w:rsid w:val="000509F6"/>
    <w:rsid w:val="00051D28"/>
    <w:rsid w:val="0005508B"/>
    <w:rsid w:val="00063CA2"/>
    <w:rsid w:val="0007483C"/>
    <w:rsid w:val="00090186"/>
    <w:rsid w:val="00092C6E"/>
    <w:rsid w:val="00096694"/>
    <w:rsid w:val="000A57B2"/>
    <w:rsid w:val="000A5C8B"/>
    <w:rsid w:val="000D2F9C"/>
    <w:rsid w:val="000D5F73"/>
    <w:rsid w:val="000F1ABB"/>
    <w:rsid w:val="000F3FC7"/>
    <w:rsid w:val="000F4127"/>
    <w:rsid w:val="000F5972"/>
    <w:rsid w:val="00100F96"/>
    <w:rsid w:val="00102A6A"/>
    <w:rsid w:val="00106649"/>
    <w:rsid w:val="001159D2"/>
    <w:rsid w:val="00115D14"/>
    <w:rsid w:val="001214E7"/>
    <w:rsid w:val="00130608"/>
    <w:rsid w:val="001313D7"/>
    <w:rsid w:val="001341B4"/>
    <w:rsid w:val="00134F8E"/>
    <w:rsid w:val="00137701"/>
    <w:rsid w:val="00143381"/>
    <w:rsid w:val="00151A5F"/>
    <w:rsid w:val="00160F98"/>
    <w:rsid w:val="001627F7"/>
    <w:rsid w:val="00172E63"/>
    <w:rsid w:val="00177E7F"/>
    <w:rsid w:val="001A1BB0"/>
    <w:rsid w:val="001A5F0A"/>
    <w:rsid w:val="001D13E2"/>
    <w:rsid w:val="001D152F"/>
    <w:rsid w:val="001D5FE8"/>
    <w:rsid w:val="001E2352"/>
    <w:rsid w:val="001E6F40"/>
    <w:rsid w:val="001F19F4"/>
    <w:rsid w:val="001F22B8"/>
    <w:rsid w:val="00214BCC"/>
    <w:rsid w:val="00226EED"/>
    <w:rsid w:val="00231786"/>
    <w:rsid w:val="0025626F"/>
    <w:rsid w:val="002641E1"/>
    <w:rsid w:val="002736B4"/>
    <w:rsid w:val="00292598"/>
    <w:rsid w:val="00296D52"/>
    <w:rsid w:val="002B0683"/>
    <w:rsid w:val="002C7A35"/>
    <w:rsid w:val="002D0CD0"/>
    <w:rsid w:val="002E514D"/>
    <w:rsid w:val="002F7529"/>
    <w:rsid w:val="003273B4"/>
    <w:rsid w:val="003826AD"/>
    <w:rsid w:val="00384BE3"/>
    <w:rsid w:val="00386551"/>
    <w:rsid w:val="003A0809"/>
    <w:rsid w:val="003A0BE9"/>
    <w:rsid w:val="003B1609"/>
    <w:rsid w:val="003B5D96"/>
    <w:rsid w:val="003C6F46"/>
    <w:rsid w:val="003C7962"/>
    <w:rsid w:val="003E4BF8"/>
    <w:rsid w:val="00400413"/>
    <w:rsid w:val="00424975"/>
    <w:rsid w:val="00444BB5"/>
    <w:rsid w:val="00445F3D"/>
    <w:rsid w:val="004511DC"/>
    <w:rsid w:val="00454A46"/>
    <w:rsid w:val="0047590E"/>
    <w:rsid w:val="004A0D3B"/>
    <w:rsid w:val="004A3494"/>
    <w:rsid w:val="004D7449"/>
    <w:rsid w:val="004E13F1"/>
    <w:rsid w:val="004F29A4"/>
    <w:rsid w:val="005020DB"/>
    <w:rsid w:val="00530E21"/>
    <w:rsid w:val="0053347E"/>
    <w:rsid w:val="0056006D"/>
    <w:rsid w:val="005B375C"/>
    <w:rsid w:val="005B45EC"/>
    <w:rsid w:val="005C0C1C"/>
    <w:rsid w:val="005D3116"/>
    <w:rsid w:val="00601B9D"/>
    <w:rsid w:val="00601D8C"/>
    <w:rsid w:val="00606437"/>
    <w:rsid w:val="006125CE"/>
    <w:rsid w:val="006153B6"/>
    <w:rsid w:val="0063117B"/>
    <w:rsid w:val="00632C47"/>
    <w:rsid w:val="006338B4"/>
    <w:rsid w:val="00667942"/>
    <w:rsid w:val="006711AB"/>
    <w:rsid w:val="006854FA"/>
    <w:rsid w:val="006A2635"/>
    <w:rsid w:val="006C3148"/>
    <w:rsid w:val="006D5F7B"/>
    <w:rsid w:val="006E2162"/>
    <w:rsid w:val="006E553F"/>
    <w:rsid w:val="00705E2B"/>
    <w:rsid w:val="00721F8C"/>
    <w:rsid w:val="00722915"/>
    <w:rsid w:val="00736A98"/>
    <w:rsid w:val="00740394"/>
    <w:rsid w:val="00754DB5"/>
    <w:rsid w:val="007567E3"/>
    <w:rsid w:val="007A631F"/>
    <w:rsid w:val="007C34F4"/>
    <w:rsid w:val="007D7477"/>
    <w:rsid w:val="0080025C"/>
    <w:rsid w:val="00813548"/>
    <w:rsid w:val="00863D58"/>
    <w:rsid w:val="00882CDD"/>
    <w:rsid w:val="008924F6"/>
    <w:rsid w:val="0089681D"/>
    <w:rsid w:val="0089782B"/>
    <w:rsid w:val="008A684A"/>
    <w:rsid w:val="008A6EA2"/>
    <w:rsid w:val="008B1F6A"/>
    <w:rsid w:val="008C6BFF"/>
    <w:rsid w:val="008C771D"/>
    <w:rsid w:val="008E21BA"/>
    <w:rsid w:val="008F4D7D"/>
    <w:rsid w:val="009623C9"/>
    <w:rsid w:val="00980BB5"/>
    <w:rsid w:val="00993576"/>
    <w:rsid w:val="009B7C7F"/>
    <w:rsid w:val="009B7EDF"/>
    <w:rsid w:val="009D7778"/>
    <w:rsid w:val="009E44A2"/>
    <w:rsid w:val="009F1993"/>
    <w:rsid w:val="00A03DE8"/>
    <w:rsid w:val="00A05A14"/>
    <w:rsid w:val="00A060E5"/>
    <w:rsid w:val="00A11AF8"/>
    <w:rsid w:val="00A33289"/>
    <w:rsid w:val="00A44D15"/>
    <w:rsid w:val="00A46F7A"/>
    <w:rsid w:val="00A5298B"/>
    <w:rsid w:val="00A53164"/>
    <w:rsid w:val="00A650AA"/>
    <w:rsid w:val="00A7626B"/>
    <w:rsid w:val="00A85CCC"/>
    <w:rsid w:val="00A91648"/>
    <w:rsid w:val="00A921A3"/>
    <w:rsid w:val="00AA5C3B"/>
    <w:rsid w:val="00AC408C"/>
    <w:rsid w:val="00AE73BF"/>
    <w:rsid w:val="00AE7A67"/>
    <w:rsid w:val="00AF130D"/>
    <w:rsid w:val="00B27CD4"/>
    <w:rsid w:val="00B27D3D"/>
    <w:rsid w:val="00B307AC"/>
    <w:rsid w:val="00B409D4"/>
    <w:rsid w:val="00B544B6"/>
    <w:rsid w:val="00B579B4"/>
    <w:rsid w:val="00B57CB7"/>
    <w:rsid w:val="00B66E8A"/>
    <w:rsid w:val="00B87933"/>
    <w:rsid w:val="00BC43F7"/>
    <w:rsid w:val="00BD0073"/>
    <w:rsid w:val="00BE6991"/>
    <w:rsid w:val="00BE6F76"/>
    <w:rsid w:val="00C00CA5"/>
    <w:rsid w:val="00C01958"/>
    <w:rsid w:val="00C07AB8"/>
    <w:rsid w:val="00C07BB2"/>
    <w:rsid w:val="00C17E3B"/>
    <w:rsid w:val="00C23A7F"/>
    <w:rsid w:val="00C3128A"/>
    <w:rsid w:val="00C62A37"/>
    <w:rsid w:val="00C72480"/>
    <w:rsid w:val="00C8107B"/>
    <w:rsid w:val="00CA1E7F"/>
    <w:rsid w:val="00CA41FA"/>
    <w:rsid w:val="00CB39A7"/>
    <w:rsid w:val="00CB673D"/>
    <w:rsid w:val="00CC3E3B"/>
    <w:rsid w:val="00CF6A4D"/>
    <w:rsid w:val="00D01656"/>
    <w:rsid w:val="00D022CD"/>
    <w:rsid w:val="00D0436B"/>
    <w:rsid w:val="00D27C14"/>
    <w:rsid w:val="00D31506"/>
    <w:rsid w:val="00D32539"/>
    <w:rsid w:val="00D73CD2"/>
    <w:rsid w:val="00D73F46"/>
    <w:rsid w:val="00D85B26"/>
    <w:rsid w:val="00D93018"/>
    <w:rsid w:val="00D96AAA"/>
    <w:rsid w:val="00DA5CC7"/>
    <w:rsid w:val="00DB32E5"/>
    <w:rsid w:val="00DB4A29"/>
    <w:rsid w:val="00DB5294"/>
    <w:rsid w:val="00DF1AEF"/>
    <w:rsid w:val="00E00CE2"/>
    <w:rsid w:val="00E5344D"/>
    <w:rsid w:val="00E71D39"/>
    <w:rsid w:val="00EB3ED7"/>
    <w:rsid w:val="00ED7205"/>
    <w:rsid w:val="00F069FA"/>
    <w:rsid w:val="00F11384"/>
    <w:rsid w:val="00F12C36"/>
    <w:rsid w:val="00F14C99"/>
    <w:rsid w:val="00F241B1"/>
    <w:rsid w:val="00F24821"/>
    <w:rsid w:val="00F44DAA"/>
    <w:rsid w:val="00F6428F"/>
    <w:rsid w:val="00F71BA9"/>
    <w:rsid w:val="00F81357"/>
    <w:rsid w:val="00FC1DBD"/>
    <w:rsid w:val="00FC3D5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65D73"/>
  <w15:chartTrackingRefBased/>
  <w15:docId w15:val="{B4771367-7448-4CEE-918F-D08F1236C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13548"/>
    <w:pPr>
      <w:spacing w:after="0" w:line="240" w:lineRule="auto"/>
      <w:ind w:firstLine="567"/>
      <w:jc w:val="both"/>
    </w:pPr>
    <w:rPr>
      <w:rFonts w:ascii="Times New Roman" w:hAnsi="Times New Roman" w:cs="Times New Roman"/>
      <w:sz w:val="24"/>
    </w:rPr>
  </w:style>
  <w:style w:type="paragraph" w:styleId="Virsraksts1">
    <w:name w:val="heading 1"/>
    <w:basedOn w:val="Parasts"/>
    <w:next w:val="Parasts"/>
    <w:link w:val="Virsraksts1Rakstz"/>
    <w:uiPriority w:val="9"/>
    <w:qFormat/>
    <w:rsid w:val="00C07BB2"/>
    <w:pPr>
      <w:keepNext/>
      <w:keepLines/>
      <w:spacing w:before="480" w:line="276" w:lineRule="auto"/>
      <w:ind w:firstLine="0"/>
      <w:jc w:val="left"/>
      <w:outlineLvl w:val="0"/>
    </w:pPr>
    <w:rPr>
      <w:rFonts w:asciiTheme="majorHAnsi" w:eastAsiaTheme="majorEastAsia" w:hAnsiTheme="majorHAnsi" w:cstheme="majorBidi"/>
      <w:b/>
      <w:bCs/>
      <w:color w:val="2F5496" w:themeColor="accent1" w:themeShade="BF"/>
      <w:sz w:val="28"/>
      <w:szCs w:val="28"/>
    </w:rPr>
  </w:style>
  <w:style w:type="paragraph" w:styleId="Virsraksts3">
    <w:name w:val="heading 3"/>
    <w:basedOn w:val="Parasts"/>
    <w:next w:val="Parasts"/>
    <w:link w:val="Virsraksts3Rakstz"/>
    <w:uiPriority w:val="9"/>
    <w:semiHidden/>
    <w:unhideWhenUsed/>
    <w:qFormat/>
    <w:rsid w:val="00C07BB2"/>
    <w:pPr>
      <w:keepNext/>
      <w:keepLines/>
      <w:spacing w:before="200" w:line="276" w:lineRule="auto"/>
      <w:ind w:firstLine="0"/>
      <w:jc w:val="left"/>
      <w:outlineLvl w:val="2"/>
    </w:pPr>
    <w:rPr>
      <w:rFonts w:asciiTheme="majorHAnsi" w:eastAsiaTheme="majorEastAsia" w:hAnsiTheme="majorHAnsi" w:cstheme="majorBidi"/>
      <w:b/>
      <w:bCs/>
      <w:color w:val="4472C4" w:themeColor="accent1"/>
      <w:sz w:val="22"/>
    </w:rPr>
  </w:style>
  <w:style w:type="paragraph" w:styleId="Virsraksts4">
    <w:name w:val="heading 4"/>
    <w:basedOn w:val="Parasts"/>
    <w:link w:val="Virsraksts4Rakstz"/>
    <w:uiPriority w:val="9"/>
    <w:qFormat/>
    <w:rsid w:val="00C07BB2"/>
    <w:pPr>
      <w:spacing w:before="100" w:beforeAutospacing="1" w:after="100" w:afterAutospacing="1"/>
      <w:ind w:firstLine="0"/>
      <w:jc w:val="left"/>
      <w:outlineLvl w:val="3"/>
    </w:pPr>
    <w:rPr>
      <w:rFonts w:eastAsia="Times New Roman"/>
      <w:b/>
      <w:bCs/>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H&amp;P List Paragraph"/>
    <w:basedOn w:val="Parasts"/>
    <w:link w:val="SarakstarindkopaRakstz"/>
    <w:uiPriority w:val="34"/>
    <w:qFormat/>
    <w:rsid w:val="00813548"/>
    <w:pPr>
      <w:ind w:left="720"/>
      <w:contextualSpacing/>
    </w:pPr>
  </w:style>
  <w:style w:type="character" w:customStyle="1" w:styleId="SarakstarindkopaRakstz">
    <w:name w:val="Saraksta rindkopa Rakstz."/>
    <w:aliases w:val="2 Rakstz.,H&amp;P List Paragraph Rakstz."/>
    <w:link w:val="Sarakstarindkopa"/>
    <w:uiPriority w:val="34"/>
    <w:locked/>
    <w:rsid w:val="00813548"/>
    <w:rPr>
      <w:rFonts w:ascii="Times New Roman" w:hAnsi="Times New Roman" w:cs="Times New Roman"/>
      <w:sz w:val="24"/>
    </w:rPr>
  </w:style>
  <w:style w:type="character" w:customStyle="1" w:styleId="Virsraksts1Rakstz">
    <w:name w:val="Virsraksts 1 Rakstz."/>
    <w:basedOn w:val="Noklusjumarindkopasfonts"/>
    <w:link w:val="Virsraksts1"/>
    <w:uiPriority w:val="9"/>
    <w:rsid w:val="00C07BB2"/>
    <w:rPr>
      <w:rFonts w:asciiTheme="majorHAnsi" w:eastAsiaTheme="majorEastAsia" w:hAnsiTheme="majorHAnsi" w:cstheme="majorBidi"/>
      <w:b/>
      <w:bCs/>
      <w:color w:val="2F5496" w:themeColor="accent1" w:themeShade="BF"/>
      <w:sz w:val="28"/>
      <w:szCs w:val="28"/>
    </w:rPr>
  </w:style>
  <w:style w:type="character" w:customStyle="1" w:styleId="Virsraksts3Rakstz">
    <w:name w:val="Virsraksts 3 Rakstz."/>
    <w:basedOn w:val="Noklusjumarindkopasfonts"/>
    <w:link w:val="Virsraksts3"/>
    <w:uiPriority w:val="9"/>
    <w:semiHidden/>
    <w:rsid w:val="00C07BB2"/>
    <w:rPr>
      <w:rFonts w:asciiTheme="majorHAnsi" w:eastAsiaTheme="majorEastAsia" w:hAnsiTheme="majorHAnsi" w:cstheme="majorBidi"/>
      <w:b/>
      <w:bCs/>
      <w:color w:val="4472C4" w:themeColor="accent1"/>
    </w:rPr>
  </w:style>
  <w:style w:type="character" w:customStyle="1" w:styleId="Virsraksts4Rakstz">
    <w:name w:val="Virsraksts 4 Rakstz."/>
    <w:basedOn w:val="Noklusjumarindkopasfonts"/>
    <w:link w:val="Virsraksts4"/>
    <w:uiPriority w:val="9"/>
    <w:rsid w:val="00C07BB2"/>
    <w:rPr>
      <w:rFonts w:ascii="Times New Roman" w:eastAsia="Times New Roman" w:hAnsi="Times New Roman" w:cs="Times New Roman"/>
      <w:b/>
      <w:bCs/>
      <w:sz w:val="24"/>
      <w:szCs w:val="24"/>
      <w:lang w:eastAsia="lv-LV"/>
    </w:rPr>
  </w:style>
  <w:style w:type="paragraph" w:customStyle="1" w:styleId="StyleRight">
    <w:name w:val="Style Right"/>
    <w:basedOn w:val="Parasts"/>
    <w:rsid w:val="00C07BB2"/>
    <w:pPr>
      <w:spacing w:after="120"/>
      <w:ind w:firstLine="720"/>
      <w:jc w:val="right"/>
    </w:pPr>
    <w:rPr>
      <w:rFonts w:eastAsia="Times New Roman"/>
      <w:sz w:val="28"/>
      <w:szCs w:val="28"/>
    </w:rPr>
  </w:style>
  <w:style w:type="paragraph" w:styleId="Galvene">
    <w:name w:val="header"/>
    <w:basedOn w:val="Parasts"/>
    <w:link w:val="GalveneRakstz"/>
    <w:uiPriority w:val="99"/>
    <w:unhideWhenUsed/>
    <w:rsid w:val="00C07BB2"/>
    <w:pPr>
      <w:tabs>
        <w:tab w:val="center" w:pos="4153"/>
        <w:tab w:val="right" w:pos="8306"/>
      </w:tabs>
      <w:ind w:firstLine="0"/>
      <w:jc w:val="left"/>
    </w:pPr>
    <w:rPr>
      <w:rFonts w:asciiTheme="minorHAnsi" w:hAnsiTheme="minorHAnsi" w:cstheme="minorBidi"/>
      <w:sz w:val="22"/>
    </w:rPr>
  </w:style>
  <w:style w:type="character" w:customStyle="1" w:styleId="GalveneRakstz">
    <w:name w:val="Galvene Rakstz."/>
    <w:basedOn w:val="Noklusjumarindkopasfonts"/>
    <w:link w:val="Galvene"/>
    <w:uiPriority w:val="99"/>
    <w:rsid w:val="00C07BB2"/>
  </w:style>
  <w:style w:type="paragraph" w:styleId="Kjene">
    <w:name w:val="footer"/>
    <w:basedOn w:val="Parasts"/>
    <w:link w:val="KjeneRakstz"/>
    <w:uiPriority w:val="99"/>
    <w:unhideWhenUsed/>
    <w:rsid w:val="00C07BB2"/>
    <w:pPr>
      <w:tabs>
        <w:tab w:val="center" w:pos="4153"/>
        <w:tab w:val="right" w:pos="8306"/>
      </w:tabs>
      <w:ind w:firstLine="0"/>
      <w:jc w:val="left"/>
    </w:pPr>
    <w:rPr>
      <w:rFonts w:asciiTheme="minorHAnsi" w:hAnsiTheme="minorHAnsi" w:cstheme="minorBidi"/>
      <w:sz w:val="22"/>
    </w:rPr>
  </w:style>
  <w:style w:type="character" w:customStyle="1" w:styleId="KjeneRakstz">
    <w:name w:val="Kājene Rakstz."/>
    <w:basedOn w:val="Noklusjumarindkopasfonts"/>
    <w:link w:val="Kjene"/>
    <w:uiPriority w:val="99"/>
    <w:rsid w:val="00C07BB2"/>
  </w:style>
  <w:style w:type="paragraph" w:styleId="Balonteksts">
    <w:name w:val="Balloon Text"/>
    <w:basedOn w:val="Parasts"/>
    <w:link w:val="BalontekstsRakstz"/>
    <w:uiPriority w:val="99"/>
    <w:semiHidden/>
    <w:unhideWhenUsed/>
    <w:rsid w:val="00C07BB2"/>
    <w:pPr>
      <w:ind w:firstLine="0"/>
      <w:jc w:val="left"/>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07BB2"/>
    <w:rPr>
      <w:rFonts w:ascii="Tahoma" w:hAnsi="Tahoma" w:cs="Tahoma"/>
      <w:sz w:val="16"/>
      <w:szCs w:val="16"/>
    </w:rPr>
  </w:style>
  <w:style w:type="paragraph" w:customStyle="1" w:styleId="labojumupamats1">
    <w:name w:val="labojumu_pamats1"/>
    <w:basedOn w:val="Parasts"/>
    <w:rsid w:val="00C07BB2"/>
    <w:pPr>
      <w:spacing w:before="45" w:line="312" w:lineRule="auto"/>
      <w:ind w:firstLine="300"/>
      <w:jc w:val="left"/>
    </w:pPr>
    <w:rPr>
      <w:rFonts w:eastAsia="Times New Roman"/>
      <w:i/>
      <w:iCs/>
      <w:color w:val="414142"/>
      <w:sz w:val="20"/>
      <w:szCs w:val="20"/>
      <w:lang w:eastAsia="lv-LV"/>
    </w:rPr>
  </w:style>
  <w:style w:type="paragraph" w:customStyle="1" w:styleId="tvhtml1">
    <w:name w:val="tv_html1"/>
    <w:basedOn w:val="Parasts"/>
    <w:rsid w:val="00C07BB2"/>
    <w:pPr>
      <w:spacing w:line="312" w:lineRule="auto"/>
      <w:ind w:firstLine="300"/>
      <w:jc w:val="left"/>
    </w:pPr>
    <w:rPr>
      <w:rFonts w:eastAsia="Times New Roman"/>
      <w:color w:val="414142"/>
      <w:sz w:val="20"/>
      <w:szCs w:val="20"/>
      <w:lang w:eastAsia="lv-LV"/>
    </w:rPr>
  </w:style>
  <w:style w:type="character" w:styleId="Hipersaite">
    <w:name w:val="Hyperlink"/>
    <w:basedOn w:val="Noklusjumarindkopasfonts"/>
    <w:uiPriority w:val="99"/>
    <w:unhideWhenUsed/>
    <w:rsid w:val="00C07BB2"/>
    <w:rPr>
      <w:color w:val="0563C1" w:themeColor="hyperlink"/>
      <w:u w:val="single"/>
    </w:rPr>
  </w:style>
  <w:style w:type="character" w:styleId="Izmantotahipersaite">
    <w:name w:val="FollowedHyperlink"/>
    <w:basedOn w:val="Noklusjumarindkopasfonts"/>
    <w:uiPriority w:val="99"/>
    <w:semiHidden/>
    <w:unhideWhenUsed/>
    <w:rsid w:val="00C07BB2"/>
    <w:rPr>
      <w:color w:val="954F72" w:themeColor="followedHyperlink"/>
      <w:u w:val="single"/>
    </w:rPr>
  </w:style>
  <w:style w:type="character" w:styleId="Komentraatsauce">
    <w:name w:val="annotation reference"/>
    <w:basedOn w:val="Noklusjumarindkopasfonts"/>
    <w:uiPriority w:val="99"/>
    <w:semiHidden/>
    <w:unhideWhenUsed/>
    <w:rsid w:val="00C07BB2"/>
    <w:rPr>
      <w:sz w:val="16"/>
      <w:szCs w:val="16"/>
    </w:rPr>
  </w:style>
  <w:style w:type="paragraph" w:styleId="Komentrateksts">
    <w:name w:val="annotation text"/>
    <w:basedOn w:val="Parasts"/>
    <w:link w:val="KomentratekstsRakstz"/>
    <w:uiPriority w:val="99"/>
    <w:unhideWhenUsed/>
    <w:rsid w:val="00C07BB2"/>
    <w:pPr>
      <w:spacing w:after="200"/>
      <w:ind w:firstLine="0"/>
      <w:jc w:val="left"/>
    </w:pPr>
    <w:rPr>
      <w:rFonts w:asciiTheme="minorHAnsi" w:hAnsiTheme="minorHAnsi" w:cstheme="minorBidi"/>
      <w:sz w:val="20"/>
      <w:szCs w:val="20"/>
    </w:rPr>
  </w:style>
  <w:style w:type="character" w:customStyle="1" w:styleId="KomentratekstsRakstz">
    <w:name w:val="Komentāra teksts Rakstz."/>
    <w:basedOn w:val="Noklusjumarindkopasfonts"/>
    <w:link w:val="Komentrateksts"/>
    <w:uiPriority w:val="99"/>
    <w:rsid w:val="00C07BB2"/>
    <w:rPr>
      <w:sz w:val="20"/>
      <w:szCs w:val="20"/>
    </w:rPr>
  </w:style>
  <w:style w:type="paragraph" w:styleId="Komentratma">
    <w:name w:val="annotation subject"/>
    <w:basedOn w:val="Komentrateksts"/>
    <w:next w:val="Komentrateksts"/>
    <w:link w:val="KomentratmaRakstz"/>
    <w:uiPriority w:val="99"/>
    <w:semiHidden/>
    <w:unhideWhenUsed/>
    <w:rsid w:val="00C07BB2"/>
    <w:rPr>
      <w:b/>
      <w:bCs/>
    </w:rPr>
  </w:style>
  <w:style w:type="character" w:customStyle="1" w:styleId="KomentratmaRakstz">
    <w:name w:val="Komentāra tēma Rakstz."/>
    <w:basedOn w:val="KomentratekstsRakstz"/>
    <w:link w:val="Komentratma"/>
    <w:uiPriority w:val="99"/>
    <w:semiHidden/>
    <w:rsid w:val="00C07BB2"/>
    <w:rPr>
      <w:b/>
      <w:bCs/>
      <w:sz w:val="20"/>
      <w:szCs w:val="20"/>
    </w:rPr>
  </w:style>
  <w:style w:type="character" w:customStyle="1" w:styleId="VPBodyChar">
    <w:name w:val="VP Body Char"/>
    <w:basedOn w:val="Noklusjumarindkopasfonts"/>
    <w:link w:val="VPBody"/>
    <w:locked/>
    <w:rsid w:val="00C07BB2"/>
    <w:rPr>
      <w:rFonts w:ascii="Times New Roman" w:hAnsi="Times New Roman" w:cs="Times New Roman"/>
      <w:bCs/>
      <w:sz w:val="24"/>
    </w:rPr>
  </w:style>
  <w:style w:type="paragraph" w:customStyle="1" w:styleId="VPBody">
    <w:name w:val="VP Body"/>
    <w:basedOn w:val="Parasts"/>
    <w:link w:val="VPBodyChar"/>
    <w:qFormat/>
    <w:rsid w:val="00C07BB2"/>
    <w:pPr>
      <w:tabs>
        <w:tab w:val="left" w:pos="0"/>
      </w:tabs>
      <w:spacing w:before="80" w:after="80"/>
      <w:ind w:firstLine="0"/>
    </w:pPr>
    <w:rPr>
      <w:bCs/>
    </w:rPr>
  </w:style>
  <w:style w:type="paragraph" w:customStyle="1" w:styleId="BODYTEXTCons">
    <w:name w:val="BODY TEXT Cons"/>
    <w:basedOn w:val="Parasts"/>
    <w:autoRedefine/>
    <w:uiPriority w:val="5"/>
    <w:rsid w:val="00C07BB2"/>
    <w:pPr>
      <w:spacing w:before="60" w:after="60" w:line="360" w:lineRule="auto"/>
      <w:ind w:firstLine="0"/>
    </w:pPr>
    <w:rPr>
      <w:rFonts w:ascii="Calibri" w:eastAsiaTheme="minorEastAsia" w:hAnsi="Calibri"/>
      <w:sz w:val="20"/>
      <w:szCs w:val="24"/>
    </w:rPr>
  </w:style>
  <w:style w:type="paragraph" w:styleId="Vresteksts">
    <w:name w:val="footnote text"/>
    <w:aliases w:val="Char Char Char,FOOTNOTES,Footnote,Footnote Text Char Char,Footnote Text Char Char1,Footnote Text Char1,Footnote Text1,Footnote Text1 Char,Footnote Text1 Char Char Char,Fußnote,Fußnotentext Char,fn,footnote text,single space"/>
    <w:basedOn w:val="Parasts"/>
    <w:link w:val="VrestekstsRakstz"/>
    <w:uiPriority w:val="99"/>
    <w:unhideWhenUsed/>
    <w:rsid w:val="00C07BB2"/>
    <w:pPr>
      <w:ind w:firstLine="0"/>
      <w:jc w:val="left"/>
    </w:pPr>
    <w:rPr>
      <w:sz w:val="20"/>
      <w:szCs w:val="20"/>
    </w:rPr>
  </w:style>
  <w:style w:type="character" w:customStyle="1" w:styleId="VrestekstsRakstz">
    <w:name w:val="Vēres teksts Rakstz."/>
    <w:aliases w:val="Char Char Char Rakstz.,FOOTNOTES Rakstz.,Footnote Rakstz.,Footnote Text Char Char Rakstz.,Footnote Text Char Char1 Rakstz.,Footnote Text Char1 Rakstz.,Footnote Text1 Rakstz.,Footnote Text1 Char Rakstz.,Fußnote Rakstz.,fn Rakstz."/>
    <w:basedOn w:val="Noklusjumarindkopasfonts"/>
    <w:link w:val="Vresteksts"/>
    <w:uiPriority w:val="99"/>
    <w:rsid w:val="00C07BB2"/>
    <w:rPr>
      <w:rFonts w:ascii="Times New Roman" w:hAnsi="Times New Roman" w:cs="Times New Roman"/>
      <w:sz w:val="20"/>
      <w:szCs w:val="20"/>
    </w:rPr>
  </w:style>
  <w:style w:type="character" w:styleId="Vresatsauce">
    <w:name w:val="footnote reference"/>
    <w:basedOn w:val="Noklusjumarindkopasfonts"/>
    <w:uiPriority w:val="99"/>
    <w:semiHidden/>
    <w:unhideWhenUsed/>
    <w:rsid w:val="00C07BB2"/>
    <w:rPr>
      <w:vertAlign w:val="superscript"/>
    </w:rPr>
  </w:style>
  <w:style w:type="character" w:customStyle="1" w:styleId="Neatrisintapieminana1">
    <w:name w:val="Neatrisināta pieminēšana1"/>
    <w:basedOn w:val="Noklusjumarindkopasfonts"/>
    <w:uiPriority w:val="99"/>
    <w:semiHidden/>
    <w:unhideWhenUsed/>
    <w:rsid w:val="00C07BB2"/>
    <w:rPr>
      <w:color w:val="605E5C"/>
      <w:shd w:val="clear" w:color="auto" w:fill="E1DFDD"/>
    </w:rPr>
  </w:style>
  <w:style w:type="paragraph" w:customStyle="1" w:styleId="tv213">
    <w:name w:val="tv213"/>
    <w:basedOn w:val="Parasts"/>
    <w:rsid w:val="00C07BB2"/>
    <w:pPr>
      <w:spacing w:before="100" w:beforeAutospacing="1" w:after="100" w:afterAutospacing="1"/>
      <w:ind w:firstLine="0"/>
      <w:jc w:val="left"/>
    </w:pPr>
    <w:rPr>
      <w:rFonts w:eastAsia="Times New Roman"/>
      <w:szCs w:val="24"/>
      <w:lang w:eastAsia="lv-LV"/>
    </w:rPr>
  </w:style>
  <w:style w:type="paragraph" w:styleId="Paraststmeklis">
    <w:name w:val="Normal (Web)"/>
    <w:basedOn w:val="Parasts"/>
    <w:uiPriority w:val="99"/>
    <w:unhideWhenUsed/>
    <w:rsid w:val="00C07BB2"/>
    <w:pPr>
      <w:spacing w:before="100" w:beforeAutospacing="1" w:after="100" w:afterAutospacing="1"/>
      <w:ind w:firstLine="0"/>
      <w:jc w:val="left"/>
    </w:pPr>
    <w:rPr>
      <w:rFonts w:eastAsia="Times New Roman"/>
      <w:szCs w:val="24"/>
      <w:lang w:eastAsia="lv-LV"/>
    </w:rPr>
  </w:style>
  <w:style w:type="paragraph" w:customStyle="1" w:styleId="tv2132">
    <w:name w:val="tv2132"/>
    <w:basedOn w:val="Parasts"/>
    <w:rsid w:val="00C07BB2"/>
    <w:pPr>
      <w:spacing w:line="360" w:lineRule="auto"/>
      <w:ind w:firstLine="300"/>
      <w:jc w:val="left"/>
    </w:pPr>
    <w:rPr>
      <w:rFonts w:eastAsia="Times New Roman"/>
      <w:color w:val="414142"/>
      <w:sz w:val="20"/>
      <w:szCs w:val="20"/>
      <w:lang w:eastAsia="lv-LV"/>
    </w:rPr>
  </w:style>
  <w:style w:type="paragraph" w:styleId="Prskatjums">
    <w:name w:val="Revision"/>
    <w:hidden/>
    <w:uiPriority w:val="99"/>
    <w:semiHidden/>
    <w:rsid w:val="00C07BB2"/>
    <w:pPr>
      <w:spacing w:after="0" w:line="240" w:lineRule="auto"/>
    </w:pPr>
  </w:style>
  <w:style w:type="character" w:customStyle="1" w:styleId="Neatrisintapieminana2">
    <w:name w:val="Neatrisināta pieminēšana2"/>
    <w:basedOn w:val="Noklusjumarindkopasfonts"/>
    <w:uiPriority w:val="99"/>
    <w:semiHidden/>
    <w:unhideWhenUsed/>
    <w:rsid w:val="00C07BB2"/>
    <w:rPr>
      <w:color w:val="605E5C"/>
      <w:shd w:val="clear" w:color="auto" w:fill="E1DFDD"/>
    </w:rPr>
  </w:style>
  <w:style w:type="paragraph" w:customStyle="1" w:styleId="Default">
    <w:name w:val="Default"/>
    <w:rsid w:val="00C07BB2"/>
    <w:pPr>
      <w:autoSpaceDE w:val="0"/>
      <w:autoSpaceDN w:val="0"/>
      <w:adjustRightInd w:val="0"/>
      <w:spacing w:after="0" w:line="240" w:lineRule="auto"/>
    </w:pPr>
    <w:rPr>
      <w:rFonts w:ascii="Times New Roman" w:hAnsi="Times New Roman" w:cs="Times New Roman"/>
      <w:color w:val="000000"/>
      <w:sz w:val="24"/>
      <w:szCs w:val="24"/>
      <w:lang w:val="en-US"/>
    </w:rPr>
  </w:style>
  <w:style w:type="table" w:styleId="Reatabula">
    <w:name w:val="Table Grid"/>
    <w:basedOn w:val="Parastatabula"/>
    <w:uiPriority w:val="39"/>
    <w:rsid w:val="00C07BB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Parasts"/>
    <w:rsid w:val="00C07BB2"/>
    <w:pPr>
      <w:spacing w:before="100" w:beforeAutospacing="1" w:after="100" w:afterAutospacing="1"/>
      <w:ind w:firstLine="0"/>
      <w:jc w:val="left"/>
    </w:pPr>
    <w:rPr>
      <w:rFonts w:eastAsia="Times New Roman"/>
      <w:szCs w:val="24"/>
      <w:lang w:val="en-US"/>
    </w:rPr>
  </w:style>
  <w:style w:type="character" w:customStyle="1" w:styleId="cf01">
    <w:name w:val="cf01"/>
    <w:basedOn w:val="Noklusjumarindkopasfonts"/>
    <w:rsid w:val="00C07BB2"/>
    <w:rPr>
      <w:rFonts w:ascii="Segoe UI" w:hAnsi="Segoe UI" w:cs="Segoe UI" w:hint="default"/>
      <w:sz w:val="18"/>
      <w:szCs w:val="18"/>
    </w:rPr>
  </w:style>
  <w:style w:type="paragraph" w:customStyle="1" w:styleId="naisf">
    <w:name w:val="naisf"/>
    <w:basedOn w:val="Parasts"/>
    <w:rsid w:val="00C07BB2"/>
    <w:pPr>
      <w:spacing w:before="75" w:after="75"/>
      <w:ind w:firstLine="375"/>
    </w:pPr>
    <w:rPr>
      <w:rFonts w:eastAsia="Times New Roman"/>
      <w:szCs w:val="24"/>
      <w:lang w:eastAsia="lv-LV"/>
    </w:rPr>
  </w:style>
  <w:style w:type="paragraph" w:customStyle="1" w:styleId="Parastais">
    <w:name w:val="Parastais"/>
    <w:qFormat/>
    <w:rsid w:val="00043C6A"/>
    <w:pPr>
      <w:spacing w:after="0" w:line="240" w:lineRule="auto"/>
    </w:pPr>
    <w:rPr>
      <w:rFonts w:ascii="Times New Roman" w:eastAsia="Times New Roman" w:hAnsi="Times New Roman" w:cs="Times New Roman"/>
      <w:sz w:val="24"/>
      <w:szCs w:val="24"/>
      <w:lang w:eastAsia="lv-LV"/>
    </w:rPr>
  </w:style>
  <w:style w:type="character" w:styleId="Neatrisintapieminana">
    <w:name w:val="Unresolved Mention"/>
    <w:basedOn w:val="Noklusjumarindkopasfonts"/>
    <w:uiPriority w:val="99"/>
    <w:semiHidden/>
    <w:unhideWhenUsed/>
    <w:rsid w:val="00D315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1937935">
      <w:bodyDiv w:val="1"/>
      <w:marLeft w:val="0"/>
      <w:marRight w:val="0"/>
      <w:marTop w:val="0"/>
      <w:marBottom w:val="0"/>
      <w:divBdr>
        <w:top w:val="none" w:sz="0" w:space="0" w:color="auto"/>
        <w:left w:val="none" w:sz="0" w:space="0" w:color="auto"/>
        <w:bottom w:val="none" w:sz="0" w:space="0" w:color="auto"/>
        <w:right w:val="none" w:sz="0" w:space="0" w:color="auto"/>
      </w:divBdr>
    </w:div>
    <w:div w:id="184368775">
      <w:bodyDiv w:val="1"/>
      <w:marLeft w:val="0"/>
      <w:marRight w:val="0"/>
      <w:marTop w:val="0"/>
      <w:marBottom w:val="0"/>
      <w:divBdr>
        <w:top w:val="none" w:sz="0" w:space="0" w:color="auto"/>
        <w:left w:val="none" w:sz="0" w:space="0" w:color="auto"/>
        <w:bottom w:val="none" w:sz="0" w:space="0" w:color="auto"/>
        <w:right w:val="none" w:sz="0" w:space="0" w:color="auto"/>
      </w:divBdr>
    </w:div>
    <w:div w:id="292908018">
      <w:bodyDiv w:val="1"/>
      <w:marLeft w:val="0"/>
      <w:marRight w:val="0"/>
      <w:marTop w:val="0"/>
      <w:marBottom w:val="0"/>
      <w:divBdr>
        <w:top w:val="none" w:sz="0" w:space="0" w:color="auto"/>
        <w:left w:val="none" w:sz="0" w:space="0" w:color="auto"/>
        <w:bottom w:val="none" w:sz="0" w:space="0" w:color="auto"/>
        <w:right w:val="none" w:sz="0" w:space="0" w:color="auto"/>
      </w:divBdr>
    </w:div>
    <w:div w:id="317806024">
      <w:bodyDiv w:val="1"/>
      <w:marLeft w:val="0"/>
      <w:marRight w:val="0"/>
      <w:marTop w:val="0"/>
      <w:marBottom w:val="0"/>
      <w:divBdr>
        <w:top w:val="none" w:sz="0" w:space="0" w:color="auto"/>
        <w:left w:val="none" w:sz="0" w:space="0" w:color="auto"/>
        <w:bottom w:val="none" w:sz="0" w:space="0" w:color="auto"/>
        <w:right w:val="none" w:sz="0" w:space="0" w:color="auto"/>
      </w:divBdr>
    </w:div>
    <w:div w:id="341707333">
      <w:bodyDiv w:val="1"/>
      <w:marLeft w:val="0"/>
      <w:marRight w:val="0"/>
      <w:marTop w:val="0"/>
      <w:marBottom w:val="0"/>
      <w:divBdr>
        <w:top w:val="none" w:sz="0" w:space="0" w:color="auto"/>
        <w:left w:val="none" w:sz="0" w:space="0" w:color="auto"/>
        <w:bottom w:val="none" w:sz="0" w:space="0" w:color="auto"/>
        <w:right w:val="none" w:sz="0" w:space="0" w:color="auto"/>
      </w:divBdr>
    </w:div>
    <w:div w:id="438140742">
      <w:bodyDiv w:val="1"/>
      <w:marLeft w:val="0"/>
      <w:marRight w:val="0"/>
      <w:marTop w:val="0"/>
      <w:marBottom w:val="0"/>
      <w:divBdr>
        <w:top w:val="none" w:sz="0" w:space="0" w:color="auto"/>
        <w:left w:val="none" w:sz="0" w:space="0" w:color="auto"/>
        <w:bottom w:val="none" w:sz="0" w:space="0" w:color="auto"/>
        <w:right w:val="none" w:sz="0" w:space="0" w:color="auto"/>
      </w:divBdr>
    </w:div>
    <w:div w:id="448815821">
      <w:bodyDiv w:val="1"/>
      <w:marLeft w:val="0"/>
      <w:marRight w:val="0"/>
      <w:marTop w:val="0"/>
      <w:marBottom w:val="0"/>
      <w:divBdr>
        <w:top w:val="none" w:sz="0" w:space="0" w:color="auto"/>
        <w:left w:val="none" w:sz="0" w:space="0" w:color="auto"/>
        <w:bottom w:val="none" w:sz="0" w:space="0" w:color="auto"/>
        <w:right w:val="none" w:sz="0" w:space="0" w:color="auto"/>
      </w:divBdr>
    </w:div>
    <w:div w:id="472065622">
      <w:bodyDiv w:val="1"/>
      <w:marLeft w:val="0"/>
      <w:marRight w:val="0"/>
      <w:marTop w:val="0"/>
      <w:marBottom w:val="0"/>
      <w:divBdr>
        <w:top w:val="none" w:sz="0" w:space="0" w:color="auto"/>
        <w:left w:val="none" w:sz="0" w:space="0" w:color="auto"/>
        <w:bottom w:val="none" w:sz="0" w:space="0" w:color="auto"/>
        <w:right w:val="none" w:sz="0" w:space="0" w:color="auto"/>
      </w:divBdr>
    </w:div>
    <w:div w:id="491873229">
      <w:bodyDiv w:val="1"/>
      <w:marLeft w:val="0"/>
      <w:marRight w:val="0"/>
      <w:marTop w:val="0"/>
      <w:marBottom w:val="0"/>
      <w:divBdr>
        <w:top w:val="none" w:sz="0" w:space="0" w:color="auto"/>
        <w:left w:val="none" w:sz="0" w:space="0" w:color="auto"/>
        <w:bottom w:val="none" w:sz="0" w:space="0" w:color="auto"/>
        <w:right w:val="none" w:sz="0" w:space="0" w:color="auto"/>
      </w:divBdr>
    </w:div>
    <w:div w:id="510754737">
      <w:bodyDiv w:val="1"/>
      <w:marLeft w:val="0"/>
      <w:marRight w:val="0"/>
      <w:marTop w:val="0"/>
      <w:marBottom w:val="0"/>
      <w:divBdr>
        <w:top w:val="none" w:sz="0" w:space="0" w:color="auto"/>
        <w:left w:val="none" w:sz="0" w:space="0" w:color="auto"/>
        <w:bottom w:val="none" w:sz="0" w:space="0" w:color="auto"/>
        <w:right w:val="none" w:sz="0" w:space="0" w:color="auto"/>
      </w:divBdr>
    </w:div>
    <w:div w:id="618802238">
      <w:bodyDiv w:val="1"/>
      <w:marLeft w:val="0"/>
      <w:marRight w:val="0"/>
      <w:marTop w:val="0"/>
      <w:marBottom w:val="0"/>
      <w:divBdr>
        <w:top w:val="none" w:sz="0" w:space="0" w:color="auto"/>
        <w:left w:val="none" w:sz="0" w:space="0" w:color="auto"/>
        <w:bottom w:val="none" w:sz="0" w:space="0" w:color="auto"/>
        <w:right w:val="none" w:sz="0" w:space="0" w:color="auto"/>
      </w:divBdr>
    </w:div>
    <w:div w:id="725225459">
      <w:bodyDiv w:val="1"/>
      <w:marLeft w:val="0"/>
      <w:marRight w:val="0"/>
      <w:marTop w:val="0"/>
      <w:marBottom w:val="0"/>
      <w:divBdr>
        <w:top w:val="none" w:sz="0" w:space="0" w:color="auto"/>
        <w:left w:val="none" w:sz="0" w:space="0" w:color="auto"/>
        <w:bottom w:val="none" w:sz="0" w:space="0" w:color="auto"/>
        <w:right w:val="none" w:sz="0" w:space="0" w:color="auto"/>
      </w:divBdr>
    </w:div>
    <w:div w:id="787430534">
      <w:bodyDiv w:val="1"/>
      <w:marLeft w:val="0"/>
      <w:marRight w:val="0"/>
      <w:marTop w:val="0"/>
      <w:marBottom w:val="0"/>
      <w:divBdr>
        <w:top w:val="none" w:sz="0" w:space="0" w:color="auto"/>
        <w:left w:val="none" w:sz="0" w:space="0" w:color="auto"/>
        <w:bottom w:val="none" w:sz="0" w:space="0" w:color="auto"/>
        <w:right w:val="none" w:sz="0" w:space="0" w:color="auto"/>
      </w:divBdr>
    </w:div>
    <w:div w:id="841630034">
      <w:bodyDiv w:val="1"/>
      <w:marLeft w:val="0"/>
      <w:marRight w:val="0"/>
      <w:marTop w:val="0"/>
      <w:marBottom w:val="0"/>
      <w:divBdr>
        <w:top w:val="none" w:sz="0" w:space="0" w:color="auto"/>
        <w:left w:val="none" w:sz="0" w:space="0" w:color="auto"/>
        <w:bottom w:val="none" w:sz="0" w:space="0" w:color="auto"/>
        <w:right w:val="none" w:sz="0" w:space="0" w:color="auto"/>
      </w:divBdr>
    </w:div>
    <w:div w:id="862403167">
      <w:bodyDiv w:val="1"/>
      <w:marLeft w:val="0"/>
      <w:marRight w:val="0"/>
      <w:marTop w:val="0"/>
      <w:marBottom w:val="0"/>
      <w:divBdr>
        <w:top w:val="none" w:sz="0" w:space="0" w:color="auto"/>
        <w:left w:val="none" w:sz="0" w:space="0" w:color="auto"/>
        <w:bottom w:val="none" w:sz="0" w:space="0" w:color="auto"/>
        <w:right w:val="none" w:sz="0" w:space="0" w:color="auto"/>
      </w:divBdr>
    </w:div>
    <w:div w:id="927734540">
      <w:bodyDiv w:val="1"/>
      <w:marLeft w:val="0"/>
      <w:marRight w:val="0"/>
      <w:marTop w:val="0"/>
      <w:marBottom w:val="0"/>
      <w:divBdr>
        <w:top w:val="none" w:sz="0" w:space="0" w:color="auto"/>
        <w:left w:val="none" w:sz="0" w:space="0" w:color="auto"/>
        <w:bottom w:val="none" w:sz="0" w:space="0" w:color="auto"/>
        <w:right w:val="none" w:sz="0" w:space="0" w:color="auto"/>
      </w:divBdr>
    </w:div>
    <w:div w:id="1006252967">
      <w:bodyDiv w:val="1"/>
      <w:marLeft w:val="0"/>
      <w:marRight w:val="0"/>
      <w:marTop w:val="0"/>
      <w:marBottom w:val="0"/>
      <w:divBdr>
        <w:top w:val="none" w:sz="0" w:space="0" w:color="auto"/>
        <w:left w:val="none" w:sz="0" w:space="0" w:color="auto"/>
        <w:bottom w:val="none" w:sz="0" w:space="0" w:color="auto"/>
        <w:right w:val="none" w:sz="0" w:space="0" w:color="auto"/>
      </w:divBdr>
    </w:div>
    <w:div w:id="1223566314">
      <w:bodyDiv w:val="1"/>
      <w:marLeft w:val="0"/>
      <w:marRight w:val="0"/>
      <w:marTop w:val="0"/>
      <w:marBottom w:val="0"/>
      <w:divBdr>
        <w:top w:val="none" w:sz="0" w:space="0" w:color="auto"/>
        <w:left w:val="none" w:sz="0" w:space="0" w:color="auto"/>
        <w:bottom w:val="none" w:sz="0" w:space="0" w:color="auto"/>
        <w:right w:val="none" w:sz="0" w:space="0" w:color="auto"/>
      </w:divBdr>
    </w:div>
    <w:div w:id="1244604038">
      <w:bodyDiv w:val="1"/>
      <w:marLeft w:val="0"/>
      <w:marRight w:val="0"/>
      <w:marTop w:val="0"/>
      <w:marBottom w:val="0"/>
      <w:divBdr>
        <w:top w:val="none" w:sz="0" w:space="0" w:color="auto"/>
        <w:left w:val="none" w:sz="0" w:space="0" w:color="auto"/>
        <w:bottom w:val="none" w:sz="0" w:space="0" w:color="auto"/>
        <w:right w:val="none" w:sz="0" w:space="0" w:color="auto"/>
      </w:divBdr>
    </w:div>
    <w:div w:id="1257177372">
      <w:bodyDiv w:val="1"/>
      <w:marLeft w:val="0"/>
      <w:marRight w:val="0"/>
      <w:marTop w:val="0"/>
      <w:marBottom w:val="0"/>
      <w:divBdr>
        <w:top w:val="none" w:sz="0" w:space="0" w:color="auto"/>
        <w:left w:val="none" w:sz="0" w:space="0" w:color="auto"/>
        <w:bottom w:val="none" w:sz="0" w:space="0" w:color="auto"/>
        <w:right w:val="none" w:sz="0" w:space="0" w:color="auto"/>
      </w:divBdr>
    </w:div>
    <w:div w:id="1258103268">
      <w:bodyDiv w:val="1"/>
      <w:marLeft w:val="0"/>
      <w:marRight w:val="0"/>
      <w:marTop w:val="0"/>
      <w:marBottom w:val="0"/>
      <w:divBdr>
        <w:top w:val="none" w:sz="0" w:space="0" w:color="auto"/>
        <w:left w:val="none" w:sz="0" w:space="0" w:color="auto"/>
        <w:bottom w:val="none" w:sz="0" w:space="0" w:color="auto"/>
        <w:right w:val="none" w:sz="0" w:space="0" w:color="auto"/>
      </w:divBdr>
    </w:div>
    <w:div w:id="1339380756">
      <w:bodyDiv w:val="1"/>
      <w:marLeft w:val="0"/>
      <w:marRight w:val="0"/>
      <w:marTop w:val="0"/>
      <w:marBottom w:val="0"/>
      <w:divBdr>
        <w:top w:val="none" w:sz="0" w:space="0" w:color="auto"/>
        <w:left w:val="none" w:sz="0" w:space="0" w:color="auto"/>
        <w:bottom w:val="none" w:sz="0" w:space="0" w:color="auto"/>
        <w:right w:val="none" w:sz="0" w:space="0" w:color="auto"/>
      </w:divBdr>
    </w:div>
    <w:div w:id="1456825481">
      <w:bodyDiv w:val="1"/>
      <w:marLeft w:val="0"/>
      <w:marRight w:val="0"/>
      <w:marTop w:val="0"/>
      <w:marBottom w:val="0"/>
      <w:divBdr>
        <w:top w:val="none" w:sz="0" w:space="0" w:color="auto"/>
        <w:left w:val="none" w:sz="0" w:space="0" w:color="auto"/>
        <w:bottom w:val="none" w:sz="0" w:space="0" w:color="auto"/>
        <w:right w:val="none" w:sz="0" w:space="0" w:color="auto"/>
      </w:divBdr>
    </w:div>
    <w:div w:id="1549805872">
      <w:bodyDiv w:val="1"/>
      <w:marLeft w:val="0"/>
      <w:marRight w:val="0"/>
      <w:marTop w:val="0"/>
      <w:marBottom w:val="0"/>
      <w:divBdr>
        <w:top w:val="none" w:sz="0" w:space="0" w:color="auto"/>
        <w:left w:val="none" w:sz="0" w:space="0" w:color="auto"/>
        <w:bottom w:val="none" w:sz="0" w:space="0" w:color="auto"/>
        <w:right w:val="none" w:sz="0" w:space="0" w:color="auto"/>
      </w:divBdr>
    </w:div>
    <w:div w:id="1578784003">
      <w:bodyDiv w:val="1"/>
      <w:marLeft w:val="0"/>
      <w:marRight w:val="0"/>
      <w:marTop w:val="0"/>
      <w:marBottom w:val="0"/>
      <w:divBdr>
        <w:top w:val="none" w:sz="0" w:space="0" w:color="auto"/>
        <w:left w:val="none" w:sz="0" w:space="0" w:color="auto"/>
        <w:bottom w:val="none" w:sz="0" w:space="0" w:color="auto"/>
        <w:right w:val="none" w:sz="0" w:space="0" w:color="auto"/>
      </w:divBdr>
    </w:div>
    <w:div w:id="1686321203">
      <w:bodyDiv w:val="1"/>
      <w:marLeft w:val="0"/>
      <w:marRight w:val="0"/>
      <w:marTop w:val="0"/>
      <w:marBottom w:val="0"/>
      <w:divBdr>
        <w:top w:val="none" w:sz="0" w:space="0" w:color="auto"/>
        <w:left w:val="none" w:sz="0" w:space="0" w:color="auto"/>
        <w:bottom w:val="none" w:sz="0" w:space="0" w:color="auto"/>
        <w:right w:val="none" w:sz="0" w:space="0" w:color="auto"/>
      </w:divBdr>
    </w:div>
    <w:div w:id="1694380400">
      <w:bodyDiv w:val="1"/>
      <w:marLeft w:val="0"/>
      <w:marRight w:val="0"/>
      <w:marTop w:val="0"/>
      <w:marBottom w:val="0"/>
      <w:divBdr>
        <w:top w:val="none" w:sz="0" w:space="0" w:color="auto"/>
        <w:left w:val="none" w:sz="0" w:space="0" w:color="auto"/>
        <w:bottom w:val="none" w:sz="0" w:space="0" w:color="auto"/>
        <w:right w:val="none" w:sz="0" w:space="0" w:color="auto"/>
      </w:divBdr>
    </w:div>
    <w:div w:id="1704788147">
      <w:bodyDiv w:val="1"/>
      <w:marLeft w:val="0"/>
      <w:marRight w:val="0"/>
      <w:marTop w:val="0"/>
      <w:marBottom w:val="0"/>
      <w:divBdr>
        <w:top w:val="none" w:sz="0" w:space="0" w:color="auto"/>
        <w:left w:val="none" w:sz="0" w:space="0" w:color="auto"/>
        <w:bottom w:val="none" w:sz="0" w:space="0" w:color="auto"/>
        <w:right w:val="none" w:sz="0" w:space="0" w:color="auto"/>
      </w:divBdr>
    </w:div>
    <w:div w:id="1757091967">
      <w:bodyDiv w:val="1"/>
      <w:marLeft w:val="0"/>
      <w:marRight w:val="0"/>
      <w:marTop w:val="0"/>
      <w:marBottom w:val="0"/>
      <w:divBdr>
        <w:top w:val="none" w:sz="0" w:space="0" w:color="auto"/>
        <w:left w:val="none" w:sz="0" w:space="0" w:color="auto"/>
        <w:bottom w:val="none" w:sz="0" w:space="0" w:color="auto"/>
        <w:right w:val="none" w:sz="0" w:space="0" w:color="auto"/>
      </w:divBdr>
    </w:div>
    <w:div w:id="1825928914">
      <w:bodyDiv w:val="1"/>
      <w:marLeft w:val="0"/>
      <w:marRight w:val="0"/>
      <w:marTop w:val="0"/>
      <w:marBottom w:val="0"/>
      <w:divBdr>
        <w:top w:val="none" w:sz="0" w:space="0" w:color="auto"/>
        <w:left w:val="none" w:sz="0" w:space="0" w:color="auto"/>
        <w:bottom w:val="none" w:sz="0" w:space="0" w:color="auto"/>
        <w:right w:val="none" w:sz="0" w:space="0" w:color="auto"/>
      </w:divBdr>
    </w:div>
    <w:div w:id="1889953742">
      <w:bodyDiv w:val="1"/>
      <w:marLeft w:val="0"/>
      <w:marRight w:val="0"/>
      <w:marTop w:val="0"/>
      <w:marBottom w:val="0"/>
      <w:divBdr>
        <w:top w:val="none" w:sz="0" w:space="0" w:color="auto"/>
        <w:left w:val="none" w:sz="0" w:space="0" w:color="auto"/>
        <w:bottom w:val="none" w:sz="0" w:space="0" w:color="auto"/>
        <w:right w:val="none" w:sz="0" w:space="0" w:color="auto"/>
      </w:divBdr>
    </w:div>
    <w:div w:id="1934391124">
      <w:bodyDiv w:val="1"/>
      <w:marLeft w:val="0"/>
      <w:marRight w:val="0"/>
      <w:marTop w:val="0"/>
      <w:marBottom w:val="0"/>
      <w:divBdr>
        <w:top w:val="none" w:sz="0" w:space="0" w:color="auto"/>
        <w:left w:val="none" w:sz="0" w:space="0" w:color="auto"/>
        <w:bottom w:val="none" w:sz="0" w:space="0" w:color="auto"/>
        <w:right w:val="none" w:sz="0" w:space="0" w:color="auto"/>
      </w:divBdr>
    </w:div>
    <w:div w:id="2010523231">
      <w:bodyDiv w:val="1"/>
      <w:marLeft w:val="0"/>
      <w:marRight w:val="0"/>
      <w:marTop w:val="0"/>
      <w:marBottom w:val="0"/>
      <w:divBdr>
        <w:top w:val="none" w:sz="0" w:space="0" w:color="auto"/>
        <w:left w:val="none" w:sz="0" w:space="0" w:color="auto"/>
        <w:bottom w:val="none" w:sz="0" w:space="0" w:color="auto"/>
        <w:right w:val="none" w:sz="0" w:space="0" w:color="auto"/>
      </w:divBdr>
    </w:div>
    <w:div w:id="2028750752">
      <w:bodyDiv w:val="1"/>
      <w:marLeft w:val="0"/>
      <w:marRight w:val="0"/>
      <w:marTop w:val="0"/>
      <w:marBottom w:val="0"/>
      <w:divBdr>
        <w:top w:val="none" w:sz="0" w:space="0" w:color="auto"/>
        <w:left w:val="none" w:sz="0" w:space="0" w:color="auto"/>
        <w:bottom w:val="none" w:sz="0" w:space="0" w:color="auto"/>
        <w:right w:val="none" w:sz="0" w:space="0" w:color="auto"/>
      </w:divBdr>
    </w:div>
    <w:div w:id="2069919098">
      <w:bodyDiv w:val="1"/>
      <w:marLeft w:val="0"/>
      <w:marRight w:val="0"/>
      <w:marTop w:val="0"/>
      <w:marBottom w:val="0"/>
      <w:divBdr>
        <w:top w:val="none" w:sz="0" w:space="0" w:color="auto"/>
        <w:left w:val="none" w:sz="0" w:space="0" w:color="auto"/>
        <w:bottom w:val="none" w:sz="0" w:space="0" w:color="auto"/>
        <w:right w:val="none" w:sz="0" w:space="0" w:color="auto"/>
      </w:divBdr>
    </w:div>
    <w:div w:id="2121294614">
      <w:bodyDiv w:val="1"/>
      <w:marLeft w:val="0"/>
      <w:marRight w:val="0"/>
      <w:marTop w:val="0"/>
      <w:marBottom w:val="0"/>
      <w:divBdr>
        <w:top w:val="none" w:sz="0" w:space="0" w:color="auto"/>
        <w:left w:val="none" w:sz="0" w:space="0" w:color="auto"/>
        <w:bottom w:val="none" w:sz="0" w:space="0" w:color="auto"/>
        <w:right w:val="none" w:sz="0" w:space="0" w:color="auto"/>
      </w:divBdr>
    </w:div>
    <w:div w:id="214141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at.gov.lv/lv/tiesu-prakse/judikaturas-nolemumu-arhivs/kriminallietu-departaments/klasifikators-pec-lietu-kategorijam/kriminallikuma-seviska-dala/xvi-nodala-noziedzigi-nodarijumi-pret-tikumibu-un-dzimumneaizskaramibu" TargetMode="External"/><Relationship Id="rId3" Type="http://schemas.openxmlformats.org/officeDocument/2006/relationships/hyperlink" Target="https://www.at.gov.lv/lv/tiesu-prakse/judikaturas-nolemumu-arhivs/kriminallietu-departaments/hronologiska-seciba?year=2008" TargetMode="External"/><Relationship Id="rId7" Type="http://schemas.openxmlformats.org/officeDocument/2006/relationships/hyperlink" Target="https://www.at.gov.lv/lv/judikaturas-nolemumu-arhivs-old/senata-kriminallietu-departaments/hronologiska-seciba/2012" TargetMode="External"/><Relationship Id="rId2" Type="http://schemas.openxmlformats.org/officeDocument/2006/relationships/hyperlink" Target="https://juristavards.lv/doc/283737-cietsirdiba-pret-dzivnieku-un-atbildiba-par-to/" TargetMode="External"/><Relationship Id="rId1" Type="http://schemas.openxmlformats.org/officeDocument/2006/relationships/hyperlink" Target="https://taurid.saeima.lv/LIVS14/saeimalivs_lmp.nsf/0/EF96C5A3B8143B8DC2258A370045D4AA?OpenDocument" TargetMode="External"/><Relationship Id="rId6" Type="http://schemas.openxmlformats.org/officeDocument/2006/relationships/hyperlink" Target="http://at.gov.lv/lv/tiesu-prakse/tiesu-prakses-apkopojumi/kriminaltiesibas" TargetMode="External"/><Relationship Id="rId5" Type="http://schemas.openxmlformats.org/officeDocument/2006/relationships/hyperlink" Target="http://at.gov.lv/files/uploads/files/6_Judikatura/Tiesu_prakses_apkopojumi/2015/tiesu%20prakse%20KL%20317%20318%20319.doc" TargetMode="External"/><Relationship Id="rId4" Type="http://schemas.openxmlformats.org/officeDocument/2006/relationships/hyperlink" Target="https://www.at.gov.lv/lv/tiesu-prakse/judikaturas-nolemumu-arhivs/kriminallietu-departaments/hronologiska-seciba?year=2016"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189993-887F-453C-9CE2-21002823D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22</Pages>
  <Words>48746</Words>
  <Characters>27786</Characters>
  <Application>Microsoft Office Word</Application>
  <DocSecurity>0</DocSecurity>
  <Lines>231</Lines>
  <Paragraphs>152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Popova</dc:creator>
  <cp:keywords/>
  <dc:description/>
  <cp:lastModifiedBy>Ieva Patrīcija Suseja</cp:lastModifiedBy>
  <cp:revision>18</cp:revision>
  <cp:lastPrinted>2022-11-01T07:49:00Z</cp:lastPrinted>
  <dcterms:created xsi:type="dcterms:W3CDTF">2024-07-24T11:24:00Z</dcterms:created>
  <dcterms:modified xsi:type="dcterms:W3CDTF">2024-08-05T09:44:00Z</dcterms:modified>
</cp:coreProperties>
</file>