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2215F" w14:textId="4A205219" w:rsidR="004D15A9" w:rsidRPr="00BC2633" w:rsidRDefault="002A3A8A" w:rsidP="00C26E82">
      <w:pPr>
        <w:spacing w:after="0" w:line="240" w:lineRule="auto"/>
        <w:ind w:firstLine="300"/>
        <w:jc w:val="center"/>
        <w:rPr>
          <w:rFonts w:eastAsia="Times New Roman"/>
          <w:b/>
          <w:bCs/>
          <w:sz w:val="24"/>
          <w:szCs w:val="24"/>
          <w:lang w:eastAsia="lv-LV"/>
        </w:rPr>
      </w:pPr>
      <w:r>
        <w:rPr>
          <w:rFonts w:eastAsia="Times New Roman"/>
          <w:b/>
          <w:bCs/>
          <w:sz w:val="24"/>
          <w:szCs w:val="24"/>
          <w:lang w:eastAsia="lv-LV"/>
        </w:rPr>
        <w:t xml:space="preserve">Likumprojekta </w:t>
      </w:r>
      <w:r w:rsidR="00C26E82">
        <w:rPr>
          <w:rFonts w:eastAsia="Times New Roman"/>
          <w:b/>
          <w:bCs/>
          <w:sz w:val="24"/>
          <w:szCs w:val="24"/>
          <w:lang w:eastAsia="lv-LV"/>
        </w:rPr>
        <w:t>"</w:t>
      </w:r>
      <w:r>
        <w:rPr>
          <w:rFonts w:eastAsia="Times New Roman"/>
          <w:b/>
          <w:bCs/>
          <w:sz w:val="24"/>
          <w:szCs w:val="24"/>
          <w:lang w:eastAsia="lv-LV"/>
        </w:rPr>
        <w:t>Grozījum</w:t>
      </w:r>
      <w:r w:rsidR="0086307C">
        <w:rPr>
          <w:rFonts w:eastAsia="Times New Roman"/>
          <w:b/>
          <w:bCs/>
          <w:sz w:val="24"/>
          <w:szCs w:val="24"/>
          <w:lang w:eastAsia="lv-LV"/>
        </w:rPr>
        <w:t>i</w:t>
      </w:r>
      <w:r>
        <w:rPr>
          <w:rFonts w:eastAsia="Times New Roman"/>
          <w:b/>
          <w:bCs/>
          <w:sz w:val="24"/>
          <w:szCs w:val="24"/>
          <w:lang w:eastAsia="lv-LV"/>
        </w:rPr>
        <w:t xml:space="preserve"> </w:t>
      </w:r>
      <w:r w:rsidR="00994A7D">
        <w:rPr>
          <w:rFonts w:eastAsia="Times New Roman"/>
          <w:b/>
          <w:bCs/>
          <w:sz w:val="24"/>
          <w:szCs w:val="24"/>
          <w:lang w:eastAsia="lv-LV"/>
        </w:rPr>
        <w:t xml:space="preserve">Notariāta </w:t>
      </w:r>
      <w:r>
        <w:rPr>
          <w:rFonts w:eastAsia="Times New Roman"/>
          <w:b/>
          <w:bCs/>
          <w:sz w:val="24"/>
          <w:szCs w:val="24"/>
          <w:lang w:eastAsia="lv-LV"/>
        </w:rPr>
        <w:t>likumā</w:t>
      </w:r>
      <w:r w:rsidR="00C26E82">
        <w:rPr>
          <w:rFonts w:eastAsia="Times New Roman"/>
          <w:b/>
          <w:bCs/>
          <w:sz w:val="24"/>
          <w:szCs w:val="24"/>
          <w:lang w:eastAsia="lv-LV"/>
        </w:rPr>
        <w:t>"</w:t>
      </w:r>
      <w:r>
        <w:rPr>
          <w:rFonts w:eastAsia="Times New Roman"/>
          <w:b/>
          <w:bCs/>
          <w:sz w:val="24"/>
          <w:szCs w:val="24"/>
          <w:lang w:eastAsia="lv-LV"/>
        </w:rPr>
        <w:t xml:space="preserve"> </w:t>
      </w:r>
      <w:r w:rsidR="004D15A9" w:rsidRPr="00BC2633">
        <w:rPr>
          <w:rFonts w:eastAsia="Times New Roman"/>
          <w:b/>
          <w:bCs/>
          <w:sz w:val="24"/>
          <w:szCs w:val="24"/>
          <w:lang w:eastAsia="lv-LV"/>
        </w:rPr>
        <w:t>sākotnējās ietekmes novērtējuma ziņojums (anotācija)</w:t>
      </w:r>
    </w:p>
    <w:p w14:paraId="42AFF49E" w14:textId="4DBF6201" w:rsidR="00A1552F" w:rsidRDefault="00A1552F" w:rsidP="00A978F1">
      <w:pPr>
        <w:spacing w:after="0" w:line="240" w:lineRule="auto"/>
        <w:ind w:firstLine="300"/>
        <w:jc w:val="center"/>
        <w:rPr>
          <w:rFonts w:eastAsia="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A1552F" w:rsidRPr="002D7166" w14:paraId="70BDCC6E" w14:textId="77777777" w:rsidTr="00A1552F">
        <w:trPr>
          <w:cantSplit/>
        </w:trPr>
        <w:tc>
          <w:tcPr>
            <w:tcW w:w="9061" w:type="dxa"/>
            <w:gridSpan w:val="2"/>
            <w:shd w:val="clear" w:color="auto" w:fill="FFFFFF"/>
            <w:vAlign w:val="center"/>
            <w:hideMark/>
          </w:tcPr>
          <w:p w14:paraId="2E3635E1" w14:textId="77777777" w:rsidR="00A1552F" w:rsidRPr="002D7166" w:rsidRDefault="00A1552F">
            <w:pPr>
              <w:spacing w:after="0" w:line="240" w:lineRule="auto"/>
              <w:ind w:firstLine="300"/>
              <w:jc w:val="center"/>
              <w:rPr>
                <w:rFonts w:ascii="Cambria" w:hAnsi="Cambria"/>
                <w:b/>
                <w:iCs/>
                <w:sz w:val="19"/>
                <w:szCs w:val="19"/>
              </w:rPr>
            </w:pPr>
            <w:r w:rsidRPr="00A1552F">
              <w:rPr>
                <w:rFonts w:eastAsia="Times New Roman"/>
                <w:b/>
                <w:bCs/>
                <w:sz w:val="24"/>
                <w:szCs w:val="24"/>
                <w:lang w:eastAsia="lv-LV"/>
              </w:rPr>
              <w:t>Tiesību akta projekta anotācijas kopsavilkums</w:t>
            </w:r>
          </w:p>
        </w:tc>
      </w:tr>
      <w:tr w:rsidR="00A1552F" w:rsidRPr="002D7166" w14:paraId="47F047DD" w14:textId="77777777" w:rsidTr="00E9181C">
        <w:trPr>
          <w:cantSplit/>
        </w:trPr>
        <w:tc>
          <w:tcPr>
            <w:tcW w:w="2830" w:type="dxa"/>
            <w:shd w:val="clear" w:color="auto" w:fill="FFFFFF"/>
            <w:hideMark/>
          </w:tcPr>
          <w:p w14:paraId="3C58940B" w14:textId="77777777" w:rsidR="00A1552F" w:rsidRPr="00A1552F" w:rsidRDefault="00A1552F" w:rsidP="00C26E82">
            <w:pPr>
              <w:spacing w:after="0" w:line="240" w:lineRule="auto"/>
              <w:rPr>
                <w:rFonts w:eastAsia="Times New Roman"/>
                <w:sz w:val="24"/>
                <w:szCs w:val="24"/>
                <w:lang w:eastAsia="lv-LV"/>
              </w:rPr>
            </w:pPr>
            <w:r w:rsidRPr="00A1552F">
              <w:rPr>
                <w:rFonts w:eastAsia="Times New Roman"/>
                <w:sz w:val="24"/>
                <w:szCs w:val="24"/>
                <w:lang w:eastAsia="lv-LV"/>
              </w:rPr>
              <w:t>Mērķis, risinājums un projekta spēkā stāšanās laiks (500 zīmes bez atstarpēm)</w:t>
            </w:r>
          </w:p>
        </w:tc>
        <w:tc>
          <w:tcPr>
            <w:tcW w:w="6231" w:type="dxa"/>
            <w:shd w:val="clear" w:color="auto" w:fill="FFFFFF"/>
            <w:hideMark/>
          </w:tcPr>
          <w:p w14:paraId="2D343C0B" w14:textId="60F59265" w:rsidR="00A1552F" w:rsidRPr="00A1552F" w:rsidRDefault="002559BA" w:rsidP="00A978F1">
            <w:pPr>
              <w:spacing w:after="0" w:line="240" w:lineRule="auto"/>
              <w:jc w:val="both"/>
              <w:rPr>
                <w:rFonts w:eastAsia="Times New Roman"/>
                <w:sz w:val="24"/>
                <w:szCs w:val="24"/>
                <w:lang w:eastAsia="lv-LV"/>
              </w:rPr>
            </w:pPr>
            <w:r w:rsidRPr="002559BA">
              <w:rPr>
                <w:rFonts w:eastAsia="Times New Roman"/>
                <w:sz w:val="24"/>
                <w:szCs w:val="24"/>
                <w:lang w:eastAsia="lv-LV"/>
              </w:rPr>
              <w:t>Likumprojekts "Grozījumi Notariāta likumā" (turpmāk – likumprojekts)</w:t>
            </w:r>
            <w:r w:rsidRPr="002559BA">
              <w:rPr>
                <w:rFonts w:eastAsia="Times New Roman"/>
                <w:b/>
                <w:bCs/>
                <w:sz w:val="24"/>
                <w:szCs w:val="24"/>
                <w:lang w:eastAsia="lv-LV"/>
              </w:rPr>
              <w:t xml:space="preserve"> </w:t>
            </w:r>
            <w:r>
              <w:rPr>
                <w:rFonts w:eastAsia="Times New Roman"/>
                <w:sz w:val="24"/>
                <w:szCs w:val="24"/>
                <w:lang w:eastAsia="lv-LV"/>
              </w:rPr>
              <w:t>izstrādāts, lai sakārtotu jautājumu par zvērināt</w:t>
            </w:r>
            <w:r w:rsidR="0082467D">
              <w:rPr>
                <w:rFonts w:eastAsia="Times New Roman"/>
                <w:sz w:val="24"/>
                <w:szCs w:val="24"/>
                <w:lang w:eastAsia="lv-LV"/>
              </w:rPr>
              <w:t>a</w:t>
            </w:r>
            <w:r>
              <w:rPr>
                <w:rFonts w:eastAsia="Times New Roman"/>
                <w:sz w:val="24"/>
                <w:szCs w:val="24"/>
                <w:lang w:eastAsia="lv-LV"/>
              </w:rPr>
              <w:t xml:space="preserve"> notār</w:t>
            </w:r>
            <w:r w:rsidR="0082467D">
              <w:rPr>
                <w:rFonts w:eastAsia="Times New Roman"/>
                <w:sz w:val="24"/>
                <w:szCs w:val="24"/>
                <w:lang w:eastAsia="lv-LV"/>
              </w:rPr>
              <w:t>a</w:t>
            </w:r>
            <w:r>
              <w:rPr>
                <w:rFonts w:eastAsia="Times New Roman"/>
                <w:sz w:val="24"/>
                <w:szCs w:val="24"/>
                <w:lang w:eastAsia="lv-LV"/>
              </w:rPr>
              <w:t xml:space="preserve"> biroju izveidi un to tiesisko statusu. Likumprojektā noteiktajam regulējumam paredzēta spēkā stāšanās 20</w:t>
            </w:r>
            <w:r w:rsidR="001E6469">
              <w:rPr>
                <w:rFonts w:eastAsia="Times New Roman"/>
                <w:sz w:val="24"/>
                <w:szCs w:val="24"/>
                <w:lang w:eastAsia="lv-LV"/>
              </w:rPr>
              <w:t>21</w:t>
            </w:r>
            <w:r>
              <w:rPr>
                <w:rFonts w:eastAsia="Times New Roman"/>
                <w:sz w:val="24"/>
                <w:szCs w:val="24"/>
                <w:lang w:eastAsia="lv-LV"/>
              </w:rPr>
              <w:t>. gada 1. janvāris.</w:t>
            </w:r>
          </w:p>
        </w:tc>
      </w:tr>
    </w:tbl>
    <w:p w14:paraId="38674108" w14:textId="77777777" w:rsidR="00A1552F" w:rsidRPr="00BC2633" w:rsidRDefault="00A1552F" w:rsidP="00C26E82">
      <w:pPr>
        <w:spacing w:after="0" w:line="240" w:lineRule="auto"/>
        <w:jc w:val="center"/>
        <w:rPr>
          <w:rFonts w:eastAsia="Times New Roman"/>
          <w:b/>
          <w:bCs/>
          <w:sz w:val="24"/>
          <w:szCs w:val="24"/>
          <w:lang w:eastAsia="lv-LV"/>
        </w:rPr>
      </w:pPr>
    </w:p>
    <w:tbl>
      <w:tblPr>
        <w:tblW w:w="5009"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3"/>
        <w:gridCol w:w="2901"/>
        <w:gridCol w:w="5807"/>
      </w:tblGrid>
      <w:tr w:rsidR="00BC2633" w:rsidRPr="00BC2633" w14:paraId="2C53EF84" w14:textId="77777777" w:rsidTr="00127A1D">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 Tiesību akta projekta izstrādes nepieciešamība</w:t>
            </w:r>
          </w:p>
        </w:tc>
      </w:tr>
      <w:tr w:rsidR="00DA326E" w:rsidRPr="00BC2633" w14:paraId="22687615" w14:textId="77777777" w:rsidTr="00127A1D">
        <w:trPr>
          <w:trHeight w:val="405"/>
        </w:trPr>
        <w:tc>
          <w:tcPr>
            <w:tcW w:w="200"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599" w:type="pct"/>
            <w:tcBorders>
              <w:top w:val="outset" w:sz="6" w:space="0" w:color="414142"/>
              <w:left w:val="outset" w:sz="6" w:space="0" w:color="414142"/>
              <w:bottom w:val="outset" w:sz="6" w:space="0" w:color="414142"/>
              <w:right w:val="outset" w:sz="6" w:space="0" w:color="414142"/>
            </w:tcBorders>
            <w:hideMark/>
          </w:tcPr>
          <w:p w14:paraId="64AFBCA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Pamatojums</w:t>
            </w:r>
          </w:p>
        </w:tc>
        <w:tc>
          <w:tcPr>
            <w:tcW w:w="3201" w:type="pct"/>
            <w:tcBorders>
              <w:top w:val="outset" w:sz="6" w:space="0" w:color="414142"/>
              <w:left w:val="outset" w:sz="6" w:space="0" w:color="414142"/>
              <w:bottom w:val="outset" w:sz="6" w:space="0" w:color="414142"/>
              <w:right w:val="outset" w:sz="6" w:space="0" w:color="414142"/>
            </w:tcBorders>
            <w:hideMark/>
          </w:tcPr>
          <w:p w14:paraId="0A3EB312" w14:textId="3683CF40" w:rsidR="004D15A9" w:rsidRPr="00BC2633" w:rsidRDefault="00AA7184" w:rsidP="00A978F1">
            <w:pPr>
              <w:spacing w:after="0" w:line="240" w:lineRule="auto"/>
              <w:jc w:val="both"/>
              <w:rPr>
                <w:rFonts w:eastAsia="Times New Roman"/>
                <w:sz w:val="24"/>
                <w:szCs w:val="24"/>
                <w:lang w:eastAsia="lv-LV"/>
              </w:rPr>
            </w:pPr>
            <w:r>
              <w:rPr>
                <w:rFonts w:eastAsia="Times New Roman"/>
                <w:sz w:val="24"/>
                <w:szCs w:val="24"/>
                <w:lang w:eastAsia="lv-LV"/>
              </w:rPr>
              <w:t xml:space="preserve">Likumprojekts izstrādāts pēc Tieslietu ministrijas </w:t>
            </w:r>
            <w:r w:rsidRPr="001E2556">
              <w:rPr>
                <w:sz w:val="24"/>
                <w:szCs w:val="24"/>
              </w:rPr>
              <w:t>iniciatīvas</w:t>
            </w:r>
            <w:r w:rsidR="001E6469">
              <w:rPr>
                <w:sz w:val="24"/>
                <w:szCs w:val="24"/>
              </w:rPr>
              <w:t>, pamatojoties uz Latvijas Zvērinātu notāru padomes (turpmāk – Padome) priekšlikumiem.</w:t>
            </w:r>
          </w:p>
        </w:tc>
      </w:tr>
      <w:tr w:rsidR="00DA326E" w:rsidRPr="00BC2633" w14:paraId="5FF7B6AF" w14:textId="77777777" w:rsidTr="00127A1D">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1C86D47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599" w:type="pct"/>
            <w:tcBorders>
              <w:top w:val="outset" w:sz="6" w:space="0" w:color="414142"/>
              <w:left w:val="outset" w:sz="6" w:space="0" w:color="414142"/>
              <w:bottom w:val="outset" w:sz="6" w:space="0" w:color="414142"/>
              <w:right w:val="outset" w:sz="6" w:space="0" w:color="414142"/>
            </w:tcBorders>
            <w:hideMark/>
          </w:tcPr>
          <w:p w14:paraId="7B9225C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Pašreizējā situācija un problēmas, kuru risināšanai tiesību akta projekts izstrādāts, tiesiskā regulējuma mērķis un būtība</w:t>
            </w:r>
          </w:p>
        </w:tc>
        <w:tc>
          <w:tcPr>
            <w:tcW w:w="3201" w:type="pct"/>
            <w:tcBorders>
              <w:top w:val="outset" w:sz="6" w:space="0" w:color="414142"/>
              <w:left w:val="outset" w:sz="6" w:space="0" w:color="414142"/>
              <w:bottom w:val="outset" w:sz="6" w:space="0" w:color="414142"/>
              <w:right w:val="outset" w:sz="6" w:space="0" w:color="414142"/>
            </w:tcBorders>
          </w:tcPr>
          <w:p w14:paraId="117F9D35" w14:textId="77777777" w:rsidR="00AF5F2E" w:rsidRPr="00AF5F2E" w:rsidRDefault="00AF5F2E" w:rsidP="00AF5F2E">
            <w:pPr>
              <w:spacing w:after="0" w:line="240" w:lineRule="auto"/>
              <w:jc w:val="both"/>
              <w:rPr>
                <w:rFonts w:eastAsia="Times New Roman"/>
                <w:bCs/>
                <w:sz w:val="24"/>
                <w:szCs w:val="24"/>
                <w:lang w:eastAsia="lv-LV"/>
              </w:rPr>
            </w:pPr>
            <w:r w:rsidRPr="00AF5F2E">
              <w:rPr>
                <w:rFonts w:eastAsia="Times New Roman"/>
                <w:bCs/>
                <w:sz w:val="24"/>
                <w:szCs w:val="24"/>
                <w:lang w:eastAsia="lv-LV"/>
              </w:rPr>
              <w:t xml:space="preserve">Zvērināti notāri ir tiesu sistēmai piederīgas personas, kuras pastāv pie apgabaltiesām un pilda tām likumā noteiktos pienākumus. Amata darbībā zvērināti notāri ir pielīdzināti valsts amatpersonām. Tajā pašā laikā zvērināts notārs saimnieciski organizē savu praksi patstāvīgi. Līdz ar to no vienas puses, zvērināts notārs ir valsts amatpersonai pielīdzināta persona, no otras puses, zvērināts notārs pieder brīvajai juridiskajai profesijai. Amata darbībās zvērināts notārs rīkojas atbilstoši publisko tiesību normām, bet saimnieciskajā darbībā atbilstoši privāto tiesību normām. Saimnieciskākajā darbībā zvērināts notārs uzlūkojams kā privāto tiesību subjekts. </w:t>
            </w:r>
          </w:p>
          <w:p w14:paraId="67BEC302" w14:textId="16052126" w:rsidR="00AF5F2E" w:rsidRPr="00AF5F2E" w:rsidRDefault="00AF5F2E" w:rsidP="00AF5F2E">
            <w:pPr>
              <w:spacing w:after="0" w:line="240" w:lineRule="auto"/>
              <w:jc w:val="both"/>
              <w:rPr>
                <w:rFonts w:eastAsia="Times New Roman"/>
                <w:bCs/>
                <w:sz w:val="24"/>
                <w:szCs w:val="24"/>
                <w:lang w:eastAsia="lv-LV"/>
              </w:rPr>
            </w:pPr>
            <w:r w:rsidRPr="00AF5F2E">
              <w:rPr>
                <w:rFonts w:eastAsia="Times New Roman"/>
                <w:bCs/>
                <w:sz w:val="24"/>
                <w:szCs w:val="24"/>
                <w:lang w:eastAsia="lv-LV"/>
              </w:rPr>
              <w:t>Notariāta likumā</w:t>
            </w:r>
            <w:r w:rsidRPr="00AF5F2E">
              <w:rPr>
                <w:rFonts w:eastAsia="Times New Roman"/>
                <w:b/>
                <w:bCs/>
                <w:sz w:val="24"/>
                <w:szCs w:val="24"/>
                <w:lang w:eastAsia="lv-LV"/>
              </w:rPr>
              <w:t> </w:t>
            </w:r>
            <w:r w:rsidRPr="00AF5F2E">
              <w:rPr>
                <w:rFonts w:eastAsia="Times New Roman"/>
                <w:bCs/>
                <w:sz w:val="24"/>
                <w:szCs w:val="24"/>
                <w:lang w:eastAsia="lv-LV"/>
              </w:rPr>
              <w:t>zvērināt</w:t>
            </w:r>
            <w:r w:rsidR="000C2E97">
              <w:rPr>
                <w:rFonts w:eastAsia="Times New Roman"/>
                <w:bCs/>
                <w:sz w:val="24"/>
                <w:szCs w:val="24"/>
                <w:lang w:eastAsia="lv-LV"/>
              </w:rPr>
              <w:t>a</w:t>
            </w:r>
            <w:r w:rsidRPr="00AF5F2E">
              <w:rPr>
                <w:rFonts w:eastAsia="Times New Roman"/>
                <w:bCs/>
                <w:sz w:val="24"/>
                <w:szCs w:val="24"/>
                <w:lang w:eastAsia="lv-LV"/>
              </w:rPr>
              <w:t xml:space="preserve"> notār</w:t>
            </w:r>
            <w:r w:rsidR="000C2E97">
              <w:rPr>
                <w:rFonts w:eastAsia="Times New Roman"/>
                <w:bCs/>
                <w:sz w:val="24"/>
                <w:szCs w:val="24"/>
                <w:lang w:eastAsia="lv-LV"/>
              </w:rPr>
              <w:t>a</w:t>
            </w:r>
            <w:r w:rsidRPr="00AF5F2E">
              <w:rPr>
                <w:rFonts w:eastAsia="Times New Roman"/>
                <w:bCs/>
                <w:sz w:val="24"/>
                <w:szCs w:val="24"/>
                <w:lang w:eastAsia="lv-LV"/>
              </w:rPr>
              <w:t xml:space="preserve"> biroja tiesiskais statuss</w:t>
            </w:r>
            <w:r w:rsidRPr="00AF5F2E">
              <w:rPr>
                <w:rFonts w:eastAsia="Times New Roman"/>
                <w:b/>
                <w:bCs/>
                <w:sz w:val="24"/>
                <w:szCs w:val="24"/>
                <w:lang w:eastAsia="lv-LV"/>
              </w:rPr>
              <w:t> </w:t>
            </w:r>
            <w:r w:rsidRPr="00AF5F2E">
              <w:rPr>
                <w:rFonts w:eastAsia="Times New Roman"/>
                <w:bCs/>
                <w:sz w:val="24"/>
                <w:szCs w:val="24"/>
                <w:lang w:eastAsia="lv-LV"/>
              </w:rPr>
              <w:t>nav skaidri regulēts, līdz ar to praksē pastāv atšķirīga likuma interpretācija par zvērināt</w:t>
            </w:r>
            <w:r w:rsidR="000C2E97">
              <w:rPr>
                <w:rFonts w:eastAsia="Times New Roman"/>
                <w:bCs/>
                <w:sz w:val="24"/>
                <w:szCs w:val="24"/>
                <w:lang w:eastAsia="lv-LV"/>
              </w:rPr>
              <w:t>a</w:t>
            </w:r>
            <w:r w:rsidRPr="00AF5F2E">
              <w:rPr>
                <w:rFonts w:eastAsia="Times New Roman"/>
                <w:bCs/>
                <w:sz w:val="24"/>
                <w:szCs w:val="24"/>
                <w:lang w:eastAsia="lv-LV"/>
              </w:rPr>
              <w:t xml:space="preserve"> notār</w:t>
            </w:r>
            <w:r w:rsidR="000C2E97">
              <w:rPr>
                <w:rFonts w:eastAsia="Times New Roman"/>
                <w:bCs/>
                <w:sz w:val="24"/>
                <w:szCs w:val="24"/>
                <w:lang w:eastAsia="lv-LV"/>
              </w:rPr>
              <w:t>a</w:t>
            </w:r>
            <w:r w:rsidRPr="00AF5F2E">
              <w:rPr>
                <w:rFonts w:eastAsia="Times New Roman"/>
                <w:bCs/>
                <w:sz w:val="24"/>
                <w:szCs w:val="24"/>
                <w:lang w:eastAsia="lv-LV"/>
              </w:rPr>
              <w:t xml:space="preserve"> biroju tiesisko statusu un to pielīdzināšanu juridiskai personai, kā arī to atzīšanu par tiesību subjektu. Zvērināti notāri praktizē individuāli, bet ir zvērināti notāri, kuri savu praksi</w:t>
            </w:r>
            <w:r w:rsidR="006C4137">
              <w:rPr>
                <w:rFonts w:eastAsia="Times New Roman"/>
                <w:bCs/>
                <w:sz w:val="24"/>
                <w:szCs w:val="24"/>
                <w:lang w:eastAsia="lv-LV"/>
              </w:rPr>
              <w:t xml:space="preserve"> </w:t>
            </w:r>
            <w:r w:rsidR="00E66CE1">
              <w:rPr>
                <w:rFonts w:eastAsia="Times New Roman"/>
                <w:bCs/>
                <w:sz w:val="24"/>
                <w:szCs w:val="24"/>
                <w:lang w:eastAsia="lv-LV"/>
              </w:rPr>
              <w:t xml:space="preserve">Notariāta </w:t>
            </w:r>
            <w:r w:rsidR="006C4137">
              <w:rPr>
                <w:rFonts w:eastAsia="Times New Roman"/>
                <w:bCs/>
                <w:sz w:val="24"/>
                <w:szCs w:val="24"/>
                <w:lang w:eastAsia="lv-LV"/>
              </w:rPr>
              <w:t xml:space="preserve">likuma ietveros </w:t>
            </w:r>
            <w:r w:rsidRPr="00AF5F2E">
              <w:rPr>
                <w:rFonts w:eastAsia="Times New Roman"/>
                <w:bCs/>
                <w:sz w:val="24"/>
                <w:szCs w:val="24"/>
                <w:lang w:eastAsia="lv-LV"/>
              </w:rPr>
              <w:t>saimnieciski organizē sadarbībā ar citiem zvērinātiem notāriem. Atsevišķi zvērināti notāri pašlaik savus birojus pat reģistrējuši</w:t>
            </w:r>
            <w:r w:rsidR="00601FF4">
              <w:rPr>
                <w:rFonts w:eastAsia="Times New Roman"/>
                <w:bCs/>
                <w:sz w:val="24"/>
                <w:szCs w:val="24"/>
                <w:lang w:eastAsia="lv-LV"/>
              </w:rPr>
              <w:t xml:space="preserve"> V</w:t>
            </w:r>
            <w:r w:rsidR="006C4137">
              <w:rPr>
                <w:rFonts w:eastAsia="Times New Roman"/>
                <w:bCs/>
                <w:sz w:val="24"/>
                <w:szCs w:val="24"/>
                <w:lang w:eastAsia="lv-LV"/>
              </w:rPr>
              <w:t xml:space="preserve">alsts ieņēmumu dienestā (turpmāk – </w:t>
            </w:r>
            <w:r w:rsidRPr="00AF5F2E">
              <w:rPr>
                <w:rFonts w:eastAsia="Times New Roman"/>
                <w:bCs/>
                <w:sz w:val="24"/>
                <w:szCs w:val="24"/>
                <w:lang w:eastAsia="lv-LV"/>
              </w:rPr>
              <w:t>VID</w:t>
            </w:r>
            <w:r w:rsidR="006C4137">
              <w:rPr>
                <w:rFonts w:eastAsia="Times New Roman"/>
                <w:bCs/>
                <w:sz w:val="24"/>
                <w:szCs w:val="24"/>
                <w:lang w:eastAsia="lv-LV"/>
              </w:rPr>
              <w:t>)</w:t>
            </w:r>
            <w:r w:rsidRPr="00AF5F2E">
              <w:rPr>
                <w:rFonts w:eastAsia="Times New Roman"/>
                <w:bCs/>
                <w:sz w:val="24"/>
                <w:szCs w:val="24"/>
                <w:lang w:eastAsia="lv-LV"/>
              </w:rPr>
              <w:t xml:space="preserve"> kā atsevišķus nodokļu maksātājus. Ņemot vērā minēto, rodas neskaidrības, kuras ar </w:t>
            </w:r>
            <w:r w:rsidR="000B3EE7">
              <w:rPr>
                <w:rFonts w:eastAsia="Times New Roman"/>
                <w:bCs/>
                <w:sz w:val="24"/>
                <w:szCs w:val="24"/>
                <w:lang w:eastAsia="lv-LV"/>
              </w:rPr>
              <w:t xml:space="preserve">Notariāta </w:t>
            </w:r>
            <w:r w:rsidRPr="00AF5F2E">
              <w:rPr>
                <w:rFonts w:eastAsia="Times New Roman"/>
                <w:bCs/>
                <w:sz w:val="24"/>
                <w:szCs w:val="24"/>
                <w:lang w:eastAsia="lv-LV"/>
              </w:rPr>
              <w:t>likuma grozījumiem ir novēršamas, skaidri definējot zvērināt</w:t>
            </w:r>
            <w:r w:rsidR="00E74F92">
              <w:rPr>
                <w:rFonts w:eastAsia="Times New Roman"/>
                <w:bCs/>
                <w:sz w:val="24"/>
                <w:szCs w:val="24"/>
                <w:lang w:eastAsia="lv-LV"/>
              </w:rPr>
              <w:t>a</w:t>
            </w:r>
            <w:r w:rsidRPr="00AF5F2E">
              <w:rPr>
                <w:rFonts w:eastAsia="Times New Roman"/>
                <w:bCs/>
                <w:sz w:val="24"/>
                <w:szCs w:val="24"/>
                <w:lang w:eastAsia="lv-LV"/>
              </w:rPr>
              <w:t xml:space="preserve"> notār</w:t>
            </w:r>
            <w:r w:rsidR="00E74F92">
              <w:rPr>
                <w:rFonts w:eastAsia="Times New Roman"/>
                <w:bCs/>
                <w:sz w:val="24"/>
                <w:szCs w:val="24"/>
                <w:lang w:eastAsia="lv-LV"/>
              </w:rPr>
              <w:t>a</w:t>
            </w:r>
            <w:r w:rsidRPr="00AF5F2E">
              <w:rPr>
                <w:rFonts w:eastAsia="Times New Roman"/>
                <w:bCs/>
                <w:sz w:val="24"/>
                <w:szCs w:val="24"/>
                <w:lang w:eastAsia="lv-LV"/>
              </w:rPr>
              <w:t xml:space="preserve"> biroju izveidošanu un tā statusu.</w:t>
            </w:r>
          </w:p>
          <w:p w14:paraId="1C4C0BE1" w14:textId="53D4932C" w:rsidR="00AF5F2E" w:rsidRPr="00AF5F2E" w:rsidRDefault="00601FF4" w:rsidP="00AF5F2E">
            <w:pPr>
              <w:spacing w:after="0" w:line="240" w:lineRule="auto"/>
              <w:jc w:val="both"/>
              <w:rPr>
                <w:rFonts w:eastAsia="Times New Roman"/>
                <w:bCs/>
                <w:sz w:val="24"/>
                <w:szCs w:val="24"/>
                <w:lang w:eastAsia="lv-LV"/>
              </w:rPr>
            </w:pPr>
            <w:r>
              <w:rPr>
                <w:rFonts w:eastAsia="Times New Roman"/>
                <w:bCs/>
                <w:sz w:val="24"/>
                <w:szCs w:val="24"/>
                <w:lang w:eastAsia="lv-LV"/>
              </w:rPr>
              <w:t>Z</w:t>
            </w:r>
            <w:r w:rsidR="000B3EE7">
              <w:rPr>
                <w:rFonts w:eastAsia="Times New Roman"/>
                <w:bCs/>
                <w:sz w:val="24"/>
                <w:szCs w:val="24"/>
                <w:lang w:eastAsia="lv-LV"/>
              </w:rPr>
              <w:t xml:space="preserve">vērinātu </w:t>
            </w:r>
            <w:r w:rsidR="00AF5F2E" w:rsidRPr="00AF5F2E">
              <w:rPr>
                <w:rFonts w:eastAsia="Times New Roman"/>
                <w:bCs/>
                <w:sz w:val="24"/>
                <w:szCs w:val="24"/>
                <w:lang w:eastAsia="lv-LV"/>
              </w:rPr>
              <w:t>notāru darbības mērķis nav peļņas gūšana, kā to noteic Notariāta likuma 239. pants, tomēr šo normu nevar interpretēt ārpus sociālās realitātes. Zvērinātiem notāriem ir nepieciešams finansējums prakses uzturēšanai, darbinieku algošanai, notariālās palīdzības nodrošināšanai, kā arī līdzekļi savu ikdienas izdevumu segšanai.</w:t>
            </w:r>
            <w:r w:rsidR="00AF5F2E" w:rsidRPr="00AF5F2E">
              <w:rPr>
                <w:rFonts w:eastAsia="Times New Roman"/>
                <w:bCs/>
                <w:sz w:val="24"/>
                <w:szCs w:val="24"/>
                <w:vertAlign w:val="superscript"/>
                <w:lang w:eastAsia="lv-LV"/>
              </w:rPr>
              <w:footnoteReference w:id="1"/>
            </w:r>
            <w:r w:rsidR="00AF5F2E" w:rsidRPr="00AF5F2E">
              <w:rPr>
                <w:rFonts w:eastAsia="Times New Roman"/>
                <w:bCs/>
                <w:sz w:val="24"/>
                <w:szCs w:val="24"/>
                <w:lang w:eastAsia="lv-LV"/>
              </w:rPr>
              <w:t xml:space="preserve"> Zvērināti notāri kā brīvo juridisko profesiju pārstāvji kā finansiāli </w:t>
            </w:r>
            <w:r w:rsidR="00AF5F2E" w:rsidRPr="00AF5F2E">
              <w:rPr>
                <w:rFonts w:eastAsia="Times New Roman"/>
                <w:bCs/>
                <w:sz w:val="24"/>
                <w:szCs w:val="24"/>
                <w:lang w:eastAsia="lv-LV"/>
              </w:rPr>
              <w:lastRenderedPageBreak/>
              <w:t xml:space="preserve">patstāvīgas personas paši ir atbildīgi par ienākumu gūšanu, tostarp rūpējoties arī par personisko izdevumu segšanai nepieciešamajiem ienākumiem un uzņemoties zināmu finansiālo risku par savām profesionālajām saistībām. Zvērināti notāri nesaņem valsts vai pašvaldības budžeta līdzekļus. </w:t>
            </w:r>
          </w:p>
          <w:p w14:paraId="2C707CA6" w14:textId="44604F14" w:rsidR="00AF5F2E" w:rsidRPr="00AF5F2E" w:rsidRDefault="00601FF4" w:rsidP="00AF5F2E">
            <w:pPr>
              <w:spacing w:after="0" w:line="240" w:lineRule="auto"/>
              <w:jc w:val="both"/>
              <w:rPr>
                <w:rFonts w:eastAsia="Times New Roman"/>
                <w:bCs/>
                <w:sz w:val="24"/>
                <w:szCs w:val="24"/>
                <w:lang w:eastAsia="lv-LV"/>
              </w:rPr>
            </w:pPr>
            <w:r>
              <w:rPr>
                <w:rFonts w:eastAsia="Times New Roman"/>
                <w:bCs/>
                <w:sz w:val="24"/>
                <w:szCs w:val="24"/>
                <w:lang w:eastAsia="lv-LV"/>
              </w:rPr>
              <w:t>Ņemot vērā minēto, kā arī izvērtējot jau šobrīd normatīvajos aktos pastāvoš</w:t>
            </w:r>
            <w:r w:rsidR="00AA34D6">
              <w:rPr>
                <w:rFonts w:eastAsia="Times New Roman"/>
                <w:bCs/>
                <w:sz w:val="24"/>
                <w:szCs w:val="24"/>
                <w:lang w:eastAsia="lv-LV"/>
              </w:rPr>
              <w:t>o</w:t>
            </w:r>
            <w:r>
              <w:rPr>
                <w:rFonts w:eastAsia="Times New Roman"/>
                <w:bCs/>
                <w:sz w:val="24"/>
                <w:szCs w:val="24"/>
                <w:lang w:eastAsia="lv-LV"/>
              </w:rPr>
              <w:t xml:space="preserve"> tiesisk</w:t>
            </w:r>
            <w:r w:rsidR="00AA34D6">
              <w:rPr>
                <w:rFonts w:eastAsia="Times New Roman"/>
                <w:bCs/>
                <w:sz w:val="24"/>
                <w:szCs w:val="24"/>
                <w:lang w:eastAsia="lv-LV"/>
              </w:rPr>
              <w:t>o</w:t>
            </w:r>
            <w:r>
              <w:rPr>
                <w:rFonts w:eastAsia="Times New Roman"/>
                <w:bCs/>
                <w:sz w:val="24"/>
                <w:szCs w:val="24"/>
                <w:lang w:eastAsia="lv-LV"/>
              </w:rPr>
              <w:t xml:space="preserve"> statusu formas, kā arī l</w:t>
            </w:r>
            <w:r w:rsidR="00AF5F2E" w:rsidRPr="00AF5F2E">
              <w:rPr>
                <w:rFonts w:eastAsia="Times New Roman"/>
                <w:bCs/>
                <w:sz w:val="24"/>
                <w:szCs w:val="24"/>
                <w:lang w:eastAsia="lv-LV"/>
              </w:rPr>
              <w:t xml:space="preserve">ai atrisinātu minētos jautājumus, </w:t>
            </w:r>
            <w:r w:rsidR="00510966">
              <w:rPr>
                <w:rFonts w:eastAsia="Times New Roman"/>
                <w:bCs/>
                <w:sz w:val="24"/>
                <w:szCs w:val="24"/>
                <w:lang w:eastAsia="lv-LV"/>
              </w:rPr>
              <w:t>attiecībā uz zvērināt</w:t>
            </w:r>
            <w:r w:rsidR="00E74F92">
              <w:rPr>
                <w:rFonts w:eastAsia="Times New Roman"/>
                <w:bCs/>
                <w:sz w:val="24"/>
                <w:szCs w:val="24"/>
                <w:lang w:eastAsia="lv-LV"/>
              </w:rPr>
              <w:t>a</w:t>
            </w:r>
            <w:r w:rsidR="00510966">
              <w:rPr>
                <w:rFonts w:eastAsia="Times New Roman"/>
                <w:bCs/>
                <w:sz w:val="24"/>
                <w:szCs w:val="24"/>
                <w:lang w:eastAsia="lv-LV"/>
              </w:rPr>
              <w:t xml:space="preserve"> notār</w:t>
            </w:r>
            <w:r w:rsidR="00E74F92">
              <w:rPr>
                <w:rFonts w:eastAsia="Times New Roman"/>
                <w:bCs/>
                <w:sz w:val="24"/>
                <w:szCs w:val="24"/>
                <w:lang w:eastAsia="lv-LV"/>
              </w:rPr>
              <w:t>a</w:t>
            </w:r>
            <w:r w:rsidR="00510966">
              <w:rPr>
                <w:rFonts w:eastAsia="Times New Roman"/>
                <w:bCs/>
                <w:sz w:val="24"/>
                <w:szCs w:val="24"/>
                <w:lang w:eastAsia="lv-LV"/>
              </w:rPr>
              <w:t xml:space="preserve"> biroju izveidi </w:t>
            </w:r>
            <w:r w:rsidR="00AF5F2E" w:rsidRPr="00AF5F2E">
              <w:rPr>
                <w:rFonts w:eastAsia="Times New Roman"/>
                <w:bCs/>
                <w:sz w:val="24"/>
                <w:szCs w:val="24"/>
                <w:lang w:eastAsia="lv-LV"/>
              </w:rPr>
              <w:t xml:space="preserve">būtu piemērojams Komerclikumā noteiktais regulējums attiecībā uz komersantiem - sabiedrībām ar ierobežotu atbildību, ciktāl Notariāta likums nenoteic savādāk. Šis risinājums ir izvēlēts </w:t>
            </w:r>
            <w:r>
              <w:rPr>
                <w:rFonts w:eastAsia="Times New Roman"/>
                <w:bCs/>
                <w:sz w:val="24"/>
                <w:szCs w:val="24"/>
                <w:lang w:eastAsia="lv-LV"/>
              </w:rPr>
              <w:t xml:space="preserve">arī </w:t>
            </w:r>
            <w:r w:rsidR="00510966">
              <w:rPr>
                <w:rFonts w:eastAsia="Times New Roman"/>
                <w:bCs/>
                <w:sz w:val="24"/>
                <w:szCs w:val="24"/>
                <w:lang w:eastAsia="lv-LV"/>
              </w:rPr>
              <w:t xml:space="preserve">attiecībā uz </w:t>
            </w:r>
            <w:r w:rsidR="00AF5F2E" w:rsidRPr="00AF5F2E">
              <w:rPr>
                <w:rFonts w:eastAsia="Times New Roman"/>
                <w:bCs/>
                <w:sz w:val="24"/>
                <w:szCs w:val="24"/>
                <w:lang w:eastAsia="lv-LV"/>
              </w:rPr>
              <w:t>cit</w:t>
            </w:r>
            <w:r w:rsidR="00111ED1">
              <w:rPr>
                <w:rFonts w:eastAsia="Times New Roman"/>
                <w:bCs/>
                <w:sz w:val="24"/>
                <w:szCs w:val="24"/>
                <w:lang w:eastAsia="lv-LV"/>
              </w:rPr>
              <w:t>u</w:t>
            </w:r>
            <w:r w:rsidR="00AF5F2E" w:rsidRPr="00AF5F2E">
              <w:rPr>
                <w:rFonts w:eastAsia="Times New Roman"/>
                <w:bCs/>
                <w:sz w:val="24"/>
                <w:szCs w:val="24"/>
                <w:lang w:eastAsia="lv-LV"/>
              </w:rPr>
              <w:t xml:space="preserve"> brīvo juridisko profesiju pārstāvjiem - zvērināt</w:t>
            </w:r>
            <w:r w:rsidR="00E74F92">
              <w:rPr>
                <w:rFonts w:eastAsia="Times New Roman"/>
                <w:bCs/>
                <w:sz w:val="24"/>
                <w:szCs w:val="24"/>
                <w:lang w:eastAsia="lv-LV"/>
              </w:rPr>
              <w:t>a</w:t>
            </w:r>
            <w:r w:rsidR="00AF5F2E" w:rsidRPr="00AF5F2E">
              <w:rPr>
                <w:rFonts w:eastAsia="Times New Roman"/>
                <w:bCs/>
                <w:sz w:val="24"/>
                <w:szCs w:val="24"/>
                <w:lang w:eastAsia="lv-LV"/>
              </w:rPr>
              <w:t xml:space="preserve"> advokāt</w:t>
            </w:r>
            <w:r w:rsidR="00E74F92">
              <w:rPr>
                <w:rFonts w:eastAsia="Times New Roman"/>
                <w:bCs/>
                <w:sz w:val="24"/>
                <w:szCs w:val="24"/>
                <w:lang w:eastAsia="lv-LV"/>
              </w:rPr>
              <w:t>a</w:t>
            </w:r>
            <w:r w:rsidR="00AF5F2E" w:rsidRPr="00AF5F2E">
              <w:rPr>
                <w:rFonts w:eastAsia="Times New Roman"/>
                <w:bCs/>
                <w:sz w:val="24"/>
                <w:szCs w:val="24"/>
                <w:lang w:eastAsia="lv-LV"/>
              </w:rPr>
              <w:t xml:space="preserve"> biroju, kurš saimnieciski tiek organizēts līdzīgi kā zvērināta notāra birojs.</w:t>
            </w:r>
            <w:r w:rsidR="00AF5F2E" w:rsidRPr="00AF5F2E">
              <w:rPr>
                <w:rFonts w:eastAsia="Times New Roman"/>
                <w:bCs/>
                <w:sz w:val="24"/>
                <w:szCs w:val="24"/>
                <w:vertAlign w:val="superscript"/>
                <w:lang w:eastAsia="lv-LV"/>
              </w:rPr>
              <w:footnoteReference w:id="2"/>
            </w:r>
            <w:r w:rsidR="00AF5F2E" w:rsidRPr="00AF5F2E">
              <w:rPr>
                <w:rFonts w:eastAsia="Times New Roman"/>
                <w:bCs/>
                <w:sz w:val="24"/>
                <w:szCs w:val="24"/>
                <w:lang w:eastAsia="lv-LV"/>
              </w:rPr>
              <w:t xml:space="preserve"> Brīvo juridisko profesiju biroju vienādais statuss atvieglos VID un citu valsts institūciju uzraudzību par to, jo būs skaidrs un saprotams biroja tiesiskais statuss un darbības veids. Ar </w:t>
            </w:r>
            <w:r w:rsidR="00111ED1">
              <w:rPr>
                <w:rFonts w:eastAsia="Times New Roman"/>
                <w:bCs/>
                <w:sz w:val="24"/>
                <w:szCs w:val="24"/>
                <w:lang w:eastAsia="lv-LV"/>
              </w:rPr>
              <w:t>l</w:t>
            </w:r>
            <w:r w:rsidR="00AF5F2E" w:rsidRPr="00AF5F2E">
              <w:rPr>
                <w:rFonts w:eastAsia="Times New Roman"/>
                <w:bCs/>
                <w:sz w:val="24"/>
                <w:szCs w:val="24"/>
                <w:lang w:eastAsia="lv-LV"/>
              </w:rPr>
              <w:t>ikumprojektā paredzēto regulējumu ne tikai tiks noteikts zvērināt</w:t>
            </w:r>
            <w:r w:rsidR="004B7B7D">
              <w:rPr>
                <w:rFonts w:eastAsia="Times New Roman"/>
                <w:bCs/>
                <w:sz w:val="24"/>
                <w:szCs w:val="24"/>
                <w:lang w:eastAsia="lv-LV"/>
              </w:rPr>
              <w:t>a</w:t>
            </w:r>
            <w:r w:rsidR="00AF5F2E" w:rsidRPr="00AF5F2E">
              <w:rPr>
                <w:rFonts w:eastAsia="Times New Roman"/>
                <w:bCs/>
                <w:sz w:val="24"/>
                <w:szCs w:val="24"/>
                <w:lang w:eastAsia="lv-LV"/>
              </w:rPr>
              <w:t xml:space="preserve"> notār</w:t>
            </w:r>
            <w:r w:rsidR="004B7B7D">
              <w:rPr>
                <w:rFonts w:eastAsia="Times New Roman"/>
                <w:bCs/>
                <w:sz w:val="24"/>
                <w:szCs w:val="24"/>
                <w:lang w:eastAsia="lv-LV"/>
              </w:rPr>
              <w:t>a</w:t>
            </w:r>
            <w:r w:rsidR="00AF5F2E" w:rsidRPr="00AF5F2E">
              <w:rPr>
                <w:rFonts w:eastAsia="Times New Roman"/>
                <w:bCs/>
                <w:sz w:val="24"/>
                <w:szCs w:val="24"/>
                <w:lang w:eastAsia="lv-LV"/>
              </w:rPr>
              <w:t xml:space="preserve"> biroju tiesiskais statuss, bet arī paredzēts caurspīdīgs nodokļu režīms un nodokļu administrēšanas process. </w:t>
            </w:r>
          </w:p>
          <w:p w14:paraId="726AB1D6" w14:textId="301E6529" w:rsidR="00AF5F2E" w:rsidRPr="00AF5F2E" w:rsidRDefault="00AF5F2E" w:rsidP="00AF5F2E">
            <w:pPr>
              <w:spacing w:after="0" w:line="240" w:lineRule="auto"/>
              <w:jc w:val="both"/>
              <w:rPr>
                <w:rFonts w:eastAsia="Times New Roman"/>
                <w:bCs/>
                <w:sz w:val="24"/>
                <w:szCs w:val="24"/>
                <w:lang w:eastAsia="lv-LV"/>
              </w:rPr>
            </w:pPr>
            <w:r w:rsidRPr="00AF5F2E">
              <w:rPr>
                <w:rFonts w:eastAsia="Times New Roman"/>
                <w:bCs/>
                <w:sz w:val="24"/>
                <w:szCs w:val="24"/>
                <w:lang w:eastAsia="lv-LV"/>
              </w:rPr>
              <w:t>Likumprojekts paredz, ka zvērinātiem notāriem tiek dotas tiesības savu praksi organizēt kā pašnodarbinātai personai vai arī izveidot zvērināt</w:t>
            </w:r>
            <w:r w:rsidR="004B7B7D">
              <w:rPr>
                <w:rFonts w:eastAsia="Times New Roman"/>
                <w:bCs/>
                <w:sz w:val="24"/>
                <w:szCs w:val="24"/>
                <w:lang w:eastAsia="lv-LV"/>
              </w:rPr>
              <w:t>a</w:t>
            </w:r>
            <w:r w:rsidRPr="00AF5F2E">
              <w:rPr>
                <w:rFonts w:eastAsia="Times New Roman"/>
                <w:bCs/>
                <w:sz w:val="24"/>
                <w:szCs w:val="24"/>
                <w:lang w:eastAsia="lv-LV"/>
              </w:rPr>
              <w:t xml:space="preserve"> notār</w:t>
            </w:r>
            <w:r w:rsidR="004B7B7D">
              <w:rPr>
                <w:rFonts w:eastAsia="Times New Roman"/>
                <w:bCs/>
                <w:sz w:val="24"/>
                <w:szCs w:val="24"/>
                <w:lang w:eastAsia="lv-LV"/>
              </w:rPr>
              <w:t>a</w:t>
            </w:r>
            <w:r w:rsidRPr="00AF5F2E">
              <w:rPr>
                <w:rFonts w:eastAsia="Times New Roman"/>
                <w:bCs/>
                <w:sz w:val="24"/>
                <w:szCs w:val="24"/>
                <w:lang w:eastAsia="lv-LV"/>
              </w:rPr>
              <w:t xml:space="preserve"> birojus, kuros uz nenoteiktu laiku var praktizēt viens vai vairāki zvērināti notāri. </w:t>
            </w:r>
          </w:p>
          <w:p w14:paraId="02354E2A" w14:textId="2A2772D3" w:rsidR="00AF5F2E" w:rsidRPr="00AF5F2E" w:rsidRDefault="00AF5F2E" w:rsidP="00AF5F2E">
            <w:pPr>
              <w:spacing w:after="0" w:line="240" w:lineRule="auto"/>
              <w:jc w:val="both"/>
              <w:rPr>
                <w:rFonts w:eastAsia="Times New Roman"/>
                <w:bCs/>
                <w:sz w:val="24"/>
                <w:szCs w:val="24"/>
                <w:lang w:eastAsia="lv-LV"/>
              </w:rPr>
            </w:pPr>
            <w:r w:rsidRPr="00AF5F2E">
              <w:rPr>
                <w:rFonts w:eastAsia="Times New Roman"/>
                <w:bCs/>
                <w:sz w:val="24"/>
                <w:szCs w:val="24"/>
                <w:lang w:eastAsia="lv-LV"/>
              </w:rPr>
              <w:t>Zvērināt</w:t>
            </w:r>
            <w:r w:rsidR="004B7B7D">
              <w:rPr>
                <w:rFonts w:eastAsia="Times New Roman"/>
                <w:bCs/>
                <w:sz w:val="24"/>
                <w:szCs w:val="24"/>
                <w:lang w:eastAsia="lv-LV"/>
              </w:rPr>
              <w:t>a</w:t>
            </w:r>
            <w:r w:rsidRPr="00AF5F2E">
              <w:rPr>
                <w:rFonts w:eastAsia="Times New Roman"/>
                <w:bCs/>
                <w:sz w:val="24"/>
                <w:szCs w:val="24"/>
                <w:lang w:eastAsia="lv-LV"/>
              </w:rPr>
              <w:t xml:space="preserve"> notār</w:t>
            </w:r>
            <w:r w:rsidR="004B7B7D">
              <w:rPr>
                <w:rFonts w:eastAsia="Times New Roman"/>
                <w:bCs/>
                <w:sz w:val="24"/>
                <w:szCs w:val="24"/>
                <w:lang w:eastAsia="lv-LV"/>
              </w:rPr>
              <w:t>a</w:t>
            </w:r>
            <w:r w:rsidRPr="00AF5F2E">
              <w:rPr>
                <w:rFonts w:eastAsia="Times New Roman"/>
                <w:bCs/>
                <w:sz w:val="24"/>
                <w:szCs w:val="24"/>
                <w:lang w:eastAsia="lv-LV"/>
              </w:rPr>
              <w:t xml:space="preserve"> biroju</w:t>
            </w:r>
            <w:r w:rsidR="00AA34D6">
              <w:rPr>
                <w:rFonts w:eastAsia="Times New Roman"/>
                <w:bCs/>
                <w:sz w:val="24"/>
                <w:szCs w:val="24"/>
                <w:lang w:eastAsia="lv-LV"/>
              </w:rPr>
              <w:t>s</w:t>
            </w:r>
            <w:r w:rsidRPr="00AF5F2E">
              <w:rPr>
                <w:rFonts w:eastAsia="Times New Roman"/>
                <w:bCs/>
                <w:sz w:val="24"/>
                <w:szCs w:val="24"/>
                <w:lang w:eastAsia="lv-LV"/>
              </w:rPr>
              <w:t xml:space="preserve"> varēs veidot kā sabiedrību ar ierobežotu atbildību, attiecīgi to reģistrējot Latvijas Republikas Uzņēmumu reģistra vestajā komercreģistrā Komerclikumā noteiktajā kārtībā, kā arī ievērojot </w:t>
            </w:r>
            <w:r w:rsidR="0007274E">
              <w:rPr>
                <w:rFonts w:eastAsia="Times New Roman"/>
                <w:bCs/>
                <w:sz w:val="24"/>
                <w:szCs w:val="24"/>
                <w:lang w:eastAsia="lv-LV"/>
              </w:rPr>
              <w:t>l</w:t>
            </w:r>
            <w:r w:rsidRPr="00AF5F2E">
              <w:rPr>
                <w:rFonts w:eastAsia="Times New Roman"/>
                <w:bCs/>
                <w:sz w:val="24"/>
                <w:szCs w:val="24"/>
                <w:lang w:eastAsia="lv-LV"/>
              </w:rPr>
              <w:t>ikumprojektā minētās īpašās prasības. Vienlaikus grozījumi stingri noteic, ka zvērināt</w:t>
            </w:r>
            <w:r w:rsidR="004B7B7D">
              <w:rPr>
                <w:rFonts w:eastAsia="Times New Roman"/>
                <w:bCs/>
                <w:sz w:val="24"/>
                <w:szCs w:val="24"/>
                <w:lang w:eastAsia="lv-LV"/>
              </w:rPr>
              <w:t>a</w:t>
            </w:r>
            <w:r w:rsidRPr="00AF5F2E">
              <w:rPr>
                <w:rFonts w:eastAsia="Times New Roman"/>
                <w:bCs/>
                <w:sz w:val="24"/>
                <w:szCs w:val="24"/>
                <w:lang w:eastAsia="lv-LV"/>
              </w:rPr>
              <w:t xml:space="preserve"> notār</w:t>
            </w:r>
            <w:r w:rsidR="004B7B7D">
              <w:rPr>
                <w:rFonts w:eastAsia="Times New Roman"/>
                <w:bCs/>
                <w:sz w:val="24"/>
                <w:szCs w:val="24"/>
                <w:lang w:eastAsia="lv-LV"/>
              </w:rPr>
              <w:t>a</w:t>
            </w:r>
            <w:r w:rsidRPr="00AF5F2E">
              <w:rPr>
                <w:rFonts w:eastAsia="Times New Roman"/>
                <w:bCs/>
                <w:sz w:val="24"/>
                <w:szCs w:val="24"/>
                <w:lang w:eastAsia="lv-LV"/>
              </w:rPr>
              <w:t xml:space="preserve"> birojus</w:t>
            </w:r>
            <w:r w:rsidR="009A1EC3">
              <w:rPr>
                <w:rFonts w:eastAsia="Times New Roman"/>
                <w:bCs/>
                <w:sz w:val="24"/>
                <w:szCs w:val="24"/>
                <w:lang w:eastAsia="lv-LV"/>
              </w:rPr>
              <w:t>,</w:t>
            </w:r>
            <w:r w:rsidRPr="00AF5F2E">
              <w:rPr>
                <w:rFonts w:eastAsia="Times New Roman"/>
                <w:bCs/>
                <w:sz w:val="24"/>
                <w:szCs w:val="24"/>
                <w:lang w:eastAsia="lv-LV"/>
              </w:rPr>
              <w:t xml:space="preserve"> kā sabiedrību ar ierobežotu atbildību</w:t>
            </w:r>
            <w:r w:rsidR="009A1EC3">
              <w:rPr>
                <w:rFonts w:eastAsia="Times New Roman"/>
                <w:bCs/>
                <w:sz w:val="24"/>
                <w:szCs w:val="24"/>
                <w:lang w:eastAsia="lv-LV"/>
              </w:rPr>
              <w:t>,</w:t>
            </w:r>
            <w:r w:rsidRPr="00AF5F2E">
              <w:rPr>
                <w:rFonts w:eastAsia="Times New Roman"/>
                <w:bCs/>
                <w:sz w:val="24"/>
                <w:szCs w:val="24"/>
                <w:lang w:eastAsia="lv-LV"/>
              </w:rPr>
              <w:t xml:space="preserve"> var dibināt tikai profesionālās darbības veikšanai. Izveidojot zvērināt</w:t>
            </w:r>
            <w:r w:rsidR="004B7B7D">
              <w:rPr>
                <w:rFonts w:eastAsia="Times New Roman"/>
                <w:bCs/>
                <w:sz w:val="24"/>
                <w:szCs w:val="24"/>
                <w:lang w:eastAsia="lv-LV"/>
              </w:rPr>
              <w:t>a</w:t>
            </w:r>
            <w:r w:rsidRPr="00AF5F2E">
              <w:rPr>
                <w:rFonts w:eastAsia="Times New Roman"/>
                <w:bCs/>
                <w:sz w:val="24"/>
                <w:szCs w:val="24"/>
                <w:lang w:eastAsia="lv-LV"/>
              </w:rPr>
              <w:t xml:space="preserve"> notār</w:t>
            </w:r>
            <w:r w:rsidR="004B7B7D">
              <w:rPr>
                <w:rFonts w:eastAsia="Times New Roman"/>
                <w:bCs/>
                <w:sz w:val="24"/>
                <w:szCs w:val="24"/>
                <w:lang w:eastAsia="lv-LV"/>
              </w:rPr>
              <w:t>a</w:t>
            </w:r>
            <w:r w:rsidRPr="00AF5F2E">
              <w:rPr>
                <w:rFonts w:eastAsia="Times New Roman"/>
                <w:bCs/>
                <w:sz w:val="24"/>
                <w:szCs w:val="24"/>
                <w:lang w:eastAsia="lv-LV"/>
              </w:rPr>
              <w:t xml:space="preserve"> biroju, zvērināts notārs amata darbībā praktizē savā vārdā un personīgi atbild par izpildītājām amata darbībām un citām profesionālajām darbībām.</w:t>
            </w:r>
          </w:p>
          <w:p w14:paraId="520458A1" w14:textId="67740774" w:rsidR="00AF5F2E" w:rsidRPr="00AF5F2E" w:rsidRDefault="00AF5F2E" w:rsidP="00AF5F2E">
            <w:pPr>
              <w:spacing w:after="0" w:line="240" w:lineRule="auto"/>
              <w:jc w:val="both"/>
              <w:rPr>
                <w:rFonts w:eastAsia="Times New Roman"/>
                <w:bCs/>
                <w:sz w:val="24"/>
                <w:szCs w:val="24"/>
                <w:lang w:eastAsia="lv-LV"/>
              </w:rPr>
            </w:pPr>
            <w:r w:rsidRPr="00AF5F2E">
              <w:rPr>
                <w:rFonts w:eastAsia="Times New Roman"/>
                <w:bCs/>
                <w:sz w:val="24"/>
                <w:szCs w:val="24"/>
                <w:lang w:eastAsia="lv-LV"/>
              </w:rPr>
              <w:t>Likumprojekts paredz, ka pirms reģistrēšanas komercreģistrā zvērināta notār</w:t>
            </w:r>
            <w:r w:rsidR="004B7B7D">
              <w:rPr>
                <w:rFonts w:eastAsia="Times New Roman"/>
                <w:bCs/>
                <w:sz w:val="24"/>
                <w:szCs w:val="24"/>
                <w:lang w:eastAsia="lv-LV"/>
              </w:rPr>
              <w:t>a</w:t>
            </w:r>
            <w:r w:rsidRPr="00AF5F2E">
              <w:rPr>
                <w:rFonts w:eastAsia="Times New Roman"/>
                <w:bCs/>
                <w:sz w:val="24"/>
                <w:szCs w:val="24"/>
                <w:lang w:eastAsia="lv-LV"/>
              </w:rPr>
              <w:t xml:space="preserve"> biroja dibinātājam būs jāsaņem Padome</w:t>
            </w:r>
            <w:r w:rsidR="0032569B">
              <w:rPr>
                <w:rFonts w:eastAsia="Times New Roman"/>
                <w:bCs/>
                <w:sz w:val="24"/>
                <w:szCs w:val="24"/>
                <w:lang w:eastAsia="lv-LV"/>
              </w:rPr>
              <w:t>s</w:t>
            </w:r>
            <w:r w:rsidRPr="00AF5F2E">
              <w:rPr>
                <w:rFonts w:eastAsia="Times New Roman"/>
                <w:bCs/>
                <w:sz w:val="24"/>
                <w:szCs w:val="24"/>
                <w:lang w:eastAsia="lv-LV"/>
              </w:rPr>
              <w:t xml:space="preserve"> piekrišana biroja reģistrēšanai, ņemot vērā, ka Padome ir Latvijas Zvērinātu notāru kolēģijas pārvaldes, uzraudzības un izpildu institūcija. Lai izdarītu jebkuru no Komerclikuma 8. pantā noteiktajiem ierakstiem komercreģistrā, vai izmaiņas šajos ierakstos (izņemot ziņas par likvidāciju) un dokumentos, zvērināta notār</w:t>
            </w:r>
            <w:r w:rsidR="00AE3292">
              <w:rPr>
                <w:rFonts w:eastAsia="Times New Roman"/>
                <w:bCs/>
                <w:sz w:val="24"/>
                <w:szCs w:val="24"/>
                <w:lang w:eastAsia="lv-LV"/>
              </w:rPr>
              <w:t>a</w:t>
            </w:r>
            <w:r w:rsidRPr="00AF5F2E">
              <w:rPr>
                <w:rFonts w:eastAsia="Times New Roman"/>
                <w:bCs/>
                <w:sz w:val="24"/>
                <w:szCs w:val="24"/>
                <w:lang w:eastAsia="lv-LV"/>
              </w:rPr>
              <w:t xml:space="preserve"> birojs Uzņēmumu reģistram iesniegs Padomes piekrišanu konkrēto ziņu ierakstīšanai komercreģistrā vai dokumentu </w:t>
            </w:r>
            <w:r w:rsidRPr="00AF5F2E">
              <w:rPr>
                <w:rFonts w:eastAsia="Times New Roman"/>
                <w:bCs/>
                <w:sz w:val="24"/>
                <w:szCs w:val="24"/>
                <w:lang w:eastAsia="lv-LV"/>
              </w:rPr>
              <w:lastRenderedPageBreak/>
              <w:t>reģistrācijai. Proti, iesniedzot  jebkuru pieteikumu reģistrācijai, tam pievienojama piekrišana. Likumprojekts neizvirza atsevišķas prasības piekrišanas formai – būtiskākais, ka no iesniegtā dokumenta satura izriet, ka Padome piekrīt attiecīgu izmaiņu izdarīšanai. Likumprojekts paredz, ka, lemjot par zvērināta notār</w:t>
            </w:r>
            <w:r w:rsidR="00AE3292">
              <w:rPr>
                <w:rFonts w:eastAsia="Times New Roman"/>
                <w:bCs/>
                <w:sz w:val="24"/>
                <w:szCs w:val="24"/>
                <w:lang w:eastAsia="lv-LV"/>
              </w:rPr>
              <w:t>a</w:t>
            </w:r>
            <w:r w:rsidRPr="00AF5F2E">
              <w:rPr>
                <w:rFonts w:eastAsia="Times New Roman"/>
                <w:bCs/>
                <w:sz w:val="24"/>
                <w:szCs w:val="24"/>
                <w:lang w:eastAsia="lv-LV"/>
              </w:rPr>
              <w:t xml:space="preserve"> biroja reģistrēšanu, Padome varēs atteikt tā reģistrēšanu tikai Notariāta likumā noteiktajos gadījumos, piemēram, secinot, ka zvērināts notārs jau ir cita zvērināta notār</w:t>
            </w:r>
            <w:r w:rsidR="00AE3292">
              <w:rPr>
                <w:rFonts w:eastAsia="Times New Roman"/>
                <w:bCs/>
                <w:sz w:val="24"/>
                <w:szCs w:val="24"/>
                <w:lang w:eastAsia="lv-LV"/>
              </w:rPr>
              <w:t>a</w:t>
            </w:r>
            <w:r w:rsidRPr="00AF5F2E">
              <w:rPr>
                <w:rFonts w:eastAsia="Times New Roman"/>
                <w:bCs/>
                <w:sz w:val="24"/>
                <w:szCs w:val="24"/>
                <w:lang w:eastAsia="lv-LV"/>
              </w:rPr>
              <w:t xml:space="preserve"> biroja dalībnieks. Norādāms, ka piekrišanas mērķis ir nodrošināt jaundibinātā vai pastāvošā zvērināta notār</w:t>
            </w:r>
            <w:r w:rsidR="00AE3292">
              <w:rPr>
                <w:rFonts w:eastAsia="Times New Roman"/>
                <w:bCs/>
                <w:sz w:val="24"/>
                <w:szCs w:val="24"/>
                <w:lang w:eastAsia="lv-LV"/>
              </w:rPr>
              <w:t>a</w:t>
            </w:r>
            <w:r w:rsidRPr="00AF5F2E">
              <w:rPr>
                <w:rFonts w:eastAsia="Times New Roman"/>
                <w:bCs/>
                <w:sz w:val="24"/>
                <w:szCs w:val="24"/>
                <w:lang w:eastAsia="lv-LV"/>
              </w:rPr>
              <w:t xml:space="preserve"> biroja atbilstību Notariāta likuma prasībām. Kamēr zvērināt</w:t>
            </w:r>
            <w:r w:rsidR="00AE3292">
              <w:rPr>
                <w:rFonts w:eastAsia="Times New Roman"/>
                <w:bCs/>
                <w:sz w:val="24"/>
                <w:szCs w:val="24"/>
                <w:lang w:eastAsia="lv-LV"/>
              </w:rPr>
              <w:t>a</w:t>
            </w:r>
            <w:r w:rsidRPr="00AF5F2E">
              <w:rPr>
                <w:rFonts w:eastAsia="Times New Roman"/>
                <w:bCs/>
                <w:sz w:val="24"/>
                <w:szCs w:val="24"/>
                <w:lang w:eastAsia="lv-LV"/>
              </w:rPr>
              <w:t xml:space="preserve"> notār</w:t>
            </w:r>
            <w:r w:rsidR="00AE3292">
              <w:rPr>
                <w:rFonts w:eastAsia="Times New Roman"/>
                <w:bCs/>
                <w:sz w:val="24"/>
                <w:szCs w:val="24"/>
                <w:lang w:eastAsia="lv-LV"/>
              </w:rPr>
              <w:t>a</w:t>
            </w:r>
            <w:r w:rsidRPr="00AF5F2E">
              <w:rPr>
                <w:rFonts w:eastAsia="Times New Roman"/>
                <w:bCs/>
                <w:sz w:val="24"/>
                <w:szCs w:val="24"/>
                <w:lang w:eastAsia="lv-LV"/>
              </w:rPr>
              <w:t xml:space="preserve"> birojs eksistē, tikmēr Padomei ir jābūt informētai par jebkurām izmaiņām zvērināta notār</w:t>
            </w:r>
            <w:r w:rsidR="00AE3292">
              <w:rPr>
                <w:rFonts w:eastAsia="Times New Roman"/>
                <w:bCs/>
                <w:sz w:val="24"/>
                <w:szCs w:val="24"/>
                <w:lang w:eastAsia="lv-LV"/>
              </w:rPr>
              <w:t>a</w:t>
            </w:r>
            <w:r w:rsidRPr="00AF5F2E">
              <w:rPr>
                <w:rFonts w:eastAsia="Times New Roman"/>
                <w:bCs/>
                <w:sz w:val="24"/>
                <w:szCs w:val="24"/>
                <w:lang w:eastAsia="lv-LV"/>
              </w:rPr>
              <w:t xml:space="preserve"> birojā, ja ziņas par tām ir ierakstāmas komercreģistrā vai tās skar citus būtiskus aspektus, piemēram, mainās zvērināta notār</w:t>
            </w:r>
            <w:r w:rsidR="00192ACB">
              <w:rPr>
                <w:rFonts w:eastAsia="Times New Roman"/>
                <w:bCs/>
                <w:sz w:val="24"/>
                <w:szCs w:val="24"/>
                <w:lang w:eastAsia="lv-LV"/>
              </w:rPr>
              <w:t>a</w:t>
            </w:r>
            <w:r w:rsidRPr="00AF5F2E">
              <w:rPr>
                <w:rFonts w:eastAsia="Times New Roman"/>
                <w:bCs/>
                <w:sz w:val="24"/>
                <w:szCs w:val="24"/>
                <w:lang w:eastAsia="lv-LV"/>
              </w:rPr>
              <w:t xml:space="preserve"> biroja dalībnieki.</w:t>
            </w:r>
          </w:p>
          <w:p w14:paraId="0BC8FB40" w14:textId="79098045" w:rsidR="00AF5F2E" w:rsidRDefault="00AF5F2E" w:rsidP="00AF5F2E">
            <w:pPr>
              <w:spacing w:after="0" w:line="240" w:lineRule="auto"/>
              <w:jc w:val="both"/>
              <w:rPr>
                <w:rFonts w:eastAsia="Times New Roman"/>
                <w:bCs/>
                <w:sz w:val="24"/>
                <w:szCs w:val="24"/>
                <w:lang w:eastAsia="lv-LV"/>
              </w:rPr>
            </w:pPr>
            <w:r w:rsidRPr="00AF5F2E">
              <w:rPr>
                <w:rFonts w:eastAsia="Times New Roman"/>
                <w:bCs/>
                <w:sz w:val="24"/>
                <w:szCs w:val="24"/>
                <w:lang w:eastAsia="lv-LV"/>
              </w:rPr>
              <w:t>Norādāms, ka komercreģistra iestāde pēc Padomes piekrišanas saņemšanas vairs neveiks pārbaudi par tām ziņām, kas var būt par pamatu Padomes lēmumam par atteikumu dot piekrišanu, proti, zvērināta notār</w:t>
            </w:r>
            <w:r w:rsidR="00192ACB">
              <w:rPr>
                <w:rFonts w:eastAsia="Times New Roman"/>
                <w:bCs/>
                <w:sz w:val="24"/>
                <w:szCs w:val="24"/>
                <w:lang w:eastAsia="lv-LV"/>
              </w:rPr>
              <w:t>a</w:t>
            </w:r>
            <w:r w:rsidRPr="00AF5F2E">
              <w:rPr>
                <w:rFonts w:eastAsia="Times New Roman"/>
                <w:bCs/>
                <w:sz w:val="24"/>
                <w:szCs w:val="24"/>
                <w:lang w:eastAsia="lv-LV"/>
              </w:rPr>
              <w:t xml:space="preserve"> biroja dalībnieku, izpildinstitūcijas locekļu un padomes locekļu sastāva atbilstību Notariāta likumam, zvērināta notār</w:t>
            </w:r>
            <w:r w:rsidR="00192ACB">
              <w:rPr>
                <w:rFonts w:eastAsia="Times New Roman"/>
                <w:bCs/>
                <w:sz w:val="24"/>
                <w:szCs w:val="24"/>
                <w:lang w:eastAsia="lv-LV"/>
              </w:rPr>
              <w:t>a</w:t>
            </w:r>
            <w:r w:rsidRPr="00AF5F2E">
              <w:rPr>
                <w:rFonts w:eastAsia="Times New Roman"/>
                <w:bCs/>
                <w:sz w:val="24"/>
                <w:szCs w:val="24"/>
                <w:lang w:eastAsia="lv-LV"/>
              </w:rPr>
              <w:t xml:space="preserve"> biroja dalībnieku piederību tikai vienam zvērināta notār</w:t>
            </w:r>
            <w:r w:rsidR="00192ACB">
              <w:rPr>
                <w:rFonts w:eastAsia="Times New Roman"/>
                <w:bCs/>
                <w:sz w:val="24"/>
                <w:szCs w:val="24"/>
                <w:lang w:eastAsia="lv-LV"/>
              </w:rPr>
              <w:t>a</w:t>
            </w:r>
            <w:r w:rsidRPr="00AF5F2E">
              <w:rPr>
                <w:rFonts w:eastAsia="Times New Roman"/>
                <w:bCs/>
                <w:sz w:val="24"/>
                <w:szCs w:val="24"/>
                <w:lang w:eastAsia="lv-LV"/>
              </w:rPr>
              <w:t xml:space="preserve"> birojam, zvērināta notār</w:t>
            </w:r>
            <w:r w:rsidR="00192ACB">
              <w:rPr>
                <w:rFonts w:eastAsia="Times New Roman"/>
                <w:bCs/>
                <w:sz w:val="24"/>
                <w:szCs w:val="24"/>
                <w:lang w:eastAsia="lv-LV"/>
              </w:rPr>
              <w:t>a</w:t>
            </w:r>
            <w:r w:rsidRPr="00AF5F2E">
              <w:rPr>
                <w:rFonts w:eastAsia="Times New Roman"/>
                <w:bCs/>
                <w:sz w:val="24"/>
                <w:szCs w:val="24"/>
                <w:lang w:eastAsia="lv-LV"/>
              </w:rPr>
              <w:t xml:space="preserve"> biroja tiesiskās formas atbilstību Notariāta likuma prasībām un zvērināta notār</w:t>
            </w:r>
            <w:r w:rsidR="00192ACB">
              <w:rPr>
                <w:rFonts w:eastAsia="Times New Roman"/>
                <w:bCs/>
                <w:sz w:val="24"/>
                <w:szCs w:val="24"/>
                <w:lang w:eastAsia="lv-LV"/>
              </w:rPr>
              <w:t>a</w:t>
            </w:r>
            <w:r w:rsidRPr="00AF5F2E">
              <w:rPr>
                <w:rFonts w:eastAsia="Times New Roman"/>
                <w:bCs/>
                <w:sz w:val="24"/>
                <w:szCs w:val="24"/>
                <w:lang w:eastAsia="lv-LV"/>
              </w:rPr>
              <w:t xml:space="preserve"> biroja statūtu, dibināšanas līguma, dibināšanas lēmuma atbilstību Notariāta likuma prasībām. Tādā veidā netiks dublēta Padomes funkcija un komercreģistra iestādei netiks radīts papildu administratīvais slogs un papildu finansiālās izmaksas. Komercreģistra iestāde veiks visas pārbaudes, ko tā saskaņā ar normatīvajiem aktiem veic attiecībā uz jebkuru komersantu un kas izriet no Komerclikuma, likuma "Par Latvijas Republikas Uzņēmumu reģistru" un citu normatīvo aktu prasībām.</w:t>
            </w:r>
          </w:p>
          <w:p w14:paraId="2501440B" w14:textId="1277C17A" w:rsidR="00535B38" w:rsidRPr="00F61E12" w:rsidRDefault="00484C27" w:rsidP="00535B38">
            <w:pPr>
              <w:spacing w:after="0" w:line="240" w:lineRule="auto"/>
              <w:jc w:val="both"/>
              <w:rPr>
                <w:rFonts w:eastAsia="Times New Roman"/>
                <w:sz w:val="24"/>
                <w:szCs w:val="24"/>
              </w:rPr>
            </w:pPr>
            <w:r w:rsidRPr="00F61E12">
              <w:rPr>
                <w:rFonts w:eastAsia="Times New Roman"/>
                <w:bCs/>
                <w:sz w:val="24"/>
                <w:szCs w:val="24"/>
                <w:lang w:eastAsia="lv-LV"/>
              </w:rPr>
              <w:t xml:space="preserve">Likumprojekta pārejas noteikumos tiek noteikts, ka </w:t>
            </w:r>
            <w:r w:rsidR="00DC0EDE" w:rsidRPr="00F61E12">
              <w:rPr>
                <w:rFonts w:eastAsia="Times New Roman"/>
                <w:bCs/>
                <w:sz w:val="24"/>
                <w:szCs w:val="24"/>
                <w:lang w:eastAsia="lv-LV"/>
              </w:rPr>
              <w:t>VID</w:t>
            </w:r>
            <w:r w:rsidRPr="00F61E12">
              <w:rPr>
                <w:rFonts w:eastAsia="Times New Roman"/>
                <w:bCs/>
                <w:sz w:val="24"/>
                <w:szCs w:val="24"/>
                <w:lang w:eastAsia="lv-LV"/>
              </w:rPr>
              <w:t xml:space="preserve"> šobrīd reģistrētie zvērināta notāra biroji pirms veido birojus kā sabiedrības ar ierobežotu atbildību un reģistrē komercreģistrā, ir izslēdzami no </w:t>
            </w:r>
            <w:r w:rsidR="00237152" w:rsidRPr="00F61E12">
              <w:rPr>
                <w:rFonts w:eastAsia="Times New Roman"/>
                <w:bCs/>
                <w:sz w:val="24"/>
                <w:szCs w:val="24"/>
                <w:lang w:eastAsia="lv-LV"/>
              </w:rPr>
              <w:t>VID</w:t>
            </w:r>
            <w:r w:rsidRPr="00F61E12">
              <w:rPr>
                <w:rFonts w:eastAsia="Times New Roman"/>
                <w:bCs/>
                <w:sz w:val="24"/>
                <w:szCs w:val="24"/>
                <w:lang w:eastAsia="lv-LV"/>
              </w:rPr>
              <w:t xml:space="preserve"> nodokļu maksātāju reģistra.</w:t>
            </w:r>
            <w:r w:rsidR="00972063" w:rsidRPr="00F61E12">
              <w:rPr>
                <w:rFonts w:eastAsia="Times New Roman"/>
                <w:bCs/>
                <w:sz w:val="24"/>
                <w:szCs w:val="24"/>
                <w:lang w:eastAsia="lv-LV"/>
              </w:rPr>
              <w:t xml:space="preserve"> </w:t>
            </w:r>
            <w:r w:rsidR="00972063" w:rsidRPr="00F61E12">
              <w:rPr>
                <w:rFonts w:eastAsia="Times New Roman"/>
                <w:sz w:val="24"/>
                <w:szCs w:val="24"/>
              </w:rPr>
              <w:t xml:space="preserve">Zvērinātam notāram, kurš savu biroju reģistrējis </w:t>
            </w:r>
            <w:r w:rsidR="00EF0408" w:rsidRPr="00F61E12">
              <w:rPr>
                <w:rFonts w:eastAsia="Times New Roman"/>
                <w:sz w:val="24"/>
                <w:szCs w:val="24"/>
                <w:lang w:eastAsia="lv-LV"/>
              </w:rPr>
              <w:t>VID</w:t>
            </w:r>
            <w:r w:rsidR="00972063" w:rsidRPr="00F61E12">
              <w:rPr>
                <w:rFonts w:eastAsia="Times New Roman"/>
                <w:sz w:val="24"/>
                <w:szCs w:val="24"/>
                <w:lang w:eastAsia="lv-LV"/>
              </w:rPr>
              <w:t xml:space="preserve"> nodokļu maksātāju reģistrā,</w:t>
            </w:r>
            <w:r w:rsidR="00972063" w:rsidRPr="00F61E12">
              <w:rPr>
                <w:rFonts w:eastAsia="Times New Roman"/>
                <w:sz w:val="24"/>
                <w:szCs w:val="24"/>
              </w:rPr>
              <w:t xml:space="preserve"> sešu mēnešu būs jāiesniedz pieteikums komercreģistrā, ievērojot Notariāta likuma prasības</w:t>
            </w:r>
            <w:r w:rsidR="00972063" w:rsidRPr="00F61E12">
              <w:rPr>
                <w:rFonts w:eastAsia="Times New Roman"/>
                <w:sz w:val="24"/>
                <w:szCs w:val="24"/>
                <w:lang w:eastAsia="lv-LV"/>
              </w:rPr>
              <w:t>.</w:t>
            </w:r>
            <w:r w:rsidR="00972063" w:rsidRPr="00F61E12">
              <w:rPr>
                <w:rFonts w:eastAsia="Times New Roman"/>
                <w:sz w:val="24"/>
                <w:szCs w:val="24"/>
              </w:rPr>
              <w:t xml:space="preserve"> Komercreģistrā reģistrētais zvērināta notāra birojs būs tā zvērināta notāra biroja tiesību un saistību pārņēmējs, kurš bija izveidots līdz dienai, kad stājās spēkā grozījumi šā likuma 245.</w:t>
            </w:r>
            <w:r w:rsidR="00EF0408" w:rsidRPr="00F61E12">
              <w:rPr>
                <w:rFonts w:eastAsia="Times New Roman"/>
                <w:sz w:val="24"/>
                <w:szCs w:val="24"/>
              </w:rPr>
              <w:t> </w:t>
            </w:r>
            <w:r w:rsidR="00972063" w:rsidRPr="00F61E12">
              <w:rPr>
                <w:rFonts w:eastAsia="Times New Roman"/>
                <w:sz w:val="24"/>
                <w:szCs w:val="24"/>
              </w:rPr>
              <w:t xml:space="preserve">pantā. Ja zvērināts notārs, kurš savu biroju reģistrējis </w:t>
            </w:r>
            <w:r w:rsidR="00EF0408" w:rsidRPr="00F61E12">
              <w:rPr>
                <w:rFonts w:eastAsia="Times New Roman"/>
                <w:sz w:val="24"/>
                <w:szCs w:val="24"/>
                <w:lang w:eastAsia="lv-LV"/>
              </w:rPr>
              <w:t>VID</w:t>
            </w:r>
            <w:r w:rsidR="00972063" w:rsidRPr="00F61E12">
              <w:rPr>
                <w:rFonts w:eastAsia="Times New Roman"/>
                <w:sz w:val="24"/>
                <w:szCs w:val="24"/>
                <w:lang w:eastAsia="lv-LV"/>
              </w:rPr>
              <w:t xml:space="preserve"> nodokļu maksātāju reģistrā, </w:t>
            </w:r>
            <w:r w:rsidR="00535B38" w:rsidRPr="00F61E12">
              <w:rPr>
                <w:rFonts w:eastAsia="Times New Roman"/>
                <w:sz w:val="24"/>
                <w:szCs w:val="24"/>
              </w:rPr>
              <w:t>iepriekš minētajā</w:t>
            </w:r>
            <w:r w:rsidR="00972063" w:rsidRPr="00F61E12">
              <w:rPr>
                <w:rFonts w:eastAsia="Times New Roman"/>
                <w:sz w:val="24"/>
                <w:szCs w:val="24"/>
              </w:rPr>
              <w:t xml:space="preserve"> termiņā n</w:t>
            </w:r>
            <w:r w:rsidR="00535B38" w:rsidRPr="00F61E12">
              <w:rPr>
                <w:rFonts w:eastAsia="Times New Roman"/>
                <w:sz w:val="24"/>
                <w:szCs w:val="24"/>
              </w:rPr>
              <w:t>ebūs</w:t>
            </w:r>
            <w:r w:rsidR="00972063" w:rsidRPr="00F61E12">
              <w:rPr>
                <w:rFonts w:eastAsia="Times New Roman"/>
                <w:sz w:val="24"/>
                <w:szCs w:val="24"/>
              </w:rPr>
              <w:t xml:space="preserve"> vērsies </w:t>
            </w:r>
            <w:r w:rsidR="00EF0408" w:rsidRPr="00F61E12">
              <w:rPr>
                <w:rFonts w:eastAsia="Times New Roman"/>
                <w:sz w:val="24"/>
                <w:szCs w:val="24"/>
              </w:rPr>
              <w:t>Padomē</w:t>
            </w:r>
            <w:r w:rsidR="00972063" w:rsidRPr="00F61E12">
              <w:rPr>
                <w:rFonts w:eastAsia="Times New Roman"/>
                <w:sz w:val="24"/>
                <w:szCs w:val="24"/>
              </w:rPr>
              <w:t xml:space="preserve"> piekrišanas saņemšanai zvērināta notāra biroja reģistrēšanai komercreģistrā,</w:t>
            </w:r>
            <w:r w:rsidR="00535B38" w:rsidRPr="00F61E12">
              <w:rPr>
                <w:rFonts w:eastAsia="Times New Roman"/>
                <w:sz w:val="24"/>
                <w:szCs w:val="24"/>
              </w:rPr>
              <w:t xml:space="preserve"> </w:t>
            </w:r>
            <w:r w:rsidR="00E050CD" w:rsidRPr="00F61E12">
              <w:rPr>
                <w:rFonts w:eastAsia="Times New Roman"/>
                <w:sz w:val="24"/>
                <w:szCs w:val="24"/>
              </w:rPr>
              <w:t>P</w:t>
            </w:r>
            <w:r w:rsidR="00972063" w:rsidRPr="00F61E12">
              <w:rPr>
                <w:rFonts w:eastAsia="Times New Roman"/>
                <w:sz w:val="24"/>
                <w:szCs w:val="24"/>
              </w:rPr>
              <w:t>adome pieņem</w:t>
            </w:r>
            <w:r w:rsidR="00535B38" w:rsidRPr="00F61E12">
              <w:rPr>
                <w:rFonts w:eastAsia="Times New Roman"/>
                <w:sz w:val="24"/>
                <w:szCs w:val="24"/>
              </w:rPr>
              <w:t>s</w:t>
            </w:r>
            <w:r w:rsidR="00972063" w:rsidRPr="00F61E12">
              <w:rPr>
                <w:rFonts w:eastAsia="Times New Roman"/>
                <w:sz w:val="24"/>
                <w:szCs w:val="24"/>
              </w:rPr>
              <w:t xml:space="preserve"> lēmumu par tā tiesībspējas zaudēšanu un triju darba dienu laikā to nosūt</w:t>
            </w:r>
            <w:r w:rsidR="00535B38" w:rsidRPr="00F61E12">
              <w:rPr>
                <w:rFonts w:eastAsia="Times New Roman"/>
                <w:sz w:val="24"/>
                <w:szCs w:val="24"/>
              </w:rPr>
              <w:t>īs</w:t>
            </w:r>
            <w:r w:rsidR="00972063" w:rsidRPr="00F61E12">
              <w:rPr>
                <w:rFonts w:eastAsia="Times New Roman"/>
                <w:sz w:val="24"/>
                <w:szCs w:val="24"/>
              </w:rPr>
              <w:t xml:space="preserve"> </w:t>
            </w:r>
            <w:r w:rsidR="00E050CD" w:rsidRPr="00F61E12">
              <w:rPr>
                <w:rFonts w:eastAsia="Times New Roman"/>
                <w:sz w:val="24"/>
                <w:szCs w:val="24"/>
              </w:rPr>
              <w:t>VID</w:t>
            </w:r>
            <w:r w:rsidR="00972063" w:rsidRPr="00F61E12">
              <w:rPr>
                <w:rFonts w:eastAsia="Times New Roman"/>
                <w:sz w:val="24"/>
                <w:szCs w:val="24"/>
              </w:rPr>
              <w:t xml:space="preserve">. </w:t>
            </w:r>
            <w:r w:rsidR="00E050CD" w:rsidRPr="00F61E12">
              <w:rPr>
                <w:rFonts w:eastAsia="Times New Roman"/>
                <w:sz w:val="24"/>
                <w:szCs w:val="24"/>
              </w:rPr>
              <w:t>VID</w:t>
            </w:r>
            <w:r w:rsidR="00972063" w:rsidRPr="00F61E12">
              <w:rPr>
                <w:rFonts w:eastAsia="Times New Roman"/>
                <w:sz w:val="24"/>
                <w:szCs w:val="24"/>
              </w:rPr>
              <w:t xml:space="preserve">, pamatojoties uz </w:t>
            </w:r>
            <w:r w:rsidR="00E050CD" w:rsidRPr="00F61E12">
              <w:rPr>
                <w:rFonts w:eastAsia="Times New Roman"/>
                <w:sz w:val="24"/>
                <w:szCs w:val="24"/>
              </w:rPr>
              <w:t>P</w:t>
            </w:r>
            <w:r w:rsidR="00972063" w:rsidRPr="00F61E12">
              <w:rPr>
                <w:rFonts w:eastAsia="Times New Roman"/>
                <w:sz w:val="24"/>
                <w:szCs w:val="24"/>
              </w:rPr>
              <w:t>adomes lēmumu, izslē</w:t>
            </w:r>
            <w:r w:rsidR="00535B38" w:rsidRPr="00F61E12">
              <w:rPr>
                <w:rFonts w:eastAsia="Times New Roman"/>
                <w:sz w:val="24"/>
                <w:szCs w:val="24"/>
              </w:rPr>
              <w:t>gs</w:t>
            </w:r>
            <w:r w:rsidR="00972063" w:rsidRPr="00F61E12">
              <w:rPr>
                <w:rFonts w:eastAsia="Times New Roman"/>
                <w:sz w:val="24"/>
                <w:szCs w:val="24"/>
              </w:rPr>
              <w:t xml:space="preserve"> </w:t>
            </w:r>
            <w:r w:rsidR="00972063" w:rsidRPr="00F61E12">
              <w:rPr>
                <w:rFonts w:eastAsia="Times New Roman"/>
                <w:sz w:val="24"/>
                <w:szCs w:val="24"/>
              </w:rPr>
              <w:lastRenderedPageBreak/>
              <w:t xml:space="preserve">zvērināta notāra biroju no </w:t>
            </w:r>
            <w:r w:rsidR="00E050CD" w:rsidRPr="00F61E12">
              <w:rPr>
                <w:rFonts w:eastAsia="Times New Roman"/>
                <w:sz w:val="24"/>
                <w:szCs w:val="24"/>
              </w:rPr>
              <w:t>VID</w:t>
            </w:r>
            <w:r w:rsidR="00972063" w:rsidRPr="00F61E12">
              <w:rPr>
                <w:rFonts w:eastAsia="Times New Roman"/>
                <w:sz w:val="24"/>
                <w:szCs w:val="24"/>
              </w:rPr>
              <w:t xml:space="preserve"> nodokļu maksātāju reģistra. Ja zvērināta notāra birojs </w:t>
            </w:r>
            <w:r w:rsidR="00535B38" w:rsidRPr="00F61E12">
              <w:rPr>
                <w:rFonts w:eastAsia="Times New Roman"/>
                <w:sz w:val="24"/>
                <w:szCs w:val="24"/>
              </w:rPr>
              <w:t>Notariāta likuma</w:t>
            </w:r>
            <w:r w:rsidR="00972063" w:rsidRPr="00F61E12">
              <w:rPr>
                <w:rFonts w:eastAsia="Times New Roman"/>
                <w:sz w:val="24"/>
                <w:szCs w:val="24"/>
              </w:rPr>
              <w:t xml:space="preserve"> pārejas noteikumu noteiktajā kārtībā tik</w:t>
            </w:r>
            <w:r w:rsidR="00535B38" w:rsidRPr="00F61E12">
              <w:rPr>
                <w:rFonts w:eastAsia="Times New Roman"/>
                <w:sz w:val="24"/>
                <w:szCs w:val="24"/>
              </w:rPr>
              <w:t>s</w:t>
            </w:r>
            <w:r w:rsidR="00972063" w:rsidRPr="00F61E12">
              <w:rPr>
                <w:rFonts w:eastAsia="Times New Roman"/>
                <w:sz w:val="24"/>
                <w:szCs w:val="24"/>
              </w:rPr>
              <w:t xml:space="preserve"> izslēgts no </w:t>
            </w:r>
            <w:r w:rsidR="00E050CD" w:rsidRPr="00F61E12">
              <w:rPr>
                <w:rFonts w:eastAsia="Times New Roman"/>
                <w:sz w:val="24"/>
                <w:szCs w:val="24"/>
              </w:rPr>
              <w:t xml:space="preserve">VID </w:t>
            </w:r>
            <w:r w:rsidR="00972063" w:rsidRPr="00F61E12">
              <w:rPr>
                <w:rFonts w:eastAsia="Times New Roman"/>
                <w:sz w:val="24"/>
                <w:szCs w:val="24"/>
              </w:rPr>
              <w:t xml:space="preserve">nodokļu maksātāju reģistra, tad par izslēgtā zvērināta notāra biroja nokavētajiem nodokļu maksājumiem atbildīgs </w:t>
            </w:r>
            <w:r w:rsidR="00535B38" w:rsidRPr="00F61E12">
              <w:rPr>
                <w:rFonts w:eastAsia="Times New Roman"/>
                <w:sz w:val="24"/>
                <w:szCs w:val="24"/>
              </w:rPr>
              <w:t xml:space="preserve">būs </w:t>
            </w:r>
            <w:r w:rsidR="00972063" w:rsidRPr="00F61E12">
              <w:rPr>
                <w:rFonts w:eastAsia="Times New Roman"/>
                <w:sz w:val="24"/>
                <w:szCs w:val="24"/>
              </w:rPr>
              <w:t>konkrētais zvērināts notārs</w:t>
            </w:r>
            <w:r w:rsidR="00535B38" w:rsidRPr="00F61E12">
              <w:rPr>
                <w:rFonts w:eastAsia="Times New Roman"/>
                <w:sz w:val="24"/>
                <w:szCs w:val="24"/>
              </w:rPr>
              <w:t xml:space="preserve">, kas biroju bija reģistrējis </w:t>
            </w:r>
            <w:r w:rsidR="00794AB5" w:rsidRPr="00F61E12">
              <w:rPr>
                <w:rFonts w:eastAsia="Times New Roman"/>
                <w:bCs/>
                <w:sz w:val="24"/>
                <w:szCs w:val="24"/>
                <w:lang w:eastAsia="lv-LV"/>
              </w:rPr>
              <w:t>VID</w:t>
            </w:r>
            <w:r w:rsidR="00535B38" w:rsidRPr="00F61E12">
              <w:rPr>
                <w:rFonts w:eastAsia="Times New Roman"/>
                <w:bCs/>
                <w:sz w:val="24"/>
                <w:szCs w:val="24"/>
                <w:lang w:eastAsia="lv-LV"/>
              </w:rPr>
              <w:t xml:space="preserve"> nodokļu maksātāju reģistrā</w:t>
            </w:r>
            <w:r w:rsidR="00972063" w:rsidRPr="00F61E12">
              <w:rPr>
                <w:rFonts w:eastAsia="Times New Roman"/>
                <w:sz w:val="24"/>
                <w:szCs w:val="24"/>
              </w:rPr>
              <w:t>.</w:t>
            </w:r>
          </w:p>
          <w:p w14:paraId="2C7EFA66" w14:textId="0D53B6D6" w:rsidR="00972063" w:rsidRPr="00F61E12" w:rsidRDefault="00794AB5" w:rsidP="00CD5676">
            <w:pPr>
              <w:spacing w:after="0" w:line="240" w:lineRule="auto"/>
              <w:jc w:val="both"/>
              <w:rPr>
                <w:rFonts w:eastAsia="Times New Roman"/>
                <w:bCs/>
                <w:sz w:val="24"/>
                <w:szCs w:val="24"/>
                <w:lang w:eastAsia="lv-LV"/>
              </w:rPr>
            </w:pPr>
            <w:r w:rsidRPr="00F61E12">
              <w:rPr>
                <w:rFonts w:eastAsia="Times New Roman"/>
                <w:color w:val="000000"/>
                <w:sz w:val="24"/>
                <w:szCs w:val="24"/>
              </w:rPr>
              <w:t>Padome</w:t>
            </w:r>
            <w:r w:rsidR="00972063" w:rsidRPr="00F61E12">
              <w:rPr>
                <w:rFonts w:eastAsia="Times New Roman"/>
                <w:color w:val="000000"/>
                <w:sz w:val="24"/>
                <w:szCs w:val="24"/>
              </w:rPr>
              <w:t>, pieņemot lēmumu par piekrišanu reģistrēt zvērināta notāra biroju komercreģistrā, vienlaikus lem</w:t>
            </w:r>
            <w:r w:rsidR="00535B38" w:rsidRPr="00F61E12">
              <w:rPr>
                <w:rFonts w:eastAsia="Times New Roman"/>
                <w:color w:val="000000"/>
                <w:sz w:val="24"/>
                <w:szCs w:val="24"/>
              </w:rPr>
              <w:t>s</w:t>
            </w:r>
            <w:r w:rsidR="00972063" w:rsidRPr="00F61E12">
              <w:rPr>
                <w:rFonts w:eastAsia="Times New Roman"/>
                <w:color w:val="000000"/>
                <w:sz w:val="24"/>
                <w:szCs w:val="24"/>
              </w:rPr>
              <w:t xml:space="preserve"> par tā zvērināta notāra biroja izslēgšanu no </w:t>
            </w:r>
            <w:r w:rsidR="00F35EFB" w:rsidRPr="00F61E12">
              <w:rPr>
                <w:rFonts w:eastAsia="Times New Roman"/>
                <w:color w:val="000000"/>
                <w:sz w:val="24"/>
                <w:szCs w:val="24"/>
              </w:rPr>
              <w:t>VID</w:t>
            </w:r>
            <w:r w:rsidR="00972063" w:rsidRPr="00F61E12">
              <w:rPr>
                <w:rFonts w:eastAsia="Times New Roman"/>
                <w:color w:val="000000"/>
                <w:sz w:val="24"/>
                <w:szCs w:val="24"/>
              </w:rPr>
              <w:t xml:space="preserve"> nodokļu maksātāju reģistra, kurš bija izveidots līdz </w:t>
            </w:r>
            <w:r w:rsidR="00535B38" w:rsidRPr="00F61E12">
              <w:rPr>
                <w:rFonts w:eastAsia="Times New Roman"/>
                <w:color w:val="000000"/>
                <w:sz w:val="24"/>
                <w:szCs w:val="24"/>
              </w:rPr>
              <w:t>Notariāta</w:t>
            </w:r>
            <w:r w:rsidR="00972063" w:rsidRPr="00F61E12">
              <w:rPr>
                <w:rFonts w:eastAsia="Times New Roman"/>
                <w:color w:val="000000"/>
                <w:sz w:val="24"/>
                <w:szCs w:val="24"/>
              </w:rPr>
              <w:t xml:space="preserve"> likuma 245.</w:t>
            </w:r>
            <w:r w:rsidR="00F35EFB" w:rsidRPr="00F61E12">
              <w:rPr>
                <w:rFonts w:eastAsia="Times New Roman"/>
                <w:color w:val="000000"/>
                <w:sz w:val="24"/>
                <w:szCs w:val="24"/>
              </w:rPr>
              <w:t> </w:t>
            </w:r>
            <w:r w:rsidR="00972063" w:rsidRPr="00F61E12">
              <w:rPr>
                <w:rFonts w:eastAsia="Times New Roman"/>
                <w:color w:val="000000"/>
                <w:sz w:val="24"/>
                <w:szCs w:val="24"/>
              </w:rPr>
              <w:t>pant</w:t>
            </w:r>
            <w:r w:rsidR="00535B38" w:rsidRPr="00F61E12">
              <w:rPr>
                <w:rFonts w:eastAsia="Times New Roman"/>
                <w:color w:val="000000"/>
                <w:sz w:val="24"/>
                <w:szCs w:val="24"/>
              </w:rPr>
              <w:t>a grozījumu</w:t>
            </w:r>
            <w:r w:rsidR="00972063" w:rsidRPr="00F61E12">
              <w:rPr>
                <w:rFonts w:eastAsia="Times New Roman"/>
                <w:color w:val="000000"/>
                <w:sz w:val="24"/>
                <w:szCs w:val="24"/>
              </w:rPr>
              <w:t xml:space="preserve"> spēkā stāšanās dienai. </w:t>
            </w:r>
            <w:r w:rsidR="00F35EFB" w:rsidRPr="00F61E12">
              <w:rPr>
                <w:rFonts w:eastAsia="Times New Roman"/>
                <w:color w:val="000000"/>
                <w:sz w:val="24"/>
                <w:szCs w:val="24"/>
              </w:rPr>
              <w:t>P</w:t>
            </w:r>
            <w:r w:rsidR="00972063" w:rsidRPr="00F61E12">
              <w:rPr>
                <w:rFonts w:eastAsia="Times New Roman"/>
                <w:color w:val="000000"/>
                <w:sz w:val="24"/>
                <w:szCs w:val="24"/>
              </w:rPr>
              <w:t>adome triju darba dienu laikā lēmumu nosūt</w:t>
            </w:r>
            <w:r w:rsidR="00535B38" w:rsidRPr="00F61E12">
              <w:rPr>
                <w:rFonts w:eastAsia="Times New Roman"/>
                <w:color w:val="000000"/>
                <w:sz w:val="24"/>
                <w:szCs w:val="24"/>
              </w:rPr>
              <w:t>īs</w:t>
            </w:r>
            <w:r w:rsidR="00972063" w:rsidRPr="00F61E12">
              <w:rPr>
                <w:rFonts w:eastAsia="Times New Roman"/>
                <w:color w:val="000000"/>
                <w:sz w:val="24"/>
                <w:szCs w:val="24"/>
              </w:rPr>
              <w:t xml:space="preserve"> </w:t>
            </w:r>
            <w:r w:rsidR="00F35EFB" w:rsidRPr="00F61E12">
              <w:rPr>
                <w:rFonts w:eastAsia="Times New Roman"/>
                <w:color w:val="000000"/>
                <w:sz w:val="24"/>
                <w:szCs w:val="24"/>
              </w:rPr>
              <w:t>VID, kas</w:t>
            </w:r>
            <w:r w:rsidR="00972063" w:rsidRPr="00F61E12">
              <w:rPr>
                <w:rFonts w:eastAsia="Times New Roman"/>
                <w:color w:val="000000"/>
                <w:sz w:val="24"/>
                <w:szCs w:val="24"/>
              </w:rPr>
              <w:t xml:space="preserve">, pamatojoties </w:t>
            </w:r>
            <w:r w:rsidR="00F61E12" w:rsidRPr="00F61E12">
              <w:rPr>
                <w:rFonts w:eastAsia="Times New Roman"/>
                <w:color w:val="000000"/>
                <w:sz w:val="24"/>
                <w:szCs w:val="24"/>
              </w:rPr>
              <w:t>uz to</w:t>
            </w:r>
            <w:r w:rsidR="00972063" w:rsidRPr="00F61E12">
              <w:rPr>
                <w:rFonts w:eastAsia="Times New Roman"/>
                <w:color w:val="000000"/>
                <w:sz w:val="24"/>
                <w:szCs w:val="24"/>
              </w:rPr>
              <w:t>, izslē</w:t>
            </w:r>
            <w:r w:rsidR="00535B38" w:rsidRPr="00F61E12">
              <w:rPr>
                <w:rFonts w:eastAsia="Times New Roman"/>
                <w:color w:val="000000"/>
                <w:sz w:val="24"/>
                <w:szCs w:val="24"/>
              </w:rPr>
              <w:t>gs</w:t>
            </w:r>
            <w:r w:rsidR="00972063" w:rsidRPr="00F61E12">
              <w:rPr>
                <w:rFonts w:eastAsia="Times New Roman"/>
                <w:color w:val="000000"/>
                <w:sz w:val="24"/>
                <w:szCs w:val="24"/>
              </w:rPr>
              <w:t xml:space="preserve"> zvērināta notāra biroju no </w:t>
            </w:r>
            <w:r w:rsidR="00F61E12" w:rsidRPr="00F61E12">
              <w:rPr>
                <w:rFonts w:eastAsia="Times New Roman"/>
                <w:color w:val="000000"/>
                <w:sz w:val="24"/>
                <w:szCs w:val="24"/>
              </w:rPr>
              <w:t>VID</w:t>
            </w:r>
            <w:r w:rsidR="00972063" w:rsidRPr="00F61E12">
              <w:rPr>
                <w:rFonts w:eastAsia="Times New Roman"/>
                <w:color w:val="000000"/>
                <w:sz w:val="24"/>
                <w:szCs w:val="24"/>
              </w:rPr>
              <w:t xml:space="preserve"> nodokļu maksātāju reģistra.</w:t>
            </w:r>
          </w:p>
          <w:p w14:paraId="385B79CD" w14:textId="38825DEF" w:rsidR="00AF5F2E" w:rsidRPr="00AF5F2E" w:rsidRDefault="00AF5F2E" w:rsidP="00AF5F2E">
            <w:pPr>
              <w:spacing w:after="0" w:line="240" w:lineRule="auto"/>
              <w:jc w:val="both"/>
              <w:rPr>
                <w:rFonts w:eastAsia="Times New Roman"/>
                <w:bCs/>
                <w:sz w:val="24"/>
                <w:szCs w:val="24"/>
                <w:lang w:eastAsia="lv-LV"/>
              </w:rPr>
            </w:pPr>
            <w:r w:rsidRPr="00AF5F2E">
              <w:rPr>
                <w:rFonts w:eastAsia="Times New Roman"/>
                <w:bCs/>
                <w:sz w:val="24"/>
                <w:szCs w:val="24"/>
                <w:lang w:eastAsia="lv-LV"/>
              </w:rPr>
              <w:t>Tā kā zvērināt</w:t>
            </w:r>
            <w:r w:rsidR="00520D7C">
              <w:rPr>
                <w:rFonts w:eastAsia="Times New Roman"/>
                <w:bCs/>
                <w:sz w:val="24"/>
                <w:szCs w:val="24"/>
                <w:lang w:eastAsia="lv-LV"/>
              </w:rPr>
              <w:t>a</w:t>
            </w:r>
            <w:r w:rsidRPr="00AF5F2E">
              <w:rPr>
                <w:rFonts w:eastAsia="Times New Roman"/>
                <w:bCs/>
                <w:sz w:val="24"/>
                <w:szCs w:val="24"/>
                <w:lang w:eastAsia="lv-LV"/>
              </w:rPr>
              <w:t xml:space="preserve"> notār</w:t>
            </w:r>
            <w:r w:rsidR="00520D7C">
              <w:rPr>
                <w:rFonts w:eastAsia="Times New Roman"/>
                <w:bCs/>
                <w:sz w:val="24"/>
                <w:szCs w:val="24"/>
                <w:lang w:eastAsia="lv-LV"/>
              </w:rPr>
              <w:t>a</w:t>
            </w:r>
            <w:r w:rsidRPr="00AF5F2E">
              <w:rPr>
                <w:rFonts w:eastAsia="Times New Roman"/>
                <w:bCs/>
                <w:sz w:val="24"/>
                <w:szCs w:val="24"/>
                <w:lang w:eastAsia="lv-LV"/>
              </w:rPr>
              <w:t xml:space="preserve"> biroja dalībnieki var būt tikai zvērināti notāri, </w:t>
            </w:r>
            <w:r w:rsidR="00BE5D89">
              <w:rPr>
                <w:rFonts w:eastAsia="Times New Roman"/>
                <w:bCs/>
                <w:sz w:val="24"/>
                <w:szCs w:val="24"/>
                <w:lang w:eastAsia="lv-LV"/>
              </w:rPr>
              <w:t>l</w:t>
            </w:r>
            <w:r w:rsidRPr="00AF5F2E">
              <w:rPr>
                <w:rFonts w:eastAsia="Times New Roman"/>
                <w:bCs/>
                <w:sz w:val="24"/>
                <w:szCs w:val="24"/>
                <w:lang w:eastAsia="lv-LV"/>
              </w:rPr>
              <w:t>ikumprojekts paredz, ka zvērināts notārs, kurš praktizē zvērināt</w:t>
            </w:r>
            <w:r w:rsidR="00520D7C">
              <w:rPr>
                <w:rFonts w:eastAsia="Times New Roman"/>
                <w:bCs/>
                <w:sz w:val="24"/>
                <w:szCs w:val="24"/>
                <w:lang w:eastAsia="lv-LV"/>
              </w:rPr>
              <w:t>a</w:t>
            </w:r>
            <w:r w:rsidRPr="00AF5F2E">
              <w:rPr>
                <w:rFonts w:eastAsia="Times New Roman"/>
                <w:bCs/>
                <w:sz w:val="24"/>
                <w:szCs w:val="24"/>
                <w:lang w:eastAsia="lv-LV"/>
              </w:rPr>
              <w:t xml:space="preserve"> notār</w:t>
            </w:r>
            <w:r w:rsidR="00520D7C">
              <w:rPr>
                <w:rFonts w:eastAsia="Times New Roman"/>
                <w:bCs/>
                <w:sz w:val="24"/>
                <w:szCs w:val="24"/>
                <w:lang w:eastAsia="lv-LV"/>
              </w:rPr>
              <w:t>a</w:t>
            </w:r>
            <w:r w:rsidRPr="00AF5F2E">
              <w:rPr>
                <w:rFonts w:eastAsia="Times New Roman"/>
                <w:bCs/>
                <w:sz w:val="24"/>
                <w:szCs w:val="24"/>
                <w:lang w:eastAsia="lv-LV"/>
              </w:rPr>
              <w:t xml:space="preserve"> birojā un Notariāta likumā noteiktajos gadījumos tiek atcelts vai atbrīvots no amata, tad pēc lēmuma spēkā stāšanās faktiski nosaka zvērinātam notāram aizliegumu turpināt darbību birojā kā dalībniekam. Uz minētā lēmuma pamata zvērināt</w:t>
            </w:r>
            <w:r w:rsidR="00520D7C">
              <w:rPr>
                <w:rFonts w:eastAsia="Times New Roman"/>
                <w:bCs/>
                <w:sz w:val="24"/>
                <w:szCs w:val="24"/>
                <w:lang w:eastAsia="lv-LV"/>
              </w:rPr>
              <w:t>a</w:t>
            </w:r>
            <w:r w:rsidRPr="00AF5F2E">
              <w:rPr>
                <w:rFonts w:eastAsia="Times New Roman"/>
                <w:bCs/>
                <w:sz w:val="24"/>
                <w:szCs w:val="24"/>
                <w:lang w:eastAsia="lv-LV"/>
              </w:rPr>
              <w:t xml:space="preserve"> notār</w:t>
            </w:r>
            <w:r w:rsidR="00520D7C">
              <w:rPr>
                <w:rFonts w:eastAsia="Times New Roman"/>
                <w:bCs/>
                <w:sz w:val="24"/>
                <w:szCs w:val="24"/>
                <w:lang w:eastAsia="lv-LV"/>
              </w:rPr>
              <w:t>a</w:t>
            </w:r>
            <w:r w:rsidRPr="00AF5F2E">
              <w:rPr>
                <w:rFonts w:eastAsia="Times New Roman"/>
                <w:bCs/>
                <w:sz w:val="24"/>
                <w:szCs w:val="24"/>
                <w:lang w:eastAsia="lv-LV"/>
              </w:rPr>
              <w:t xml:space="preserve"> biroja pārstāvēt tiesīgai personai, tas ir, valdei atbilstoši Komerclikumā noteiktajam, ir pienākums sagatavot pieteikumu komercreģistra iestādei par izmaiņu veikšanu dalībnieku sastāvā, valdes vai padomes sastāvā.  Vienlaikus jāatzīmē, ka atbilstoši vispārējam regulējumam attiecīgo pieteikumu varēs iesniegt arī pilnvarotā persona. </w:t>
            </w:r>
          </w:p>
          <w:p w14:paraId="285C861D" w14:textId="14709DC4" w:rsidR="00AF5F2E" w:rsidRPr="00AF5F2E" w:rsidRDefault="00AF5F2E" w:rsidP="00AF5F2E">
            <w:pPr>
              <w:spacing w:after="0" w:line="240" w:lineRule="auto"/>
              <w:jc w:val="both"/>
              <w:rPr>
                <w:rFonts w:eastAsia="Times New Roman"/>
                <w:bCs/>
                <w:sz w:val="24"/>
                <w:szCs w:val="24"/>
                <w:lang w:eastAsia="lv-LV"/>
              </w:rPr>
            </w:pPr>
            <w:r w:rsidRPr="00AF5F2E">
              <w:rPr>
                <w:rFonts w:eastAsia="Times New Roman"/>
                <w:bCs/>
                <w:sz w:val="24"/>
                <w:szCs w:val="24"/>
                <w:lang w:eastAsia="lv-LV"/>
              </w:rPr>
              <w:t>Likumprojekts arī noteic noteikumus attiecībā uz zvērināt</w:t>
            </w:r>
            <w:r w:rsidR="00520D7C">
              <w:rPr>
                <w:rFonts w:eastAsia="Times New Roman"/>
                <w:bCs/>
                <w:sz w:val="24"/>
                <w:szCs w:val="24"/>
                <w:lang w:eastAsia="lv-LV"/>
              </w:rPr>
              <w:t>a</w:t>
            </w:r>
            <w:r w:rsidRPr="00AF5F2E">
              <w:rPr>
                <w:rFonts w:eastAsia="Times New Roman"/>
                <w:bCs/>
                <w:sz w:val="24"/>
                <w:szCs w:val="24"/>
                <w:lang w:eastAsia="lv-LV"/>
              </w:rPr>
              <w:t xml:space="preserve"> notār</w:t>
            </w:r>
            <w:r w:rsidR="00520D7C">
              <w:rPr>
                <w:rFonts w:eastAsia="Times New Roman"/>
                <w:bCs/>
                <w:sz w:val="24"/>
                <w:szCs w:val="24"/>
                <w:lang w:eastAsia="lv-LV"/>
              </w:rPr>
              <w:t>a</w:t>
            </w:r>
            <w:r w:rsidRPr="00AF5F2E">
              <w:rPr>
                <w:rFonts w:eastAsia="Times New Roman"/>
                <w:bCs/>
                <w:sz w:val="24"/>
                <w:szCs w:val="24"/>
                <w:lang w:eastAsia="lv-LV"/>
              </w:rPr>
              <w:t xml:space="preserve"> biroju likvidāciju. Zvērināt</w:t>
            </w:r>
            <w:r w:rsidR="00520D7C">
              <w:rPr>
                <w:rFonts w:eastAsia="Times New Roman"/>
                <w:bCs/>
                <w:sz w:val="24"/>
                <w:szCs w:val="24"/>
                <w:lang w:eastAsia="lv-LV"/>
              </w:rPr>
              <w:t>a</w:t>
            </w:r>
            <w:r w:rsidRPr="00AF5F2E">
              <w:rPr>
                <w:rFonts w:eastAsia="Times New Roman"/>
                <w:bCs/>
                <w:sz w:val="24"/>
                <w:szCs w:val="24"/>
                <w:lang w:eastAsia="lv-LV"/>
              </w:rPr>
              <w:t xml:space="preserve"> notār</w:t>
            </w:r>
            <w:r w:rsidR="00520D7C">
              <w:rPr>
                <w:rFonts w:eastAsia="Times New Roman"/>
                <w:bCs/>
                <w:sz w:val="24"/>
                <w:szCs w:val="24"/>
                <w:lang w:eastAsia="lv-LV"/>
              </w:rPr>
              <w:t>a</w:t>
            </w:r>
            <w:r w:rsidRPr="00AF5F2E">
              <w:rPr>
                <w:rFonts w:eastAsia="Times New Roman"/>
                <w:bCs/>
                <w:sz w:val="24"/>
                <w:szCs w:val="24"/>
                <w:lang w:eastAsia="lv-LV"/>
              </w:rPr>
              <w:t xml:space="preserve"> biroja kapitāldaļas atsavina vai biroja darbību izbeidz, ieceļot likvidatoru, pats sabiedrības ar ierobežotu atbildību dalībnieks. Ja tas netiek darīts vai, ja iestājas zvērināta notāra, kurš ir biroja dalībnieks, nāve, lēmumu par sabiedrības izbeigšanu un likvidatora iecelšanu pieņem Padome. </w:t>
            </w:r>
          </w:p>
          <w:p w14:paraId="0091DBCF" w14:textId="3C3D7D07" w:rsidR="00AF5F2E" w:rsidRPr="00AF5F2E" w:rsidRDefault="00AF5F2E" w:rsidP="00AF5F2E">
            <w:pPr>
              <w:spacing w:after="0" w:line="240" w:lineRule="auto"/>
              <w:jc w:val="both"/>
              <w:rPr>
                <w:rFonts w:eastAsia="Times New Roman"/>
                <w:bCs/>
                <w:sz w:val="24"/>
                <w:szCs w:val="24"/>
                <w:lang w:eastAsia="lv-LV"/>
              </w:rPr>
            </w:pPr>
            <w:r w:rsidRPr="00AF5F2E">
              <w:rPr>
                <w:rFonts w:eastAsia="Times New Roman"/>
                <w:bCs/>
                <w:sz w:val="24"/>
                <w:szCs w:val="24"/>
                <w:lang w:eastAsia="lv-LV"/>
              </w:rPr>
              <w:t>Vienlaikus norādāms, ja zvērināta notāra nāves gadījumā pieteiksies mantinieks, tas saskaņā ar Komerclikuma regulējumu saņems atlīdzību atbilstoši likvidācijas kvotai. Zvērināta notāra amats nav mantojams, līdz ar to mantinieks nevarēs kļūt par zvērināta notāra biroja dalībnieku. Ņemot vērā, ka zvērināt</w:t>
            </w:r>
            <w:r w:rsidR="00DB78C8">
              <w:rPr>
                <w:rFonts w:eastAsia="Times New Roman"/>
                <w:bCs/>
                <w:sz w:val="24"/>
                <w:szCs w:val="24"/>
                <w:lang w:eastAsia="lv-LV"/>
              </w:rPr>
              <w:t>a</w:t>
            </w:r>
            <w:r w:rsidRPr="00AF5F2E">
              <w:rPr>
                <w:rFonts w:eastAsia="Times New Roman"/>
                <w:bCs/>
                <w:sz w:val="24"/>
                <w:szCs w:val="24"/>
                <w:lang w:eastAsia="lv-LV"/>
              </w:rPr>
              <w:t xml:space="preserve"> notār</w:t>
            </w:r>
            <w:r w:rsidR="00DB78C8">
              <w:rPr>
                <w:rFonts w:eastAsia="Times New Roman"/>
                <w:bCs/>
                <w:sz w:val="24"/>
                <w:szCs w:val="24"/>
                <w:lang w:eastAsia="lv-LV"/>
              </w:rPr>
              <w:t xml:space="preserve">a </w:t>
            </w:r>
            <w:r w:rsidRPr="00AF5F2E">
              <w:rPr>
                <w:rFonts w:eastAsia="Times New Roman"/>
                <w:bCs/>
                <w:sz w:val="24"/>
                <w:szCs w:val="24"/>
                <w:lang w:eastAsia="lv-LV"/>
              </w:rPr>
              <w:t xml:space="preserve">biroji tiks dibināti kā sabiedrība ar ierobežotu atbildību, kurā kā dibinātāji tiesīgi darboties tikai zvērināti notāri, lai tiktu noregulēts jautājums par nodokļu administrēšanas un atbildības jautājumiem, </w:t>
            </w:r>
            <w:r w:rsidR="00BD194F">
              <w:rPr>
                <w:rFonts w:eastAsia="Times New Roman"/>
                <w:bCs/>
                <w:sz w:val="24"/>
                <w:szCs w:val="24"/>
                <w:lang w:eastAsia="lv-LV"/>
              </w:rPr>
              <w:t>likumprojekts</w:t>
            </w:r>
            <w:r w:rsidRPr="00AF5F2E">
              <w:rPr>
                <w:rFonts w:eastAsia="Times New Roman"/>
                <w:bCs/>
                <w:sz w:val="24"/>
                <w:szCs w:val="24"/>
                <w:lang w:eastAsia="lv-LV"/>
              </w:rPr>
              <w:t xml:space="preserve"> paredz, ka zvērināt</w:t>
            </w:r>
            <w:r w:rsidR="00DB78C8">
              <w:rPr>
                <w:rFonts w:eastAsia="Times New Roman"/>
                <w:bCs/>
                <w:sz w:val="24"/>
                <w:szCs w:val="24"/>
                <w:lang w:eastAsia="lv-LV"/>
              </w:rPr>
              <w:t>a</w:t>
            </w:r>
            <w:r w:rsidRPr="00AF5F2E">
              <w:rPr>
                <w:rFonts w:eastAsia="Times New Roman"/>
                <w:bCs/>
                <w:sz w:val="24"/>
                <w:szCs w:val="24"/>
                <w:lang w:eastAsia="lv-LV"/>
              </w:rPr>
              <w:t xml:space="preserve"> notār</w:t>
            </w:r>
            <w:r w:rsidR="00DB78C8">
              <w:rPr>
                <w:rFonts w:eastAsia="Times New Roman"/>
                <w:bCs/>
                <w:sz w:val="24"/>
                <w:szCs w:val="24"/>
                <w:lang w:eastAsia="lv-LV"/>
              </w:rPr>
              <w:t>a</w:t>
            </w:r>
            <w:r w:rsidRPr="00AF5F2E">
              <w:rPr>
                <w:rFonts w:eastAsia="Times New Roman"/>
                <w:bCs/>
                <w:sz w:val="24"/>
                <w:szCs w:val="24"/>
                <w:lang w:eastAsia="lv-LV"/>
              </w:rPr>
              <w:t xml:space="preserve"> biroja pamatkapitāla daļas ir aizliegts ieķīlāt vai citādāk apgrūtināt ar lietu tiesībām.</w:t>
            </w:r>
          </w:p>
          <w:p w14:paraId="76AA3C6F" w14:textId="74383022" w:rsidR="00AF5F2E" w:rsidRPr="00AF5F2E" w:rsidRDefault="00AF5F2E" w:rsidP="00AF5F2E">
            <w:pPr>
              <w:spacing w:after="0" w:line="240" w:lineRule="auto"/>
              <w:jc w:val="both"/>
              <w:rPr>
                <w:rFonts w:eastAsia="Times New Roman"/>
                <w:bCs/>
                <w:sz w:val="24"/>
                <w:szCs w:val="24"/>
                <w:lang w:eastAsia="lv-LV"/>
              </w:rPr>
            </w:pPr>
            <w:r w:rsidRPr="00AF5F2E">
              <w:rPr>
                <w:rFonts w:eastAsia="Times New Roman"/>
                <w:bCs/>
                <w:sz w:val="24"/>
                <w:szCs w:val="24"/>
                <w:lang w:eastAsia="lv-LV"/>
              </w:rPr>
              <w:t xml:space="preserve">Tāpat norādāms, ka </w:t>
            </w:r>
            <w:r w:rsidR="00B31340">
              <w:rPr>
                <w:rFonts w:eastAsia="Times New Roman"/>
                <w:bCs/>
                <w:sz w:val="24"/>
                <w:szCs w:val="24"/>
                <w:lang w:eastAsia="lv-LV"/>
              </w:rPr>
              <w:t>l</w:t>
            </w:r>
            <w:r w:rsidRPr="00AF5F2E">
              <w:rPr>
                <w:rFonts w:eastAsia="Times New Roman"/>
                <w:bCs/>
                <w:sz w:val="24"/>
                <w:szCs w:val="24"/>
                <w:lang w:eastAsia="lv-LV"/>
              </w:rPr>
              <w:t>ikumprojekts neparedz no komercdarbību regulējošajiem normatīvajiem aktiem atšķirīgu zvērināta notār</w:t>
            </w:r>
            <w:r w:rsidR="00DB78C8">
              <w:rPr>
                <w:rFonts w:eastAsia="Times New Roman"/>
                <w:bCs/>
                <w:sz w:val="24"/>
                <w:szCs w:val="24"/>
                <w:lang w:eastAsia="lv-LV"/>
              </w:rPr>
              <w:t>a</w:t>
            </w:r>
            <w:r w:rsidRPr="00AF5F2E">
              <w:rPr>
                <w:rFonts w:eastAsia="Times New Roman"/>
                <w:bCs/>
                <w:sz w:val="24"/>
                <w:szCs w:val="24"/>
                <w:lang w:eastAsia="lv-LV"/>
              </w:rPr>
              <w:t xml:space="preserve"> biroju reģistrācijas procedūru komercreģistrā, no tā izrietošās pārbaudes un atšķirīgu </w:t>
            </w:r>
            <w:r w:rsidRPr="00AF5F2E">
              <w:rPr>
                <w:rFonts w:eastAsia="Times New Roman"/>
                <w:bCs/>
                <w:sz w:val="24"/>
                <w:szCs w:val="24"/>
                <w:lang w:eastAsia="lv-LV"/>
              </w:rPr>
              <w:lastRenderedPageBreak/>
              <w:t>nodokļu maksātāja reģistrācijas numura (koda) piešķiršanu.  Likumprojekts nav</w:t>
            </w:r>
            <w:r w:rsidR="00B31340">
              <w:rPr>
                <w:rFonts w:eastAsia="Times New Roman"/>
                <w:bCs/>
                <w:sz w:val="24"/>
                <w:szCs w:val="24"/>
                <w:lang w:eastAsia="lv-LV"/>
              </w:rPr>
              <w:t xml:space="preserve"> arī</w:t>
            </w:r>
            <w:r w:rsidRPr="00AF5F2E">
              <w:rPr>
                <w:rFonts w:eastAsia="Times New Roman"/>
                <w:bCs/>
                <w:sz w:val="24"/>
                <w:szCs w:val="24"/>
                <w:lang w:eastAsia="lv-LV"/>
              </w:rPr>
              <w:t xml:space="preserve"> saistīts ar nepieciešamību Uzņēmumu reģistram veidot jaunus informācijas sistēmas saslēgumus vai informācijas nodošanas kanālus Padomei, VID vai citām institūcijām. </w:t>
            </w:r>
          </w:p>
          <w:p w14:paraId="7BDD5CEB" w14:textId="262E3772" w:rsidR="00AF5F2E" w:rsidRPr="00AF5F2E" w:rsidRDefault="00AF5F2E" w:rsidP="00AF5F2E">
            <w:pPr>
              <w:spacing w:after="0" w:line="240" w:lineRule="auto"/>
              <w:jc w:val="both"/>
              <w:rPr>
                <w:rFonts w:eastAsia="Times New Roman"/>
                <w:bCs/>
                <w:sz w:val="24"/>
                <w:szCs w:val="24"/>
                <w:lang w:eastAsia="lv-LV"/>
              </w:rPr>
            </w:pPr>
            <w:r w:rsidRPr="00AF5F2E">
              <w:rPr>
                <w:rFonts w:eastAsia="Times New Roman"/>
                <w:bCs/>
                <w:sz w:val="24"/>
                <w:szCs w:val="24"/>
                <w:lang w:eastAsia="lv-LV"/>
              </w:rPr>
              <w:t>Zvērināts notārs tikai savā saimnieciskā darbībā lietos zvērināt</w:t>
            </w:r>
            <w:r w:rsidR="00EF48BD">
              <w:rPr>
                <w:rFonts w:eastAsia="Times New Roman"/>
                <w:bCs/>
                <w:sz w:val="24"/>
                <w:szCs w:val="24"/>
                <w:lang w:eastAsia="lv-LV"/>
              </w:rPr>
              <w:t>a</w:t>
            </w:r>
            <w:r w:rsidRPr="00AF5F2E">
              <w:rPr>
                <w:rFonts w:eastAsia="Times New Roman"/>
                <w:bCs/>
                <w:sz w:val="24"/>
                <w:szCs w:val="24"/>
                <w:lang w:eastAsia="lv-LV"/>
              </w:rPr>
              <w:t xml:space="preserve"> notār</w:t>
            </w:r>
            <w:r w:rsidR="00EF48BD">
              <w:rPr>
                <w:rFonts w:eastAsia="Times New Roman"/>
                <w:bCs/>
                <w:sz w:val="24"/>
                <w:szCs w:val="24"/>
                <w:lang w:eastAsia="lv-LV"/>
              </w:rPr>
              <w:t>a</w:t>
            </w:r>
            <w:r w:rsidRPr="00AF5F2E">
              <w:rPr>
                <w:rFonts w:eastAsia="Times New Roman"/>
                <w:bCs/>
                <w:sz w:val="24"/>
                <w:szCs w:val="24"/>
                <w:lang w:eastAsia="lv-LV"/>
              </w:rPr>
              <w:t xml:space="preserve"> biroja nosaukumu, kurā papildus lieto apzīmējumu "zvērināt</w:t>
            </w:r>
            <w:r w:rsidR="00EF48BD">
              <w:rPr>
                <w:rFonts w:eastAsia="Times New Roman"/>
                <w:bCs/>
                <w:sz w:val="24"/>
                <w:szCs w:val="24"/>
                <w:lang w:eastAsia="lv-LV"/>
              </w:rPr>
              <w:t>a</w:t>
            </w:r>
            <w:r w:rsidRPr="00AF5F2E">
              <w:rPr>
                <w:rFonts w:eastAsia="Times New Roman"/>
                <w:bCs/>
                <w:sz w:val="24"/>
                <w:szCs w:val="24"/>
                <w:lang w:eastAsia="lv-LV"/>
              </w:rPr>
              <w:t xml:space="preserve"> notār</w:t>
            </w:r>
            <w:r w:rsidR="00EF48BD">
              <w:rPr>
                <w:rFonts w:eastAsia="Times New Roman"/>
                <w:bCs/>
                <w:sz w:val="24"/>
                <w:szCs w:val="24"/>
                <w:lang w:eastAsia="lv-LV"/>
              </w:rPr>
              <w:t>a</w:t>
            </w:r>
            <w:r w:rsidRPr="00AF5F2E">
              <w:rPr>
                <w:rFonts w:eastAsia="Times New Roman"/>
                <w:bCs/>
                <w:sz w:val="24"/>
                <w:szCs w:val="24"/>
                <w:lang w:eastAsia="lv-LV"/>
              </w:rPr>
              <w:t xml:space="preserve"> birojs" vai abreviatūru "ZNB". Tikai zvērināt</w:t>
            </w:r>
            <w:r w:rsidR="00EF48BD">
              <w:rPr>
                <w:rFonts w:eastAsia="Times New Roman"/>
                <w:bCs/>
                <w:sz w:val="24"/>
                <w:szCs w:val="24"/>
                <w:lang w:eastAsia="lv-LV"/>
              </w:rPr>
              <w:t>a</w:t>
            </w:r>
            <w:r w:rsidRPr="00AF5F2E">
              <w:rPr>
                <w:rFonts w:eastAsia="Times New Roman"/>
                <w:bCs/>
                <w:sz w:val="24"/>
                <w:szCs w:val="24"/>
                <w:lang w:eastAsia="lv-LV"/>
              </w:rPr>
              <w:t xml:space="preserve"> notār</w:t>
            </w:r>
            <w:r w:rsidR="00EF48BD">
              <w:rPr>
                <w:rFonts w:eastAsia="Times New Roman"/>
                <w:bCs/>
                <w:sz w:val="24"/>
                <w:szCs w:val="24"/>
                <w:lang w:eastAsia="lv-LV"/>
              </w:rPr>
              <w:t>a</w:t>
            </w:r>
            <w:r w:rsidRPr="00AF5F2E">
              <w:rPr>
                <w:rFonts w:eastAsia="Times New Roman"/>
                <w:bCs/>
                <w:sz w:val="24"/>
                <w:szCs w:val="24"/>
                <w:lang w:eastAsia="lv-LV"/>
              </w:rPr>
              <w:t xml:space="preserve"> birojiem ir tiesības savā nosaukumā lietot minēto apzīmējumu un tā abreviatūru.</w:t>
            </w:r>
          </w:p>
          <w:p w14:paraId="76428CA4" w14:textId="507C178D" w:rsidR="00AF5F2E" w:rsidRPr="00AF5F2E" w:rsidRDefault="00AF5F2E" w:rsidP="00AF5F2E">
            <w:pPr>
              <w:spacing w:after="0" w:line="240" w:lineRule="auto"/>
              <w:jc w:val="both"/>
              <w:rPr>
                <w:rFonts w:eastAsia="Times New Roman"/>
                <w:bCs/>
                <w:sz w:val="24"/>
                <w:szCs w:val="24"/>
                <w:lang w:eastAsia="lv-LV"/>
              </w:rPr>
            </w:pPr>
            <w:r w:rsidRPr="00AF5F2E">
              <w:rPr>
                <w:rFonts w:eastAsia="Times New Roman"/>
                <w:bCs/>
                <w:sz w:val="24"/>
                <w:szCs w:val="24"/>
                <w:lang w:eastAsia="lv-LV"/>
              </w:rPr>
              <w:t>Zvērināts notārs, kas reģistrējies kā pašnodarbināta persona, kārtos savus ieņēmumu un izdevumu uzskaiti kā fiziskas personas, kas veic saimniecisko darbību. Zvērināt</w:t>
            </w:r>
            <w:r w:rsidR="00EF48BD">
              <w:rPr>
                <w:rFonts w:eastAsia="Times New Roman"/>
                <w:bCs/>
                <w:sz w:val="24"/>
                <w:szCs w:val="24"/>
                <w:lang w:eastAsia="lv-LV"/>
              </w:rPr>
              <w:t>a</w:t>
            </w:r>
            <w:r w:rsidRPr="00AF5F2E">
              <w:rPr>
                <w:rFonts w:eastAsia="Times New Roman"/>
                <w:bCs/>
                <w:sz w:val="24"/>
                <w:szCs w:val="24"/>
                <w:lang w:eastAsia="lv-LV"/>
              </w:rPr>
              <w:t xml:space="preserve"> notār</w:t>
            </w:r>
            <w:r w:rsidR="00EF48BD">
              <w:rPr>
                <w:rFonts w:eastAsia="Times New Roman"/>
                <w:bCs/>
                <w:sz w:val="24"/>
                <w:szCs w:val="24"/>
                <w:lang w:eastAsia="lv-LV"/>
              </w:rPr>
              <w:t>a</w:t>
            </w:r>
            <w:r w:rsidRPr="00AF5F2E">
              <w:rPr>
                <w:rFonts w:eastAsia="Times New Roman"/>
                <w:bCs/>
                <w:sz w:val="24"/>
                <w:szCs w:val="24"/>
                <w:lang w:eastAsia="lv-LV"/>
              </w:rPr>
              <w:t xml:space="preserve"> birojs kārtos grāmatvedības uzskaiti atbilstoši normatīvajos aktos noteiktajai kārtībai, kas paredzēta attiecīgai zvērināt</w:t>
            </w:r>
            <w:r w:rsidR="00EF48BD">
              <w:rPr>
                <w:rFonts w:eastAsia="Times New Roman"/>
                <w:bCs/>
                <w:sz w:val="24"/>
                <w:szCs w:val="24"/>
                <w:lang w:eastAsia="lv-LV"/>
              </w:rPr>
              <w:t>a</w:t>
            </w:r>
            <w:r w:rsidRPr="00AF5F2E">
              <w:rPr>
                <w:rFonts w:eastAsia="Times New Roman"/>
                <w:bCs/>
                <w:sz w:val="24"/>
                <w:szCs w:val="24"/>
                <w:lang w:eastAsia="lv-LV"/>
              </w:rPr>
              <w:t xml:space="preserve"> notār</w:t>
            </w:r>
            <w:r w:rsidR="00EF48BD">
              <w:rPr>
                <w:rFonts w:eastAsia="Times New Roman"/>
                <w:bCs/>
                <w:sz w:val="24"/>
                <w:szCs w:val="24"/>
                <w:lang w:eastAsia="lv-LV"/>
              </w:rPr>
              <w:t>a</w:t>
            </w:r>
            <w:r w:rsidRPr="00AF5F2E">
              <w:rPr>
                <w:rFonts w:eastAsia="Times New Roman"/>
                <w:bCs/>
                <w:sz w:val="24"/>
                <w:szCs w:val="24"/>
                <w:lang w:eastAsia="lv-LV"/>
              </w:rPr>
              <w:t xml:space="preserve"> biroja tiesiskajai formai. Uz izveidoto zvērināt</w:t>
            </w:r>
            <w:r w:rsidR="00EF48BD">
              <w:rPr>
                <w:rFonts w:eastAsia="Times New Roman"/>
                <w:bCs/>
                <w:sz w:val="24"/>
                <w:szCs w:val="24"/>
                <w:lang w:eastAsia="lv-LV"/>
              </w:rPr>
              <w:t>a</w:t>
            </w:r>
            <w:r w:rsidRPr="00AF5F2E">
              <w:rPr>
                <w:rFonts w:eastAsia="Times New Roman"/>
                <w:bCs/>
                <w:sz w:val="24"/>
                <w:szCs w:val="24"/>
                <w:lang w:eastAsia="lv-LV"/>
              </w:rPr>
              <w:t xml:space="preserve"> notār</w:t>
            </w:r>
            <w:r w:rsidR="00EF48BD">
              <w:rPr>
                <w:rFonts w:eastAsia="Times New Roman"/>
                <w:bCs/>
                <w:sz w:val="24"/>
                <w:szCs w:val="24"/>
                <w:lang w:eastAsia="lv-LV"/>
              </w:rPr>
              <w:t>a</w:t>
            </w:r>
            <w:r w:rsidRPr="00AF5F2E">
              <w:rPr>
                <w:rFonts w:eastAsia="Times New Roman"/>
                <w:bCs/>
                <w:sz w:val="24"/>
                <w:szCs w:val="24"/>
                <w:lang w:eastAsia="lv-LV"/>
              </w:rPr>
              <w:t xml:space="preserve"> biroju tiks attiecināti visi normatīvie akti par grāmatvedības uzskaiti un nodokļiem, kuri attiecas uz komercsabiedrībām, kā arī saistoši visi normatīvie akti, kas regulē darba tiesiskās attiecības.</w:t>
            </w:r>
          </w:p>
          <w:p w14:paraId="721A77B8" w14:textId="7B6261FF" w:rsidR="00AF5F2E" w:rsidRPr="00AF5F2E" w:rsidRDefault="00AF5F2E" w:rsidP="00AF5F2E">
            <w:pPr>
              <w:spacing w:after="0" w:line="240" w:lineRule="auto"/>
              <w:jc w:val="both"/>
              <w:rPr>
                <w:rFonts w:eastAsia="Times New Roman"/>
                <w:bCs/>
                <w:sz w:val="24"/>
                <w:szCs w:val="24"/>
                <w:lang w:eastAsia="lv-LV"/>
              </w:rPr>
            </w:pPr>
            <w:r w:rsidRPr="00AF5F2E">
              <w:rPr>
                <w:rFonts w:eastAsia="Times New Roman"/>
                <w:bCs/>
                <w:sz w:val="24"/>
                <w:szCs w:val="24"/>
                <w:lang w:eastAsia="lv-LV"/>
              </w:rPr>
              <w:t>Likumprojekts paredz, ka zvērināt</w:t>
            </w:r>
            <w:r w:rsidR="00EF48BD">
              <w:rPr>
                <w:rFonts w:eastAsia="Times New Roman"/>
                <w:bCs/>
                <w:sz w:val="24"/>
                <w:szCs w:val="24"/>
                <w:lang w:eastAsia="lv-LV"/>
              </w:rPr>
              <w:t>a</w:t>
            </w:r>
            <w:r w:rsidRPr="00AF5F2E">
              <w:rPr>
                <w:rFonts w:eastAsia="Times New Roman"/>
                <w:bCs/>
                <w:sz w:val="24"/>
                <w:szCs w:val="24"/>
                <w:lang w:eastAsia="lv-LV"/>
              </w:rPr>
              <w:t xml:space="preserve"> notār</w:t>
            </w:r>
            <w:r w:rsidR="00EF48BD">
              <w:rPr>
                <w:rFonts w:eastAsia="Times New Roman"/>
                <w:bCs/>
                <w:sz w:val="24"/>
                <w:szCs w:val="24"/>
                <w:lang w:eastAsia="lv-LV"/>
              </w:rPr>
              <w:t>a</w:t>
            </w:r>
            <w:r w:rsidRPr="00AF5F2E">
              <w:rPr>
                <w:rFonts w:eastAsia="Times New Roman"/>
                <w:bCs/>
                <w:sz w:val="24"/>
                <w:szCs w:val="24"/>
                <w:lang w:eastAsia="lv-LV"/>
              </w:rPr>
              <w:t xml:space="preserve"> birojā praktizē zvērināts notārs vai zvērināti notāri, kas ir attiecīgā zvērināt</w:t>
            </w:r>
            <w:r w:rsidR="00EF48BD">
              <w:rPr>
                <w:rFonts w:eastAsia="Times New Roman"/>
                <w:bCs/>
                <w:sz w:val="24"/>
                <w:szCs w:val="24"/>
                <w:lang w:eastAsia="lv-LV"/>
              </w:rPr>
              <w:t>a</w:t>
            </w:r>
            <w:r w:rsidRPr="00AF5F2E">
              <w:rPr>
                <w:rFonts w:eastAsia="Times New Roman"/>
                <w:bCs/>
                <w:sz w:val="24"/>
                <w:szCs w:val="24"/>
                <w:lang w:eastAsia="lv-LV"/>
              </w:rPr>
              <w:t xml:space="preserve"> notār</w:t>
            </w:r>
            <w:r w:rsidR="00EF48BD">
              <w:rPr>
                <w:rFonts w:eastAsia="Times New Roman"/>
                <w:bCs/>
                <w:sz w:val="24"/>
                <w:szCs w:val="24"/>
                <w:lang w:eastAsia="lv-LV"/>
              </w:rPr>
              <w:t>a</w:t>
            </w:r>
            <w:r w:rsidRPr="00AF5F2E">
              <w:rPr>
                <w:rFonts w:eastAsia="Times New Roman"/>
                <w:bCs/>
                <w:sz w:val="24"/>
                <w:szCs w:val="24"/>
                <w:lang w:eastAsia="lv-LV"/>
              </w:rPr>
              <w:t xml:space="preserve"> biroja dalībnieki. Zvērināt</w:t>
            </w:r>
            <w:r w:rsidR="00EF48BD">
              <w:rPr>
                <w:rFonts w:eastAsia="Times New Roman"/>
                <w:bCs/>
                <w:sz w:val="24"/>
                <w:szCs w:val="24"/>
                <w:lang w:eastAsia="lv-LV"/>
              </w:rPr>
              <w:t>a</w:t>
            </w:r>
            <w:r w:rsidRPr="00AF5F2E">
              <w:rPr>
                <w:rFonts w:eastAsia="Times New Roman"/>
                <w:bCs/>
                <w:sz w:val="24"/>
                <w:szCs w:val="24"/>
                <w:lang w:eastAsia="lv-LV"/>
              </w:rPr>
              <w:t xml:space="preserve"> notār</w:t>
            </w:r>
            <w:r w:rsidR="00EF48BD">
              <w:rPr>
                <w:rFonts w:eastAsia="Times New Roman"/>
                <w:bCs/>
                <w:sz w:val="24"/>
                <w:szCs w:val="24"/>
                <w:lang w:eastAsia="lv-LV"/>
              </w:rPr>
              <w:t>a</w:t>
            </w:r>
            <w:r w:rsidRPr="00AF5F2E">
              <w:rPr>
                <w:rFonts w:eastAsia="Times New Roman"/>
                <w:bCs/>
                <w:sz w:val="24"/>
                <w:szCs w:val="24"/>
                <w:lang w:eastAsia="lv-LV"/>
              </w:rPr>
              <w:t xml:space="preserve"> biroju valdes (padomes) locekļiem no atlīdzības, ko tie saņems par pienākumu pildīšanu biroja valdē (padomē), maksājamas valsts sociālās apdrošināšanas obligātās iemaksas un iedzīvotāju ienākuma nodoklis tādā pašā apmērā un kārtībā kā sabiedrības ar ierobežotu atbildību valdes (padomes) locekļiem.  </w:t>
            </w:r>
          </w:p>
          <w:p w14:paraId="7C6FCFB1" w14:textId="7E2DBA55" w:rsidR="00AF5F2E" w:rsidRPr="00AF5F2E" w:rsidRDefault="00AF5F2E" w:rsidP="00AF5F2E">
            <w:pPr>
              <w:spacing w:after="0" w:line="240" w:lineRule="auto"/>
              <w:jc w:val="both"/>
              <w:rPr>
                <w:rFonts w:eastAsia="Times New Roman"/>
                <w:bCs/>
                <w:sz w:val="24"/>
                <w:szCs w:val="24"/>
                <w:lang w:eastAsia="lv-LV"/>
              </w:rPr>
            </w:pPr>
            <w:r w:rsidRPr="00AF5F2E">
              <w:rPr>
                <w:rFonts w:eastAsia="Times New Roman"/>
                <w:bCs/>
                <w:sz w:val="24"/>
                <w:szCs w:val="24"/>
                <w:lang w:eastAsia="lv-LV"/>
              </w:rPr>
              <w:t>Ieņēmumus no zvērināta notāra prakses veidos klientu maksājumi par notariālo darbību pildīšanu un sniegto juridisko palīdzību. Ieņēmumi no zvērināta notāra prakses būs zvērināt</w:t>
            </w:r>
            <w:r w:rsidR="004A5B34">
              <w:rPr>
                <w:rFonts w:eastAsia="Times New Roman"/>
                <w:bCs/>
                <w:sz w:val="24"/>
                <w:szCs w:val="24"/>
                <w:lang w:eastAsia="lv-LV"/>
              </w:rPr>
              <w:t>a</w:t>
            </w:r>
            <w:r w:rsidRPr="00AF5F2E">
              <w:rPr>
                <w:rFonts w:eastAsia="Times New Roman"/>
                <w:bCs/>
                <w:sz w:val="24"/>
                <w:szCs w:val="24"/>
                <w:lang w:eastAsia="lv-LV"/>
              </w:rPr>
              <w:t xml:space="preserve"> notār</w:t>
            </w:r>
            <w:r w:rsidR="004A5B34">
              <w:rPr>
                <w:rFonts w:eastAsia="Times New Roman"/>
                <w:bCs/>
                <w:sz w:val="24"/>
                <w:szCs w:val="24"/>
                <w:lang w:eastAsia="lv-LV"/>
              </w:rPr>
              <w:t>a</w:t>
            </w:r>
            <w:r w:rsidRPr="00AF5F2E">
              <w:rPr>
                <w:rFonts w:eastAsia="Times New Roman"/>
                <w:bCs/>
                <w:sz w:val="24"/>
                <w:szCs w:val="24"/>
                <w:lang w:eastAsia="lv-LV"/>
              </w:rPr>
              <w:t xml:space="preserve"> biroja ieņēmumi, ja zvērināts notārs izveidojis biroju. Zvērinātu notāru prakses, neatkarīgi no saimnieciskās darbības tiesiskās formas, izdevumi ir izdevumi, kas saistīti ar prakses saimnieciskās darbības nodrošināšanu, notariālo darbību pildīšanu, juridiskās palīdzības sniegšanu vai noteikti šajā likumā. </w:t>
            </w:r>
          </w:p>
          <w:p w14:paraId="7F7BDF32" w14:textId="712DAE81" w:rsidR="005B426B" w:rsidRDefault="00AF5F2E" w:rsidP="005B426B">
            <w:pPr>
              <w:spacing w:after="0" w:line="240" w:lineRule="auto"/>
              <w:jc w:val="both"/>
              <w:rPr>
                <w:rFonts w:eastAsia="Times New Roman"/>
                <w:bCs/>
                <w:sz w:val="24"/>
                <w:szCs w:val="24"/>
                <w:lang w:eastAsia="lv-LV"/>
              </w:rPr>
            </w:pPr>
            <w:r w:rsidRPr="00AF5F2E">
              <w:rPr>
                <w:rFonts w:eastAsia="Times New Roman"/>
                <w:bCs/>
                <w:sz w:val="24"/>
                <w:szCs w:val="24"/>
                <w:lang w:eastAsia="lv-LV"/>
              </w:rPr>
              <w:t>Norādāms, ka zvērināt</w:t>
            </w:r>
            <w:r w:rsidR="004A5B34">
              <w:rPr>
                <w:rFonts w:eastAsia="Times New Roman"/>
                <w:bCs/>
                <w:sz w:val="24"/>
                <w:szCs w:val="24"/>
                <w:lang w:eastAsia="lv-LV"/>
              </w:rPr>
              <w:t>a</w:t>
            </w:r>
            <w:r w:rsidRPr="00AF5F2E">
              <w:rPr>
                <w:rFonts w:eastAsia="Times New Roman"/>
                <w:bCs/>
                <w:sz w:val="24"/>
                <w:szCs w:val="24"/>
                <w:lang w:eastAsia="lv-LV"/>
              </w:rPr>
              <w:t xml:space="preserve"> notār</w:t>
            </w:r>
            <w:r w:rsidR="004A5B34">
              <w:rPr>
                <w:rFonts w:eastAsia="Times New Roman"/>
                <w:bCs/>
                <w:sz w:val="24"/>
                <w:szCs w:val="24"/>
                <w:lang w:eastAsia="lv-LV"/>
              </w:rPr>
              <w:t>a</w:t>
            </w:r>
            <w:r w:rsidRPr="00AF5F2E">
              <w:rPr>
                <w:rFonts w:eastAsia="Times New Roman"/>
                <w:bCs/>
                <w:sz w:val="24"/>
                <w:szCs w:val="24"/>
                <w:lang w:eastAsia="lv-LV"/>
              </w:rPr>
              <w:t xml:space="preserve"> biroju izveide sekmēs sociālo aizsardzību zvērinātiem notāriem, jo arī zvērinātu notāru birojiem kā darba devējiem būs jāsedz maksājumi saistībā ar valsts sociālo apdrošināšanu. Zvērināts notārs būs pakļauts sociālajai apdrošināšanai kā </w:t>
            </w:r>
            <w:r w:rsidRPr="00D672C7">
              <w:rPr>
                <w:rFonts w:eastAsia="Times New Roman"/>
                <w:bCs/>
                <w:sz w:val="24"/>
                <w:szCs w:val="24"/>
                <w:lang w:eastAsia="lv-LV"/>
              </w:rPr>
              <w:t xml:space="preserve">valdes </w:t>
            </w:r>
            <w:r w:rsidR="00DA1089" w:rsidRPr="00D672C7">
              <w:rPr>
                <w:rFonts w:eastAsia="Times New Roman"/>
                <w:bCs/>
                <w:sz w:val="24"/>
                <w:szCs w:val="24"/>
                <w:lang w:eastAsia="lv-LV"/>
              </w:rPr>
              <w:t xml:space="preserve">vai padomes </w:t>
            </w:r>
            <w:r w:rsidRPr="00D672C7">
              <w:rPr>
                <w:rFonts w:eastAsia="Times New Roman"/>
                <w:bCs/>
                <w:sz w:val="24"/>
                <w:szCs w:val="24"/>
                <w:lang w:eastAsia="lv-LV"/>
              </w:rPr>
              <w:t>loceklis, jo no zvērināt</w:t>
            </w:r>
            <w:r w:rsidR="004A5B34" w:rsidRPr="00D672C7">
              <w:rPr>
                <w:rFonts w:eastAsia="Times New Roman"/>
                <w:bCs/>
                <w:sz w:val="24"/>
                <w:szCs w:val="24"/>
                <w:lang w:eastAsia="lv-LV"/>
              </w:rPr>
              <w:t>a</w:t>
            </w:r>
            <w:r w:rsidRPr="00D672C7">
              <w:rPr>
                <w:rFonts w:eastAsia="Times New Roman"/>
                <w:bCs/>
                <w:sz w:val="24"/>
                <w:szCs w:val="24"/>
                <w:lang w:eastAsia="lv-LV"/>
              </w:rPr>
              <w:t xml:space="preserve"> notār</w:t>
            </w:r>
            <w:r w:rsidR="004A5B34" w:rsidRPr="00D672C7">
              <w:rPr>
                <w:rFonts w:eastAsia="Times New Roman"/>
                <w:bCs/>
                <w:sz w:val="24"/>
                <w:szCs w:val="24"/>
                <w:lang w:eastAsia="lv-LV"/>
              </w:rPr>
              <w:t>a</w:t>
            </w:r>
            <w:r w:rsidRPr="00D672C7">
              <w:rPr>
                <w:rFonts w:eastAsia="Times New Roman"/>
                <w:bCs/>
                <w:sz w:val="24"/>
                <w:szCs w:val="24"/>
                <w:lang w:eastAsia="lv-LV"/>
              </w:rPr>
              <w:t xml:space="preserve"> biroja saņemtā atlīdzība būs zvērināta notāra obligāto iemaksu objekts. </w:t>
            </w:r>
            <w:r w:rsidR="005B426B" w:rsidRPr="00D672C7">
              <w:rPr>
                <w:rFonts w:eastAsia="Times New Roman"/>
                <w:bCs/>
                <w:sz w:val="24"/>
                <w:szCs w:val="24"/>
                <w:lang w:eastAsia="lv-LV"/>
              </w:rPr>
              <w:t xml:space="preserve">Turklāt likumprojektā ir noteikts, ka </w:t>
            </w:r>
            <w:r w:rsidR="005B426B" w:rsidRPr="00D672C7">
              <w:rPr>
                <w:rFonts w:eastAsia="Times New Roman"/>
                <w:sz w:val="24"/>
                <w:szCs w:val="24"/>
              </w:rPr>
              <w:t xml:space="preserve">zvērinātam notāram, kurš ir attiecīgā zvērināta notāra biroja dalībnieks, jāieņem zvērināta notāra biroja valdes vai padomes locekļa amats. Zvērinātam notāram ir jāpiedalās sabiedrības ar ierobežotu atbildību pārvaldības institūcijās. Šāda prasība ir pamatota, jo no sabiedrības ar ierobežotu atbildības darbības ir atkarīga zvērināta notāra kā </w:t>
            </w:r>
            <w:r w:rsidR="005B426B" w:rsidRPr="00D672C7">
              <w:rPr>
                <w:rFonts w:eastAsia="Times New Roman"/>
                <w:sz w:val="24"/>
                <w:szCs w:val="24"/>
              </w:rPr>
              <w:lastRenderedPageBreak/>
              <w:t xml:space="preserve">valsts amatpersonas prakses nodrošināšana. Zvērinātam notāram ir jābūt atbildīgam, informētam un jāpiedalās savas prakses saimnieciskā organizēšanā. </w:t>
            </w:r>
            <w:r w:rsidR="005B426B" w:rsidRPr="00D672C7">
              <w:rPr>
                <w:rFonts w:eastAsia="Times New Roman"/>
                <w:bCs/>
                <w:sz w:val="24"/>
                <w:szCs w:val="24"/>
                <w:lang w:eastAsia="lv-LV"/>
              </w:rPr>
              <w:t>Ņemot vērā minēto</w:t>
            </w:r>
            <w:r w:rsidR="00FB1B79" w:rsidRPr="00D672C7">
              <w:rPr>
                <w:rFonts w:eastAsia="Times New Roman"/>
                <w:bCs/>
                <w:sz w:val="24"/>
                <w:szCs w:val="24"/>
                <w:lang w:eastAsia="lv-LV"/>
              </w:rPr>
              <w:t>,</w:t>
            </w:r>
            <w:r w:rsidR="005B426B" w:rsidRPr="00D672C7">
              <w:rPr>
                <w:rFonts w:eastAsia="Times New Roman"/>
                <w:bCs/>
                <w:sz w:val="24"/>
                <w:szCs w:val="24"/>
                <w:lang w:eastAsia="lv-LV"/>
              </w:rPr>
              <w:t xml:space="preserve"> likumprojekts nodrošina, ka visi zvērināti notāri ir pakļauti valsts sociālajai apdrošināšanai.</w:t>
            </w:r>
          </w:p>
          <w:p w14:paraId="7B0D34FF" w14:textId="76052DF9" w:rsidR="00B03CE5" w:rsidRDefault="00AC6834" w:rsidP="00AF5F2E">
            <w:pPr>
              <w:spacing w:after="0" w:line="240" w:lineRule="auto"/>
              <w:jc w:val="both"/>
              <w:rPr>
                <w:rFonts w:eastAsia="Times New Roman"/>
                <w:bCs/>
                <w:sz w:val="24"/>
                <w:szCs w:val="24"/>
                <w:lang w:eastAsia="lv-LV"/>
              </w:rPr>
            </w:pPr>
            <w:r>
              <w:rPr>
                <w:rFonts w:eastAsia="Times New Roman"/>
                <w:bCs/>
                <w:sz w:val="24"/>
                <w:szCs w:val="24"/>
                <w:lang w:eastAsia="lv-LV"/>
              </w:rPr>
              <w:t>Lai</w:t>
            </w:r>
            <w:r w:rsidR="00B90470">
              <w:rPr>
                <w:rFonts w:eastAsia="Times New Roman"/>
                <w:bCs/>
                <w:sz w:val="24"/>
                <w:szCs w:val="24"/>
                <w:lang w:eastAsia="lv-LV"/>
              </w:rPr>
              <w:t xml:space="preserve"> </w:t>
            </w:r>
            <w:r w:rsidR="002256E6">
              <w:rPr>
                <w:rFonts w:eastAsia="Times New Roman"/>
                <w:bCs/>
                <w:sz w:val="24"/>
                <w:szCs w:val="24"/>
                <w:lang w:eastAsia="lv-LV"/>
              </w:rPr>
              <w:t>saistībā ar zvērināt</w:t>
            </w:r>
            <w:r w:rsidR="00446EF9">
              <w:rPr>
                <w:rFonts w:eastAsia="Times New Roman"/>
                <w:bCs/>
                <w:sz w:val="24"/>
                <w:szCs w:val="24"/>
                <w:lang w:eastAsia="lv-LV"/>
              </w:rPr>
              <w:t>a</w:t>
            </w:r>
            <w:r w:rsidR="002256E6">
              <w:rPr>
                <w:rFonts w:eastAsia="Times New Roman"/>
                <w:bCs/>
                <w:sz w:val="24"/>
                <w:szCs w:val="24"/>
                <w:lang w:eastAsia="lv-LV"/>
              </w:rPr>
              <w:t xml:space="preserve"> notār</w:t>
            </w:r>
            <w:r w:rsidR="00446EF9">
              <w:rPr>
                <w:rFonts w:eastAsia="Times New Roman"/>
                <w:bCs/>
                <w:sz w:val="24"/>
                <w:szCs w:val="24"/>
                <w:lang w:eastAsia="lv-LV"/>
              </w:rPr>
              <w:t>a</w:t>
            </w:r>
            <w:r w:rsidR="002256E6">
              <w:rPr>
                <w:rFonts w:eastAsia="Times New Roman"/>
                <w:bCs/>
                <w:sz w:val="24"/>
                <w:szCs w:val="24"/>
                <w:lang w:eastAsia="lv-LV"/>
              </w:rPr>
              <w:t xml:space="preserve"> biroju izveidi būtu </w:t>
            </w:r>
            <w:r w:rsidR="00B90470">
              <w:rPr>
                <w:rFonts w:eastAsia="Times New Roman"/>
                <w:bCs/>
                <w:sz w:val="24"/>
                <w:szCs w:val="24"/>
                <w:lang w:eastAsia="lv-LV"/>
              </w:rPr>
              <w:t>nepārp</w:t>
            </w:r>
            <w:r w:rsidR="002256E6">
              <w:rPr>
                <w:rFonts w:eastAsia="Times New Roman"/>
                <w:bCs/>
                <w:sz w:val="24"/>
                <w:szCs w:val="24"/>
                <w:lang w:eastAsia="lv-LV"/>
              </w:rPr>
              <w:t xml:space="preserve">rotami, ka zvērinātiem notāriem par amata darbību ir tiesības saņemt atlīdzību, likumprojekts paredz </w:t>
            </w:r>
            <w:r w:rsidR="009B7E72">
              <w:rPr>
                <w:rFonts w:eastAsia="Times New Roman"/>
                <w:bCs/>
                <w:sz w:val="24"/>
                <w:szCs w:val="24"/>
                <w:lang w:eastAsia="lv-LV"/>
              </w:rPr>
              <w:t xml:space="preserve">izteikt jaunā redakcijā Notariāta likuma 239. pantu, paredzot, ka </w:t>
            </w:r>
            <w:r w:rsidR="00E10B40">
              <w:rPr>
                <w:rFonts w:eastAsia="Times New Roman"/>
                <w:bCs/>
                <w:sz w:val="24"/>
                <w:szCs w:val="24"/>
                <w:lang w:eastAsia="lv-LV"/>
              </w:rPr>
              <w:t>z</w:t>
            </w:r>
            <w:r w:rsidR="00E10B40" w:rsidRPr="00E10B40">
              <w:rPr>
                <w:rFonts w:eastAsia="Times New Roman"/>
                <w:bCs/>
                <w:sz w:val="24"/>
                <w:szCs w:val="24"/>
                <w:lang w:eastAsia="lv-LV"/>
              </w:rPr>
              <w:t>vērinātu notāru profesionālā darbība (prakse) ir intelektuāls darbs, par kuru zvērinātam notāram ir tiesības saņemt atlīdzību, bet tās mērķis nav peļņas gūšana</w:t>
            </w:r>
            <w:r w:rsidR="00B03CE5" w:rsidRPr="00B03CE5">
              <w:rPr>
                <w:rFonts w:eastAsia="Times New Roman"/>
                <w:bCs/>
                <w:sz w:val="24"/>
                <w:szCs w:val="24"/>
                <w:lang w:eastAsia="lv-LV"/>
              </w:rPr>
              <w:t>.</w:t>
            </w:r>
          </w:p>
          <w:p w14:paraId="5EAA8200" w14:textId="4F432DB6" w:rsidR="0072162D" w:rsidRDefault="0072162D" w:rsidP="00AF5F2E">
            <w:pPr>
              <w:spacing w:after="0" w:line="240" w:lineRule="auto"/>
              <w:jc w:val="both"/>
              <w:rPr>
                <w:rFonts w:eastAsia="Times New Roman"/>
                <w:bCs/>
                <w:sz w:val="24"/>
                <w:szCs w:val="24"/>
                <w:lang w:eastAsia="lv-LV"/>
              </w:rPr>
            </w:pPr>
            <w:r>
              <w:rPr>
                <w:rFonts w:eastAsia="Times New Roman"/>
                <w:bCs/>
                <w:sz w:val="24"/>
                <w:szCs w:val="24"/>
                <w:lang w:eastAsia="lv-LV"/>
              </w:rPr>
              <w:t xml:space="preserve">Ņemot vērā </w:t>
            </w:r>
            <w:r w:rsidR="00C27452">
              <w:rPr>
                <w:rFonts w:eastAsia="Times New Roman"/>
                <w:bCs/>
                <w:sz w:val="24"/>
                <w:szCs w:val="24"/>
                <w:lang w:eastAsia="lv-LV"/>
              </w:rPr>
              <w:t>to, ka likumprojekts paredz iespējas veidot zvērināt</w:t>
            </w:r>
            <w:r w:rsidR="00446EF9">
              <w:rPr>
                <w:rFonts w:eastAsia="Times New Roman"/>
                <w:bCs/>
                <w:sz w:val="24"/>
                <w:szCs w:val="24"/>
                <w:lang w:eastAsia="lv-LV"/>
              </w:rPr>
              <w:t>a</w:t>
            </w:r>
            <w:r w:rsidR="00C27452">
              <w:rPr>
                <w:rFonts w:eastAsia="Times New Roman"/>
                <w:bCs/>
                <w:sz w:val="24"/>
                <w:szCs w:val="24"/>
                <w:lang w:eastAsia="lv-LV"/>
              </w:rPr>
              <w:t xml:space="preserve"> notār</w:t>
            </w:r>
            <w:r w:rsidR="00446EF9">
              <w:rPr>
                <w:rFonts w:eastAsia="Times New Roman"/>
                <w:bCs/>
                <w:sz w:val="24"/>
                <w:szCs w:val="24"/>
                <w:lang w:eastAsia="lv-LV"/>
              </w:rPr>
              <w:t>a</w:t>
            </w:r>
            <w:r w:rsidR="00C27452">
              <w:rPr>
                <w:rFonts w:eastAsia="Times New Roman"/>
                <w:bCs/>
                <w:sz w:val="24"/>
                <w:szCs w:val="24"/>
                <w:lang w:eastAsia="lv-LV"/>
              </w:rPr>
              <w:t xml:space="preserve"> birojus, vienlaikus tiek precizēta arī Notariāta likuma norma par zvērinātu notāru palīgu dar</w:t>
            </w:r>
            <w:r w:rsidR="00ED7BCB">
              <w:rPr>
                <w:rFonts w:eastAsia="Times New Roman"/>
                <w:bCs/>
                <w:sz w:val="24"/>
                <w:szCs w:val="24"/>
                <w:lang w:eastAsia="lv-LV"/>
              </w:rPr>
              <w:t>b</w:t>
            </w:r>
            <w:r w:rsidR="00C27452">
              <w:rPr>
                <w:rFonts w:eastAsia="Times New Roman"/>
                <w:bCs/>
                <w:sz w:val="24"/>
                <w:szCs w:val="24"/>
                <w:lang w:eastAsia="lv-LV"/>
              </w:rPr>
              <w:t>a tiesisko attiecību izbeigšanu ar zvērinātu notāru, šo normu attiecinot arī uz zvērināt</w:t>
            </w:r>
            <w:r w:rsidR="00446EF9">
              <w:rPr>
                <w:rFonts w:eastAsia="Times New Roman"/>
                <w:bCs/>
                <w:sz w:val="24"/>
                <w:szCs w:val="24"/>
                <w:lang w:eastAsia="lv-LV"/>
              </w:rPr>
              <w:t>a</w:t>
            </w:r>
            <w:r w:rsidR="00C27452">
              <w:rPr>
                <w:rFonts w:eastAsia="Times New Roman"/>
                <w:bCs/>
                <w:sz w:val="24"/>
                <w:szCs w:val="24"/>
                <w:lang w:eastAsia="lv-LV"/>
              </w:rPr>
              <w:t xml:space="preserve"> notār</w:t>
            </w:r>
            <w:r w:rsidR="00446EF9">
              <w:rPr>
                <w:rFonts w:eastAsia="Times New Roman"/>
                <w:bCs/>
                <w:sz w:val="24"/>
                <w:szCs w:val="24"/>
                <w:lang w:eastAsia="lv-LV"/>
              </w:rPr>
              <w:t>a</w:t>
            </w:r>
            <w:r w:rsidR="00C27452">
              <w:rPr>
                <w:rFonts w:eastAsia="Times New Roman"/>
                <w:bCs/>
                <w:sz w:val="24"/>
                <w:szCs w:val="24"/>
                <w:lang w:eastAsia="lv-LV"/>
              </w:rPr>
              <w:t xml:space="preserve"> biroju.</w:t>
            </w:r>
          </w:p>
          <w:p w14:paraId="5F3D78F4" w14:textId="199EDBD3" w:rsidR="00B814BC" w:rsidRPr="00AF5F2E" w:rsidRDefault="00B814BC" w:rsidP="00AF5F2E">
            <w:pPr>
              <w:spacing w:after="0" w:line="240" w:lineRule="auto"/>
              <w:jc w:val="both"/>
              <w:rPr>
                <w:rFonts w:eastAsia="Times New Roman"/>
                <w:bCs/>
                <w:sz w:val="24"/>
                <w:szCs w:val="24"/>
                <w:lang w:eastAsia="lv-LV"/>
              </w:rPr>
            </w:pPr>
            <w:r w:rsidRPr="00B64D31">
              <w:rPr>
                <w:rFonts w:eastAsia="Calibri"/>
                <w:sz w:val="24"/>
                <w:szCs w:val="24"/>
              </w:rPr>
              <w:t>Norādāms, ka likumprojektā izstrādātais regulējums nerada pamatu tam, lai zvērinātu notāru svītrotu no publisko personu un iestāžu saraksta. Likuma "Par Latvijas Republikas Uzņēmumu reģistru" 8.</w:t>
            </w:r>
            <w:r w:rsidRPr="00B64D31">
              <w:rPr>
                <w:rFonts w:eastAsia="Calibri"/>
                <w:sz w:val="24"/>
                <w:szCs w:val="24"/>
                <w:vertAlign w:val="superscript"/>
              </w:rPr>
              <w:t>1 </w:t>
            </w:r>
            <w:r w:rsidRPr="00B64D31">
              <w:rPr>
                <w:rFonts w:eastAsia="Calibri"/>
                <w:sz w:val="24"/>
                <w:szCs w:val="24"/>
              </w:rPr>
              <w:t xml:space="preserve">nodaļa nenosaka, ka subjekts būtu svītrojams no publisko personu un iestāžu saraksta, ja publiska persona (šajā gadījumā zvērināts notārs) nodibina, piemēram, sabiedrību ar ierobežotu atbildību. Tas ir – likumdevējs Uzņēmumu reģistram nav piešķīris tādas tiesības. Ņemot vērā minēto, </w:t>
            </w:r>
            <w:r w:rsidRPr="00B64D31">
              <w:rPr>
                <w:rFonts w:eastAsia="Times New Roman"/>
                <w:sz w:val="24"/>
                <w:szCs w:val="24"/>
              </w:rPr>
              <w:t xml:space="preserve">zvērināts notārs nav izslēdzams no publisko personu un iestāžu saraksta un likumprojektā nav nepieciešams speciāli to atrunāt. Proti, no publisko personu un iestāžu saraksta mērķa un būtības jau izriet, ka zvērināts notārs nav svītrojams no publisko personu un iestāžu saraksta arī pēc biroja reģistrācijas, jo saskaņā ar spēkā esošajiem normatīvajiem aktiem zvērināts notārs savas darbības turpinās veikt kā amatpersona. </w:t>
            </w:r>
            <w:r w:rsidRPr="00B64D31">
              <w:rPr>
                <w:rFonts w:eastAsia="Calibri"/>
                <w:sz w:val="24"/>
                <w:szCs w:val="24"/>
              </w:rPr>
              <w:t>Vienlaikus uzskatāms, ka zvērināta notāra birojs nebūtu reģistrējams publisko personu un iestāžu sarakstā, kā arī neviens zvērināts notārs izveidoto biroju šajā sarakstā reģistrēt negrasās.</w:t>
            </w:r>
          </w:p>
          <w:p w14:paraId="30C06537" w14:textId="76459822" w:rsidR="00B44750" w:rsidRPr="006139AD" w:rsidRDefault="00AF5F2E" w:rsidP="00F70EBB">
            <w:pPr>
              <w:spacing w:after="0" w:line="240" w:lineRule="auto"/>
              <w:jc w:val="both"/>
              <w:rPr>
                <w:rFonts w:eastAsia="Times New Roman"/>
                <w:bCs/>
                <w:sz w:val="24"/>
                <w:szCs w:val="24"/>
                <w:lang w:eastAsia="lv-LV"/>
              </w:rPr>
            </w:pPr>
            <w:r>
              <w:rPr>
                <w:rFonts w:eastAsia="Times New Roman"/>
                <w:bCs/>
                <w:sz w:val="24"/>
                <w:szCs w:val="24"/>
                <w:lang w:eastAsia="lv-LV"/>
              </w:rPr>
              <w:t>Likumprojektā noteiktajam regulējuma paredzēta spēkā stāšanās 2021. gada 1. janvārī.</w:t>
            </w:r>
          </w:p>
        </w:tc>
      </w:tr>
      <w:tr w:rsidR="00DA326E" w:rsidRPr="00BC2633" w14:paraId="1AA028D9" w14:textId="77777777" w:rsidTr="00127A1D">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D28514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3.</w:t>
            </w:r>
          </w:p>
        </w:tc>
        <w:tc>
          <w:tcPr>
            <w:tcW w:w="1599" w:type="pct"/>
            <w:tcBorders>
              <w:top w:val="outset" w:sz="6" w:space="0" w:color="414142"/>
              <w:left w:val="outset" w:sz="6" w:space="0" w:color="414142"/>
              <w:bottom w:val="outset" w:sz="6" w:space="0" w:color="414142"/>
              <w:right w:val="outset" w:sz="6" w:space="0" w:color="414142"/>
            </w:tcBorders>
            <w:hideMark/>
          </w:tcPr>
          <w:p w14:paraId="4EC22A37" w14:textId="51CE741F"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izstrādē iesaistītās institūcijas</w:t>
            </w:r>
            <w:r w:rsidR="00A1552F">
              <w:rPr>
                <w:rFonts w:eastAsia="Times New Roman"/>
                <w:sz w:val="24"/>
                <w:szCs w:val="24"/>
                <w:lang w:eastAsia="lv-LV"/>
              </w:rPr>
              <w:t xml:space="preserve"> </w:t>
            </w:r>
            <w:r w:rsidR="00A1552F" w:rsidRPr="00A1552F">
              <w:rPr>
                <w:rFonts w:eastAsia="Times New Roman"/>
                <w:sz w:val="24"/>
                <w:szCs w:val="24"/>
                <w:lang w:eastAsia="lv-LV"/>
              </w:rPr>
              <w:t>un publiskas personas kapitālsabiedrības</w:t>
            </w:r>
          </w:p>
        </w:tc>
        <w:tc>
          <w:tcPr>
            <w:tcW w:w="3201" w:type="pct"/>
            <w:tcBorders>
              <w:top w:val="outset" w:sz="6" w:space="0" w:color="414142"/>
              <w:left w:val="outset" w:sz="6" w:space="0" w:color="414142"/>
              <w:bottom w:val="outset" w:sz="6" w:space="0" w:color="414142"/>
              <w:right w:val="outset" w:sz="6" w:space="0" w:color="414142"/>
            </w:tcBorders>
            <w:hideMark/>
          </w:tcPr>
          <w:p w14:paraId="09DA66A3" w14:textId="5EE7CC6F" w:rsidR="004D15A9" w:rsidRPr="00BC2633" w:rsidRDefault="00EE46B0" w:rsidP="00C26E82">
            <w:pPr>
              <w:spacing w:after="0" w:line="240" w:lineRule="auto"/>
              <w:jc w:val="both"/>
              <w:rPr>
                <w:rFonts w:eastAsia="Times New Roman"/>
                <w:sz w:val="24"/>
                <w:szCs w:val="24"/>
                <w:lang w:eastAsia="lv-LV"/>
              </w:rPr>
            </w:pPr>
            <w:r>
              <w:rPr>
                <w:rFonts w:eastAsia="Times New Roman"/>
                <w:sz w:val="24"/>
                <w:szCs w:val="24"/>
                <w:lang w:eastAsia="lv-LV"/>
              </w:rPr>
              <w:t>Tieslietu ministrija</w:t>
            </w:r>
            <w:r w:rsidR="0046306A">
              <w:rPr>
                <w:rFonts w:eastAsia="Times New Roman"/>
                <w:sz w:val="24"/>
                <w:szCs w:val="24"/>
                <w:lang w:eastAsia="lv-LV"/>
              </w:rPr>
              <w:t xml:space="preserve"> un </w:t>
            </w:r>
            <w:r w:rsidR="00144A33">
              <w:rPr>
                <w:rFonts w:eastAsia="Times New Roman"/>
                <w:sz w:val="24"/>
                <w:szCs w:val="24"/>
                <w:lang w:eastAsia="lv-LV"/>
              </w:rPr>
              <w:t>P</w:t>
            </w:r>
            <w:r w:rsidR="0046306A">
              <w:rPr>
                <w:rFonts w:eastAsia="Times New Roman"/>
                <w:sz w:val="24"/>
                <w:szCs w:val="24"/>
                <w:lang w:eastAsia="lv-LV"/>
              </w:rPr>
              <w:t>adome</w:t>
            </w:r>
            <w:r w:rsidRPr="00197F8F">
              <w:rPr>
                <w:rFonts w:eastAsia="Times New Roman"/>
                <w:sz w:val="24"/>
                <w:szCs w:val="24"/>
                <w:lang w:eastAsia="lv-LV"/>
              </w:rPr>
              <w:t>.</w:t>
            </w:r>
          </w:p>
        </w:tc>
      </w:tr>
      <w:tr w:rsidR="00DA326E" w:rsidRPr="00BC2633" w14:paraId="4416C82A" w14:textId="77777777" w:rsidTr="00127A1D">
        <w:tc>
          <w:tcPr>
            <w:tcW w:w="200" w:type="pct"/>
            <w:tcBorders>
              <w:top w:val="outset" w:sz="6" w:space="0" w:color="414142"/>
              <w:left w:val="outset" w:sz="6" w:space="0" w:color="414142"/>
              <w:bottom w:val="outset" w:sz="6" w:space="0" w:color="414142"/>
              <w:right w:val="outset" w:sz="6" w:space="0" w:color="414142"/>
            </w:tcBorders>
            <w:hideMark/>
          </w:tcPr>
          <w:p w14:paraId="0D4BD81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599" w:type="pct"/>
            <w:tcBorders>
              <w:top w:val="outset" w:sz="6" w:space="0" w:color="414142"/>
              <w:left w:val="outset" w:sz="6" w:space="0" w:color="414142"/>
              <w:bottom w:val="outset" w:sz="6" w:space="0" w:color="414142"/>
              <w:right w:val="outset" w:sz="6" w:space="0" w:color="414142"/>
            </w:tcBorders>
            <w:hideMark/>
          </w:tcPr>
          <w:p w14:paraId="31AC9F6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201" w:type="pct"/>
            <w:tcBorders>
              <w:top w:val="outset" w:sz="6" w:space="0" w:color="414142"/>
              <w:left w:val="outset" w:sz="6" w:space="0" w:color="414142"/>
              <w:bottom w:val="outset" w:sz="6" w:space="0" w:color="414142"/>
              <w:right w:val="outset" w:sz="6" w:space="0" w:color="414142"/>
            </w:tcBorders>
            <w:hideMark/>
          </w:tcPr>
          <w:p w14:paraId="1182056C" w14:textId="4E935B09" w:rsidR="004D15A9" w:rsidRPr="00BC2633" w:rsidRDefault="00EE46B0" w:rsidP="00C26E82">
            <w:pPr>
              <w:spacing w:after="0" w:line="240" w:lineRule="auto"/>
              <w:jc w:val="both"/>
              <w:rPr>
                <w:rFonts w:eastAsia="Times New Roman"/>
                <w:sz w:val="24"/>
                <w:szCs w:val="24"/>
                <w:lang w:eastAsia="lv-LV"/>
              </w:rPr>
            </w:pPr>
            <w:r>
              <w:rPr>
                <w:rFonts w:eastAsia="Times New Roman"/>
                <w:sz w:val="24"/>
                <w:szCs w:val="24"/>
                <w:lang w:eastAsia="lv-LV"/>
              </w:rPr>
              <w:t>Nav.</w:t>
            </w:r>
          </w:p>
        </w:tc>
      </w:tr>
      <w:tr w:rsidR="005D4E8A" w:rsidRPr="00BC2633" w14:paraId="4A35F0EC" w14:textId="77777777" w:rsidTr="00127A1D">
        <w:trPr>
          <w:trHeight w:val="128"/>
        </w:trPr>
        <w:tc>
          <w:tcPr>
            <w:tcW w:w="5000" w:type="pct"/>
            <w:gridSpan w:val="3"/>
            <w:tcBorders>
              <w:top w:val="outset" w:sz="6" w:space="0" w:color="414142"/>
              <w:left w:val="nil"/>
              <w:bottom w:val="outset" w:sz="6" w:space="0" w:color="414142"/>
              <w:right w:val="nil"/>
            </w:tcBorders>
          </w:tcPr>
          <w:p w14:paraId="3909DB7C" w14:textId="77777777" w:rsidR="00031256" w:rsidRPr="00BC2633" w:rsidRDefault="0081203F" w:rsidP="00C26E82">
            <w:pPr>
              <w:tabs>
                <w:tab w:val="left" w:pos="990"/>
              </w:tabs>
              <w:spacing w:after="0" w:line="240" w:lineRule="auto"/>
              <w:rPr>
                <w:rFonts w:eastAsia="Times New Roman"/>
                <w:sz w:val="24"/>
                <w:szCs w:val="24"/>
                <w:lang w:eastAsia="lv-LV"/>
              </w:rPr>
            </w:pPr>
            <w:r w:rsidRPr="00BC2633">
              <w:rPr>
                <w:rFonts w:eastAsia="Times New Roman"/>
                <w:sz w:val="24"/>
                <w:szCs w:val="24"/>
                <w:lang w:eastAsia="lv-LV"/>
              </w:rPr>
              <w:tab/>
            </w:r>
          </w:p>
        </w:tc>
      </w:tr>
      <w:tr w:rsidR="00BC2633" w:rsidRPr="00BC2633" w14:paraId="231B55F5" w14:textId="77777777" w:rsidTr="00127A1D">
        <w:trPr>
          <w:trHeight w:val="555"/>
        </w:trPr>
        <w:tc>
          <w:tcPr>
            <w:tcW w:w="5000" w:type="pct"/>
            <w:gridSpan w:val="3"/>
            <w:tcBorders>
              <w:top w:val="nil"/>
              <w:left w:val="outset" w:sz="6" w:space="0" w:color="414142"/>
              <w:bottom w:val="outset" w:sz="6" w:space="0" w:color="414142"/>
              <w:right w:val="outset" w:sz="6" w:space="0" w:color="414142"/>
            </w:tcBorders>
            <w:vAlign w:val="center"/>
            <w:hideMark/>
          </w:tcPr>
          <w:p w14:paraId="4C70EC05"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II. Tiesību akta projekta ietekme uz sabiedrību, tautsaimniecības attīstību un administratīvo slogu</w:t>
            </w:r>
          </w:p>
        </w:tc>
      </w:tr>
      <w:tr w:rsidR="00DA326E" w:rsidRPr="00BC2633" w14:paraId="2C9F3255" w14:textId="77777777" w:rsidTr="00127A1D">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6ABD5F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599" w:type="pct"/>
            <w:tcBorders>
              <w:top w:val="outset" w:sz="6" w:space="0" w:color="414142"/>
              <w:left w:val="outset" w:sz="6" w:space="0" w:color="414142"/>
              <w:bottom w:val="outset" w:sz="6" w:space="0" w:color="414142"/>
              <w:right w:val="outset" w:sz="6" w:space="0" w:color="414142"/>
            </w:tcBorders>
            <w:hideMark/>
          </w:tcPr>
          <w:p w14:paraId="7DF97D5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mērķgrupas, kuras tiesiskais regulējums ietekmē vai varētu ietekmēt</w:t>
            </w:r>
          </w:p>
        </w:tc>
        <w:tc>
          <w:tcPr>
            <w:tcW w:w="3201" w:type="pct"/>
            <w:tcBorders>
              <w:top w:val="outset" w:sz="6" w:space="0" w:color="414142"/>
              <w:left w:val="outset" w:sz="6" w:space="0" w:color="414142"/>
              <w:bottom w:val="outset" w:sz="6" w:space="0" w:color="414142"/>
              <w:right w:val="outset" w:sz="6" w:space="0" w:color="414142"/>
            </w:tcBorders>
            <w:hideMark/>
          </w:tcPr>
          <w:p w14:paraId="674A68B1" w14:textId="5E466778" w:rsidR="00FD1D37" w:rsidRPr="00BC2633" w:rsidRDefault="008B14CE" w:rsidP="003333C4">
            <w:pPr>
              <w:spacing w:after="0" w:line="240" w:lineRule="auto"/>
              <w:jc w:val="both"/>
              <w:rPr>
                <w:rFonts w:eastAsia="Times New Roman"/>
                <w:sz w:val="24"/>
                <w:szCs w:val="24"/>
                <w:lang w:eastAsia="lv-LV"/>
              </w:rPr>
            </w:pPr>
            <w:r>
              <w:rPr>
                <w:rFonts w:eastAsia="Times New Roman"/>
                <w:sz w:val="24"/>
                <w:szCs w:val="24"/>
                <w:lang w:eastAsia="lv-LV"/>
              </w:rPr>
              <w:t>Z</w:t>
            </w:r>
            <w:r w:rsidRPr="008B14CE">
              <w:rPr>
                <w:rFonts w:eastAsia="Times New Roman"/>
                <w:sz w:val="24"/>
                <w:szCs w:val="24"/>
                <w:lang w:eastAsia="lv-LV"/>
              </w:rPr>
              <w:t>vērināti notāri</w:t>
            </w:r>
            <w:r w:rsidR="008609EA">
              <w:rPr>
                <w:rFonts w:eastAsia="Times New Roman"/>
                <w:sz w:val="24"/>
                <w:szCs w:val="24"/>
                <w:lang w:eastAsia="lv-LV"/>
              </w:rPr>
              <w:t xml:space="preserve">, </w:t>
            </w:r>
            <w:r w:rsidR="00ED7BCB">
              <w:rPr>
                <w:rFonts w:eastAsia="Times New Roman"/>
                <w:sz w:val="24"/>
                <w:szCs w:val="24"/>
                <w:lang w:eastAsia="lv-LV"/>
              </w:rPr>
              <w:t>P</w:t>
            </w:r>
            <w:r w:rsidR="00A16E6F">
              <w:rPr>
                <w:rFonts w:eastAsia="Times New Roman"/>
                <w:sz w:val="24"/>
                <w:szCs w:val="24"/>
                <w:lang w:eastAsia="lv-LV"/>
              </w:rPr>
              <w:t>adome</w:t>
            </w:r>
            <w:r w:rsidR="008609EA">
              <w:rPr>
                <w:rFonts w:eastAsia="Times New Roman"/>
                <w:sz w:val="24"/>
                <w:szCs w:val="24"/>
                <w:lang w:eastAsia="lv-LV"/>
              </w:rPr>
              <w:t xml:space="preserve"> un komercreģistra iestāde</w:t>
            </w:r>
            <w:r w:rsidR="002D5AA7">
              <w:rPr>
                <w:rFonts w:eastAsia="Times New Roman"/>
                <w:sz w:val="24"/>
                <w:szCs w:val="24"/>
                <w:lang w:eastAsia="lv-LV"/>
              </w:rPr>
              <w:t>.</w:t>
            </w:r>
          </w:p>
        </w:tc>
      </w:tr>
      <w:tr w:rsidR="00DA326E" w:rsidRPr="00BC2633" w14:paraId="135FDA25" w14:textId="77777777" w:rsidTr="00127A1D">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725AAD29"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2.</w:t>
            </w:r>
          </w:p>
        </w:tc>
        <w:tc>
          <w:tcPr>
            <w:tcW w:w="1599" w:type="pct"/>
            <w:tcBorders>
              <w:top w:val="outset" w:sz="6" w:space="0" w:color="414142"/>
              <w:left w:val="outset" w:sz="6" w:space="0" w:color="414142"/>
              <w:bottom w:val="outset" w:sz="6" w:space="0" w:color="414142"/>
              <w:right w:val="outset" w:sz="6" w:space="0" w:color="414142"/>
            </w:tcBorders>
            <w:hideMark/>
          </w:tcPr>
          <w:p w14:paraId="1BB1E646"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Tiesiskā regulējuma ietekme uz tautsaimniecību un administratīvo slogu</w:t>
            </w:r>
          </w:p>
        </w:tc>
        <w:tc>
          <w:tcPr>
            <w:tcW w:w="3201" w:type="pct"/>
            <w:tcBorders>
              <w:top w:val="outset" w:sz="6" w:space="0" w:color="414142"/>
              <w:left w:val="outset" w:sz="6" w:space="0" w:color="414142"/>
              <w:bottom w:val="outset" w:sz="6" w:space="0" w:color="414142"/>
              <w:right w:val="outset" w:sz="6" w:space="0" w:color="414142"/>
            </w:tcBorders>
            <w:hideMark/>
          </w:tcPr>
          <w:p w14:paraId="12DBBFF5" w14:textId="28035632" w:rsidR="00703120" w:rsidRPr="00BC2633" w:rsidRDefault="003A6389" w:rsidP="003333C4">
            <w:pPr>
              <w:spacing w:after="0" w:line="240" w:lineRule="auto"/>
              <w:jc w:val="both"/>
              <w:rPr>
                <w:rFonts w:eastAsia="Times New Roman"/>
                <w:sz w:val="24"/>
                <w:szCs w:val="24"/>
                <w:lang w:eastAsia="lv-LV"/>
              </w:rPr>
            </w:pPr>
            <w:r w:rsidRPr="003A6389">
              <w:rPr>
                <w:rFonts w:eastAsia="Times New Roman"/>
                <w:iCs/>
                <w:sz w:val="24"/>
                <w:szCs w:val="24"/>
                <w:lang w:eastAsia="lv-LV"/>
              </w:rPr>
              <w:t xml:space="preserve">Likumprojekts noteic, ka pirms </w:t>
            </w:r>
            <w:r w:rsidR="00595F48">
              <w:rPr>
                <w:rFonts w:eastAsia="Times New Roman"/>
                <w:iCs/>
                <w:sz w:val="24"/>
                <w:szCs w:val="24"/>
                <w:lang w:eastAsia="lv-LV"/>
              </w:rPr>
              <w:t>zvērināt</w:t>
            </w:r>
            <w:r w:rsidR="00446EF9">
              <w:rPr>
                <w:rFonts w:eastAsia="Times New Roman"/>
                <w:iCs/>
                <w:sz w:val="24"/>
                <w:szCs w:val="24"/>
                <w:lang w:eastAsia="lv-LV"/>
              </w:rPr>
              <w:t>a</w:t>
            </w:r>
            <w:r w:rsidR="00595F48">
              <w:rPr>
                <w:rFonts w:eastAsia="Times New Roman"/>
                <w:iCs/>
                <w:sz w:val="24"/>
                <w:szCs w:val="24"/>
                <w:lang w:eastAsia="lv-LV"/>
              </w:rPr>
              <w:t xml:space="preserve"> notār</w:t>
            </w:r>
            <w:r w:rsidR="00446EF9">
              <w:rPr>
                <w:rFonts w:eastAsia="Times New Roman"/>
                <w:iCs/>
                <w:sz w:val="24"/>
                <w:szCs w:val="24"/>
                <w:lang w:eastAsia="lv-LV"/>
              </w:rPr>
              <w:t>a</w:t>
            </w:r>
            <w:r w:rsidRPr="003A6389">
              <w:rPr>
                <w:rFonts w:eastAsia="Times New Roman"/>
                <w:iCs/>
                <w:sz w:val="24"/>
                <w:szCs w:val="24"/>
                <w:lang w:eastAsia="lv-LV"/>
              </w:rPr>
              <w:t xml:space="preserve"> biroja reģistrēšanas komercreģistrā, tam būs jāsaņem Padomes piekrišana. Dokumenti Padomes piekrišanas saņemšanai iesniedzami desmit dienu laikā </w:t>
            </w:r>
            <w:r w:rsidR="00306CD5" w:rsidRPr="00306CD5">
              <w:rPr>
                <w:rFonts w:eastAsia="Times New Roman"/>
                <w:iCs/>
                <w:sz w:val="24"/>
                <w:szCs w:val="24"/>
                <w:lang w:eastAsia="lv-LV"/>
              </w:rPr>
              <w:t xml:space="preserve">no pēdējā reģistrācijai vai izmaiņu veikšanai komercreģistra ierakstos vai dokumentos nepieciešamā dokumenta (kas nav </w:t>
            </w:r>
            <w:r w:rsidR="005C72C6">
              <w:rPr>
                <w:rFonts w:eastAsia="Times New Roman"/>
                <w:iCs/>
                <w:sz w:val="24"/>
                <w:szCs w:val="24"/>
                <w:lang w:eastAsia="lv-LV"/>
              </w:rPr>
              <w:t>P</w:t>
            </w:r>
            <w:r w:rsidR="00306CD5" w:rsidRPr="00306CD5">
              <w:rPr>
                <w:rFonts w:eastAsia="Times New Roman"/>
                <w:iCs/>
                <w:sz w:val="24"/>
                <w:szCs w:val="24"/>
                <w:lang w:eastAsia="lv-LV"/>
              </w:rPr>
              <w:t>adomes piekrišana) parakstīšanas dienas</w:t>
            </w:r>
            <w:r w:rsidRPr="003A6389">
              <w:rPr>
                <w:rFonts w:eastAsia="Times New Roman"/>
                <w:iCs/>
                <w:sz w:val="24"/>
                <w:szCs w:val="24"/>
                <w:lang w:eastAsia="lv-LV"/>
              </w:rPr>
              <w:t xml:space="preserve">. Pēc regulējuma spēkā stāšanās Padomei, sniedzot piekrišanu </w:t>
            </w:r>
            <w:r w:rsidR="005C72C6">
              <w:rPr>
                <w:rFonts w:eastAsia="Times New Roman"/>
                <w:iCs/>
                <w:sz w:val="24"/>
                <w:szCs w:val="24"/>
                <w:lang w:eastAsia="lv-LV"/>
              </w:rPr>
              <w:t>zvērināt</w:t>
            </w:r>
            <w:r w:rsidR="00446EF9">
              <w:rPr>
                <w:rFonts w:eastAsia="Times New Roman"/>
                <w:iCs/>
                <w:sz w:val="24"/>
                <w:szCs w:val="24"/>
                <w:lang w:eastAsia="lv-LV"/>
              </w:rPr>
              <w:t>a</w:t>
            </w:r>
            <w:r w:rsidR="005C72C6">
              <w:rPr>
                <w:rFonts w:eastAsia="Times New Roman"/>
                <w:iCs/>
                <w:sz w:val="24"/>
                <w:szCs w:val="24"/>
                <w:lang w:eastAsia="lv-LV"/>
              </w:rPr>
              <w:t xml:space="preserve"> notār</w:t>
            </w:r>
            <w:r w:rsidR="00446EF9">
              <w:rPr>
                <w:rFonts w:eastAsia="Times New Roman"/>
                <w:iCs/>
                <w:sz w:val="24"/>
                <w:szCs w:val="24"/>
                <w:lang w:eastAsia="lv-LV"/>
              </w:rPr>
              <w:t>a</w:t>
            </w:r>
            <w:r w:rsidRPr="003A6389">
              <w:rPr>
                <w:rFonts w:eastAsia="Times New Roman"/>
                <w:iCs/>
                <w:sz w:val="24"/>
                <w:szCs w:val="24"/>
                <w:lang w:eastAsia="lv-LV"/>
              </w:rPr>
              <w:t xml:space="preserve"> biroja reģistrēšanai, </w:t>
            </w:r>
            <w:r w:rsidR="00734483" w:rsidRPr="00AF5F2E">
              <w:rPr>
                <w:rFonts w:eastAsia="Times New Roman"/>
                <w:bCs/>
                <w:iCs/>
                <w:sz w:val="24"/>
                <w:szCs w:val="24"/>
                <w:lang w:eastAsia="lv-LV"/>
              </w:rPr>
              <w:t>mērķis ir nodrošināt jaundibinātā vai pastāvošā zvērināta notār</w:t>
            </w:r>
            <w:r w:rsidR="00446EF9">
              <w:rPr>
                <w:rFonts w:eastAsia="Times New Roman"/>
                <w:bCs/>
                <w:iCs/>
                <w:sz w:val="24"/>
                <w:szCs w:val="24"/>
                <w:lang w:eastAsia="lv-LV"/>
              </w:rPr>
              <w:t>a</w:t>
            </w:r>
            <w:r w:rsidR="00734483" w:rsidRPr="00AF5F2E">
              <w:rPr>
                <w:rFonts w:eastAsia="Times New Roman"/>
                <w:bCs/>
                <w:iCs/>
                <w:sz w:val="24"/>
                <w:szCs w:val="24"/>
                <w:lang w:eastAsia="lv-LV"/>
              </w:rPr>
              <w:t xml:space="preserve"> biroja atbilstību Notariāta likuma prasībām</w:t>
            </w:r>
            <w:r w:rsidRPr="003A6389">
              <w:rPr>
                <w:rFonts w:eastAsia="Times New Roman"/>
                <w:iCs/>
                <w:sz w:val="24"/>
                <w:szCs w:val="24"/>
                <w:lang w:eastAsia="lv-LV"/>
              </w:rPr>
              <w:t xml:space="preserve">, līdz ar to </w:t>
            </w:r>
            <w:r w:rsidR="00FF46B7">
              <w:rPr>
                <w:rFonts w:eastAsia="Times New Roman"/>
                <w:iCs/>
                <w:sz w:val="24"/>
                <w:szCs w:val="24"/>
                <w:lang w:eastAsia="lv-LV"/>
              </w:rPr>
              <w:t xml:space="preserve">palielināsies </w:t>
            </w:r>
            <w:r w:rsidRPr="003A6389">
              <w:rPr>
                <w:rFonts w:eastAsia="Times New Roman"/>
                <w:iCs/>
                <w:sz w:val="24"/>
                <w:szCs w:val="24"/>
                <w:lang w:eastAsia="lv-LV"/>
              </w:rPr>
              <w:t xml:space="preserve">Padomes administratīvais slogs. Pēc Padomes piekrišanas saņemšanas, </w:t>
            </w:r>
            <w:r w:rsidR="00FF46B7">
              <w:rPr>
                <w:rFonts w:eastAsia="Times New Roman"/>
                <w:iCs/>
                <w:sz w:val="24"/>
                <w:szCs w:val="24"/>
                <w:lang w:eastAsia="lv-LV"/>
              </w:rPr>
              <w:t>zvērināt</w:t>
            </w:r>
            <w:r w:rsidR="00446EF9">
              <w:rPr>
                <w:rFonts w:eastAsia="Times New Roman"/>
                <w:iCs/>
                <w:sz w:val="24"/>
                <w:szCs w:val="24"/>
                <w:lang w:eastAsia="lv-LV"/>
              </w:rPr>
              <w:t>a</w:t>
            </w:r>
            <w:r w:rsidR="00FF46B7">
              <w:rPr>
                <w:rFonts w:eastAsia="Times New Roman"/>
                <w:iCs/>
                <w:sz w:val="24"/>
                <w:szCs w:val="24"/>
                <w:lang w:eastAsia="lv-LV"/>
              </w:rPr>
              <w:t xml:space="preserve"> notār</w:t>
            </w:r>
            <w:r w:rsidR="00446EF9">
              <w:rPr>
                <w:rFonts w:eastAsia="Times New Roman"/>
                <w:iCs/>
                <w:sz w:val="24"/>
                <w:szCs w:val="24"/>
                <w:lang w:eastAsia="lv-LV"/>
              </w:rPr>
              <w:t>a</w:t>
            </w:r>
            <w:r w:rsidRPr="003A6389">
              <w:rPr>
                <w:rFonts w:eastAsia="Times New Roman"/>
                <w:iCs/>
                <w:sz w:val="24"/>
                <w:szCs w:val="24"/>
                <w:lang w:eastAsia="lv-LV"/>
              </w:rPr>
              <w:t xml:space="preserve"> biroji veiks reģistrāciju komercreģistrā, līdz ar to palielināsies administratīvais slogs komercreģistra iestādei.</w:t>
            </w:r>
          </w:p>
        </w:tc>
      </w:tr>
      <w:tr w:rsidR="00DA326E" w:rsidRPr="00BC2633" w14:paraId="5245BA7A" w14:textId="77777777" w:rsidTr="00127A1D">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5F40837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599" w:type="pct"/>
            <w:tcBorders>
              <w:top w:val="outset" w:sz="6" w:space="0" w:color="414142"/>
              <w:left w:val="outset" w:sz="6" w:space="0" w:color="414142"/>
              <w:bottom w:val="outset" w:sz="6" w:space="0" w:color="414142"/>
              <w:right w:val="outset" w:sz="6" w:space="0" w:color="414142"/>
            </w:tcBorders>
            <w:hideMark/>
          </w:tcPr>
          <w:p w14:paraId="490198F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Administratīvo izmaksu monetārs novērtējums</w:t>
            </w:r>
          </w:p>
        </w:tc>
        <w:tc>
          <w:tcPr>
            <w:tcW w:w="3201" w:type="pct"/>
            <w:tcBorders>
              <w:top w:val="outset" w:sz="6" w:space="0" w:color="414142"/>
              <w:left w:val="outset" w:sz="6" w:space="0" w:color="414142"/>
              <w:bottom w:val="outset" w:sz="6" w:space="0" w:color="414142"/>
              <w:right w:val="outset" w:sz="6" w:space="0" w:color="414142"/>
            </w:tcBorders>
            <w:hideMark/>
          </w:tcPr>
          <w:p w14:paraId="5CE73918" w14:textId="5D62F466" w:rsidR="00201B6E" w:rsidRDefault="00A84F39" w:rsidP="00C26E82">
            <w:pPr>
              <w:spacing w:after="0" w:line="240" w:lineRule="auto"/>
              <w:jc w:val="both"/>
              <w:rPr>
                <w:rFonts w:eastAsia="Times New Roman"/>
                <w:sz w:val="24"/>
                <w:szCs w:val="24"/>
                <w:lang w:eastAsia="lv-LV"/>
              </w:rPr>
            </w:pPr>
            <w:r w:rsidRPr="00A84F39">
              <w:rPr>
                <w:rFonts w:eastAsia="Times New Roman"/>
                <w:sz w:val="24"/>
                <w:szCs w:val="24"/>
                <w:lang w:eastAsia="lv-LV"/>
              </w:rPr>
              <w:t xml:space="preserve">Lai reģistrētu </w:t>
            </w:r>
            <w:r>
              <w:rPr>
                <w:rFonts w:eastAsia="Times New Roman"/>
                <w:sz w:val="24"/>
                <w:szCs w:val="24"/>
                <w:lang w:eastAsia="lv-LV"/>
              </w:rPr>
              <w:t>zvērināt</w:t>
            </w:r>
            <w:r w:rsidR="00446EF9">
              <w:rPr>
                <w:rFonts w:eastAsia="Times New Roman"/>
                <w:sz w:val="24"/>
                <w:szCs w:val="24"/>
                <w:lang w:eastAsia="lv-LV"/>
              </w:rPr>
              <w:t>a</w:t>
            </w:r>
            <w:r>
              <w:rPr>
                <w:rFonts w:eastAsia="Times New Roman"/>
                <w:sz w:val="24"/>
                <w:szCs w:val="24"/>
                <w:lang w:eastAsia="lv-LV"/>
              </w:rPr>
              <w:t xml:space="preserve"> notār</w:t>
            </w:r>
            <w:r w:rsidR="00446EF9">
              <w:rPr>
                <w:rFonts w:eastAsia="Times New Roman"/>
                <w:sz w:val="24"/>
                <w:szCs w:val="24"/>
                <w:lang w:eastAsia="lv-LV"/>
              </w:rPr>
              <w:t>a</w:t>
            </w:r>
            <w:r w:rsidRPr="00A84F39">
              <w:rPr>
                <w:rFonts w:eastAsia="Times New Roman"/>
                <w:sz w:val="24"/>
                <w:szCs w:val="24"/>
                <w:lang w:eastAsia="lv-LV"/>
              </w:rPr>
              <w:t xml:space="preserve"> biroju komercreģistra iestādē (kā sabiedrību ar ierobežotu atbildību), </w:t>
            </w:r>
            <w:r>
              <w:rPr>
                <w:rFonts w:eastAsia="Times New Roman"/>
                <w:sz w:val="24"/>
                <w:szCs w:val="24"/>
                <w:lang w:eastAsia="lv-LV"/>
              </w:rPr>
              <w:t>zvērināt</w:t>
            </w:r>
            <w:r w:rsidR="00446EF9">
              <w:rPr>
                <w:rFonts w:eastAsia="Times New Roman"/>
                <w:sz w:val="24"/>
                <w:szCs w:val="24"/>
                <w:lang w:eastAsia="lv-LV"/>
              </w:rPr>
              <w:t>a</w:t>
            </w:r>
            <w:r>
              <w:rPr>
                <w:rFonts w:eastAsia="Times New Roman"/>
                <w:sz w:val="24"/>
                <w:szCs w:val="24"/>
                <w:lang w:eastAsia="lv-LV"/>
              </w:rPr>
              <w:t xml:space="preserve"> notār</w:t>
            </w:r>
            <w:r w:rsidR="00446EF9">
              <w:rPr>
                <w:rFonts w:eastAsia="Times New Roman"/>
                <w:sz w:val="24"/>
                <w:szCs w:val="24"/>
                <w:lang w:eastAsia="lv-LV"/>
              </w:rPr>
              <w:t>a</w:t>
            </w:r>
            <w:r w:rsidRPr="00A84F39">
              <w:rPr>
                <w:rFonts w:eastAsia="Times New Roman"/>
                <w:sz w:val="24"/>
                <w:szCs w:val="24"/>
                <w:lang w:eastAsia="lv-LV"/>
              </w:rPr>
              <w:t xml:space="preserve"> birojam būs nepieciešams sagatavot pieteikuma veidlapu un citus dibināšanas dokumentus, kā arī abos gadījumos būs maksājama valsts nodeva 150 </w:t>
            </w:r>
            <w:r w:rsidRPr="00A84F39">
              <w:rPr>
                <w:rFonts w:eastAsia="Times New Roman"/>
                <w:i/>
                <w:iCs/>
                <w:sz w:val="24"/>
                <w:szCs w:val="24"/>
                <w:lang w:eastAsia="lv-LV"/>
              </w:rPr>
              <w:t>euro</w:t>
            </w:r>
            <w:r w:rsidRPr="00A84F39">
              <w:rPr>
                <w:rFonts w:eastAsia="Times New Roman"/>
                <w:sz w:val="24"/>
                <w:szCs w:val="24"/>
                <w:lang w:eastAsia="lv-LV"/>
              </w:rPr>
              <w:t xml:space="preserve"> apmērā. Valsts nodevai tiek piemērots 10 % samazinājums, ja reģistrācijas pieteikumu iesniedz, izmantojot e-pakalpojumu portālā </w:t>
            </w:r>
            <w:hyperlink r:id="rId11" w:history="1">
              <w:r w:rsidRPr="00A84F39">
                <w:rPr>
                  <w:rStyle w:val="Hyperlink"/>
                  <w:rFonts w:eastAsia="Times New Roman"/>
                  <w:sz w:val="24"/>
                  <w:szCs w:val="24"/>
                  <w:lang w:eastAsia="lv-LV"/>
                </w:rPr>
                <w:t>www.latvija.lv</w:t>
              </w:r>
            </w:hyperlink>
            <w:r w:rsidRPr="00A84F39">
              <w:rPr>
                <w:rFonts w:eastAsia="Times New Roman"/>
                <w:sz w:val="24"/>
                <w:szCs w:val="24"/>
                <w:lang w:eastAsia="lv-LV"/>
              </w:rPr>
              <w:t>. Pieņemot, ka dokumenti tiks iesniegti elektroniski, valsts nodeva būs maksājama 135 </w:t>
            </w:r>
            <w:r w:rsidRPr="00A84F39">
              <w:rPr>
                <w:rFonts w:eastAsia="Times New Roman"/>
                <w:i/>
                <w:iCs/>
                <w:sz w:val="24"/>
                <w:szCs w:val="24"/>
                <w:lang w:eastAsia="lv-LV"/>
              </w:rPr>
              <w:t>euro</w:t>
            </w:r>
            <w:r w:rsidRPr="00A84F39">
              <w:rPr>
                <w:rFonts w:eastAsia="Times New Roman"/>
                <w:sz w:val="24"/>
                <w:szCs w:val="24"/>
                <w:lang w:eastAsia="lv-LV"/>
              </w:rPr>
              <w:t xml:space="preserve"> apmērā.</w:t>
            </w:r>
          </w:p>
          <w:p w14:paraId="5D564945" w14:textId="37D8F90C" w:rsidR="00081B11" w:rsidRPr="00BC2633" w:rsidRDefault="00081B11" w:rsidP="00C26E82">
            <w:pPr>
              <w:spacing w:after="0" w:line="240" w:lineRule="auto"/>
              <w:jc w:val="both"/>
              <w:rPr>
                <w:rFonts w:eastAsia="Times New Roman"/>
                <w:sz w:val="24"/>
                <w:szCs w:val="24"/>
                <w:lang w:eastAsia="lv-LV"/>
              </w:rPr>
            </w:pPr>
            <w:r>
              <w:rPr>
                <w:rFonts w:eastAsia="Times New Roman"/>
                <w:sz w:val="24"/>
                <w:szCs w:val="24"/>
                <w:lang w:eastAsia="lv-LV"/>
              </w:rPr>
              <w:t xml:space="preserve">Saskaņā ar </w:t>
            </w:r>
            <w:r w:rsidR="006E4206">
              <w:rPr>
                <w:rFonts w:eastAsia="Times New Roman"/>
                <w:sz w:val="24"/>
                <w:szCs w:val="24"/>
                <w:lang w:eastAsia="lv-LV"/>
              </w:rPr>
              <w:t xml:space="preserve">Ministru kabineta </w:t>
            </w:r>
            <w:r w:rsidR="004F3400" w:rsidRPr="004F3400">
              <w:rPr>
                <w:rFonts w:eastAsia="Times New Roman"/>
                <w:sz w:val="24"/>
                <w:szCs w:val="24"/>
                <w:lang w:eastAsia="lv-LV"/>
              </w:rPr>
              <w:t>2019.</w:t>
            </w:r>
            <w:r w:rsidR="00F74B0D">
              <w:rPr>
                <w:rFonts w:eastAsia="Times New Roman"/>
                <w:sz w:val="24"/>
                <w:szCs w:val="24"/>
                <w:lang w:eastAsia="lv-LV"/>
              </w:rPr>
              <w:t> </w:t>
            </w:r>
            <w:r w:rsidR="004F3400" w:rsidRPr="004F3400">
              <w:rPr>
                <w:rFonts w:eastAsia="Times New Roman"/>
                <w:sz w:val="24"/>
                <w:szCs w:val="24"/>
                <w:lang w:eastAsia="lv-LV"/>
              </w:rPr>
              <w:t>gada 28.</w:t>
            </w:r>
            <w:r w:rsidR="00F74B0D">
              <w:rPr>
                <w:rFonts w:eastAsia="Times New Roman"/>
                <w:sz w:val="24"/>
                <w:szCs w:val="24"/>
                <w:lang w:eastAsia="lv-LV"/>
              </w:rPr>
              <w:t> </w:t>
            </w:r>
            <w:r w:rsidR="004F3400" w:rsidRPr="004F3400">
              <w:rPr>
                <w:rFonts w:eastAsia="Times New Roman"/>
                <w:sz w:val="24"/>
                <w:szCs w:val="24"/>
                <w:lang w:eastAsia="lv-LV"/>
              </w:rPr>
              <w:t>maij</w:t>
            </w:r>
            <w:r w:rsidR="004F3400">
              <w:rPr>
                <w:rFonts w:eastAsia="Times New Roman"/>
                <w:sz w:val="24"/>
                <w:szCs w:val="24"/>
                <w:lang w:eastAsia="lv-LV"/>
              </w:rPr>
              <w:t>a noteikumiem Nr. </w:t>
            </w:r>
            <w:r w:rsidR="00F74B0D">
              <w:rPr>
                <w:rFonts w:eastAsia="Times New Roman"/>
                <w:sz w:val="24"/>
                <w:szCs w:val="24"/>
                <w:lang w:eastAsia="lv-LV"/>
              </w:rPr>
              <w:t>230 "</w:t>
            </w:r>
            <w:r w:rsidR="00F74B0D" w:rsidRPr="00F74B0D">
              <w:rPr>
                <w:rFonts w:eastAsia="Times New Roman"/>
                <w:sz w:val="24"/>
                <w:szCs w:val="24"/>
                <w:lang w:eastAsia="lv-LV"/>
              </w:rPr>
              <w:t>Noteikumi par zvērinātu notāru amata vietām"</w:t>
            </w:r>
            <w:r w:rsidR="00F74B0D">
              <w:rPr>
                <w:rFonts w:eastAsia="Times New Roman"/>
                <w:sz w:val="24"/>
                <w:szCs w:val="24"/>
                <w:lang w:eastAsia="lv-LV"/>
              </w:rPr>
              <w:t xml:space="preserve"> </w:t>
            </w:r>
            <w:r w:rsidR="004139D3" w:rsidRPr="004139D3">
              <w:rPr>
                <w:rFonts w:eastAsia="Times New Roman"/>
                <w:sz w:val="24"/>
                <w:szCs w:val="24"/>
                <w:lang w:eastAsia="lv-LV"/>
              </w:rPr>
              <w:t>Latvijas Republikā ir 108 zvērinātu notāru amata vietas</w:t>
            </w:r>
            <w:r w:rsidR="004139D3">
              <w:rPr>
                <w:rFonts w:eastAsia="Times New Roman"/>
                <w:sz w:val="24"/>
                <w:szCs w:val="24"/>
                <w:lang w:eastAsia="lv-LV"/>
              </w:rPr>
              <w:t xml:space="preserve">. Vienlaikus nav iespējams prognozēt, cik zvērināti notāri birojus izvēlēsies dibināt. Līdz ar to nav iespējams </w:t>
            </w:r>
            <w:r w:rsidR="00F2282A">
              <w:rPr>
                <w:rFonts w:eastAsia="Times New Roman"/>
                <w:sz w:val="24"/>
                <w:szCs w:val="24"/>
                <w:lang w:eastAsia="lv-LV"/>
              </w:rPr>
              <w:t xml:space="preserve">noteikt </w:t>
            </w:r>
            <w:r w:rsidR="00456B65">
              <w:rPr>
                <w:rFonts w:eastAsia="Times New Roman"/>
                <w:sz w:val="24"/>
                <w:szCs w:val="24"/>
                <w:lang w:eastAsia="lv-LV"/>
              </w:rPr>
              <w:t>kopējās</w:t>
            </w:r>
            <w:r w:rsidR="00F2282A">
              <w:rPr>
                <w:rFonts w:eastAsia="Times New Roman"/>
                <w:sz w:val="24"/>
                <w:szCs w:val="24"/>
                <w:lang w:eastAsia="lv-LV"/>
              </w:rPr>
              <w:t xml:space="preserve"> administratīvās izmaksas.</w:t>
            </w:r>
          </w:p>
        </w:tc>
      </w:tr>
      <w:tr w:rsidR="00DA326E" w:rsidRPr="00BC2633" w14:paraId="2C02878A" w14:textId="77777777" w:rsidTr="00127A1D">
        <w:trPr>
          <w:trHeight w:val="510"/>
        </w:trPr>
        <w:tc>
          <w:tcPr>
            <w:tcW w:w="200" w:type="pct"/>
            <w:tcBorders>
              <w:top w:val="outset" w:sz="6" w:space="0" w:color="414142"/>
              <w:left w:val="outset" w:sz="6" w:space="0" w:color="414142"/>
              <w:bottom w:val="outset" w:sz="6" w:space="0" w:color="414142"/>
              <w:right w:val="outset" w:sz="6" w:space="0" w:color="414142"/>
            </w:tcBorders>
          </w:tcPr>
          <w:p w14:paraId="5745159C" w14:textId="017EBBC8"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4.</w:t>
            </w:r>
          </w:p>
        </w:tc>
        <w:tc>
          <w:tcPr>
            <w:tcW w:w="1599" w:type="pct"/>
            <w:tcBorders>
              <w:top w:val="outset" w:sz="6" w:space="0" w:color="414142"/>
              <w:left w:val="outset" w:sz="6" w:space="0" w:color="414142"/>
              <w:bottom w:val="outset" w:sz="6" w:space="0" w:color="414142"/>
              <w:right w:val="outset" w:sz="6" w:space="0" w:color="414142"/>
            </w:tcBorders>
          </w:tcPr>
          <w:p w14:paraId="105AF451" w14:textId="0BBD8082"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Atbilstības izmaksu monetārs novērtējums</w:t>
            </w:r>
          </w:p>
        </w:tc>
        <w:tc>
          <w:tcPr>
            <w:tcW w:w="3201" w:type="pct"/>
            <w:tcBorders>
              <w:top w:val="outset" w:sz="6" w:space="0" w:color="414142"/>
              <w:left w:val="outset" w:sz="6" w:space="0" w:color="414142"/>
              <w:bottom w:val="outset" w:sz="6" w:space="0" w:color="414142"/>
              <w:right w:val="outset" w:sz="6" w:space="0" w:color="414142"/>
            </w:tcBorders>
          </w:tcPr>
          <w:p w14:paraId="0C5B7775" w14:textId="36A29868" w:rsidR="00201B6E" w:rsidRPr="00604C73" w:rsidRDefault="00A957CD" w:rsidP="00C26E82">
            <w:pPr>
              <w:spacing w:after="0" w:line="240" w:lineRule="auto"/>
              <w:jc w:val="both"/>
              <w:rPr>
                <w:rFonts w:eastAsia="Times New Roman"/>
                <w:sz w:val="24"/>
                <w:szCs w:val="24"/>
                <w:lang w:eastAsia="lv-LV"/>
              </w:rPr>
            </w:pPr>
            <w:r w:rsidRPr="00A957CD">
              <w:rPr>
                <w:rFonts w:eastAsia="Times New Roman"/>
                <w:sz w:val="24"/>
                <w:szCs w:val="24"/>
                <w:lang w:eastAsia="lv-LV"/>
              </w:rPr>
              <w:t>Likumprojekts šo jomu neskar.</w:t>
            </w:r>
          </w:p>
        </w:tc>
      </w:tr>
      <w:tr w:rsidR="00DA326E" w:rsidRPr="00BC2633" w14:paraId="058C8E07" w14:textId="77777777" w:rsidTr="00127A1D">
        <w:trPr>
          <w:trHeight w:val="345"/>
        </w:trPr>
        <w:tc>
          <w:tcPr>
            <w:tcW w:w="200" w:type="pct"/>
            <w:tcBorders>
              <w:top w:val="outset" w:sz="6" w:space="0" w:color="414142"/>
              <w:left w:val="outset" w:sz="6" w:space="0" w:color="414142"/>
              <w:bottom w:val="single" w:sz="4" w:space="0" w:color="auto"/>
              <w:right w:val="outset" w:sz="6" w:space="0" w:color="414142"/>
            </w:tcBorders>
            <w:hideMark/>
          </w:tcPr>
          <w:p w14:paraId="580FAF10" w14:textId="4634BFC2" w:rsidR="004D15A9" w:rsidRPr="00BC2633" w:rsidRDefault="00A1552F" w:rsidP="00C26E82">
            <w:pPr>
              <w:spacing w:after="0" w:line="240" w:lineRule="auto"/>
              <w:rPr>
                <w:rFonts w:eastAsia="Times New Roman"/>
                <w:sz w:val="24"/>
                <w:szCs w:val="24"/>
                <w:lang w:eastAsia="lv-LV"/>
              </w:rPr>
            </w:pPr>
            <w:r>
              <w:rPr>
                <w:rFonts w:eastAsia="Times New Roman"/>
                <w:sz w:val="24"/>
                <w:szCs w:val="24"/>
                <w:lang w:eastAsia="lv-LV"/>
              </w:rPr>
              <w:t>5</w:t>
            </w:r>
            <w:r w:rsidR="004D15A9" w:rsidRPr="00BC2633">
              <w:rPr>
                <w:rFonts w:eastAsia="Times New Roman"/>
                <w:sz w:val="24"/>
                <w:szCs w:val="24"/>
                <w:lang w:eastAsia="lv-LV"/>
              </w:rPr>
              <w:t>.</w:t>
            </w:r>
          </w:p>
        </w:tc>
        <w:tc>
          <w:tcPr>
            <w:tcW w:w="1599" w:type="pct"/>
            <w:tcBorders>
              <w:top w:val="outset" w:sz="6" w:space="0" w:color="414142"/>
              <w:left w:val="outset" w:sz="6" w:space="0" w:color="414142"/>
              <w:bottom w:val="single" w:sz="4" w:space="0" w:color="auto"/>
              <w:right w:val="outset" w:sz="6" w:space="0" w:color="414142"/>
            </w:tcBorders>
            <w:hideMark/>
          </w:tcPr>
          <w:p w14:paraId="6CBBE35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201" w:type="pct"/>
            <w:tcBorders>
              <w:top w:val="outset" w:sz="6" w:space="0" w:color="414142"/>
              <w:left w:val="outset" w:sz="6" w:space="0" w:color="414142"/>
              <w:bottom w:val="single" w:sz="4" w:space="0" w:color="auto"/>
              <w:right w:val="outset" w:sz="6" w:space="0" w:color="414142"/>
            </w:tcBorders>
            <w:hideMark/>
          </w:tcPr>
          <w:p w14:paraId="5CC17AB0" w14:textId="01101157" w:rsidR="004D15A9" w:rsidRPr="00BC2633" w:rsidRDefault="00201B6E" w:rsidP="00C26E82">
            <w:pPr>
              <w:spacing w:after="0" w:line="240" w:lineRule="auto"/>
              <w:jc w:val="both"/>
              <w:rPr>
                <w:rFonts w:eastAsia="Times New Roman"/>
                <w:sz w:val="24"/>
                <w:szCs w:val="24"/>
                <w:lang w:eastAsia="lv-LV"/>
              </w:rPr>
            </w:pPr>
            <w:r>
              <w:rPr>
                <w:rFonts w:eastAsia="Times New Roman"/>
                <w:sz w:val="24"/>
                <w:szCs w:val="24"/>
                <w:lang w:eastAsia="lv-LV"/>
              </w:rPr>
              <w:t>Nav.</w:t>
            </w:r>
          </w:p>
        </w:tc>
      </w:tr>
      <w:tr w:rsidR="0059057E" w:rsidRPr="00BC2633" w14:paraId="347A5AC7" w14:textId="77777777" w:rsidTr="00127A1D">
        <w:trPr>
          <w:trHeight w:val="360"/>
        </w:trPr>
        <w:tc>
          <w:tcPr>
            <w:tcW w:w="5000" w:type="pct"/>
            <w:gridSpan w:val="3"/>
            <w:tcBorders>
              <w:top w:val="single" w:sz="4" w:space="0" w:color="auto"/>
              <w:left w:val="nil"/>
              <w:bottom w:val="nil"/>
              <w:right w:val="nil"/>
            </w:tcBorders>
            <w:vAlign w:val="center"/>
          </w:tcPr>
          <w:p w14:paraId="541E9657" w14:textId="77777777" w:rsidR="0059057E" w:rsidRDefault="0059057E" w:rsidP="00C26E82">
            <w:pPr>
              <w:spacing w:after="0" w:line="240" w:lineRule="auto"/>
              <w:ind w:firstLine="300"/>
              <w:jc w:val="center"/>
              <w:rPr>
                <w:rFonts w:eastAsia="Times New Roman"/>
                <w:b/>
                <w:bCs/>
                <w:sz w:val="24"/>
                <w:szCs w:val="24"/>
                <w:lang w:eastAsia="lv-LV"/>
              </w:rPr>
            </w:pPr>
          </w:p>
        </w:tc>
      </w:tr>
      <w:tr w:rsidR="00ED4F0F" w:rsidRPr="00ED4F0F" w14:paraId="26E47A37" w14:textId="77777777" w:rsidTr="00127A1D">
        <w:trPr>
          <w:trHeight w:val="360"/>
        </w:trPr>
        <w:tc>
          <w:tcPr>
            <w:tcW w:w="5000" w:type="pct"/>
            <w:gridSpan w:val="3"/>
            <w:tcBorders>
              <w:top w:val="single" w:sz="4" w:space="0" w:color="auto"/>
              <w:left w:val="outset" w:sz="6" w:space="0" w:color="414142"/>
              <w:bottom w:val="single" w:sz="4" w:space="0" w:color="auto"/>
              <w:right w:val="outset" w:sz="6" w:space="0" w:color="414142"/>
            </w:tcBorders>
            <w:vAlign w:val="center"/>
            <w:hideMark/>
          </w:tcPr>
          <w:p w14:paraId="2E770416" w14:textId="77777777" w:rsidR="00ED4F0F" w:rsidRPr="00ED4F0F" w:rsidRDefault="00ED4F0F" w:rsidP="00ED4F0F">
            <w:pPr>
              <w:spacing w:after="0" w:line="240" w:lineRule="auto"/>
              <w:ind w:firstLine="300"/>
              <w:jc w:val="center"/>
              <w:rPr>
                <w:rFonts w:eastAsia="Times New Roman"/>
                <w:b/>
                <w:bCs/>
                <w:sz w:val="24"/>
                <w:szCs w:val="24"/>
                <w:lang w:eastAsia="lv-LV"/>
              </w:rPr>
            </w:pPr>
            <w:r w:rsidRPr="00ED4F0F">
              <w:rPr>
                <w:rFonts w:eastAsia="Times New Roman"/>
                <w:b/>
                <w:bCs/>
                <w:sz w:val="24"/>
                <w:szCs w:val="24"/>
                <w:lang w:eastAsia="lv-LV"/>
              </w:rPr>
              <w:t>III. Tiesību akta projekta ietekme uz valsts budžetu un pašvaldību budžetiem</w:t>
            </w:r>
          </w:p>
        </w:tc>
      </w:tr>
      <w:tr w:rsidR="00144A33" w:rsidRPr="00144A33" w14:paraId="3A35266E" w14:textId="77777777" w:rsidTr="00127A1D">
        <w:trPr>
          <w:trHeight w:val="360"/>
        </w:trPr>
        <w:tc>
          <w:tcPr>
            <w:tcW w:w="5000" w:type="pct"/>
            <w:gridSpan w:val="3"/>
            <w:tcBorders>
              <w:top w:val="single" w:sz="4" w:space="0" w:color="auto"/>
              <w:left w:val="outset" w:sz="6" w:space="0" w:color="414142"/>
              <w:bottom w:val="outset" w:sz="6" w:space="0" w:color="414142"/>
              <w:right w:val="outset" w:sz="6" w:space="0" w:color="414142"/>
            </w:tcBorders>
            <w:vAlign w:val="center"/>
          </w:tcPr>
          <w:p w14:paraId="5BE34E06" w14:textId="2410132B" w:rsidR="00144A33" w:rsidRPr="00144A33" w:rsidRDefault="00144A33" w:rsidP="00ED4F0F">
            <w:pPr>
              <w:spacing w:after="0" w:line="240" w:lineRule="auto"/>
              <w:ind w:firstLine="300"/>
              <w:jc w:val="center"/>
              <w:rPr>
                <w:rFonts w:eastAsia="Times New Roman"/>
                <w:sz w:val="24"/>
                <w:szCs w:val="24"/>
                <w:lang w:eastAsia="lv-LV"/>
              </w:rPr>
            </w:pPr>
            <w:r w:rsidRPr="00144A33">
              <w:rPr>
                <w:rFonts w:eastAsia="Times New Roman"/>
                <w:sz w:val="24"/>
                <w:szCs w:val="24"/>
                <w:lang w:eastAsia="lv-LV"/>
              </w:rPr>
              <w:t>Likumprojekts šo jomu neskar.</w:t>
            </w:r>
          </w:p>
        </w:tc>
      </w:tr>
    </w:tbl>
    <w:p w14:paraId="717F7F2B" w14:textId="2BE9B86D" w:rsidR="004D15A9" w:rsidRPr="00144A33" w:rsidRDefault="004D15A9" w:rsidP="00C26E82">
      <w:pPr>
        <w:spacing w:after="0" w:line="240" w:lineRule="auto"/>
        <w:rPr>
          <w:rFonts w:eastAsia="Times New Roman"/>
          <w:sz w:val="24"/>
          <w:szCs w:val="24"/>
          <w:lang w:eastAsia="lv-LV"/>
        </w:rPr>
      </w:pPr>
    </w:p>
    <w:p w14:paraId="4054FDB2" w14:textId="77777777" w:rsidR="00144A33" w:rsidRDefault="00144A33" w:rsidP="00C26E82">
      <w:pPr>
        <w:spacing w:after="0" w:line="240" w:lineRule="auto"/>
        <w:rPr>
          <w:rFonts w:eastAsia="Times New Roman"/>
          <w:sz w:val="24"/>
          <w:szCs w:val="24"/>
          <w:lang w:eastAsia="lv-LV"/>
        </w:rPr>
      </w:pPr>
    </w:p>
    <w:tbl>
      <w:tblPr>
        <w:tblW w:w="9037" w:type="dxa"/>
        <w:tblInd w:w="30" w:type="dxa"/>
        <w:tblLayout w:type="fixed"/>
        <w:tblCellMar>
          <w:left w:w="30" w:type="dxa"/>
          <w:right w:w="30" w:type="dxa"/>
        </w:tblCellMar>
        <w:tblLook w:val="0000" w:firstRow="0" w:lastRow="0" w:firstColumn="0" w:lastColumn="0" w:noHBand="0" w:noVBand="0"/>
      </w:tblPr>
      <w:tblGrid>
        <w:gridCol w:w="9037"/>
      </w:tblGrid>
      <w:tr w:rsidR="00D42FD5" w:rsidRPr="00D42FD5" w14:paraId="39126EA8" w14:textId="77777777" w:rsidTr="00D42FD5">
        <w:trPr>
          <w:trHeight w:val="450"/>
        </w:trPr>
        <w:tc>
          <w:tcPr>
            <w:tcW w:w="9037" w:type="dxa"/>
            <w:tcBorders>
              <w:top w:val="single" w:sz="4" w:space="0" w:color="414142"/>
              <w:left w:val="single" w:sz="4" w:space="0" w:color="414142"/>
              <w:bottom w:val="single" w:sz="4" w:space="0" w:color="414142"/>
              <w:right w:val="single" w:sz="4" w:space="0" w:color="414142"/>
            </w:tcBorders>
            <w:shd w:val="clear" w:color="000000" w:fill="FFFFFF"/>
            <w:vAlign w:val="center"/>
          </w:tcPr>
          <w:p w14:paraId="4FC0F8B7" w14:textId="77777777" w:rsidR="00D42FD5" w:rsidRPr="00D42FD5" w:rsidRDefault="00D42FD5" w:rsidP="00D42FD5">
            <w:pPr>
              <w:autoSpaceDE w:val="0"/>
              <w:autoSpaceDN w:val="0"/>
              <w:adjustRightInd w:val="0"/>
              <w:spacing w:after="0" w:line="240" w:lineRule="auto"/>
              <w:ind w:firstLine="300"/>
              <w:jc w:val="center"/>
              <w:rPr>
                <w:rFonts w:ascii="Calibri" w:eastAsia="SimSun" w:hAnsi="Calibri" w:cs="Calibri"/>
                <w:sz w:val="24"/>
                <w:szCs w:val="24"/>
                <w:lang w:eastAsia="zh-CN"/>
              </w:rPr>
            </w:pPr>
            <w:r w:rsidRPr="00D42FD5">
              <w:rPr>
                <w:rFonts w:eastAsia="SimSun"/>
                <w:b/>
                <w:bCs/>
                <w:sz w:val="24"/>
                <w:szCs w:val="24"/>
                <w:lang w:eastAsia="zh-CN"/>
              </w:rPr>
              <w:t>IV. Tiesību akta projekta ietekme uz spēkā esošo tiesību normu sistēmu</w:t>
            </w:r>
          </w:p>
        </w:tc>
      </w:tr>
      <w:tr w:rsidR="007640F4" w:rsidRPr="00D42FD5" w14:paraId="683D22E2" w14:textId="77777777" w:rsidTr="00D42FD5">
        <w:trPr>
          <w:trHeight w:val="450"/>
        </w:trPr>
        <w:tc>
          <w:tcPr>
            <w:tcW w:w="9037" w:type="dxa"/>
            <w:tcBorders>
              <w:top w:val="single" w:sz="4" w:space="0" w:color="414142"/>
              <w:left w:val="single" w:sz="4" w:space="0" w:color="414142"/>
              <w:bottom w:val="single" w:sz="4" w:space="0" w:color="414142"/>
              <w:right w:val="single" w:sz="4" w:space="0" w:color="414142"/>
            </w:tcBorders>
            <w:shd w:val="clear" w:color="000000" w:fill="FFFFFF"/>
            <w:vAlign w:val="center"/>
          </w:tcPr>
          <w:p w14:paraId="4C0EA0D7" w14:textId="0C701C95" w:rsidR="007640F4" w:rsidRPr="007640F4" w:rsidRDefault="007640F4" w:rsidP="00D42FD5">
            <w:pPr>
              <w:autoSpaceDE w:val="0"/>
              <w:autoSpaceDN w:val="0"/>
              <w:adjustRightInd w:val="0"/>
              <w:spacing w:after="0" w:line="240" w:lineRule="auto"/>
              <w:ind w:firstLine="300"/>
              <w:jc w:val="center"/>
              <w:rPr>
                <w:rFonts w:eastAsia="SimSun"/>
                <w:sz w:val="24"/>
                <w:szCs w:val="24"/>
                <w:lang w:eastAsia="zh-CN"/>
              </w:rPr>
            </w:pPr>
            <w:r w:rsidRPr="007640F4">
              <w:rPr>
                <w:rFonts w:eastAsia="SimSun"/>
                <w:sz w:val="24"/>
                <w:szCs w:val="24"/>
                <w:lang w:eastAsia="zh-CN"/>
              </w:rPr>
              <w:t>Likumprojekts šo jomu neskar.</w:t>
            </w:r>
          </w:p>
        </w:tc>
      </w:tr>
    </w:tbl>
    <w:p w14:paraId="4F1F8B06" w14:textId="2488DE81" w:rsidR="008948B8" w:rsidRDefault="008948B8" w:rsidP="00C26E82">
      <w:pPr>
        <w:spacing w:after="0" w:line="240" w:lineRule="auto"/>
        <w:rPr>
          <w:rFonts w:eastAsia="Times New Roman"/>
          <w:sz w:val="24"/>
          <w:szCs w:val="24"/>
          <w:lang w:eastAsia="lv-LV"/>
        </w:rPr>
      </w:pPr>
    </w:p>
    <w:p w14:paraId="31CCBA8E" w14:textId="2FB4188B" w:rsidR="008948B8" w:rsidRDefault="008948B8"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C2633" w:rsidRPr="00BC2633" w14:paraId="5DED1206" w14:textId="77777777" w:rsidTr="00225405">
        <w:tc>
          <w:tcPr>
            <w:tcW w:w="5000" w:type="pct"/>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 Tiesību akta projekta atbilstība Latvijas Republikas starptautiskajām saistībām</w:t>
            </w:r>
          </w:p>
        </w:tc>
      </w:tr>
      <w:tr w:rsidR="00225405" w:rsidRPr="00225405" w14:paraId="3E811E86" w14:textId="77777777" w:rsidTr="00D66296">
        <w:trPr>
          <w:trHeight w:val="360"/>
        </w:trPr>
        <w:tc>
          <w:tcPr>
            <w:tcW w:w="5000" w:type="pct"/>
            <w:tcBorders>
              <w:top w:val="single" w:sz="4" w:space="0" w:color="auto"/>
              <w:left w:val="outset" w:sz="6" w:space="0" w:color="414142"/>
              <w:bottom w:val="outset" w:sz="6" w:space="0" w:color="414142"/>
              <w:right w:val="outset" w:sz="6" w:space="0" w:color="414142"/>
            </w:tcBorders>
            <w:vAlign w:val="center"/>
          </w:tcPr>
          <w:p w14:paraId="57A70BEB" w14:textId="0B0F2327" w:rsidR="00225405" w:rsidRPr="00225405" w:rsidRDefault="00C13559" w:rsidP="00C26E82">
            <w:pPr>
              <w:spacing w:after="0" w:line="240" w:lineRule="auto"/>
              <w:ind w:firstLine="300"/>
              <w:jc w:val="center"/>
              <w:rPr>
                <w:rFonts w:eastAsia="Times New Roman"/>
                <w:bCs/>
                <w:sz w:val="24"/>
                <w:szCs w:val="24"/>
                <w:lang w:eastAsia="lv-LV"/>
              </w:rPr>
            </w:pPr>
            <w:r>
              <w:rPr>
                <w:rFonts w:eastAsia="Times New Roman"/>
                <w:bCs/>
                <w:sz w:val="24"/>
                <w:szCs w:val="24"/>
                <w:lang w:eastAsia="lv-LV"/>
              </w:rPr>
              <w:t>Likump</w:t>
            </w:r>
            <w:r w:rsidR="00225405">
              <w:rPr>
                <w:rFonts w:eastAsia="Times New Roman"/>
                <w:bCs/>
                <w:sz w:val="24"/>
                <w:szCs w:val="24"/>
                <w:lang w:eastAsia="lv-LV"/>
              </w:rPr>
              <w:t>rojekts šo jomu neskar.</w:t>
            </w:r>
          </w:p>
        </w:tc>
      </w:tr>
    </w:tbl>
    <w:p w14:paraId="63E4FCA9"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BC2633"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 Sabiedrības līdzdalība un komunikācijas aktivitātes</w:t>
            </w:r>
          </w:p>
        </w:tc>
      </w:tr>
      <w:tr w:rsidR="00BC2633" w:rsidRPr="00BC2633"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298F5795" w14:textId="62B32338" w:rsidR="001C5969" w:rsidRPr="00562BAE" w:rsidRDefault="00D35802" w:rsidP="00C433E2">
            <w:pPr>
              <w:spacing w:after="0" w:line="240" w:lineRule="auto"/>
              <w:jc w:val="both"/>
              <w:rPr>
                <w:rFonts w:eastAsia="Times New Roman"/>
                <w:sz w:val="24"/>
                <w:szCs w:val="24"/>
                <w:lang w:eastAsia="lv-LV"/>
              </w:rPr>
            </w:pPr>
            <w:r w:rsidRPr="00B64D31">
              <w:rPr>
                <w:rFonts w:eastAsia="Calibri"/>
                <w:color w:val="000000"/>
                <w:sz w:val="24"/>
                <w:szCs w:val="24"/>
              </w:rPr>
              <w:t>Lai informētu sabiedrību par likumprojektu un dotu iespēju izteikt viedokli, likumprojekts atbilstoši Ministru kabineta 2009. gada 25. augusta noteikumiem Nr. 970 "Sabiedrības līdzdalības kārtība attīstības plānošanas procesā" pirms tā iesniegšanas Valsts kancelejā ievietots Tieslietu ministrijas un Valsts kancelejas tīmekļvietnē.</w:t>
            </w:r>
          </w:p>
        </w:tc>
      </w:tr>
      <w:tr w:rsidR="005B1C62" w:rsidRPr="00BC2633"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5B1C62" w:rsidRPr="00BC2633" w:rsidRDefault="005B1C62" w:rsidP="005B1C6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5B1C62" w:rsidRPr="00BC2633" w:rsidRDefault="005B1C62" w:rsidP="005B1C62">
            <w:pPr>
              <w:spacing w:after="0" w:line="240" w:lineRule="auto"/>
              <w:rPr>
                <w:rFonts w:eastAsia="Times New Roman"/>
                <w:sz w:val="24"/>
                <w:szCs w:val="24"/>
                <w:lang w:eastAsia="lv-LV"/>
              </w:rPr>
            </w:pPr>
            <w:r w:rsidRPr="00BC2633">
              <w:rPr>
                <w:rFonts w:eastAsia="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1EE08E29" w14:textId="614FAB20" w:rsidR="005B1C62" w:rsidRPr="00D933F5" w:rsidRDefault="005B1C62" w:rsidP="005B1C62">
            <w:pPr>
              <w:spacing w:after="0" w:line="240" w:lineRule="auto"/>
              <w:jc w:val="both"/>
              <w:rPr>
                <w:rFonts w:eastAsia="Times New Roman"/>
                <w:sz w:val="24"/>
                <w:szCs w:val="24"/>
                <w:lang w:eastAsia="lv-LV"/>
              </w:rPr>
            </w:pPr>
            <w:r w:rsidRPr="00B64D31">
              <w:rPr>
                <w:rFonts w:eastAsia="Times New Roman"/>
                <w:bCs/>
                <w:sz w:val="24"/>
                <w:szCs w:val="24"/>
                <w:lang w:eastAsia="lv-LV"/>
              </w:rPr>
              <w:t xml:space="preserve">Tieslietu ministrija 2020. gada </w:t>
            </w:r>
            <w:r w:rsidR="008E667E">
              <w:rPr>
                <w:rFonts w:eastAsia="Times New Roman"/>
                <w:bCs/>
                <w:sz w:val="24"/>
                <w:szCs w:val="24"/>
                <w:lang w:eastAsia="lv-LV"/>
              </w:rPr>
              <w:t>13</w:t>
            </w:r>
            <w:r w:rsidRPr="00B64D31">
              <w:rPr>
                <w:rFonts w:eastAsia="Times New Roman"/>
                <w:bCs/>
                <w:sz w:val="24"/>
                <w:szCs w:val="24"/>
                <w:lang w:eastAsia="lv-LV"/>
              </w:rPr>
              <w:t xml:space="preserve">. oktobrī likumprojektu ievietoja savā tīmekļvietnē sadaļā "Sabiedrības līdzdalība" (pieejams: </w:t>
            </w:r>
            <w:hyperlink r:id="rId12" w:history="1">
              <w:r w:rsidRPr="00B64D31">
                <w:rPr>
                  <w:rStyle w:val="Hyperlink"/>
                  <w:rFonts w:eastAsia="Times New Roman"/>
                  <w:bCs/>
                  <w:sz w:val="24"/>
                  <w:szCs w:val="24"/>
                  <w:lang w:eastAsia="lv-LV"/>
                </w:rPr>
                <w:t>https://www.tm.gov.lv/lv/sabiedribas-lidzdaliba/diskusiju-dokumenti/tiesibu-akti</w:t>
              </w:r>
            </w:hyperlink>
            <w:r w:rsidRPr="00B64D31">
              <w:rPr>
                <w:rFonts w:eastAsia="Times New Roman"/>
                <w:bCs/>
                <w:sz w:val="24"/>
                <w:szCs w:val="24"/>
                <w:lang w:eastAsia="lv-LV"/>
              </w:rPr>
              <w:t xml:space="preserve">), kā arī likumprojekts tika ievietots Valsts kancelejas tīmekļvietnē sadaļā "Ministru kabineta diskusiju dokumenti" (pieejams: </w:t>
            </w:r>
            <w:hyperlink r:id="rId13" w:history="1">
              <w:r w:rsidRPr="00B64D31">
                <w:rPr>
                  <w:rStyle w:val="Hyperlink"/>
                  <w:rFonts w:eastAsia="Times New Roman"/>
                  <w:bCs/>
                  <w:sz w:val="24"/>
                  <w:szCs w:val="24"/>
                  <w:lang w:eastAsia="lv-LV"/>
                </w:rPr>
                <w:t>https://mk.gov.lv/content/ministru-kabineta-diskusiju-dokumenti</w:t>
              </w:r>
            </w:hyperlink>
            <w:r w:rsidRPr="00B64D31">
              <w:rPr>
                <w:rFonts w:eastAsia="Times New Roman"/>
                <w:bCs/>
                <w:sz w:val="24"/>
                <w:szCs w:val="24"/>
                <w:lang w:eastAsia="lv-LV"/>
              </w:rPr>
              <w:t xml:space="preserve">), tādējādi dodot iespēju sabiedrībai līdzdarboties tiesību akta izstrādes procesā. Sabiedrībai bija iespēja līdz 2020. gada </w:t>
            </w:r>
            <w:r w:rsidR="00B64D31">
              <w:rPr>
                <w:rFonts w:eastAsia="Times New Roman"/>
                <w:bCs/>
                <w:sz w:val="24"/>
                <w:szCs w:val="24"/>
                <w:lang w:eastAsia="lv-LV"/>
              </w:rPr>
              <w:t>21</w:t>
            </w:r>
            <w:r w:rsidRPr="00B64D31">
              <w:rPr>
                <w:rFonts w:eastAsia="Times New Roman"/>
                <w:bCs/>
                <w:sz w:val="24"/>
                <w:szCs w:val="24"/>
                <w:lang w:eastAsia="lv-LV"/>
              </w:rPr>
              <w:t>. okto</w:t>
            </w:r>
            <w:r w:rsidR="00FB235B" w:rsidRPr="00B64D31">
              <w:rPr>
                <w:rFonts w:eastAsia="Times New Roman"/>
                <w:bCs/>
                <w:sz w:val="24"/>
                <w:szCs w:val="24"/>
                <w:lang w:eastAsia="lv-LV"/>
              </w:rPr>
              <w:t>b</w:t>
            </w:r>
            <w:r w:rsidRPr="00B64D31">
              <w:rPr>
                <w:rFonts w:eastAsia="Times New Roman"/>
                <w:bCs/>
                <w:sz w:val="24"/>
                <w:szCs w:val="24"/>
                <w:lang w:eastAsia="lv-LV"/>
              </w:rPr>
              <w:t xml:space="preserve">rim sniegt rakstisku viedokli Tieslietu ministrijai par izstrādāto </w:t>
            </w:r>
            <w:r w:rsidR="00FB235B" w:rsidRPr="00B64D31">
              <w:rPr>
                <w:rFonts w:eastAsia="Times New Roman"/>
                <w:bCs/>
                <w:sz w:val="24"/>
                <w:szCs w:val="24"/>
                <w:lang w:eastAsia="lv-LV"/>
              </w:rPr>
              <w:t>likum</w:t>
            </w:r>
            <w:r w:rsidRPr="00B64D31">
              <w:rPr>
                <w:rFonts w:eastAsia="Times New Roman"/>
                <w:bCs/>
                <w:sz w:val="24"/>
                <w:szCs w:val="24"/>
                <w:lang w:eastAsia="lv-LV"/>
              </w:rPr>
              <w:t>projektu.</w:t>
            </w:r>
          </w:p>
        </w:tc>
      </w:tr>
      <w:tr w:rsidR="005B1C62" w:rsidRPr="00BC2633" w14:paraId="221D5F5F" w14:textId="77777777" w:rsidTr="002D5AA7">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5B1C62" w:rsidRPr="00BC2633" w:rsidRDefault="005B1C62" w:rsidP="005B1C6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5B1C62" w:rsidRPr="00B64D31" w:rsidRDefault="005B1C62" w:rsidP="005B1C62">
            <w:pPr>
              <w:spacing w:after="0" w:line="240" w:lineRule="auto"/>
              <w:rPr>
                <w:rFonts w:eastAsia="Times New Roman"/>
                <w:sz w:val="24"/>
                <w:szCs w:val="24"/>
                <w:lang w:eastAsia="lv-LV"/>
              </w:rPr>
            </w:pPr>
            <w:r w:rsidRPr="00B64D31">
              <w:rPr>
                <w:rFonts w:eastAsia="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tcPr>
          <w:p w14:paraId="3E3C15CE" w14:textId="6153153B" w:rsidR="005B1C62" w:rsidRPr="00B64D31" w:rsidRDefault="005006B9" w:rsidP="005006B9">
            <w:pPr>
              <w:spacing w:after="0" w:line="240" w:lineRule="auto"/>
              <w:jc w:val="both"/>
              <w:rPr>
                <w:rFonts w:eastAsia="Times New Roman"/>
                <w:sz w:val="24"/>
                <w:szCs w:val="24"/>
                <w:lang w:eastAsia="lv-LV"/>
              </w:rPr>
            </w:pPr>
            <w:r w:rsidRPr="00B64D31">
              <w:rPr>
                <w:rFonts w:eastAsia="Times New Roman"/>
                <w:bCs/>
                <w:sz w:val="24"/>
                <w:szCs w:val="24"/>
                <w:lang w:eastAsia="lv-LV"/>
              </w:rPr>
              <w:t>Pēc likumprojekta ievietošanas Tieslietu ministrijas un Valsts kancelejas tīmekļvietnē viedokļi par likumprojektu no sabiedrības pārstāvju puses nav saņemti.</w:t>
            </w:r>
          </w:p>
        </w:tc>
      </w:tr>
      <w:tr w:rsidR="005B1C62" w:rsidRPr="00BC2633"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5B1C62" w:rsidRPr="00BC2633" w:rsidRDefault="005B1C62" w:rsidP="005B1C6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5B1C62" w:rsidRPr="00BC2633" w:rsidRDefault="005B1C62" w:rsidP="005B1C6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36A7DD79" w:rsidR="005B1C62" w:rsidRPr="00BC2633" w:rsidRDefault="005B1C62" w:rsidP="005B1C62">
            <w:pPr>
              <w:spacing w:after="0" w:line="240" w:lineRule="auto"/>
              <w:jc w:val="both"/>
              <w:rPr>
                <w:rFonts w:eastAsia="Times New Roman"/>
                <w:sz w:val="24"/>
                <w:szCs w:val="24"/>
                <w:lang w:eastAsia="lv-LV"/>
              </w:rPr>
            </w:pPr>
            <w:r>
              <w:rPr>
                <w:rFonts w:eastAsia="Times New Roman"/>
                <w:sz w:val="24"/>
                <w:szCs w:val="24"/>
                <w:lang w:eastAsia="lv-LV"/>
              </w:rPr>
              <w:t>Nav.</w:t>
            </w:r>
          </w:p>
        </w:tc>
      </w:tr>
    </w:tbl>
    <w:p w14:paraId="569A45C0"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BC2633" w:rsidRPr="00BC2633"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VII. Tiesību akta projekta izpildes nodrošināšana un tās ietekme uz institūcijām</w:t>
            </w:r>
          </w:p>
        </w:tc>
      </w:tr>
      <w:tr w:rsidR="00BC2633" w:rsidRPr="00BC2633" w14:paraId="5F7D14F9"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1AEBB4A0" w14:textId="18481A3F" w:rsidR="000C3E92" w:rsidRPr="00DB49BA" w:rsidRDefault="00876AD5" w:rsidP="00C26E82">
            <w:pPr>
              <w:spacing w:after="0" w:line="240" w:lineRule="auto"/>
              <w:jc w:val="both"/>
              <w:rPr>
                <w:rFonts w:eastAsia="Times New Roman"/>
                <w:sz w:val="24"/>
                <w:szCs w:val="24"/>
                <w:highlight w:val="yellow"/>
                <w:lang w:eastAsia="lv-LV"/>
              </w:rPr>
            </w:pPr>
            <w:r>
              <w:rPr>
                <w:rFonts w:eastAsia="Times New Roman"/>
                <w:sz w:val="24"/>
                <w:szCs w:val="24"/>
                <w:lang w:eastAsia="lv-LV"/>
              </w:rPr>
              <w:t>Padome, zvērināti notāri un komercreģistra iestāde</w:t>
            </w:r>
            <w:r w:rsidR="000C3E92" w:rsidRPr="0026052B">
              <w:rPr>
                <w:rFonts w:eastAsia="Times New Roman"/>
                <w:sz w:val="24"/>
                <w:szCs w:val="24"/>
                <w:lang w:eastAsia="lv-LV"/>
              </w:rPr>
              <w:t>.</w:t>
            </w:r>
          </w:p>
        </w:tc>
      </w:tr>
      <w:tr w:rsidR="00BC2633" w:rsidRPr="00BC2633" w14:paraId="67B81B5D"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Projekta izpildes ietekme uz pārvaldes funkcijām un institucionālo struktūru. </w:t>
            </w:r>
          </w:p>
          <w:p w14:paraId="37B6FCB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020A7F09" w14:textId="62023F9F" w:rsidR="004D15A9" w:rsidRPr="00BC2633" w:rsidRDefault="00F51892" w:rsidP="00416236">
            <w:pPr>
              <w:spacing w:after="0" w:line="240" w:lineRule="auto"/>
              <w:jc w:val="both"/>
              <w:rPr>
                <w:rFonts w:eastAsia="Times New Roman"/>
                <w:sz w:val="24"/>
                <w:szCs w:val="24"/>
                <w:lang w:eastAsia="lv-LV"/>
              </w:rPr>
            </w:pPr>
            <w:r>
              <w:rPr>
                <w:rFonts w:eastAsia="Times New Roman"/>
                <w:sz w:val="24"/>
                <w:szCs w:val="24"/>
                <w:lang w:eastAsia="lv-LV"/>
              </w:rPr>
              <w:t xml:space="preserve">Likumprojekta izpilde nerada ietekmi uz pārvaldes funkcijām un institucionālo struktūru. </w:t>
            </w:r>
            <w:r w:rsidR="00DB49BA">
              <w:rPr>
                <w:rFonts w:eastAsia="Times New Roman"/>
                <w:sz w:val="24"/>
                <w:szCs w:val="24"/>
                <w:lang w:eastAsia="lv-LV"/>
              </w:rPr>
              <w:t>Nav nepieciešama j</w:t>
            </w:r>
            <w:r>
              <w:rPr>
                <w:rFonts w:eastAsia="Times New Roman"/>
                <w:sz w:val="24"/>
                <w:szCs w:val="24"/>
                <w:lang w:eastAsia="lv-LV"/>
              </w:rPr>
              <w:t>aunu institūciju izveide, e</w:t>
            </w:r>
            <w:r w:rsidR="00DB49BA">
              <w:rPr>
                <w:rFonts w:eastAsia="Times New Roman"/>
                <w:sz w:val="24"/>
                <w:szCs w:val="24"/>
                <w:lang w:eastAsia="lv-LV"/>
              </w:rPr>
              <w:t xml:space="preserve">sošu institūciju likvidācija vai reorganizācija. </w:t>
            </w:r>
          </w:p>
        </w:tc>
      </w:tr>
      <w:tr w:rsidR="004D15A9" w:rsidRPr="00BC2633"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6CE7E31A" w:rsidR="004D15A9" w:rsidRPr="00BC2633" w:rsidRDefault="000C3E92" w:rsidP="00C26E82">
            <w:pPr>
              <w:spacing w:after="0" w:line="240" w:lineRule="auto"/>
              <w:jc w:val="both"/>
              <w:rPr>
                <w:rFonts w:eastAsia="Times New Roman"/>
                <w:sz w:val="24"/>
                <w:szCs w:val="24"/>
                <w:lang w:eastAsia="lv-LV"/>
              </w:rPr>
            </w:pPr>
            <w:r>
              <w:rPr>
                <w:rFonts w:eastAsia="Times New Roman"/>
                <w:sz w:val="24"/>
                <w:szCs w:val="24"/>
                <w:lang w:eastAsia="lv-LV"/>
              </w:rPr>
              <w:t>Nav.</w:t>
            </w:r>
          </w:p>
        </w:tc>
      </w:tr>
    </w:tbl>
    <w:p w14:paraId="683F8996" w14:textId="77777777" w:rsidR="00144A33" w:rsidRDefault="00144A33" w:rsidP="00C26E82">
      <w:pPr>
        <w:pStyle w:val="StyleRight"/>
        <w:spacing w:after="0"/>
        <w:ind w:firstLine="0"/>
        <w:jc w:val="both"/>
        <w:rPr>
          <w:sz w:val="24"/>
          <w:szCs w:val="24"/>
        </w:rPr>
      </w:pPr>
    </w:p>
    <w:p w14:paraId="343FA090" w14:textId="77777777" w:rsidR="00144A33" w:rsidRDefault="00144A33" w:rsidP="00C26E82">
      <w:pPr>
        <w:pStyle w:val="StyleRight"/>
        <w:spacing w:after="0"/>
        <w:ind w:firstLine="0"/>
        <w:jc w:val="both"/>
        <w:rPr>
          <w:sz w:val="24"/>
          <w:szCs w:val="24"/>
        </w:rPr>
      </w:pPr>
    </w:p>
    <w:p w14:paraId="09601154" w14:textId="688E4024" w:rsidR="004D15A9" w:rsidRPr="00BC2633" w:rsidRDefault="004D15A9" w:rsidP="00C26E82">
      <w:pPr>
        <w:pStyle w:val="StyleRight"/>
        <w:spacing w:after="0"/>
        <w:ind w:firstLine="0"/>
        <w:jc w:val="both"/>
        <w:rPr>
          <w:sz w:val="24"/>
          <w:szCs w:val="24"/>
        </w:rPr>
      </w:pPr>
      <w:r w:rsidRPr="00BC2633">
        <w:rPr>
          <w:sz w:val="24"/>
          <w:szCs w:val="24"/>
        </w:rPr>
        <w:t>Iesniedzējs:</w:t>
      </w:r>
    </w:p>
    <w:p w14:paraId="4D8DF971" w14:textId="77777777" w:rsidR="003A07B9" w:rsidRDefault="003A07B9" w:rsidP="003A07B9">
      <w:pPr>
        <w:pStyle w:val="StyleRight"/>
        <w:spacing w:after="0"/>
        <w:ind w:firstLine="0"/>
        <w:jc w:val="both"/>
        <w:rPr>
          <w:sz w:val="24"/>
          <w:szCs w:val="24"/>
        </w:rPr>
      </w:pPr>
      <w:r w:rsidRPr="003A07B9">
        <w:rPr>
          <w:sz w:val="24"/>
          <w:szCs w:val="24"/>
        </w:rPr>
        <w:t>Ministru prezidenta biedrs,</w:t>
      </w:r>
    </w:p>
    <w:p w14:paraId="0A7A7E0D" w14:textId="07A12ED3" w:rsidR="003A07B9" w:rsidRPr="003A07B9" w:rsidRDefault="003A07B9" w:rsidP="003A07B9">
      <w:pPr>
        <w:pStyle w:val="StyleRight"/>
        <w:spacing w:after="0"/>
        <w:ind w:firstLine="0"/>
        <w:jc w:val="both"/>
        <w:rPr>
          <w:sz w:val="24"/>
          <w:szCs w:val="24"/>
        </w:rPr>
      </w:pPr>
      <w:r w:rsidRPr="003A07B9">
        <w:rPr>
          <w:sz w:val="24"/>
          <w:szCs w:val="24"/>
        </w:rPr>
        <w:t>tieslietu ministrs </w:t>
      </w:r>
      <w:r w:rsidRPr="003A07B9">
        <w:rPr>
          <w:sz w:val="24"/>
          <w:szCs w:val="24"/>
        </w:rPr>
        <w:tab/>
      </w:r>
      <w:r w:rsidRPr="003A07B9">
        <w:rPr>
          <w:sz w:val="24"/>
          <w:szCs w:val="24"/>
        </w:rPr>
        <w:tab/>
      </w:r>
      <w:r w:rsidRPr="003A07B9">
        <w:rPr>
          <w:sz w:val="24"/>
          <w:szCs w:val="24"/>
        </w:rPr>
        <w:tab/>
      </w:r>
      <w:r w:rsidRPr="003A07B9">
        <w:rPr>
          <w:sz w:val="24"/>
          <w:szCs w:val="24"/>
        </w:rPr>
        <w:tab/>
      </w:r>
      <w:r w:rsidRPr="003A07B9">
        <w:rPr>
          <w:sz w:val="24"/>
          <w:szCs w:val="24"/>
        </w:rPr>
        <w:tab/>
      </w:r>
      <w:r w:rsidRPr="003A07B9">
        <w:rPr>
          <w:sz w:val="24"/>
          <w:szCs w:val="24"/>
        </w:rPr>
        <w:tab/>
      </w:r>
      <w:r w:rsidRPr="003A07B9">
        <w:rPr>
          <w:sz w:val="24"/>
          <w:szCs w:val="24"/>
        </w:rPr>
        <w:tab/>
      </w:r>
      <w:r w:rsidRPr="003A07B9">
        <w:rPr>
          <w:sz w:val="24"/>
          <w:szCs w:val="24"/>
        </w:rPr>
        <w:tab/>
        <w:t>J. Bordāns</w:t>
      </w:r>
    </w:p>
    <w:p w14:paraId="6E376B4A" w14:textId="77777777" w:rsidR="00144A33" w:rsidRDefault="00144A33" w:rsidP="006D1CD9">
      <w:pPr>
        <w:spacing w:after="0" w:line="240" w:lineRule="auto"/>
        <w:rPr>
          <w:szCs w:val="22"/>
        </w:rPr>
      </w:pPr>
    </w:p>
    <w:p w14:paraId="4F35364F" w14:textId="77777777" w:rsidR="00144A33" w:rsidRDefault="00144A33" w:rsidP="006D1CD9">
      <w:pPr>
        <w:spacing w:after="0" w:line="240" w:lineRule="auto"/>
        <w:rPr>
          <w:szCs w:val="22"/>
        </w:rPr>
      </w:pPr>
    </w:p>
    <w:p w14:paraId="058DDE9A" w14:textId="5F1BF93B" w:rsidR="006D1CD9" w:rsidRPr="006D1CD9" w:rsidRDefault="006D1CD9" w:rsidP="006D1CD9">
      <w:pPr>
        <w:spacing w:after="0" w:line="240" w:lineRule="auto"/>
        <w:rPr>
          <w:szCs w:val="22"/>
        </w:rPr>
      </w:pPr>
      <w:r w:rsidRPr="006D1CD9">
        <w:rPr>
          <w:szCs w:val="22"/>
        </w:rPr>
        <w:t>Alberinga 67036835</w:t>
      </w:r>
    </w:p>
    <w:p w14:paraId="2EA16029" w14:textId="77777777" w:rsidR="006D1CD9" w:rsidRPr="006D1CD9" w:rsidRDefault="00716518" w:rsidP="006D1CD9">
      <w:pPr>
        <w:spacing w:after="0" w:line="240" w:lineRule="auto"/>
        <w:rPr>
          <w:sz w:val="22"/>
          <w:szCs w:val="22"/>
        </w:rPr>
      </w:pPr>
      <w:hyperlink r:id="rId14" w:history="1">
        <w:r w:rsidR="006D1CD9" w:rsidRPr="006D1CD9">
          <w:rPr>
            <w:color w:val="0000FF" w:themeColor="hyperlink"/>
            <w:szCs w:val="22"/>
            <w:u w:val="single"/>
          </w:rPr>
          <w:t>Kristine.Alberinga@tm.gov.lv</w:t>
        </w:r>
      </w:hyperlink>
      <w:r w:rsidR="006D1CD9" w:rsidRPr="006D1CD9">
        <w:rPr>
          <w:szCs w:val="22"/>
        </w:rPr>
        <w:t xml:space="preserve"> </w:t>
      </w:r>
    </w:p>
    <w:p w14:paraId="02451915" w14:textId="0BF30830" w:rsidR="00C34576" w:rsidRPr="006A1C25" w:rsidRDefault="00C34576" w:rsidP="006D1CD9">
      <w:pPr>
        <w:spacing w:after="0" w:line="240" w:lineRule="auto"/>
        <w:rPr>
          <w:i/>
        </w:rPr>
      </w:pPr>
    </w:p>
    <w:sectPr w:rsidR="00C34576" w:rsidRPr="006A1C25" w:rsidSect="004D15A9">
      <w:headerReference w:type="default" r:id="rId15"/>
      <w:footerReference w:type="default" r:id="rId16"/>
      <w:footerReference w:type="first" r:id="rId17"/>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E73E8" w14:textId="77777777" w:rsidR="00716518" w:rsidRDefault="00716518" w:rsidP="004D15A9">
      <w:pPr>
        <w:spacing w:after="0" w:line="240" w:lineRule="auto"/>
      </w:pPr>
      <w:r>
        <w:separator/>
      </w:r>
    </w:p>
  </w:endnote>
  <w:endnote w:type="continuationSeparator" w:id="0">
    <w:p w14:paraId="306791A6" w14:textId="77777777" w:rsidR="00716518" w:rsidRDefault="00716518"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745DF" w14:textId="77777777" w:rsidR="00C65605" w:rsidRPr="00C65605" w:rsidRDefault="00C65605" w:rsidP="00C65605">
    <w:pPr>
      <w:pStyle w:val="Footer"/>
      <w:jc w:val="center"/>
      <w:rPr>
        <w:i/>
      </w:rPr>
    </w:pPr>
  </w:p>
  <w:p w14:paraId="6A190106" w14:textId="0A9E5B42" w:rsidR="004D15A9" w:rsidRPr="0042645D" w:rsidRDefault="00EF2247" w:rsidP="0042645D">
    <w:pPr>
      <w:pStyle w:val="Footer"/>
    </w:pPr>
    <w:fldSimple w:instr=" FILENAME   \* MERGEFORMAT ">
      <w:r w:rsidR="00C26E82">
        <w:rPr>
          <w:noProof/>
        </w:rPr>
        <w:t>TMAnot_</w:t>
      </w:r>
      <w:r w:rsidR="00DE3567">
        <w:rPr>
          <w:noProof/>
        </w:rPr>
        <w:t>12</w:t>
      </w:r>
      <w:r w:rsidR="006C70F3">
        <w:rPr>
          <w:noProof/>
        </w:rPr>
        <w:t>10</w:t>
      </w:r>
      <w:r w:rsidR="001448E0">
        <w:rPr>
          <w:noProof/>
        </w:rPr>
        <w:t>20</w:t>
      </w:r>
      <w:r w:rsidR="00C26E82">
        <w:rPr>
          <w:noProof/>
        </w:rPr>
        <w:t>_</w:t>
      </w:r>
      <w:r w:rsidR="001448E0">
        <w:rPr>
          <w:noProof/>
        </w:rPr>
        <w:t>biroji</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0E123" w14:textId="77777777" w:rsidR="00C65605" w:rsidRPr="00C65605" w:rsidRDefault="00C65605" w:rsidP="00C65605">
    <w:pPr>
      <w:tabs>
        <w:tab w:val="center" w:pos="4153"/>
        <w:tab w:val="right" w:pos="8306"/>
      </w:tabs>
      <w:spacing w:after="0" w:line="240" w:lineRule="auto"/>
      <w:jc w:val="center"/>
      <w:rPr>
        <w:rFonts w:eastAsia="Calibri"/>
        <w:i/>
      </w:rPr>
    </w:pPr>
  </w:p>
  <w:p w14:paraId="0854F658" w14:textId="080E22D9" w:rsidR="004D15A9" w:rsidRPr="0042645D" w:rsidRDefault="00EF2247" w:rsidP="0042645D">
    <w:pPr>
      <w:pStyle w:val="Footer"/>
    </w:pPr>
    <w:fldSimple w:instr=" FILENAME   \* MERGEFORMAT ">
      <w:r w:rsidR="00C26E82">
        <w:rPr>
          <w:noProof/>
        </w:rPr>
        <w:t>TMAnot_</w:t>
      </w:r>
      <w:r w:rsidR="00DE3567">
        <w:rPr>
          <w:noProof/>
        </w:rPr>
        <w:t>12</w:t>
      </w:r>
      <w:r w:rsidR="006C70F3">
        <w:rPr>
          <w:noProof/>
        </w:rPr>
        <w:t>10</w:t>
      </w:r>
      <w:r w:rsidR="001448E0">
        <w:rPr>
          <w:noProof/>
        </w:rPr>
        <w:t>20</w:t>
      </w:r>
      <w:r w:rsidR="00C26E82">
        <w:rPr>
          <w:noProof/>
        </w:rPr>
        <w:t>_</w:t>
      </w:r>
      <w:r w:rsidR="001448E0">
        <w:rPr>
          <w:noProof/>
        </w:rPr>
        <w:t>biroji</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087B0" w14:textId="77777777" w:rsidR="00716518" w:rsidRDefault="00716518" w:rsidP="004D15A9">
      <w:pPr>
        <w:spacing w:after="0" w:line="240" w:lineRule="auto"/>
      </w:pPr>
      <w:r>
        <w:separator/>
      </w:r>
    </w:p>
  </w:footnote>
  <w:footnote w:type="continuationSeparator" w:id="0">
    <w:p w14:paraId="4C4EA59E" w14:textId="77777777" w:rsidR="00716518" w:rsidRDefault="00716518" w:rsidP="004D15A9">
      <w:pPr>
        <w:spacing w:after="0" w:line="240" w:lineRule="auto"/>
      </w:pPr>
      <w:r>
        <w:continuationSeparator/>
      </w:r>
    </w:p>
  </w:footnote>
  <w:footnote w:id="1">
    <w:p w14:paraId="05C029D7" w14:textId="77777777" w:rsidR="00AF5F2E" w:rsidRPr="00AF5F2E" w:rsidRDefault="00AF5F2E" w:rsidP="00AF5F2E">
      <w:pPr>
        <w:spacing w:after="0" w:line="240" w:lineRule="auto"/>
        <w:jc w:val="both"/>
      </w:pPr>
      <w:r w:rsidRPr="00AF5F2E">
        <w:rPr>
          <w:rStyle w:val="FootnoteReference"/>
        </w:rPr>
        <w:footnoteRef/>
      </w:r>
      <w:r w:rsidRPr="00AF5F2E">
        <w:t xml:space="preserve"> Sk. Satversmes tiesas 27.06.2013. spriedums lietā Nr. 2012-22-0103. </w:t>
      </w:r>
      <w:hyperlink r:id="rId1" w:anchor="search" w:history="1">
        <w:r w:rsidRPr="00AF5F2E">
          <w:rPr>
            <w:rStyle w:val="Hyperlink"/>
          </w:rPr>
          <w:t>http://www.satv.tiesa.gov.lv/web/viewer.html?file=http://www.satv.tiesa.gov.lv/wp-content/uploads/2016/02/2012-22-0103_Spriedums.pdf#search</w:t>
        </w:r>
      </w:hyperlink>
      <w:r w:rsidRPr="00AF5F2E">
        <w:t xml:space="preserve">=  </w:t>
      </w:r>
    </w:p>
  </w:footnote>
  <w:footnote w:id="2">
    <w:p w14:paraId="3811D00F" w14:textId="77777777" w:rsidR="00AF5F2E" w:rsidRPr="00AF5F2E" w:rsidRDefault="00AF5F2E" w:rsidP="00AF5F2E">
      <w:pPr>
        <w:pStyle w:val="FootnoteText"/>
      </w:pPr>
      <w:r w:rsidRPr="00AF5F2E">
        <w:rPr>
          <w:rStyle w:val="FootnoteReference"/>
        </w:rPr>
        <w:footnoteRef/>
      </w:r>
      <w:r w:rsidRPr="00AF5F2E">
        <w:t xml:space="preserve"> </w:t>
      </w:r>
      <w:hyperlink r:id="rId2" w:anchor="B" w:history="1">
        <w:r w:rsidRPr="00AF5F2E">
          <w:rPr>
            <w:rStyle w:val="Hyperlink"/>
          </w:rPr>
          <w:t>https://titania.saeima.lv/LIVS13/saeimalivs13.nsf/0/1198445E9D4C44F6C225859A00233677?OpenDocument#B</w:t>
        </w:r>
      </w:hyperlink>
      <w:r w:rsidRPr="00AF5F2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230928"/>
      <w:docPartObj>
        <w:docPartGallery w:val="Page Numbers (Top of Page)"/>
        <w:docPartUnique/>
      </w:docPartObj>
    </w:sdtPr>
    <w:sdtEndPr>
      <w:rPr>
        <w:sz w:val="24"/>
        <w:szCs w:val="24"/>
      </w:rPr>
    </w:sdtEndPr>
    <w:sdtContent>
      <w:p w14:paraId="3D63889F" w14:textId="7964063A" w:rsidR="004D15A9" w:rsidRPr="004D15A9" w:rsidRDefault="004D15A9">
        <w:pPr>
          <w:pStyle w:val="Header"/>
          <w:jc w:val="center"/>
          <w:rPr>
            <w:sz w:val="24"/>
            <w:szCs w:val="24"/>
          </w:rPr>
        </w:pPr>
        <w:r w:rsidRPr="004D15A9">
          <w:rPr>
            <w:sz w:val="24"/>
            <w:szCs w:val="24"/>
          </w:rPr>
          <w:fldChar w:fldCharType="begin"/>
        </w:r>
        <w:r w:rsidRPr="004D15A9">
          <w:rPr>
            <w:sz w:val="24"/>
            <w:szCs w:val="24"/>
          </w:rPr>
          <w:instrText>PAGE   \* MERGEFORMAT</w:instrText>
        </w:r>
        <w:r w:rsidRPr="004D15A9">
          <w:rPr>
            <w:sz w:val="24"/>
            <w:szCs w:val="24"/>
          </w:rPr>
          <w:fldChar w:fldCharType="separate"/>
        </w:r>
        <w:r w:rsidR="00B83C87">
          <w:rPr>
            <w:noProof/>
            <w:sz w:val="24"/>
            <w:szCs w:val="24"/>
          </w:rPr>
          <w:t>7</w:t>
        </w:r>
        <w:r w:rsidRPr="004D15A9">
          <w:rPr>
            <w:sz w:val="24"/>
            <w:szCs w:val="24"/>
          </w:rPr>
          <w:fldChar w:fldCharType="end"/>
        </w:r>
      </w:p>
    </w:sdtContent>
  </w:sdt>
  <w:p w14:paraId="2E7D154D" w14:textId="77777777" w:rsidR="004D15A9" w:rsidRDefault="004D1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1109D20"/>
    <w:lvl w:ilvl="0">
      <w:numFmt w:val="decimal"/>
      <w:lvlText w:val="*"/>
      <w:lvlJc w:val="left"/>
    </w:lvl>
  </w:abstractNum>
  <w:abstractNum w:abstractNumId="1" w15:restartNumberingAfterBreak="0">
    <w:nsid w:val="071855F9"/>
    <w:multiLevelType w:val="hybridMultilevel"/>
    <w:tmpl w:val="5D6ECD88"/>
    <w:lvl w:ilvl="0" w:tplc="5A084E6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992E80"/>
    <w:multiLevelType w:val="hybridMultilevel"/>
    <w:tmpl w:val="B5C837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5E1EA3"/>
    <w:multiLevelType w:val="hybridMultilevel"/>
    <w:tmpl w:val="CCD6BA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22517F5"/>
    <w:multiLevelType w:val="hybridMultilevel"/>
    <w:tmpl w:val="8EB41B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665077"/>
    <w:multiLevelType w:val="hybridMultilevel"/>
    <w:tmpl w:val="12800914"/>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D852B2"/>
    <w:multiLevelType w:val="hybridMultilevel"/>
    <w:tmpl w:val="3EC69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FA7372"/>
    <w:multiLevelType w:val="hybridMultilevel"/>
    <w:tmpl w:val="60343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A63B6C"/>
    <w:multiLevelType w:val="hybridMultilevel"/>
    <w:tmpl w:val="2DF0C1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4475FAF"/>
    <w:multiLevelType w:val="hybridMultilevel"/>
    <w:tmpl w:val="F68AA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CC2030C"/>
    <w:multiLevelType w:val="hybridMultilevel"/>
    <w:tmpl w:val="281AD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3"/>
  </w:num>
  <w:num w:numId="4">
    <w:abstractNumId w:val="7"/>
  </w:num>
  <w:num w:numId="5">
    <w:abstractNumId w:val="1"/>
  </w:num>
  <w:num w:numId="6">
    <w:abstractNumId w:val="8"/>
  </w:num>
  <w:num w:numId="7">
    <w:abstractNumId w:val="9"/>
  </w:num>
  <w:num w:numId="8">
    <w:abstractNumId w:val="11"/>
  </w:num>
  <w:num w:numId="9">
    <w:abstractNumId w:val="4"/>
  </w:num>
  <w:num w:numId="10">
    <w:abstractNumId w:val="5"/>
  </w:num>
  <w:num w:numId="11">
    <w:abstractNumId w:val="6"/>
  </w:num>
  <w:num w:numId="12">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1421"/>
    <w:rsid w:val="000035B6"/>
    <w:rsid w:val="00005C22"/>
    <w:rsid w:val="000151F4"/>
    <w:rsid w:val="00015E7B"/>
    <w:rsid w:val="000210B3"/>
    <w:rsid w:val="000272B2"/>
    <w:rsid w:val="00031256"/>
    <w:rsid w:val="0003254B"/>
    <w:rsid w:val="0004110C"/>
    <w:rsid w:val="00042D3A"/>
    <w:rsid w:val="000440D8"/>
    <w:rsid w:val="000470C2"/>
    <w:rsid w:val="000501E8"/>
    <w:rsid w:val="0005188D"/>
    <w:rsid w:val="000572D2"/>
    <w:rsid w:val="00060A95"/>
    <w:rsid w:val="000665EF"/>
    <w:rsid w:val="0007062D"/>
    <w:rsid w:val="0007274E"/>
    <w:rsid w:val="00072DF8"/>
    <w:rsid w:val="00080A74"/>
    <w:rsid w:val="00081B11"/>
    <w:rsid w:val="00082C57"/>
    <w:rsid w:val="00084207"/>
    <w:rsid w:val="00084E75"/>
    <w:rsid w:val="0009277A"/>
    <w:rsid w:val="00097BB0"/>
    <w:rsid w:val="000A33B6"/>
    <w:rsid w:val="000A55E6"/>
    <w:rsid w:val="000A7A76"/>
    <w:rsid w:val="000B0238"/>
    <w:rsid w:val="000B115C"/>
    <w:rsid w:val="000B2630"/>
    <w:rsid w:val="000B31E1"/>
    <w:rsid w:val="000B3EE7"/>
    <w:rsid w:val="000B576E"/>
    <w:rsid w:val="000B5A3E"/>
    <w:rsid w:val="000B6B03"/>
    <w:rsid w:val="000C19CF"/>
    <w:rsid w:val="000C2E97"/>
    <w:rsid w:val="000C3E92"/>
    <w:rsid w:val="000C405C"/>
    <w:rsid w:val="000C494C"/>
    <w:rsid w:val="000C63DF"/>
    <w:rsid w:val="000C6B53"/>
    <w:rsid w:val="000D0C5C"/>
    <w:rsid w:val="000D28B1"/>
    <w:rsid w:val="000D303B"/>
    <w:rsid w:val="000D3242"/>
    <w:rsid w:val="000E3461"/>
    <w:rsid w:val="000E42FD"/>
    <w:rsid w:val="000E4390"/>
    <w:rsid w:val="000E4D50"/>
    <w:rsid w:val="000E67EB"/>
    <w:rsid w:val="000E7B1E"/>
    <w:rsid w:val="000F35A2"/>
    <w:rsid w:val="00101CD5"/>
    <w:rsid w:val="00107FC6"/>
    <w:rsid w:val="00111ED1"/>
    <w:rsid w:val="00116C74"/>
    <w:rsid w:val="00117B39"/>
    <w:rsid w:val="00120F7B"/>
    <w:rsid w:val="00127330"/>
    <w:rsid w:val="00127A1D"/>
    <w:rsid w:val="001448E0"/>
    <w:rsid w:val="00144A33"/>
    <w:rsid w:val="00144C01"/>
    <w:rsid w:val="001507F5"/>
    <w:rsid w:val="00151371"/>
    <w:rsid w:val="001605E3"/>
    <w:rsid w:val="00161A44"/>
    <w:rsid w:val="00162F6C"/>
    <w:rsid w:val="00173B4D"/>
    <w:rsid w:val="001751D0"/>
    <w:rsid w:val="00184A60"/>
    <w:rsid w:val="00192ACB"/>
    <w:rsid w:val="00197F8F"/>
    <w:rsid w:val="001A7149"/>
    <w:rsid w:val="001B1BD4"/>
    <w:rsid w:val="001B7B1B"/>
    <w:rsid w:val="001B7D38"/>
    <w:rsid w:val="001C0553"/>
    <w:rsid w:val="001C5969"/>
    <w:rsid w:val="001C716B"/>
    <w:rsid w:val="001C7839"/>
    <w:rsid w:val="001D0AE7"/>
    <w:rsid w:val="001D50C6"/>
    <w:rsid w:val="001D50D8"/>
    <w:rsid w:val="001E4903"/>
    <w:rsid w:val="001E6469"/>
    <w:rsid w:val="001F68D7"/>
    <w:rsid w:val="001F7D46"/>
    <w:rsid w:val="00200468"/>
    <w:rsid w:val="00201B6E"/>
    <w:rsid w:val="00203E87"/>
    <w:rsid w:val="00217349"/>
    <w:rsid w:val="0021786A"/>
    <w:rsid w:val="00217F09"/>
    <w:rsid w:val="00220682"/>
    <w:rsid w:val="002219FE"/>
    <w:rsid w:val="00221D78"/>
    <w:rsid w:val="0022314A"/>
    <w:rsid w:val="00224FC8"/>
    <w:rsid w:val="00225405"/>
    <w:rsid w:val="002256E6"/>
    <w:rsid w:val="00225A65"/>
    <w:rsid w:val="0022661D"/>
    <w:rsid w:val="002352E3"/>
    <w:rsid w:val="00237152"/>
    <w:rsid w:val="002411DE"/>
    <w:rsid w:val="0025108C"/>
    <w:rsid w:val="0025379E"/>
    <w:rsid w:val="002559BA"/>
    <w:rsid w:val="00256715"/>
    <w:rsid w:val="0026052B"/>
    <w:rsid w:val="00265D4C"/>
    <w:rsid w:val="002660A1"/>
    <w:rsid w:val="002664DB"/>
    <w:rsid w:val="002677F9"/>
    <w:rsid w:val="00270BD8"/>
    <w:rsid w:val="00277D1C"/>
    <w:rsid w:val="00280C10"/>
    <w:rsid w:val="002851A9"/>
    <w:rsid w:val="00285791"/>
    <w:rsid w:val="00286C5F"/>
    <w:rsid w:val="00287B5E"/>
    <w:rsid w:val="0029323A"/>
    <w:rsid w:val="002A1F5E"/>
    <w:rsid w:val="002A3A8A"/>
    <w:rsid w:val="002B0594"/>
    <w:rsid w:val="002C43AF"/>
    <w:rsid w:val="002C50B4"/>
    <w:rsid w:val="002C544B"/>
    <w:rsid w:val="002C570A"/>
    <w:rsid w:val="002C6AE9"/>
    <w:rsid w:val="002D1E43"/>
    <w:rsid w:val="002D4D7E"/>
    <w:rsid w:val="002D5AA7"/>
    <w:rsid w:val="002D74F8"/>
    <w:rsid w:val="002E36BC"/>
    <w:rsid w:val="002E602A"/>
    <w:rsid w:val="002E6E03"/>
    <w:rsid w:val="002F3CE4"/>
    <w:rsid w:val="002F4F22"/>
    <w:rsid w:val="002F54F0"/>
    <w:rsid w:val="00303E5F"/>
    <w:rsid w:val="00306CD5"/>
    <w:rsid w:val="00310C24"/>
    <w:rsid w:val="00312A70"/>
    <w:rsid w:val="00312B44"/>
    <w:rsid w:val="00314A09"/>
    <w:rsid w:val="00317EFD"/>
    <w:rsid w:val="00321E43"/>
    <w:rsid w:val="0032356B"/>
    <w:rsid w:val="0032459B"/>
    <w:rsid w:val="0032569B"/>
    <w:rsid w:val="003333C4"/>
    <w:rsid w:val="003401E4"/>
    <w:rsid w:val="0034391E"/>
    <w:rsid w:val="003466DE"/>
    <w:rsid w:val="00347C74"/>
    <w:rsid w:val="00347D11"/>
    <w:rsid w:val="00352445"/>
    <w:rsid w:val="00354948"/>
    <w:rsid w:val="003615CF"/>
    <w:rsid w:val="003663B0"/>
    <w:rsid w:val="00370500"/>
    <w:rsid w:val="00375343"/>
    <w:rsid w:val="003803BC"/>
    <w:rsid w:val="00383658"/>
    <w:rsid w:val="0038378D"/>
    <w:rsid w:val="003922B0"/>
    <w:rsid w:val="00392990"/>
    <w:rsid w:val="0039577E"/>
    <w:rsid w:val="003958E1"/>
    <w:rsid w:val="00397D36"/>
    <w:rsid w:val="003A003C"/>
    <w:rsid w:val="003A07B9"/>
    <w:rsid w:val="003A2A0B"/>
    <w:rsid w:val="003A6389"/>
    <w:rsid w:val="003A6668"/>
    <w:rsid w:val="003B2BDA"/>
    <w:rsid w:val="003B4242"/>
    <w:rsid w:val="003B5F87"/>
    <w:rsid w:val="003B68AF"/>
    <w:rsid w:val="003B6C2A"/>
    <w:rsid w:val="003B74D3"/>
    <w:rsid w:val="003C25C0"/>
    <w:rsid w:val="003C649D"/>
    <w:rsid w:val="003C6D41"/>
    <w:rsid w:val="003C6EE7"/>
    <w:rsid w:val="003D0A44"/>
    <w:rsid w:val="003D17BF"/>
    <w:rsid w:val="003D1C22"/>
    <w:rsid w:val="003D2599"/>
    <w:rsid w:val="003D3693"/>
    <w:rsid w:val="003D5534"/>
    <w:rsid w:val="003D5E88"/>
    <w:rsid w:val="003D64AA"/>
    <w:rsid w:val="003D692D"/>
    <w:rsid w:val="003E0E7E"/>
    <w:rsid w:val="003E7CDD"/>
    <w:rsid w:val="003F4C55"/>
    <w:rsid w:val="003F538C"/>
    <w:rsid w:val="003F5AA5"/>
    <w:rsid w:val="00400EDB"/>
    <w:rsid w:val="00404142"/>
    <w:rsid w:val="00407580"/>
    <w:rsid w:val="0041023D"/>
    <w:rsid w:val="00411C30"/>
    <w:rsid w:val="004139D3"/>
    <w:rsid w:val="00416236"/>
    <w:rsid w:val="00417AFC"/>
    <w:rsid w:val="0042281B"/>
    <w:rsid w:val="0042645D"/>
    <w:rsid w:val="00430411"/>
    <w:rsid w:val="0043541A"/>
    <w:rsid w:val="00436343"/>
    <w:rsid w:val="00440546"/>
    <w:rsid w:val="00446E73"/>
    <w:rsid w:val="00446EF9"/>
    <w:rsid w:val="00454B1A"/>
    <w:rsid w:val="00456B65"/>
    <w:rsid w:val="00461275"/>
    <w:rsid w:val="004615D7"/>
    <w:rsid w:val="0046306A"/>
    <w:rsid w:val="004672F4"/>
    <w:rsid w:val="00467EE6"/>
    <w:rsid w:val="00481EF5"/>
    <w:rsid w:val="00484136"/>
    <w:rsid w:val="00484C27"/>
    <w:rsid w:val="004858E1"/>
    <w:rsid w:val="00490481"/>
    <w:rsid w:val="00490B0E"/>
    <w:rsid w:val="00496636"/>
    <w:rsid w:val="004A345D"/>
    <w:rsid w:val="004A5B34"/>
    <w:rsid w:val="004B18E3"/>
    <w:rsid w:val="004B4378"/>
    <w:rsid w:val="004B4E92"/>
    <w:rsid w:val="004B70E1"/>
    <w:rsid w:val="004B7263"/>
    <w:rsid w:val="004B7B7D"/>
    <w:rsid w:val="004C262C"/>
    <w:rsid w:val="004C3B12"/>
    <w:rsid w:val="004C3C6E"/>
    <w:rsid w:val="004C3FD0"/>
    <w:rsid w:val="004C443E"/>
    <w:rsid w:val="004C52CB"/>
    <w:rsid w:val="004C59EA"/>
    <w:rsid w:val="004D15A9"/>
    <w:rsid w:val="004D26B1"/>
    <w:rsid w:val="004D5B3D"/>
    <w:rsid w:val="004E4E5F"/>
    <w:rsid w:val="004E5090"/>
    <w:rsid w:val="004E7B46"/>
    <w:rsid w:val="004F2959"/>
    <w:rsid w:val="004F3400"/>
    <w:rsid w:val="004F4554"/>
    <w:rsid w:val="004F726B"/>
    <w:rsid w:val="005006B9"/>
    <w:rsid w:val="005024B3"/>
    <w:rsid w:val="00505FAC"/>
    <w:rsid w:val="00506459"/>
    <w:rsid w:val="005079D1"/>
    <w:rsid w:val="00510966"/>
    <w:rsid w:val="00515CEE"/>
    <w:rsid w:val="005161B4"/>
    <w:rsid w:val="005200C8"/>
    <w:rsid w:val="00520D7C"/>
    <w:rsid w:val="00523A3E"/>
    <w:rsid w:val="00534060"/>
    <w:rsid w:val="00534244"/>
    <w:rsid w:val="00535B38"/>
    <w:rsid w:val="0054074D"/>
    <w:rsid w:val="00544A6A"/>
    <w:rsid w:val="00544F52"/>
    <w:rsid w:val="0054510F"/>
    <w:rsid w:val="00552FBE"/>
    <w:rsid w:val="00553DC4"/>
    <w:rsid w:val="00555D57"/>
    <w:rsid w:val="00562BAE"/>
    <w:rsid w:val="005635CD"/>
    <w:rsid w:val="0056459F"/>
    <w:rsid w:val="0056778E"/>
    <w:rsid w:val="00573F9E"/>
    <w:rsid w:val="00575D08"/>
    <w:rsid w:val="005760B3"/>
    <w:rsid w:val="005843F3"/>
    <w:rsid w:val="005843FE"/>
    <w:rsid w:val="0059057E"/>
    <w:rsid w:val="00594904"/>
    <w:rsid w:val="005953B6"/>
    <w:rsid w:val="00595F48"/>
    <w:rsid w:val="00597525"/>
    <w:rsid w:val="005A1E89"/>
    <w:rsid w:val="005B025E"/>
    <w:rsid w:val="005B1C62"/>
    <w:rsid w:val="005B426B"/>
    <w:rsid w:val="005B5216"/>
    <w:rsid w:val="005B59D9"/>
    <w:rsid w:val="005B72D7"/>
    <w:rsid w:val="005C0266"/>
    <w:rsid w:val="005C1BAA"/>
    <w:rsid w:val="005C72C6"/>
    <w:rsid w:val="005C7D9F"/>
    <w:rsid w:val="005D0DC8"/>
    <w:rsid w:val="005D1EFA"/>
    <w:rsid w:val="005D409E"/>
    <w:rsid w:val="005D4E8A"/>
    <w:rsid w:val="005E3A10"/>
    <w:rsid w:val="005E4D38"/>
    <w:rsid w:val="005F0CB1"/>
    <w:rsid w:val="005F3FF0"/>
    <w:rsid w:val="005F6598"/>
    <w:rsid w:val="00600BC2"/>
    <w:rsid w:val="00601FF4"/>
    <w:rsid w:val="00604140"/>
    <w:rsid w:val="00604A72"/>
    <w:rsid w:val="00604C73"/>
    <w:rsid w:val="006058D6"/>
    <w:rsid w:val="00612A92"/>
    <w:rsid w:val="006139AD"/>
    <w:rsid w:val="00630EB3"/>
    <w:rsid w:val="00641814"/>
    <w:rsid w:val="0064197D"/>
    <w:rsid w:val="00642A12"/>
    <w:rsid w:val="0064321F"/>
    <w:rsid w:val="00644AAB"/>
    <w:rsid w:val="00644E2D"/>
    <w:rsid w:val="006475B3"/>
    <w:rsid w:val="0065436D"/>
    <w:rsid w:val="00654407"/>
    <w:rsid w:val="00656456"/>
    <w:rsid w:val="006564BC"/>
    <w:rsid w:val="00657682"/>
    <w:rsid w:val="0066241B"/>
    <w:rsid w:val="006641E1"/>
    <w:rsid w:val="00666315"/>
    <w:rsid w:val="00666EE4"/>
    <w:rsid w:val="00682AE7"/>
    <w:rsid w:val="0068318A"/>
    <w:rsid w:val="006836C7"/>
    <w:rsid w:val="00685434"/>
    <w:rsid w:val="00692227"/>
    <w:rsid w:val="006A1C25"/>
    <w:rsid w:val="006A5092"/>
    <w:rsid w:val="006A5352"/>
    <w:rsid w:val="006A79D8"/>
    <w:rsid w:val="006B1470"/>
    <w:rsid w:val="006B55C0"/>
    <w:rsid w:val="006B627C"/>
    <w:rsid w:val="006B770F"/>
    <w:rsid w:val="006C4137"/>
    <w:rsid w:val="006C70F3"/>
    <w:rsid w:val="006D066C"/>
    <w:rsid w:val="006D1CD9"/>
    <w:rsid w:val="006D24C1"/>
    <w:rsid w:val="006D3DD0"/>
    <w:rsid w:val="006D4B44"/>
    <w:rsid w:val="006D4F28"/>
    <w:rsid w:val="006D7913"/>
    <w:rsid w:val="006E3411"/>
    <w:rsid w:val="006E4206"/>
    <w:rsid w:val="006E4AAE"/>
    <w:rsid w:val="006E75F6"/>
    <w:rsid w:val="006F0856"/>
    <w:rsid w:val="006F3CD6"/>
    <w:rsid w:val="00700701"/>
    <w:rsid w:val="0070215D"/>
    <w:rsid w:val="0070223D"/>
    <w:rsid w:val="00703120"/>
    <w:rsid w:val="00703746"/>
    <w:rsid w:val="007047F3"/>
    <w:rsid w:val="007102E3"/>
    <w:rsid w:val="00710817"/>
    <w:rsid w:val="007136A0"/>
    <w:rsid w:val="00714FA3"/>
    <w:rsid w:val="00716518"/>
    <w:rsid w:val="0072162D"/>
    <w:rsid w:val="007334B5"/>
    <w:rsid w:val="00734483"/>
    <w:rsid w:val="00734566"/>
    <w:rsid w:val="00736BAB"/>
    <w:rsid w:val="0073730D"/>
    <w:rsid w:val="00742B48"/>
    <w:rsid w:val="00752426"/>
    <w:rsid w:val="00752A4E"/>
    <w:rsid w:val="007608F8"/>
    <w:rsid w:val="00762FF5"/>
    <w:rsid w:val="00763CCD"/>
    <w:rsid w:val="007640F4"/>
    <w:rsid w:val="007720A6"/>
    <w:rsid w:val="00773ACF"/>
    <w:rsid w:val="007740AF"/>
    <w:rsid w:val="00774946"/>
    <w:rsid w:val="00774A53"/>
    <w:rsid w:val="0077763B"/>
    <w:rsid w:val="0078241F"/>
    <w:rsid w:val="00785724"/>
    <w:rsid w:val="00790432"/>
    <w:rsid w:val="007907E1"/>
    <w:rsid w:val="00794AB5"/>
    <w:rsid w:val="00795710"/>
    <w:rsid w:val="007965B5"/>
    <w:rsid w:val="007A0E67"/>
    <w:rsid w:val="007A1836"/>
    <w:rsid w:val="007A7E12"/>
    <w:rsid w:val="007B37E0"/>
    <w:rsid w:val="007B52E5"/>
    <w:rsid w:val="007C3CEC"/>
    <w:rsid w:val="007C66CC"/>
    <w:rsid w:val="007C76FD"/>
    <w:rsid w:val="007C7FA3"/>
    <w:rsid w:val="007D1066"/>
    <w:rsid w:val="007D29A7"/>
    <w:rsid w:val="007D3045"/>
    <w:rsid w:val="007E2311"/>
    <w:rsid w:val="007E667A"/>
    <w:rsid w:val="007E72A0"/>
    <w:rsid w:val="007F35CE"/>
    <w:rsid w:val="007F38CD"/>
    <w:rsid w:val="007F7586"/>
    <w:rsid w:val="00802744"/>
    <w:rsid w:val="00803B13"/>
    <w:rsid w:val="00810F4E"/>
    <w:rsid w:val="0081203F"/>
    <w:rsid w:val="00813DD7"/>
    <w:rsid w:val="008158D3"/>
    <w:rsid w:val="00820797"/>
    <w:rsid w:val="008208A7"/>
    <w:rsid w:val="0082467D"/>
    <w:rsid w:val="00825088"/>
    <w:rsid w:val="00836373"/>
    <w:rsid w:val="0084036F"/>
    <w:rsid w:val="00841836"/>
    <w:rsid w:val="00842CB6"/>
    <w:rsid w:val="00842FDC"/>
    <w:rsid w:val="00843242"/>
    <w:rsid w:val="00843AA3"/>
    <w:rsid w:val="008609EA"/>
    <w:rsid w:val="0086307C"/>
    <w:rsid w:val="00874714"/>
    <w:rsid w:val="00874CBA"/>
    <w:rsid w:val="00876AD5"/>
    <w:rsid w:val="00877A5C"/>
    <w:rsid w:val="008826E9"/>
    <w:rsid w:val="00882BAD"/>
    <w:rsid w:val="00886D58"/>
    <w:rsid w:val="00890331"/>
    <w:rsid w:val="0089183D"/>
    <w:rsid w:val="00892F60"/>
    <w:rsid w:val="008934E5"/>
    <w:rsid w:val="008948B8"/>
    <w:rsid w:val="008957E2"/>
    <w:rsid w:val="00895EED"/>
    <w:rsid w:val="008963C1"/>
    <w:rsid w:val="008A6806"/>
    <w:rsid w:val="008A7964"/>
    <w:rsid w:val="008B14CE"/>
    <w:rsid w:val="008B271B"/>
    <w:rsid w:val="008B3CFE"/>
    <w:rsid w:val="008B4D14"/>
    <w:rsid w:val="008C3084"/>
    <w:rsid w:val="008C339C"/>
    <w:rsid w:val="008C5C84"/>
    <w:rsid w:val="008C66F7"/>
    <w:rsid w:val="008D2DB6"/>
    <w:rsid w:val="008D3982"/>
    <w:rsid w:val="008D6632"/>
    <w:rsid w:val="008E0C5B"/>
    <w:rsid w:val="008E4E93"/>
    <w:rsid w:val="008E5994"/>
    <w:rsid w:val="008E667E"/>
    <w:rsid w:val="008E707A"/>
    <w:rsid w:val="008E78B2"/>
    <w:rsid w:val="008F3349"/>
    <w:rsid w:val="008F58C5"/>
    <w:rsid w:val="008F7461"/>
    <w:rsid w:val="008F7801"/>
    <w:rsid w:val="00900FA8"/>
    <w:rsid w:val="00902750"/>
    <w:rsid w:val="00906E89"/>
    <w:rsid w:val="00913717"/>
    <w:rsid w:val="00921F6A"/>
    <w:rsid w:val="009249EA"/>
    <w:rsid w:val="00927BE1"/>
    <w:rsid w:val="00936471"/>
    <w:rsid w:val="00940816"/>
    <w:rsid w:val="00942D8C"/>
    <w:rsid w:val="009505F9"/>
    <w:rsid w:val="009528FD"/>
    <w:rsid w:val="00955135"/>
    <w:rsid w:val="00955CA6"/>
    <w:rsid w:val="009565B2"/>
    <w:rsid w:val="0095668A"/>
    <w:rsid w:val="009572C2"/>
    <w:rsid w:val="00957E1F"/>
    <w:rsid w:val="0096139B"/>
    <w:rsid w:val="00962440"/>
    <w:rsid w:val="009625A5"/>
    <w:rsid w:val="00963169"/>
    <w:rsid w:val="00964EA7"/>
    <w:rsid w:val="00967A9C"/>
    <w:rsid w:val="00972063"/>
    <w:rsid w:val="00973243"/>
    <w:rsid w:val="00973695"/>
    <w:rsid w:val="0097613E"/>
    <w:rsid w:val="0097690A"/>
    <w:rsid w:val="009816B8"/>
    <w:rsid w:val="009861FF"/>
    <w:rsid w:val="0099131E"/>
    <w:rsid w:val="00992F3A"/>
    <w:rsid w:val="00994A7D"/>
    <w:rsid w:val="009963FD"/>
    <w:rsid w:val="00997954"/>
    <w:rsid w:val="009A1EC3"/>
    <w:rsid w:val="009A2848"/>
    <w:rsid w:val="009B0FDF"/>
    <w:rsid w:val="009B312B"/>
    <w:rsid w:val="009B491F"/>
    <w:rsid w:val="009B5593"/>
    <w:rsid w:val="009B7777"/>
    <w:rsid w:val="009B7E72"/>
    <w:rsid w:val="009C0183"/>
    <w:rsid w:val="009C15D4"/>
    <w:rsid w:val="009C273B"/>
    <w:rsid w:val="009C7352"/>
    <w:rsid w:val="009D3A25"/>
    <w:rsid w:val="009D76FF"/>
    <w:rsid w:val="009E7F0F"/>
    <w:rsid w:val="009F277F"/>
    <w:rsid w:val="00A005D6"/>
    <w:rsid w:val="00A06851"/>
    <w:rsid w:val="00A148E0"/>
    <w:rsid w:val="00A14DC6"/>
    <w:rsid w:val="00A1552F"/>
    <w:rsid w:val="00A15F94"/>
    <w:rsid w:val="00A16E6F"/>
    <w:rsid w:val="00A16F36"/>
    <w:rsid w:val="00A20CA3"/>
    <w:rsid w:val="00A22B78"/>
    <w:rsid w:val="00A23984"/>
    <w:rsid w:val="00A24459"/>
    <w:rsid w:val="00A25A10"/>
    <w:rsid w:val="00A27901"/>
    <w:rsid w:val="00A32BC9"/>
    <w:rsid w:val="00A32FB1"/>
    <w:rsid w:val="00A41D2C"/>
    <w:rsid w:val="00A41F3B"/>
    <w:rsid w:val="00A44B28"/>
    <w:rsid w:val="00A455F9"/>
    <w:rsid w:val="00A526AB"/>
    <w:rsid w:val="00A52E16"/>
    <w:rsid w:val="00A53820"/>
    <w:rsid w:val="00A55065"/>
    <w:rsid w:val="00A61AA9"/>
    <w:rsid w:val="00A63068"/>
    <w:rsid w:val="00A63528"/>
    <w:rsid w:val="00A66831"/>
    <w:rsid w:val="00A716E1"/>
    <w:rsid w:val="00A756EA"/>
    <w:rsid w:val="00A7614E"/>
    <w:rsid w:val="00A84F39"/>
    <w:rsid w:val="00A857DD"/>
    <w:rsid w:val="00A907F2"/>
    <w:rsid w:val="00A9257A"/>
    <w:rsid w:val="00A945F5"/>
    <w:rsid w:val="00A94AF8"/>
    <w:rsid w:val="00A94E3F"/>
    <w:rsid w:val="00A957CD"/>
    <w:rsid w:val="00A959D2"/>
    <w:rsid w:val="00A978F1"/>
    <w:rsid w:val="00AA14A2"/>
    <w:rsid w:val="00AA2C39"/>
    <w:rsid w:val="00AA34D6"/>
    <w:rsid w:val="00AA5DFB"/>
    <w:rsid w:val="00AA7184"/>
    <w:rsid w:val="00AA79B0"/>
    <w:rsid w:val="00AB6562"/>
    <w:rsid w:val="00AB6C07"/>
    <w:rsid w:val="00AB7F03"/>
    <w:rsid w:val="00AC0032"/>
    <w:rsid w:val="00AC62D5"/>
    <w:rsid w:val="00AC6834"/>
    <w:rsid w:val="00AC6B25"/>
    <w:rsid w:val="00AD215D"/>
    <w:rsid w:val="00AD31D7"/>
    <w:rsid w:val="00AD324B"/>
    <w:rsid w:val="00AE3292"/>
    <w:rsid w:val="00AE57DA"/>
    <w:rsid w:val="00AE6E9C"/>
    <w:rsid w:val="00AF4265"/>
    <w:rsid w:val="00AF4363"/>
    <w:rsid w:val="00AF5F2E"/>
    <w:rsid w:val="00AF6C9E"/>
    <w:rsid w:val="00AF7AEA"/>
    <w:rsid w:val="00B003C9"/>
    <w:rsid w:val="00B03CE5"/>
    <w:rsid w:val="00B07603"/>
    <w:rsid w:val="00B11522"/>
    <w:rsid w:val="00B11C92"/>
    <w:rsid w:val="00B12E14"/>
    <w:rsid w:val="00B206A7"/>
    <w:rsid w:val="00B21488"/>
    <w:rsid w:val="00B21C77"/>
    <w:rsid w:val="00B21F64"/>
    <w:rsid w:val="00B250AF"/>
    <w:rsid w:val="00B3089E"/>
    <w:rsid w:val="00B31340"/>
    <w:rsid w:val="00B31948"/>
    <w:rsid w:val="00B338CA"/>
    <w:rsid w:val="00B34803"/>
    <w:rsid w:val="00B423AD"/>
    <w:rsid w:val="00B44750"/>
    <w:rsid w:val="00B448D0"/>
    <w:rsid w:val="00B457ED"/>
    <w:rsid w:val="00B50488"/>
    <w:rsid w:val="00B5141E"/>
    <w:rsid w:val="00B515E5"/>
    <w:rsid w:val="00B5611F"/>
    <w:rsid w:val="00B605C3"/>
    <w:rsid w:val="00B62D3C"/>
    <w:rsid w:val="00B64D31"/>
    <w:rsid w:val="00B66B3B"/>
    <w:rsid w:val="00B80CED"/>
    <w:rsid w:val="00B814BC"/>
    <w:rsid w:val="00B81C6E"/>
    <w:rsid w:val="00B830BF"/>
    <w:rsid w:val="00B831ED"/>
    <w:rsid w:val="00B83C87"/>
    <w:rsid w:val="00B90470"/>
    <w:rsid w:val="00B92C25"/>
    <w:rsid w:val="00BA1591"/>
    <w:rsid w:val="00BA2466"/>
    <w:rsid w:val="00BA3E50"/>
    <w:rsid w:val="00BA6B3C"/>
    <w:rsid w:val="00BA75AC"/>
    <w:rsid w:val="00BB10B5"/>
    <w:rsid w:val="00BB1F46"/>
    <w:rsid w:val="00BC21A1"/>
    <w:rsid w:val="00BC2633"/>
    <w:rsid w:val="00BC5551"/>
    <w:rsid w:val="00BC623C"/>
    <w:rsid w:val="00BC6C2F"/>
    <w:rsid w:val="00BC7F86"/>
    <w:rsid w:val="00BD194F"/>
    <w:rsid w:val="00BD3AA5"/>
    <w:rsid w:val="00BD419D"/>
    <w:rsid w:val="00BD494E"/>
    <w:rsid w:val="00BD5746"/>
    <w:rsid w:val="00BE058E"/>
    <w:rsid w:val="00BE357A"/>
    <w:rsid w:val="00BE5D89"/>
    <w:rsid w:val="00BE624F"/>
    <w:rsid w:val="00BE6584"/>
    <w:rsid w:val="00BF0442"/>
    <w:rsid w:val="00BF0D20"/>
    <w:rsid w:val="00BF115F"/>
    <w:rsid w:val="00BF327D"/>
    <w:rsid w:val="00BF3A34"/>
    <w:rsid w:val="00C00759"/>
    <w:rsid w:val="00C02448"/>
    <w:rsid w:val="00C056E0"/>
    <w:rsid w:val="00C13559"/>
    <w:rsid w:val="00C238FC"/>
    <w:rsid w:val="00C260D2"/>
    <w:rsid w:val="00C26B31"/>
    <w:rsid w:val="00C26E82"/>
    <w:rsid w:val="00C27452"/>
    <w:rsid w:val="00C312D0"/>
    <w:rsid w:val="00C3213A"/>
    <w:rsid w:val="00C32D29"/>
    <w:rsid w:val="00C33F11"/>
    <w:rsid w:val="00C34576"/>
    <w:rsid w:val="00C408D9"/>
    <w:rsid w:val="00C433E2"/>
    <w:rsid w:val="00C441B2"/>
    <w:rsid w:val="00C52EAD"/>
    <w:rsid w:val="00C53DC7"/>
    <w:rsid w:val="00C53ECA"/>
    <w:rsid w:val="00C578F1"/>
    <w:rsid w:val="00C65605"/>
    <w:rsid w:val="00C65B41"/>
    <w:rsid w:val="00C66E69"/>
    <w:rsid w:val="00C75E1E"/>
    <w:rsid w:val="00C7678F"/>
    <w:rsid w:val="00C86B12"/>
    <w:rsid w:val="00C920BF"/>
    <w:rsid w:val="00C9294D"/>
    <w:rsid w:val="00CA1610"/>
    <w:rsid w:val="00CA4B5B"/>
    <w:rsid w:val="00CA4E95"/>
    <w:rsid w:val="00CA5164"/>
    <w:rsid w:val="00CA6F65"/>
    <w:rsid w:val="00CA720D"/>
    <w:rsid w:val="00CB6292"/>
    <w:rsid w:val="00CB739B"/>
    <w:rsid w:val="00CC2358"/>
    <w:rsid w:val="00CC3FA4"/>
    <w:rsid w:val="00CD1F86"/>
    <w:rsid w:val="00CD37C5"/>
    <w:rsid w:val="00CD5676"/>
    <w:rsid w:val="00CD6BA0"/>
    <w:rsid w:val="00CD6BC8"/>
    <w:rsid w:val="00CE0917"/>
    <w:rsid w:val="00CE2E8B"/>
    <w:rsid w:val="00CE4D88"/>
    <w:rsid w:val="00CE694B"/>
    <w:rsid w:val="00CF1EAB"/>
    <w:rsid w:val="00CF2E0F"/>
    <w:rsid w:val="00CF34E7"/>
    <w:rsid w:val="00CF4541"/>
    <w:rsid w:val="00D00677"/>
    <w:rsid w:val="00D00E40"/>
    <w:rsid w:val="00D012FF"/>
    <w:rsid w:val="00D03BF3"/>
    <w:rsid w:val="00D07093"/>
    <w:rsid w:val="00D07F87"/>
    <w:rsid w:val="00D109E3"/>
    <w:rsid w:val="00D1107A"/>
    <w:rsid w:val="00D23195"/>
    <w:rsid w:val="00D25E02"/>
    <w:rsid w:val="00D313D5"/>
    <w:rsid w:val="00D34782"/>
    <w:rsid w:val="00D35802"/>
    <w:rsid w:val="00D376BD"/>
    <w:rsid w:val="00D404F0"/>
    <w:rsid w:val="00D42FD5"/>
    <w:rsid w:val="00D473C5"/>
    <w:rsid w:val="00D474E6"/>
    <w:rsid w:val="00D513DF"/>
    <w:rsid w:val="00D5176A"/>
    <w:rsid w:val="00D5202F"/>
    <w:rsid w:val="00D529D6"/>
    <w:rsid w:val="00D60140"/>
    <w:rsid w:val="00D60506"/>
    <w:rsid w:val="00D64E41"/>
    <w:rsid w:val="00D672C7"/>
    <w:rsid w:val="00D747EC"/>
    <w:rsid w:val="00D75DAF"/>
    <w:rsid w:val="00D77BA8"/>
    <w:rsid w:val="00D81F81"/>
    <w:rsid w:val="00D83C24"/>
    <w:rsid w:val="00D86010"/>
    <w:rsid w:val="00D86CD6"/>
    <w:rsid w:val="00D933F5"/>
    <w:rsid w:val="00D97BF1"/>
    <w:rsid w:val="00DA1089"/>
    <w:rsid w:val="00DA326E"/>
    <w:rsid w:val="00DA3AE4"/>
    <w:rsid w:val="00DA52AC"/>
    <w:rsid w:val="00DA596D"/>
    <w:rsid w:val="00DA764F"/>
    <w:rsid w:val="00DB01BA"/>
    <w:rsid w:val="00DB164E"/>
    <w:rsid w:val="00DB27AF"/>
    <w:rsid w:val="00DB3352"/>
    <w:rsid w:val="00DB49BA"/>
    <w:rsid w:val="00DB78C8"/>
    <w:rsid w:val="00DC0EDE"/>
    <w:rsid w:val="00DC3241"/>
    <w:rsid w:val="00DC59ED"/>
    <w:rsid w:val="00DC5E64"/>
    <w:rsid w:val="00DC6AD4"/>
    <w:rsid w:val="00DC762E"/>
    <w:rsid w:val="00DD4217"/>
    <w:rsid w:val="00DD5173"/>
    <w:rsid w:val="00DE09DF"/>
    <w:rsid w:val="00DE32A0"/>
    <w:rsid w:val="00DE3567"/>
    <w:rsid w:val="00DE6259"/>
    <w:rsid w:val="00DE78C6"/>
    <w:rsid w:val="00DF0682"/>
    <w:rsid w:val="00DF492E"/>
    <w:rsid w:val="00E01AE3"/>
    <w:rsid w:val="00E032A2"/>
    <w:rsid w:val="00E04A78"/>
    <w:rsid w:val="00E050CD"/>
    <w:rsid w:val="00E075A8"/>
    <w:rsid w:val="00E10B40"/>
    <w:rsid w:val="00E11644"/>
    <w:rsid w:val="00E13347"/>
    <w:rsid w:val="00E14C65"/>
    <w:rsid w:val="00E1614F"/>
    <w:rsid w:val="00E214EF"/>
    <w:rsid w:val="00E21A6E"/>
    <w:rsid w:val="00E2357E"/>
    <w:rsid w:val="00E252A2"/>
    <w:rsid w:val="00E25618"/>
    <w:rsid w:val="00E31FAE"/>
    <w:rsid w:val="00E3340A"/>
    <w:rsid w:val="00E339E9"/>
    <w:rsid w:val="00E37A6F"/>
    <w:rsid w:val="00E44C94"/>
    <w:rsid w:val="00E47A2B"/>
    <w:rsid w:val="00E520A7"/>
    <w:rsid w:val="00E52E8F"/>
    <w:rsid w:val="00E557CC"/>
    <w:rsid w:val="00E5586E"/>
    <w:rsid w:val="00E56F68"/>
    <w:rsid w:val="00E61B49"/>
    <w:rsid w:val="00E6521E"/>
    <w:rsid w:val="00E66CE1"/>
    <w:rsid w:val="00E701A3"/>
    <w:rsid w:val="00E740EC"/>
    <w:rsid w:val="00E74F92"/>
    <w:rsid w:val="00E776DA"/>
    <w:rsid w:val="00E77FF5"/>
    <w:rsid w:val="00E86641"/>
    <w:rsid w:val="00E86EBB"/>
    <w:rsid w:val="00E87BC2"/>
    <w:rsid w:val="00E90901"/>
    <w:rsid w:val="00E90EFC"/>
    <w:rsid w:val="00E9181C"/>
    <w:rsid w:val="00E91F6C"/>
    <w:rsid w:val="00E93B0E"/>
    <w:rsid w:val="00E93E43"/>
    <w:rsid w:val="00E95BFC"/>
    <w:rsid w:val="00E970D4"/>
    <w:rsid w:val="00EA1254"/>
    <w:rsid w:val="00EA3095"/>
    <w:rsid w:val="00EA6B1F"/>
    <w:rsid w:val="00EA7DF9"/>
    <w:rsid w:val="00EB2904"/>
    <w:rsid w:val="00EB3EC8"/>
    <w:rsid w:val="00EB4463"/>
    <w:rsid w:val="00EC12F9"/>
    <w:rsid w:val="00EC57A0"/>
    <w:rsid w:val="00ED0888"/>
    <w:rsid w:val="00ED1416"/>
    <w:rsid w:val="00ED4F0F"/>
    <w:rsid w:val="00ED573E"/>
    <w:rsid w:val="00ED5FF9"/>
    <w:rsid w:val="00ED7BCB"/>
    <w:rsid w:val="00EE3F2D"/>
    <w:rsid w:val="00EE46B0"/>
    <w:rsid w:val="00EE5C88"/>
    <w:rsid w:val="00EF0408"/>
    <w:rsid w:val="00EF2247"/>
    <w:rsid w:val="00EF48BD"/>
    <w:rsid w:val="00EF5F54"/>
    <w:rsid w:val="00F00A72"/>
    <w:rsid w:val="00F00B7C"/>
    <w:rsid w:val="00F0343F"/>
    <w:rsid w:val="00F03A1C"/>
    <w:rsid w:val="00F1085E"/>
    <w:rsid w:val="00F12586"/>
    <w:rsid w:val="00F13224"/>
    <w:rsid w:val="00F137B1"/>
    <w:rsid w:val="00F13E43"/>
    <w:rsid w:val="00F13EAD"/>
    <w:rsid w:val="00F17A6D"/>
    <w:rsid w:val="00F210B6"/>
    <w:rsid w:val="00F213C9"/>
    <w:rsid w:val="00F21426"/>
    <w:rsid w:val="00F2282A"/>
    <w:rsid w:val="00F22D94"/>
    <w:rsid w:val="00F2465D"/>
    <w:rsid w:val="00F277B5"/>
    <w:rsid w:val="00F31F43"/>
    <w:rsid w:val="00F32495"/>
    <w:rsid w:val="00F33C9F"/>
    <w:rsid w:val="00F3424E"/>
    <w:rsid w:val="00F35A42"/>
    <w:rsid w:val="00F35EFB"/>
    <w:rsid w:val="00F431A8"/>
    <w:rsid w:val="00F4331C"/>
    <w:rsid w:val="00F4608E"/>
    <w:rsid w:val="00F46BD6"/>
    <w:rsid w:val="00F509FE"/>
    <w:rsid w:val="00F50DC6"/>
    <w:rsid w:val="00F51892"/>
    <w:rsid w:val="00F56BFC"/>
    <w:rsid w:val="00F61E12"/>
    <w:rsid w:val="00F70EBB"/>
    <w:rsid w:val="00F71551"/>
    <w:rsid w:val="00F72D70"/>
    <w:rsid w:val="00F73A52"/>
    <w:rsid w:val="00F744F5"/>
    <w:rsid w:val="00F74B0D"/>
    <w:rsid w:val="00F80DFF"/>
    <w:rsid w:val="00F829A2"/>
    <w:rsid w:val="00F86E5C"/>
    <w:rsid w:val="00F91583"/>
    <w:rsid w:val="00F92923"/>
    <w:rsid w:val="00F93410"/>
    <w:rsid w:val="00FA4DD0"/>
    <w:rsid w:val="00FB1AA0"/>
    <w:rsid w:val="00FB1B79"/>
    <w:rsid w:val="00FB235B"/>
    <w:rsid w:val="00FB2959"/>
    <w:rsid w:val="00FB44C9"/>
    <w:rsid w:val="00FB7B51"/>
    <w:rsid w:val="00FC0CC3"/>
    <w:rsid w:val="00FC2D84"/>
    <w:rsid w:val="00FC32BA"/>
    <w:rsid w:val="00FC5BD1"/>
    <w:rsid w:val="00FC662F"/>
    <w:rsid w:val="00FC7237"/>
    <w:rsid w:val="00FC7C1B"/>
    <w:rsid w:val="00FD0991"/>
    <w:rsid w:val="00FD1D37"/>
    <w:rsid w:val="00FD7578"/>
    <w:rsid w:val="00FE40F8"/>
    <w:rsid w:val="00FE6577"/>
    <w:rsid w:val="00FF46B7"/>
    <w:rsid w:val="00FF46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42E54"/>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
    <w:name w:val="Style Right"/>
    <w:basedOn w:val="Normal"/>
    <w:rsid w:val="004D15A9"/>
    <w:pPr>
      <w:spacing w:after="120" w:line="240" w:lineRule="auto"/>
      <w:ind w:firstLine="720"/>
      <w:jc w:val="right"/>
    </w:pPr>
    <w:rPr>
      <w:rFonts w:eastAsia="Times New Roman"/>
      <w:sz w:val="28"/>
      <w:szCs w:val="28"/>
    </w:rPr>
  </w:style>
  <w:style w:type="paragraph" w:styleId="Header">
    <w:name w:val="header"/>
    <w:basedOn w:val="Normal"/>
    <w:link w:val="HeaderChar"/>
    <w:uiPriority w:val="99"/>
    <w:unhideWhenUsed/>
    <w:rsid w:val="004D15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5A9"/>
  </w:style>
  <w:style w:type="paragraph" w:styleId="Footer">
    <w:name w:val="footer"/>
    <w:basedOn w:val="Normal"/>
    <w:link w:val="FooterChar"/>
    <w:uiPriority w:val="99"/>
    <w:unhideWhenUsed/>
    <w:rsid w:val="004D1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5A9"/>
  </w:style>
  <w:style w:type="paragraph" w:styleId="BalloonText">
    <w:name w:val="Balloon Text"/>
    <w:basedOn w:val="Normal"/>
    <w:link w:val="BalloonTextChar"/>
    <w:uiPriority w:val="99"/>
    <w:semiHidden/>
    <w:unhideWhenUsed/>
    <w:rsid w:val="003A2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0B"/>
    <w:rPr>
      <w:rFonts w:ascii="Tahoma" w:hAnsi="Tahoma" w:cs="Tahoma"/>
      <w:sz w:val="16"/>
      <w:szCs w:val="16"/>
    </w:rPr>
  </w:style>
  <w:style w:type="paragraph" w:customStyle="1" w:styleId="labojumupamats1">
    <w:name w:val="labojumu_pamats1"/>
    <w:basedOn w:val="Normal"/>
    <w:rsid w:val="00515CEE"/>
    <w:pPr>
      <w:spacing w:before="45" w:after="0" w:line="312" w:lineRule="auto"/>
      <w:ind w:firstLine="300"/>
    </w:pPr>
    <w:rPr>
      <w:rFonts w:eastAsia="Times New Roman"/>
      <w:i/>
      <w:iCs/>
      <w:color w:val="414142"/>
      <w:lang w:eastAsia="lv-LV"/>
    </w:rPr>
  </w:style>
  <w:style w:type="paragraph" w:customStyle="1" w:styleId="tvhtml1">
    <w:name w:val="tv_html1"/>
    <w:basedOn w:val="Normal"/>
    <w:rsid w:val="00515CEE"/>
    <w:pPr>
      <w:spacing w:after="0" w:line="312" w:lineRule="auto"/>
      <w:ind w:firstLine="300"/>
    </w:pPr>
    <w:rPr>
      <w:rFonts w:eastAsia="Times New Roman"/>
      <w:color w:val="414142"/>
      <w:lang w:eastAsia="lv-LV"/>
    </w:rPr>
  </w:style>
  <w:style w:type="paragraph" w:styleId="ListParagraph">
    <w:name w:val="List Paragraph"/>
    <w:basedOn w:val="Normal"/>
    <w:uiPriority w:val="34"/>
    <w:qFormat/>
    <w:rsid w:val="00AB6562"/>
    <w:pPr>
      <w:ind w:left="720"/>
      <w:contextualSpacing/>
    </w:pPr>
  </w:style>
  <w:style w:type="character" w:styleId="Hyperlink">
    <w:name w:val="Hyperlink"/>
    <w:basedOn w:val="DefaultParagraphFont"/>
    <w:uiPriority w:val="99"/>
    <w:unhideWhenUsed/>
    <w:rsid w:val="008E4E93"/>
    <w:rPr>
      <w:color w:val="0000FF" w:themeColor="hyperlink"/>
      <w:u w:val="single"/>
    </w:rPr>
  </w:style>
  <w:style w:type="character" w:styleId="FollowedHyperlink">
    <w:name w:val="FollowedHyperlink"/>
    <w:basedOn w:val="DefaultParagraphFont"/>
    <w:uiPriority w:val="99"/>
    <w:semiHidden/>
    <w:unhideWhenUsed/>
    <w:rsid w:val="00BF3A34"/>
    <w:rPr>
      <w:color w:val="800080" w:themeColor="followedHyperlink"/>
      <w:u w:val="single"/>
    </w:rPr>
  </w:style>
  <w:style w:type="character" w:styleId="CommentReference">
    <w:name w:val="annotation reference"/>
    <w:basedOn w:val="DefaultParagraphFont"/>
    <w:uiPriority w:val="99"/>
    <w:semiHidden/>
    <w:unhideWhenUsed/>
    <w:rsid w:val="008E78B2"/>
    <w:rPr>
      <w:sz w:val="16"/>
      <w:szCs w:val="16"/>
    </w:rPr>
  </w:style>
  <w:style w:type="paragraph" w:styleId="CommentText">
    <w:name w:val="annotation text"/>
    <w:basedOn w:val="Normal"/>
    <w:link w:val="CommentTextChar"/>
    <w:uiPriority w:val="99"/>
    <w:semiHidden/>
    <w:unhideWhenUsed/>
    <w:rsid w:val="008E78B2"/>
    <w:pPr>
      <w:spacing w:line="240" w:lineRule="auto"/>
    </w:pPr>
  </w:style>
  <w:style w:type="character" w:customStyle="1" w:styleId="CommentTextChar">
    <w:name w:val="Comment Text Char"/>
    <w:basedOn w:val="DefaultParagraphFont"/>
    <w:link w:val="CommentText"/>
    <w:uiPriority w:val="99"/>
    <w:semiHidden/>
    <w:rsid w:val="008E78B2"/>
    <w:rPr>
      <w:sz w:val="20"/>
      <w:szCs w:val="20"/>
    </w:rPr>
  </w:style>
  <w:style w:type="paragraph" w:styleId="CommentSubject">
    <w:name w:val="annotation subject"/>
    <w:basedOn w:val="CommentText"/>
    <w:next w:val="CommentText"/>
    <w:link w:val="CommentSubjectChar"/>
    <w:uiPriority w:val="99"/>
    <w:semiHidden/>
    <w:unhideWhenUsed/>
    <w:rsid w:val="008E78B2"/>
    <w:rPr>
      <w:b/>
      <w:bCs/>
    </w:rPr>
  </w:style>
  <w:style w:type="character" w:customStyle="1" w:styleId="CommentSubjectChar">
    <w:name w:val="Comment Subject Char"/>
    <w:basedOn w:val="CommentTextChar"/>
    <w:link w:val="CommentSubject"/>
    <w:uiPriority w:val="99"/>
    <w:semiHidden/>
    <w:rsid w:val="008E78B2"/>
    <w:rPr>
      <w:b/>
      <w:bCs/>
      <w:sz w:val="20"/>
      <w:szCs w:val="20"/>
    </w:rPr>
  </w:style>
  <w:style w:type="character" w:styleId="UnresolvedMention">
    <w:name w:val="Unresolved Mention"/>
    <w:basedOn w:val="DefaultParagraphFont"/>
    <w:uiPriority w:val="99"/>
    <w:semiHidden/>
    <w:unhideWhenUsed/>
    <w:rsid w:val="00C34576"/>
    <w:rPr>
      <w:color w:val="605E5C"/>
      <w:shd w:val="clear" w:color="auto" w:fill="E1DFDD"/>
    </w:rPr>
  </w:style>
  <w:style w:type="paragraph" w:styleId="FootnoteText">
    <w:name w:val="footnote text"/>
    <w:basedOn w:val="Normal"/>
    <w:link w:val="FootnoteTextChar"/>
    <w:uiPriority w:val="99"/>
    <w:semiHidden/>
    <w:unhideWhenUsed/>
    <w:rsid w:val="00D747EC"/>
    <w:pPr>
      <w:spacing w:after="0" w:line="240" w:lineRule="auto"/>
    </w:pPr>
  </w:style>
  <w:style w:type="character" w:customStyle="1" w:styleId="FootnoteTextChar">
    <w:name w:val="Footnote Text Char"/>
    <w:basedOn w:val="DefaultParagraphFont"/>
    <w:link w:val="FootnoteText"/>
    <w:uiPriority w:val="99"/>
    <w:semiHidden/>
    <w:rsid w:val="00D747EC"/>
    <w:rPr>
      <w:sz w:val="20"/>
      <w:szCs w:val="20"/>
    </w:rPr>
  </w:style>
  <w:style w:type="character" w:styleId="FootnoteReference">
    <w:name w:val="footnote reference"/>
    <w:basedOn w:val="DefaultParagraphFont"/>
    <w:uiPriority w:val="99"/>
    <w:semiHidden/>
    <w:unhideWhenUsed/>
    <w:rsid w:val="00D747EC"/>
    <w:rPr>
      <w:vertAlign w:val="superscript"/>
    </w:rPr>
  </w:style>
  <w:style w:type="paragraph" w:customStyle="1" w:styleId="tv2132">
    <w:name w:val="tv2132"/>
    <w:basedOn w:val="Normal"/>
    <w:rsid w:val="0066241B"/>
    <w:pPr>
      <w:spacing w:after="0" w:line="360" w:lineRule="auto"/>
      <w:ind w:firstLine="300"/>
    </w:pPr>
    <w:rPr>
      <w:rFonts w:eastAsia="Times New Roman"/>
      <w:color w:val="41414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441458654">
      <w:bodyDiv w:val="1"/>
      <w:marLeft w:val="0"/>
      <w:marRight w:val="0"/>
      <w:marTop w:val="0"/>
      <w:marBottom w:val="0"/>
      <w:divBdr>
        <w:top w:val="none" w:sz="0" w:space="0" w:color="auto"/>
        <w:left w:val="none" w:sz="0" w:space="0" w:color="auto"/>
        <w:bottom w:val="none" w:sz="0" w:space="0" w:color="auto"/>
        <w:right w:val="none" w:sz="0" w:space="0" w:color="auto"/>
      </w:divBdr>
      <w:divsChild>
        <w:div w:id="2111703465">
          <w:marLeft w:val="0"/>
          <w:marRight w:val="0"/>
          <w:marTop w:val="0"/>
          <w:marBottom w:val="0"/>
          <w:divBdr>
            <w:top w:val="none" w:sz="0" w:space="0" w:color="auto"/>
            <w:left w:val="none" w:sz="0" w:space="0" w:color="auto"/>
            <w:bottom w:val="none" w:sz="0" w:space="0" w:color="auto"/>
            <w:right w:val="none" w:sz="0" w:space="0" w:color="auto"/>
          </w:divBdr>
          <w:divsChild>
            <w:div w:id="1448086295">
              <w:marLeft w:val="0"/>
              <w:marRight w:val="0"/>
              <w:marTop w:val="0"/>
              <w:marBottom w:val="0"/>
              <w:divBdr>
                <w:top w:val="none" w:sz="0" w:space="0" w:color="auto"/>
                <w:left w:val="none" w:sz="0" w:space="0" w:color="auto"/>
                <w:bottom w:val="none" w:sz="0" w:space="0" w:color="auto"/>
                <w:right w:val="none" w:sz="0" w:space="0" w:color="auto"/>
              </w:divBdr>
              <w:divsChild>
                <w:div w:id="1910262835">
                  <w:marLeft w:val="0"/>
                  <w:marRight w:val="0"/>
                  <w:marTop w:val="0"/>
                  <w:marBottom w:val="0"/>
                  <w:divBdr>
                    <w:top w:val="none" w:sz="0" w:space="0" w:color="auto"/>
                    <w:left w:val="none" w:sz="0" w:space="0" w:color="auto"/>
                    <w:bottom w:val="none" w:sz="0" w:space="0" w:color="auto"/>
                    <w:right w:val="none" w:sz="0" w:space="0" w:color="auto"/>
                  </w:divBdr>
                  <w:divsChild>
                    <w:div w:id="764888649">
                      <w:marLeft w:val="0"/>
                      <w:marRight w:val="0"/>
                      <w:marTop w:val="0"/>
                      <w:marBottom w:val="0"/>
                      <w:divBdr>
                        <w:top w:val="none" w:sz="0" w:space="0" w:color="auto"/>
                        <w:left w:val="none" w:sz="0" w:space="0" w:color="auto"/>
                        <w:bottom w:val="none" w:sz="0" w:space="0" w:color="auto"/>
                        <w:right w:val="none" w:sz="0" w:space="0" w:color="auto"/>
                      </w:divBdr>
                      <w:divsChild>
                        <w:div w:id="1320690213">
                          <w:marLeft w:val="0"/>
                          <w:marRight w:val="0"/>
                          <w:marTop w:val="0"/>
                          <w:marBottom w:val="0"/>
                          <w:divBdr>
                            <w:top w:val="none" w:sz="0" w:space="0" w:color="auto"/>
                            <w:left w:val="none" w:sz="0" w:space="0" w:color="auto"/>
                            <w:bottom w:val="none" w:sz="0" w:space="0" w:color="auto"/>
                            <w:right w:val="none" w:sz="0" w:space="0" w:color="auto"/>
                          </w:divBdr>
                          <w:divsChild>
                            <w:div w:id="6193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016846">
      <w:bodyDiv w:val="1"/>
      <w:marLeft w:val="0"/>
      <w:marRight w:val="0"/>
      <w:marTop w:val="0"/>
      <w:marBottom w:val="0"/>
      <w:divBdr>
        <w:top w:val="none" w:sz="0" w:space="0" w:color="auto"/>
        <w:left w:val="none" w:sz="0" w:space="0" w:color="auto"/>
        <w:bottom w:val="none" w:sz="0" w:space="0" w:color="auto"/>
        <w:right w:val="none" w:sz="0" w:space="0" w:color="auto"/>
      </w:divBdr>
      <w:divsChild>
        <w:div w:id="1194343106">
          <w:marLeft w:val="0"/>
          <w:marRight w:val="0"/>
          <w:marTop w:val="0"/>
          <w:marBottom w:val="0"/>
          <w:divBdr>
            <w:top w:val="none" w:sz="0" w:space="0" w:color="auto"/>
            <w:left w:val="none" w:sz="0" w:space="0" w:color="auto"/>
            <w:bottom w:val="none" w:sz="0" w:space="0" w:color="auto"/>
            <w:right w:val="none" w:sz="0" w:space="0" w:color="auto"/>
          </w:divBdr>
          <w:divsChild>
            <w:div w:id="137191452">
              <w:marLeft w:val="0"/>
              <w:marRight w:val="0"/>
              <w:marTop w:val="0"/>
              <w:marBottom w:val="0"/>
              <w:divBdr>
                <w:top w:val="none" w:sz="0" w:space="0" w:color="auto"/>
                <w:left w:val="none" w:sz="0" w:space="0" w:color="auto"/>
                <w:bottom w:val="none" w:sz="0" w:space="0" w:color="auto"/>
                <w:right w:val="none" w:sz="0" w:space="0" w:color="auto"/>
              </w:divBdr>
              <w:divsChild>
                <w:div w:id="647787124">
                  <w:marLeft w:val="0"/>
                  <w:marRight w:val="0"/>
                  <w:marTop w:val="0"/>
                  <w:marBottom w:val="0"/>
                  <w:divBdr>
                    <w:top w:val="none" w:sz="0" w:space="0" w:color="auto"/>
                    <w:left w:val="none" w:sz="0" w:space="0" w:color="auto"/>
                    <w:bottom w:val="none" w:sz="0" w:space="0" w:color="auto"/>
                    <w:right w:val="none" w:sz="0" w:space="0" w:color="auto"/>
                  </w:divBdr>
                  <w:divsChild>
                    <w:div w:id="1975060064">
                      <w:marLeft w:val="0"/>
                      <w:marRight w:val="0"/>
                      <w:marTop w:val="0"/>
                      <w:marBottom w:val="0"/>
                      <w:divBdr>
                        <w:top w:val="none" w:sz="0" w:space="0" w:color="auto"/>
                        <w:left w:val="none" w:sz="0" w:space="0" w:color="auto"/>
                        <w:bottom w:val="none" w:sz="0" w:space="0" w:color="auto"/>
                        <w:right w:val="none" w:sz="0" w:space="0" w:color="auto"/>
                      </w:divBdr>
                      <w:divsChild>
                        <w:div w:id="1406495819">
                          <w:marLeft w:val="0"/>
                          <w:marRight w:val="0"/>
                          <w:marTop w:val="15"/>
                          <w:marBottom w:val="0"/>
                          <w:divBdr>
                            <w:top w:val="none" w:sz="0" w:space="0" w:color="auto"/>
                            <w:left w:val="none" w:sz="0" w:space="0" w:color="auto"/>
                            <w:bottom w:val="none" w:sz="0" w:space="0" w:color="auto"/>
                            <w:right w:val="none" w:sz="0" w:space="0" w:color="auto"/>
                          </w:divBdr>
                          <w:divsChild>
                            <w:div w:id="1619409356">
                              <w:marLeft w:val="0"/>
                              <w:marRight w:val="0"/>
                              <w:marTop w:val="0"/>
                              <w:marBottom w:val="0"/>
                              <w:divBdr>
                                <w:top w:val="none" w:sz="0" w:space="0" w:color="auto"/>
                                <w:left w:val="none" w:sz="0" w:space="0" w:color="auto"/>
                                <w:bottom w:val="none" w:sz="0" w:space="0" w:color="auto"/>
                                <w:right w:val="none" w:sz="0" w:space="0" w:color="auto"/>
                              </w:divBdr>
                            </w:div>
                          </w:divsChild>
                        </w:div>
                        <w:div w:id="2134051250">
                          <w:marLeft w:val="0"/>
                          <w:marRight w:val="0"/>
                          <w:marTop w:val="15"/>
                          <w:marBottom w:val="0"/>
                          <w:divBdr>
                            <w:top w:val="none" w:sz="0" w:space="0" w:color="auto"/>
                            <w:left w:val="none" w:sz="0" w:space="0" w:color="auto"/>
                            <w:bottom w:val="none" w:sz="0" w:space="0" w:color="auto"/>
                            <w:right w:val="none" w:sz="0" w:space="0" w:color="auto"/>
                          </w:divBdr>
                          <w:divsChild>
                            <w:div w:id="6528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480621">
      <w:bodyDiv w:val="1"/>
      <w:marLeft w:val="0"/>
      <w:marRight w:val="0"/>
      <w:marTop w:val="0"/>
      <w:marBottom w:val="0"/>
      <w:divBdr>
        <w:top w:val="none" w:sz="0" w:space="0" w:color="auto"/>
        <w:left w:val="none" w:sz="0" w:space="0" w:color="auto"/>
        <w:bottom w:val="none" w:sz="0" w:space="0" w:color="auto"/>
        <w:right w:val="none" w:sz="0" w:space="0" w:color="auto"/>
      </w:divBdr>
      <w:divsChild>
        <w:div w:id="1102408644">
          <w:marLeft w:val="0"/>
          <w:marRight w:val="0"/>
          <w:marTop w:val="0"/>
          <w:marBottom w:val="0"/>
          <w:divBdr>
            <w:top w:val="none" w:sz="0" w:space="0" w:color="auto"/>
            <w:left w:val="none" w:sz="0" w:space="0" w:color="auto"/>
            <w:bottom w:val="none" w:sz="0" w:space="0" w:color="auto"/>
            <w:right w:val="none" w:sz="0" w:space="0" w:color="auto"/>
          </w:divBdr>
          <w:divsChild>
            <w:div w:id="746608024">
              <w:marLeft w:val="0"/>
              <w:marRight w:val="0"/>
              <w:marTop w:val="0"/>
              <w:marBottom w:val="0"/>
              <w:divBdr>
                <w:top w:val="none" w:sz="0" w:space="0" w:color="auto"/>
                <w:left w:val="none" w:sz="0" w:space="0" w:color="auto"/>
                <w:bottom w:val="none" w:sz="0" w:space="0" w:color="auto"/>
                <w:right w:val="none" w:sz="0" w:space="0" w:color="auto"/>
              </w:divBdr>
              <w:divsChild>
                <w:div w:id="1478183205">
                  <w:marLeft w:val="0"/>
                  <w:marRight w:val="0"/>
                  <w:marTop w:val="0"/>
                  <w:marBottom w:val="0"/>
                  <w:divBdr>
                    <w:top w:val="none" w:sz="0" w:space="0" w:color="auto"/>
                    <w:left w:val="none" w:sz="0" w:space="0" w:color="auto"/>
                    <w:bottom w:val="none" w:sz="0" w:space="0" w:color="auto"/>
                    <w:right w:val="none" w:sz="0" w:space="0" w:color="auto"/>
                  </w:divBdr>
                  <w:divsChild>
                    <w:div w:id="558444299">
                      <w:marLeft w:val="0"/>
                      <w:marRight w:val="0"/>
                      <w:marTop w:val="0"/>
                      <w:marBottom w:val="0"/>
                      <w:divBdr>
                        <w:top w:val="none" w:sz="0" w:space="0" w:color="auto"/>
                        <w:left w:val="none" w:sz="0" w:space="0" w:color="auto"/>
                        <w:bottom w:val="none" w:sz="0" w:space="0" w:color="auto"/>
                        <w:right w:val="none" w:sz="0" w:space="0" w:color="auto"/>
                      </w:divBdr>
                      <w:divsChild>
                        <w:div w:id="1089541216">
                          <w:marLeft w:val="0"/>
                          <w:marRight w:val="0"/>
                          <w:marTop w:val="15"/>
                          <w:marBottom w:val="0"/>
                          <w:divBdr>
                            <w:top w:val="none" w:sz="0" w:space="0" w:color="auto"/>
                            <w:left w:val="none" w:sz="0" w:space="0" w:color="auto"/>
                            <w:bottom w:val="none" w:sz="0" w:space="0" w:color="auto"/>
                            <w:right w:val="none" w:sz="0" w:space="0" w:color="auto"/>
                          </w:divBdr>
                          <w:divsChild>
                            <w:div w:id="1659771007">
                              <w:marLeft w:val="0"/>
                              <w:marRight w:val="0"/>
                              <w:marTop w:val="0"/>
                              <w:marBottom w:val="0"/>
                              <w:divBdr>
                                <w:top w:val="none" w:sz="0" w:space="0" w:color="auto"/>
                                <w:left w:val="none" w:sz="0" w:space="0" w:color="auto"/>
                                <w:bottom w:val="none" w:sz="0" w:space="0" w:color="auto"/>
                                <w:right w:val="none" w:sz="0" w:space="0" w:color="auto"/>
                              </w:divBdr>
                            </w:div>
                          </w:divsChild>
                        </w:div>
                        <w:div w:id="1866824944">
                          <w:marLeft w:val="0"/>
                          <w:marRight w:val="0"/>
                          <w:marTop w:val="15"/>
                          <w:marBottom w:val="0"/>
                          <w:divBdr>
                            <w:top w:val="none" w:sz="0" w:space="0" w:color="auto"/>
                            <w:left w:val="none" w:sz="0" w:space="0" w:color="auto"/>
                            <w:bottom w:val="none" w:sz="0" w:space="0" w:color="auto"/>
                            <w:right w:val="none" w:sz="0" w:space="0" w:color="auto"/>
                          </w:divBdr>
                          <w:divsChild>
                            <w:div w:id="91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043730">
      <w:bodyDiv w:val="1"/>
      <w:marLeft w:val="0"/>
      <w:marRight w:val="0"/>
      <w:marTop w:val="0"/>
      <w:marBottom w:val="0"/>
      <w:divBdr>
        <w:top w:val="none" w:sz="0" w:space="0" w:color="auto"/>
        <w:left w:val="none" w:sz="0" w:space="0" w:color="auto"/>
        <w:bottom w:val="none" w:sz="0" w:space="0" w:color="auto"/>
        <w:right w:val="none" w:sz="0" w:space="0" w:color="auto"/>
      </w:divBdr>
      <w:divsChild>
        <w:div w:id="437262060">
          <w:marLeft w:val="0"/>
          <w:marRight w:val="0"/>
          <w:marTop w:val="0"/>
          <w:marBottom w:val="0"/>
          <w:divBdr>
            <w:top w:val="none" w:sz="0" w:space="0" w:color="auto"/>
            <w:left w:val="none" w:sz="0" w:space="0" w:color="auto"/>
            <w:bottom w:val="none" w:sz="0" w:space="0" w:color="auto"/>
            <w:right w:val="none" w:sz="0" w:space="0" w:color="auto"/>
          </w:divBdr>
          <w:divsChild>
            <w:div w:id="1930430945">
              <w:marLeft w:val="0"/>
              <w:marRight w:val="0"/>
              <w:marTop w:val="0"/>
              <w:marBottom w:val="0"/>
              <w:divBdr>
                <w:top w:val="none" w:sz="0" w:space="0" w:color="auto"/>
                <w:left w:val="none" w:sz="0" w:space="0" w:color="auto"/>
                <w:bottom w:val="none" w:sz="0" w:space="0" w:color="auto"/>
                <w:right w:val="none" w:sz="0" w:space="0" w:color="auto"/>
              </w:divBdr>
              <w:divsChild>
                <w:div w:id="1142650961">
                  <w:marLeft w:val="0"/>
                  <w:marRight w:val="0"/>
                  <w:marTop w:val="0"/>
                  <w:marBottom w:val="0"/>
                  <w:divBdr>
                    <w:top w:val="none" w:sz="0" w:space="0" w:color="auto"/>
                    <w:left w:val="none" w:sz="0" w:space="0" w:color="auto"/>
                    <w:bottom w:val="none" w:sz="0" w:space="0" w:color="auto"/>
                    <w:right w:val="none" w:sz="0" w:space="0" w:color="auto"/>
                  </w:divBdr>
                  <w:divsChild>
                    <w:div w:id="1887256515">
                      <w:marLeft w:val="0"/>
                      <w:marRight w:val="0"/>
                      <w:marTop w:val="0"/>
                      <w:marBottom w:val="0"/>
                      <w:divBdr>
                        <w:top w:val="none" w:sz="0" w:space="0" w:color="auto"/>
                        <w:left w:val="none" w:sz="0" w:space="0" w:color="auto"/>
                        <w:bottom w:val="none" w:sz="0" w:space="0" w:color="auto"/>
                        <w:right w:val="none" w:sz="0" w:space="0" w:color="auto"/>
                      </w:divBdr>
                      <w:divsChild>
                        <w:div w:id="665863153">
                          <w:marLeft w:val="0"/>
                          <w:marRight w:val="0"/>
                          <w:marTop w:val="0"/>
                          <w:marBottom w:val="0"/>
                          <w:divBdr>
                            <w:top w:val="none" w:sz="0" w:space="0" w:color="auto"/>
                            <w:left w:val="none" w:sz="0" w:space="0" w:color="auto"/>
                            <w:bottom w:val="none" w:sz="0" w:space="0" w:color="auto"/>
                            <w:right w:val="none" w:sz="0" w:space="0" w:color="auto"/>
                          </w:divBdr>
                          <w:divsChild>
                            <w:div w:id="589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957114">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k.gov.lv/content/ministru-kabineta-diskusiju-dokument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m.gov.lv/lv/sabiedribas-lidzdaliba/diskusiju-dokumenti/tiesibu-akt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tania.saeima.lv/ssube01/AppData/Local/Sindija's%20Documents/Downloads/www.latvija.lv&#16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stine.Alberinga@tm.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itania.saeima.lv/LIVS13/saeimalivs13.nsf/0/1198445E9D4C44F6C225859A00233677?OpenDocument" TargetMode="External"/><Relationship Id="rId1" Type="http://schemas.openxmlformats.org/officeDocument/2006/relationships/hyperlink" Target="http://www.satv.tiesa.gov.lv/web/viewer.html?file=http://www.satv.tiesa.gov.lv/wp-content/uploads/2016/02/2012-22-0103_Spriedums.pdf"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EB8CFAEEB89AE4AB035BB5A7CD3D32F" ma:contentTypeVersion="13" ma:contentTypeDescription="Create a new document." ma:contentTypeScope="" ma:versionID="1ee22af51a8e23cafe2199a4bfd46012">
  <xsd:schema xmlns:xsd="http://www.w3.org/2001/XMLSchema" xmlns:xs="http://www.w3.org/2001/XMLSchema" xmlns:p="http://schemas.microsoft.com/office/2006/metadata/properties" xmlns:ns3="16fd2a3f-c400-41d9-89a9-f9e0e7ebdf5a" xmlns:ns4="10a820e7-8e87-4a99-acff-ec06cdaac524" targetNamespace="http://schemas.microsoft.com/office/2006/metadata/properties" ma:root="true" ma:fieldsID="ced1774dac5a0dc3c4573c1bf30ecd93" ns3:_="" ns4:_="">
    <xsd:import namespace="16fd2a3f-c400-41d9-89a9-f9e0e7ebdf5a"/>
    <xsd:import namespace="10a820e7-8e87-4a99-acff-ec06cdaac5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d2a3f-c400-41d9-89a9-f9e0e7ebd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820e7-8e87-4a99-acff-ec06cdaac5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72A0FF-E3C1-4E4D-8405-5C69E9192850}">
  <ds:schemaRefs>
    <ds:schemaRef ds:uri="http://schemas.microsoft.com/sharepoint/v3/contenttype/forms"/>
  </ds:schemaRefs>
</ds:datastoreItem>
</file>

<file path=customXml/itemProps2.xml><?xml version="1.0" encoding="utf-8"?>
<ds:datastoreItem xmlns:ds="http://schemas.openxmlformats.org/officeDocument/2006/customXml" ds:itemID="{7B79107D-2692-440A-90E2-F89684DBFA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70E30A-C3EE-45E2-9F8B-5527A5539807}">
  <ds:schemaRefs>
    <ds:schemaRef ds:uri="http://schemas.openxmlformats.org/officeDocument/2006/bibliography"/>
  </ds:schemaRefs>
</ds:datastoreItem>
</file>

<file path=customXml/itemProps4.xml><?xml version="1.0" encoding="utf-8"?>
<ds:datastoreItem xmlns:ds="http://schemas.openxmlformats.org/officeDocument/2006/customXml" ds:itemID="{F3AEA6E7-7CE0-4AB7-B5DF-0B01CD929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d2a3f-c400-41d9-89a9-f9e0e7ebdf5a"/>
    <ds:schemaRef ds:uri="10a820e7-8e87-4a99-acff-ec06cdaac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3085</Words>
  <Characters>17585</Characters>
  <Application>Microsoft Office Word</Application>
  <DocSecurity>0</DocSecurity>
  <Lines>146</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Likumprojekta "Grozījumi Notariāta likumā" sākotnējās ietekmes novērtējuma ziņojums (anotācija)</vt:lpstr>
      <vt:lpstr>Likumprojekta "Grozījumi Notariāta likumā" sākotnējās ietekmes novērtējuma ziņojums (anotācija)</vt:lpstr>
    </vt:vector>
  </TitlesOfParts>
  <Manager/>
  <Company>Tieslietu ministrija</Company>
  <LinksUpToDate>false</LinksUpToDate>
  <CharactersWithSpaces>20629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Notariāta likumā" sākotnējās ietekmes novērtējuma ziņojums (anotācija)</dc:title>
  <dc:subject>Anotācija</dc:subject>
  <dc:creator>Kristīne Alberinga</dc:creator>
  <cp:keywords/>
  <dc:description>Kristīne Alberinga, 67036835, Kristine.Alberinga@tm.gov.lv</dc:description>
  <cp:lastModifiedBy>Kristīne Alberinga</cp:lastModifiedBy>
  <cp:revision>3</cp:revision>
  <cp:lastPrinted>2019-08-09T05:19:00Z</cp:lastPrinted>
  <dcterms:created xsi:type="dcterms:W3CDTF">2020-10-13T04:55:00Z</dcterms:created>
  <dcterms:modified xsi:type="dcterms:W3CDTF">2020-10-13T05:09:00Z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0x0101003EB8CFAEEB89AE4AB035BB5A7CD3D32F</vt:lpwstr>
  </property>
</Properties>
</file>