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C96D3" w14:textId="465646B7" w:rsidR="005857E0" w:rsidRPr="0067478B" w:rsidRDefault="005857E0" w:rsidP="00555489">
      <w:pPr>
        <w:shd w:val="clear" w:color="auto" w:fill="FFFFFF"/>
        <w:jc w:val="center"/>
        <w:rPr>
          <w:b/>
          <w:bCs/>
          <w:lang w:eastAsia="lv-LV"/>
        </w:rPr>
      </w:pPr>
      <w:bookmarkStart w:id="0" w:name="_Hlk21942622"/>
      <w:r w:rsidRPr="0067478B">
        <w:rPr>
          <w:b/>
          <w:bCs/>
          <w:lang w:eastAsia="lv-LV"/>
        </w:rPr>
        <w:t>Likumprojekta "Grozījumi Maksātnespējas likumā" sākotnējās ietekmes novērtējuma ziņojums (anotācija)</w:t>
      </w:r>
    </w:p>
    <w:p w14:paraId="48E2CFD4" w14:textId="77777777" w:rsidR="005857E0" w:rsidRPr="0067478B" w:rsidRDefault="005857E0" w:rsidP="005857E0">
      <w:pPr>
        <w:shd w:val="clear" w:color="auto" w:fill="FFFFFF"/>
        <w:jc w:val="center"/>
        <w:rPr>
          <w:b/>
          <w:bCs/>
          <w:sz w:val="28"/>
          <w:lang w:eastAsia="lv-LV"/>
        </w:rPr>
      </w:pPr>
    </w:p>
    <w:tbl>
      <w:tblPr>
        <w:tblW w:w="516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61"/>
        <w:gridCol w:w="5845"/>
      </w:tblGrid>
      <w:tr w:rsidR="005857E0" w:rsidRPr="0067478B" w14:paraId="3817AC39" w14:textId="77777777" w:rsidTr="00037D3F">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p w14:paraId="404BD42D" w14:textId="77777777" w:rsidR="005857E0" w:rsidRPr="0067478B" w:rsidRDefault="005857E0" w:rsidP="005003BF">
            <w:pPr>
              <w:jc w:val="center"/>
              <w:rPr>
                <w:b/>
                <w:bCs/>
                <w:iCs/>
                <w:lang w:eastAsia="lv-LV"/>
              </w:rPr>
            </w:pPr>
            <w:r w:rsidRPr="0067478B">
              <w:rPr>
                <w:b/>
                <w:bCs/>
                <w:iCs/>
                <w:lang w:eastAsia="lv-LV"/>
              </w:rPr>
              <w:t>Tiesību akta projekta anotācijas kopsavilkums</w:t>
            </w:r>
          </w:p>
        </w:tc>
      </w:tr>
      <w:tr w:rsidR="005857E0" w:rsidRPr="0067478B" w14:paraId="13E90ACD" w14:textId="77777777" w:rsidTr="00CE3DEB">
        <w:trPr>
          <w:tblCellSpacing w:w="15" w:type="dxa"/>
        </w:trPr>
        <w:tc>
          <w:tcPr>
            <w:tcW w:w="1807" w:type="pct"/>
            <w:tcBorders>
              <w:top w:val="outset" w:sz="6" w:space="0" w:color="auto"/>
              <w:left w:val="outset" w:sz="6" w:space="0" w:color="auto"/>
              <w:bottom w:val="outset" w:sz="6" w:space="0" w:color="auto"/>
              <w:right w:val="outset" w:sz="6" w:space="0" w:color="auto"/>
            </w:tcBorders>
            <w:hideMark/>
          </w:tcPr>
          <w:p w14:paraId="7F36D36E" w14:textId="77777777" w:rsidR="005857E0" w:rsidRPr="0067478B" w:rsidRDefault="005857E0" w:rsidP="00B52CB9">
            <w:pPr>
              <w:jc w:val="both"/>
              <w:rPr>
                <w:iCs/>
                <w:lang w:eastAsia="lv-LV"/>
              </w:rPr>
            </w:pPr>
            <w:r w:rsidRPr="0067478B">
              <w:rPr>
                <w:iCs/>
                <w:lang w:eastAsia="lv-LV"/>
              </w:rPr>
              <w:t>Mērķis, risinājums un projekta spēkā stāšanās laiks (500 zīmes bez atstarpēm)</w:t>
            </w:r>
          </w:p>
        </w:tc>
        <w:tc>
          <w:tcPr>
            <w:tcW w:w="3144" w:type="pct"/>
            <w:tcBorders>
              <w:top w:val="outset" w:sz="6" w:space="0" w:color="auto"/>
              <w:left w:val="outset" w:sz="6" w:space="0" w:color="auto"/>
              <w:bottom w:val="outset" w:sz="6" w:space="0" w:color="auto"/>
              <w:right w:val="outset" w:sz="6" w:space="0" w:color="auto"/>
            </w:tcBorders>
            <w:hideMark/>
          </w:tcPr>
          <w:p w14:paraId="363D4BDB" w14:textId="7FA21E8F" w:rsidR="00462AC1" w:rsidRPr="0067478B" w:rsidRDefault="00DC2CD4" w:rsidP="00CE3DEB">
            <w:pPr>
              <w:jc w:val="both"/>
              <w:rPr>
                <w:color w:val="000000" w:themeColor="text1"/>
              </w:rPr>
            </w:pPr>
            <w:r w:rsidRPr="0067478B">
              <w:rPr>
                <w:iCs/>
                <w:lang w:eastAsia="lv-LV"/>
              </w:rPr>
              <w:t xml:space="preserve">Ar likumprojektu tiks </w:t>
            </w:r>
            <w:r w:rsidR="00134803" w:rsidRPr="0067478B">
              <w:rPr>
                <w:iCs/>
                <w:lang w:eastAsia="lv-LV"/>
              </w:rPr>
              <w:t xml:space="preserve">ieviests tiesiskais regulējums, kas nodrošinās maksātnespējas procesa administratora (turpmāk – administrators) amata apliecības ar piecu gadu derīguma termiņu izdošanu, vienlaikus paredzot arī izmaiņas administratora eksaminācijas procesa organizēšanā, kā arī </w:t>
            </w:r>
            <w:r w:rsidR="00F249F1" w:rsidRPr="0067478B">
              <w:rPr>
                <w:iCs/>
                <w:lang w:eastAsia="lv-LV"/>
              </w:rPr>
              <w:t xml:space="preserve">ieviesti papildu </w:t>
            </w:r>
            <w:r w:rsidRPr="0067478B">
              <w:rPr>
                <w:iCs/>
                <w:lang w:eastAsia="lv-LV"/>
              </w:rPr>
              <w:t>mehānismi maksātnespējas procesa izmaksu kontrolei</w:t>
            </w:r>
            <w:r w:rsidR="00F249F1" w:rsidRPr="0067478B">
              <w:rPr>
                <w:iCs/>
                <w:lang w:eastAsia="lv-LV"/>
              </w:rPr>
              <w:t xml:space="preserve"> </w:t>
            </w:r>
            <w:r w:rsidR="005C7EAE" w:rsidRPr="0067478B">
              <w:rPr>
                <w:iCs/>
                <w:lang w:eastAsia="lv-LV"/>
              </w:rPr>
              <w:t>ar mērķi</w:t>
            </w:r>
            <w:r w:rsidRPr="0067478B">
              <w:rPr>
                <w:iCs/>
                <w:lang w:eastAsia="lv-LV"/>
              </w:rPr>
              <w:t xml:space="preserve"> tās </w:t>
            </w:r>
            <w:r w:rsidR="00F249F1" w:rsidRPr="0067478B">
              <w:rPr>
                <w:iCs/>
                <w:lang w:eastAsia="lv-LV"/>
              </w:rPr>
              <w:t xml:space="preserve">samazināt </w:t>
            </w:r>
            <w:r w:rsidRPr="0067478B">
              <w:rPr>
                <w:iCs/>
                <w:lang w:eastAsia="lv-LV"/>
              </w:rPr>
              <w:t xml:space="preserve">un </w:t>
            </w:r>
            <w:r w:rsidR="00F249F1" w:rsidRPr="0067478B">
              <w:rPr>
                <w:iCs/>
                <w:lang w:eastAsia="lv-LV"/>
              </w:rPr>
              <w:t xml:space="preserve">veicināt </w:t>
            </w:r>
            <w:r w:rsidRPr="0067478B">
              <w:rPr>
                <w:iCs/>
                <w:lang w:eastAsia="lv-LV"/>
              </w:rPr>
              <w:t>maksātnespējas procesa caurspīdīgumu.</w:t>
            </w:r>
            <w:r w:rsidR="00C33130" w:rsidRPr="0067478B">
              <w:rPr>
                <w:iCs/>
                <w:lang w:eastAsia="lv-LV"/>
              </w:rPr>
              <w:t xml:space="preserve"> </w:t>
            </w:r>
            <w:r w:rsidR="00462AC1" w:rsidRPr="0067478B">
              <w:rPr>
                <w:iCs/>
                <w:lang w:eastAsia="lv-LV"/>
              </w:rPr>
              <w:t>A</w:t>
            </w:r>
            <w:r w:rsidR="00C33130" w:rsidRPr="0067478B">
              <w:rPr>
                <w:iCs/>
                <w:lang w:eastAsia="lv-LV"/>
              </w:rPr>
              <w:t xml:space="preserve">r likumprojektu tiks </w:t>
            </w:r>
            <w:r w:rsidR="004B4ADA" w:rsidRPr="0067478B">
              <w:rPr>
                <w:iCs/>
                <w:lang w:eastAsia="lv-LV"/>
              </w:rPr>
              <w:t>ieviests regulējums</w:t>
            </w:r>
            <w:r w:rsidR="00C33130" w:rsidRPr="0067478B">
              <w:rPr>
                <w:iCs/>
                <w:lang w:eastAsia="lv-LV"/>
              </w:rPr>
              <w:t xml:space="preserve">, lai nodrošinātu </w:t>
            </w:r>
            <w:r w:rsidR="00DD0A7B" w:rsidRPr="0067478B">
              <w:rPr>
                <w:iCs/>
                <w:lang w:eastAsia="lv-LV"/>
              </w:rPr>
              <w:t xml:space="preserve">efektīvāku </w:t>
            </w:r>
            <w:r w:rsidR="00C33130" w:rsidRPr="0067478B">
              <w:rPr>
                <w:iCs/>
                <w:lang w:eastAsia="lv-LV"/>
              </w:rPr>
              <w:t>maksātnespējas procesu norisi tajos gadījumos, kad tiek sastādīts ziņojums par parādnieka mantas neesamību</w:t>
            </w:r>
            <w:r w:rsidR="00F249F1" w:rsidRPr="0067478B">
              <w:rPr>
                <w:iCs/>
                <w:lang w:eastAsia="lv-LV"/>
              </w:rPr>
              <w:t xml:space="preserve"> (turpmāk arī –"</w:t>
            </w:r>
            <w:proofErr w:type="spellStart"/>
            <w:r w:rsidR="00F249F1" w:rsidRPr="0067478B">
              <w:rPr>
                <w:iCs/>
                <w:lang w:eastAsia="lv-LV"/>
              </w:rPr>
              <w:t>bezaktīvu</w:t>
            </w:r>
            <w:proofErr w:type="spellEnd"/>
            <w:r w:rsidR="00F249F1" w:rsidRPr="0067478B">
              <w:rPr>
                <w:iCs/>
                <w:lang w:eastAsia="lv-LV"/>
              </w:rPr>
              <w:t xml:space="preserve"> maksātnespējas procesi").</w:t>
            </w:r>
            <w:r w:rsidR="00C33130" w:rsidRPr="0067478B">
              <w:rPr>
                <w:iCs/>
                <w:lang w:eastAsia="lv-LV"/>
              </w:rPr>
              <w:t xml:space="preserve"> </w:t>
            </w:r>
            <w:r w:rsidR="00462AC1" w:rsidRPr="0067478B">
              <w:rPr>
                <w:iCs/>
                <w:lang w:eastAsia="lv-LV"/>
              </w:rPr>
              <w:t xml:space="preserve">Tāpat ar likumprojektu tiks precizēti gadījumi, kad Maksātnespējas kontroles dienests var pieņemt lēmumu par administratora atcelšanu no amata un atstādināšanu no administratora amata darbības veikšanu, kā arī ierobežojuma noteikšanu ieņemt administratora vai tiesiskās aizsardzības procesa uzraugošās personas (turpmāk – uzraugošā persona) amatu, ja ir piemērota </w:t>
            </w:r>
            <w:r w:rsidR="00462AC1" w:rsidRPr="0067478B">
              <w:rPr>
                <w:color w:val="000000" w:themeColor="text1"/>
              </w:rPr>
              <w:t>Noziedzīgi iegūtu līdzekļu legalizācijas un terorisma un proliferācijas finansēšanas novēršanas likuma</w:t>
            </w:r>
            <w:r w:rsidR="007D4825" w:rsidRPr="0067478B">
              <w:rPr>
                <w:color w:val="000000" w:themeColor="text1"/>
              </w:rPr>
              <w:t xml:space="preserve"> (turpmāk – Likums)</w:t>
            </w:r>
            <w:r w:rsidR="00462AC1" w:rsidRPr="0067478B">
              <w:rPr>
                <w:color w:val="000000" w:themeColor="text1"/>
              </w:rPr>
              <w:t xml:space="preserve"> 78. panta pirmās daļas 4. punkta sankcija par darbības pārtraukšanu vai darbības apturēšanu.</w:t>
            </w:r>
          </w:p>
          <w:p w14:paraId="147B909C" w14:textId="77777777" w:rsidR="00C33130" w:rsidRPr="0067478B" w:rsidRDefault="00C33130" w:rsidP="00B52CB9">
            <w:pPr>
              <w:jc w:val="both"/>
              <w:rPr>
                <w:iCs/>
                <w:lang w:eastAsia="lv-LV"/>
              </w:rPr>
            </w:pPr>
          </w:p>
          <w:p w14:paraId="1E03D402" w14:textId="47E47CE4" w:rsidR="00980A28" w:rsidRPr="00141C5A" w:rsidRDefault="00F249F1" w:rsidP="00B52CB9">
            <w:pPr>
              <w:jc w:val="both"/>
              <w:rPr>
                <w:iCs/>
                <w:color w:val="FF0000"/>
                <w:lang w:eastAsia="lv-LV"/>
              </w:rPr>
            </w:pPr>
            <w:r w:rsidRPr="00CE3DEB">
              <w:rPr>
                <w:iCs/>
                <w:lang w:eastAsia="lv-LV"/>
              </w:rPr>
              <w:t>Plānots, ka l</w:t>
            </w:r>
            <w:r w:rsidR="005857E0" w:rsidRPr="00CE3DEB">
              <w:rPr>
                <w:iCs/>
                <w:lang w:eastAsia="lv-LV"/>
              </w:rPr>
              <w:t xml:space="preserve">ikumprojekts stāsies spēkā </w:t>
            </w:r>
            <w:r w:rsidR="004B4ADA" w:rsidRPr="00CE3DEB">
              <w:rPr>
                <w:iCs/>
                <w:lang w:eastAsia="lv-LV"/>
              </w:rPr>
              <w:t>vispārējā kārtībā</w:t>
            </w:r>
            <w:r w:rsidR="00980A28" w:rsidRPr="00CE3DEB">
              <w:rPr>
                <w:iCs/>
                <w:lang w:eastAsia="lv-LV"/>
              </w:rPr>
              <w:t>, izņemot regulējumu attiecībā uz juridiskās personas maksātnespējas procesa pabeigšanu saīsinātā procesa kārtībā, kura</w:t>
            </w:r>
            <w:r w:rsidR="005B0649" w:rsidRPr="00CE3DEB">
              <w:rPr>
                <w:iCs/>
                <w:lang w:eastAsia="lv-LV"/>
              </w:rPr>
              <w:t>m</w:t>
            </w:r>
            <w:r w:rsidR="00980A28" w:rsidRPr="00CE3DEB">
              <w:rPr>
                <w:iCs/>
                <w:lang w:eastAsia="lv-LV"/>
              </w:rPr>
              <w:t xml:space="preserve"> plānotais spēkā stāšanas termiņš </w:t>
            </w:r>
            <w:r w:rsidR="00141C5A" w:rsidRPr="00CE3DEB">
              <w:rPr>
                <w:iCs/>
                <w:lang w:eastAsia="lv-LV"/>
              </w:rPr>
              <w:t>nosakāms, ievērojot tehnisko pielāgojumu veikšanu informācijas sistēmās.</w:t>
            </w:r>
          </w:p>
        </w:tc>
      </w:tr>
    </w:tbl>
    <w:p w14:paraId="6E50052E" w14:textId="77777777" w:rsidR="005857E0" w:rsidRPr="0067478B" w:rsidRDefault="005857E0" w:rsidP="00B52CB9">
      <w:pPr>
        <w:rPr>
          <w:iCs/>
          <w:lang w:val="sv-SE" w:eastAsia="lv-LV"/>
        </w:rPr>
      </w:pPr>
      <w:r w:rsidRPr="0067478B">
        <w:rPr>
          <w:iCs/>
          <w:lang w:val="sv-SE" w:eastAsia="lv-LV"/>
        </w:rPr>
        <w:t xml:space="preserve">  </w:t>
      </w:r>
    </w:p>
    <w:tbl>
      <w:tblPr>
        <w:tblW w:w="5163"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03"/>
        <w:gridCol w:w="2948"/>
        <w:gridCol w:w="5855"/>
      </w:tblGrid>
      <w:tr w:rsidR="005857E0" w:rsidRPr="0067478B" w14:paraId="4E1A8289" w14:textId="77777777" w:rsidTr="00037D3F">
        <w:trPr>
          <w:tblCellSpacing w:w="15" w:type="dxa"/>
        </w:trPr>
        <w:tc>
          <w:tcPr>
            <w:tcW w:w="4967" w:type="pct"/>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0EE3A415" w14:textId="77777777" w:rsidR="005857E0" w:rsidRPr="0067478B" w:rsidRDefault="005857E0" w:rsidP="005003BF">
            <w:pPr>
              <w:jc w:val="center"/>
              <w:rPr>
                <w:b/>
                <w:bCs/>
                <w:iCs/>
                <w:lang w:eastAsia="lv-LV"/>
              </w:rPr>
            </w:pPr>
            <w:r w:rsidRPr="0067478B">
              <w:rPr>
                <w:b/>
                <w:bCs/>
                <w:iCs/>
                <w:lang w:eastAsia="lv-LV"/>
              </w:rPr>
              <w:t>I. Tiesību akta projekta izstrādes nepieciešamība</w:t>
            </w:r>
          </w:p>
        </w:tc>
      </w:tr>
      <w:tr w:rsidR="00AF65BB" w:rsidRPr="0067478B" w14:paraId="265DDA47" w14:textId="77777777" w:rsidTr="00037D3F">
        <w:trPr>
          <w:tblCellSpacing w:w="15" w:type="dxa"/>
        </w:trPr>
        <w:tc>
          <w:tcPr>
            <w:tcW w:w="196" w:type="pct"/>
            <w:tcBorders>
              <w:top w:val="outset" w:sz="6" w:space="0" w:color="auto"/>
              <w:left w:val="outset" w:sz="6" w:space="0" w:color="auto"/>
              <w:bottom w:val="outset" w:sz="6" w:space="0" w:color="auto"/>
              <w:right w:val="outset" w:sz="6" w:space="0" w:color="auto"/>
            </w:tcBorders>
            <w:shd w:val="clear" w:color="auto" w:fill="auto"/>
            <w:hideMark/>
          </w:tcPr>
          <w:p w14:paraId="6A0E917E" w14:textId="77777777" w:rsidR="005857E0" w:rsidRPr="0067478B" w:rsidRDefault="005857E0" w:rsidP="00B52CB9">
            <w:pPr>
              <w:rPr>
                <w:iCs/>
                <w:lang w:eastAsia="lv-LV"/>
              </w:rPr>
            </w:pPr>
            <w:r w:rsidRPr="0067478B">
              <w:rPr>
                <w:iCs/>
                <w:lang w:eastAsia="lv-LV"/>
              </w:rPr>
              <w:t>1.</w:t>
            </w:r>
          </w:p>
        </w:tc>
        <w:tc>
          <w:tcPr>
            <w:tcW w:w="1595" w:type="pct"/>
            <w:tcBorders>
              <w:top w:val="outset" w:sz="6" w:space="0" w:color="auto"/>
              <w:left w:val="outset" w:sz="6" w:space="0" w:color="auto"/>
              <w:bottom w:val="outset" w:sz="6" w:space="0" w:color="auto"/>
              <w:right w:val="outset" w:sz="6" w:space="0" w:color="auto"/>
            </w:tcBorders>
            <w:shd w:val="clear" w:color="auto" w:fill="auto"/>
            <w:hideMark/>
          </w:tcPr>
          <w:p w14:paraId="4BF072CD" w14:textId="77777777" w:rsidR="005857E0" w:rsidRPr="007119DA" w:rsidRDefault="005857E0" w:rsidP="00B52CB9">
            <w:pPr>
              <w:rPr>
                <w:iCs/>
                <w:lang w:eastAsia="lv-LV"/>
              </w:rPr>
            </w:pPr>
            <w:r w:rsidRPr="007119DA">
              <w:rPr>
                <w:iCs/>
                <w:lang w:eastAsia="lv-LV"/>
              </w:rPr>
              <w:t>Pamatojums</w:t>
            </w:r>
          </w:p>
        </w:tc>
        <w:tc>
          <w:tcPr>
            <w:tcW w:w="3144" w:type="pct"/>
            <w:tcBorders>
              <w:top w:val="outset" w:sz="6" w:space="0" w:color="auto"/>
              <w:left w:val="outset" w:sz="6" w:space="0" w:color="auto"/>
              <w:bottom w:val="outset" w:sz="6" w:space="0" w:color="auto"/>
              <w:right w:val="outset" w:sz="6" w:space="0" w:color="auto"/>
            </w:tcBorders>
            <w:shd w:val="clear" w:color="auto" w:fill="auto"/>
            <w:hideMark/>
          </w:tcPr>
          <w:p w14:paraId="75763CAD" w14:textId="7C7BF6C7" w:rsidR="00265C72" w:rsidRPr="007119DA" w:rsidRDefault="00037D3F" w:rsidP="00134803">
            <w:pPr>
              <w:shd w:val="clear" w:color="auto" w:fill="FFFFFF" w:themeFill="background1"/>
              <w:tabs>
                <w:tab w:val="left" w:pos="4978"/>
              </w:tabs>
              <w:ind w:right="65"/>
              <w:jc w:val="both"/>
              <w:rPr>
                <w:color w:val="000000" w:themeColor="text1"/>
              </w:rPr>
            </w:pPr>
            <w:r w:rsidRPr="007119DA">
              <w:rPr>
                <w:iCs/>
                <w:color w:val="000000" w:themeColor="text1"/>
                <w:lang w:eastAsia="lv-LV"/>
              </w:rPr>
              <w:t>1. </w:t>
            </w:r>
            <w:r w:rsidR="006B2A22" w:rsidRPr="007119DA">
              <w:rPr>
                <w:iCs/>
                <w:color w:val="000000" w:themeColor="text1"/>
                <w:lang w:eastAsia="lv-LV"/>
              </w:rPr>
              <w:t>Ministru kabineta 2019. gada 7. maija rīkojum</w:t>
            </w:r>
            <w:r w:rsidR="00265C72" w:rsidRPr="007119DA">
              <w:rPr>
                <w:iCs/>
                <w:color w:val="000000" w:themeColor="text1"/>
                <w:lang w:eastAsia="lv-LV"/>
              </w:rPr>
              <w:t xml:space="preserve">a </w:t>
            </w:r>
            <w:r w:rsidR="006B2A22" w:rsidRPr="007119DA">
              <w:rPr>
                <w:iCs/>
                <w:color w:val="000000" w:themeColor="text1"/>
                <w:lang w:eastAsia="lv-LV"/>
              </w:rPr>
              <w:t>Nr. 210 "</w:t>
            </w:r>
            <w:r w:rsidR="006B2A22" w:rsidRPr="007119DA">
              <w:rPr>
                <w:color w:val="000000" w:themeColor="text1"/>
              </w:rPr>
              <w:t>Par Valdības rīcības plānu Deklarācijas par Artura Krišjāņa Kariņa vadītā Ministru kabineta iecerēto</w:t>
            </w:r>
            <w:r w:rsidR="00265C72" w:rsidRPr="007119DA">
              <w:rPr>
                <w:color w:val="000000" w:themeColor="text1"/>
              </w:rPr>
              <w:t> </w:t>
            </w:r>
            <w:r w:rsidR="006B2A22" w:rsidRPr="007119DA">
              <w:rPr>
                <w:color w:val="000000" w:themeColor="text1"/>
              </w:rPr>
              <w:t>darbību</w:t>
            </w:r>
            <w:r w:rsidR="00265C72" w:rsidRPr="007119DA">
              <w:rPr>
                <w:color w:val="000000" w:themeColor="text1"/>
              </w:rPr>
              <w:t> </w:t>
            </w:r>
            <w:r w:rsidR="006B2A22" w:rsidRPr="007119DA">
              <w:rPr>
                <w:color w:val="000000" w:themeColor="text1"/>
              </w:rPr>
              <w:t>īstenošanai"</w:t>
            </w:r>
            <w:r w:rsidR="00265C72" w:rsidRPr="007119DA">
              <w:rPr>
                <w:color w:val="000000" w:themeColor="text1"/>
              </w:rPr>
              <w:t> </w:t>
            </w:r>
            <w:r w:rsidR="00AF65BB" w:rsidRPr="007119DA">
              <w:rPr>
                <w:color w:val="000000" w:themeColor="text1"/>
              </w:rPr>
              <w:t>179.1.</w:t>
            </w:r>
            <w:r w:rsidR="008C320A" w:rsidRPr="007119DA">
              <w:rPr>
                <w:color w:val="000000" w:themeColor="text1"/>
              </w:rPr>
              <w:t xml:space="preserve"> </w:t>
            </w:r>
            <w:r w:rsidR="00265C72" w:rsidRPr="007119DA">
              <w:rPr>
                <w:color w:val="000000" w:themeColor="text1"/>
              </w:rPr>
              <w:t>un 188.1. </w:t>
            </w:r>
            <w:r w:rsidRPr="007119DA">
              <w:rPr>
                <w:color w:val="000000" w:themeColor="text1"/>
              </w:rPr>
              <w:t>uzdevums</w:t>
            </w:r>
            <w:r w:rsidR="00265C72" w:rsidRPr="007119DA">
              <w:rPr>
                <w:color w:val="000000" w:themeColor="text1"/>
              </w:rPr>
              <w:t>.</w:t>
            </w:r>
          </w:p>
          <w:p w14:paraId="2C8A2783" w14:textId="4B8BE173" w:rsidR="00265C72" w:rsidRPr="007119DA" w:rsidRDefault="00265C72" w:rsidP="00134803">
            <w:pPr>
              <w:jc w:val="both"/>
              <w:rPr>
                <w:color w:val="000000" w:themeColor="text1"/>
                <w:shd w:val="clear" w:color="auto" w:fill="FFFFFF"/>
              </w:rPr>
            </w:pPr>
            <w:r w:rsidRPr="007119DA">
              <w:rPr>
                <w:color w:val="000000" w:themeColor="text1"/>
              </w:rPr>
              <w:t>2. Ar Ministru kabineta 2016. gada 21. septembra rīkojumu Nr. 527</w:t>
            </w:r>
            <w:r w:rsidR="007776C9" w:rsidRPr="007119DA">
              <w:rPr>
                <w:color w:val="000000" w:themeColor="text1"/>
              </w:rPr>
              <w:t> </w:t>
            </w:r>
            <w:r w:rsidRPr="007119DA">
              <w:rPr>
                <w:color w:val="000000" w:themeColor="text1"/>
              </w:rPr>
              <w:t xml:space="preserve">"Par Maksātnespējas politikas attīstības pamatnostādnēm 2016.–2020. gadam un to īstenošanas plānu" atbalstīto </w:t>
            </w:r>
            <w:r w:rsidRPr="007119DA">
              <w:rPr>
                <w:color w:val="000000" w:themeColor="text1"/>
                <w:shd w:val="clear" w:color="auto" w:fill="FFFFFF"/>
              </w:rPr>
              <w:t xml:space="preserve">Maksātnespējas politikas attīstības </w:t>
            </w:r>
            <w:r w:rsidRPr="007119DA">
              <w:rPr>
                <w:color w:val="000000" w:themeColor="text1"/>
                <w:shd w:val="clear" w:color="auto" w:fill="FFFFFF"/>
              </w:rPr>
              <w:lastRenderedPageBreak/>
              <w:t>pamatnostādņu 2016.–2020. gadam (turpmāk – pamatnostādnes) un to īstenošanas plāna (turpmāk – plāns)</w:t>
            </w:r>
            <w:r w:rsidRPr="007119DA">
              <w:rPr>
                <w:rStyle w:val="Vresatsauce"/>
                <w:color w:val="000000" w:themeColor="text1"/>
                <w:shd w:val="clear" w:color="auto" w:fill="FFFFFF"/>
              </w:rPr>
              <w:footnoteReference w:id="1"/>
            </w:r>
          </w:p>
          <w:p w14:paraId="53D510A8" w14:textId="6D548C20" w:rsidR="00265C72" w:rsidRPr="007119DA" w:rsidRDefault="00265C72" w:rsidP="00134803">
            <w:pPr>
              <w:jc w:val="both"/>
              <w:rPr>
                <w:color w:val="000000" w:themeColor="text1"/>
              </w:rPr>
            </w:pPr>
            <w:r w:rsidRPr="007119DA">
              <w:rPr>
                <w:color w:val="000000" w:themeColor="text1"/>
                <w:shd w:val="clear" w:color="auto" w:fill="FFFFFF" w:themeFill="background1"/>
              </w:rPr>
              <w:t xml:space="preserve">2.9.2., </w:t>
            </w:r>
            <w:r w:rsidRPr="007119DA">
              <w:rPr>
                <w:color w:val="000000" w:themeColor="text1"/>
                <w:shd w:val="clear" w:color="auto" w:fill="FFFFFF"/>
              </w:rPr>
              <w:t>4.1.4., 4.5.1. 4.5.2.</w:t>
            </w:r>
            <w:r w:rsidR="003E3F9B" w:rsidRPr="007119DA">
              <w:rPr>
                <w:color w:val="000000" w:themeColor="text1"/>
                <w:shd w:val="clear" w:color="auto" w:fill="FFFFFF"/>
              </w:rPr>
              <w:t>,</w:t>
            </w:r>
            <w:r w:rsidR="008C320A">
              <w:rPr>
                <w:color w:val="000000" w:themeColor="text1"/>
                <w:shd w:val="clear" w:color="auto" w:fill="FFFFFF"/>
              </w:rPr>
              <w:t xml:space="preserve"> </w:t>
            </w:r>
            <w:r w:rsidRPr="007119DA">
              <w:rPr>
                <w:color w:val="000000" w:themeColor="text1"/>
                <w:shd w:val="clear" w:color="auto" w:fill="FFFFFF"/>
              </w:rPr>
              <w:t>4.5.3.</w:t>
            </w:r>
            <w:r w:rsidR="008C320A">
              <w:rPr>
                <w:color w:val="000000" w:themeColor="text1"/>
                <w:shd w:val="clear" w:color="auto" w:fill="FFFFFF"/>
              </w:rPr>
              <w:t>,</w:t>
            </w:r>
            <w:r w:rsidR="008C320A" w:rsidRPr="007119DA">
              <w:rPr>
                <w:color w:val="000000" w:themeColor="text1"/>
                <w:shd w:val="clear" w:color="auto" w:fill="FFFFFF"/>
              </w:rPr>
              <w:t xml:space="preserve"> </w:t>
            </w:r>
            <w:r w:rsidRPr="007119DA">
              <w:rPr>
                <w:color w:val="000000" w:themeColor="text1"/>
                <w:shd w:val="clear" w:color="auto" w:fill="FFFFFF"/>
              </w:rPr>
              <w:t>4.5.4.</w:t>
            </w:r>
            <w:r w:rsidR="003E3F9B" w:rsidRPr="007119DA">
              <w:rPr>
                <w:color w:val="000000" w:themeColor="text1"/>
                <w:shd w:val="clear" w:color="auto" w:fill="FFFFFF"/>
              </w:rPr>
              <w:t>,</w:t>
            </w:r>
            <w:r w:rsidRPr="007119DA">
              <w:rPr>
                <w:color w:val="000000" w:themeColor="text1"/>
                <w:shd w:val="clear" w:color="auto" w:fill="FFFFFF"/>
              </w:rPr>
              <w:t xml:space="preserve"> 4.8.1.</w:t>
            </w:r>
            <w:r w:rsidR="003E3F9B" w:rsidRPr="007119DA">
              <w:rPr>
                <w:color w:val="000000" w:themeColor="text1"/>
                <w:shd w:val="clear" w:color="auto" w:fill="FFFFFF"/>
              </w:rPr>
              <w:t>,</w:t>
            </w:r>
            <w:r w:rsidRPr="007119DA">
              <w:rPr>
                <w:color w:val="000000" w:themeColor="text1"/>
                <w:shd w:val="clear" w:color="auto" w:fill="FFFFFF"/>
              </w:rPr>
              <w:t xml:space="preserve"> </w:t>
            </w:r>
            <w:r w:rsidRPr="007119DA">
              <w:rPr>
                <w:color w:val="000000" w:themeColor="text1"/>
                <w:shd w:val="clear" w:color="auto" w:fill="FFFFFF" w:themeFill="background1"/>
              </w:rPr>
              <w:t>2.9.2. </w:t>
            </w:r>
            <w:r w:rsidR="003E3F9B" w:rsidRPr="007119DA">
              <w:rPr>
                <w:color w:val="000000" w:themeColor="text1"/>
                <w:shd w:val="clear" w:color="auto" w:fill="FFFFFF" w:themeFill="background1"/>
              </w:rPr>
              <w:t>un</w:t>
            </w:r>
            <w:r w:rsidRPr="007119DA">
              <w:rPr>
                <w:color w:val="000000" w:themeColor="text1"/>
                <w:shd w:val="clear" w:color="auto" w:fill="FFFFFF" w:themeFill="background1"/>
              </w:rPr>
              <w:t> 4.11.1.</w:t>
            </w:r>
            <w:r w:rsidR="003E3F9B" w:rsidRPr="007119DA">
              <w:rPr>
                <w:color w:val="000000" w:themeColor="text1"/>
                <w:shd w:val="clear" w:color="auto" w:fill="FFFFFF" w:themeFill="background1"/>
              </w:rPr>
              <w:t>,</w:t>
            </w:r>
            <w:r w:rsidR="003E3F9B" w:rsidRPr="007119DA">
              <w:rPr>
                <w:rStyle w:val="Vresatsauce"/>
                <w:color w:val="000000" w:themeColor="text1"/>
                <w:shd w:val="clear" w:color="auto" w:fill="FFFFFF" w:themeFill="background1"/>
              </w:rPr>
              <w:footnoteReference w:id="2"/>
            </w:r>
            <w:r w:rsidR="003E3F9B" w:rsidRPr="007119DA">
              <w:rPr>
                <w:color w:val="000000" w:themeColor="text1"/>
                <w:shd w:val="clear" w:color="auto" w:fill="FFFFFF" w:themeFill="background1"/>
              </w:rPr>
              <w:t xml:space="preserve"> un </w:t>
            </w:r>
            <w:r w:rsidRPr="007119DA">
              <w:rPr>
                <w:color w:val="000000" w:themeColor="text1"/>
                <w:shd w:val="clear" w:color="auto" w:fill="FFFFFF" w:themeFill="background1"/>
              </w:rPr>
              <w:t>4.11.2</w:t>
            </w:r>
            <w:r w:rsidR="008C320A">
              <w:rPr>
                <w:color w:val="000000" w:themeColor="text1"/>
                <w:shd w:val="clear" w:color="auto" w:fill="FFFFFF" w:themeFill="background1"/>
              </w:rPr>
              <w:t>.</w:t>
            </w:r>
            <w:r w:rsidRPr="007119DA">
              <w:rPr>
                <w:color w:val="000000" w:themeColor="text1"/>
                <w:shd w:val="clear" w:color="auto" w:fill="FFFFFF" w:themeFill="background1"/>
              </w:rPr>
              <w:t> uzdevums</w:t>
            </w:r>
            <w:r w:rsidR="003E3F9B" w:rsidRPr="007119DA">
              <w:rPr>
                <w:color w:val="000000" w:themeColor="text1"/>
                <w:shd w:val="clear" w:color="auto" w:fill="FFFFFF" w:themeFill="background1"/>
              </w:rPr>
              <w:t>.</w:t>
            </w:r>
          </w:p>
          <w:p w14:paraId="62710F1E" w14:textId="5F90A80D" w:rsidR="00662447" w:rsidRPr="007119DA" w:rsidRDefault="00B52CB9" w:rsidP="00134803">
            <w:pPr>
              <w:jc w:val="both"/>
              <w:rPr>
                <w:iCs/>
                <w:color w:val="000000" w:themeColor="text1"/>
                <w:lang w:eastAsia="lv-LV"/>
              </w:rPr>
            </w:pPr>
            <w:r w:rsidRPr="007119DA">
              <w:rPr>
                <w:color w:val="000000" w:themeColor="text1"/>
              </w:rPr>
              <w:t>3. </w:t>
            </w:r>
            <w:r w:rsidR="00E34224" w:rsidRPr="007119DA">
              <w:rPr>
                <w:color w:val="000000" w:themeColor="text1"/>
              </w:rPr>
              <w:t>Starptautiskā Valūtas fonda</w:t>
            </w:r>
            <w:r w:rsidR="003E3F9B" w:rsidRPr="007119DA">
              <w:rPr>
                <w:color w:val="000000" w:themeColor="text1"/>
              </w:rPr>
              <w:t xml:space="preserve"> 2019. gada novērtējuma par maksātnespējas sistēmu Latvijā</w:t>
            </w:r>
            <w:r w:rsidR="003E3F9B" w:rsidRPr="007119DA">
              <w:rPr>
                <w:rStyle w:val="Vresatsauce"/>
                <w:color w:val="000000" w:themeColor="text1"/>
                <w:shd w:val="clear" w:color="auto" w:fill="FFFFFF"/>
              </w:rPr>
              <w:footnoteReference w:id="3"/>
            </w:r>
            <w:r w:rsidR="00E34224" w:rsidRPr="007119DA">
              <w:rPr>
                <w:color w:val="000000" w:themeColor="text1"/>
              </w:rPr>
              <w:t>rekomendācijas</w:t>
            </w:r>
            <w:r w:rsidR="003E3F9B" w:rsidRPr="007119DA">
              <w:rPr>
                <w:color w:val="000000" w:themeColor="text1"/>
              </w:rPr>
              <w:t>.</w:t>
            </w:r>
          </w:p>
        </w:tc>
      </w:tr>
      <w:tr w:rsidR="00AF65BB" w:rsidRPr="0067478B" w14:paraId="684D6AD5" w14:textId="77777777" w:rsidTr="00037D3F">
        <w:trPr>
          <w:tblCellSpacing w:w="15" w:type="dxa"/>
        </w:trPr>
        <w:tc>
          <w:tcPr>
            <w:tcW w:w="196" w:type="pct"/>
            <w:tcBorders>
              <w:top w:val="outset" w:sz="6" w:space="0" w:color="auto"/>
              <w:left w:val="outset" w:sz="6" w:space="0" w:color="auto"/>
              <w:bottom w:val="outset" w:sz="6" w:space="0" w:color="auto"/>
              <w:right w:val="outset" w:sz="6" w:space="0" w:color="auto"/>
            </w:tcBorders>
            <w:shd w:val="clear" w:color="auto" w:fill="auto"/>
            <w:hideMark/>
          </w:tcPr>
          <w:p w14:paraId="798B8A3D" w14:textId="77777777" w:rsidR="005857E0" w:rsidRPr="0067478B" w:rsidRDefault="005857E0" w:rsidP="00172608">
            <w:pPr>
              <w:rPr>
                <w:iCs/>
                <w:lang w:eastAsia="lv-LV"/>
              </w:rPr>
            </w:pPr>
            <w:r w:rsidRPr="0067478B">
              <w:rPr>
                <w:iCs/>
                <w:lang w:eastAsia="lv-LV"/>
              </w:rPr>
              <w:lastRenderedPageBreak/>
              <w:t>2.</w:t>
            </w:r>
          </w:p>
        </w:tc>
        <w:tc>
          <w:tcPr>
            <w:tcW w:w="1595" w:type="pct"/>
            <w:tcBorders>
              <w:top w:val="outset" w:sz="6" w:space="0" w:color="auto"/>
              <w:left w:val="outset" w:sz="6" w:space="0" w:color="auto"/>
              <w:bottom w:val="outset" w:sz="6" w:space="0" w:color="auto"/>
              <w:right w:val="outset" w:sz="6" w:space="0" w:color="auto"/>
            </w:tcBorders>
            <w:shd w:val="clear" w:color="auto" w:fill="auto"/>
            <w:hideMark/>
          </w:tcPr>
          <w:p w14:paraId="79434C0E" w14:textId="77777777" w:rsidR="005857E0" w:rsidRPr="0067478B" w:rsidRDefault="005857E0" w:rsidP="00C26BB3">
            <w:pPr>
              <w:jc w:val="both"/>
              <w:rPr>
                <w:iCs/>
                <w:lang w:eastAsia="lv-LV"/>
              </w:rPr>
            </w:pPr>
            <w:r w:rsidRPr="0067478B">
              <w:rPr>
                <w:iCs/>
                <w:lang w:eastAsia="lv-LV"/>
              </w:rPr>
              <w:t>Pašreizējā situācija un problēmas, kuru risināšanai tiesību akta projekts izstrādāts, tiesiskā regulējuma mērķis un būtība</w:t>
            </w:r>
          </w:p>
        </w:tc>
        <w:tc>
          <w:tcPr>
            <w:tcW w:w="3144" w:type="pct"/>
            <w:tcBorders>
              <w:top w:val="outset" w:sz="6" w:space="0" w:color="auto"/>
              <w:left w:val="outset" w:sz="6" w:space="0" w:color="auto"/>
              <w:bottom w:val="outset" w:sz="6" w:space="0" w:color="auto"/>
              <w:right w:val="outset" w:sz="6" w:space="0" w:color="auto"/>
            </w:tcBorders>
            <w:shd w:val="clear" w:color="auto" w:fill="auto"/>
          </w:tcPr>
          <w:p w14:paraId="520E24B3" w14:textId="501FA3B4" w:rsidR="00134803" w:rsidRPr="0067478B" w:rsidRDefault="00161713" w:rsidP="00AF7B79">
            <w:pPr>
              <w:jc w:val="both"/>
              <w:rPr>
                <w:b/>
                <w:bCs/>
                <w:color w:val="000000" w:themeColor="text1"/>
                <w:shd w:val="clear" w:color="auto" w:fill="FFFFFF"/>
              </w:rPr>
            </w:pPr>
            <w:r w:rsidRPr="0067478B">
              <w:rPr>
                <w:b/>
                <w:bCs/>
                <w:color w:val="000000" w:themeColor="text1"/>
                <w:shd w:val="clear" w:color="auto" w:fill="FFFFFF"/>
              </w:rPr>
              <w:t>1.</w:t>
            </w:r>
            <w:r w:rsidR="000515F4" w:rsidRPr="0067478B">
              <w:rPr>
                <w:b/>
                <w:bCs/>
                <w:color w:val="000000" w:themeColor="text1"/>
                <w:shd w:val="clear" w:color="auto" w:fill="FFFFFF"/>
              </w:rPr>
              <w:t> </w:t>
            </w:r>
            <w:r w:rsidR="00134803" w:rsidRPr="0067478B">
              <w:rPr>
                <w:b/>
                <w:bCs/>
                <w:color w:val="000000" w:themeColor="text1"/>
                <w:shd w:val="clear" w:color="auto" w:fill="FFFFFF"/>
              </w:rPr>
              <w:t xml:space="preserve">Par administratora profesijas tiesisko regulējumu – amata apliecības derīguma termiņa pagarināšana un izmaiņas administratora eksaminācijas procesa organizēšanā. </w:t>
            </w:r>
          </w:p>
          <w:p w14:paraId="03A2BFBF" w14:textId="77777777" w:rsidR="00134803" w:rsidRPr="0067478B" w:rsidRDefault="00134803" w:rsidP="00AF7B79">
            <w:pPr>
              <w:jc w:val="both"/>
              <w:rPr>
                <w:b/>
                <w:bCs/>
                <w:color w:val="000000" w:themeColor="text1"/>
                <w:shd w:val="clear" w:color="auto" w:fill="FFFFFF"/>
              </w:rPr>
            </w:pPr>
          </w:p>
          <w:p w14:paraId="1F4E4E22" w14:textId="190F3D57" w:rsidR="00FB4F52" w:rsidRPr="00AE74A5" w:rsidRDefault="00134803" w:rsidP="009028D6">
            <w:pPr>
              <w:shd w:val="clear" w:color="auto" w:fill="FFFFFF" w:themeFill="background1"/>
              <w:jc w:val="both"/>
              <w:rPr>
                <w:shd w:val="clear" w:color="auto" w:fill="FFFFFF"/>
              </w:rPr>
            </w:pPr>
            <w:r w:rsidRPr="0067478B">
              <w:rPr>
                <w:b/>
                <w:bCs/>
                <w:color w:val="000000" w:themeColor="text1"/>
                <w:shd w:val="clear" w:color="auto" w:fill="FFFFFF"/>
              </w:rPr>
              <w:t>1.1. </w:t>
            </w:r>
            <w:r w:rsidRPr="0067478B">
              <w:rPr>
                <w:color w:val="000000" w:themeColor="text1"/>
                <w:shd w:val="clear" w:color="auto" w:fill="FFFFFF"/>
              </w:rPr>
              <w:t>Ar grozījumiem Maksātnespējas likumā, kas stājās spēkā 2017. gada 6. janvārī</w:t>
            </w:r>
            <w:r w:rsidRPr="0067478B">
              <w:rPr>
                <w:rStyle w:val="Vresatsauce"/>
                <w:color w:val="000000" w:themeColor="text1"/>
                <w:shd w:val="clear" w:color="auto" w:fill="FFFFFF"/>
              </w:rPr>
              <w:footnoteReference w:id="4"/>
            </w:r>
            <w:r w:rsidRPr="0067478B">
              <w:rPr>
                <w:color w:val="000000" w:themeColor="text1"/>
                <w:shd w:val="clear" w:color="auto" w:fill="FFFFFF"/>
              </w:rPr>
              <w:t xml:space="preserve"> tika būtiski mainīts administratora profesijas tiesiskais regulējums, mainot administratoru ienākšanu profesijā un uzraudzības modeli. Ar minētajiem grozījumiem tika ieviests komplekss risinājums, kas nodrošināja administratora profesijas reformu, nododot administratoru kvalifikācijas pārbaudes funkciju valstij, vienlaikus paredzot stingrākas prasības administratora kvalifikācija</w:t>
            </w:r>
            <w:r w:rsidR="007776C9" w:rsidRPr="0067478B">
              <w:rPr>
                <w:color w:val="000000" w:themeColor="text1"/>
                <w:shd w:val="clear" w:color="auto" w:fill="FFFFFF"/>
              </w:rPr>
              <w:t>i,</w:t>
            </w:r>
            <w:r w:rsidRPr="0067478B">
              <w:rPr>
                <w:color w:val="000000" w:themeColor="text1"/>
                <w:shd w:val="clear" w:color="auto" w:fill="FFFFFF"/>
              </w:rPr>
              <w:t xml:space="preserve"> reputācijai </w:t>
            </w:r>
            <w:r w:rsidRPr="0067478B">
              <w:t xml:space="preserve">un profesionalitātei, kā arī ieviešot regulāru administratoru eksamināciju. Atbilstoši minēto grozījumu anotācijā norādītajam, </w:t>
            </w:r>
            <w:r w:rsidRPr="0067478B">
              <w:rPr>
                <w:color w:val="000000" w:themeColor="text1"/>
                <w:shd w:val="clear" w:color="auto" w:fill="FFFFFF"/>
              </w:rPr>
              <w:t>i</w:t>
            </w:r>
            <w:r w:rsidRPr="0067478B">
              <w:rPr>
                <w:shd w:val="clear" w:color="auto" w:fill="FFFFFF"/>
              </w:rPr>
              <w:t>eviešot regulāru kvalifikācijas eksāmenu, regulāri tiks ne vien pārbaudīta administratora darbība iepriekšējā periodā, bet arī pārbaudītas viņa zināšanas, kas veicinās viņu augstu profesionālo kvalifikāciju, tajā skaitā attiecībā uz jaunākajām tendencēm profesionālajā jomā.</w:t>
            </w:r>
            <w:r w:rsidRPr="0067478B">
              <w:rPr>
                <w:rStyle w:val="Vresatsauce"/>
                <w:shd w:val="clear" w:color="auto" w:fill="FFFFFF"/>
              </w:rPr>
              <w:footnoteReference w:id="5"/>
            </w:r>
            <w:r w:rsidR="00AE74A5">
              <w:rPr>
                <w:shd w:val="clear" w:color="auto" w:fill="FFFFFF"/>
              </w:rPr>
              <w:t xml:space="preserve">  </w:t>
            </w:r>
            <w:r w:rsidRPr="0067478B">
              <w:rPr>
                <w:color w:val="000000" w:themeColor="text1"/>
                <w:shd w:val="clear" w:color="auto" w:fill="FFFFFF" w:themeFill="background1"/>
              </w:rPr>
              <w:t>Regulārā administratoru kvalifikācijas pārbaude</w:t>
            </w:r>
            <w:r w:rsidRPr="0067478B">
              <w:rPr>
                <w:color w:val="000000" w:themeColor="text1"/>
                <w:shd w:val="clear" w:color="auto" w:fill="FFFFFF"/>
              </w:rPr>
              <w:t>, kārtojot kvalifikācijas eksāmenu nostiprināta  Maksātnespējas likuma 16.</w:t>
            </w:r>
            <w:r w:rsidRPr="0067478B">
              <w:rPr>
                <w:color w:val="000000" w:themeColor="text1"/>
                <w:shd w:val="clear" w:color="auto" w:fill="FFFFFF"/>
                <w:vertAlign w:val="superscript"/>
              </w:rPr>
              <w:t>2</w:t>
            </w:r>
            <w:r w:rsidR="007776C9" w:rsidRPr="0067478B">
              <w:rPr>
                <w:color w:val="000000" w:themeColor="text1"/>
                <w:shd w:val="clear" w:color="auto" w:fill="FFFFFF"/>
              </w:rPr>
              <w:t> </w:t>
            </w:r>
            <w:r w:rsidRPr="0067478B">
              <w:rPr>
                <w:color w:val="000000" w:themeColor="text1"/>
                <w:shd w:val="clear" w:color="auto" w:fill="FFFFFF"/>
              </w:rPr>
              <w:t>panta pirmajā daļā, atbilstoši kurai p</w:t>
            </w:r>
            <w:r w:rsidRPr="0067478B">
              <w:rPr>
                <w:color w:val="000000" w:themeColor="text1"/>
              </w:rPr>
              <w:t xml:space="preserve">ēc iecelšanas amatā administrators reizi divos gados, skaitot no amatā iecelšanas dienas vai iepriekšējā kvalifikācijas eksāmena nokārtošanas dienas (turpmāk –  kvalifikācijas periods), kārto kvalifikācijas eksāmenu. </w:t>
            </w:r>
            <w:r w:rsidR="00BB00D3" w:rsidRPr="0067478B">
              <w:rPr>
                <w:color w:val="000000" w:themeColor="text1"/>
                <w:shd w:val="clear" w:color="auto" w:fill="FFFFFF"/>
              </w:rPr>
              <w:t>A</w:t>
            </w:r>
            <w:r w:rsidR="00BA70EC" w:rsidRPr="0067478B">
              <w:rPr>
                <w:color w:val="000000" w:themeColor="text1"/>
                <w:shd w:val="clear" w:color="auto" w:fill="FFFFFF"/>
              </w:rPr>
              <w:t xml:space="preserve">tbilstoši </w:t>
            </w:r>
            <w:r w:rsidRPr="0067478B">
              <w:rPr>
                <w:color w:val="000000" w:themeColor="text1"/>
                <w:shd w:val="clear" w:color="auto" w:fill="FFFFFF"/>
              </w:rPr>
              <w:t xml:space="preserve">Latvijas Republikas Uzņēmumu reģistra vestajā maksātnespējas reģistrā (turpmāk – maksātnespējas reģistrs) pieejamajai informācijai </w:t>
            </w:r>
            <w:r w:rsidR="00BC3C39" w:rsidRPr="006524D2">
              <w:rPr>
                <w:color w:val="000000" w:themeColor="text1"/>
              </w:rPr>
              <w:t xml:space="preserve">2021. gada </w:t>
            </w:r>
            <w:r w:rsidR="00AE74A5" w:rsidRPr="006524D2">
              <w:rPr>
                <w:color w:val="000000" w:themeColor="text1"/>
              </w:rPr>
              <w:t>februārī</w:t>
            </w:r>
            <w:r w:rsidR="00BC3C39" w:rsidRPr="006524D2">
              <w:rPr>
                <w:color w:val="000000" w:themeColor="text1"/>
              </w:rPr>
              <w:t xml:space="preserve"> </w:t>
            </w:r>
            <w:r w:rsidRPr="006524D2">
              <w:rPr>
                <w:color w:val="000000" w:themeColor="text1"/>
              </w:rPr>
              <w:t>amatā iecelti 17</w:t>
            </w:r>
            <w:r w:rsidR="00AE74A5" w:rsidRPr="006524D2">
              <w:rPr>
                <w:color w:val="000000" w:themeColor="text1"/>
              </w:rPr>
              <w:t>1</w:t>
            </w:r>
            <w:r w:rsidRPr="006524D2">
              <w:rPr>
                <w:color w:val="000000" w:themeColor="text1"/>
              </w:rPr>
              <w:t xml:space="preserve"> administrator</w:t>
            </w:r>
            <w:r w:rsidR="00AE74A5" w:rsidRPr="006524D2">
              <w:rPr>
                <w:color w:val="000000" w:themeColor="text1"/>
              </w:rPr>
              <w:t>s</w:t>
            </w:r>
            <w:r w:rsidRPr="009028D6">
              <w:rPr>
                <w:color w:val="000000" w:themeColor="text1"/>
                <w:shd w:val="clear" w:color="auto" w:fill="FFFFFF" w:themeFill="background1"/>
              </w:rPr>
              <w:t>).</w:t>
            </w:r>
            <w:r w:rsidRPr="009028D6">
              <w:rPr>
                <w:rStyle w:val="Vresatsauce"/>
                <w:color w:val="000000" w:themeColor="text1"/>
                <w:shd w:val="clear" w:color="auto" w:fill="FFFFFF" w:themeFill="background1"/>
              </w:rPr>
              <w:footnoteReference w:id="6"/>
            </w:r>
            <w:r w:rsidR="00AE74A5" w:rsidRPr="009028D6">
              <w:rPr>
                <w:color w:val="000000" w:themeColor="text1"/>
                <w:shd w:val="clear" w:color="auto" w:fill="FFFFFF" w:themeFill="background1"/>
              </w:rPr>
              <w:t> </w:t>
            </w:r>
            <w:r w:rsidR="00BA70EC" w:rsidRPr="009028D6">
              <w:rPr>
                <w:color w:val="000000" w:themeColor="text1"/>
                <w:shd w:val="clear" w:color="auto" w:fill="FFFFFF" w:themeFill="background1"/>
              </w:rPr>
              <w:t xml:space="preserve">Skaidrības labad gan norādāms, ka </w:t>
            </w:r>
            <w:r w:rsidR="00BA70EC" w:rsidRPr="009028D6">
              <w:rPr>
                <w:color w:val="000000" w:themeColor="text1"/>
                <w:shd w:val="clear" w:color="auto" w:fill="FFFFFF" w:themeFill="background1"/>
              </w:rPr>
              <w:lastRenderedPageBreak/>
              <w:t xml:space="preserve">atbilstoši maksātnespējas reģistrā pieejamajai informācijai vienam administratoram </w:t>
            </w:r>
            <w:r w:rsidR="008E5983" w:rsidRPr="009028D6">
              <w:rPr>
                <w:color w:val="000000" w:themeColor="text1"/>
                <w:shd w:val="clear" w:color="auto" w:fill="FFFFFF" w:themeFill="background1"/>
              </w:rPr>
              <w:t>ir spēkā esošs sertifikāts</w:t>
            </w:r>
            <w:r w:rsidR="006524D2" w:rsidRPr="009028D6">
              <w:rPr>
                <w:color w:val="000000" w:themeColor="text1"/>
                <w:shd w:val="clear" w:color="auto" w:fill="FFFFFF" w:themeFill="background1"/>
              </w:rPr>
              <w:t xml:space="preserve"> un uz viņu attiecināms Maksātnespējas likuma pārejas noteikumos noteiktais regulējums par sertificēta administratora iecelšanu administratora amatā.</w:t>
            </w:r>
          </w:p>
          <w:p w14:paraId="1AE6CD30" w14:textId="77777777" w:rsidR="00BA70EC" w:rsidRPr="0067478B" w:rsidRDefault="00BA70EC" w:rsidP="00AF7B79">
            <w:pPr>
              <w:pStyle w:val="tv213"/>
              <w:spacing w:before="0" w:beforeAutospacing="0" w:after="0" w:afterAutospacing="0"/>
              <w:jc w:val="both"/>
              <w:rPr>
                <w:color w:val="000000" w:themeColor="text1"/>
                <w:shd w:val="clear" w:color="auto" w:fill="FFFFFF"/>
              </w:rPr>
            </w:pPr>
          </w:p>
          <w:p w14:paraId="3C89BCE5" w14:textId="0D90674A" w:rsidR="00134803" w:rsidRPr="0067478B" w:rsidRDefault="00BA70EC" w:rsidP="00AF7B79">
            <w:pPr>
              <w:pStyle w:val="tv213"/>
              <w:spacing w:before="0" w:beforeAutospacing="0" w:after="0" w:afterAutospacing="0"/>
              <w:jc w:val="both"/>
              <w:rPr>
                <w:color w:val="000000" w:themeColor="text1"/>
                <w:shd w:val="clear" w:color="auto" w:fill="FFFFFF"/>
              </w:rPr>
            </w:pPr>
            <w:r w:rsidRPr="0067478B">
              <w:rPr>
                <w:color w:val="000000" w:themeColor="text1"/>
                <w:shd w:val="clear" w:color="auto" w:fill="FFFFFF"/>
              </w:rPr>
              <w:t>Kopumā, v</w:t>
            </w:r>
            <w:r w:rsidR="007776C9" w:rsidRPr="0067478B">
              <w:rPr>
                <w:color w:val="000000" w:themeColor="text1"/>
                <w:shd w:val="clear" w:color="auto" w:fill="FFFFFF"/>
              </w:rPr>
              <w:t xml:space="preserve">ērtējot iepriekš </w:t>
            </w:r>
            <w:r w:rsidR="00134803" w:rsidRPr="0067478B">
              <w:rPr>
                <w:color w:val="000000" w:themeColor="text1"/>
                <w:shd w:val="clear" w:color="auto" w:fill="FFFFFF"/>
              </w:rPr>
              <w:t>minēto pasākumu kopum</w:t>
            </w:r>
            <w:r w:rsidR="007776C9" w:rsidRPr="0067478B">
              <w:rPr>
                <w:color w:val="000000" w:themeColor="text1"/>
                <w:shd w:val="clear" w:color="auto" w:fill="FFFFFF"/>
              </w:rPr>
              <w:t>u,</w:t>
            </w:r>
            <w:r w:rsidR="00134803" w:rsidRPr="0067478B">
              <w:rPr>
                <w:color w:val="000000" w:themeColor="text1"/>
                <w:shd w:val="clear" w:color="auto" w:fill="FFFFFF"/>
              </w:rPr>
              <w:t xml:space="preserve"> </w:t>
            </w:r>
            <w:r w:rsidR="007776C9" w:rsidRPr="0067478B">
              <w:rPr>
                <w:color w:val="000000" w:themeColor="text1"/>
                <w:shd w:val="clear" w:color="auto" w:fill="FFFFFF"/>
              </w:rPr>
              <w:t xml:space="preserve">var secināt, ka tas </w:t>
            </w:r>
            <w:r w:rsidR="00134803" w:rsidRPr="0067478B">
              <w:rPr>
                <w:color w:val="000000" w:themeColor="text1"/>
                <w:shd w:val="clear" w:color="auto" w:fill="FFFFFF"/>
              </w:rPr>
              <w:t>stiprinājis administratora profesijā darbojošos personu kvalifikāciju, profesionalitāti un reputāciju.</w:t>
            </w:r>
            <w:r w:rsidR="007776C9" w:rsidRPr="0067478B">
              <w:rPr>
                <w:color w:val="000000" w:themeColor="text1"/>
                <w:shd w:val="clear" w:color="auto" w:fill="FFFFFF"/>
              </w:rPr>
              <w:t xml:space="preserve"> </w:t>
            </w:r>
          </w:p>
          <w:p w14:paraId="0B207769" w14:textId="77777777" w:rsidR="00134803" w:rsidRPr="0067478B" w:rsidRDefault="00134803" w:rsidP="00AF7B79">
            <w:pPr>
              <w:pStyle w:val="tv213"/>
              <w:spacing w:before="0" w:beforeAutospacing="0" w:after="0" w:afterAutospacing="0" w:line="293" w:lineRule="atLeast"/>
              <w:jc w:val="both"/>
              <w:rPr>
                <w:color w:val="000000" w:themeColor="text1"/>
                <w:shd w:val="clear" w:color="auto" w:fill="FFFFFF"/>
              </w:rPr>
            </w:pPr>
          </w:p>
          <w:p w14:paraId="77919EEE" w14:textId="58635906" w:rsidR="00134803" w:rsidRPr="0067478B" w:rsidRDefault="00134803" w:rsidP="00AF7B79">
            <w:pPr>
              <w:pStyle w:val="tv213"/>
              <w:spacing w:before="0" w:beforeAutospacing="0" w:after="0" w:afterAutospacing="0"/>
              <w:jc w:val="both"/>
              <w:rPr>
                <w:color w:val="000000" w:themeColor="text1"/>
              </w:rPr>
            </w:pPr>
            <w:r w:rsidRPr="0067478B">
              <w:rPr>
                <w:color w:val="000000" w:themeColor="text1"/>
                <w:shd w:val="clear" w:color="auto" w:fill="FFFFFF"/>
              </w:rPr>
              <w:t xml:space="preserve">Administratora divu gadu kvalifikācijas periods vērtēts arī novērtējumā. Saskaņā ar tajā norādīto, Starptautiskais </w:t>
            </w:r>
            <w:r w:rsidR="00C27F14" w:rsidRPr="0067478B">
              <w:rPr>
                <w:color w:val="000000" w:themeColor="text1"/>
                <w:shd w:val="clear" w:color="auto" w:fill="FFFFFF"/>
              </w:rPr>
              <w:t>V</w:t>
            </w:r>
            <w:r w:rsidRPr="0067478B">
              <w:rPr>
                <w:color w:val="000000" w:themeColor="text1"/>
                <w:shd w:val="clear" w:color="auto" w:fill="FFFFFF"/>
              </w:rPr>
              <w:t xml:space="preserve">alūtas fonds ierosinājis </w:t>
            </w:r>
            <w:r w:rsidR="004B4ADA" w:rsidRPr="0067478B">
              <w:rPr>
                <w:color w:val="000000" w:themeColor="text1"/>
                <w:shd w:val="clear" w:color="auto" w:fill="FFFFFF"/>
              </w:rPr>
              <w:t>p</w:t>
            </w:r>
            <w:r w:rsidR="004B4ADA" w:rsidRPr="0067478B">
              <w:t>agarināt</w:t>
            </w:r>
            <w:r w:rsidRPr="0067478B">
              <w:t xml:space="preserve"> administratoru amata </w:t>
            </w:r>
            <w:r w:rsidR="004B4ADA" w:rsidRPr="0067478B">
              <w:t>apliecības</w:t>
            </w:r>
            <w:r w:rsidRPr="0067478B">
              <w:t xml:space="preserve"> divu gadu </w:t>
            </w:r>
            <w:r w:rsidR="004B4ADA" w:rsidRPr="0067478B">
              <w:t>derīguma</w:t>
            </w:r>
            <w:r w:rsidRPr="0067478B">
              <w:t xml:space="preserve"> </w:t>
            </w:r>
            <w:r w:rsidR="004B4ADA" w:rsidRPr="0067478B">
              <w:t>termi</w:t>
            </w:r>
            <w:r w:rsidR="006971CA" w:rsidRPr="0067478B">
              <w:t>ņ</w:t>
            </w:r>
            <w:r w:rsidR="004B4ADA" w:rsidRPr="0067478B">
              <w:t>u</w:t>
            </w:r>
            <w:r w:rsidRPr="0067478B">
              <w:t xml:space="preserve"> un </w:t>
            </w:r>
            <w:r w:rsidR="004B4ADA" w:rsidRPr="0067478B">
              <w:t>ļaut</w:t>
            </w:r>
            <w:r w:rsidRPr="0067478B">
              <w:t xml:space="preserve"> </w:t>
            </w:r>
            <w:r w:rsidR="004B4ADA" w:rsidRPr="0067478B">
              <w:t>likumīgi</w:t>
            </w:r>
            <w:r w:rsidRPr="0067478B">
              <w:t xml:space="preserve"> ieceltiem administratoriem pabeigt </w:t>
            </w:r>
            <w:r w:rsidR="00AE74A5">
              <w:t xml:space="preserve">viņa </w:t>
            </w:r>
            <w:r w:rsidR="007776C9" w:rsidRPr="0067478B">
              <w:t xml:space="preserve">lietvedībā esošās </w:t>
            </w:r>
            <w:r w:rsidR="004B4ADA" w:rsidRPr="0067478B">
              <w:t>maksātnespējas</w:t>
            </w:r>
            <w:r w:rsidRPr="0067478B">
              <w:t xml:space="preserve"> </w:t>
            </w:r>
            <w:r w:rsidR="007776C9" w:rsidRPr="0067478B">
              <w:t xml:space="preserve">procesa </w:t>
            </w:r>
            <w:r w:rsidRPr="0067478B">
              <w:t xml:space="preserve">lietas. Starptautiskais Valūtas fonds norādījis, ka divu gadu amata apliecības derīguma termiņš nav optimāls, vienlaikus gan norādot, ka šādam termiņam nozīme ir pārejas no administratora sertificēšanas procesa uz administratoru amata iecelšanas procesu nodrošināšanā. </w:t>
            </w:r>
            <w:r w:rsidR="00C27F14" w:rsidRPr="0067478B">
              <w:t>Vienlaikus norādot, ka a</w:t>
            </w:r>
            <w:r w:rsidRPr="0067478B">
              <w:t>dministratora kvalifikācijas pārbaude reizi divos gados ilgtermiņā var šo procesu padarīt apgrūtinošu un sarežģītu gan administratoriem, gan Maksātnespējas kontroles dienestam.</w:t>
            </w:r>
            <w:r w:rsidR="007776C9" w:rsidRPr="0067478B">
              <w:rPr>
                <w:rStyle w:val="Vresatsauce"/>
              </w:rPr>
              <w:footnoteReference w:id="7"/>
            </w:r>
            <w:r w:rsidRPr="0067478B">
              <w:t xml:space="preserve"> </w:t>
            </w:r>
          </w:p>
          <w:p w14:paraId="288AFB9C" w14:textId="6FDACF7F" w:rsidR="00134803" w:rsidRPr="0067478B" w:rsidRDefault="00134803" w:rsidP="00AF7B79">
            <w:pPr>
              <w:pStyle w:val="Paraststmeklis"/>
              <w:shd w:val="clear" w:color="auto" w:fill="FFFFFF"/>
              <w:jc w:val="both"/>
            </w:pPr>
            <w:r w:rsidRPr="0067478B">
              <w:t xml:space="preserve">Jautājums par Starptautiskā </w:t>
            </w:r>
            <w:r w:rsidR="00C27F14" w:rsidRPr="0067478B">
              <w:t>V</w:t>
            </w:r>
            <w:r w:rsidRPr="0067478B">
              <w:t xml:space="preserve">alūtas fonda ieteikumu pagarināt administratora amata apliecības derīguma termiņu un </w:t>
            </w:r>
            <w:r w:rsidR="004B4ADA" w:rsidRPr="0067478B">
              <w:t>ļaut</w:t>
            </w:r>
            <w:r w:rsidRPr="0067478B">
              <w:t xml:space="preserve"> </w:t>
            </w:r>
            <w:r w:rsidR="004B4ADA" w:rsidRPr="0067478B">
              <w:t>likumīgi</w:t>
            </w:r>
            <w:r w:rsidRPr="0067478B">
              <w:t xml:space="preserve"> ieceltiem administratoriem pabeigt </w:t>
            </w:r>
            <w:r w:rsidR="00AE74A5">
              <w:t xml:space="preserve">viņa </w:t>
            </w:r>
            <w:r w:rsidR="007776C9" w:rsidRPr="0067478B">
              <w:t xml:space="preserve">lietvedībā esošās </w:t>
            </w:r>
            <w:r w:rsidR="004B4ADA" w:rsidRPr="0067478B">
              <w:t>maksātnespējas</w:t>
            </w:r>
            <w:r w:rsidRPr="0067478B">
              <w:t xml:space="preserve"> </w:t>
            </w:r>
            <w:r w:rsidR="00AE74A5">
              <w:t xml:space="preserve">procesa </w:t>
            </w:r>
            <w:r w:rsidRPr="0067478B">
              <w:t xml:space="preserve">lietas tika skatīts 2020. gada 22. oktobrī Maksātnespējas jautājumu konsultatīvās padomes (turpmāk – Padome)  sēdē (turpmāk – Padomes sēde). Padomes locekļi  izteica atbalstu Starptautiskā </w:t>
            </w:r>
            <w:r w:rsidR="004B4ADA" w:rsidRPr="0067478B">
              <w:t>V</w:t>
            </w:r>
            <w:r w:rsidRPr="0067478B">
              <w:t xml:space="preserve">alūtas fonda novērtējumā ieteikumam pagarināt administratora amata apliecības derīguma termiņu. Minētais jautājums atbilstoši Padomes lēmumam tika skatīts arī Maksātnespējas regulējuma pilnveidošanas darba grupas </w:t>
            </w:r>
            <w:r w:rsidR="006971CA" w:rsidRPr="0067478B">
              <w:t xml:space="preserve">(turpmāk – Darba grupa) </w:t>
            </w:r>
            <w:r w:rsidRPr="0067478B">
              <w:t>2020. gada 5. novembra un 2020. gada 12. novembra sanāksmē</w:t>
            </w:r>
            <w:r w:rsidR="004B4ADA" w:rsidRPr="0067478B">
              <w:t>.</w:t>
            </w:r>
          </w:p>
          <w:p w14:paraId="76E35FEB" w14:textId="19948057" w:rsidR="00134803" w:rsidRPr="0067478B" w:rsidRDefault="00134803" w:rsidP="00AF7B79">
            <w:pPr>
              <w:pStyle w:val="Paraststmeklis"/>
              <w:shd w:val="clear" w:color="auto" w:fill="FFFFFF"/>
              <w:jc w:val="both"/>
            </w:pPr>
            <w:r w:rsidRPr="0067478B">
              <w:t>Savukārt minētā ieteikuma otr</w:t>
            </w:r>
            <w:r w:rsidR="00C52723" w:rsidRPr="0067478B">
              <w:t>ā</w:t>
            </w:r>
            <w:r w:rsidRPr="0067478B">
              <w:t xml:space="preserve"> daļā, tas ir, par tiesībām administratoram </w:t>
            </w:r>
            <w:r w:rsidR="006971CA" w:rsidRPr="0067478B">
              <w:t>(</w:t>
            </w:r>
            <w:r w:rsidRPr="0067478B">
              <w:t>pēc nesekmīgi nokārtota kvalifikācijas eksāmena</w:t>
            </w:r>
            <w:r w:rsidR="006971CA" w:rsidRPr="0067478B">
              <w:t>),</w:t>
            </w:r>
            <w:r w:rsidRPr="0067478B">
              <w:t xml:space="preserve"> ļaut pabeigt viņa lietvedībā esoš</w:t>
            </w:r>
            <w:r w:rsidR="007776C9" w:rsidRPr="0067478B">
              <w:t>ā</w:t>
            </w:r>
            <w:r w:rsidRPr="0067478B">
              <w:t>s maksātnespējas</w:t>
            </w:r>
            <w:r w:rsidR="00AE74A5">
              <w:t xml:space="preserve"> procesa</w:t>
            </w:r>
            <w:r w:rsidRPr="0067478B">
              <w:t xml:space="preserve"> </w:t>
            </w:r>
            <w:r w:rsidR="007776C9" w:rsidRPr="0067478B">
              <w:t>lietas</w:t>
            </w:r>
            <w:r w:rsidRPr="0067478B">
              <w:t xml:space="preserve">, neguva pārliecinošu atbalstu nedz no Padomes, nedz </w:t>
            </w:r>
            <w:r w:rsidR="006971CA" w:rsidRPr="0067478B">
              <w:t>D</w:t>
            </w:r>
            <w:r w:rsidRPr="0067478B">
              <w:t xml:space="preserve">arba grupas locekļiem. Lai gan atsevišķos gadījumos, kā to norādījis arī Starptautiskais Valūtas fonds, administratora maiņa, varētu radīt problēmas maksātnespējas procesa efektivitātes nodrošināšanai, jāvērš </w:t>
            </w:r>
            <w:r w:rsidRPr="0067478B">
              <w:lastRenderedPageBreak/>
              <w:t>uzmanība, ka administrators kvalifikācijas eksāmenu var kārtot atkā</w:t>
            </w:r>
            <w:r w:rsidR="00C52723" w:rsidRPr="0067478B">
              <w:t>r</w:t>
            </w:r>
            <w:r w:rsidRPr="0067478B">
              <w:t>toti, ja ar pirmo reizi nav izdevies to sekmīgi nokārtot. Tāpat jāņem vērā kvalifikācijas eksāmena mērķis</w:t>
            </w:r>
            <w:r w:rsidR="00AE74A5">
              <w:t xml:space="preserve"> – </w:t>
            </w:r>
            <w:r w:rsidRPr="0067478B">
              <w:t>nodrošināt regulāru administratora kvalifikācijas pārbaudi</w:t>
            </w:r>
            <w:r w:rsidR="00FE4DF1" w:rsidRPr="0067478B">
              <w:t>.</w:t>
            </w:r>
            <w:r w:rsidR="00AE74A5">
              <w:t xml:space="preserve"> </w:t>
            </w:r>
            <w:r w:rsidR="00FE4DF1" w:rsidRPr="0067478B">
              <w:t>Ja</w:t>
            </w:r>
            <w:r w:rsidRPr="0067478B">
              <w:t xml:space="preserve"> administrators divas </w:t>
            </w:r>
            <w:r w:rsidR="004B4ADA" w:rsidRPr="0067478B">
              <w:t>reizes</w:t>
            </w:r>
            <w:r w:rsidRPr="0067478B">
              <w:t xml:space="preserve"> kārtojot kvalifikācijas eksāmenu nav spējis </w:t>
            </w:r>
            <w:r w:rsidR="00FE4DF1" w:rsidRPr="0067478B">
              <w:t xml:space="preserve">to </w:t>
            </w:r>
            <w:r w:rsidRPr="0067478B">
              <w:t>nokārtot sekmīgi, var rasties šaubas par administratora kvalifikāciju, attiecīgi arī spēju nodrošināt maksātnespējas procesa likumīgu un efektīvu norisi. Tādējādi var veidoties situācija, kurā šādu tiesību paredzēšana var nonākt pretrunā ar kvalifikācijas eksāmena mērķi</w:t>
            </w:r>
            <w:r w:rsidR="00FE4DF1" w:rsidRPr="0067478B">
              <w:t>, kas savukārt nav atbalstāms.</w:t>
            </w:r>
          </w:p>
          <w:p w14:paraId="16C1B024" w14:textId="24875295" w:rsidR="00AE74A5" w:rsidRPr="001D2657" w:rsidRDefault="00134803" w:rsidP="009028D6">
            <w:pPr>
              <w:pStyle w:val="Parasts1"/>
              <w:shd w:val="clear" w:color="auto" w:fill="FFFFFF" w:themeFill="background1"/>
              <w:jc w:val="both"/>
              <w:rPr>
                <w:rFonts w:ascii="Times New Roman" w:hAnsi="Times New Roman"/>
                <w:color w:val="000000" w:themeColor="text1"/>
                <w:sz w:val="24"/>
                <w:szCs w:val="24"/>
                <w:shd w:val="clear" w:color="auto" w:fill="FBD9E8"/>
              </w:rPr>
            </w:pPr>
            <w:r w:rsidRPr="0067478B">
              <w:rPr>
                <w:rFonts w:ascii="Times New Roman" w:hAnsi="Times New Roman"/>
                <w:b/>
                <w:bCs/>
                <w:color w:val="000000" w:themeColor="text1"/>
                <w:sz w:val="24"/>
                <w:szCs w:val="24"/>
                <w:shd w:val="clear" w:color="auto" w:fill="FFFFFF"/>
              </w:rPr>
              <w:t>1.2.</w:t>
            </w:r>
            <w:r w:rsidRPr="0067478B">
              <w:rPr>
                <w:rFonts w:ascii="Times New Roman" w:hAnsi="Times New Roman"/>
                <w:color w:val="000000" w:themeColor="text1"/>
                <w:sz w:val="24"/>
                <w:szCs w:val="24"/>
                <w:shd w:val="clear" w:color="auto" w:fill="FFFFFF"/>
              </w:rPr>
              <w:t xml:space="preserve"> Lai nodrošinātu, ka turpmāk amata apliecība tiktu izdota uz pieciem gadiem (amata apliecības derīguma termiņš) nepieciešamas pārejas posms </w:t>
            </w:r>
            <w:r w:rsidRPr="0067478B">
              <w:rPr>
                <w:rFonts w:ascii="Times New Roman" w:eastAsia="Times New Roman" w:hAnsi="Times New Roman"/>
                <w:color w:val="000000" w:themeColor="text1"/>
                <w:sz w:val="24"/>
                <w:szCs w:val="24"/>
                <w:lang w:eastAsia="en-GB"/>
              </w:rPr>
              <w:t>no amata apliecības divu gadu derīguma termiņa uz tās  piecu gadu derīguma termiņu.</w:t>
            </w:r>
            <w:r w:rsidR="00FE4DF1" w:rsidRPr="0067478B">
              <w:rPr>
                <w:rFonts w:ascii="Times New Roman" w:eastAsia="Times New Roman" w:hAnsi="Times New Roman"/>
                <w:color w:val="000000" w:themeColor="text1"/>
                <w:sz w:val="24"/>
                <w:szCs w:val="24"/>
                <w:lang w:eastAsia="en-GB"/>
              </w:rPr>
              <w:t xml:space="preserve"> K</w:t>
            </w:r>
            <w:r w:rsidRPr="0067478B">
              <w:rPr>
                <w:rFonts w:ascii="Times New Roman" w:hAnsi="Times New Roman"/>
                <w:color w:val="000000" w:themeColor="text1"/>
                <w:sz w:val="24"/>
                <w:szCs w:val="24"/>
              </w:rPr>
              <w:t>ārtojot nākamo tuvāko  kvalifikācijas eksāmenu, visi amatā ieceltie administratori, kas nokārtoja kvalifikācijas eksāmenu pirms iecelšanas amatā (pēc sertifikāta derīguma termiņa beigām), būs kārtojuši kvalifikācijas eksāmenu, ievērojot divu gadu kvalifikācijas periodu.</w:t>
            </w:r>
            <w:r w:rsidR="00FE4DF1" w:rsidRPr="0067478B">
              <w:rPr>
                <w:rFonts w:ascii="Times New Roman" w:hAnsi="Times New Roman"/>
                <w:color w:val="000000" w:themeColor="text1"/>
                <w:sz w:val="24"/>
                <w:szCs w:val="24"/>
              </w:rPr>
              <w:t xml:space="preserve"> </w:t>
            </w:r>
            <w:r w:rsidR="00AE74A5" w:rsidRPr="009028D6">
              <w:rPr>
                <w:rFonts w:ascii="Times New Roman" w:hAnsi="Times New Roman"/>
                <w:color w:val="000000" w:themeColor="text1"/>
                <w:sz w:val="24"/>
                <w:szCs w:val="24"/>
                <w:shd w:val="clear" w:color="auto" w:fill="FFFFFF" w:themeFill="background1"/>
              </w:rPr>
              <w:t>Attiecībā uz iepriekš minēto jāvērš uzmanība, ka saistībā ar valstī izsludināto ārkārtējo situāciju</w:t>
            </w:r>
            <w:r w:rsidR="001D2657" w:rsidRPr="009028D6">
              <w:rPr>
                <w:rFonts w:ascii="Times New Roman" w:hAnsi="Times New Roman"/>
                <w:color w:val="000000" w:themeColor="text1"/>
                <w:sz w:val="24"/>
                <w:szCs w:val="24"/>
                <w:shd w:val="clear" w:color="auto" w:fill="FFFFFF" w:themeFill="background1"/>
              </w:rPr>
              <w:t xml:space="preserve"> kvalifikācijas eksāmena organizēšana ir atlikta</w:t>
            </w:r>
            <w:r w:rsidR="006524D2" w:rsidRPr="009028D6">
              <w:rPr>
                <w:rFonts w:ascii="Times New Roman" w:hAnsi="Times New Roman"/>
                <w:color w:val="000000" w:themeColor="text1"/>
                <w:sz w:val="24"/>
                <w:szCs w:val="24"/>
                <w:shd w:val="clear" w:color="auto" w:fill="FFFFFF" w:themeFill="background1"/>
              </w:rPr>
              <w:t>.</w:t>
            </w:r>
          </w:p>
          <w:p w14:paraId="0BE3A8D2" w14:textId="7D643854" w:rsidR="00134803" w:rsidRPr="0067478B" w:rsidRDefault="001D2657" w:rsidP="00AF7B79">
            <w:pPr>
              <w:pStyle w:val="Parasts1"/>
              <w:jc w:val="both"/>
              <w:rPr>
                <w:rFonts w:ascii="Times New Roman" w:hAnsi="Times New Roman"/>
                <w:color w:val="000000" w:themeColor="text1"/>
                <w:sz w:val="24"/>
                <w:szCs w:val="24"/>
              </w:rPr>
            </w:pPr>
            <w:r>
              <w:rPr>
                <w:rFonts w:ascii="Times New Roman" w:hAnsi="Times New Roman"/>
                <w:color w:val="000000" w:themeColor="text1"/>
                <w:sz w:val="24"/>
                <w:szCs w:val="24"/>
              </w:rPr>
              <w:t>Vienlaikus, i</w:t>
            </w:r>
            <w:r w:rsidR="00134803" w:rsidRPr="0067478B">
              <w:rPr>
                <w:rFonts w:ascii="Times New Roman" w:hAnsi="Times New Roman"/>
                <w:color w:val="000000" w:themeColor="text1"/>
                <w:sz w:val="24"/>
                <w:szCs w:val="24"/>
              </w:rPr>
              <w:t xml:space="preserve">zvērtējot maksātnespējas reģistrā norādītos administratoriem izsniegto amata apliecību derīguma termiņus, </w:t>
            </w:r>
            <w:r w:rsidR="00134803" w:rsidRPr="0067478B">
              <w:rPr>
                <w:rFonts w:ascii="Times New Roman" w:hAnsi="Times New Roman"/>
                <w:sz w:val="24"/>
                <w:szCs w:val="24"/>
              </w:rPr>
              <w:t xml:space="preserve">pārejas regulējuma modelis izvēlēts, sadalot administratorus divās vienlīdz lielās grupās, vienlaikus iespējami izlīdzinot amatā nostrādāto periodu līdz nākamajam tuvākajam kvalifikācijas eksāmenam un pietuvinot </w:t>
            </w:r>
            <w:r>
              <w:rPr>
                <w:rFonts w:ascii="Times New Roman" w:hAnsi="Times New Roman"/>
                <w:sz w:val="24"/>
                <w:szCs w:val="24"/>
              </w:rPr>
              <w:t xml:space="preserve">to </w:t>
            </w:r>
            <w:r w:rsidR="00134803" w:rsidRPr="0067478B">
              <w:rPr>
                <w:rFonts w:ascii="Times New Roman" w:hAnsi="Times New Roman"/>
                <w:sz w:val="24"/>
                <w:szCs w:val="24"/>
              </w:rPr>
              <w:t>piecu gadu periodam.</w:t>
            </w:r>
          </w:p>
          <w:p w14:paraId="6CA844FC" w14:textId="6443E21F" w:rsidR="0040445B" w:rsidRPr="00FD2202" w:rsidRDefault="00134803" w:rsidP="00FD2202">
            <w:pPr>
              <w:pStyle w:val="Parasts1"/>
              <w:jc w:val="both"/>
              <w:rPr>
                <w:rFonts w:ascii="Times New Roman" w:hAnsi="Times New Roman"/>
                <w:sz w:val="24"/>
                <w:szCs w:val="24"/>
              </w:rPr>
            </w:pPr>
            <w:r w:rsidRPr="0067478B">
              <w:rPr>
                <w:rFonts w:ascii="Times New Roman" w:hAnsi="Times New Roman"/>
                <w:sz w:val="24"/>
                <w:szCs w:val="24"/>
              </w:rPr>
              <w:t>Ievērojot iepriekš minēto</w:t>
            </w:r>
            <w:r w:rsidR="004B4ADA" w:rsidRPr="0067478B">
              <w:rPr>
                <w:rFonts w:ascii="Times New Roman" w:hAnsi="Times New Roman"/>
                <w:sz w:val="24"/>
                <w:szCs w:val="24"/>
              </w:rPr>
              <w:t>,</w:t>
            </w:r>
            <w:r w:rsidRPr="0067478B">
              <w:rPr>
                <w:rFonts w:ascii="Times New Roman" w:hAnsi="Times New Roman"/>
                <w:sz w:val="24"/>
                <w:szCs w:val="24"/>
              </w:rPr>
              <w:t xml:space="preserve"> paredzēts Maksātnespējas likumu papildināt ar pārejas noteikumiem paredzot, ka tiem administratoriem, kuriem amata apliecības derīguma termiņš ir līdz 2021. gada 11. oktobrim, 2021. gada 22. decembrim un līdz 2022. gada 1. martam, nākamo kvalifikācijas eksāmenu kārto ne vēlāk kā 202</w:t>
            </w:r>
            <w:r w:rsidR="007E7344" w:rsidRPr="0067478B">
              <w:rPr>
                <w:rFonts w:ascii="Times New Roman" w:hAnsi="Times New Roman"/>
                <w:sz w:val="24"/>
                <w:szCs w:val="24"/>
              </w:rPr>
              <w:t>4</w:t>
            </w:r>
            <w:r w:rsidRPr="0067478B">
              <w:rPr>
                <w:rFonts w:ascii="Times New Roman" w:hAnsi="Times New Roman"/>
                <w:sz w:val="24"/>
                <w:szCs w:val="24"/>
              </w:rPr>
              <w:t xml:space="preserve"> gada aprīlī un līdz tam turpina pildīt administratora pienākumus, pamatojoties uz </w:t>
            </w:r>
            <w:r w:rsidR="001D2657">
              <w:rPr>
                <w:rFonts w:ascii="Times New Roman" w:hAnsi="Times New Roman"/>
                <w:sz w:val="24"/>
                <w:szCs w:val="24"/>
              </w:rPr>
              <w:t>Maksātnespējas</w:t>
            </w:r>
            <w:r w:rsidRPr="0067478B">
              <w:rPr>
                <w:rFonts w:ascii="Times New Roman" w:hAnsi="Times New Roman"/>
                <w:sz w:val="24"/>
                <w:szCs w:val="24"/>
              </w:rPr>
              <w:t xml:space="preserve"> likumā noteiktajā kārtībā izdotās amata apliecības. </w:t>
            </w:r>
            <w:r w:rsidR="00835F72">
              <w:rPr>
                <w:rFonts w:ascii="Times New Roman" w:hAnsi="Times New Roman"/>
                <w:sz w:val="24"/>
                <w:szCs w:val="24"/>
              </w:rPr>
              <w:t>Līdzīgs</w:t>
            </w:r>
            <w:r w:rsidRPr="0067478B">
              <w:rPr>
                <w:rFonts w:ascii="Times New Roman" w:hAnsi="Times New Roman"/>
                <w:sz w:val="24"/>
                <w:szCs w:val="24"/>
              </w:rPr>
              <w:t xml:space="preserve"> pārejas noteikumu </w:t>
            </w:r>
            <w:r w:rsidR="00C27F14" w:rsidRPr="0067478B">
              <w:rPr>
                <w:rFonts w:ascii="Times New Roman" w:hAnsi="Times New Roman"/>
                <w:sz w:val="24"/>
                <w:szCs w:val="24"/>
              </w:rPr>
              <w:t xml:space="preserve">punkts nosakāms </w:t>
            </w:r>
            <w:r w:rsidRPr="0067478B">
              <w:rPr>
                <w:rFonts w:ascii="Times New Roman" w:hAnsi="Times New Roman"/>
                <w:sz w:val="24"/>
                <w:szCs w:val="24"/>
              </w:rPr>
              <w:t>arī par administratoriem, kuriem amata apliecības derīguma termiņš ir līdz 2022. gada 2. maijam, 2022. gada 27. jūnijam, 2022. gada 28. jūnijam, 2022. gada 3. oktobrim</w:t>
            </w:r>
            <w:r w:rsidR="006524D2">
              <w:rPr>
                <w:rFonts w:ascii="Times New Roman" w:hAnsi="Times New Roman"/>
                <w:sz w:val="24"/>
                <w:szCs w:val="24"/>
              </w:rPr>
              <w:t xml:space="preserve"> un </w:t>
            </w:r>
            <w:r w:rsidR="006524D2" w:rsidRPr="009028D6">
              <w:rPr>
                <w:rFonts w:ascii="Times New Roman" w:hAnsi="Times New Roman"/>
                <w:sz w:val="24"/>
                <w:szCs w:val="24"/>
                <w:shd w:val="clear" w:color="auto" w:fill="FFFFFF" w:themeFill="background1"/>
              </w:rPr>
              <w:t>2021. gada 1. jūnijam</w:t>
            </w:r>
            <w:r w:rsidR="000F6EA2" w:rsidRPr="009028D6">
              <w:rPr>
                <w:rFonts w:ascii="Times New Roman" w:hAnsi="Times New Roman"/>
                <w:sz w:val="24"/>
                <w:szCs w:val="24"/>
                <w:shd w:val="clear" w:color="auto" w:fill="FFFFFF" w:themeFill="background1"/>
              </w:rPr>
              <w:t xml:space="preserve"> (administratoriem ar šo amata apliecības derīguma termiņu vēl jākārto kvalifikācijas eksāmens, jo saistībā ar ārkārtējo situāciju valstī, tā organizēšana ir atlikta)</w:t>
            </w:r>
            <w:r w:rsidR="00A22CA5" w:rsidRPr="009028D6">
              <w:rPr>
                <w:rFonts w:ascii="Times New Roman" w:hAnsi="Times New Roman"/>
                <w:sz w:val="24"/>
                <w:szCs w:val="24"/>
                <w:shd w:val="clear" w:color="auto" w:fill="FFFFFF" w:themeFill="background1"/>
              </w:rPr>
              <w:t>.</w:t>
            </w:r>
            <w:r w:rsidR="008E2508" w:rsidRPr="009028D6">
              <w:rPr>
                <w:rFonts w:ascii="Times New Roman" w:hAnsi="Times New Roman"/>
                <w:sz w:val="24"/>
                <w:szCs w:val="24"/>
                <w:shd w:val="clear" w:color="auto" w:fill="FFFFFF" w:themeFill="background1"/>
              </w:rPr>
              <w:t xml:space="preserve"> Likumprojekta turpmākās izstrādes gaitā, konkrēts amata apliecības derīguma termiņš tiks precizēts pēc kvalifikācijas eksāmena nokārtošanas.</w:t>
            </w:r>
            <w:r w:rsidR="000F6EA2">
              <w:rPr>
                <w:rFonts w:ascii="Times New Roman" w:hAnsi="Times New Roman"/>
                <w:sz w:val="24"/>
                <w:szCs w:val="24"/>
                <w:shd w:val="clear" w:color="auto" w:fill="D9E0FF"/>
              </w:rPr>
              <w:t xml:space="preserve"> </w:t>
            </w:r>
            <w:r w:rsidR="006524D2">
              <w:rPr>
                <w:rFonts w:ascii="Times New Roman" w:hAnsi="Times New Roman"/>
                <w:sz w:val="24"/>
                <w:szCs w:val="24"/>
              </w:rPr>
              <w:t xml:space="preserve"> </w:t>
            </w:r>
            <w:r w:rsidR="007E7344" w:rsidRPr="0067478B">
              <w:rPr>
                <w:rFonts w:ascii="Times New Roman" w:hAnsi="Times New Roman"/>
                <w:sz w:val="24"/>
                <w:szCs w:val="24"/>
              </w:rPr>
              <w:lastRenderedPageBreak/>
              <w:t xml:space="preserve">Attiecīgi </w:t>
            </w:r>
            <w:r w:rsidR="00C27F14" w:rsidRPr="0067478B">
              <w:rPr>
                <w:rFonts w:ascii="Times New Roman" w:hAnsi="Times New Roman"/>
                <w:sz w:val="24"/>
                <w:szCs w:val="24"/>
              </w:rPr>
              <w:t>likumprojektā iecerētajam šai</w:t>
            </w:r>
            <w:r w:rsidR="007E7344" w:rsidRPr="0067478B">
              <w:rPr>
                <w:rFonts w:ascii="Times New Roman" w:hAnsi="Times New Roman"/>
                <w:sz w:val="24"/>
                <w:szCs w:val="24"/>
              </w:rPr>
              <w:t xml:space="preserve"> administratoru grupai </w:t>
            </w:r>
            <w:r w:rsidR="004B4ADA" w:rsidRPr="0067478B">
              <w:rPr>
                <w:rFonts w:ascii="Times New Roman" w:hAnsi="Times New Roman"/>
                <w:sz w:val="24"/>
                <w:szCs w:val="24"/>
              </w:rPr>
              <w:t xml:space="preserve">nākamais </w:t>
            </w:r>
            <w:r w:rsidR="007E7344" w:rsidRPr="0067478B">
              <w:rPr>
                <w:rFonts w:ascii="Times New Roman" w:hAnsi="Times New Roman"/>
                <w:sz w:val="24"/>
                <w:szCs w:val="24"/>
              </w:rPr>
              <w:t xml:space="preserve">kvalifikācijas eksāmens </w:t>
            </w:r>
            <w:r w:rsidR="00C27F14" w:rsidRPr="0067478B">
              <w:rPr>
                <w:rFonts w:ascii="Times New Roman" w:hAnsi="Times New Roman"/>
                <w:sz w:val="24"/>
                <w:szCs w:val="24"/>
              </w:rPr>
              <w:t>būtu</w:t>
            </w:r>
            <w:r w:rsidR="004B4ADA" w:rsidRPr="0067478B">
              <w:rPr>
                <w:rFonts w:ascii="Times New Roman" w:hAnsi="Times New Roman"/>
                <w:sz w:val="24"/>
                <w:szCs w:val="24"/>
              </w:rPr>
              <w:t xml:space="preserve"> jākārto ne vēlāk kā līdz </w:t>
            </w:r>
            <w:r w:rsidR="007E7344" w:rsidRPr="0067478B">
              <w:rPr>
                <w:rFonts w:ascii="Times New Roman" w:hAnsi="Times New Roman"/>
                <w:sz w:val="24"/>
                <w:szCs w:val="24"/>
              </w:rPr>
              <w:t xml:space="preserve"> 2024. gada oktobr</w:t>
            </w:r>
            <w:r w:rsidR="004B4ADA" w:rsidRPr="0067478B">
              <w:rPr>
                <w:rFonts w:ascii="Times New Roman" w:hAnsi="Times New Roman"/>
                <w:sz w:val="24"/>
                <w:szCs w:val="24"/>
              </w:rPr>
              <w:t>im.</w:t>
            </w:r>
          </w:p>
          <w:p w14:paraId="47E348F2" w14:textId="12665895" w:rsidR="00134803" w:rsidRPr="0067478B" w:rsidRDefault="00134803" w:rsidP="0067478B">
            <w:pPr>
              <w:jc w:val="both"/>
              <w:rPr>
                <w:color w:val="000000" w:themeColor="text1"/>
                <w:shd w:val="clear" w:color="auto" w:fill="FFFFFF"/>
              </w:rPr>
            </w:pPr>
            <w:r w:rsidRPr="0067478B">
              <w:rPr>
                <w:b/>
                <w:bCs/>
                <w:color w:val="000000" w:themeColor="text1"/>
              </w:rPr>
              <w:t>1.3.</w:t>
            </w:r>
            <w:r w:rsidRPr="0067478B">
              <w:rPr>
                <w:color w:val="000000" w:themeColor="text1"/>
              </w:rPr>
              <w:t> Atbilstoši Maksātnespējas likuma 16.</w:t>
            </w:r>
            <w:r w:rsidRPr="0067478B">
              <w:rPr>
                <w:color w:val="000000" w:themeColor="text1"/>
                <w:vertAlign w:val="superscript"/>
              </w:rPr>
              <w:t>2</w:t>
            </w:r>
            <w:r w:rsidR="000515F4" w:rsidRPr="0067478B">
              <w:rPr>
                <w:color w:val="000000" w:themeColor="text1"/>
              </w:rPr>
              <w:t> </w:t>
            </w:r>
            <w:r w:rsidRPr="0067478B">
              <w:rPr>
                <w:color w:val="000000" w:themeColor="text1"/>
              </w:rPr>
              <w:t xml:space="preserve">panta astotajai daļai </w:t>
            </w:r>
            <w:r w:rsidRPr="0067478B">
              <w:rPr>
                <w:color w:val="000000" w:themeColor="text1"/>
                <w:shd w:val="clear" w:color="auto" w:fill="FFFFFF"/>
              </w:rPr>
              <w:t>administrators, kurš objektīvu iemeslu dēļ nevarēja kārtot kvalifikācijas eksāmenu, kārto kvalifikācijas eksāmenu nākamajā kvalifikācijas eksāmena rīkošanas reizē. Šādā gadījumā Maksātnespējas kontroles dienesta direktors, pamatojoties uz administratora motivētu iesniegumu, pieņem lēmumu par administratora kvalifikācijas eksāmena kārtošanas termiņa pagarināšanu līdz nākamajai kvalifikācijas eksāmena rīkošanas reizei un administratoram ir tiesības pildīt administratora pienākumus, pamatojoties uz izsniegto amata apliecību. Administratoram, kurš objektīvu iemeslu dēļ nevarēja kārtot kvalifikācijas eksāmenu, ir tiesības kvalifikācijas periodā vienu reizi lūgt kvalifikācijas eksāmena kārtošanas termiņa pagarināšanu.</w:t>
            </w:r>
          </w:p>
          <w:p w14:paraId="75724C32" w14:textId="77777777" w:rsidR="00134803" w:rsidRPr="0067478B" w:rsidRDefault="00134803" w:rsidP="00AF7B79">
            <w:pPr>
              <w:jc w:val="both"/>
              <w:rPr>
                <w:color w:val="000000" w:themeColor="text1"/>
                <w:shd w:val="clear" w:color="auto" w:fill="FFFFFF"/>
              </w:rPr>
            </w:pPr>
          </w:p>
          <w:p w14:paraId="675841FF" w14:textId="3D394DE5" w:rsidR="00134803" w:rsidRPr="0067478B" w:rsidRDefault="00134803" w:rsidP="00AF7B79">
            <w:pPr>
              <w:jc w:val="both"/>
              <w:rPr>
                <w:color w:val="000000" w:themeColor="text1"/>
                <w:shd w:val="clear" w:color="auto" w:fill="FFFFFF"/>
              </w:rPr>
            </w:pPr>
            <w:r w:rsidRPr="0067478B">
              <w:rPr>
                <w:color w:val="000000" w:themeColor="text1"/>
                <w:shd w:val="clear" w:color="auto" w:fill="FFFFFF"/>
              </w:rPr>
              <w:t xml:space="preserve">Lai nodrošinātu tiesisko paļāvību un ievērotu samērīguma principu, arī  </w:t>
            </w:r>
            <w:r w:rsidR="004B4ADA" w:rsidRPr="0067478B">
              <w:rPr>
                <w:color w:val="000000" w:themeColor="text1"/>
                <w:shd w:val="clear" w:color="auto" w:fill="FFFFFF"/>
              </w:rPr>
              <w:t xml:space="preserve">attiecībā uz </w:t>
            </w:r>
            <w:r w:rsidRPr="0067478B">
              <w:rPr>
                <w:color w:val="000000" w:themeColor="text1"/>
                <w:shd w:val="clear" w:color="auto" w:fill="FFFFFF"/>
              </w:rPr>
              <w:t xml:space="preserve">pārejas noteikumos paredzēto kvalifikācijas eksāmenu (kas tiks organizēts, lai nodrošinātu pāreju uz amata apliecības piecu gadu derīguma termiņu), ja administrators uz to nevarēs ierasties objektīvu </w:t>
            </w:r>
            <w:r w:rsidR="00486CF5" w:rsidRPr="0067478B">
              <w:rPr>
                <w:color w:val="000000" w:themeColor="text1"/>
                <w:shd w:val="clear" w:color="auto" w:fill="FFFFFF"/>
              </w:rPr>
              <w:t xml:space="preserve">iemeslu </w:t>
            </w:r>
            <w:r w:rsidRPr="0067478B">
              <w:rPr>
                <w:color w:val="000000" w:themeColor="text1"/>
                <w:shd w:val="clear" w:color="auto" w:fill="FFFFFF"/>
              </w:rPr>
              <w:t xml:space="preserve">dēļ, </w:t>
            </w:r>
            <w:r w:rsidR="0040445B" w:rsidRPr="0067478B">
              <w:rPr>
                <w:color w:val="000000" w:themeColor="text1"/>
                <w:shd w:val="clear" w:color="auto" w:fill="FFFFFF"/>
              </w:rPr>
              <w:t xml:space="preserve">viņš to </w:t>
            </w:r>
            <w:r w:rsidRPr="0067478B">
              <w:rPr>
                <w:color w:val="000000" w:themeColor="text1"/>
                <w:shd w:val="clear" w:color="auto" w:fill="FFFFFF"/>
              </w:rPr>
              <w:t>varēs kārtot nākamajā tuvākajā tā rīkošanas reizē. Vienlaikus līdzīgi kā Maksātnespējas likuma 16.</w:t>
            </w:r>
            <w:r w:rsidRPr="0067478B">
              <w:rPr>
                <w:color w:val="000000" w:themeColor="text1"/>
                <w:shd w:val="clear" w:color="auto" w:fill="FFFFFF"/>
                <w:vertAlign w:val="superscript"/>
              </w:rPr>
              <w:t>2</w:t>
            </w:r>
            <w:r w:rsidRPr="0067478B">
              <w:rPr>
                <w:color w:val="000000" w:themeColor="text1"/>
                <w:shd w:val="clear" w:color="auto" w:fill="FFFFFF"/>
              </w:rPr>
              <w:t xml:space="preserve"> panta astotajā daļā noteikts, arī, kārtojot pārejas noteikumos noteikto kvalifikācijas eksāmenu, lūgumu par kvalifikācijas eksāmena kārtošanas termiņa pagarināšanu objektīvu iemeslu</w:t>
            </w:r>
            <w:r w:rsidR="00077484" w:rsidRPr="0067478B">
              <w:rPr>
                <w:color w:val="000000" w:themeColor="text1"/>
                <w:shd w:val="clear" w:color="auto" w:fill="FFFFFF"/>
              </w:rPr>
              <w:t xml:space="preserve"> dēļ</w:t>
            </w:r>
            <w:r w:rsidRPr="0067478B">
              <w:rPr>
                <w:color w:val="000000" w:themeColor="text1"/>
                <w:shd w:val="clear" w:color="auto" w:fill="FFFFFF"/>
              </w:rPr>
              <w:t xml:space="preserve">, administrators varēs </w:t>
            </w:r>
            <w:r w:rsidR="00835F72">
              <w:rPr>
                <w:color w:val="000000" w:themeColor="text1"/>
                <w:shd w:val="clear" w:color="auto" w:fill="FFFFFF"/>
              </w:rPr>
              <w:t>iesniegt</w:t>
            </w:r>
            <w:r w:rsidR="00835F72" w:rsidRPr="0067478B">
              <w:rPr>
                <w:color w:val="000000" w:themeColor="text1"/>
                <w:shd w:val="clear" w:color="auto" w:fill="FFFFFF"/>
              </w:rPr>
              <w:t xml:space="preserve"> </w:t>
            </w:r>
            <w:r w:rsidRPr="0067478B">
              <w:rPr>
                <w:color w:val="000000" w:themeColor="text1"/>
                <w:shd w:val="clear" w:color="auto" w:fill="FFFFFF"/>
              </w:rPr>
              <w:t xml:space="preserve">vienu reizi. Attiecīgi nākamajā tuvākajā kvalifikācijas eksāmena </w:t>
            </w:r>
            <w:r w:rsidR="0043737F" w:rsidRPr="0067478B">
              <w:rPr>
                <w:color w:val="000000" w:themeColor="text1"/>
                <w:shd w:val="clear" w:color="auto" w:fill="FFFFFF"/>
              </w:rPr>
              <w:t xml:space="preserve">rīkošanas </w:t>
            </w:r>
            <w:r w:rsidRPr="0067478B">
              <w:rPr>
                <w:color w:val="000000" w:themeColor="text1"/>
                <w:shd w:val="clear" w:color="auto" w:fill="FFFFFF"/>
              </w:rPr>
              <w:t>reizē administratoram būs pienākums kvalifikācijas eksāmenu kārtot.</w:t>
            </w:r>
            <w:r w:rsidR="00ED3317">
              <w:rPr>
                <w:color w:val="000000" w:themeColor="text1"/>
                <w:shd w:val="clear" w:color="auto" w:fill="FFFFFF"/>
              </w:rPr>
              <w:t xml:space="preserve"> </w:t>
            </w:r>
            <w:r w:rsidRPr="0067478B">
              <w:rPr>
                <w:color w:val="000000" w:themeColor="text1"/>
                <w:shd w:val="clear" w:color="auto" w:fill="FFFFFF"/>
              </w:rPr>
              <w:t xml:space="preserve">Piemēram, ja administratoram amata apliecības derīguma termiņš beidzas 2021. gada 11. oktobrī,  atbilstoši likumprojektā piedāvātajam pārejas </w:t>
            </w:r>
            <w:r w:rsidR="00486CF5" w:rsidRPr="0067478B">
              <w:rPr>
                <w:color w:val="000000" w:themeColor="text1"/>
                <w:shd w:val="clear" w:color="auto" w:fill="FFFFFF"/>
              </w:rPr>
              <w:t xml:space="preserve">noteikumu </w:t>
            </w:r>
            <w:r w:rsidRPr="0067478B">
              <w:rPr>
                <w:color w:val="000000" w:themeColor="text1"/>
                <w:shd w:val="clear" w:color="auto" w:fill="FFFFFF"/>
              </w:rPr>
              <w:t xml:space="preserve">regulējumam, viņam </w:t>
            </w:r>
            <w:r w:rsidR="00835F72">
              <w:rPr>
                <w:color w:val="000000" w:themeColor="text1"/>
                <w:shd w:val="clear" w:color="auto" w:fill="FFFFFF"/>
              </w:rPr>
              <w:t xml:space="preserve">nākamais </w:t>
            </w:r>
            <w:r w:rsidRPr="0067478B">
              <w:rPr>
                <w:color w:val="000000" w:themeColor="text1"/>
                <w:shd w:val="clear" w:color="auto" w:fill="FFFFFF"/>
              </w:rPr>
              <w:t xml:space="preserve">kvalifikācijas eksāmens </w:t>
            </w:r>
            <w:r w:rsidR="00D87D82" w:rsidRPr="0067478B">
              <w:rPr>
                <w:color w:val="000000" w:themeColor="text1"/>
                <w:shd w:val="clear" w:color="auto" w:fill="FFFFFF"/>
              </w:rPr>
              <w:t>jā</w:t>
            </w:r>
            <w:r w:rsidRPr="0067478B">
              <w:rPr>
                <w:color w:val="000000" w:themeColor="text1"/>
                <w:shd w:val="clear" w:color="auto" w:fill="FFFFFF"/>
              </w:rPr>
              <w:t>kārto ne vēlāk kā 202</w:t>
            </w:r>
            <w:r w:rsidR="0043737F" w:rsidRPr="0067478B">
              <w:rPr>
                <w:color w:val="000000" w:themeColor="text1"/>
                <w:shd w:val="clear" w:color="auto" w:fill="FFFFFF"/>
              </w:rPr>
              <w:t>4</w:t>
            </w:r>
            <w:r w:rsidRPr="0067478B">
              <w:rPr>
                <w:color w:val="000000" w:themeColor="text1"/>
                <w:shd w:val="clear" w:color="auto" w:fill="FFFFFF"/>
              </w:rPr>
              <w:t xml:space="preserve">. gada aprīlī. Ja administrators objektīvu apstākļu dēļ šo kvalifikācijas eksāmenu nekārto, viņam ir tiesības vērsties ar motivētu iesniegumu Maksātnespējas kontroles dienestā, lūdzot pagarināt kvalifikācijas eksāmena kārtošanas termiņu līdz nākamajai tuvākajai kvalifikācijas eksāmena rīkošanas reizei. Šāda tuvākā kvalifikācijas eksāmena rīkošanas reize </w:t>
            </w:r>
            <w:r w:rsidR="00486CF5" w:rsidRPr="0067478B">
              <w:rPr>
                <w:color w:val="000000" w:themeColor="text1"/>
                <w:shd w:val="clear" w:color="auto" w:fill="FFFFFF"/>
              </w:rPr>
              <w:t xml:space="preserve">konkrētajā piemērā </w:t>
            </w:r>
            <w:r w:rsidR="00F64174" w:rsidRPr="0067478B">
              <w:rPr>
                <w:color w:val="000000" w:themeColor="text1"/>
                <w:shd w:val="clear" w:color="auto" w:fill="FFFFFF"/>
              </w:rPr>
              <w:t xml:space="preserve">būtu </w:t>
            </w:r>
            <w:r w:rsidRPr="0067478B">
              <w:rPr>
                <w:color w:val="000000" w:themeColor="text1"/>
                <w:shd w:val="clear" w:color="auto" w:fill="FFFFFF"/>
              </w:rPr>
              <w:t>202</w:t>
            </w:r>
            <w:r w:rsidR="0043737F" w:rsidRPr="0067478B">
              <w:rPr>
                <w:color w:val="000000" w:themeColor="text1"/>
                <w:shd w:val="clear" w:color="auto" w:fill="FFFFFF"/>
              </w:rPr>
              <w:t>4</w:t>
            </w:r>
            <w:r w:rsidRPr="0067478B">
              <w:rPr>
                <w:color w:val="000000" w:themeColor="text1"/>
                <w:shd w:val="clear" w:color="auto" w:fill="FFFFFF"/>
              </w:rPr>
              <w:t>. gada oktobrī.</w:t>
            </w:r>
            <w:r w:rsidR="00F64174" w:rsidRPr="0067478B">
              <w:rPr>
                <w:color w:val="000000" w:themeColor="text1"/>
                <w:shd w:val="clear" w:color="auto" w:fill="FFFFFF"/>
              </w:rPr>
              <w:t xml:space="preserve"> </w:t>
            </w:r>
            <w:r w:rsidRPr="0067478B">
              <w:rPr>
                <w:color w:val="000000" w:themeColor="text1"/>
                <w:shd w:val="clear" w:color="auto" w:fill="FFFFFF"/>
              </w:rPr>
              <w:t xml:space="preserve">Papildu </w:t>
            </w:r>
            <w:r w:rsidR="00F64174" w:rsidRPr="0067478B">
              <w:rPr>
                <w:color w:val="000000" w:themeColor="text1"/>
                <w:shd w:val="clear" w:color="auto" w:fill="FFFFFF"/>
              </w:rPr>
              <w:t>paredzēts</w:t>
            </w:r>
            <w:r w:rsidRPr="0067478B">
              <w:rPr>
                <w:color w:val="000000" w:themeColor="text1"/>
                <w:shd w:val="clear" w:color="auto" w:fill="FFFFFF"/>
              </w:rPr>
              <w:t>, ka arī tie administratori, kuri, kārtojot kvalifikācijas eksāmenu 202</w:t>
            </w:r>
            <w:r w:rsidR="0043737F" w:rsidRPr="0067478B">
              <w:rPr>
                <w:color w:val="000000" w:themeColor="text1"/>
                <w:shd w:val="clear" w:color="auto" w:fill="FFFFFF"/>
              </w:rPr>
              <w:t>4</w:t>
            </w:r>
            <w:r w:rsidRPr="0067478B">
              <w:rPr>
                <w:color w:val="000000" w:themeColor="text1"/>
                <w:shd w:val="clear" w:color="auto" w:fill="FFFFFF"/>
              </w:rPr>
              <w:t>. gada aprīlī, būs saņēmuši negatīvu vērtējumu, atkārtoti kvalifikācijas eksāmenu varēs kārtot 202</w:t>
            </w:r>
            <w:r w:rsidR="0043737F" w:rsidRPr="0067478B">
              <w:rPr>
                <w:color w:val="000000" w:themeColor="text1"/>
                <w:shd w:val="clear" w:color="auto" w:fill="FFFFFF"/>
              </w:rPr>
              <w:t>4</w:t>
            </w:r>
            <w:r w:rsidRPr="0067478B">
              <w:rPr>
                <w:color w:val="000000" w:themeColor="text1"/>
                <w:shd w:val="clear" w:color="auto" w:fill="FFFFFF"/>
              </w:rPr>
              <w:t>. gada oktobrī,  tas ir, nākamajā tuvākajā kvalifikācijas eksāmena rīkošanas reizē.</w:t>
            </w:r>
          </w:p>
          <w:p w14:paraId="409A8CA0" w14:textId="4EF24E4F" w:rsidR="00134803" w:rsidRDefault="00134803" w:rsidP="00AF7B79">
            <w:pPr>
              <w:jc w:val="both"/>
              <w:rPr>
                <w:color w:val="000000" w:themeColor="text1"/>
                <w:shd w:val="clear" w:color="auto" w:fill="FFFFFF"/>
              </w:rPr>
            </w:pPr>
            <w:r w:rsidRPr="0067478B">
              <w:rPr>
                <w:color w:val="000000" w:themeColor="text1"/>
                <w:shd w:val="clear" w:color="auto" w:fill="FFFFFF"/>
              </w:rPr>
              <w:lastRenderedPageBreak/>
              <w:t>Savukārt, lai pārejas posmā nodrošinātu to administratoru</w:t>
            </w:r>
            <w:r w:rsidR="008C2DEF" w:rsidRPr="0067478B">
              <w:rPr>
                <w:color w:val="000000" w:themeColor="text1"/>
                <w:shd w:val="clear" w:color="auto" w:fill="FFFFFF"/>
              </w:rPr>
              <w:t xml:space="preserve"> tiesības</w:t>
            </w:r>
            <w:r w:rsidRPr="0067478B">
              <w:rPr>
                <w:color w:val="000000" w:themeColor="text1"/>
                <w:shd w:val="clear" w:color="auto" w:fill="FFFFFF"/>
              </w:rPr>
              <w:t>, kuri, kārtojot kvalifikācijas eksāmenu 202</w:t>
            </w:r>
            <w:r w:rsidR="0043737F" w:rsidRPr="0067478B">
              <w:rPr>
                <w:color w:val="000000" w:themeColor="text1"/>
                <w:shd w:val="clear" w:color="auto" w:fill="FFFFFF"/>
              </w:rPr>
              <w:t>4</w:t>
            </w:r>
            <w:r w:rsidRPr="0067478B">
              <w:rPr>
                <w:color w:val="000000" w:themeColor="text1"/>
                <w:shd w:val="clear" w:color="auto" w:fill="FFFFFF"/>
              </w:rPr>
              <w:t xml:space="preserve">. gada oktobrī, saņems negatīvu vērtējumu, nepieciešams paredzēt </w:t>
            </w:r>
            <w:r w:rsidR="00835F72">
              <w:rPr>
                <w:color w:val="000000" w:themeColor="text1"/>
                <w:shd w:val="clear" w:color="auto" w:fill="FFFFFF"/>
              </w:rPr>
              <w:t>regulējumu</w:t>
            </w:r>
            <w:r w:rsidRPr="0067478B">
              <w:rPr>
                <w:color w:val="000000" w:themeColor="text1"/>
                <w:shd w:val="clear" w:color="auto" w:fill="FFFFFF"/>
              </w:rPr>
              <w:t>, atbilstoši kuram Maksātnespējas kontroles dienestam tiek piešķirtas tiesības nepieciešamības gadījumā rīkot</w:t>
            </w:r>
            <w:r w:rsidR="00F42B2C" w:rsidRPr="0067478B">
              <w:rPr>
                <w:color w:val="000000" w:themeColor="text1"/>
                <w:shd w:val="clear" w:color="auto" w:fill="FFFFFF"/>
              </w:rPr>
              <w:t xml:space="preserve"> (izsludināt)</w:t>
            </w:r>
            <w:r w:rsidRPr="0067478B">
              <w:rPr>
                <w:color w:val="000000" w:themeColor="text1"/>
                <w:shd w:val="clear" w:color="auto" w:fill="FFFFFF"/>
              </w:rPr>
              <w:t xml:space="preserve"> papildu kvalifikācijas eksāmenu ne vēlāk kā </w:t>
            </w:r>
            <w:r w:rsidR="00F42B2C" w:rsidRPr="0067478B">
              <w:rPr>
                <w:color w:val="000000" w:themeColor="text1"/>
                <w:shd w:val="clear" w:color="auto" w:fill="FFFFFF"/>
              </w:rPr>
              <w:t xml:space="preserve">sešu </w:t>
            </w:r>
            <w:r w:rsidRPr="0067478B">
              <w:rPr>
                <w:color w:val="000000" w:themeColor="text1"/>
                <w:shd w:val="clear" w:color="auto" w:fill="FFFFFF"/>
              </w:rPr>
              <w:t>mēnešu laikā no iepriekšējā kvalifikācijas eksāmena norises dienas. Piemēram, administrators, kārtojot kvalifikācijas eksāmenu 202</w:t>
            </w:r>
            <w:r w:rsidR="0043737F" w:rsidRPr="0067478B">
              <w:rPr>
                <w:color w:val="000000" w:themeColor="text1"/>
                <w:shd w:val="clear" w:color="auto" w:fill="FFFFFF"/>
              </w:rPr>
              <w:t>4</w:t>
            </w:r>
            <w:r w:rsidRPr="0067478B">
              <w:rPr>
                <w:color w:val="000000" w:themeColor="text1"/>
                <w:shd w:val="clear" w:color="auto" w:fill="FFFFFF"/>
              </w:rPr>
              <w:t xml:space="preserve">. gada </w:t>
            </w:r>
            <w:r w:rsidR="00486CF5" w:rsidRPr="0067478B">
              <w:rPr>
                <w:color w:val="000000" w:themeColor="text1"/>
                <w:shd w:val="clear" w:color="auto" w:fill="FFFFFF"/>
              </w:rPr>
              <w:t>1.</w:t>
            </w:r>
            <w:r w:rsidR="0043737F" w:rsidRPr="0067478B">
              <w:rPr>
                <w:color w:val="000000" w:themeColor="text1"/>
                <w:shd w:val="clear" w:color="auto" w:fill="FFFFFF"/>
              </w:rPr>
              <w:t> </w:t>
            </w:r>
            <w:r w:rsidRPr="0067478B">
              <w:rPr>
                <w:color w:val="000000" w:themeColor="text1"/>
                <w:shd w:val="clear" w:color="auto" w:fill="FFFFFF"/>
              </w:rPr>
              <w:t xml:space="preserve">oktobrī saņem negatīvu vērtējumu. Lai nodrošinātu viņa tiesības kārtot kvalifikācijas eksāmenu atkārtoti, nepieciešams organizēt papildu kvalifikācijas eksāmenu. </w:t>
            </w:r>
            <w:r w:rsidR="00486CF5" w:rsidRPr="0067478B">
              <w:rPr>
                <w:color w:val="000000" w:themeColor="text1"/>
                <w:shd w:val="clear" w:color="auto" w:fill="FFFFFF"/>
              </w:rPr>
              <w:t>Ievērojot piemērā norādītos apstākļus,</w:t>
            </w:r>
            <w:r w:rsidRPr="0067478B">
              <w:rPr>
                <w:color w:val="000000" w:themeColor="text1"/>
                <w:shd w:val="clear" w:color="auto" w:fill="FFFFFF"/>
              </w:rPr>
              <w:t xml:space="preserve"> administrators, kurš kvalifikācijas eksāmenu nebūs nokārtojis</w:t>
            </w:r>
            <w:r w:rsidR="00486CF5" w:rsidRPr="0067478B">
              <w:rPr>
                <w:color w:val="000000" w:themeColor="text1"/>
                <w:shd w:val="clear" w:color="auto" w:fill="FFFFFF"/>
              </w:rPr>
              <w:t xml:space="preserve"> </w:t>
            </w:r>
            <w:r w:rsidRPr="0067478B">
              <w:rPr>
                <w:color w:val="000000" w:themeColor="text1"/>
                <w:shd w:val="clear" w:color="auto" w:fill="FFFFFF"/>
              </w:rPr>
              <w:t>202</w:t>
            </w:r>
            <w:r w:rsidR="0043737F" w:rsidRPr="0067478B">
              <w:rPr>
                <w:color w:val="000000" w:themeColor="text1"/>
                <w:shd w:val="clear" w:color="auto" w:fill="FFFFFF"/>
              </w:rPr>
              <w:t>4</w:t>
            </w:r>
            <w:r w:rsidRPr="0067478B">
              <w:rPr>
                <w:color w:val="000000" w:themeColor="text1"/>
                <w:shd w:val="clear" w:color="auto" w:fill="FFFFFF"/>
              </w:rPr>
              <w:t>. gada 1. oktobrī</w:t>
            </w:r>
            <w:r w:rsidR="00AD0E64" w:rsidRPr="0067478B">
              <w:rPr>
                <w:color w:val="000000" w:themeColor="text1"/>
                <w:shd w:val="clear" w:color="auto" w:fill="FFFFFF"/>
              </w:rPr>
              <w:t>,</w:t>
            </w:r>
            <w:r w:rsidRPr="0067478B">
              <w:rPr>
                <w:color w:val="000000" w:themeColor="text1"/>
                <w:shd w:val="clear" w:color="auto" w:fill="FFFFFF"/>
              </w:rPr>
              <w:t xml:space="preserve"> to varēs kārtot ne vēlāk kā līdz 202</w:t>
            </w:r>
            <w:r w:rsidR="0043737F" w:rsidRPr="0067478B">
              <w:rPr>
                <w:color w:val="000000" w:themeColor="text1"/>
                <w:shd w:val="clear" w:color="auto" w:fill="FFFFFF"/>
              </w:rPr>
              <w:t>5</w:t>
            </w:r>
            <w:r w:rsidRPr="0067478B">
              <w:rPr>
                <w:color w:val="000000" w:themeColor="text1"/>
                <w:shd w:val="clear" w:color="auto" w:fill="FFFFFF"/>
              </w:rPr>
              <w:t>. gada 1. </w:t>
            </w:r>
            <w:r w:rsidR="00F42B2C" w:rsidRPr="0067478B">
              <w:rPr>
                <w:color w:val="000000" w:themeColor="text1"/>
                <w:shd w:val="clear" w:color="auto" w:fill="FFFFFF"/>
              </w:rPr>
              <w:t>aprīlim</w:t>
            </w:r>
            <w:r w:rsidRPr="0067478B">
              <w:rPr>
                <w:color w:val="000000" w:themeColor="text1"/>
                <w:shd w:val="clear" w:color="auto" w:fill="FFFFFF"/>
              </w:rPr>
              <w:t>.</w:t>
            </w:r>
          </w:p>
          <w:p w14:paraId="5990C4ED" w14:textId="77777777" w:rsidR="00835F72" w:rsidRPr="0067478B" w:rsidRDefault="00835F72" w:rsidP="00AF7B79">
            <w:pPr>
              <w:jc w:val="both"/>
              <w:rPr>
                <w:color w:val="000000" w:themeColor="text1"/>
                <w:shd w:val="clear" w:color="auto" w:fill="FFFFFF"/>
              </w:rPr>
            </w:pPr>
          </w:p>
          <w:p w14:paraId="636E93B1" w14:textId="617DF6B3" w:rsidR="0010515C" w:rsidRDefault="00134803" w:rsidP="00094EE4">
            <w:pPr>
              <w:pStyle w:val="Komentrateksts"/>
              <w:jc w:val="both"/>
              <w:rPr>
                <w:color w:val="000000" w:themeColor="text1"/>
                <w:sz w:val="24"/>
                <w:szCs w:val="24"/>
                <w:shd w:val="clear" w:color="auto" w:fill="FFFFFF"/>
              </w:rPr>
            </w:pPr>
            <w:r w:rsidRPr="0067478B">
              <w:rPr>
                <w:color w:val="000000" w:themeColor="text1"/>
                <w:sz w:val="24"/>
                <w:szCs w:val="24"/>
                <w:shd w:val="clear" w:color="auto" w:fill="FFFFFF"/>
              </w:rPr>
              <w:t>Vienlaikus var veidoties arī situācija, kurā pēc 202</w:t>
            </w:r>
            <w:r w:rsidR="0043737F" w:rsidRPr="0067478B">
              <w:rPr>
                <w:color w:val="000000" w:themeColor="text1"/>
                <w:sz w:val="24"/>
                <w:szCs w:val="24"/>
                <w:shd w:val="clear" w:color="auto" w:fill="FFFFFF"/>
              </w:rPr>
              <w:t>4</w:t>
            </w:r>
            <w:r w:rsidRPr="0067478B">
              <w:rPr>
                <w:color w:val="000000" w:themeColor="text1"/>
                <w:sz w:val="24"/>
                <w:szCs w:val="24"/>
                <w:shd w:val="clear" w:color="auto" w:fill="FFFFFF"/>
              </w:rPr>
              <w:t>. gada oktobra kvalifikācijas eksāmena  nepieciešams organizēt vēl divus kvalifikācijas eksāmenus – gadījumā, ja administrators 202</w:t>
            </w:r>
            <w:r w:rsidR="0043737F" w:rsidRPr="0067478B">
              <w:rPr>
                <w:color w:val="000000" w:themeColor="text1"/>
                <w:sz w:val="24"/>
                <w:szCs w:val="24"/>
                <w:shd w:val="clear" w:color="auto" w:fill="FFFFFF"/>
              </w:rPr>
              <w:t>4</w:t>
            </w:r>
            <w:r w:rsidRPr="0067478B">
              <w:rPr>
                <w:color w:val="000000" w:themeColor="text1"/>
                <w:sz w:val="24"/>
                <w:szCs w:val="24"/>
                <w:shd w:val="clear" w:color="auto" w:fill="FFFFFF"/>
              </w:rPr>
              <w:t xml:space="preserve">. gada oktobra kvalifikācijas eksāmenu nekārto, pastāvot objektīviem </w:t>
            </w:r>
            <w:r w:rsidR="00486CF5" w:rsidRPr="0067478B">
              <w:rPr>
                <w:color w:val="000000" w:themeColor="text1"/>
                <w:sz w:val="24"/>
                <w:szCs w:val="24"/>
                <w:shd w:val="clear" w:color="auto" w:fill="FFFFFF"/>
              </w:rPr>
              <w:t>iemesliem</w:t>
            </w:r>
            <w:r w:rsidRPr="0067478B">
              <w:rPr>
                <w:color w:val="000000" w:themeColor="text1"/>
                <w:sz w:val="24"/>
                <w:szCs w:val="24"/>
                <w:shd w:val="clear" w:color="auto" w:fill="FFFFFF"/>
              </w:rPr>
              <w:t>. Šādā gadījumā viņam ir tiesības kārtot kvalifikācijas eksāmenu nākamajā tuvākajā tā rīkošanas reizē, kā arī negatīva vērtējuma saņemšanas gadījumā – kārtot kvalifikācijas eksāmenu atkārtoti.</w:t>
            </w:r>
            <w:r w:rsidR="00D016CA" w:rsidRPr="0067478B">
              <w:rPr>
                <w:color w:val="000000" w:themeColor="text1"/>
                <w:sz w:val="24"/>
                <w:szCs w:val="24"/>
                <w:shd w:val="clear" w:color="auto" w:fill="FFFFFF"/>
              </w:rPr>
              <w:t xml:space="preserve"> </w:t>
            </w:r>
            <w:r w:rsidR="008D6F88" w:rsidRPr="009028D6">
              <w:rPr>
                <w:color w:val="000000" w:themeColor="text1"/>
                <w:sz w:val="24"/>
                <w:szCs w:val="24"/>
                <w:shd w:val="clear" w:color="auto" w:fill="FFFFFF" w:themeFill="background1"/>
              </w:rPr>
              <w:t>Teorētiski var veidoties arī situācija, kurā kvalifikācijas eksāmens atkārtoti kārtojams tikai vienam administratoram. Ministru kabineta noteikumos paredzama kārtība administratora kvalifikācijas pārbaudei šādos gadījumos</w:t>
            </w:r>
            <w:r w:rsidR="00094EE4" w:rsidRPr="009028D6">
              <w:rPr>
                <w:color w:val="000000" w:themeColor="text1"/>
                <w:sz w:val="24"/>
                <w:szCs w:val="24"/>
                <w:shd w:val="clear" w:color="auto" w:fill="FFFFFF" w:themeFill="background1"/>
              </w:rPr>
              <w:t>.</w:t>
            </w:r>
          </w:p>
          <w:p w14:paraId="15F04A4B" w14:textId="77777777" w:rsidR="00467C0E" w:rsidRPr="00467C0E" w:rsidRDefault="00467C0E" w:rsidP="00467C0E">
            <w:pPr>
              <w:pStyle w:val="Komentrateksts"/>
              <w:jc w:val="both"/>
              <w:rPr>
                <w:color w:val="000000" w:themeColor="text1"/>
                <w:sz w:val="24"/>
                <w:szCs w:val="24"/>
              </w:rPr>
            </w:pPr>
          </w:p>
          <w:p w14:paraId="403390EA" w14:textId="77777777" w:rsidR="00094EE4" w:rsidRDefault="00134803" w:rsidP="00AF7B79">
            <w:pPr>
              <w:jc w:val="both"/>
              <w:rPr>
                <w:color w:val="000000" w:themeColor="text1"/>
              </w:rPr>
            </w:pPr>
            <w:r w:rsidRPr="0067478B">
              <w:rPr>
                <w:color w:val="000000" w:themeColor="text1"/>
              </w:rPr>
              <w:t>Būtiski vērst uzmanību, ka šobrīd visiem administratoriem nav vienāds amata apliecības derīguma termiņ</w:t>
            </w:r>
            <w:r w:rsidR="004D73CC" w:rsidRPr="0067478B">
              <w:rPr>
                <w:color w:val="000000" w:themeColor="text1"/>
              </w:rPr>
              <w:t>a beigu datums,</w:t>
            </w:r>
            <w:r w:rsidRPr="0067478B">
              <w:rPr>
                <w:color w:val="000000" w:themeColor="text1"/>
              </w:rPr>
              <w:t xml:space="preserve"> kas savukārt skaidrojams ar to, ka administratora amata apliecības </w:t>
            </w:r>
            <w:r w:rsidR="00094EE4">
              <w:rPr>
                <w:color w:val="000000" w:themeColor="text1"/>
              </w:rPr>
              <w:t>termiņš</w:t>
            </w:r>
            <w:r w:rsidRPr="0067478B">
              <w:rPr>
                <w:color w:val="000000" w:themeColor="text1"/>
              </w:rPr>
              <w:t xml:space="preserve"> tika pārņemts no iepriekš izsniegto sertifikātu derīguma termiņiem. Lai iespēju robežās salāgotu administratoriem izsniegt</w:t>
            </w:r>
            <w:r w:rsidR="0010515C" w:rsidRPr="0067478B">
              <w:rPr>
                <w:color w:val="000000" w:themeColor="text1"/>
              </w:rPr>
              <w:t>o</w:t>
            </w:r>
            <w:r w:rsidRPr="0067478B">
              <w:rPr>
                <w:color w:val="000000" w:themeColor="text1"/>
              </w:rPr>
              <w:t xml:space="preserve"> amata apliecību derīguma termiņus,</w:t>
            </w:r>
            <w:r w:rsidR="00094EE4">
              <w:rPr>
                <w:color w:val="000000" w:themeColor="text1"/>
              </w:rPr>
              <w:t xml:space="preserve"> kā arī</w:t>
            </w:r>
            <w:r w:rsidRPr="0067478B">
              <w:rPr>
                <w:color w:val="000000" w:themeColor="text1"/>
              </w:rPr>
              <w:t xml:space="preserve"> ievērojot</w:t>
            </w:r>
            <w:r w:rsidR="00094EE4">
              <w:rPr>
                <w:color w:val="000000" w:themeColor="text1"/>
              </w:rPr>
              <w:t xml:space="preserve"> iepriekš aprakstīto, paredzēts, ka </w:t>
            </w:r>
            <w:r w:rsidRPr="0067478B">
              <w:rPr>
                <w:color w:val="000000" w:themeColor="text1"/>
              </w:rPr>
              <w:t>administratori kvalifikācijas eksāmenus 202</w:t>
            </w:r>
            <w:r w:rsidR="00385A88" w:rsidRPr="0067478B">
              <w:rPr>
                <w:color w:val="000000" w:themeColor="text1"/>
              </w:rPr>
              <w:t>4</w:t>
            </w:r>
            <w:r w:rsidRPr="0067478B">
              <w:rPr>
                <w:color w:val="000000" w:themeColor="text1"/>
              </w:rPr>
              <w:t>. gadā kārtos aprīlī un oktobrī</w:t>
            </w:r>
            <w:r w:rsidR="00094EE4">
              <w:rPr>
                <w:color w:val="000000" w:themeColor="text1"/>
              </w:rPr>
              <w:t xml:space="preserve">. Līdz ar to </w:t>
            </w:r>
            <w:r w:rsidR="0010515C" w:rsidRPr="0067478B">
              <w:rPr>
                <w:color w:val="000000" w:themeColor="text1"/>
              </w:rPr>
              <w:t>paredzēts</w:t>
            </w:r>
            <w:r w:rsidRPr="0067478B">
              <w:rPr>
                <w:color w:val="000000" w:themeColor="text1"/>
              </w:rPr>
              <w:t>, ka administratoru amata apliecību derīguma termiņa sākuma datums būs attiecīgi 202</w:t>
            </w:r>
            <w:r w:rsidR="0043737F" w:rsidRPr="0067478B">
              <w:rPr>
                <w:color w:val="000000" w:themeColor="text1"/>
              </w:rPr>
              <w:t>4</w:t>
            </w:r>
            <w:r w:rsidRPr="0067478B">
              <w:rPr>
                <w:color w:val="000000" w:themeColor="text1"/>
              </w:rPr>
              <w:t xml:space="preserve">. aprīļa un oktobra kvalifikācijas eksāmena norises dienas datums. </w:t>
            </w:r>
          </w:p>
          <w:p w14:paraId="013A52BA" w14:textId="77777777" w:rsidR="00094EE4" w:rsidRDefault="00094EE4" w:rsidP="00AF7B79">
            <w:pPr>
              <w:jc w:val="both"/>
              <w:rPr>
                <w:color w:val="000000" w:themeColor="text1"/>
              </w:rPr>
            </w:pPr>
          </w:p>
          <w:p w14:paraId="2EED29D3" w14:textId="77777777" w:rsidR="00094EE4" w:rsidRDefault="00134803" w:rsidP="00AF7B79">
            <w:pPr>
              <w:jc w:val="both"/>
              <w:rPr>
                <w:color w:val="000000" w:themeColor="text1"/>
                <w:shd w:val="clear" w:color="auto" w:fill="FFFFFF"/>
              </w:rPr>
            </w:pPr>
            <w:r w:rsidRPr="0067478B">
              <w:rPr>
                <w:color w:val="000000" w:themeColor="text1"/>
              </w:rPr>
              <w:t>Piemēram, ja kvalifikācijas eksāmens norisināsies</w:t>
            </w:r>
            <w:r w:rsidRPr="0067478B">
              <w:rPr>
                <w:color w:val="000000" w:themeColor="text1"/>
                <w:shd w:val="clear" w:color="auto" w:fill="FFFFFF"/>
              </w:rPr>
              <w:t xml:space="preserve"> 202</w:t>
            </w:r>
            <w:r w:rsidR="00385A88" w:rsidRPr="0067478B">
              <w:rPr>
                <w:color w:val="000000" w:themeColor="text1"/>
                <w:shd w:val="clear" w:color="auto" w:fill="FFFFFF"/>
              </w:rPr>
              <w:t>4</w:t>
            </w:r>
            <w:r w:rsidRPr="0067478B">
              <w:rPr>
                <w:color w:val="000000" w:themeColor="text1"/>
                <w:shd w:val="clear" w:color="auto" w:fill="FFFFFF"/>
              </w:rPr>
              <w:t>. gada 1. aprīlī, pieņemot lēmumu par kvalifikācijas eksāmena nokārtošanu, administratoram amata apliecības termiņš tiks noteikts no 202</w:t>
            </w:r>
            <w:r w:rsidR="00385A88" w:rsidRPr="0067478B">
              <w:rPr>
                <w:color w:val="000000" w:themeColor="text1"/>
                <w:shd w:val="clear" w:color="auto" w:fill="FFFFFF"/>
              </w:rPr>
              <w:t>4</w:t>
            </w:r>
            <w:r w:rsidRPr="0067478B">
              <w:rPr>
                <w:color w:val="000000" w:themeColor="text1"/>
                <w:shd w:val="clear" w:color="auto" w:fill="FFFFFF"/>
              </w:rPr>
              <w:t>. gada 1. aprīļa līdz 202</w:t>
            </w:r>
            <w:r w:rsidR="00385A88" w:rsidRPr="0067478B">
              <w:rPr>
                <w:color w:val="000000" w:themeColor="text1"/>
                <w:shd w:val="clear" w:color="auto" w:fill="FFFFFF"/>
              </w:rPr>
              <w:t>9</w:t>
            </w:r>
            <w:r w:rsidRPr="0067478B">
              <w:rPr>
                <w:color w:val="000000" w:themeColor="text1"/>
                <w:shd w:val="clear" w:color="auto" w:fill="FFFFFF"/>
              </w:rPr>
              <w:t>. gada 31. martam.</w:t>
            </w:r>
            <w:r w:rsidR="00BB00D3" w:rsidRPr="0067478B">
              <w:rPr>
                <w:color w:val="000000" w:themeColor="text1"/>
                <w:shd w:val="clear" w:color="auto" w:fill="FFFFFF"/>
              </w:rPr>
              <w:t xml:space="preserve"> </w:t>
            </w:r>
            <w:r w:rsidR="00385A88" w:rsidRPr="0067478B">
              <w:rPr>
                <w:color w:val="000000" w:themeColor="text1"/>
                <w:shd w:val="clear" w:color="auto" w:fill="FFFFFF"/>
              </w:rPr>
              <w:t xml:space="preserve">Gadījumā, ja administrators kvalifikācijas eksāmenu ar pirmo reizi nenokārtos (būs nokārtojis to ar otro reizi) un gadījumā, ja administrators pirmo reizi </w:t>
            </w:r>
            <w:r w:rsidR="00385A88" w:rsidRPr="0067478B">
              <w:rPr>
                <w:color w:val="000000" w:themeColor="text1"/>
                <w:shd w:val="clear" w:color="auto" w:fill="FFFFFF"/>
              </w:rPr>
              <w:lastRenderedPageBreak/>
              <w:t xml:space="preserve">kvalifikācijas eksāmenu nekārtos objektīvu apstākļu dēļ, izdodot amata apliecību pēc kvalifikācijas eksāmena nokārtošanas, amata apliecības derīguma termiņa sākuma datums būs datums, kurā norisinājās tas kvalifikācijas eksāmens, kuru administratoram bija pienākums kārtot pirmo reizi. </w:t>
            </w:r>
          </w:p>
          <w:p w14:paraId="15DFF282" w14:textId="77777777" w:rsidR="00094EE4" w:rsidRDefault="00094EE4" w:rsidP="00AF7B79">
            <w:pPr>
              <w:jc w:val="both"/>
              <w:rPr>
                <w:color w:val="000000" w:themeColor="text1"/>
                <w:shd w:val="clear" w:color="auto" w:fill="FFFFFF"/>
              </w:rPr>
            </w:pPr>
          </w:p>
          <w:p w14:paraId="52425DDA" w14:textId="5B6A3E2C" w:rsidR="00134803" w:rsidRPr="00094EE4" w:rsidRDefault="00385A88" w:rsidP="00AF7B79">
            <w:pPr>
              <w:jc w:val="both"/>
              <w:rPr>
                <w:color w:val="000000" w:themeColor="text1"/>
              </w:rPr>
            </w:pPr>
            <w:r w:rsidRPr="0067478B">
              <w:rPr>
                <w:color w:val="000000" w:themeColor="text1"/>
                <w:shd w:val="clear" w:color="auto" w:fill="FFFFFF"/>
              </w:rPr>
              <w:t>Šāda pieeja izvēlēta, lai izvairītos no dažādu administratora amata apliecību derīgumu termiņiem, kas ilgtermiņā var apgrūtināt kvalifikācijas eksāmenu organizēšanu. Tāpat administrators pārejas posmā, tas ir, līdz nokārto pārejas noteikumos noteikto kvalifikācijas eksāmenu nezaudē tiesības pildīt administratora amata pienākumus. Kārtojot jau nākamo kvalifikācijas eksāmenu</w:t>
            </w:r>
            <w:r w:rsidR="00F64174" w:rsidRPr="0067478B">
              <w:rPr>
                <w:color w:val="000000" w:themeColor="text1"/>
                <w:shd w:val="clear" w:color="auto" w:fill="FFFFFF"/>
              </w:rPr>
              <w:t xml:space="preserve"> (pēc piecu gadu kvalifikācijas perioda)</w:t>
            </w:r>
            <w:r w:rsidRPr="0067478B">
              <w:rPr>
                <w:color w:val="000000" w:themeColor="text1"/>
                <w:shd w:val="clear" w:color="auto" w:fill="FFFFFF"/>
              </w:rPr>
              <w:t xml:space="preserve"> līdzīgi kā šobrīd kvalifikācijas eksāmens būs kārtojams pirms administratora amata apliecības derīguma termiņa beigām.</w:t>
            </w:r>
          </w:p>
          <w:p w14:paraId="4C8A8A4E" w14:textId="77777777" w:rsidR="00094EE4" w:rsidRDefault="00094EE4" w:rsidP="00AF7B79">
            <w:pPr>
              <w:jc w:val="both"/>
              <w:rPr>
                <w:color w:val="000000" w:themeColor="text1"/>
                <w:shd w:val="clear" w:color="auto" w:fill="FFFFFF"/>
              </w:rPr>
            </w:pPr>
          </w:p>
          <w:p w14:paraId="371BDE48" w14:textId="4A8BAFF1" w:rsidR="00134803" w:rsidRPr="009A28FA" w:rsidRDefault="00094EE4" w:rsidP="00AF7B79">
            <w:pPr>
              <w:jc w:val="both"/>
              <w:rPr>
                <w:color w:val="000000" w:themeColor="text1"/>
                <w:shd w:val="clear" w:color="auto" w:fill="D9E0FF"/>
              </w:rPr>
            </w:pPr>
            <w:r w:rsidRPr="009028D6">
              <w:rPr>
                <w:color w:val="000000" w:themeColor="text1"/>
                <w:shd w:val="clear" w:color="auto" w:fill="FFFFFF" w:themeFill="background1"/>
              </w:rPr>
              <w:t>Attiecībā uz piedāvāto pārejas noteikumu kvalifikācijas eksāmena organizēšanu, lēmumu pieņemšan</w:t>
            </w:r>
            <w:r w:rsidR="00B165FF" w:rsidRPr="009028D6">
              <w:rPr>
                <w:color w:val="000000" w:themeColor="text1"/>
                <w:shd w:val="clear" w:color="auto" w:fill="FFFFFF" w:themeFill="background1"/>
              </w:rPr>
              <w:t>as kārtību un citiem šā kvalifikācijas eksāmena nodrošināšanas jautājumiem, piemērojami Ministru kabineta 2017. gada 30. maija noteikumi Nr. 288 "Maksātnespējas procesa administratora pretendentu apmācības, eksaminācijas kārtība, eksaminācijas komisijas darbības kārtība un maksātnespējas procesa administratoru amatā iecelšanas, atbrīvošanas, atcelšanas un atstādināšanas no amata un amata darbības apturēšanas kārtība"</w:t>
            </w:r>
            <w:r w:rsidR="009A28FA" w:rsidRPr="009028D6">
              <w:rPr>
                <w:color w:val="000000" w:themeColor="text1"/>
                <w:shd w:val="clear" w:color="auto" w:fill="FFFFFF" w:themeFill="background1"/>
              </w:rPr>
              <w:t xml:space="preserve"> (turpmāk – Ministru kabineta noteikumi Nr. 288)</w:t>
            </w:r>
            <w:r w:rsidR="00B165FF" w:rsidRPr="009028D6">
              <w:rPr>
                <w:color w:val="000000" w:themeColor="text1"/>
                <w:shd w:val="clear" w:color="auto" w:fill="FFFFFF" w:themeFill="background1"/>
              </w:rPr>
              <w:t>.</w:t>
            </w:r>
          </w:p>
          <w:p w14:paraId="4CCCF9F4" w14:textId="77777777" w:rsidR="00B165FF" w:rsidRPr="00B165FF" w:rsidRDefault="00B165FF" w:rsidP="00AF7B79">
            <w:pPr>
              <w:jc w:val="both"/>
              <w:rPr>
                <w:color w:val="000000" w:themeColor="text1"/>
              </w:rPr>
            </w:pPr>
          </w:p>
          <w:p w14:paraId="432B51A3" w14:textId="61D46EC6" w:rsidR="00134803" w:rsidRPr="0067478B" w:rsidRDefault="00134803" w:rsidP="00AF7B79">
            <w:pPr>
              <w:pStyle w:val="Parasts1"/>
              <w:jc w:val="both"/>
              <w:rPr>
                <w:rFonts w:ascii="Times New Roman" w:hAnsi="Times New Roman"/>
                <w:sz w:val="24"/>
                <w:szCs w:val="24"/>
              </w:rPr>
            </w:pPr>
            <w:r w:rsidRPr="0067478B">
              <w:rPr>
                <w:rFonts w:ascii="Times New Roman" w:hAnsi="Times New Roman"/>
                <w:b/>
                <w:bCs/>
                <w:sz w:val="24"/>
                <w:szCs w:val="24"/>
              </w:rPr>
              <w:t>1.4. </w:t>
            </w:r>
            <w:r w:rsidRPr="0067478B">
              <w:rPr>
                <w:rFonts w:ascii="Times New Roman" w:hAnsi="Times New Roman"/>
                <w:sz w:val="24"/>
                <w:szCs w:val="24"/>
              </w:rPr>
              <w:t>Atbilstoši Maksātnespējas likuma 17.</w:t>
            </w:r>
            <w:r w:rsidRPr="0067478B">
              <w:rPr>
                <w:rFonts w:ascii="Times New Roman" w:hAnsi="Times New Roman"/>
                <w:sz w:val="24"/>
                <w:szCs w:val="24"/>
                <w:vertAlign w:val="superscript"/>
              </w:rPr>
              <w:t>3</w:t>
            </w:r>
            <w:r w:rsidR="002168CC" w:rsidRPr="0067478B">
              <w:rPr>
                <w:rFonts w:ascii="Times New Roman" w:hAnsi="Times New Roman"/>
                <w:sz w:val="24"/>
                <w:szCs w:val="24"/>
              </w:rPr>
              <w:t> </w:t>
            </w:r>
            <w:r w:rsidRPr="0067478B">
              <w:rPr>
                <w:rFonts w:ascii="Times New Roman" w:hAnsi="Times New Roman"/>
                <w:sz w:val="24"/>
                <w:szCs w:val="24"/>
              </w:rPr>
              <w:t>pantam un 17.</w:t>
            </w:r>
            <w:r w:rsidRPr="0067478B">
              <w:rPr>
                <w:rFonts w:ascii="Times New Roman" w:hAnsi="Times New Roman"/>
                <w:sz w:val="24"/>
                <w:szCs w:val="24"/>
                <w:vertAlign w:val="superscript"/>
              </w:rPr>
              <w:t>4</w:t>
            </w:r>
            <w:r w:rsidR="002168CC" w:rsidRPr="0067478B">
              <w:rPr>
                <w:rFonts w:ascii="Times New Roman" w:hAnsi="Times New Roman"/>
                <w:sz w:val="24"/>
                <w:szCs w:val="24"/>
              </w:rPr>
              <w:t> </w:t>
            </w:r>
            <w:r w:rsidRPr="0067478B">
              <w:rPr>
                <w:rFonts w:ascii="Times New Roman" w:hAnsi="Times New Roman"/>
                <w:sz w:val="24"/>
                <w:szCs w:val="24"/>
              </w:rPr>
              <w:t xml:space="preserve">pantam administrators var tikt atstādināts no administratora amata darbības veikšanas un viņa amata darbība var tikt apturēta. Abos </w:t>
            </w:r>
            <w:r w:rsidR="00842AB8" w:rsidRPr="0067478B">
              <w:rPr>
                <w:rFonts w:ascii="Times New Roman" w:hAnsi="Times New Roman"/>
                <w:sz w:val="24"/>
                <w:szCs w:val="24"/>
              </w:rPr>
              <w:t xml:space="preserve">iepriekš minētajos </w:t>
            </w:r>
            <w:r w:rsidRPr="0067478B">
              <w:rPr>
                <w:rFonts w:ascii="Times New Roman" w:hAnsi="Times New Roman"/>
                <w:sz w:val="24"/>
                <w:szCs w:val="24"/>
              </w:rPr>
              <w:t>gadījumos administratoram ir ierobežojums pildīt administratora pienākumus.</w:t>
            </w:r>
          </w:p>
          <w:p w14:paraId="6FE7C01D" w14:textId="785898CD" w:rsidR="00134803" w:rsidRPr="0067478B" w:rsidRDefault="00134803" w:rsidP="00AF7B79">
            <w:pPr>
              <w:pStyle w:val="Parasts1"/>
              <w:jc w:val="both"/>
              <w:rPr>
                <w:rFonts w:ascii="Times New Roman" w:hAnsi="Times New Roman"/>
                <w:sz w:val="24"/>
                <w:szCs w:val="24"/>
              </w:rPr>
            </w:pPr>
            <w:r w:rsidRPr="0067478B">
              <w:rPr>
                <w:rFonts w:ascii="Times New Roman" w:hAnsi="Times New Roman"/>
                <w:sz w:val="24"/>
                <w:szCs w:val="24"/>
              </w:rPr>
              <w:t>Līdz ar to ar pārejas noteikumiem nosakāms tas brīdis, kad kvalifikācijas eksāmens pārejai uz amata apliecības piecu gadu derīguma termiņu, jākārto tiem administratoriem, kuri atstādināti no amata darbības veikšanas un kuru amata darbība ir apturēta</w:t>
            </w:r>
            <w:r w:rsidR="00EA2573" w:rsidRPr="0067478B">
              <w:rPr>
                <w:rFonts w:ascii="Times New Roman" w:hAnsi="Times New Roman"/>
                <w:sz w:val="24"/>
                <w:szCs w:val="24"/>
              </w:rPr>
              <w:t xml:space="preserve"> kvalifikācijas eksāmena rīkošanas laikā.</w:t>
            </w:r>
          </w:p>
          <w:p w14:paraId="0D9C4F2F" w14:textId="7D11D8D7" w:rsidR="007A3608" w:rsidRPr="0067478B" w:rsidRDefault="002168CC" w:rsidP="00AF7B79">
            <w:pPr>
              <w:jc w:val="both"/>
              <w:rPr>
                <w:color w:val="000000" w:themeColor="text1"/>
                <w:shd w:val="clear" w:color="auto" w:fill="FFFFFF"/>
              </w:rPr>
            </w:pPr>
            <w:r w:rsidRPr="00ED3317">
              <w:rPr>
                <w:color w:val="000000" w:themeColor="text1"/>
              </w:rPr>
              <w:t>Maksātnespējas likums</w:t>
            </w:r>
            <w:r w:rsidR="00134803" w:rsidRPr="00ED3317">
              <w:rPr>
                <w:color w:val="000000" w:themeColor="text1"/>
              </w:rPr>
              <w:t xml:space="preserve"> paredz, ja </w:t>
            </w:r>
            <w:r w:rsidR="00134803" w:rsidRPr="00ED3317">
              <w:rPr>
                <w:color w:val="000000" w:themeColor="text1"/>
                <w:shd w:val="clear" w:color="auto" w:fill="FFFFFF"/>
              </w:rPr>
              <w:t>kārtējā kvalifikācijas eksāmena kārtošanas laikā administratora amata darbība ir apturēta vai administrators ir atstādināts</w:t>
            </w:r>
            <w:r w:rsidR="00134803" w:rsidRPr="0067478B">
              <w:rPr>
                <w:color w:val="000000" w:themeColor="text1"/>
                <w:shd w:val="clear" w:color="auto" w:fill="FFFFFF"/>
              </w:rPr>
              <w:t xml:space="preserve"> no amata darbības veikšanas, pamatojoties uz administratora motivētu iesniegumu, Maksātnespējas kontroles dienesta  direktors var pieņemt lēmumu par kvalifikācijas eksāmena kārtošanas termiņa pagarināšanu uz laiku līdz nākamajai kvalifikācijas eksāmena rīkošanas reizei pēc administratora amata </w:t>
            </w:r>
            <w:r w:rsidR="00134803" w:rsidRPr="0067478B">
              <w:rPr>
                <w:color w:val="000000" w:themeColor="text1"/>
                <w:shd w:val="clear" w:color="auto" w:fill="FFFFFF"/>
              </w:rPr>
              <w:lastRenderedPageBreak/>
              <w:t>darbības apturēšanas vai atstādināšanas no amata termiņa beigām. Šādā gadījumā administratora amata darbību atjauno, pamatojoties uz Maksātnespējas kontroles dienesta  direktora lēmumu, pēc kvalifikācijas eksāmena nokārtošanas</w:t>
            </w:r>
            <w:r w:rsidR="00842AB8" w:rsidRPr="0067478B">
              <w:rPr>
                <w:color w:val="000000" w:themeColor="text1"/>
                <w:shd w:val="clear" w:color="auto" w:fill="FFFFFF"/>
              </w:rPr>
              <w:t xml:space="preserve"> (sk. Maksātnespējas likuma 16.</w:t>
            </w:r>
            <w:r w:rsidR="00842AB8" w:rsidRPr="0067478B">
              <w:rPr>
                <w:color w:val="000000" w:themeColor="text1"/>
                <w:shd w:val="clear" w:color="auto" w:fill="FFFFFF"/>
                <w:vertAlign w:val="superscript"/>
              </w:rPr>
              <w:t>2</w:t>
            </w:r>
            <w:r w:rsidR="00842AB8" w:rsidRPr="0067478B">
              <w:rPr>
                <w:color w:val="000000" w:themeColor="text1"/>
                <w:shd w:val="clear" w:color="auto" w:fill="FFFFFF"/>
              </w:rPr>
              <w:t xml:space="preserve"> panta ceturtā daļu).</w:t>
            </w:r>
          </w:p>
          <w:p w14:paraId="145E2A9C" w14:textId="77777777" w:rsidR="007A3608" w:rsidRPr="0067478B" w:rsidRDefault="007A3608" w:rsidP="00AF7B79">
            <w:pPr>
              <w:jc w:val="both"/>
              <w:rPr>
                <w:color w:val="000000" w:themeColor="text1"/>
                <w:shd w:val="clear" w:color="auto" w:fill="FFFFFF"/>
              </w:rPr>
            </w:pPr>
          </w:p>
          <w:p w14:paraId="5B3B1B94" w14:textId="77777777" w:rsidR="008520F7" w:rsidRDefault="00134803" w:rsidP="00AF7B79">
            <w:pPr>
              <w:jc w:val="both"/>
              <w:rPr>
                <w:color w:val="000000" w:themeColor="text1"/>
              </w:rPr>
            </w:pPr>
            <w:r w:rsidRPr="0067478B">
              <w:rPr>
                <w:color w:val="000000" w:themeColor="text1"/>
                <w:shd w:val="clear" w:color="auto" w:fill="FFFFFF"/>
              </w:rPr>
              <w:t xml:space="preserve">Ievērojot minēto, likumprojekts paredz, ka pārejas noteikumos paredzēto kvalifikācijas eksāmenu kārto arī tie administratori, kuru amata darbība tā rīkošanas laikā ir apturēta, vai kuri kvalifikācijas eksāmena rīkošanas laikā ir atstādināti no amata darbības veikšanas, </w:t>
            </w:r>
            <w:r w:rsidRPr="0067478B">
              <w:rPr>
                <w:color w:val="000000" w:themeColor="text1"/>
              </w:rPr>
              <w:t>ja administrators laikā, kad izsludināta pieteikšanās kvalifikācijas eksāmena kārtošanai, nav iesniedzis motivētu iesniegumu Maksātnespējas kontroles dienesta direktoram, lūdzot pagarināt kvalifikācijas eksāmena kārtošanas termiņu līdz nākamajai tuvākaj</w:t>
            </w:r>
            <w:r w:rsidR="00BE1652" w:rsidRPr="0067478B">
              <w:rPr>
                <w:color w:val="000000" w:themeColor="text1"/>
              </w:rPr>
              <w:t>ai</w:t>
            </w:r>
            <w:r w:rsidRPr="0067478B">
              <w:rPr>
                <w:color w:val="000000" w:themeColor="text1"/>
              </w:rPr>
              <w:t xml:space="preserve"> kvalifikācijas eksāmena rīkošanas reizei pēc amata darbības atjaunošanas.</w:t>
            </w:r>
          </w:p>
          <w:p w14:paraId="15978EF4" w14:textId="77777777" w:rsidR="008520F7" w:rsidRDefault="008520F7" w:rsidP="00AF7B79">
            <w:pPr>
              <w:jc w:val="both"/>
              <w:rPr>
                <w:color w:val="000000" w:themeColor="text1"/>
              </w:rPr>
            </w:pPr>
          </w:p>
          <w:p w14:paraId="281DCC6E" w14:textId="7253EEB8" w:rsidR="00134803" w:rsidRPr="0067478B" w:rsidRDefault="002D5623" w:rsidP="00AF7B79">
            <w:pPr>
              <w:jc w:val="both"/>
              <w:rPr>
                <w:color w:val="000000" w:themeColor="text1"/>
                <w:shd w:val="clear" w:color="auto" w:fill="FFFFFF"/>
              </w:rPr>
            </w:pPr>
            <w:r w:rsidRPr="0067478B">
              <w:rPr>
                <w:color w:val="000000" w:themeColor="text1"/>
                <w:shd w:val="clear" w:color="auto" w:fill="FFFFFF"/>
              </w:rPr>
              <w:t>Tādējādi, no vienas puses</w:t>
            </w:r>
            <w:r w:rsidR="00842AB8" w:rsidRPr="0067478B">
              <w:rPr>
                <w:color w:val="000000" w:themeColor="text1"/>
                <w:shd w:val="clear" w:color="auto" w:fill="FFFFFF"/>
              </w:rPr>
              <w:t>,</w:t>
            </w:r>
            <w:r w:rsidRPr="0067478B">
              <w:rPr>
                <w:color w:val="000000" w:themeColor="text1"/>
                <w:shd w:val="clear" w:color="auto" w:fill="FFFFFF"/>
              </w:rPr>
              <w:t xml:space="preserve"> administratoram tiek nodrošināta iespēja kārtot kvalifikācijas eksāmenu, pastāvot ierobežojumam pildīt administratora pienākumus, un, no otras puses</w:t>
            </w:r>
            <w:r w:rsidR="00842AB8" w:rsidRPr="0067478B">
              <w:rPr>
                <w:color w:val="000000" w:themeColor="text1"/>
                <w:shd w:val="clear" w:color="auto" w:fill="FFFFFF"/>
              </w:rPr>
              <w:t>,</w:t>
            </w:r>
            <w:r w:rsidRPr="0067478B">
              <w:rPr>
                <w:color w:val="000000" w:themeColor="text1"/>
                <w:shd w:val="clear" w:color="auto" w:fill="FFFFFF"/>
              </w:rPr>
              <w:t xml:space="preserve"> administratoram tiek dota iespēja kārtot kvalifikācijas eksāmenu pēc ierobežojuma pildīt administratora pienākumus beigām</w:t>
            </w:r>
            <w:r w:rsidR="00D016CA" w:rsidRPr="0067478B">
              <w:rPr>
                <w:color w:val="000000" w:themeColor="text1"/>
                <w:shd w:val="clear" w:color="auto" w:fill="FFFFFF"/>
              </w:rPr>
              <w:t>.</w:t>
            </w:r>
          </w:p>
          <w:p w14:paraId="14E0A398" w14:textId="08F0C687" w:rsidR="003005A0" w:rsidRPr="0067478B" w:rsidRDefault="003005A0" w:rsidP="00AF7B79">
            <w:pPr>
              <w:jc w:val="both"/>
              <w:rPr>
                <w:color w:val="000000" w:themeColor="text1"/>
                <w:shd w:val="clear" w:color="auto" w:fill="FFFFFF"/>
              </w:rPr>
            </w:pPr>
          </w:p>
          <w:p w14:paraId="0C9ED214" w14:textId="5C47A382" w:rsidR="008520F7" w:rsidRPr="00467C0E" w:rsidRDefault="003005A0" w:rsidP="008520F7">
            <w:pPr>
              <w:jc w:val="both"/>
              <w:rPr>
                <w:color w:val="000000" w:themeColor="text1"/>
                <w:shd w:val="clear" w:color="auto" w:fill="FFFFFF"/>
              </w:rPr>
            </w:pPr>
            <w:r w:rsidRPr="00ED3317">
              <w:rPr>
                <w:color w:val="000000" w:themeColor="text1"/>
                <w:shd w:val="clear" w:color="auto" w:fill="FFFFFF"/>
              </w:rPr>
              <w:t>Vienlaikus, ja administrators, neskatoties uz ierobežojuma pildīt amata pienākumus pastāvēšan</w:t>
            </w:r>
            <w:r w:rsidR="00085EA6">
              <w:rPr>
                <w:color w:val="000000" w:themeColor="text1"/>
                <w:shd w:val="clear" w:color="auto" w:fill="FFFFFF"/>
              </w:rPr>
              <w:t>as</w:t>
            </w:r>
            <w:r w:rsidRPr="00ED3317">
              <w:rPr>
                <w:color w:val="000000" w:themeColor="text1"/>
                <w:shd w:val="clear" w:color="auto" w:fill="FFFFFF"/>
              </w:rPr>
              <w:t xml:space="preserve">, izvēlēsies kārtot kvalifikācijas eksāmenu, un to nokārtos, tad </w:t>
            </w:r>
            <w:r w:rsidR="008520F7" w:rsidRPr="00ED3317">
              <w:rPr>
                <w:color w:val="000000" w:themeColor="text1"/>
                <w:shd w:val="clear" w:color="auto" w:fill="FFFFFF"/>
              </w:rPr>
              <w:t xml:space="preserve">viņš </w:t>
            </w:r>
            <w:r w:rsidRPr="00ED3317">
              <w:rPr>
                <w:color w:val="000000" w:themeColor="text1"/>
                <w:shd w:val="clear" w:color="auto" w:fill="FFFFFF"/>
              </w:rPr>
              <w:t xml:space="preserve">uzreiz pēc ierobežojuma pildīt amata pienākumus beigām </w:t>
            </w:r>
            <w:r w:rsidR="008520F7" w:rsidRPr="00ED3317">
              <w:rPr>
                <w:color w:val="000000" w:themeColor="text1"/>
                <w:shd w:val="clear" w:color="auto" w:fill="FFFFFF"/>
              </w:rPr>
              <w:t xml:space="preserve">(pamats – Maksātnespējas kontroles dienesta direktora lēmums par amata darbības atjaunošanu) </w:t>
            </w:r>
            <w:r w:rsidR="00842AB8" w:rsidRPr="00ED3317">
              <w:rPr>
                <w:color w:val="000000" w:themeColor="text1"/>
                <w:shd w:val="clear" w:color="auto" w:fill="FFFFFF"/>
              </w:rPr>
              <w:t>varēs atsākt pildīt amata pienākumus. Savukārt, ja</w:t>
            </w:r>
            <w:r w:rsidRPr="00ED3317">
              <w:rPr>
                <w:color w:val="000000" w:themeColor="text1"/>
                <w:shd w:val="clear" w:color="auto" w:fill="FFFFFF"/>
              </w:rPr>
              <w:t xml:space="preserve"> kvalifikācijas eksāmens ierobežojuma pildīt amata pienākumus pastāvēšanas laikā </w:t>
            </w:r>
            <w:r w:rsidR="00842AB8" w:rsidRPr="00ED3317">
              <w:rPr>
                <w:color w:val="000000" w:themeColor="text1"/>
                <w:shd w:val="clear" w:color="auto" w:fill="FFFFFF"/>
              </w:rPr>
              <w:t>administrators kvalifikācijas eksāmenu nekārtos</w:t>
            </w:r>
            <w:r w:rsidR="008520F7" w:rsidRPr="00ED3317">
              <w:rPr>
                <w:color w:val="000000" w:themeColor="text1"/>
                <w:shd w:val="clear" w:color="auto" w:fill="FFFFFF"/>
              </w:rPr>
              <w:t>, jo</w:t>
            </w:r>
            <w:r w:rsidR="00842AB8" w:rsidRPr="00ED3317">
              <w:rPr>
                <w:color w:val="000000" w:themeColor="text1"/>
                <w:shd w:val="clear" w:color="auto" w:fill="FFFFFF"/>
              </w:rPr>
              <w:t xml:space="preserve"> Maksātnespējas </w:t>
            </w:r>
            <w:r w:rsidR="00842AB8" w:rsidRPr="00467C0E">
              <w:rPr>
                <w:color w:val="000000" w:themeColor="text1"/>
                <w:shd w:val="clear" w:color="auto" w:fill="FFFFFF"/>
              </w:rPr>
              <w:t>kontroles dienesta direktors</w:t>
            </w:r>
            <w:r w:rsidR="008520F7" w:rsidRPr="00467C0E">
              <w:rPr>
                <w:color w:val="000000" w:themeColor="text1"/>
                <w:shd w:val="clear" w:color="auto" w:fill="FFFFFF"/>
              </w:rPr>
              <w:t xml:space="preserve">, pamantojoties uz viņa motivēta iesnieguma pamata būs pieņēmis </w:t>
            </w:r>
            <w:r w:rsidR="00842AB8" w:rsidRPr="00467C0E">
              <w:rPr>
                <w:color w:val="000000" w:themeColor="text1"/>
                <w:shd w:val="clear" w:color="auto" w:fill="FFFFFF"/>
              </w:rPr>
              <w:t xml:space="preserve"> lēmumu pagarināt kvalifikācijas eksāmena kārtošanas termiņu līdz nākamajai tuvākajai tā rīkošanai pēc ierobežojuma beigām</w:t>
            </w:r>
            <w:r w:rsidRPr="00467C0E">
              <w:rPr>
                <w:color w:val="000000" w:themeColor="text1"/>
                <w:shd w:val="clear" w:color="auto" w:fill="FFFFFF"/>
              </w:rPr>
              <w:t>, tad administrators</w:t>
            </w:r>
            <w:r w:rsidR="00842AB8" w:rsidRPr="00467C0E">
              <w:rPr>
                <w:color w:val="000000" w:themeColor="text1"/>
                <w:shd w:val="clear" w:color="auto" w:fill="FFFFFF"/>
              </w:rPr>
              <w:t xml:space="preserve"> būs tiesīgs atsākt pildīt amata pienākumus</w:t>
            </w:r>
            <w:r w:rsidR="008520F7" w:rsidRPr="00467C0E">
              <w:rPr>
                <w:color w:val="000000" w:themeColor="text1"/>
                <w:shd w:val="clear" w:color="auto" w:fill="FFFFFF"/>
              </w:rPr>
              <w:t>,</w:t>
            </w:r>
            <w:r w:rsidR="00842AB8" w:rsidRPr="00467C0E">
              <w:rPr>
                <w:color w:val="000000" w:themeColor="text1"/>
                <w:shd w:val="clear" w:color="auto" w:fill="FFFFFF"/>
              </w:rPr>
              <w:t xml:space="preserve"> </w:t>
            </w:r>
            <w:r w:rsidR="008520F7" w:rsidRPr="00467C0E">
              <w:rPr>
                <w:color w:val="000000" w:themeColor="text1"/>
                <w:shd w:val="clear" w:color="auto" w:fill="FFFFFF"/>
              </w:rPr>
              <w:t>pamatojoties uz Maksātnespējas kontroles dienesta direktora lēmumu, pēc kvalifikācijas eksāmena nokārtošanas.</w:t>
            </w:r>
          </w:p>
          <w:p w14:paraId="5EF23832" w14:textId="77777777" w:rsidR="008520F7" w:rsidRPr="00467C0E" w:rsidRDefault="008520F7" w:rsidP="00ED3317">
            <w:pPr>
              <w:jc w:val="both"/>
              <w:rPr>
                <w:color w:val="000000" w:themeColor="text1"/>
              </w:rPr>
            </w:pPr>
          </w:p>
          <w:p w14:paraId="449FB036" w14:textId="4358A278" w:rsidR="00CC2634" w:rsidRPr="0067478B" w:rsidRDefault="00842AB8" w:rsidP="0067478B">
            <w:pPr>
              <w:tabs>
                <w:tab w:val="left" w:pos="1690"/>
              </w:tabs>
              <w:jc w:val="both"/>
              <w:rPr>
                <w:color w:val="000000" w:themeColor="text1"/>
                <w:shd w:val="clear" w:color="auto" w:fill="F6DBFF"/>
              </w:rPr>
            </w:pPr>
            <w:r w:rsidRPr="0067478B">
              <w:rPr>
                <w:color w:val="000000" w:themeColor="text1"/>
              </w:rPr>
              <w:t>Ievērojot, ka ar šiem grozījumiem administratora kvalifikācijas periods tiks pagarināts vairāk kā divas reizes,</w:t>
            </w:r>
            <w:r w:rsidR="00E4530B" w:rsidRPr="0067478B">
              <w:rPr>
                <w:color w:val="000000" w:themeColor="text1"/>
              </w:rPr>
              <w:t xml:space="preserve"> var veidoties situācija, kurā</w:t>
            </w:r>
            <w:r w:rsidRPr="0067478B">
              <w:rPr>
                <w:color w:val="000000" w:themeColor="text1"/>
              </w:rPr>
              <w:t xml:space="preserve"> nākamais tuvākais kvalifikācijas eksāmens administratoram, kuram būs zudis ierobežojuma pamats un Maksātnespējas kontroles dienesta direktors būs pagarinājis kvalifikācijas eksāmena kārtošanas </w:t>
            </w:r>
            <w:r w:rsidRPr="0067478B">
              <w:rPr>
                <w:color w:val="000000" w:themeColor="text1"/>
              </w:rPr>
              <w:lastRenderedPageBreak/>
              <w:t xml:space="preserve">termiņu, </w:t>
            </w:r>
            <w:r w:rsidR="00E4530B" w:rsidRPr="0067478B">
              <w:rPr>
                <w:color w:val="000000" w:themeColor="text1"/>
              </w:rPr>
              <w:t>būs jākārto pēc vairākiem gadiem.  Šād</w:t>
            </w:r>
            <w:r w:rsidR="008520F7">
              <w:rPr>
                <w:color w:val="000000" w:themeColor="text1"/>
              </w:rPr>
              <w:t>a</w:t>
            </w:r>
            <w:r w:rsidR="00E4530B" w:rsidRPr="0067478B">
              <w:rPr>
                <w:color w:val="000000" w:themeColor="text1"/>
              </w:rPr>
              <w:t xml:space="preserve"> </w:t>
            </w:r>
            <w:r w:rsidR="008520F7">
              <w:rPr>
                <w:color w:val="000000" w:themeColor="text1"/>
              </w:rPr>
              <w:t>situācija</w:t>
            </w:r>
            <w:r w:rsidR="008520F7" w:rsidRPr="0067478B">
              <w:rPr>
                <w:color w:val="000000" w:themeColor="text1"/>
              </w:rPr>
              <w:t xml:space="preserve"> </w:t>
            </w:r>
            <w:r w:rsidR="008520F7">
              <w:rPr>
                <w:color w:val="000000" w:themeColor="text1"/>
              </w:rPr>
              <w:t>atsevišķos gadījumos var būt nesamērīga</w:t>
            </w:r>
            <w:r w:rsidR="00E4530B" w:rsidRPr="0067478B">
              <w:rPr>
                <w:color w:val="000000" w:themeColor="text1"/>
              </w:rPr>
              <w:t xml:space="preserve">. </w:t>
            </w:r>
            <w:r w:rsidR="00E4530B" w:rsidRPr="009028D6">
              <w:rPr>
                <w:color w:val="000000" w:themeColor="text1"/>
                <w:shd w:val="clear" w:color="auto" w:fill="FFFFFF" w:themeFill="background1"/>
              </w:rPr>
              <w:t xml:space="preserve">Līdz ar to, lai administratoram nodrošinātu iespēju nokārtot kvalifikācijas eksāmenu </w:t>
            </w:r>
            <w:r w:rsidR="008520F7" w:rsidRPr="009028D6">
              <w:rPr>
                <w:color w:val="000000" w:themeColor="text1"/>
                <w:shd w:val="clear" w:color="auto" w:fill="FFFFFF" w:themeFill="background1"/>
              </w:rPr>
              <w:t xml:space="preserve">saprātīgā </w:t>
            </w:r>
            <w:r w:rsidR="00E4530B" w:rsidRPr="009028D6">
              <w:rPr>
                <w:color w:val="000000" w:themeColor="text1"/>
                <w:shd w:val="clear" w:color="auto" w:fill="FFFFFF" w:themeFill="background1"/>
              </w:rPr>
              <w:t>laikā posmā pēc ierobežojuma pildīt amata pienākumu</w:t>
            </w:r>
            <w:r w:rsidR="008520F7" w:rsidRPr="009028D6">
              <w:rPr>
                <w:color w:val="000000" w:themeColor="text1"/>
                <w:shd w:val="clear" w:color="auto" w:fill="FFFFFF" w:themeFill="background1"/>
              </w:rPr>
              <w:t>s</w:t>
            </w:r>
            <w:r w:rsidR="00E4530B" w:rsidRPr="009028D6">
              <w:rPr>
                <w:color w:val="000000" w:themeColor="text1"/>
                <w:shd w:val="clear" w:color="auto" w:fill="FFFFFF" w:themeFill="background1"/>
              </w:rPr>
              <w:t xml:space="preserve"> beigām, </w:t>
            </w:r>
            <w:r w:rsidR="008520F7" w:rsidRPr="009028D6">
              <w:rPr>
                <w:color w:val="000000" w:themeColor="text1"/>
                <w:shd w:val="clear" w:color="auto" w:fill="FFFFFF" w:themeFill="background1"/>
              </w:rPr>
              <w:t>Maksātnespējas kontroles dienestam paredzētas tiesības nepieciešamības gadījumā organizēt papildu kvalifikācijas eksāmenus.</w:t>
            </w:r>
          </w:p>
          <w:p w14:paraId="7BCAA03D" w14:textId="77777777" w:rsidR="00CC2634" w:rsidRPr="0067478B" w:rsidRDefault="00CC2634" w:rsidP="0067478B">
            <w:pPr>
              <w:tabs>
                <w:tab w:val="left" w:pos="1690"/>
              </w:tabs>
              <w:jc w:val="both"/>
              <w:rPr>
                <w:color w:val="000000" w:themeColor="text1"/>
                <w:shd w:val="clear" w:color="auto" w:fill="FFFFFF"/>
              </w:rPr>
            </w:pPr>
          </w:p>
          <w:p w14:paraId="1A38521C" w14:textId="09C54A10" w:rsidR="00134803" w:rsidRPr="0067478B" w:rsidRDefault="00134803" w:rsidP="00AF7B79">
            <w:pPr>
              <w:jc w:val="both"/>
              <w:rPr>
                <w:color w:val="000000" w:themeColor="text1"/>
                <w:shd w:val="clear" w:color="auto" w:fill="FFFFFF"/>
              </w:rPr>
            </w:pPr>
            <w:r w:rsidRPr="0067478B">
              <w:rPr>
                <w:b/>
                <w:bCs/>
                <w:color w:val="000000" w:themeColor="text1"/>
                <w:shd w:val="clear" w:color="auto" w:fill="FFFFFF"/>
              </w:rPr>
              <w:t>1.5. </w:t>
            </w:r>
            <w:r w:rsidRPr="0067478B">
              <w:rPr>
                <w:color w:val="000000" w:themeColor="text1"/>
                <w:shd w:val="clear" w:color="auto" w:fill="FFFFFF"/>
              </w:rPr>
              <w:t>Saskaņā ar Maksātnespējas likuma 16.</w:t>
            </w:r>
            <w:r w:rsidRPr="0067478B">
              <w:rPr>
                <w:color w:val="000000" w:themeColor="text1"/>
                <w:shd w:val="clear" w:color="auto" w:fill="FFFFFF"/>
                <w:vertAlign w:val="superscript"/>
              </w:rPr>
              <w:t>2</w:t>
            </w:r>
            <w:r w:rsidRPr="0067478B">
              <w:rPr>
                <w:color w:val="000000" w:themeColor="text1"/>
                <w:shd w:val="clear" w:color="auto" w:fill="FFFFFF"/>
              </w:rPr>
              <w:t xml:space="preserve"> panta otro daļu kvalifikācijas eksāmena kārtošanas priekšnosacījums ir kvalifikācijas pilnveides pasākumu apmeklējumi 32 akadēmisko stundu apmērā kārtējās</w:t>
            </w:r>
            <w:r w:rsidR="008520F7">
              <w:rPr>
                <w:color w:val="000000" w:themeColor="text1"/>
                <w:shd w:val="clear" w:color="auto" w:fill="FFFFFF"/>
              </w:rPr>
              <w:t xml:space="preserve"> amata</w:t>
            </w:r>
            <w:r w:rsidRPr="0067478B">
              <w:rPr>
                <w:color w:val="000000" w:themeColor="text1"/>
                <w:shd w:val="clear" w:color="auto" w:fill="FFFFFF"/>
              </w:rPr>
              <w:t xml:space="preserve"> apliecības derīguma termiņa laikā līdz brīdim, kad tiek iesniegts iesniegums par pieteikšanos kvalifikācijas eksāmenam. Ievērojot to, ka ar likumprojektā paredzētajiem grozījumiem vairāk kā divas reizes pagarināts administratora amata apliecības derīguma termiņš, kā arī to, ka kvalifikācijas pārbaude norisināsies reizi piecos gados, vēl būtiskāka loma ir administratora</w:t>
            </w:r>
            <w:r w:rsidR="008520F7">
              <w:rPr>
                <w:color w:val="000000" w:themeColor="text1"/>
                <w:shd w:val="clear" w:color="auto" w:fill="FFFFFF"/>
              </w:rPr>
              <w:t xml:space="preserve"> </w:t>
            </w:r>
            <w:r w:rsidRPr="0067478B">
              <w:rPr>
                <w:color w:val="000000" w:themeColor="text1"/>
                <w:shd w:val="clear" w:color="auto" w:fill="FFFFFF"/>
              </w:rPr>
              <w:t>kvalifikācijas pilnveidei. Līdz ar to likumprojekts paredz palielināt apmeklēto kvalifikācijas pilnveides pasākumu akadēmisko stundu skaitu – no 32 uz 64 akadēmiskajam stundām.</w:t>
            </w:r>
          </w:p>
          <w:p w14:paraId="7DB2ADD9" w14:textId="77777777" w:rsidR="00134803" w:rsidRPr="0067478B" w:rsidRDefault="00134803" w:rsidP="00AF7B79">
            <w:pPr>
              <w:jc w:val="both"/>
              <w:rPr>
                <w:color w:val="000000" w:themeColor="text1"/>
                <w:shd w:val="clear" w:color="auto" w:fill="FFFFFF"/>
              </w:rPr>
            </w:pPr>
          </w:p>
          <w:p w14:paraId="3940378F" w14:textId="3A5DB32E" w:rsidR="00D016CA" w:rsidRPr="0067478B" w:rsidRDefault="00134803" w:rsidP="00AF7B79">
            <w:pPr>
              <w:jc w:val="both"/>
              <w:rPr>
                <w:color w:val="000000" w:themeColor="text1"/>
              </w:rPr>
            </w:pPr>
            <w:r w:rsidRPr="0067478B">
              <w:rPr>
                <w:color w:val="000000" w:themeColor="text1"/>
                <w:shd w:val="clear" w:color="auto" w:fill="FFFFFF"/>
              </w:rPr>
              <w:t>Savukārt attiecībā uz pārejas noteikumos noteiktā kvalifikācijas eksāmena kārtošanas priekšnosacījuma par kvalifikācijas pilnveides pasākumu apmeklējum</w:t>
            </w:r>
            <w:r w:rsidR="00B4002C">
              <w:rPr>
                <w:color w:val="000000" w:themeColor="text1"/>
                <w:shd w:val="clear" w:color="auto" w:fill="FFFFFF"/>
              </w:rPr>
              <w:t>u</w:t>
            </w:r>
            <w:r w:rsidRPr="0067478B">
              <w:rPr>
                <w:color w:val="000000" w:themeColor="text1"/>
                <w:shd w:val="clear" w:color="auto" w:fill="FFFFFF"/>
              </w:rPr>
              <w:t xml:space="preserve"> izpildi noteikts, ka </w:t>
            </w:r>
            <w:r w:rsidRPr="0067478B">
              <w:rPr>
                <w:color w:val="000000" w:themeColor="text1"/>
              </w:rPr>
              <w:t>tie kvalifikācijas pilnveides pasākumi, kurus administrators apmeklējis no pēdējā kvalifikācijas perioda sākuma līdz dienai, kad stājās spēkā šā likuma noteikumi par kvalifikācijas eksāmena kārtošanu ir ņemami vērā, izlemjot jautājumu par kvalifikācijas eksāmena priekšnosacījumu izpildi</w:t>
            </w:r>
            <w:r w:rsidR="00D016CA" w:rsidRPr="0067478B">
              <w:rPr>
                <w:color w:val="000000" w:themeColor="text1"/>
              </w:rPr>
              <w:t>.</w:t>
            </w:r>
          </w:p>
          <w:p w14:paraId="38B30F98" w14:textId="361FA60F" w:rsidR="0073553B" w:rsidRPr="0067478B" w:rsidRDefault="0073553B" w:rsidP="00AF7B79">
            <w:pPr>
              <w:jc w:val="both"/>
              <w:rPr>
                <w:color w:val="000000" w:themeColor="text1"/>
                <w:shd w:val="clear" w:color="auto" w:fill="FFFFFF"/>
              </w:rPr>
            </w:pPr>
            <w:r w:rsidRPr="0067478B">
              <w:rPr>
                <w:b/>
                <w:bCs/>
                <w:color w:val="000000" w:themeColor="text1"/>
              </w:rPr>
              <w:t>1.6. </w:t>
            </w:r>
            <w:r w:rsidRPr="0067478B">
              <w:rPr>
                <w:color w:val="000000" w:themeColor="text1"/>
              </w:rPr>
              <w:t>Atbilstoši Maksātnespējas likuma 16.</w:t>
            </w:r>
            <w:r w:rsidRPr="0067478B">
              <w:rPr>
                <w:color w:val="000000" w:themeColor="text1"/>
                <w:vertAlign w:val="superscript"/>
              </w:rPr>
              <w:t>1</w:t>
            </w:r>
            <w:r w:rsidRPr="0067478B">
              <w:rPr>
                <w:color w:val="000000" w:themeColor="text1"/>
              </w:rPr>
              <w:t xml:space="preserve"> panta pirmajai daļai </w:t>
            </w:r>
            <w:r w:rsidRPr="0067478B">
              <w:rPr>
                <w:rStyle w:val="apple-converted-space"/>
                <w:color w:val="000000" w:themeColor="text1"/>
                <w:shd w:val="clear" w:color="auto" w:fill="FFFFFF"/>
              </w:rPr>
              <w:t> </w:t>
            </w:r>
            <w:r w:rsidRPr="0067478B">
              <w:rPr>
                <w:color w:val="000000" w:themeColor="text1"/>
              </w:rPr>
              <w:t>p</w:t>
            </w:r>
            <w:r w:rsidRPr="0067478B">
              <w:rPr>
                <w:color w:val="000000" w:themeColor="text1"/>
                <w:shd w:val="clear" w:color="auto" w:fill="FFFFFF"/>
              </w:rPr>
              <w:t>ersonas, kuras vēlas ieņemt administratora amatu, pārbauda eksaminācijas komisija, kuru ieceļ tieslietu ministrs. Eksaminācijas komisijas sastāvā ir pa vienam pārstāvim no Tieslietu ministrijas, Maksātnespējas kontroles dienesta, augstskolu akadēmiskā personāla un biedrības "</w:t>
            </w:r>
            <w:r w:rsidR="00B258BD" w:rsidRPr="0067478B">
              <w:rPr>
                <w:color w:val="000000" w:themeColor="text1"/>
                <w:shd w:val="clear" w:color="auto" w:fill="FFFFFF"/>
              </w:rPr>
              <w:t xml:space="preserve">Latvijas </w:t>
            </w:r>
            <w:r w:rsidRPr="0067478B">
              <w:rPr>
                <w:color w:val="000000" w:themeColor="text1"/>
                <w:shd w:val="clear" w:color="auto" w:fill="FFFFFF"/>
              </w:rPr>
              <w:t xml:space="preserve">Sertificēto maksātnespējas procesa administratoru asociācija" (turpmāk – Administratoru asociācija). Eksaminācijas komisijā iekļauj arī Tieslietu padomes noteiktu rajona (pilsētas) tiesas tiesnesi un Maksātnespējas jautājumu konsultatīvās padomes deleģētu nevalstiskās organizācijas pārstāvi. </w:t>
            </w:r>
            <w:r w:rsidR="007F1EE7">
              <w:rPr>
                <w:color w:val="000000" w:themeColor="text1"/>
                <w:shd w:val="clear" w:color="auto" w:fill="FFFFFF"/>
              </w:rPr>
              <w:t xml:space="preserve">Eksaminācijas komisijā iekļautais </w:t>
            </w:r>
            <w:r w:rsidRPr="0067478B">
              <w:rPr>
                <w:color w:val="000000" w:themeColor="text1"/>
                <w:shd w:val="clear" w:color="auto" w:fill="FFFFFF"/>
              </w:rPr>
              <w:t xml:space="preserve">Administratoru asociācijas pārstāvis ir administrators. Ievērojot Maksātnespējas likumā noteikto, Administratoru asociācijas pārstāvim eksaminācijas komisijā ir pienākums regulārās administratora kvalifikācijas ietvaros kārtot kvalifikācijas eksāmenu. </w:t>
            </w:r>
          </w:p>
          <w:p w14:paraId="5DC69131" w14:textId="25BCEA1B" w:rsidR="0073553B" w:rsidRPr="0067478B" w:rsidRDefault="0073553B" w:rsidP="00AF7B79">
            <w:pPr>
              <w:jc w:val="both"/>
              <w:rPr>
                <w:color w:val="414142"/>
                <w:shd w:val="clear" w:color="auto" w:fill="FFFFFF"/>
              </w:rPr>
            </w:pPr>
          </w:p>
          <w:p w14:paraId="1F2D6BB4" w14:textId="3E845952" w:rsidR="007F1EE7" w:rsidRDefault="0073553B" w:rsidP="009028D6">
            <w:pPr>
              <w:shd w:val="clear" w:color="auto" w:fill="FFFFFF" w:themeFill="background1"/>
              <w:jc w:val="both"/>
              <w:rPr>
                <w:color w:val="000000" w:themeColor="text1"/>
              </w:rPr>
            </w:pPr>
            <w:r w:rsidRPr="0067478B">
              <w:rPr>
                <w:color w:val="000000" w:themeColor="text1"/>
              </w:rPr>
              <w:lastRenderedPageBreak/>
              <w:t>Līdz ar to reizē, kad kvalifikācijas eksāmens kārtojams Administratoru asociācijas pārstāvim, nepieciešams veikt grozījumus tieslietu ministra rīkojumā par eksaminācijas komisiju. Lai novērstu praksē konstatēto administratīvā sloga pieaugumu gadījumos, kad eksaminācijas komisijas loceklim – administratoram</w:t>
            </w:r>
            <w:r w:rsidR="007F1EE7">
              <w:rPr>
                <w:color w:val="000000" w:themeColor="text1"/>
              </w:rPr>
              <w:t>,</w:t>
            </w:r>
            <w:r w:rsidRPr="0067478B">
              <w:rPr>
                <w:color w:val="000000" w:themeColor="text1"/>
              </w:rPr>
              <w:t xml:space="preserve"> ir jākārto kvalifikācijas eksāmens, likumprojekts paredz papildināt Maksātnespējas likuma 16.</w:t>
            </w:r>
            <w:r w:rsidRPr="0067478B">
              <w:rPr>
                <w:color w:val="000000" w:themeColor="text1"/>
                <w:vertAlign w:val="superscript"/>
              </w:rPr>
              <w:t>1</w:t>
            </w:r>
            <w:r w:rsidRPr="0067478B">
              <w:rPr>
                <w:color w:val="000000" w:themeColor="text1"/>
              </w:rPr>
              <w:t xml:space="preserve"> pantu, paredzot, ka  Administratoru asociācijas </w:t>
            </w:r>
            <w:r w:rsidR="005C7410" w:rsidRPr="0067478B">
              <w:rPr>
                <w:color w:val="000000" w:themeColor="text1"/>
              </w:rPr>
              <w:t xml:space="preserve">pārstāvis eksaminācijas komisijā </w:t>
            </w:r>
            <w:r w:rsidR="007F1EE7">
              <w:rPr>
                <w:color w:val="000000" w:themeColor="text1"/>
              </w:rPr>
              <w:t xml:space="preserve">ir atbrīvots no kvalifikācijas eksāmena kārtošanas. </w:t>
            </w:r>
            <w:r w:rsidR="007F1EE7" w:rsidRPr="009028D6">
              <w:rPr>
                <w:color w:val="000000" w:themeColor="text1"/>
                <w:shd w:val="clear" w:color="auto" w:fill="FFFFFF" w:themeFill="background1"/>
              </w:rPr>
              <w:t>Vienlaikus šādam atbrīvojumam paredzēti nosacījumi – administrators eksaminācijas komisijā darbojies nepārtraukti vismaz divus gadus, vienlaikus ir eksaminācijas komisijas sastāvā</w:t>
            </w:r>
            <w:r w:rsidR="00763148" w:rsidRPr="009028D6">
              <w:rPr>
                <w:color w:val="000000" w:themeColor="text1"/>
                <w:shd w:val="clear" w:color="auto" w:fill="FFFFFF" w:themeFill="background1"/>
              </w:rPr>
              <w:t xml:space="preserve"> arī </w:t>
            </w:r>
            <w:r w:rsidR="007F1EE7" w:rsidRPr="009028D6">
              <w:rPr>
                <w:color w:val="000000" w:themeColor="text1"/>
                <w:shd w:val="clear" w:color="auto" w:fill="FFFFFF" w:themeFill="background1"/>
              </w:rPr>
              <w:t xml:space="preserve"> kvalifikācijas eksāmena norises dienā</w:t>
            </w:r>
            <w:r w:rsidR="00763148" w:rsidRPr="009028D6">
              <w:rPr>
                <w:color w:val="000000" w:themeColor="text1"/>
                <w:shd w:val="clear" w:color="auto" w:fill="FFFFFF" w:themeFill="background1"/>
              </w:rPr>
              <w:t>.</w:t>
            </w:r>
          </w:p>
          <w:p w14:paraId="436253FD" w14:textId="77777777" w:rsidR="007F1EE7" w:rsidRDefault="007F1EE7" w:rsidP="00AF7B79">
            <w:pPr>
              <w:jc w:val="both"/>
              <w:rPr>
                <w:color w:val="000000" w:themeColor="text1"/>
              </w:rPr>
            </w:pPr>
          </w:p>
          <w:p w14:paraId="69F09F9C" w14:textId="18B3C391" w:rsidR="007F1EE7" w:rsidRDefault="00210621" w:rsidP="00AF7B79">
            <w:pPr>
              <w:jc w:val="both"/>
              <w:rPr>
                <w:color w:val="000000" w:themeColor="text1"/>
              </w:rPr>
            </w:pPr>
            <w:r w:rsidRPr="0067478B">
              <w:rPr>
                <w:color w:val="000000" w:themeColor="text1"/>
              </w:rPr>
              <w:t>Vienlaikus Administratoru asociācijas pārstāvim saglabājas pienākums kvalifikācijas periodā normatīvajos aktos noteiktajā apjomā un jomās apmeklēt kvalifikācijas pilnveides pasākumus</w:t>
            </w:r>
            <w:r w:rsidR="007F1EE7">
              <w:rPr>
                <w:color w:val="000000" w:themeColor="text1"/>
              </w:rPr>
              <w:t>. Ministru kabineta noteikumos nosakāma kārtība, kādā eksaminācijas komisijā iekļautais Administratoru asociācijas pārstāvis Maksātnespējas kontroles dienestā iesniedz apliecinājumus par apmeklētajiem kvalifikācijas pilnveides pasākumiem.</w:t>
            </w:r>
          </w:p>
          <w:p w14:paraId="7117D012" w14:textId="77777777" w:rsidR="00763148" w:rsidRPr="0067478B" w:rsidRDefault="00763148" w:rsidP="00AF7B79">
            <w:pPr>
              <w:jc w:val="both"/>
              <w:rPr>
                <w:color w:val="000000" w:themeColor="text1"/>
              </w:rPr>
            </w:pPr>
          </w:p>
          <w:p w14:paraId="391A2226" w14:textId="156447A1" w:rsidR="00134803" w:rsidRPr="0067478B" w:rsidRDefault="00134803" w:rsidP="00AF7B79">
            <w:pPr>
              <w:jc w:val="both"/>
              <w:rPr>
                <w:b/>
                <w:bCs/>
                <w:color w:val="000000" w:themeColor="text1"/>
                <w:shd w:val="clear" w:color="auto" w:fill="FFFFFF"/>
              </w:rPr>
            </w:pPr>
            <w:r w:rsidRPr="0067478B">
              <w:rPr>
                <w:b/>
                <w:bCs/>
                <w:color w:val="000000" w:themeColor="text1"/>
                <w:shd w:val="clear" w:color="auto" w:fill="FFFFFF"/>
              </w:rPr>
              <w:t>2. Izmaiņas administratora eksāmena tiesiskajā regulējumā.</w:t>
            </w:r>
          </w:p>
          <w:p w14:paraId="431C9C7E" w14:textId="77777777" w:rsidR="00B82385" w:rsidRPr="0067478B" w:rsidRDefault="00B82385" w:rsidP="00AF7B79">
            <w:pPr>
              <w:jc w:val="both"/>
              <w:rPr>
                <w:b/>
                <w:bCs/>
                <w:color w:val="000000" w:themeColor="text1"/>
                <w:shd w:val="clear" w:color="auto" w:fill="FFFFFF"/>
              </w:rPr>
            </w:pPr>
          </w:p>
          <w:p w14:paraId="3A9CD456" w14:textId="09E4DB5D" w:rsidR="00134803" w:rsidRPr="0067478B" w:rsidRDefault="00134803" w:rsidP="00AF7B79">
            <w:pPr>
              <w:jc w:val="both"/>
              <w:rPr>
                <w:color w:val="000000" w:themeColor="text1"/>
                <w:shd w:val="clear" w:color="auto" w:fill="FFFFFF"/>
              </w:rPr>
            </w:pPr>
            <w:r w:rsidRPr="0067478B">
              <w:rPr>
                <w:color w:val="000000" w:themeColor="text1"/>
                <w:shd w:val="clear" w:color="auto" w:fill="FFFFFF"/>
              </w:rPr>
              <w:t>Papildu kvalifikācijas eksāmena organizēšanai, normatīvie akti noteic, ka Maksātnespējas kontroles dienests ne retāk kā reizi divos gados organizē administratora eksāmenu.</w:t>
            </w:r>
            <w:r w:rsidRPr="0067478B">
              <w:rPr>
                <w:rStyle w:val="Vresatsauce"/>
                <w:color w:val="000000" w:themeColor="text1"/>
                <w:shd w:val="clear" w:color="auto" w:fill="FFFFFF"/>
              </w:rPr>
              <w:footnoteReference w:id="8"/>
            </w:r>
            <w:r w:rsidRPr="0067478B">
              <w:rPr>
                <w:color w:val="000000" w:themeColor="text1"/>
                <w:shd w:val="clear" w:color="auto" w:fill="FFFFFF"/>
              </w:rPr>
              <w:t xml:space="preserve"> </w:t>
            </w:r>
          </w:p>
          <w:p w14:paraId="2D8ABA7D" w14:textId="7341183F" w:rsidR="00134803" w:rsidRPr="0067478B" w:rsidRDefault="00134803" w:rsidP="00AF7B79">
            <w:pPr>
              <w:jc w:val="both"/>
              <w:rPr>
                <w:color w:val="000000" w:themeColor="text1"/>
                <w:shd w:val="clear" w:color="auto" w:fill="FFFFFF"/>
              </w:rPr>
            </w:pPr>
            <w:r w:rsidRPr="0067478B">
              <w:rPr>
                <w:color w:val="000000" w:themeColor="text1"/>
                <w:shd w:val="clear" w:color="auto" w:fill="FFFFFF"/>
              </w:rPr>
              <w:t>Attiecīgi līdz šim jaunu administratoru uzņemšana profesijā notikusi samērā mehāniska procesa ietvaros, tas ir, ne retāk kā reizi divos gados organizējot administratora eksāmenu.</w:t>
            </w:r>
            <w:r w:rsidR="00A62561" w:rsidRPr="0067478B">
              <w:rPr>
                <w:color w:val="000000" w:themeColor="text1"/>
                <w:shd w:val="clear" w:color="auto" w:fill="FFFFFF"/>
              </w:rPr>
              <w:t xml:space="preserve"> </w:t>
            </w:r>
            <w:r w:rsidRPr="0067478B">
              <w:rPr>
                <w:color w:val="000000" w:themeColor="text1"/>
                <w:shd w:val="clear" w:color="auto" w:fill="FFFFFF"/>
              </w:rPr>
              <w:t xml:space="preserve"> </w:t>
            </w:r>
            <w:r w:rsidR="00A62561" w:rsidRPr="0067478B">
              <w:rPr>
                <w:color w:val="000000" w:themeColor="text1"/>
                <w:shd w:val="clear" w:color="auto" w:fill="FFFFFF"/>
              </w:rPr>
              <w:t>Ar likumprojektu iecerēts</w:t>
            </w:r>
            <w:r w:rsidRPr="0067478B">
              <w:rPr>
                <w:color w:val="000000" w:themeColor="text1"/>
                <w:shd w:val="clear" w:color="auto" w:fill="FFFFFF"/>
              </w:rPr>
              <w:t xml:space="preserve"> </w:t>
            </w:r>
            <w:r w:rsidR="00A62561" w:rsidRPr="0067478B">
              <w:rPr>
                <w:color w:val="000000" w:themeColor="text1"/>
                <w:shd w:val="clear" w:color="auto" w:fill="FFFFFF"/>
              </w:rPr>
              <w:t>vērtēt administratora eksāmena organizēšanas nepieciešamību</w:t>
            </w:r>
            <w:r w:rsidRPr="0067478B">
              <w:rPr>
                <w:color w:val="000000" w:themeColor="text1"/>
                <w:shd w:val="clear" w:color="auto" w:fill="FFFFFF"/>
              </w:rPr>
              <w:t xml:space="preserve">, piemēram, </w:t>
            </w:r>
            <w:r w:rsidR="00A62561" w:rsidRPr="0067478B">
              <w:rPr>
                <w:color w:val="000000" w:themeColor="text1"/>
                <w:shd w:val="clear" w:color="auto" w:fill="FFFFFF"/>
              </w:rPr>
              <w:t xml:space="preserve">vērtējot </w:t>
            </w:r>
            <w:r w:rsidRPr="0067478B">
              <w:rPr>
                <w:color w:val="000000" w:themeColor="text1"/>
                <w:shd w:val="clear" w:color="auto" w:fill="FFFFFF"/>
              </w:rPr>
              <w:t>izmaiņas ekonomiskajos procesos, profesijā esošo administratoru noslodz</w:t>
            </w:r>
            <w:r w:rsidR="00A62561" w:rsidRPr="0067478B">
              <w:rPr>
                <w:color w:val="000000" w:themeColor="text1"/>
                <w:shd w:val="clear" w:color="auto" w:fill="FFFFFF"/>
              </w:rPr>
              <w:t>i</w:t>
            </w:r>
            <w:r w:rsidRPr="0067478B">
              <w:rPr>
                <w:color w:val="000000" w:themeColor="text1"/>
                <w:shd w:val="clear" w:color="auto" w:fill="FFFFFF"/>
              </w:rPr>
              <w:t xml:space="preserve"> u.c. objektīvi apzinām</w:t>
            </w:r>
            <w:r w:rsidR="00A62561" w:rsidRPr="0067478B">
              <w:rPr>
                <w:color w:val="000000" w:themeColor="text1"/>
                <w:shd w:val="clear" w:color="auto" w:fill="FFFFFF"/>
              </w:rPr>
              <w:t>us</w:t>
            </w:r>
            <w:r w:rsidRPr="0067478B">
              <w:rPr>
                <w:color w:val="000000" w:themeColor="text1"/>
                <w:shd w:val="clear" w:color="auto" w:fill="FFFFFF"/>
              </w:rPr>
              <w:t xml:space="preserve"> apstākļ</w:t>
            </w:r>
            <w:r w:rsidR="00A62561" w:rsidRPr="0067478B">
              <w:rPr>
                <w:color w:val="000000" w:themeColor="text1"/>
                <w:shd w:val="clear" w:color="auto" w:fill="FFFFFF"/>
              </w:rPr>
              <w:t>us</w:t>
            </w:r>
            <w:r w:rsidRPr="0067478B">
              <w:rPr>
                <w:color w:val="000000" w:themeColor="text1"/>
                <w:shd w:val="clear" w:color="auto" w:fill="FFFFFF"/>
              </w:rPr>
              <w:t xml:space="preserve"> un rādītāj</w:t>
            </w:r>
            <w:r w:rsidR="00A62561" w:rsidRPr="0067478B">
              <w:rPr>
                <w:color w:val="000000" w:themeColor="text1"/>
                <w:shd w:val="clear" w:color="auto" w:fill="FFFFFF"/>
              </w:rPr>
              <w:t>us.</w:t>
            </w:r>
            <w:r w:rsidR="00D016CA" w:rsidRPr="0067478B">
              <w:rPr>
                <w:color w:val="000000" w:themeColor="text1"/>
                <w:shd w:val="clear" w:color="auto" w:fill="FFFFFF"/>
              </w:rPr>
              <w:t xml:space="preserve"> </w:t>
            </w:r>
            <w:r w:rsidR="00A62561" w:rsidRPr="0067478B">
              <w:rPr>
                <w:color w:val="000000" w:themeColor="text1"/>
                <w:shd w:val="clear" w:color="auto" w:fill="FFFFFF"/>
              </w:rPr>
              <w:t>Savukārt jautājumu par administratora eksāmena organizēšanu plānots nodot izlemšanai Padomei.</w:t>
            </w:r>
          </w:p>
          <w:p w14:paraId="3E211FAF" w14:textId="77777777" w:rsidR="00134803" w:rsidRPr="0067478B" w:rsidRDefault="00134803" w:rsidP="00AF7B79">
            <w:pPr>
              <w:jc w:val="both"/>
              <w:rPr>
                <w:color w:val="000000" w:themeColor="text1"/>
                <w:shd w:val="clear" w:color="auto" w:fill="FFFFFF"/>
              </w:rPr>
            </w:pPr>
          </w:p>
          <w:p w14:paraId="4CF54A94" w14:textId="0A818EB7" w:rsidR="0035024F" w:rsidRPr="004A2865" w:rsidRDefault="00134803" w:rsidP="00AF7B79">
            <w:pPr>
              <w:pStyle w:val="tv213"/>
              <w:spacing w:before="0" w:beforeAutospacing="0" w:after="0" w:afterAutospacing="0"/>
              <w:jc w:val="both"/>
              <w:rPr>
                <w:color w:val="000000" w:themeColor="text1"/>
              </w:rPr>
            </w:pPr>
            <w:r w:rsidRPr="0067478B">
              <w:rPr>
                <w:color w:val="000000" w:themeColor="text1"/>
                <w:shd w:val="clear" w:color="auto" w:fill="FFFFFF"/>
              </w:rPr>
              <w:t>Atbilstoši Ministru kabineta 2007. gada 27. novembra noteikumiem Nr. 799 "</w:t>
            </w:r>
            <w:r w:rsidRPr="0067478B">
              <w:rPr>
                <w:color w:val="000000" w:themeColor="text1"/>
              </w:rPr>
              <w:t xml:space="preserve">Maksātnespējas jautājumu konsultatīvās padomes nolikums" Padome ir konsultatīva un koordinējoša starpnozaru institūcija, kuras darbības mērķis ir konsultēt tieslietu ministru maksātnespējas jomas attīstības jautājumos, kā arī veicināt politikas veidošanu un īstenošanu maksātnespējas jautājumos. </w:t>
            </w:r>
            <w:r w:rsidR="00A62561" w:rsidRPr="009028D6">
              <w:rPr>
                <w:color w:val="000000" w:themeColor="text1"/>
                <w:shd w:val="clear" w:color="auto" w:fill="FFFFFF" w:themeFill="background1"/>
              </w:rPr>
              <w:t>I</w:t>
            </w:r>
            <w:r w:rsidRPr="009028D6">
              <w:rPr>
                <w:color w:val="000000" w:themeColor="text1"/>
                <w:shd w:val="clear" w:color="auto" w:fill="FFFFFF" w:themeFill="background1"/>
              </w:rPr>
              <w:t xml:space="preserve">evērojot Padomes funkcijas, tostarp, sekmēt vienotas valsts politikas izstrādi </w:t>
            </w:r>
            <w:r w:rsidRPr="009028D6">
              <w:rPr>
                <w:color w:val="000000" w:themeColor="text1"/>
                <w:shd w:val="clear" w:color="auto" w:fill="FFFFFF" w:themeFill="background1"/>
              </w:rPr>
              <w:lastRenderedPageBreak/>
              <w:t>un īstenošanu maksātnespējas jautājumos, kā arī izvērtēt citu jomu ietekmi uz maksātnespējas jautājumu risināšanu un tās plašo sastāvu,</w:t>
            </w:r>
            <w:r w:rsidR="00A62561" w:rsidRPr="009028D6">
              <w:rPr>
                <w:color w:val="000000" w:themeColor="text1"/>
                <w:shd w:val="clear" w:color="auto" w:fill="FFFFFF" w:themeFill="background1"/>
              </w:rPr>
              <w:t xml:space="preserve"> plānots, ka </w:t>
            </w:r>
            <w:r w:rsidRPr="009028D6">
              <w:rPr>
                <w:color w:val="000000" w:themeColor="text1"/>
                <w:shd w:val="clear" w:color="auto" w:fill="FFFFFF" w:themeFill="background1"/>
              </w:rPr>
              <w:t>jautājumu par administratora eksāmena organizēšan</w:t>
            </w:r>
            <w:r w:rsidR="00A62561" w:rsidRPr="009028D6">
              <w:rPr>
                <w:color w:val="000000" w:themeColor="text1"/>
                <w:shd w:val="clear" w:color="auto" w:fill="FFFFFF" w:themeFill="background1"/>
              </w:rPr>
              <w:t>u skatīs Padome</w:t>
            </w:r>
            <w:r w:rsidR="00A62561" w:rsidRPr="0067478B">
              <w:rPr>
                <w:color w:val="000000" w:themeColor="text1"/>
              </w:rPr>
              <w:t xml:space="preserve">.  </w:t>
            </w:r>
            <w:r w:rsidRPr="0067478B">
              <w:rPr>
                <w:color w:val="000000" w:themeColor="text1"/>
                <w:shd w:val="clear" w:color="auto" w:fill="FFFFFF"/>
              </w:rPr>
              <w:t xml:space="preserve">Likumprojekts paredz papildināt Maksātnespējas likumu ar jaunu normu, atbilstoši kurai </w:t>
            </w:r>
            <w:r w:rsidRPr="0067478B">
              <w:rPr>
                <w:color w:val="000000"/>
              </w:rPr>
              <w:t xml:space="preserve">kvalifikācijas eksāmens organizējams, pamatojoties uz </w:t>
            </w:r>
            <w:r w:rsidR="004A2865">
              <w:rPr>
                <w:color w:val="000000"/>
              </w:rPr>
              <w:t>P</w:t>
            </w:r>
            <w:r w:rsidRPr="0067478B">
              <w:rPr>
                <w:color w:val="000000"/>
              </w:rPr>
              <w:t xml:space="preserve">adomes lēmumu pēc </w:t>
            </w:r>
            <w:r w:rsidR="00966DB6" w:rsidRPr="0067478B">
              <w:rPr>
                <w:color w:val="000000"/>
              </w:rPr>
              <w:t>P</w:t>
            </w:r>
            <w:r w:rsidRPr="0067478B">
              <w:rPr>
                <w:color w:val="000000"/>
              </w:rPr>
              <w:t>adomes locekļa vai Maksātnespējas kontroles dienesta</w:t>
            </w:r>
            <w:r w:rsidR="00044F44" w:rsidRPr="0067478B">
              <w:rPr>
                <w:color w:val="000000"/>
              </w:rPr>
              <w:t xml:space="preserve"> direktora </w:t>
            </w:r>
            <w:r w:rsidRPr="0067478B">
              <w:rPr>
                <w:color w:val="000000"/>
              </w:rPr>
              <w:t xml:space="preserve"> ierosinājuma, bet ne retāk kā reizi piecos gados no pēdējā administratora eksāmena</w:t>
            </w:r>
            <w:r w:rsidR="004A2865">
              <w:rPr>
                <w:color w:val="000000"/>
              </w:rPr>
              <w:t xml:space="preserve"> pirmās daļas</w:t>
            </w:r>
            <w:r w:rsidRPr="0067478B">
              <w:rPr>
                <w:color w:val="000000"/>
              </w:rPr>
              <w:t xml:space="preserve"> norises dienas.</w:t>
            </w:r>
          </w:p>
          <w:p w14:paraId="5EDF116A" w14:textId="77777777" w:rsidR="00B82385" w:rsidRPr="0067478B" w:rsidRDefault="00B82385" w:rsidP="00AF7B79">
            <w:pPr>
              <w:pStyle w:val="tv213"/>
              <w:spacing w:before="0" w:beforeAutospacing="0" w:after="0" w:afterAutospacing="0"/>
              <w:jc w:val="both"/>
              <w:rPr>
                <w:color w:val="000000" w:themeColor="text1"/>
              </w:rPr>
            </w:pPr>
          </w:p>
          <w:p w14:paraId="7F8629C2" w14:textId="5BD430CF" w:rsidR="00B82385" w:rsidRPr="0067478B" w:rsidRDefault="0041305A" w:rsidP="0041305A">
            <w:pPr>
              <w:jc w:val="both"/>
              <w:rPr>
                <w:color w:val="000000" w:themeColor="text1"/>
              </w:rPr>
            </w:pPr>
            <w:r>
              <w:rPr>
                <w:color w:val="000000" w:themeColor="text1"/>
              </w:rPr>
              <w:t xml:space="preserve">Kārtība, kādā tiek paziņots par Padomes lēmumu, kā arī termiņus, kādā Maksātnespējas kontroles dienestam pēc Padomes lēmuma jāizsludina pieteikšanās administratora eksāmena kārtošanai, nosakāma Ministru kabineta noteikumos. </w:t>
            </w:r>
            <w:r w:rsidR="00B82385" w:rsidRPr="0067478B">
              <w:rPr>
                <w:color w:val="000000" w:themeColor="text1"/>
              </w:rPr>
              <w:t>Ievērojot minēto no Maksātnespējas likuma tiks izslēgts regulējums par apmācību apliecinājuma derīguma termiņu.</w:t>
            </w:r>
          </w:p>
          <w:p w14:paraId="2B47DAD6" w14:textId="77777777" w:rsidR="00D60F5E" w:rsidRPr="0067478B" w:rsidRDefault="00D60F5E" w:rsidP="00AF7B79">
            <w:pPr>
              <w:pStyle w:val="tv213"/>
              <w:spacing w:before="0" w:beforeAutospacing="0" w:after="0" w:afterAutospacing="0"/>
              <w:jc w:val="both"/>
              <w:rPr>
                <w:color w:val="000000"/>
              </w:rPr>
            </w:pPr>
          </w:p>
          <w:p w14:paraId="75CBE568" w14:textId="493FAFCB" w:rsidR="000515F4" w:rsidRPr="0067478B" w:rsidRDefault="000515F4" w:rsidP="00AF7B79">
            <w:pPr>
              <w:pStyle w:val="tv213"/>
              <w:spacing w:before="0" w:beforeAutospacing="0" w:after="0" w:afterAutospacing="0"/>
              <w:jc w:val="both"/>
              <w:rPr>
                <w:b/>
                <w:bCs/>
                <w:color w:val="000000" w:themeColor="text1"/>
                <w:shd w:val="clear" w:color="auto" w:fill="FFFFFF"/>
              </w:rPr>
            </w:pPr>
            <w:r w:rsidRPr="0067478B">
              <w:rPr>
                <w:b/>
                <w:bCs/>
                <w:color w:val="000000"/>
              </w:rPr>
              <w:t>3. </w:t>
            </w:r>
            <w:r w:rsidR="00161713" w:rsidRPr="0067478B">
              <w:rPr>
                <w:b/>
                <w:bCs/>
                <w:color w:val="000000" w:themeColor="text1"/>
                <w:shd w:val="clear" w:color="auto" w:fill="FFFFFF"/>
              </w:rPr>
              <w:t xml:space="preserve">Maksātnespējas procesa izmaksu </w:t>
            </w:r>
            <w:r w:rsidR="00EB5DBD" w:rsidRPr="0067478B">
              <w:rPr>
                <w:b/>
                <w:bCs/>
                <w:color w:val="000000" w:themeColor="text1"/>
                <w:shd w:val="clear" w:color="auto" w:fill="FFFFFF"/>
              </w:rPr>
              <w:t xml:space="preserve">kontroles </w:t>
            </w:r>
            <w:r w:rsidR="00161713" w:rsidRPr="0067478B">
              <w:rPr>
                <w:b/>
                <w:bCs/>
                <w:color w:val="000000" w:themeColor="text1"/>
                <w:shd w:val="clear" w:color="auto" w:fill="FFFFFF"/>
              </w:rPr>
              <w:t xml:space="preserve"> mehānismi.</w:t>
            </w:r>
          </w:p>
          <w:p w14:paraId="0F5F6B63" w14:textId="77777777" w:rsidR="000515F4" w:rsidRPr="0067478B" w:rsidRDefault="000515F4" w:rsidP="00AF7B79">
            <w:pPr>
              <w:pStyle w:val="tv213"/>
              <w:spacing w:before="0" w:beforeAutospacing="0" w:after="0" w:afterAutospacing="0"/>
              <w:jc w:val="both"/>
              <w:rPr>
                <w:b/>
                <w:bCs/>
                <w:color w:val="000000"/>
              </w:rPr>
            </w:pPr>
          </w:p>
          <w:p w14:paraId="44D59355" w14:textId="38105C47" w:rsidR="005C7EAE" w:rsidRPr="0067478B" w:rsidRDefault="005C7EAE" w:rsidP="00AF7B79">
            <w:pPr>
              <w:pStyle w:val="tv213"/>
              <w:spacing w:before="0" w:beforeAutospacing="0" w:after="0" w:afterAutospacing="0"/>
              <w:jc w:val="both"/>
              <w:rPr>
                <w:color w:val="000000" w:themeColor="text1"/>
              </w:rPr>
            </w:pPr>
            <w:r w:rsidRPr="0067478B">
              <w:rPr>
                <w:color w:val="000000" w:themeColor="text1"/>
                <w:shd w:val="clear" w:color="auto" w:fill="FFFFFF"/>
              </w:rPr>
              <w:t>Maksātnespējas likum</w:t>
            </w:r>
            <w:r w:rsidR="00307C79" w:rsidRPr="0067478B">
              <w:rPr>
                <w:color w:val="000000" w:themeColor="text1"/>
                <w:shd w:val="clear" w:color="auto" w:fill="FFFFFF"/>
              </w:rPr>
              <w:t xml:space="preserve">s </w:t>
            </w:r>
            <w:r w:rsidRPr="0067478B">
              <w:rPr>
                <w:color w:val="000000" w:themeColor="text1"/>
                <w:shd w:val="clear" w:color="auto" w:fill="FFFFFF"/>
              </w:rPr>
              <w:t xml:space="preserve">paredz, ka juridiskās personas maksātnespējas procesa izdevumus veido </w:t>
            </w:r>
            <w:r w:rsidR="00307C79" w:rsidRPr="0067478B">
              <w:rPr>
                <w:color w:val="000000" w:themeColor="text1"/>
                <w:shd w:val="clear" w:color="auto" w:fill="FFFFFF"/>
              </w:rPr>
              <w:t xml:space="preserve">juridiskās personas maksātnespējas </w:t>
            </w:r>
            <w:r w:rsidRPr="0067478B">
              <w:rPr>
                <w:color w:val="000000" w:themeColor="text1"/>
                <w:shd w:val="clear" w:color="auto" w:fill="FFFFFF"/>
              </w:rPr>
              <w:t>procesa izdevumi un administratora atlīdzība. A</w:t>
            </w:r>
            <w:r w:rsidR="003A1B3A" w:rsidRPr="0067478B">
              <w:rPr>
                <w:color w:val="000000" w:themeColor="text1"/>
                <w:shd w:val="clear" w:color="auto" w:fill="FFFFFF"/>
              </w:rPr>
              <w:t>tbilstoši Maksātnespējas likuma 170. panta otrajai daļai juridiskās personas maksātnespējas procesa izdevumos iekļauj</w:t>
            </w:r>
            <w:r w:rsidR="00307C79" w:rsidRPr="0067478B">
              <w:rPr>
                <w:color w:val="000000" w:themeColor="text1"/>
                <w:shd w:val="clear" w:color="auto" w:fill="FFFFFF"/>
              </w:rPr>
              <w:t>:</w:t>
            </w:r>
            <w:r w:rsidR="001C23E3" w:rsidRPr="0067478B">
              <w:rPr>
                <w:color w:val="000000" w:themeColor="text1"/>
                <w:shd w:val="clear" w:color="auto" w:fill="FFFFFF"/>
              </w:rPr>
              <w:t> </w:t>
            </w:r>
            <w:r w:rsidR="003A1B3A" w:rsidRPr="0067478B">
              <w:rPr>
                <w:color w:val="000000" w:themeColor="text1"/>
                <w:shd w:val="clear" w:color="auto" w:fill="FFFFFF"/>
              </w:rPr>
              <w:t>1) </w:t>
            </w:r>
            <w:r w:rsidR="003A1B3A" w:rsidRPr="0067478B">
              <w:rPr>
                <w:color w:val="000000" w:themeColor="text1"/>
              </w:rPr>
              <w:t xml:space="preserve">atlīdzību pieaicinātajiem speciālistiem; 2) izdevumus parādnieka mantas uzturēšanai; 3) izdevumus sludinājumu ievietošanai, izsoļu organizēšanai, norēķinu konta atvēršanai, apkalpošanai un slēgšanai, izdevumus par notāra un pasta pakalpojumiem; 4) izdevumus, kas saistīti ar lietu nodošanu arhīvā; 5) komandējumu izdevumus, 6) izdevumus to līgumu izpildes turpināšanai, kuri nav izbeigti likumā noteiktajos gadījumos, kā arī to līgumu izpildei, kurus juridiskās personas maksātnespējas procesa laikā administrators noslēdzis ar trešajām personām; 7) izdevumus, kas saistīti ar parādnieka likvidāciju, ieskaitot videi bīstamo atkritumu izvešanu, pārstrādi un apglabāšanu; 8) kārtējo nodokļu un nodevu maksājumus par laikposmu no dienas, kad pasludināts juridiskās personas maksātnespējas process; 9) izdevumus, kas saistīti ar trešajām personām piederošās mantas uzturēšanu līdz tās nodošanai šīm personām; </w:t>
            </w:r>
            <w:r w:rsidR="001C23E3" w:rsidRPr="0067478B">
              <w:rPr>
                <w:color w:val="000000" w:themeColor="text1"/>
              </w:rPr>
              <w:t>10) izdevums, kas radušies kreditoram, parādnieka vārdā ceļot prasību pret šā parādnieka valdes locekļiem, ja prasība ir apmierināta un atgūtā manta ir vismaz tiesas izdevumu apmērā;  </w:t>
            </w:r>
            <w:r w:rsidR="003A1B3A" w:rsidRPr="0067478B">
              <w:rPr>
                <w:color w:val="000000" w:themeColor="text1"/>
              </w:rPr>
              <w:t>1</w:t>
            </w:r>
            <w:r w:rsidR="001C23E3" w:rsidRPr="0067478B">
              <w:rPr>
                <w:color w:val="000000" w:themeColor="text1"/>
              </w:rPr>
              <w:t>1</w:t>
            </w:r>
            <w:r w:rsidR="003A1B3A" w:rsidRPr="0067478B">
              <w:rPr>
                <w:color w:val="000000" w:themeColor="text1"/>
              </w:rPr>
              <w:t xml:space="preserve">) izdevumus, kas pamatoti un saistīti ar </w:t>
            </w:r>
            <w:r w:rsidR="003A1B3A" w:rsidRPr="0067478B">
              <w:rPr>
                <w:color w:val="000000" w:themeColor="text1"/>
              </w:rPr>
              <w:lastRenderedPageBreak/>
              <w:t>konkrētā</w:t>
            </w:r>
            <w:r w:rsidR="00307C79" w:rsidRPr="0067478B">
              <w:rPr>
                <w:color w:val="000000" w:themeColor="text1"/>
              </w:rPr>
              <w:t> </w:t>
            </w:r>
            <w:r w:rsidR="003A1B3A" w:rsidRPr="0067478B">
              <w:rPr>
                <w:color w:val="000000" w:themeColor="text1"/>
              </w:rPr>
              <w:t>juridiskās</w:t>
            </w:r>
            <w:r w:rsidR="00307C79" w:rsidRPr="0067478B">
              <w:rPr>
                <w:color w:val="000000" w:themeColor="text1"/>
              </w:rPr>
              <w:t> </w:t>
            </w:r>
            <w:r w:rsidR="003A1B3A" w:rsidRPr="0067478B">
              <w:rPr>
                <w:color w:val="000000" w:themeColor="text1"/>
              </w:rPr>
              <w:t>personas</w:t>
            </w:r>
            <w:r w:rsidR="00307C79" w:rsidRPr="0067478B">
              <w:rPr>
                <w:color w:val="000000" w:themeColor="text1"/>
              </w:rPr>
              <w:t> </w:t>
            </w:r>
            <w:r w:rsidR="003A1B3A" w:rsidRPr="0067478B">
              <w:rPr>
                <w:color w:val="000000" w:themeColor="text1"/>
              </w:rPr>
              <w:t>maksātnespējas</w:t>
            </w:r>
            <w:r w:rsidR="00626123" w:rsidRPr="0067478B">
              <w:rPr>
                <w:color w:val="000000" w:themeColor="text1"/>
              </w:rPr>
              <w:t> </w:t>
            </w:r>
            <w:r w:rsidR="003A1B3A" w:rsidRPr="0067478B">
              <w:rPr>
                <w:color w:val="000000" w:themeColor="text1"/>
              </w:rPr>
              <w:t>procesa</w:t>
            </w:r>
            <w:r w:rsidR="00626123" w:rsidRPr="0067478B">
              <w:rPr>
                <w:color w:val="000000" w:themeColor="text1"/>
              </w:rPr>
              <w:t> </w:t>
            </w:r>
            <w:r w:rsidR="003A1B3A" w:rsidRPr="0067478B">
              <w:rPr>
                <w:color w:val="000000" w:themeColor="text1"/>
              </w:rPr>
              <w:t>nodrošināšanu</w:t>
            </w:r>
            <w:r w:rsidR="001C23E3" w:rsidRPr="0067478B">
              <w:rPr>
                <w:color w:val="000000" w:themeColor="text1"/>
              </w:rPr>
              <w:t xml:space="preserve"> </w:t>
            </w:r>
            <w:r w:rsidR="003A1B3A" w:rsidRPr="0067478B">
              <w:rPr>
                <w:color w:val="000000" w:themeColor="text1"/>
              </w:rPr>
              <w:t xml:space="preserve"> un 12) sprieduma izpildes izdevumus. </w:t>
            </w:r>
          </w:p>
          <w:p w14:paraId="7558707A" w14:textId="5368DC1F" w:rsidR="00555489" w:rsidRPr="0067478B" w:rsidRDefault="00626123" w:rsidP="00AF7B79">
            <w:pPr>
              <w:pStyle w:val="Paraststmeklis"/>
              <w:jc w:val="both"/>
            </w:pPr>
            <w:r w:rsidRPr="0067478B">
              <w:rPr>
                <w:color w:val="000000" w:themeColor="text1"/>
                <w:shd w:val="clear" w:color="auto" w:fill="FFFFFF"/>
              </w:rPr>
              <w:t>Maksātnespējas procesa izmaksu kontrole bijusi viena no Maksātnespējas kontroles dienesta</w:t>
            </w:r>
            <w:r w:rsidR="00307C79" w:rsidRPr="0067478B">
              <w:rPr>
                <w:color w:val="000000" w:themeColor="text1"/>
                <w:shd w:val="clear" w:color="auto" w:fill="FFFFFF"/>
              </w:rPr>
              <w:t xml:space="preserve"> </w:t>
            </w:r>
            <w:r w:rsidRPr="0067478B">
              <w:rPr>
                <w:color w:val="000000" w:themeColor="text1"/>
                <w:shd w:val="clear" w:color="auto" w:fill="FFFFFF"/>
              </w:rPr>
              <w:t>pēdējo gadu prioritātēm. Atbilstoši Maksātnespējas kontroles dienesta 2019. gada ziņojum</w:t>
            </w:r>
            <w:r w:rsidR="00555489" w:rsidRPr="0067478B">
              <w:rPr>
                <w:color w:val="000000" w:themeColor="text1"/>
                <w:shd w:val="clear" w:color="auto" w:fill="FFFFFF"/>
              </w:rPr>
              <w:t>ā norādītajam</w:t>
            </w:r>
            <w:r w:rsidRPr="0067478B">
              <w:rPr>
                <w:color w:val="000000" w:themeColor="text1"/>
                <w:shd w:val="clear" w:color="auto" w:fill="FFFFFF"/>
              </w:rPr>
              <w:t>, administratoru darbīb</w:t>
            </w:r>
            <w:r w:rsidR="00307C79" w:rsidRPr="0067478B">
              <w:rPr>
                <w:color w:val="000000" w:themeColor="text1"/>
                <w:shd w:val="clear" w:color="auto" w:fill="FFFFFF"/>
              </w:rPr>
              <w:t>ā</w:t>
            </w:r>
            <w:r w:rsidRPr="0067478B">
              <w:rPr>
                <w:color w:val="000000" w:themeColor="text1"/>
                <w:shd w:val="clear" w:color="auto" w:fill="FFFFFF"/>
              </w:rPr>
              <w:t xml:space="preserve">s </w:t>
            </w:r>
            <w:r w:rsidR="00307C79" w:rsidRPr="0067478B">
              <w:rPr>
                <w:color w:val="000000" w:themeColor="text1"/>
                <w:shd w:val="clear" w:color="auto" w:fill="FFFFFF"/>
              </w:rPr>
              <w:t xml:space="preserve">2019. gadā </w:t>
            </w:r>
            <w:r w:rsidRPr="0067478B">
              <w:rPr>
                <w:color w:val="000000" w:themeColor="text1"/>
                <w:shd w:val="clear" w:color="auto" w:fill="FFFFFF"/>
              </w:rPr>
              <w:t xml:space="preserve">konstatēti pārkāpumi maksātnespējas procesa izmaksu jautājumos – </w:t>
            </w:r>
            <w:r w:rsidR="00555489" w:rsidRPr="0067478B">
              <w:t>kreditoru sapulcē netiek apstiprinātas</w:t>
            </w:r>
            <w:r w:rsidRPr="0067478B">
              <w:t xml:space="preserve"> </w:t>
            </w:r>
            <w:r w:rsidR="00AF4FF8" w:rsidRPr="0067478B">
              <w:t>maksātnespējas</w:t>
            </w:r>
            <w:r w:rsidRPr="0067478B">
              <w:t xml:space="preserve"> procesa izmaksas, </w:t>
            </w:r>
            <w:r w:rsidR="00555489" w:rsidRPr="0067478B">
              <w:t>netiek sasaukta kreditoru sapulce</w:t>
            </w:r>
            <w:r w:rsidRPr="0067478B">
              <w:t xml:space="preserve">, kad </w:t>
            </w:r>
            <w:r w:rsidR="00AF4FF8" w:rsidRPr="0067478B">
              <w:t>maksātnespējas</w:t>
            </w:r>
            <w:r w:rsidRPr="0067478B">
              <w:t xml:space="preserve"> procesa izdevumi </w:t>
            </w:r>
            <w:r w:rsidR="00AF4FF8" w:rsidRPr="0067478B">
              <w:t>pārsnieguši</w:t>
            </w:r>
            <w:r w:rsidRPr="0067478B">
              <w:t xml:space="preserve"> 5% no </w:t>
            </w:r>
            <w:r w:rsidR="00AF4FF8" w:rsidRPr="0067478B">
              <w:t>aktīvu</w:t>
            </w:r>
            <w:r w:rsidRPr="0067478B">
              <w:t xml:space="preserve"> </w:t>
            </w:r>
            <w:r w:rsidR="00AF4FF8" w:rsidRPr="0067478B">
              <w:t>atsavināšanas</w:t>
            </w:r>
            <w:r w:rsidRPr="0067478B">
              <w:t xml:space="preserve"> </w:t>
            </w:r>
            <w:r w:rsidR="00AF4FF8" w:rsidRPr="0067478B">
              <w:t>ieņēmumu</w:t>
            </w:r>
            <w:r w:rsidRPr="0067478B">
              <w:t xml:space="preserve"> kopsummas, kreditoru </w:t>
            </w:r>
            <w:r w:rsidR="00AF4FF8" w:rsidRPr="0067478B">
              <w:t>prasījumus</w:t>
            </w:r>
            <w:r w:rsidRPr="0067478B">
              <w:t xml:space="preserve"> </w:t>
            </w:r>
            <w:r w:rsidR="00555489" w:rsidRPr="0067478B">
              <w:t>segts</w:t>
            </w:r>
            <w:r w:rsidRPr="0067478B">
              <w:t xml:space="preserve"> pirms visu procesa izmaksu </w:t>
            </w:r>
            <w:r w:rsidR="00AF4FF8" w:rsidRPr="0067478B">
              <w:t>segšanas</w:t>
            </w:r>
            <w:r w:rsidRPr="0067478B">
              <w:t xml:space="preserve">, </w:t>
            </w:r>
            <w:r w:rsidR="00AF4FF8" w:rsidRPr="0067478B">
              <w:t>nodrošinātajam</w:t>
            </w:r>
            <w:r w:rsidR="00555489" w:rsidRPr="0067478B">
              <w:t xml:space="preserve"> kreditoram netiek izmaksāti</w:t>
            </w:r>
            <w:r w:rsidRPr="0067478B">
              <w:t xml:space="preserve"> naudas </w:t>
            </w:r>
            <w:r w:rsidR="00AF4FF8" w:rsidRPr="0067478B">
              <w:t>līdzekļus</w:t>
            </w:r>
            <w:r w:rsidRPr="0067478B">
              <w:t>.</w:t>
            </w:r>
            <w:r w:rsidRPr="0067478B">
              <w:rPr>
                <w:rStyle w:val="Vresatsauce"/>
              </w:rPr>
              <w:footnoteReference w:id="9"/>
            </w:r>
            <w:r w:rsidR="00555489" w:rsidRPr="0067478B">
              <w:t xml:space="preserve"> </w:t>
            </w:r>
          </w:p>
          <w:p w14:paraId="4363015C" w14:textId="6258D00C" w:rsidR="00A22ADE" w:rsidRPr="0067478B" w:rsidRDefault="00555489" w:rsidP="00AF7B79">
            <w:pPr>
              <w:pStyle w:val="Paraststmeklis"/>
              <w:jc w:val="both"/>
            </w:pPr>
            <w:r w:rsidRPr="0067478B">
              <w:t xml:space="preserve">Tieslietu ministrija kā maksātnespējas jomas politikas veidotāja, </w:t>
            </w:r>
            <w:r w:rsidR="009A1D5B" w:rsidRPr="0067478B">
              <w:t xml:space="preserve">2018. gadā bija sagatavojusi </w:t>
            </w:r>
            <w:r w:rsidRPr="0067478B">
              <w:t xml:space="preserve">un Latvijas Republikas Saeimā iesniegusi </w:t>
            </w:r>
            <w:r w:rsidR="009A1D5B" w:rsidRPr="0067478B">
              <w:t>priekšlikumus likumprojektam "Grozījumi Maksātnespējas likumā" (Reģ. Nr. 653/Lp13)</w:t>
            </w:r>
            <w:r w:rsidR="001C23E3" w:rsidRPr="0067478B">
              <w:t>,</w:t>
            </w:r>
            <w:r w:rsidR="009A1D5B" w:rsidRPr="0067478B">
              <w:rPr>
                <w:rStyle w:val="Vresatsauce"/>
              </w:rPr>
              <w:footnoteReference w:id="10"/>
            </w:r>
            <w:r w:rsidR="001C23E3" w:rsidRPr="0067478B">
              <w:t xml:space="preserve"> </w:t>
            </w:r>
            <w:r w:rsidR="009A1D5B" w:rsidRPr="0067478B">
              <w:t xml:space="preserve">tostarp piedāvājot risinājumus maksātnespējas procesu izmaksu </w:t>
            </w:r>
            <w:r w:rsidRPr="0067478B">
              <w:t>kontroles mehānismu stiprināšanā</w:t>
            </w:r>
            <w:r w:rsidR="009A1D5B" w:rsidRPr="0067478B">
              <w:t xml:space="preserve">. </w:t>
            </w:r>
            <w:r w:rsidR="00315E36">
              <w:t>M</w:t>
            </w:r>
            <w:r w:rsidR="00315E36" w:rsidRPr="0067478B">
              <w:t xml:space="preserve">inētie priekšlikumi </w:t>
            </w:r>
            <w:r w:rsidRPr="0067478B">
              <w:t xml:space="preserve">2018. gadā </w:t>
            </w:r>
            <w:r w:rsidR="009A1D5B" w:rsidRPr="0067478B">
              <w:t xml:space="preserve">netika skatīti pēc būtības. </w:t>
            </w:r>
            <w:r w:rsidRPr="0067478B">
              <w:t xml:space="preserve">Turpinot darbu pie maksātnespējas procesa izmaksu kontroles jautājuma, Tieslietu ministrija </w:t>
            </w:r>
            <w:r w:rsidR="009A1D5B" w:rsidRPr="0067478B">
              <w:t xml:space="preserve">2020. gada 8. oktobrī </w:t>
            </w:r>
            <w:r w:rsidR="00315E36">
              <w:t>D</w:t>
            </w:r>
            <w:r w:rsidR="009A1D5B" w:rsidRPr="0067478B">
              <w:t xml:space="preserve">arba grupā </w:t>
            </w:r>
            <w:r w:rsidRPr="0067478B">
              <w:t>piedāvāja atkārtoti skatīt minētos priekšlikumus</w:t>
            </w:r>
            <w:r w:rsidR="009A1D5B" w:rsidRPr="0067478B">
              <w:t xml:space="preserve">, noskaidrojot to aktualitāti un nepieciešamību tos virzīt </w:t>
            </w:r>
            <w:r w:rsidRPr="0067478B">
              <w:t>vēlreiz izskatīšanai likumdevējam</w:t>
            </w:r>
            <w:r w:rsidR="009A1D5B" w:rsidRPr="0067478B">
              <w:t xml:space="preserve">. </w:t>
            </w:r>
          </w:p>
          <w:p w14:paraId="131E7F52" w14:textId="4D9F12EC" w:rsidR="00E73E19" w:rsidRPr="0067478B" w:rsidRDefault="000515F4" w:rsidP="00AF7B79">
            <w:pPr>
              <w:pStyle w:val="Paraststmeklis"/>
              <w:jc w:val="both"/>
              <w:rPr>
                <w:color w:val="000000" w:themeColor="text1"/>
                <w:shd w:val="clear" w:color="auto" w:fill="FFFFFF"/>
              </w:rPr>
            </w:pPr>
            <w:r w:rsidRPr="0067478B">
              <w:rPr>
                <w:b/>
                <w:bCs/>
                <w:color w:val="000000" w:themeColor="text1"/>
                <w:shd w:val="clear" w:color="auto" w:fill="FFFFFF"/>
              </w:rPr>
              <w:t>3</w:t>
            </w:r>
            <w:r w:rsidR="00161713" w:rsidRPr="0067478B">
              <w:rPr>
                <w:b/>
                <w:bCs/>
                <w:color w:val="000000" w:themeColor="text1"/>
                <w:shd w:val="clear" w:color="auto" w:fill="FFFFFF"/>
              </w:rPr>
              <w:t>.</w:t>
            </w:r>
            <w:r w:rsidR="005E3E86" w:rsidRPr="0067478B">
              <w:rPr>
                <w:b/>
                <w:bCs/>
                <w:color w:val="000000" w:themeColor="text1"/>
                <w:shd w:val="clear" w:color="auto" w:fill="FFFFFF"/>
              </w:rPr>
              <w:t>1</w:t>
            </w:r>
            <w:r w:rsidR="00161713" w:rsidRPr="0067478B">
              <w:rPr>
                <w:b/>
                <w:bCs/>
                <w:color w:val="000000" w:themeColor="text1"/>
                <w:shd w:val="clear" w:color="auto" w:fill="FFFFFF"/>
              </w:rPr>
              <w:t>.</w:t>
            </w:r>
            <w:r w:rsidR="00161713" w:rsidRPr="0067478B">
              <w:rPr>
                <w:color w:val="000000" w:themeColor="text1"/>
                <w:shd w:val="clear" w:color="auto" w:fill="FFFFFF"/>
              </w:rPr>
              <w:t> </w:t>
            </w:r>
            <w:r w:rsidR="00956CBC" w:rsidRPr="0067478B">
              <w:rPr>
                <w:color w:val="000000" w:themeColor="text1"/>
                <w:shd w:val="clear" w:color="auto" w:fill="FFFFFF"/>
              </w:rPr>
              <w:t>Praksē ir konstatēti gadījumi</w:t>
            </w:r>
            <w:r w:rsidR="00E73E19" w:rsidRPr="0067478B">
              <w:rPr>
                <w:color w:val="000000" w:themeColor="text1"/>
                <w:shd w:val="clear" w:color="auto" w:fill="FFFFFF"/>
              </w:rPr>
              <w:t>, kad administrators maksātnespējas procesos nolemj pieaicināt speciālistus tādu jautājumu risināšanai, ko administrators, ņemot vērā savu kompetenci un profesionālo kvalifikāciju, varētu risināt patstāvīgi.</w:t>
            </w:r>
            <w:r w:rsidR="0096024F" w:rsidRPr="0067478B">
              <w:rPr>
                <w:color w:val="000000" w:themeColor="text1"/>
                <w:shd w:val="clear" w:color="auto" w:fill="FFFFFF"/>
              </w:rPr>
              <w:t xml:space="preserve"> Piemēram, administrators nolemj pieaicināt speciālistus pārstāvības nodrošināšanai tiesvedībās, kad pārstāvībai nav nepieciešamas specifiskas, ar administratora profesionālo darbību nesaistītas zināšanas un pieredze. Problēmas pastāv arī gadījumos, kad administrators nolemj pieaicināt kā speciālistus maksātnespējas procesā ar sevi saistītas personas, piemēram, citu administratoru, ar kuru administrators praktizē vienā prakses vietā. Šādos gadījumos var rasties pamats apšaubīt to, ka administrators ir veicis darbības, lai konkrētā jautājuma risināšanai pieaicinātu kompetentāko speciālistu. Tāpat šādos gadījumos nevar izslēgt iespēju, ka šāda speciālista </w:t>
            </w:r>
            <w:r w:rsidR="0096024F" w:rsidRPr="0067478B">
              <w:rPr>
                <w:color w:val="000000" w:themeColor="text1"/>
                <w:shd w:val="clear" w:color="auto" w:fill="FFFFFF"/>
              </w:rPr>
              <w:lastRenderedPageBreak/>
              <w:t>piesaistīšanai patiesais iemesls ir speciālistam paredzētās atlīdzības novirzīšana neparedzētiem mērķiem, pakalpojumu izpildot formāli, vai neizpildot vispār.</w:t>
            </w:r>
          </w:p>
          <w:p w14:paraId="17ED85B7" w14:textId="6AA5D3B4" w:rsidR="0096024F" w:rsidRPr="0067478B" w:rsidRDefault="00DC0AB9" w:rsidP="00AF7B79">
            <w:pPr>
              <w:pStyle w:val="Paraststmeklis"/>
              <w:jc w:val="both"/>
              <w:rPr>
                <w:color w:val="000000" w:themeColor="text1"/>
                <w:shd w:val="clear" w:color="auto" w:fill="FFFFFF"/>
              </w:rPr>
            </w:pPr>
            <w:r w:rsidRPr="0067478B">
              <w:rPr>
                <w:color w:val="000000" w:themeColor="text1"/>
                <w:shd w:val="clear" w:color="auto" w:fill="FFFFFF"/>
              </w:rPr>
              <w:t xml:space="preserve">Atbilstoši spēkā esošajam Maksātnespējas likuma regulējumam </w:t>
            </w:r>
            <w:r w:rsidR="00114958" w:rsidRPr="0067478B">
              <w:rPr>
                <w:color w:val="000000" w:themeColor="text1"/>
                <w:shd w:val="clear" w:color="auto" w:fill="FFFFFF"/>
              </w:rPr>
              <w:t>darījumam par speciālistu pieaicināšanu maksātnespējas procesa ietvaros nav paredzēta obligāta rakstveida forma un attiecīgi nav paredzētas šāda darījuma satura minimālās prasības. Neesot prasībai par šāda darījuma rakstveida formu un minimālajām prasībām šo darījumu saturam, ne vienmēr ir iespējams pārbaudīt, par kādu darbību veikšanu speciālistam bijusi paredzēta atlīdzība, kā arī nav iespējams pārbaudīt, vai pieaicinātais speciālists minētās darbības faktiski veicis.</w:t>
            </w:r>
            <w:r w:rsidR="000035A7" w:rsidRPr="0067478B">
              <w:rPr>
                <w:color w:val="000000" w:themeColor="text1"/>
                <w:shd w:val="clear" w:color="auto" w:fill="FFFFFF"/>
              </w:rPr>
              <w:t xml:space="preserve"> Ja minētie fakti nav zināmi, Maksātnespējas kontroles dienestam</w:t>
            </w:r>
            <w:r w:rsidR="00044F44" w:rsidRPr="0067478B">
              <w:rPr>
                <w:color w:val="000000" w:themeColor="text1"/>
                <w:shd w:val="clear" w:color="auto" w:fill="FFFFFF"/>
              </w:rPr>
              <w:t xml:space="preserve"> un citām maksātnespējas procesā iesaistītajām personām</w:t>
            </w:r>
            <w:r w:rsidR="000035A7" w:rsidRPr="0067478B">
              <w:rPr>
                <w:color w:val="000000" w:themeColor="text1"/>
                <w:shd w:val="clear" w:color="auto" w:fill="FFFFFF"/>
              </w:rPr>
              <w:t xml:space="preserve"> ir </w:t>
            </w:r>
            <w:r w:rsidR="00A20130" w:rsidRPr="0067478B">
              <w:rPr>
                <w:color w:val="000000" w:themeColor="text1"/>
                <w:shd w:val="clear" w:color="auto" w:fill="FFFFFF"/>
              </w:rPr>
              <w:t>ierobežotas iespējas konstatēt gadījumus, kad speciālista pieaicināšanas patiesais mērķis ir speciālistam paredzētās atlīdzības novirzīšana neparedzētiem mērķiem, pakalpojumu izpildot formāli, vai neizpildot vispār.</w:t>
            </w:r>
          </w:p>
          <w:p w14:paraId="7CE6F79B" w14:textId="6ABDEBEA" w:rsidR="00161713" w:rsidRPr="0067478B" w:rsidRDefault="00A20130" w:rsidP="00AF7B79">
            <w:pPr>
              <w:pStyle w:val="Paraststmeklis"/>
              <w:jc w:val="both"/>
              <w:rPr>
                <w:color w:val="000000" w:themeColor="text1"/>
                <w:shd w:val="clear" w:color="auto" w:fill="FFFFFF"/>
              </w:rPr>
            </w:pPr>
            <w:r w:rsidRPr="0067478B">
              <w:rPr>
                <w:color w:val="000000" w:themeColor="text1"/>
                <w:shd w:val="clear" w:color="auto" w:fill="FFFFFF"/>
              </w:rPr>
              <w:t>Līdz ar to Maksātnespējas likum</w:t>
            </w:r>
            <w:r w:rsidR="0028634F" w:rsidRPr="0067478B">
              <w:rPr>
                <w:color w:val="000000" w:themeColor="text1"/>
                <w:shd w:val="clear" w:color="auto" w:fill="FFFFFF"/>
              </w:rPr>
              <w:t xml:space="preserve">a 67. pants un 138. pants </w:t>
            </w:r>
            <w:r w:rsidRPr="0067478B">
              <w:rPr>
                <w:color w:val="000000" w:themeColor="text1"/>
                <w:shd w:val="clear" w:color="auto" w:fill="FFFFFF"/>
              </w:rPr>
              <w:t xml:space="preserve"> papildināms ar regulējumu</w:t>
            </w:r>
            <w:r w:rsidR="0028634F" w:rsidRPr="0067478B">
              <w:rPr>
                <w:color w:val="000000" w:themeColor="text1"/>
                <w:shd w:val="clear" w:color="auto" w:fill="FFFFFF"/>
              </w:rPr>
              <w:t xml:space="preserve">, </w:t>
            </w:r>
            <w:r w:rsidRPr="0067478B">
              <w:rPr>
                <w:color w:val="000000" w:themeColor="text1"/>
                <w:shd w:val="clear" w:color="auto" w:fill="FFFFFF"/>
              </w:rPr>
              <w:t xml:space="preserve">ka darījumi par speciālista pieaicināšanu ir </w:t>
            </w:r>
            <w:r w:rsidR="0028634F" w:rsidRPr="0067478B">
              <w:rPr>
                <w:color w:val="000000" w:themeColor="text1"/>
                <w:shd w:val="clear" w:color="auto" w:fill="FFFFFF"/>
              </w:rPr>
              <w:t xml:space="preserve">slēdzami </w:t>
            </w:r>
            <w:r w:rsidRPr="0067478B">
              <w:rPr>
                <w:color w:val="000000" w:themeColor="text1"/>
                <w:shd w:val="clear" w:color="auto" w:fill="FFFFFF"/>
              </w:rPr>
              <w:t>rakstveidā, un tajos jānorāda vismaz šādas ziņas: darījuma puses, darbības, par kuru veikšanu speciālistam paredzēta atlīdzība, kā arī speciālistam noteiktās atlīdzības apmērs.</w:t>
            </w:r>
          </w:p>
          <w:p w14:paraId="74B16EFA" w14:textId="06FBBB3D" w:rsidR="00994065" w:rsidRPr="0067478B" w:rsidRDefault="000515F4" w:rsidP="00AF7B79">
            <w:pPr>
              <w:pStyle w:val="Paraststmeklis"/>
              <w:jc w:val="both"/>
              <w:rPr>
                <w:color w:val="000000" w:themeColor="text1"/>
                <w:shd w:val="clear" w:color="auto" w:fill="FFFFFF"/>
              </w:rPr>
            </w:pPr>
            <w:r w:rsidRPr="0067478B">
              <w:rPr>
                <w:b/>
                <w:bCs/>
                <w:color w:val="000000"/>
              </w:rPr>
              <w:t>3</w:t>
            </w:r>
            <w:r w:rsidR="00161713" w:rsidRPr="0067478B">
              <w:rPr>
                <w:b/>
                <w:bCs/>
                <w:color w:val="000000"/>
              </w:rPr>
              <w:t>.</w:t>
            </w:r>
            <w:r w:rsidR="00FE3262" w:rsidRPr="0067478B">
              <w:rPr>
                <w:b/>
                <w:bCs/>
                <w:color w:val="000000"/>
              </w:rPr>
              <w:t>2</w:t>
            </w:r>
            <w:r w:rsidR="00161713" w:rsidRPr="0067478B">
              <w:rPr>
                <w:b/>
                <w:bCs/>
                <w:color w:val="000000"/>
              </w:rPr>
              <w:t>.</w:t>
            </w:r>
            <w:r w:rsidR="00161713" w:rsidRPr="0067478B">
              <w:rPr>
                <w:color w:val="000000"/>
              </w:rPr>
              <w:t> </w:t>
            </w:r>
            <w:r w:rsidR="00994065" w:rsidRPr="0067478B">
              <w:rPr>
                <w:color w:val="000000"/>
              </w:rPr>
              <w:t>Maksātnespējas likuma 115.</w:t>
            </w:r>
            <w:r w:rsidR="004C744E" w:rsidRPr="0067478B">
              <w:rPr>
                <w:color w:val="000000"/>
              </w:rPr>
              <w:t> </w:t>
            </w:r>
            <w:r w:rsidR="00994065" w:rsidRPr="0067478B">
              <w:rPr>
                <w:color w:val="000000"/>
              </w:rPr>
              <w:t>panta ceturtajā daļā noteikts, ka pēc tam, kad izsolē pārdota parādnieka manta, tiesa apstiprinājusi nekustamā īpašuma izsoles aktu vai pieņēmusi lēmumu reģistrēt īpašuma tiesības uz kreditora vārda, kas ir paziņojis par gribu mantu paturēt, administrators sagatavo aprēķinu, kurā norāda izsoles izdevumus, atlīdzību par izsoles rīkošanu, pievienotās vērtības nodokli, ja izsoles cena ar to apliekama, kārtējos nodokļu maksājumus, kas veicami par šo parādnieka mantu par laikposmu no dienas, kad pasludināts maksātnespējas process, līdz tā mēneša pēdējam datumam, kurā stājies spēkā tiesas nolēmums, ar kuru apstiprināta parādnieka mantas izsole, un kreditoriem izmaksājamo summu.</w:t>
            </w:r>
            <w:r w:rsidR="00994065" w:rsidRPr="0067478B">
              <w:rPr>
                <w:rStyle w:val="apple-converted-space"/>
                <w:color w:val="000000"/>
              </w:rPr>
              <w:t> </w:t>
            </w:r>
          </w:p>
          <w:p w14:paraId="55FB60CF" w14:textId="77777777" w:rsidR="00994065" w:rsidRPr="0067478B" w:rsidRDefault="00994065" w:rsidP="00AF7B79">
            <w:pPr>
              <w:pStyle w:val="Paraststmeklis"/>
              <w:jc w:val="both"/>
              <w:rPr>
                <w:color w:val="000000"/>
              </w:rPr>
            </w:pPr>
            <w:r w:rsidRPr="0067478B">
              <w:rPr>
                <w:color w:val="000000"/>
              </w:rPr>
              <w:t xml:space="preserve">No Maksātnespējas likuma regulējuma izriet, ka nodrošinātais kreditors maksātnespējas procesā sava prasījuma apmierinājumu saņem no ieķīlātās mantas pārdošanas, respektīvi, no ieķīlātās mantas pārdošanas iegūtie naudas līdzekļi pienākas vienīgi nodrošinātajam kreditoram un nav proporcionāli jādala ar pārējiem kreditoriem. Maksātnespējas procesā pastāv izdevumu kategorija, kas tiek segta no naudas līdzekļiem, kas iegūti, </w:t>
            </w:r>
            <w:r w:rsidRPr="0067478B">
              <w:rPr>
                <w:color w:val="000000"/>
              </w:rPr>
              <w:lastRenderedPageBreak/>
              <w:t>pārdodot ieķīlāto mantu. Tādēļ, ja maksātnespējas procesa izmaksas ir vērstas uz nodrošinātā kreditora prasījuma apmierināšanu, tad šo izmaksu segšanas avotam būtu jābūt naudas summai, kas iegūta no ieķīlātās mantas realizācijas. Attiecīgi līdzekļi, kas nav ieķīlāti, tiek novirzīti to izmaksu segšanai, kas potenciāli ir vērstas uz nenodrošināto kreditoru prasījumu apmierināšanu.</w:t>
            </w:r>
            <w:r w:rsidRPr="0067478B">
              <w:rPr>
                <w:rStyle w:val="apple-converted-space"/>
                <w:color w:val="000000"/>
              </w:rPr>
              <w:t> </w:t>
            </w:r>
          </w:p>
          <w:p w14:paraId="27BDC5EF" w14:textId="13105C5B" w:rsidR="00994065" w:rsidRPr="0067478B" w:rsidRDefault="007E7307" w:rsidP="00AF7B79">
            <w:pPr>
              <w:pStyle w:val="Paraststmeklis"/>
              <w:jc w:val="both"/>
              <w:rPr>
                <w:color w:val="000000"/>
              </w:rPr>
            </w:pPr>
            <w:r w:rsidRPr="0067478B">
              <w:rPr>
                <w:color w:val="000000"/>
              </w:rPr>
              <w:t>Praksē k</w:t>
            </w:r>
            <w:r w:rsidR="00994065" w:rsidRPr="0067478B">
              <w:rPr>
                <w:color w:val="000000"/>
              </w:rPr>
              <w:t>onstatēts, ka Maksātnespējas likuma normu piemērotājiem nav vienotas izpratnes par izsolē pārdotā par nodrošinājumu kalpojošā nekustamā īpašuma uzturēšanas izmaksu segšanu. Proti, ir atšķirīgs viedoklis, ka izsoles izdevumos nav iekļaujami maksājumi, kas tieši nepieciešami mantas uzturēšanai, jo Maksātnespējas likuma 115.</w:t>
            </w:r>
            <w:r w:rsidRPr="0067478B">
              <w:rPr>
                <w:color w:val="000000"/>
              </w:rPr>
              <w:t> </w:t>
            </w:r>
            <w:r w:rsidR="00994065" w:rsidRPr="0067478B">
              <w:rPr>
                <w:color w:val="000000"/>
              </w:rPr>
              <w:t>panta ceturtajā daļā skaidri noteiktas aprēķinā iekļaujamās pozīcijas un likumdevējs ar izsoles izdevumiem nav paredzējis īpašuma uzturēšanas izmaksas.</w:t>
            </w:r>
            <w:r w:rsidR="00994065" w:rsidRPr="0067478B">
              <w:rPr>
                <w:rStyle w:val="apple-converted-space"/>
                <w:color w:val="000000"/>
              </w:rPr>
              <w:t> </w:t>
            </w:r>
          </w:p>
          <w:p w14:paraId="365F2868" w14:textId="67DD34BA" w:rsidR="00994065" w:rsidRPr="0067478B" w:rsidRDefault="00994065" w:rsidP="00AF7B79">
            <w:pPr>
              <w:pStyle w:val="Paraststmeklis"/>
              <w:jc w:val="both"/>
              <w:rPr>
                <w:color w:val="000000"/>
              </w:rPr>
            </w:pPr>
            <w:r w:rsidRPr="0067478B">
              <w:rPr>
                <w:color w:val="000000"/>
              </w:rPr>
              <w:t>Līdz ar to Maksātnespējas likumā nepieciešams precizēt, ka izsoles aprēķinā ir norādāmi izdevumi, kas nepieciešami par nodrošinājumu kalpojošās mantas uzturēšanai, kas tādējādi tiek segti no parādnieka mantas realizācijas iegūtajiem līdzekļiem.</w:t>
            </w:r>
          </w:p>
          <w:p w14:paraId="45618D59" w14:textId="210E0C26" w:rsidR="00994065" w:rsidRPr="0067478B" w:rsidRDefault="000515F4" w:rsidP="00AF7B79">
            <w:pPr>
              <w:pStyle w:val="Paraststmeklis"/>
              <w:jc w:val="both"/>
              <w:rPr>
                <w:color w:val="000000"/>
              </w:rPr>
            </w:pPr>
            <w:r w:rsidRPr="0067478B">
              <w:rPr>
                <w:b/>
                <w:bCs/>
                <w:color w:val="000000"/>
              </w:rPr>
              <w:t>3</w:t>
            </w:r>
            <w:r w:rsidR="00161713" w:rsidRPr="0067478B">
              <w:rPr>
                <w:b/>
                <w:bCs/>
                <w:color w:val="000000"/>
              </w:rPr>
              <w:t>.</w:t>
            </w:r>
            <w:r w:rsidR="00FE3262" w:rsidRPr="0067478B">
              <w:rPr>
                <w:b/>
                <w:bCs/>
                <w:color w:val="000000"/>
              </w:rPr>
              <w:t>3</w:t>
            </w:r>
            <w:r w:rsidR="00161713" w:rsidRPr="0067478B">
              <w:rPr>
                <w:b/>
                <w:bCs/>
                <w:color w:val="000000"/>
              </w:rPr>
              <w:t>.</w:t>
            </w:r>
            <w:r w:rsidR="00161713" w:rsidRPr="0067478B">
              <w:rPr>
                <w:color w:val="000000"/>
              </w:rPr>
              <w:t> </w:t>
            </w:r>
            <w:r w:rsidR="00994065" w:rsidRPr="0067478B">
              <w:rPr>
                <w:color w:val="000000"/>
              </w:rPr>
              <w:t>Saskaņā ar Maksātnespējas likuma 170.</w:t>
            </w:r>
            <w:r w:rsidR="007E7307" w:rsidRPr="0067478B">
              <w:rPr>
                <w:color w:val="000000"/>
              </w:rPr>
              <w:t> </w:t>
            </w:r>
            <w:r w:rsidR="00994065" w:rsidRPr="0067478B">
              <w:rPr>
                <w:color w:val="000000"/>
              </w:rPr>
              <w:t>panta pirmās daļas 1.</w:t>
            </w:r>
            <w:r w:rsidR="007E7307" w:rsidRPr="0067478B">
              <w:rPr>
                <w:color w:val="000000"/>
              </w:rPr>
              <w:t> </w:t>
            </w:r>
            <w:r w:rsidR="00994065" w:rsidRPr="0067478B">
              <w:rPr>
                <w:color w:val="000000"/>
              </w:rPr>
              <w:t>punktu ar juridiskās personas maksātnespējas procesa nodrošināšanu saistītie šā procesa izdevumi, izņemot izdevumus, kas saistīti ar mantu, kura kalpo par nodrošinājumu, kā arī parādnieka saimnieciskās darbības turpināšanas pilnā vai ierobežotā apmērā nodrošināšanu, ja kreditoru sapulce tos nav atzinusi par pamatotiem, nedrīkst pārsniegt piecu procentu apmēru no mantas novērtējuma, ja ir sastādīts mantas pārdošanas plāns.</w:t>
            </w:r>
            <w:r w:rsidR="00994065" w:rsidRPr="0067478B">
              <w:rPr>
                <w:rStyle w:val="apple-converted-space"/>
                <w:color w:val="000000"/>
              </w:rPr>
              <w:t> </w:t>
            </w:r>
          </w:p>
          <w:p w14:paraId="606012F8" w14:textId="3C081B00" w:rsidR="00B258BD" w:rsidRPr="0067478B" w:rsidRDefault="00994065" w:rsidP="00AF7B79">
            <w:pPr>
              <w:pStyle w:val="Paraststmeklis"/>
              <w:jc w:val="both"/>
              <w:rPr>
                <w:color w:val="000000"/>
              </w:rPr>
            </w:pPr>
            <w:r w:rsidRPr="0067478B">
              <w:rPr>
                <w:color w:val="000000"/>
              </w:rPr>
              <w:t xml:space="preserve">Atbilstoši minētā panta otrajai daļai gadījumos, </w:t>
            </w:r>
            <w:r w:rsidR="008C320A">
              <w:rPr>
                <w:color w:val="000000"/>
              </w:rPr>
              <w:t>maksātnespējīgajai juridiskajai personai</w:t>
            </w:r>
            <w:r w:rsidRPr="0067478B">
              <w:rPr>
                <w:color w:val="000000"/>
              </w:rPr>
              <w:t xml:space="preserve"> nav aktīvu</w:t>
            </w:r>
            <w:r w:rsidR="00C95F16" w:rsidRPr="0067478B">
              <w:rPr>
                <w:color w:val="000000"/>
              </w:rPr>
              <w:t xml:space="preserve"> </w:t>
            </w:r>
            <w:r w:rsidRPr="0067478B">
              <w:rPr>
                <w:color w:val="000000"/>
              </w:rPr>
              <w:t xml:space="preserve">un ir sastādīts ziņojums par mantas neesamību, ar procesa nodrošināšanu saistītie izdevumi nedrīkst pārsniegt juridiskās personas maksātnespējas procesa depozīta apmēru, kas šobrīd ir </w:t>
            </w:r>
            <w:r w:rsidR="008C320A">
              <w:rPr>
                <w:color w:val="000000"/>
              </w:rPr>
              <w:t>1 000</w:t>
            </w:r>
            <w:r w:rsidRPr="0067478B">
              <w:rPr>
                <w:color w:val="000000"/>
              </w:rPr>
              <w:t xml:space="preserve"> </w:t>
            </w:r>
            <w:r w:rsidRPr="0067478B">
              <w:rPr>
                <w:i/>
                <w:iCs/>
                <w:color w:val="000000"/>
              </w:rPr>
              <w:t>euro</w:t>
            </w:r>
            <w:r w:rsidR="00B258BD" w:rsidRPr="0067478B">
              <w:rPr>
                <w:rStyle w:val="apple-converted-space"/>
                <w:color w:val="000000"/>
              </w:rPr>
              <w:t>.</w:t>
            </w:r>
            <w:r w:rsidR="00B258BD" w:rsidRPr="0067478B">
              <w:rPr>
                <w:rStyle w:val="Vresatsauce"/>
                <w:color w:val="000000"/>
              </w:rPr>
              <w:footnoteReference w:id="11"/>
            </w:r>
          </w:p>
          <w:p w14:paraId="07B8368D" w14:textId="77777777" w:rsidR="00994065" w:rsidRPr="0067478B" w:rsidRDefault="00994065" w:rsidP="00AF7B79">
            <w:pPr>
              <w:pStyle w:val="Paraststmeklis"/>
              <w:jc w:val="both"/>
              <w:rPr>
                <w:color w:val="000000"/>
              </w:rPr>
            </w:pPr>
            <w:r w:rsidRPr="0067478B">
              <w:rPr>
                <w:color w:val="000000"/>
              </w:rPr>
              <w:t xml:space="preserve">Saskaņā ar spēkā esošo regulējumu, ja, piemēram, juridiskās personas maksātnespējas procesā parādnieka manta ir novērtēta 1 000 </w:t>
            </w:r>
            <w:r w:rsidRPr="0067478B">
              <w:rPr>
                <w:i/>
                <w:iCs/>
                <w:color w:val="000000"/>
              </w:rPr>
              <w:t>euro</w:t>
            </w:r>
            <w:r w:rsidRPr="0067478B">
              <w:rPr>
                <w:color w:val="000000"/>
              </w:rPr>
              <w:t xml:space="preserve"> apmērā, tad ar juridiskās personas </w:t>
            </w:r>
            <w:r w:rsidRPr="0067478B">
              <w:rPr>
                <w:color w:val="000000"/>
              </w:rPr>
              <w:lastRenderedPageBreak/>
              <w:t xml:space="preserve">maksātnespējas procesa nodrošināšanu saistītie šā procesa izdevumi nedrīkst pārsniegt 50 </w:t>
            </w:r>
            <w:r w:rsidRPr="0067478B">
              <w:rPr>
                <w:i/>
                <w:iCs/>
                <w:color w:val="000000"/>
              </w:rPr>
              <w:t>euro</w:t>
            </w:r>
            <w:r w:rsidRPr="0067478B">
              <w:rPr>
                <w:color w:val="000000"/>
              </w:rPr>
              <w:t xml:space="preserve">. Tiklīdz izmaksas pārsniedz piecu procentu apmēru no juridiskās personas mantas novērtējuma, ir nepieciešams sasaukt kreditoru sapulci. Tādējādi, ja izmaksas ir, piemēram, 60 </w:t>
            </w:r>
            <w:r w:rsidRPr="0067478B">
              <w:rPr>
                <w:i/>
                <w:iCs/>
                <w:color w:val="000000"/>
              </w:rPr>
              <w:t>euro</w:t>
            </w:r>
            <w:r w:rsidRPr="0067478B">
              <w:rPr>
                <w:color w:val="000000"/>
              </w:rPr>
              <w:t>, jāsasauc kreditoru sapulce.</w:t>
            </w:r>
            <w:r w:rsidRPr="0067478B">
              <w:rPr>
                <w:rStyle w:val="apple-converted-space"/>
                <w:color w:val="000000"/>
              </w:rPr>
              <w:t> </w:t>
            </w:r>
          </w:p>
          <w:p w14:paraId="1D16F9D8" w14:textId="668B1FB3" w:rsidR="008026FD" w:rsidRPr="0067478B" w:rsidRDefault="00FE3262" w:rsidP="00AF7B79">
            <w:pPr>
              <w:pStyle w:val="Paraststmeklis"/>
              <w:jc w:val="both"/>
              <w:rPr>
                <w:color w:val="000000"/>
              </w:rPr>
            </w:pPr>
            <w:r w:rsidRPr="0067478B">
              <w:rPr>
                <w:color w:val="000000"/>
              </w:rPr>
              <w:t>Līdz ar to n</w:t>
            </w:r>
            <w:r w:rsidR="00994065" w:rsidRPr="0067478B">
              <w:rPr>
                <w:color w:val="000000"/>
              </w:rPr>
              <w:t>epieciešami grozījumi Maksātnespējas likumā, precizējot ar juridiskās personas maksātnespējas procesa nodrošināšanu saistīto izdevumu apmēru, kas nav jāsaskaņo kreditoru sapulcē. Proti, nosakot, ka izmaksas nedrīkst pārsniegt procesā iemaksāto depozītu plus piecu procentu apmēru no mantas novērtējuma.</w:t>
            </w:r>
          </w:p>
          <w:p w14:paraId="0804A1EE" w14:textId="44A2975B" w:rsidR="00CC05D7" w:rsidRPr="0067478B" w:rsidRDefault="00351C26" w:rsidP="00AF7B79">
            <w:pPr>
              <w:pStyle w:val="tv213"/>
              <w:shd w:val="clear" w:color="auto" w:fill="FFFFFF" w:themeFill="background1"/>
              <w:spacing w:before="0" w:beforeAutospacing="0" w:after="0" w:afterAutospacing="0"/>
              <w:jc w:val="both"/>
              <w:rPr>
                <w:color w:val="000000" w:themeColor="text1"/>
              </w:rPr>
            </w:pPr>
            <w:r w:rsidRPr="0067478B">
              <w:rPr>
                <w:color w:val="000000"/>
              </w:rPr>
              <w:t>Papildu norādāms, ka</w:t>
            </w:r>
            <w:r w:rsidR="00CC05D7" w:rsidRPr="0067478B">
              <w:rPr>
                <w:color w:val="000000"/>
              </w:rPr>
              <w:t xml:space="preserve"> attiecībā uz novērtējuma rekomendāciju </w:t>
            </w:r>
            <w:r w:rsidR="00CC05D7" w:rsidRPr="0067478B">
              <w:rPr>
                <w:b/>
                <w:bCs/>
                <w:color w:val="000000" w:themeColor="text1"/>
              </w:rPr>
              <w:t xml:space="preserve">– </w:t>
            </w:r>
            <w:r w:rsidR="00CC05D7" w:rsidRPr="0067478B">
              <w:rPr>
                <w:color w:val="000000" w:themeColor="text1"/>
                <w:shd w:val="clear" w:color="auto" w:fill="FFFFFF" w:themeFill="background1"/>
              </w:rPr>
              <w:t>iespēju</w:t>
            </w:r>
            <w:r w:rsidR="00CC05D7" w:rsidRPr="0067478B">
              <w:rPr>
                <w:color w:val="000000" w:themeColor="text1"/>
              </w:rPr>
              <w:t xml:space="preserve"> izvairīties no pārmērīgiem izdevumiem, tiesību aktos nosakot, ka maksimālo izdevumu summu var mainīt tikai ar kreditoru vienprātīgu piekrišanu</w:t>
            </w:r>
            <w:r w:rsidRPr="0067478B">
              <w:rPr>
                <w:color w:val="000000" w:themeColor="text1"/>
              </w:rPr>
              <w:t xml:space="preserve">, – </w:t>
            </w:r>
            <w:r w:rsidR="00CC05D7" w:rsidRPr="0067478B">
              <w:rPr>
                <w:color w:val="000000" w:themeColor="text1"/>
              </w:rPr>
              <w:t xml:space="preserve">norādāms, ka </w:t>
            </w:r>
            <w:r w:rsidR="00F24CAD" w:rsidRPr="0067478B">
              <w:rPr>
                <w:color w:val="000000" w:themeColor="text1"/>
              </w:rPr>
              <w:t xml:space="preserve">pēc būtības šāds </w:t>
            </w:r>
            <w:r w:rsidR="00CC05D7" w:rsidRPr="0067478B">
              <w:rPr>
                <w:color w:val="000000" w:themeColor="text1"/>
              </w:rPr>
              <w:t xml:space="preserve"> tiesiskais regulējums jau šobrīd izriet no Maksātnespējas likuma</w:t>
            </w:r>
            <w:r w:rsidR="00F24CAD" w:rsidRPr="0067478B">
              <w:rPr>
                <w:color w:val="000000" w:themeColor="text1"/>
              </w:rPr>
              <w:t>. Proti, Maksātnespējas likuma 89. panta 3. punkts paredz kreditoru sapulcei tiesības  pieņemt lēmumu par maksātnespējas procesa izdevumu atzīšanu par pamatotu. Savukārt Maksātnespējas likuma 170. panta pirmā daļa paredz, ja  kreditoru sapulce juridiskās personas maksātnespējas procesa izdevumus nav atzinusi par pamatotiem, tie nedrīkst pārsniegt: 1) piecu procentu apmēru no mantas novērtējuma, ja ir sastādīts mantas pārdošanas plāns un 2) juridiskās personas maksātnespējas procesa depozīta apmēru, ja ir sastādīts ziņojums par mantas neesamību.</w:t>
            </w:r>
          </w:p>
          <w:p w14:paraId="6BFF0DDE" w14:textId="54D8C1C5" w:rsidR="00B85392" w:rsidRPr="0067478B" w:rsidRDefault="000515F4" w:rsidP="00A35E2F">
            <w:pPr>
              <w:pStyle w:val="Paraststmeklis"/>
              <w:jc w:val="both"/>
              <w:rPr>
                <w:b/>
                <w:bCs/>
                <w:color w:val="000000"/>
              </w:rPr>
            </w:pPr>
            <w:r w:rsidRPr="00A35E2F">
              <w:rPr>
                <w:b/>
                <w:bCs/>
                <w:color w:val="000000"/>
              </w:rPr>
              <w:t>4</w:t>
            </w:r>
            <w:r w:rsidR="00161713" w:rsidRPr="00A35E2F">
              <w:rPr>
                <w:b/>
                <w:bCs/>
                <w:color w:val="000000"/>
              </w:rPr>
              <w:t>.</w:t>
            </w:r>
            <w:r w:rsidR="007E7307" w:rsidRPr="00A35E2F">
              <w:rPr>
                <w:b/>
                <w:bCs/>
                <w:color w:val="000000"/>
              </w:rPr>
              <w:t> </w:t>
            </w:r>
            <w:r w:rsidR="006B3A09">
              <w:rPr>
                <w:b/>
                <w:bCs/>
                <w:color w:val="000000"/>
              </w:rPr>
              <w:t>J</w:t>
            </w:r>
            <w:r w:rsidR="00C01C5C" w:rsidRPr="00A35E2F">
              <w:rPr>
                <w:b/>
                <w:bCs/>
                <w:color w:val="000000" w:themeColor="text1"/>
              </w:rPr>
              <w:t>uridiskās personas maksātnespējas procesa pabeigšan</w:t>
            </w:r>
            <w:r w:rsidR="006B3A09">
              <w:rPr>
                <w:b/>
                <w:bCs/>
                <w:color w:val="000000" w:themeColor="text1"/>
              </w:rPr>
              <w:t>a</w:t>
            </w:r>
            <w:r w:rsidR="00C01C5C" w:rsidRPr="00A35E2F">
              <w:rPr>
                <w:b/>
                <w:bCs/>
                <w:color w:val="000000" w:themeColor="text1"/>
              </w:rPr>
              <w:t xml:space="preserve"> saīsinātā procesa kārtībā</w:t>
            </w:r>
            <w:r w:rsidR="00B85392" w:rsidRPr="00A35E2F">
              <w:rPr>
                <w:b/>
                <w:bCs/>
                <w:color w:val="000000"/>
              </w:rPr>
              <w:t>.</w:t>
            </w:r>
          </w:p>
          <w:p w14:paraId="3FAF607B" w14:textId="77777777" w:rsidR="0068249E" w:rsidRPr="0067478B" w:rsidRDefault="00AB5FB8" w:rsidP="00AF7B79">
            <w:pPr>
              <w:spacing w:after="225"/>
              <w:jc w:val="both"/>
              <w:textAlignment w:val="baseline"/>
              <w:rPr>
                <w:color w:val="000000" w:themeColor="text1"/>
                <w:shd w:val="clear" w:color="auto" w:fill="FFFFFF"/>
              </w:rPr>
            </w:pPr>
            <w:r w:rsidRPr="0067478B">
              <w:rPr>
                <w:color w:val="000000" w:themeColor="text1"/>
              </w:rPr>
              <w:t>Kā iepriekš norādīts, atbilstoši Maksātnespējas likumam juridiskās personas maksātnespējas procesa izmaksas sastāda maksātnespējas procesa izdevumi un administratora atlīdzība.</w:t>
            </w:r>
            <w:r w:rsidR="00C25EDF" w:rsidRPr="0067478B">
              <w:rPr>
                <w:color w:val="000000" w:themeColor="text1"/>
              </w:rPr>
              <w:t xml:space="preserve"> </w:t>
            </w:r>
            <w:r w:rsidRPr="0067478B">
              <w:rPr>
                <w:color w:val="000000" w:themeColor="text1"/>
              </w:rPr>
              <w:t xml:space="preserve">Atbilstoši Maksātnespējas likuma 169. panta pirmajai daļai </w:t>
            </w:r>
            <w:r w:rsidRPr="0067478B">
              <w:rPr>
                <w:color w:val="000000" w:themeColor="text1"/>
                <w:shd w:val="clear" w:color="auto" w:fill="FFFFFF"/>
              </w:rPr>
              <w:t xml:space="preserve">par administratora pienākumu veikšanu juridiskās personas maksātnespējas procesā administrators saņem atlīdzību no parādnieka mantas, izņemot šajā likumā minētos gadījumus. </w:t>
            </w:r>
          </w:p>
          <w:p w14:paraId="778B2844" w14:textId="34DD7B06" w:rsidR="00AB5FB8" w:rsidRPr="0067478B" w:rsidRDefault="00AB5FB8" w:rsidP="00AF7B79">
            <w:pPr>
              <w:spacing w:after="225"/>
              <w:jc w:val="both"/>
              <w:textAlignment w:val="baseline"/>
              <w:rPr>
                <w:color w:val="000000" w:themeColor="text1"/>
              </w:rPr>
            </w:pPr>
            <w:r w:rsidRPr="0067478B">
              <w:rPr>
                <w:color w:val="000000" w:themeColor="text1"/>
                <w:shd w:val="clear" w:color="auto" w:fill="FFFFFF"/>
              </w:rPr>
              <w:t>Savukārt minētā panta otrā daļa paredz</w:t>
            </w:r>
            <w:r w:rsidR="00012865" w:rsidRPr="0067478B">
              <w:rPr>
                <w:color w:val="000000" w:themeColor="text1"/>
                <w:shd w:val="clear" w:color="auto" w:fill="FFFFFF"/>
              </w:rPr>
              <w:t xml:space="preserve">ēti veidi, kādos var noteikt administratora atlīdzības apmēru. Proti, </w:t>
            </w:r>
            <w:r w:rsidR="00854263" w:rsidRPr="0067478B">
              <w:rPr>
                <w:color w:val="000000" w:themeColor="text1"/>
                <w:shd w:val="clear" w:color="auto" w:fill="FFFFFF"/>
              </w:rPr>
              <w:t>1) </w:t>
            </w:r>
            <w:r w:rsidR="00012865" w:rsidRPr="0067478B">
              <w:rPr>
                <w:color w:val="000000" w:themeColor="text1"/>
                <w:shd w:val="clear" w:color="auto" w:fill="FFFFFF"/>
              </w:rPr>
              <w:t xml:space="preserve">Maksātnespējas </w:t>
            </w:r>
            <w:r w:rsidR="00012865" w:rsidRPr="0067478B">
              <w:rPr>
                <w:color w:val="000000" w:themeColor="text1"/>
              </w:rPr>
              <w:t xml:space="preserve">likuma </w:t>
            </w:r>
            <w:r w:rsidR="00854263" w:rsidRPr="0067478B">
              <w:rPr>
                <w:color w:val="000000" w:themeColor="text1"/>
              </w:rPr>
              <w:t>62. p</w:t>
            </w:r>
            <w:r w:rsidR="00012865" w:rsidRPr="0067478B">
              <w:rPr>
                <w:color w:val="000000" w:themeColor="text1"/>
              </w:rPr>
              <w:t>anta pirmajā daļā minētā depozīta apmērā par darbu no iecelšanas dienas līdz parādnieka mantas pārdošanas plāna</w:t>
            </w:r>
            <w:r w:rsidR="00854263" w:rsidRPr="0067478B">
              <w:rPr>
                <w:color w:val="000000" w:themeColor="text1"/>
              </w:rPr>
              <w:t xml:space="preserve"> </w:t>
            </w:r>
            <w:r w:rsidR="00012865" w:rsidRPr="0067478B">
              <w:rPr>
                <w:color w:val="000000" w:themeColor="text1"/>
              </w:rPr>
              <w:t>vai ziņojuma par parādnieka mantas neesamību</w:t>
            </w:r>
            <w:r w:rsidR="00854263" w:rsidRPr="0067478B">
              <w:rPr>
                <w:color w:val="000000" w:themeColor="text1"/>
              </w:rPr>
              <w:t xml:space="preserve"> </w:t>
            </w:r>
            <w:r w:rsidR="00012865" w:rsidRPr="0067478B">
              <w:rPr>
                <w:color w:val="000000" w:themeColor="text1"/>
              </w:rPr>
              <w:t>sastādīšanai un 10 procenti no naudas līdzekļiem no atgūtās mantas</w:t>
            </w:r>
            <w:r w:rsidR="00854263" w:rsidRPr="0067478B">
              <w:rPr>
                <w:color w:val="000000" w:themeColor="text1"/>
              </w:rPr>
              <w:t xml:space="preserve">, </w:t>
            </w:r>
            <w:r w:rsidR="00012865" w:rsidRPr="0067478B">
              <w:rPr>
                <w:color w:val="000000" w:themeColor="text1"/>
              </w:rPr>
              <w:t xml:space="preserve">kuri atgūti līdz </w:t>
            </w:r>
            <w:r w:rsidR="00012865" w:rsidRPr="0067478B">
              <w:rPr>
                <w:color w:val="000000" w:themeColor="text1"/>
              </w:rPr>
              <w:lastRenderedPageBreak/>
              <w:t>parādnieka mantas pārdošanas plāna vai ziņojuma par parādnieka mantas neesamību sastādīšanai</w:t>
            </w:r>
            <w:r w:rsidR="00854263" w:rsidRPr="0067478B">
              <w:rPr>
                <w:color w:val="000000" w:themeColor="text1"/>
              </w:rPr>
              <w:t>; 2) </w:t>
            </w:r>
            <w:r w:rsidR="00012865" w:rsidRPr="0067478B">
              <w:rPr>
                <w:color w:val="000000" w:themeColor="text1"/>
              </w:rPr>
              <w:t xml:space="preserve">divu minimālo mēnešalgu apmērā, ko sedz no parādnieka mantas, papildus 1. punktā noteiktajai atlīdzībai, ja parādnieks pēc pēdējā noslēgtā finanšu gada datiem </w:t>
            </w:r>
            <w:r w:rsidR="00854263" w:rsidRPr="0067478B">
              <w:rPr>
                <w:color w:val="000000" w:themeColor="text1"/>
              </w:rPr>
              <w:t>Maksātnespējas likuma 169. panta 1.</w:t>
            </w:r>
            <w:r w:rsidR="00854263" w:rsidRPr="0067478B">
              <w:rPr>
                <w:color w:val="000000" w:themeColor="text1"/>
                <w:vertAlign w:val="superscript"/>
              </w:rPr>
              <w:t>1</w:t>
            </w:r>
            <w:r w:rsidR="00DF1E57">
              <w:rPr>
                <w:color w:val="000000" w:themeColor="text1"/>
                <w:vertAlign w:val="superscript"/>
              </w:rPr>
              <w:t> </w:t>
            </w:r>
            <w:r w:rsidR="00854263" w:rsidRPr="0067478B">
              <w:rPr>
                <w:color w:val="000000" w:themeColor="text1"/>
              </w:rPr>
              <w:t>daļas kritērijiem; 3</w:t>
            </w:r>
            <w:r w:rsidR="00012865" w:rsidRPr="0067478B">
              <w:rPr>
                <w:color w:val="000000" w:themeColor="text1"/>
              </w:rPr>
              <w:t>)</w:t>
            </w:r>
            <w:r w:rsidR="00854263" w:rsidRPr="0067478B">
              <w:rPr>
                <w:color w:val="000000" w:themeColor="text1"/>
              </w:rPr>
              <w:t> </w:t>
            </w:r>
            <w:r w:rsidR="00012865" w:rsidRPr="0067478B">
              <w:rPr>
                <w:color w:val="000000" w:themeColor="text1"/>
              </w:rPr>
              <w:t>ja pēc parādnieka mantas pārdošanas plāna sastādīšanas maksātnespējas process tiek turpināts, jo šo procesu ir iespējams finansēt no parādnieka līdzekļiem, administratora atlīdzība no parādnieka neieķīlātās mantas pārdošanas, kā arī no atgūtās parādnieka mantas ir 10 procenti no summas, kas paredzēta izmaksai kreditoriem. Administrators ar kreditoru sapulci vai citu maksātnespējas procesa izmaksu finansētāju var vienoties arī par citu atlīdzības apmēru un segšanas kārtību;</w:t>
            </w:r>
            <w:r w:rsidR="00854263" w:rsidRPr="0067478B">
              <w:rPr>
                <w:color w:val="000000" w:themeColor="text1"/>
              </w:rPr>
              <w:t xml:space="preserve"> 4) </w:t>
            </w:r>
            <w:r w:rsidR="00012865" w:rsidRPr="0067478B">
              <w:rPr>
                <w:color w:val="000000" w:themeColor="text1"/>
              </w:rPr>
              <w:t xml:space="preserve">ja pēc tam, kad ir sastādīts ziņojums par parādnieka mantas neesamību, maksātnespējas process tiek turpināts, jo ir panākta vienošanās par šā procesa izmaksu finansēšanu atbilstoši </w:t>
            </w:r>
            <w:r w:rsidR="00854263" w:rsidRPr="0067478B">
              <w:rPr>
                <w:color w:val="000000" w:themeColor="text1"/>
              </w:rPr>
              <w:t>Maksātnespējas likuma</w:t>
            </w:r>
            <w:r w:rsidR="00012865" w:rsidRPr="0067478B">
              <w:rPr>
                <w:rStyle w:val="apple-converted-space"/>
                <w:color w:val="000000" w:themeColor="text1"/>
              </w:rPr>
              <w:t> </w:t>
            </w:r>
            <w:r w:rsidR="00854263" w:rsidRPr="0067478B">
              <w:t>168. panta tre</w:t>
            </w:r>
            <w:r w:rsidR="00012865" w:rsidRPr="0067478B">
              <w:rPr>
                <w:color w:val="000000" w:themeColor="text1"/>
              </w:rPr>
              <w:t>šajai daļai, par administratora atlīdzības apmēru un segšanas kārtību administrators vienojas ar maksātnespējas procesa izmaksu finansētāju</w:t>
            </w:r>
            <w:r w:rsidR="00854263" w:rsidRPr="0067478B">
              <w:rPr>
                <w:color w:val="000000" w:themeColor="text1"/>
              </w:rPr>
              <w:t xml:space="preserve"> un 5) </w:t>
            </w:r>
            <w:r w:rsidR="00012865" w:rsidRPr="0067478B">
              <w:rPr>
                <w:color w:val="000000" w:themeColor="text1"/>
              </w:rPr>
              <w:t>ja juridiskās personas maksātnespējas procesa laikā tiek turpināta saimnieciskā darbība</w:t>
            </w:r>
            <w:r w:rsidR="00854263" w:rsidRPr="0067478B">
              <w:rPr>
                <w:color w:val="000000" w:themeColor="text1"/>
              </w:rPr>
              <w:t>, –</w:t>
            </w:r>
            <w:r w:rsidR="00012865" w:rsidRPr="0067478B">
              <w:rPr>
                <w:color w:val="000000" w:themeColor="text1"/>
              </w:rPr>
              <w:t xml:space="preserve"> viens procents no neto apgrozījuma, bet ne vairāk kā divu minimālo mēnešalgu apmērā mēnesī. Administrators pēc kreditoru prasījumu reģistra sastādīšanas kreditoru sapulcē var vienoties ar kreditoriem par citu atlīdzības apmēru.</w:t>
            </w:r>
          </w:p>
          <w:p w14:paraId="46749491" w14:textId="22B1CBF3" w:rsidR="0017651B" w:rsidRPr="0067478B" w:rsidRDefault="00C25EDF" w:rsidP="009028D6">
            <w:pPr>
              <w:shd w:val="clear" w:color="auto" w:fill="FFFFFF" w:themeFill="background1"/>
              <w:spacing w:after="225"/>
              <w:jc w:val="both"/>
              <w:textAlignment w:val="baseline"/>
            </w:pPr>
            <w:r w:rsidRPr="0067478B">
              <w:t>Atbilstoši Maksātnespējas likumam</w:t>
            </w:r>
            <w:r w:rsidR="000F6A08" w:rsidRPr="0067478B">
              <w:t xml:space="preserve"> </w:t>
            </w:r>
            <w:r w:rsidR="00A537E0" w:rsidRPr="0067478B">
              <w:t>primāri administratora atlīdzība tiek segta no parādnieka mantas</w:t>
            </w:r>
            <w:r w:rsidR="0017651B" w:rsidRPr="0067478B">
              <w:t xml:space="preserve">. </w:t>
            </w:r>
            <w:r w:rsidRPr="0067478B">
              <w:t>Pēc būtības a</w:t>
            </w:r>
            <w:r w:rsidR="0036445D" w:rsidRPr="0067478B">
              <w:t xml:space="preserve">dministratora atlīdzība ir tiešā veidā atkarīga no parādnieka finansiālā stāvokļa, tas ir, jo vairāk parādnieka īpašumā ir </w:t>
            </w:r>
            <w:r w:rsidR="0017651B" w:rsidRPr="0067478B">
              <w:t xml:space="preserve">maksātnespējas procesa ietvaros </w:t>
            </w:r>
            <w:r w:rsidR="0036445D" w:rsidRPr="0067478B">
              <w:t xml:space="preserve">realizējamu aktīvu, jo lielāka ir atgūtā naudas summa, no kuras savukārt </w:t>
            </w:r>
            <w:r w:rsidR="0017651B" w:rsidRPr="0067478B">
              <w:t>tiek segti gan kreditoru prasījumi</w:t>
            </w:r>
            <w:r w:rsidR="0036445D" w:rsidRPr="0067478B">
              <w:t xml:space="preserve">, gan </w:t>
            </w:r>
            <w:r w:rsidR="0017651B" w:rsidRPr="0067478B">
              <w:t xml:space="preserve">izmaksāta </w:t>
            </w:r>
            <w:r w:rsidR="0036445D" w:rsidRPr="0067478B">
              <w:t>administratora atlīdzīb</w:t>
            </w:r>
            <w:r w:rsidR="0017651B" w:rsidRPr="0067478B">
              <w:t>a</w:t>
            </w:r>
            <w:r w:rsidR="0036445D" w:rsidRPr="0067478B">
              <w:t>.</w:t>
            </w:r>
            <w:r w:rsidR="00AB5FB8" w:rsidRPr="0067478B">
              <w:t xml:space="preserve"> </w:t>
            </w:r>
          </w:p>
          <w:p w14:paraId="32598E58" w14:textId="6448049F" w:rsidR="00450911" w:rsidRPr="0067478B" w:rsidRDefault="002F042E" w:rsidP="00AF7B79">
            <w:pPr>
              <w:spacing w:after="225"/>
              <w:jc w:val="both"/>
              <w:textAlignment w:val="baseline"/>
            </w:pPr>
            <w:r w:rsidRPr="0067478B">
              <w:t xml:space="preserve">No brīža, kad administrators tiek iecelts konkrētā juridiskās personas maksātnespējas procesā, administratoram jāveic virkni dažādu darbību, lai apzinātu parādnieka finansiālo un mantisko </w:t>
            </w:r>
            <w:r w:rsidRPr="0067478B">
              <w:rPr>
                <w:color w:val="000000" w:themeColor="text1"/>
              </w:rPr>
              <w:t>stāvokli. Atbilstoši Maksātnespējas likuma 65. pantam pēc juridiskās personas maksātnespējas procesa pasludināšanas administrators</w:t>
            </w:r>
            <w:r w:rsidR="00450911" w:rsidRPr="0067478B">
              <w:rPr>
                <w:color w:val="000000" w:themeColor="text1"/>
              </w:rPr>
              <w:t>, tostarp</w:t>
            </w:r>
            <w:r w:rsidRPr="0067478B">
              <w:rPr>
                <w:color w:val="000000" w:themeColor="text1"/>
              </w:rPr>
              <w:t xml:space="preserve"> pieņem lēmumu par parādnieka pārstāvja</w:t>
            </w:r>
            <w:r w:rsidR="00450911" w:rsidRPr="0067478B">
              <w:rPr>
                <w:color w:val="000000" w:themeColor="text1"/>
              </w:rPr>
              <w:t xml:space="preserve"> noteikšanu, </w:t>
            </w:r>
            <w:r w:rsidRPr="0067478B">
              <w:rPr>
                <w:color w:val="000000" w:themeColor="text1"/>
              </w:rPr>
              <w:t>uzsāk parādnieka dokumentu un mantas pilnu inventarizāciju un sastāda parādnieka bilanci</w:t>
            </w:r>
            <w:r w:rsidR="00450911" w:rsidRPr="0067478B">
              <w:rPr>
                <w:color w:val="000000" w:themeColor="text1"/>
              </w:rPr>
              <w:t xml:space="preserve">, </w:t>
            </w:r>
            <w:r w:rsidRPr="0067478B">
              <w:rPr>
                <w:color w:val="000000" w:themeColor="text1"/>
              </w:rPr>
              <w:t>ņem savā pārvaldījumā visu parādnieka mantu, kā arī parādnieka valdījumā vai turējumā esošo trešajām personām piederošo mantu</w:t>
            </w:r>
            <w:r w:rsidR="00450911" w:rsidRPr="0067478B">
              <w:rPr>
                <w:color w:val="000000" w:themeColor="text1"/>
              </w:rPr>
              <w:t xml:space="preserve">, </w:t>
            </w:r>
            <w:r w:rsidRPr="0067478B">
              <w:rPr>
                <w:color w:val="000000" w:themeColor="text1"/>
              </w:rPr>
              <w:t>sniedz kreditoriem un Maksātnespējas kontroles dienestam savas darbības pārskatu</w:t>
            </w:r>
            <w:r w:rsidR="00450911" w:rsidRPr="0067478B">
              <w:rPr>
                <w:color w:val="000000" w:themeColor="text1"/>
              </w:rPr>
              <w:t xml:space="preserve">, </w:t>
            </w:r>
            <w:r w:rsidRPr="0067478B">
              <w:rPr>
                <w:color w:val="000000" w:themeColor="text1"/>
              </w:rPr>
              <w:t>atgūst debitoru parādus un veic tiesiskas darbības citas parādnieka mantas atgūšanai</w:t>
            </w:r>
            <w:r w:rsidR="00450911" w:rsidRPr="0067478B">
              <w:rPr>
                <w:color w:val="000000" w:themeColor="text1"/>
              </w:rPr>
              <w:t xml:space="preserve">, vēršas </w:t>
            </w:r>
            <w:r w:rsidRPr="0067478B">
              <w:rPr>
                <w:color w:val="000000" w:themeColor="text1"/>
              </w:rPr>
              <w:t xml:space="preserve">Maksātnespējas </w:t>
            </w:r>
            <w:r w:rsidRPr="0067478B">
              <w:rPr>
                <w:color w:val="000000" w:themeColor="text1"/>
              </w:rPr>
              <w:lastRenderedPageBreak/>
              <w:t>kontroles dienestā ar iesniegumu par darbinieku prasījumu apmierināšanu</w:t>
            </w:r>
            <w:r w:rsidR="00450911" w:rsidRPr="0067478B">
              <w:rPr>
                <w:color w:val="000000" w:themeColor="text1"/>
              </w:rPr>
              <w:t>,</w:t>
            </w:r>
            <w:r w:rsidR="00AF4FF8" w:rsidRPr="0067478B">
              <w:rPr>
                <w:color w:val="000000" w:themeColor="text1"/>
              </w:rPr>
              <w:t xml:space="preserve"> </w:t>
            </w:r>
            <w:r w:rsidRPr="0067478B">
              <w:rPr>
                <w:color w:val="000000" w:themeColor="text1"/>
              </w:rPr>
              <w:t>izvērtē un ceļ tiesā prasības pret juridiskās personas pārvaldes institūciju locekļiem un kapitālsabiedrības dalībniekiem (akcionāriem) par viņu nodarīto zaudējumu atlīdzību, kā arī pret personālsabiedrības personiski atbildīgajiem biedriem sakarā ar viņu pienākumu ar savu mantu atbildēt par personālsabiedrības saistībām</w:t>
            </w:r>
            <w:r w:rsidR="00C25EDF" w:rsidRPr="0067478B">
              <w:rPr>
                <w:color w:val="000000" w:themeColor="text1"/>
              </w:rPr>
              <w:t>,</w:t>
            </w:r>
            <w:r w:rsidR="00450911" w:rsidRPr="0067478B">
              <w:rPr>
                <w:color w:val="000000" w:themeColor="text1"/>
              </w:rPr>
              <w:t xml:space="preserve"> </w:t>
            </w:r>
            <w:r w:rsidRPr="0067478B">
              <w:rPr>
                <w:color w:val="000000" w:themeColor="text1"/>
              </w:rPr>
              <w:t>pieprasa, lai parādnieka dalībnieki (akcionāri) izpilda savas saistības attiecībā uz parādnieka pamatkapitālu vai citu mantu, un iesniedz tiesai prasības par šādu saistību izpildi</w:t>
            </w:r>
            <w:r w:rsidR="00C25EDF" w:rsidRPr="0067478B">
              <w:rPr>
                <w:color w:val="000000" w:themeColor="text1"/>
              </w:rPr>
              <w:t>,</w:t>
            </w:r>
            <w:r w:rsidR="00450911" w:rsidRPr="0067478B">
              <w:rPr>
                <w:color w:val="000000" w:themeColor="text1"/>
              </w:rPr>
              <w:t xml:space="preserve"> veic parādnieka mantas novērtēšanu u.c. darbības.</w:t>
            </w:r>
          </w:p>
          <w:p w14:paraId="399F1FB7" w14:textId="22A2985D" w:rsidR="00EC6873" w:rsidRPr="0067478B" w:rsidRDefault="00C25EDF" w:rsidP="00AF7B79">
            <w:pPr>
              <w:spacing w:after="225"/>
              <w:jc w:val="both"/>
              <w:textAlignment w:val="baseline"/>
            </w:pPr>
            <w:r w:rsidRPr="0067478B">
              <w:t>Atbilstoši spēkā esošajam regulējumam</w:t>
            </w:r>
            <w:r w:rsidR="00450911" w:rsidRPr="0067478B">
              <w:t xml:space="preserve">, pēc tam, kad, tostarp apzināta parādnieka mantas, administrators sastāda parādnieka mantas pārdošanas plānu vai ziņojumu par parādnieka mantas neesamību. </w:t>
            </w:r>
            <w:r w:rsidR="00450911" w:rsidRPr="009028D6">
              <w:rPr>
                <w:shd w:val="clear" w:color="auto" w:fill="FFFFFF" w:themeFill="background1"/>
              </w:rPr>
              <w:t>Attiecīgi v</w:t>
            </w:r>
            <w:r w:rsidR="00224BAC" w:rsidRPr="009028D6">
              <w:rPr>
                <w:shd w:val="clear" w:color="auto" w:fill="FFFFFF" w:themeFill="background1"/>
              </w:rPr>
              <w:t xml:space="preserve">ar veidoties </w:t>
            </w:r>
            <w:r w:rsidR="00450911" w:rsidRPr="009028D6">
              <w:rPr>
                <w:shd w:val="clear" w:color="auto" w:fill="FFFFFF" w:themeFill="background1"/>
              </w:rPr>
              <w:t xml:space="preserve">arī </w:t>
            </w:r>
            <w:r w:rsidR="00224BAC" w:rsidRPr="009028D6">
              <w:rPr>
                <w:shd w:val="clear" w:color="auto" w:fill="FFFFFF" w:themeFill="background1"/>
              </w:rPr>
              <w:t>situācija, kurā administrators, veicot laikietilpīgas darbības</w:t>
            </w:r>
            <w:r w:rsidRPr="009028D6">
              <w:rPr>
                <w:shd w:val="clear" w:color="auto" w:fill="FFFFFF" w:themeFill="background1"/>
              </w:rPr>
              <w:t>, piemēram, apzinot parādnieka mantu, izvērtējot darījumus un veicot citus normatīvajos aktos noteiktos pienākumus</w:t>
            </w:r>
            <w:r w:rsidR="00224BAC" w:rsidRPr="009028D6">
              <w:rPr>
                <w:shd w:val="clear" w:color="auto" w:fill="FFFFFF" w:themeFill="background1"/>
              </w:rPr>
              <w:t xml:space="preserve">, nonāk pie secinājuma, ka konkrētajā </w:t>
            </w:r>
            <w:r w:rsidRPr="009028D6">
              <w:rPr>
                <w:shd w:val="clear" w:color="auto" w:fill="FFFFFF" w:themeFill="background1"/>
              </w:rPr>
              <w:t xml:space="preserve">juridiskās personas  </w:t>
            </w:r>
            <w:r w:rsidR="00224BAC" w:rsidRPr="009028D6">
              <w:rPr>
                <w:shd w:val="clear" w:color="auto" w:fill="FFFFFF" w:themeFill="background1"/>
              </w:rPr>
              <w:t>maksātnespējas procesā nav mantas vai arī tās apmērs ir mazāks par depozīta apmēru</w:t>
            </w:r>
            <w:r w:rsidR="00EC6873" w:rsidRPr="009028D6">
              <w:rPr>
                <w:shd w:val="clear" w:color="auto" w:fill="FFFFFF" w:themeFill="background1"/>
              </w:rPr>
              <w:t xml:space="preserve"> (attiecīgi sastādāms ziņojums par parādnieka mantas neesamību saskaņā ar Maksātnespējas likuma 112. pantu</w:t>
            </w:r>
            <w:r w:rsidRPr="009028D6">
              <w:rPr>
                <w:shd w:val="clear" w:color="auto" w:fill="FFFFFF" w:themeFill="background1"/>
              </w:rPr>
              <w:t>).</w:t>
            </w:r>
          </w:p>
          <w:p w14:paraId="1367AA64" w14:textId="79FF7712" w:rsidR="00457DD9" w:rsidRPr="0067478B" w:rsidRDefault="00BA1C6E" w:rsidP="00AF7B79">
            <w:pPr>
              <w:jc w:val="both"/>
              <w:rPr>
                <w:color w:val="000000" w:themeColor="text1"/>
              </w:rPr>
            </w:pPr>
            <w:r w:rsidRPr="009028D6">
              <w:rPr>
                <w:shd w:val="clear" w:color="auto" w:fill="FFFFFF" w:themeFill="background1"/>
              </w:rPr>
              <w:t>Vērtējot iespēju noteikt administratoram veicamās minimālās darbības, tādējādi samazinot maksātnespējas procesa izmaksas, tika secināts, ka visas administratoram līdz parādnieka mantas pārdošanas plāna vai ziņojuma par parādnieka mantas neesamību sastādīšanai veicamās darbības ir būtiskas un sekmē maksātnespējas mērķu sasniegšanu.</w:t>
            </w:r>
            <w:r w:rsidRPr="0067478B">
              <w:t xml:space="preserve"> Šādu minimālo darbību uzskaitījum</w:t>
            </w:r>
            <w:r w:rsidR="00661C59">
              <w:t>s</w:t>
            </w:r>
            <w:r w:rsidRPr="0067478B">
              <w:t xml:space="preserve"> </w:t>
            </w:r>
            <w:r w:rsidR="00C25EDF" w:rsidRPr="0067478B">
              <w:t>nesasniegtu iecerēto mērķi, jo katrs maksātnespējas process vērtējams individuāli. L</w:t>
            </w:r>
            <w:r w:rsidRPr="0067478B">
              <w:t xml:space="preserve">īdz ar to arī tajā veicamo darbību apjoms ir atšķirīgs. Ievērojot minēto, </w:t>
            </w:r>
            <w:r w:rsidR="008D4EFD" w:rsidRPr="0067478B">
              <w:t xml:space="preserve">nebūtu </w:t>
            </w:r>
            <w:r w:rsidR="00C25EDF" w:rsidRPr="0067478B">
              <w:t xml:space="preserve">optimāli </w:t>
            </w:r>
            <w:r w:rsidRPr="0067478B">
              <w:t>izstrādāt arī veicamo darbību cenrādi.</w:t>
            </w:r>
            <w:r w:rsidR="00661C59">
              <w:rPr>
                <w:color w:val="000000" w:themeColor="text1"/>
              </w:rPr>
              <w:t xml:space="preserve"> </w:t>
            </w:r>
            <w:r w:rsidR="00457DD9" w:rsidRPr="009028D6">
              <w:rPr>
                <w:color w:val="000000" w:themeColor="text1"/>
                <w:shd w:val="clear" w:color="auto" w:fill="FFFFFF" w:themeFill="background1"/>
              </w:rPr>
              <w:t>Tādējādi likumprojektā uzsvars likts uz kārtības noteikšanu, kādā "</w:t>
            </w:r>
            <w:proofErr w:type="spellStart"/>
            <w:r w:rsidR="00457DD9" w:rsidRPr="009028D6">
              <w:rPr>
                <w:color w:val="000000" w:themeColor="text1"/>
                <w:shd w:val="clear" w:color="auto" w:fill="FFFFFF" w:themeFill="background1"/>
              </w:rPr>
              <w:t>bezaktīvu</w:t>
            </w:r>
            <w:proofErr w:type="spellEnd"/>
            <w:r w:rsidR="00457DD9" w:rsidRPr="009028D6">
              <w:rPr>
                <w:color w:val="000000" w:themeColor="text1"/>
                <w:shd w:val="clear" w:color="auto" w:fill="FFFFFF" w:themeFill="background1"/>
              </w:rPr>
              <w:t xml:space="preserve"> maksātnespējas procesu" pie noteiktiem kritērijiem virzīt pabeigšanai saīsinātā procesa kārtībā.</w:t>
            </w:r>
            <w:r w:rsidR="00457DD9" w:rsidRPr="0067478B">
              <w:rPr>
                <w:color w:val="000000" w:themeColor="text1"/>
              </w:rPr>
              <w:t xml:space="preserve"> </w:t>
            </w:r>
          </w:p>
          <w:p w14:paraId="67508229" w14:textId="169E585B" w:rsidR="008D4EFD" w:rsidRPr="0067478B" w:rsidRDefault="008D4EFD" w:rsidP="00AF7B79">
            <w:pPr>
              <w:jc w:val="both"/>
              <w:rPr>
                <w:color w:val="000000" w:themeColor="text1"/>
              </w:rPr>
            </w:pPr>
          </w:p>
          <w:p w14:paraId="24907ACD" w14:textId="2C7A1417" w:rsidR="00CB05E0" w:rsidRPr="0067478B" w:rsidRDefault="008D4EFD" w:rsidP="00AF7B79">
            <w:pPr>
              <w:jc w:val="both"/>
              <w:rPr>
                <w:color w:val="000000" w:themeColor="text1"/>
              </w:rPr>
            </w:pPr>
            <w:r w:rsidRPr="0067478B">
              <w:rPr>
                <w:color w:val="000000" w:themeColor="text1"/>
              </w:rPr>
              <w:t>Norādāms, ka "</w:t>
            </w:r>
            <w:proofErr w:type="spellStart"/>
            <w:r w:rsidRPr="0067478B">
              <w:rPr>
                <w:color w:val="000000" w:themeColor="text1"/>
              </w:rPr>
              <w:t>bezaktīvu</w:t>
            </w:r>
            <w:proofErr w:type="spellEnd"/>
            <w:r w:rsidRPr="0067478B">
              <w:rPr>
                <w:color w:val="000000" w:themeColor="text1"/>
              </w:rPr>
              <w:t xml:space="preserve"> maksātnespējas procesu" </w:t>
            </w:r>
            <w:r w:rsidR="00661C59" w:rsidRPr="0067478B">
              <w:rPr>
                <w:color w:val="000000" w:themeColor="text1"/>
              </w:rPr>
              <w:t>īpatsvars</w:t>
            </w:r>
            <w:r w:rsidRPr="0067478B">
              <w:rPr>
                <w:color w:val="000000" w:themeColor="text1"/>
              </w:rPr>
              <w:t xml:space="preserve"> ir liels. Atbilstoši Maksātnespējas kontroles dienesta apkopotajai informācijai, procesu skaits, kuros sastādīts ziņojums par parādnieka mantas neesamību 20</w:t>
            </w:r>
            <w:r w:rsidR="00CB05E0" w:rsidRPr="0067478B">
              <w:rPr>
                <w:color w:val="000000" w:themeColor="text1"/>
              </w:rPr>
              <w:t>16. gadā bijis 63%, 2017. un 2018. gadā – 61%, savukārt 2019. gadā – 59%.</w:t>
            </w:r>
            <w:r w:rsidR="00090BEB" w:rsidRPr="0067478B">
              <w:rPr>
                <w:rStyle w:val="Vresatsauce"/>
                <w:color w:val="000000" w:themeColor="text1"/>
              </w:rPr>
              <w:footnoteReference w:id="12"/>
            </w:r>
          </w:p>
          <w:p w14:paraId="33D23DDF" w14:textId="7E4A2765" w:rsidR="003D7215" w:rsidRPr="0067478B" w:rsidRDefault="00151DB0" w:rsidP="00AF7B79">
            <w:pPr>
              <w:pStyle w:val="tv213"/>
              <w:spacing w:before="0" w:beforeAutospacing="0" w:after="0" w:afterAutospacing="0"/>
              <w:jc w:val="both"/>
              <w:rPr>
                <w:color w:val="000000" w:themeColor="text1"/>
              </w:rPr>
            </w:pPr>
            <w:r w:rsidRPr="0067478B">
              <w:rPr>
                <w:color w:val="000000" w:themeColor="text1"/>
              </w:rPr>
              <w:lastRenderedPageBreak/>
              <w:t>Maksātnespējas likuma 170. panta pirmā daļa</w:t>
            </w:r>
            <w:r w:rsidR="003D7215" w:rsidRPr="0067478B">
              <w:rPr>
                <w:color w:val="000000" w:themeColor="text1"/>
              </w:rPr>
              <w:t>s 2. ap</w:t>
            </w:r>
            <w:r w:rsidR="000515F4" w:rsidRPr="0067478B">
              <w:rPr>
                <w:color w:val="000000" w:themeColor="text1"/>
              </w:rPr>
              <w:t>a</w:t>
            </w:r>
            <w:r w:rsidR="003D7215" w:rsidRPr="0067478B">
              <w:rPr>
                <w:color w:val="000000" w:themeColor="text1"/>
              </w:rPr>
              <w:t>kšpunkts</w:t>
            </w:r>
            <w:r w:rsidRPr="0067478B">
              <w:rPr>
                <w:color w:val="000000" w:themeColor="text1"/>
              </w:rPr>
              <w:t xml:space="preserve"> noteic, ka ar juridiskās personas maksātnespējas procesa nodrošināšanu saistītie šā procesa izdevumi, izņemot izdevumus, kas saistīti ar mantu, kura kalpo par nodrošinājumu, kā arī parādnieka saimnieciskās darbības turpināšanas pilnā vai ierobežotā apmērā nodrošināšanu, ja kreditoru sapulce tos nav atzinusi par pamatotiem, nedrīkst pārsniegt</w:t>
            </w:r>
            <w:r w:rsidR="003D7215" w:rsidRPr="0067478B">
              <w:rPr>
                <w:color w:val="000000" w:themeColor="text1"/>
              </w:rPr>
              <w:t xml:space="preserve"> </w:t>
            </w:r>
            <w:r w:rsidRPr="0067478B">
              <w:rPr>
                <w:color w:val="000000" w:themeColor="text1"/>
              </w:rPr>
              <w:t>juridiskās personas maksātnespējas procesa depozīta apmēru, ja ir sastādīts ziņojums par mantas neesamību.</w:t>
            </w:r>
          </w:p>
          <w:p w14:paraId="1104D0BC" w14:textId="294D208E" w:rsidR="003D7215" w:rsidRPr="0067478B" w:rsidRDefault="003D7215" w:rsidP="00AF7B79">
            <w:pPr>
              <w:contextualSpacing/>
              <w:jc w:val="both"/>
            </w:pPr>
          </w:p>
          <w:p w14:paraId="669D8E1C" w14:textId="7DD6481F" w:rsidR="00090BEB" w:rsidRPr="0067478B" w:rsidRDefault="00B942B7" w:rsidP="009028D6">
            <w:pPr>
              <w:shd w:val="clear" w:color="auto" w:fill="FFFFFF" w:themeFill="background1"/>
              <w:contextualSpacing/>
              <w:jc w:val="both"/>
            </w:pPr>
            <w:r w:rsidRPr="0067478B">
              <w:t>Ar likumprojektu tiek piedāvāta "</w:t>
            </w:r>
            <w:proofErr w:type="spellStart"/>
            <w:r w:rsidRPr="0067478B">
              <w:t>bezaktīvu</w:t>
            </w:r>
            <w:proofErr w:type="spellEnd"/>
            <w:r w:rsidRPr="0067478B">
              <w:t xml:space="preserve"> maksātnespējas procesu" pabeigšan</w:t>
            </w:r>
            <w:r w:rsidR="00457DD9" w:rsidRPr="0067478B">
              <w:t xml:space="preserve">a </w:t>
            </w:r>
            <w:r w:rsidR="00457DD9" w:rsidRPr="0067478B">
              <w:rPr>
                <w:color w:val="000000" w:themeColor="text1"/>
              </w:rPr>
              <w:t>saīsinātā procesa kārtībā.</w:t>
            </w:r>
            <w:r w:rsidR="00D246EE" w:rsidRPr="0067478B">
              <w:rPr>
                <w:color w:val="000000" w:themeColor="text1"/>
              </w:rPr>
              <w:t xml:space="preserve"> Iespēja</w:t>
            </w:r>
            <w:r w:rsidR="00EF4D4D" w:rsidRPr="0067478B">
              <w:rPr>
                <w:color w:val="000000" w:themeColor="text1"/>
              </w:rPr>
              <w:t xml:space="preserve"> pabeigt "</w:t>
            </w:r>
            <w:proofErr w:type="spellStart"/>
            <w:r w:rsidR="00EF4D4D" w:rsidRPr="0067478B">
              <w:rPr>
                <w:color w:val="000000" w:themeColor="text1"/>
              </w:rPr>
              <w:t>bezaktīvu</w:t>
            </w:r>
            <w:proofErr w:type="spellEnd"/>
            <w:r w:rsidR="00EF4D4D" w:rsidRPr="0067478B">
              <w:rPr>
                <w:color w:val="000000" w:themeColor="text1"/>
              </w:rPr>
              <w:t xml:space="preserve"> maksātnespējas procesu" </w:t>
            </w:r>
            <w:r w:rsidR="00D246EE" w:rsidRPr="0067478B">
              <w:rPr>
                <w:color w:val="000000" w:themeColor="text1"/>
              </w:rPr>
              <w:t xml:space="preserve">saīsinātā procesa kārtībā </w:t>
            </w:r>
            <w:r w:rsidR="00EF4D4D" w:rsidRPr="0067478B">
              <w:rPr>
                <w:color w:val="000000" w:themeColor="text1"/>
              </w:rPr>
              <w:t>tiktu vērtēta, sastādot ziņojumu par parādnieka mantas neesamību</w:t>
            </w:r>
            <w:r w:rsidR="00D246EE" w:rsidRPr="0067478B">
              <w:rPr>
                <w:color w:val="000000" w:themeColor="text1"/>
              </w:rPr>
              <w:t>, tādējādi nosakot to kā vienu no priekšlikumiem izlemšanai kreditoru sapulcē.</w:t>
            </w:r>
          </w:p>
          <w:p w14:paraId="57105E5E" w14:textId="77777777" w:rsidR="00196103" w:rsidRPr="0067478B" w:rsidRDefault="00196103" w:rsidP="00AF7B79">
            <w:pPr>
              <w:contextualSpacing/>
              <w:jc w:val="both"/>
            </w:pPr>
          </w:p>
          <w:p w14:paraId="5D20F6DD" w14:textId="232ED78F" w:rsidR="00952EA2" w:rsidRPr="0067478B" w:rsidRDefault="00952EA2" w:rsidP="00AF7B79">
            <w:pPr>
              <w:pStyle w:val="tv213"/>
              <w:spacing w:before="0" w:beforeAutospacing="0" w:after="0" w:afterAutospacing="0" w:line="293" w:lineRule="atLeast"/>
              <w:jc w:val="both"/>
              <w:rPr>
                <w:color w:val="000000" w:themeColor="text1"/>
              </w:rPr>
            </w:pPr>
            <w:r w:rsidRPr="0067478B">
              <w:rPr>
                <w:color w:val="000000" w:themeColor="text1"/>
              </w:rPr>
              <w:t>Atbilstoši Maksātnespējas likuma 112. pantam ziņojumā par parādnieka mantas neesamību administrators norāda: 1) parādnieka finansiālo stāvokli; 2) izvērtējumu par iespējām atgūt šā likuma</w:t>
            </w:r>
            <w:r w:rsidRPr="0067478B">
              <w:rPr>
                <w:rStyle w:val="apple-converted-space"/>
                <w:color w:val="000000" w:themeColor="text1"/>
              </w:rPr>
              <w:t> </w:t>
            </w:r>
            <w:r w:rsidRPr="0067478B">
              <w:t xml:space="preserve">93. pantā </w:t>
            </w:r>
            <w:r w:rsidRPr="0067478B">
              <w:rPr>
                <w:color w:val="000000" w:themeColor="text1"/>
              </w:rPr>
              <w:t>norādīto parādnieka mantu; 3) plānotās juridiskās personas maksātnespējas procesa izmaksas, ja tas tiks turpināts; 4) priekšlikumu nodrošināt juridiskās personas maksātnespējas procesa finansējumu; 5) priekšlikumu par juridiskās personas maksātnespējas procesa turpmāku risinājumu – izbeigt juridiskās personas maksātnespējas procesu vai to turpināt; 6) informāciju par nodomu vērsties pret parādnieka valdi saskaņā ar šā likuma</w:t>
            </w:r>
            <w:r w:rsidRPr="0067478B">
              <w:rPr>
                <w:rStyle w:val="apple-converted-space"/>
                <w:color w:val="000000" w:themeColor="text1"/>
              </w:rPr>
              <w:t> </w:t>
            </w:r>
            <w:r w:rsidRPr="0067478B">
              <w:t>72.</w:t>
            </w:r>
            <w:r w:rsidRPr="0067478B">
              <w:rPr>
                <w:vertAlign w:val="superscript"/>
              </w:rPr>
              <w:t>1</w:t>
            </w:r>
            <w:r w:rsidRPr="0067478B">
              <w:t xml:space="preserve"> pantu.</w:t>
            </w:r>
            <w:r w:rsidRPr="0067478B">
              <w:rPr>
                <w:color w:val="000000" w:themeColor="text1"/>
              </w:rPr>
              <w:t xml:space="preserve"> </w:t>
            </w:r>
          </w:p>
          <w:p w14:paraId="3F28E6FB" w14:textId="7D2F38F6" w:rsidR="00EF4D4D" w:rsidRPr="0067478B" w:rsidRDefault="00EF4D4D" w:rsidP="00AF7B79">
            <w:pPr>
              <w:contextualSpacing/>
              <w:jc w:val="both"/>
            </w:pPr>
          </w:p>
          <w:p w14:paraId="05C79DBC" w14:textId="51EBB699" w:rsidR="00196103" w:rsidRPr="0067478B" w:rsidRDefault="006B7316" w:rsidP="0067478B">
            <w:pPr>
              <w:contextualSpacing/>
              <w:jc w:val="both"/>
            </w:pPr>
            <w:r w:rsidRPr="009028D6">
              <w:rPr>
                <w:shd w:val="clear" w:color="auto" w:fill="FFFFFF" w:themeFill="background1"/>
              </w:rPr>
              <w:t xml:space="preserve">Likumprojekts paredz </w:t>
            </w:r>
            <w:r w:rsidR="00953F74" w:rsidRPr="009028D6">
              <w:rPr>
                <w:shd w:val="clear" w:color="auto" w:fill="FFFFFF" w:themeFill="background1"/>
              </w:rPr>
              <w:t>papildināt Maksātnespējas likuma 112. pantu,</w:t>
            </w:r>
            <w:r w:rsidR="00953F74" w:rsidRPr="0067478B">
              <w:t xml:space="preserve"> paredzot </w:t>
            </w:r>
            <w:r w:rsidRPr="0067478B">
              <w:t xml:space="preserve">administratoram tiesības ziņojumā par parādnieka mantas neesamību </w:t>
            </w:r>
            <w:r w:rsidR="00953F74" w:rsidRPr="0067478B">
              <w:t xml:space="preserve">izteikt priekšlikumu pabeigt maksātnespējas procesu </w:t>
            </w:r>
            <w:r w:rsidR="00CC03FF" w:rsidRPr="0067478B">
              <w:rPr>
                <w:color w:val="000000" w:themeColor="text1"/>
              </w:rPr>
              <w:t>saīsinātā procesa kārtībā.</w:t>
            </w:r>
            <w:r w:rsidR="00CC03FF" w:rsidRPr="0067478B">
              <w:t xml:space="preserve"> </w:t>
            </w:r>
            <w:r w:rsidR="00953F74" w:rsidRPr="0067478B">
              <w:t xml:space="preserve">Vienlaikus, lai administrators varētu izteikt šādu priekšlikumu, </w:t>
            </w:r>
            <w:r w:rsidR="00090BEB" w:rsidRPr="0067478B">
              <w:t>iecerēts pārliecināties par šādu priekšnosacījumu izpildi: </w:t>
            </w:r>
            <w:r w:rsidR="00410F85" w:rsidRPr="0067478B">
              <w:t>1) administratoram nav nodoma vērsties pret parādnieka valdi saskaņā ar Maksātnespējas likuma 72.</w:t>
            </w:r>
            <w:r w:rsidR="00410F85" w:rsidRPr="0067478B">
              <w:rPr>
                <w:vertAlign w:val="superscript"/>
              </w:rPr>
              <w:t>1</w:t>
            </w:r>
            <w:r w:rsidR="00410F85" w:rsidRPr="0067478B">
              <w:t> pantu</w:t>
            </w:r>
            <w:r w:rsidR="00196103" w:rsidRPr="0067478B">
              <w:t xml:space="preserve"> </w:t>
            </w:r>
            <w:r w:rsidR="00661C59">
              <w:t>(</w:t>
            </w:r>
            <w:r w:rsidR="00196103" w:rsidRPr="0067478B">
              <w:t>pēc būtības netiek saskatīta parādnieka pārvaldes institūcijas iespējamā ļaunprātība)</w:t>
            </w:r>
            <w:r w:rsidR="00410F85" w:rsidRPr="0067478B">
              <w:t xml:space="preserve">; </w:t>
            </w:r>
            <w:r w:rsidR="009618BA" w:rsidRPr="0067478B">
              <w:t>2</w:t>
            </w:r>
            <w:r w:rsidR="00953F74" w:rsidRPr="0067478B">
              <w:t>)</w:t>
            </w:r>
            <w:r w:rsidR="00196103" w:rsidRPr="0067478B">
              <w:t xml:space="preserve"> administrators ir </w:t>
            </w:r>
            <w:r w:rsidR="00953F74" w:rsidRPr="0067478B">
              <w:t xml:space="preserve">iesniedzis Maksātnespējas kontroles dienestā iesniegumus par parādnieka darbinieku prasījumu apmierināšanu no </w:t>
            </w:r>
            <w:r w:rsidR="00196103" w:rsidRPr="0067478B">
              <w:t>d</w:t>
            </w:r>
            <w:r w:rsidR="00953F74" w:rsidRPr="0067478B">
              <w:t>arbinieku prasījumu garantiju fonda līdzekļiem, ja parādniekam bijuši darbinieki</w:t>
            </w:r>
            <w:r w:rsidR="00CC03FF" w:rsidRPr="0067478B">
              <w:t>.</w:t>
            </w:r>
          </w:p>
          <w:p w14:paraId="29EE40A5" w14:textId="77777777" w:rsidR="00196103" w:rsidRPr="0067478B" w:rsidRDefault="00196103" w:rsidP="0067478B">
            <w:pPr>
              <w:contextualSpacing/>
              <w:jc w:val="both"/>
            </w:pPr>
          </w:p>
          <w:p w14:paraId="344CA903" w14:textId="7E8179D2" w:rsidR="00C52BE9" w:rsidRPr="00661C59" w:rsidRDefault="00FD61C8" w:rsidP="0067478B">
            <w:pPr>
              <w:jc w:val="both"/>
              <w:rPr>
                <w:color w:val="000000" w:themeColor="text1"/>
              </w:rPr>
            </w:pPr>
            <w:r w:rsidRPr="0067478B">
              <w:t xml:space="preserve">Vienlaikus likumprojekts paredz, ja </w:t>
            </w:r>
            <w:r w:rsidRPr="0067478B">
              <w:rPr>
                <w:color w:val="000000" w:themeColor="text1"/>
              </w:rPr>
              <w:t xml:space="preserve">15 dienu laikā no dienas, kad nosūtīts ziņojums par parādnieka mantas neesamību, kreditori ir piekrituši maksātnespējas procesa </w:t>
            </w:r>
            <w:r w:rsidRPr="0067478B">
              <w:rPr>
                <w:color w:val="000000" w:themeColor="text1"/>
              </w:rPr>
              <w:lastRenderedPageBreak/>
              <w:t xml:space="preserve">pabeigšanai </w:t>
            </w:r>
            <w:r w:rsidR="00CC03FF" w:rsidRPr="0067478B">
              <w:rPr>
                <w:color w:val="000000" w:themeColor="text1"/>
              </w:rPr>
              <w:t>saīsinātā procesa kārtībā</w:t>
            </w:r>
            <w:r w:rsidRPr="0067478B">
              <w:rPr>
                <w:color w:val="000000" w:themeColor="text1"/>
              </w:rPr>
              <w:t>, administrators nekavējoties par to iesniedz paziņojumu Maksātnespējas kontroles dienestā</w:t>
            </w:r>
            <w:r w:rsidR="00CC03FF" w:rsidRPr="0067478B">
              <w:rPr>
                <w:color w:val="000000" w:themeColor="text1"/>
              </w:rPr>
              <w:t xml:space="preserve">, izmantojot Sistēmu, vienlaikus ziņas no Sistēmas nekavējoties tiek nodotas atbildīgajai iestādei ieraksta veikšanai maksātnespējas reģistrā. Ieraksts maksātnespējas reģistrā nodrošina publisko ticamību, ievērojot Maksātnespējas likuma 12. pantu, par to, ka konkrētais juridiskās personas maksātnespējas process tiks virzīts pabeigšanai saīsinātā procesa kārtībā. Līdz ar to, lai  </w:t>
            </w:r>
            <w:r w:rsidR="00626D13" w:rsidRPr="0067478B">
              <w:rPr>
                <w:color w:val="000000" w:themeColor="text1"/>
              </w:rPr>
              <w:t xml:space="preserve">nodrošinātu ziņu par </w:t>
            </w:r>
            <w:r w:rsidR="00CC03FF" w:rsidRPr="0067478B">
              <w:rPr>
                <w:color w:val="000000" w:themeColor="text1"/>
              </w:rPr>
              <w:t>maksātnespējas procesa pabeigšanu saīsinātā procesa kārtībā</w:t>
            </w:r>
            <w:r w:rsidR="00626D13" w:rsidRPr="0067478B">
              <w:rPr>
                <w:color w:val="000000" w:themeColor="text1"/>
              </w:rPr>
              <w:t xml:space="preserve"> ierakstīšanu maksātnespējas reģistrā, nepieciešams papildināt </w:t>
            </w:r>
            <w:r w:rsidR="00661C59">
              <w:rPr>
                <w:color w:val="000000" w:themeColor="text1"/>
              </w:rPr>
              <w:t xml:space="preserve">arī </w:t>
            </w:r>
            <w:r w:rsidR="00626D13" w:rsidRPr="0067478B">
              <w:rPr>
                <w:color w:val="000000" w:themeColor="text1"/>
              </w:rPr>
              <w:t xml:space="preserve">Maksātnespējas likuma 58. pantu, paplašinot juridiskās personas maksātnespējas procesa publicitāti iekļaujot arī ziņas par konkrētā maksātnespējas procesa </w:t>
            </w:r>
            <w:r w:rsidR="00CC03FF" w:rsidRPr="0067478B">
              <w:rPr>
                <w:color w:val="000000" w:themeColor="text1"/>
              </w:rPr>
              <w:t>pabeigšanu saīsinātā procesa kārtībā</w:t>
            </w:r>
            <w:r w:rsidR="00626D13" w:rsidRPr="0067478B">
              <w:rPr>
                <w:color w:val="000000" w:themeColor="text1"/>
              </w:rPr>
              <w:t>.</w:t>
            </w:r>
            <w:r w:rsidR="00661C59">
              <w:rPr>
                <w:color w:val="000000" w:themeColor="text1"/>
              </w:rPr>
              <w:t xml:space="preserve"> </w:t>
            </w:r>
            <w:r w:rsidR="00D60F5E" w:rsidRPr="0067478B">
              <w:rPr>
                <w:color w:val="000000" w:themeColor="text1"/>
              </w:rPr>
              <w:t>Papildu maksātnespējas reģistram, informācijas</w:t>
            </w:r>
            <w:r w:rsidR="00D60F5E" w:rsidRPr="0067478B">
              <w:rPr>
                <w:color w:val="201F1E"/>
              </w:rPr>
              <w:t xml:space="preserve"> par maksātnespējas procesa īstenošanu saīsinātā procesa kārtībā  pieejamība jānodrošina arī portālā e-</w:t>
            </w:r>
            <w:proofErr w:type="spellStart"/>
            <w:r w:rsidR="00D60F5E" w:rsidRPr="0067478B">
              <w:rPr>
                <w:color w:val="201F1E"/>
              </w:rPr>
              <w:t>Justice</w:t>
            </w:r>
            <w:proofErr w:type="spellEnd"/>
            <w:r w:rsidR="00D60F5E" w:rsidRPr="0067478B">
              <w:rPr>
                <w:rStyle w:val="apple-converted-space"/>
                <w:color w:val="201F1E"/>
              </w:rPr>
              <w:t>.</w:t>
            </w:r>
            <w:r w:rsidR="00D60F5E" w:rsidRPr="0067478B">
              <w:rPr>
                <w:rStyle w:val="Vresatsauce"/>
                <w:color w:val="201F1E"/>
              </w:rPr>
              <w:footnoteReference w:id="13"/>
            </w:r>
          </w:p>
          <w:p w14:paraId="230252CD" w14:textId="77777777" w:rsidR="00D60F5E" w:rsidRPr="0067478B" w:rsidRDefault="00D60F5E" w:rsidP="0067478B">
            <w:pPr>
              <w:jc w:val="both"/>
            </w:pPr>
          </w:p>
          <w:p w14:paraId="7DEC50E4" w14:textId="50086862" w:rsidR="00C52BE9" w:rsidRPr="00661C59" w:rsidRDefault="00D60F5E" w:rsidP="0067478B">
            <w:pPr>
              <w:jc w:val="both"/>
              <w:rPr>
                <w:color w:val="201F1E"/>
              </w:rPr>
            </w:pPr>
            <w:r w:rsidRPr="0067478B">
              <w:rPr>
                <w:color w:val="201F1E"/>
              </w:rPr>
              <w:t>P</w:t>
            </w:r>
            <w:r w:rsidR="00C52BE9" w:rsidRPr="0067478B">
              <w:rPr>
                <w:color w:val="201F1E"/>
              </w:rPr>
              <w:t xml:space="preserve">ielāgošanu iepriekšminētās atzīmes ierakstīšanai maksātnespējas reģistrā un datu publiskās pieejamības nodrošināšanai iespējams veikt ne agrāk kā </w:t>
            </w:r>
            <w:r w:rsidR="00661C59">
              <w:rPr>
                <w:color w:val="201F1E"/>
              </w:rPr>
              <w:t xml:space="preserve">trīs mēnešu laikā no regulējuma pieņemšanas, </w:t>
            </w:r>
            <w:r w:rsidR="00C52BE9" w:rsidRPr="0067478B">
              <w:rPr>
                <w:color w:val="201F1E"/>
              </w:rPr>
              <w:t>savukārt datu apmaiņas izveidošanai nepieciešams paredzēt</w:t>
            </w:r>
            <w:r w:rsidR="00661C59">
              <w:rPr>
                <w:color w:val="201F1E"/>
              </w:rPr>
              <w:t xml:space="preserve"> vismaz sešu mēnešu ilgu periodu</w:t>
            </w:r>
            <w:r w:rsidR="00C52BE9" w:rsidRPr="0067478B">
              <w:rPr>
                <w:color w:val="201F1E"/>
              </w:rPr>
              <w:t>.</w:t>
            </w:r>
            <w:r w:rsidRPr="0067478B">
              <w:rPr>
                <w:color w:val="201F1E"/>
              </w:rPr>
              <w:t xml:space="preserve"> Attiecīgi, ievērojot iepriekš minēto, likumprojekts paredz arī pārejas noteikumus attiecībā uz šā regulējuma spēkā stāšanos.</w:t>
            </w:r>
            <w:r w:rsidRPr="0067478B">
              <w:rPr>
                <w:color w:val="201F1E"/>
                <w:shd w:val="clear" w:color="auto" w:fill="FFFFFF"/>
              </w:rPr>
              <w:t xml:space="preserve"> </w:t>
            </w:r>
          </w:p>
          <w:p w14:paraId="23647312" w14:textId="77777777" w:rsidR="00626D13" w:rsidRPr="0067478B" w:rsidRDefault="00626D13" w:rsidP="00AF7B79">
            <w:pPr>
              <w:contextualSpacing/>
              <w:jc w:val="both"/>
            </w:pPr>
          </w:p>
          <w:p w14:paraId="507C74F1" w14:textId="1B3344E6" w:rsidR="00E866D7" w:rsidRPr="0067478B" w:rsidRDefault="00CC03FF" w:rsidP="009028D6">
            <w:pPr>
              <w:shd w:val="clear" w:color="auto" w:fill="FFFFFF" w:themeFill="background1"/>
              <w:contextualSpacing/>
              <w:jc w:val="both"/>
              <w:rPr>
                <w:color w:val="000000" w:themeColor="text1"/>
              </w:rPr>
            </w:pPr>
            <w:r w:rsidRPr="0067478B">
              <w:rPr>
                <w:color w:val="000000" w:themeColor="text1"/>
              </w:rPr>
              <w:t>Vēršana uzmanība, ka maksātnespējas procesa pabeigšana saīsinātā procesa kārtībā ietekmēs kreditoru prasījuma iesniegšanas maksimālo termiņu</w:t>
            </w:r>
            <w:r w:rsidR="00090BEB" w:rsidRPr="0067478B">
              <w:rPr>
                <w:color w:val="000000" w:themeColor="text1"/>
              </w:rPr>
              <w:t xml:space="preserve"> (seši mēneši). </w:t>
            </w:r>
            <w:r w:rsidR="00872B40" w:rsidRPr="0067478B">
              <w:rPr>
                <w:color w:val="000000" w:themeColor="text1"/>
              </w:rPr>
              <w:t xml:space="preserve">Līdz ar to papildināms Maksātnespējas likuma 73. pants, paredzot, ja maksātnespējas reģistrā ierakstītas ziņas par juridiskās personas maksātnespējas procesa </w:t>
            </w:r>
            <w:r w:rsidRPr="0067478B">
              <w:rPr>
                <w:color w:val="000000" w:themeColor="text1"/>
              </w:rPr>
              <w:t>pabeigšanu saīsinātā procesa kārtībā</w:t>
            </w:r>
            <w:r w:rsidR="00872B40" w:rsidRPr="0067478B">
              <w:rPr>
                <w:color w:val="000000" w:themeColor="text1"/>
              </w:rPr>
              <w:t xml:space="preserve"> un kreditors savu prasījumu nav iesniedzis šā panta pirmajā daļā noteiktajā termiņā, viņš savu prasījumu pret parādnieku var iesniegt </w:t>
            </w:r>
            <w:r w:rsidRPr="0067478B">
              <w:rPr>
                <w:color w:val="000000" w:themeColor="text1"/>
              </w:rPr>
              <w:t xml:space="preserve">ne vēlāk kā līdz brīdim, kad tiesā iesniegts pieteikums par maksātnespējas procesa izbeigšanu. </w:t>
            </w:r>
          </w:p>
          <w:p w14:paraId="0C743BCB" w14:textId="68D0FB4B" w:rsidR="00134803" w:rsidRPr="0067478B" w:rsidRDefault="00134803" w:rsidP="00AF7B79">
            <w:pPr>
              <w:pStyle w:val="tv213"/>
              <w:spacing w:before="0" w:beforeAutospacing="0" w:after="0" w:afterAutospacing="0"/>
              <w:jc w:val="both"/>
              <w:rPr>
                <w:color w:val="000000"/>
              </w:rPr>
            </w:pPr>
          </w:p>
          <w:p w14:paraId="5DBC2197" w14:textId="6D996A2A" w:rsidR="00B258BD" w:rsidRPr="0067478B" w:rsidRDefault="006D29FB" w:rsidP="00AF7B79">
            <w:pPr>
              <w:jc w:val="both"/>
            </w:pPr>
            <w:r w:rsidRPr="0067478B">
              <w:t>Noslēgumā vēršama uzmanība, ka p</w:t>
            </w:r>
            <w:r w:rsidR="00B258BD" w:rsidRPr="0067478B">
              <w:t xml:space="preserve">amatnostādnes </w:t>
            </w:r>
            <w:r w:rsidR="00134803" w:rsidRPr="0067478B">
              <w:t>un plāns tika izstrādāts atbilstoši tā izstrādes laikā aktuāliem jautājumiem maksātnespējas jomā. Pamatnostādnes kā vidēja termiņa attīstības plānošanas dokuments, īpaši vērtējot to ieviešanu un izpildi, ir skatāms kopsakarā ar izmaiņām gan maksātnespējas jomu regulējošajos normatīvajos aktos, gan maksātnespējas nozarē kopumā.</w:t>
            </w:r>
          </w:p>
          <w:p w14:paraId="39F55BBD" w14:textId="6E145609" w:rsidR="00134803" w:rsidRPr="0067478B" w:rsidRDefault="00134803" w:rsidP="00AF7B79">
            <w:pPr>
              <w:jc w:val="both"/>
            </w:pPr>
            <w:r w:rsidRPr="009028D6">
              <w:rPr>
                <w:shd w:val="clear" w:color="auto" w:fill="FFFFFF" w:themeFill="background1"/>
              </w:rPr>
              <w:lastRenderedPageBreak/>
              <w:t>Padomes sēdē tika skatīti ar administratora profesiju saistītie plāna uzdevumi</w:t>
            </w:r>
            <w:r w:rsidRPr="0067478B">
              <w:t xml:space="preserve"> – personu loka, kuras tiesīgas pildīt administratora pienākumus, paplašināšanu, administratora palīga institūta izveidošana, vienlaikus paredzot, ka pirms ienākšanas administratora profesijā personai noteiktu laiku jāpraktizē kā administratora palīgam, pakāpeniski pārtraukt papildu administratoru iesaistīšanu profesijā, novērtēt optimālo administratoru skaitu, savukārt, kad optimālais administratoru skaits ir sasniegts, iesaistīšanu administratora profesijā atjaunot, kā arī pārskatīt gadījumus administratora izslēgšanai no profesijas. Vienlaikus tika skatīti novērtējumā ietvertais  ieteikumus par iespēju </w:t>
            </w:r>
            <w:r w:rsidR="00AF4FF8" w:rsidRPr="0067478B">
              <w:t>tiesību</w:t>
            </w:r>
            <w:r w:rsidRPr="0067478B">
              <w:t xml:space="preserve"> aktos noteikt </w:t>
            </w:r>
            <w:r w:rsidR="00AF4FF8" w:rsidRPr="0067478B">
              <w:t>objektīvus</w:t>
            </w:r>
            <w:r w:rsidRPr="0067478B">
              <w:t xml:space="preserve"> kritērijus administratora amata pretendentu </w:t>
            </w:r>
            <w:r w:rsidR="00AF4FF8" w:rsidRPr="0067478B">
              <w:t>reputācijas</w:t>
            </w:r>
            <w:r w:rsidRPr="0067478B">
              <w:t xml:space="preserve"> </w:t>
            </w:r>
            <w:proofErr w:type="spellStart"/>
            <w:r w:rsidRPr="0067478B">
              <w:t>novērtēšanai</w:t>
            </w:r>
            <w:proofErr w:type="spellEnd"/>
            <w:r w:rsidRPr="0067478B">
              <w:t xml:space="preserve"> un izvērtēt iespēju iecelšanas nejaušajā sistēmā ieviest administratoru kategorijas.</w:t>
            </w:r>
          </w:p>
          <w:p w14:paraId="14CD477E" w14:textId="77777777" w:rsidR="00134803" w:rsidRPr="0067478B" w:rsidRDefault="00134803" w:rsidP="00AF7B79">
            <w:pPr>
              <w:jc w:val="both"/>
            </w:pPr>
          </w:p>
          <w:p w14:paraId="0067F2E2" w14:textId="7131E1C6" w:rsidR="00134803" w:rsidRPr="0067478B" w:rsidRDefault="00134803" w:rsidP="009028D6">
            <w:pPr>
              <w:shd w:val="clear" w:color="auto" w:fill="FFFFFF" w:themeFill="background1"/>
              <w:jc w:val="both"/>
            </w:pPr>
            <w:r w:rsidRPr="0067478B">
              <w:t xml:space="preserve">Vērtējot plāna uzdevumu par personu loka, kuras tiesīgas pildīt administratora pienākumus paplašināšanu, secināts, ka automātiska (bez eksaminācijas procesa) personu loku, kuras tiesīgas pildīt administratora pienākumus, paplašināšana ilgtermiņā var atstāt negatīvu ietekmi uz administratora profesiju. Tiesiskais regulējums </w:t>
            </w:r>
            <w:r w:rsidR="00140CB8" w:rsidRPr="0067478B">
              <w:t xml:space="preserve">skaidri </w:t>
            </w:r>
            <w:r w:rsidRPr="0067478B">
              <w:t>noteic, kritērijus, kādiem personai ir jāatbilst, lai ieņemtu administratora amatu, kā arī paredz kārtību, kādā tiek nodrošināta administratora iecelšana amatā. Līdz ar to ikviena persona, kas vēlas ieņemt administratora amatu, atbilstot kritērijiem un izpildot noteiktos priekšnosacījumus, var kļūt par administratoru.</w:t>
            </w:r>
          </w:p>
          <w:p w14:paraId="75487F6F" w14:textId="77777777" w:rsidR="006D29FB" w:rsidRPr="0067478B" w:rsidRDefault="006D29FB" w:rsidP="009028D6">
            <w:pPr>
              <w:shd w:val="clear" w:color="auto" w:fill="FFFFFF" w:themeFill="background1"/>
              <w:jc w:val="both"/>
            </w:pPr>
          </w:p>
          <w:p w14:paraId="05A88A93" w14:textId="11B4D8EB" w:rsidR="00000176" w:rsidRPr="0067478B" w:rsidRDefault="006D29FB" w:rsidP="009028D6">
            <w:pPr>
              <w:shd w:val="clear" w:color="auto" w:fill="FFFFFF" w:themeFill="background1"/>
              <w:jc w:val="both"/>
            </w:pPr>
            <w:r w:rsidRPr="0067478B">
              <w:t>Savukārt a</w:t>
            </w:r>
            <w:r w:rsidR="00134803" w:rsidRPr="0067478B">
              <w:t xml:space="preserve">ttiecībā uz pārējiem plānā ietvertajiem uzdevumiem un novērtējumā ietvertajiem ieteikumiem no </w:t>
            </w:r>
            <w:r w:rsidR="00140CB8" w:rsidRPr="0067478B">
              <w:t>nav</w:t>
            </w:r>
            <w:r w:rsidR="00134803" w:rsidRPr="0067478B">
              <w:t xml:space="preserve"> saņemts pārliecinošs atbalsts, līdz ar to šobrīd to virzība </w:t>
            </w:r>
            <w:r w:rsidR="00140CB8" w:rsidRPr="0067478B">
              <w:t>netiek nodrošināta.</w:t>
            </w:r>
          </w:p>
          <w:p w14:paraId="61F276ED" w14:textId="2DC94DD9" w:rsidR="009A639C" w:rsidRPr="0067478B" w:rsidRDefault="009A639C" w:rsidP="00AF7B79">
            <w:pPr>
              <w:jc w:val="both"/>
            </w:pPr>
          </w:p>
          <w:p w14:paraId="2119C45F" w14:textId="1FBB9150" w:rsidR="009A639C" w:rsidRPr="0067478B" w:rsidRDefault="009A639C" w:rsidP="00AF7B79">
            <w:pPr>
              <w:jc w:val="both"/>
              <w:rPr>
                <w:b/>
                <w:bCs/>
                <w:iCs/>
                <w:lang w:eastAsia="lv-LV"/>
              </w:rPr>
            </w:pPr>
            <w:r w:rsidRPr="0067478B">
              <w:rPr>
                <w:b/>
                <w:bCs/>
              </w:rPr>
              <w:t xml:space="preserve">5. Grozījumi saistībā ar </w:t>
            </w:r>
            <w:r w:rsidR="007D4825" w:rsidRPr="0067478B">
              <w:rPr>
                <w:b/>
                <w:bCs/>
                <w:color w:val="000000" w:themeColor="text1"/>
              </w:rPr>
              <w:t>Li</w:t>
            </w:r>
            <w:r w:rsidRPr="0067478B">
              <w:rPr>
                <w:b/>
                <w:bCs/>
                <w:color w:val="000000" w:themeColor="text1"/>
              </w:rPr>
              <w:t xml:space="preserve">kumā noteikto Maksātnespējas </w:t>
            </w:r>
            <w:r w:rsidR="007D4825" w:rsidRPr="0067478B">
              <w:rPr>
                <w:b/>
                <w:bCs/>
                <w:color w:val="000000" w:themeColor="text1"/>
              </w:rPr>
              <w:t>kontroles</w:t>
            </w:r>
            <w:r w:rsidRPr="0067478B">
              <w:rPr>
                <w:b/>
                <w:bCs/>
                <w:color w:val="000000" w:themeColor="text1"/>
              </w:rPr>
              <w:t xml:space="preserve"> dienesta kompetenci. </w:t>
            </w:r>
          </w:p>
          <w:p w14:paraId="32E8ACA2" w14:textId="77777777" w:rsidR="009A639C" w:rsidRPr="0067478B" w:rsidRDefault="009A639C" w:rsidP="00AF7B79">
            <w:pPr>
              <w:jc w:val="both"/>
              <w:rPr>
                <w:iCs/>
                <w:lang w:eastAsia="lv-LV"/>
              </w:rPr>
            </w:pPr>
          </w:p>
          <w:p w14:paraId="04E9BFC1" w14:textId="1B5D4727" w:rsidR="009A639C" w:rsidRPr="0067478B" w:rsidRDefault="009A639C" w:rsidP="00AF7B79">
            <w:pPr>
              <w:pStyle w:val="xmsonormal"/>
              <w:spacing w:before="0" w:beforeAutospacing="0" w:after="0" w:afterAutospacing="0" w:line="276" w:lineRule="atLeast"/>
              <w:jc w:val="both"/>
              <w:rPr>
                <w:color w:val="000000" w:themeColor="text1"/>
              </w:rPr>
            </w:pPr>
            <w:r w:rsidRPr="0067478B">
              <w:rPr>
                <w:color w:val="000000" w:themeColor="text1"/>
                <w:bdr w:val="none" w:sz="0" w:space="0" w:color="auto" w:frame="1"/>
              </w:rPr>
              <w:t xml:space="preserve">Atbilstoši </w:t>
            </w:r>
            <w:r w:rsidR="007D4825" w:rsidRPr="0067478B">
              <w:rPr>
                <w:color w:val="000000" w:themeColor="text1"/>
              </w:rPr>
              <w:t>L</w:t>
            </w:r>
            <w:r w:rsidRPr="0067478B">
              <w:rPr>
                <w:color w:val="000000" w:themeColor="text1"/>
              </w:rPr>
              <w:t xml:space="preserve">ikuma </w:t>
            </w:r>
            <w:r w:rsidRPr="0067478B">
              <w:rPr>
                <w:color w:val="000000" w:themeColor="text1"/>
                <w:bdr w:val="none" w:sz="0" w:space="0" w:color="auto" w:frame="1"/>
              </w:rPr>
              <w:t xml:space="preserve">78. panta pirmās daļas 1., 2., 3., 4., 5. un 6. punktā noteiktās sankcijas attiecībā uz maksātnespējas procesa administratoriem piemēro Maksātnespējas kontroles dienests pēc uzraudzības un kontroles institūcijas – Administratoru asociācijas – ierosinājuma. Savukārt </w:t>
            </w:r>
            <w:r w:rsidR="007D4825" w:rsidRPr="0067478B">
              <w:rPr>
                <w:color w:val="000000" w:themeColor="text1"/>
                <w:bdr w:val="none" w:sz="0" w:space="0" w:color="auto" w:frame="1"/>
              </w:rPr>
              <w:t>L</w:t>
            </w:r>
            <w:r w:rsidRPr="0067478B">
              <w:rPr>
                <w:color w:val="000000" w:themeColor="text1"/>
                <w:bdr w:val="none" w:sz="0" w:space="0" w:color="auto" w:frame="1"/>
              </w:rPr>
              <w:t xml:space="preserve">ikuma 78. panta pirmās daļas 1.-6. punkts noteic, ka par normatīvo aktu pārkāpumu noziedzīgi iegūtu līdzekļu legalizācijas un terorisma un proliferācijas finansēšanas novēršanas jomā, tai skaitā attiecībā uz klienta izpēti, darījuma attiecību un darījumu uzraudzību, ziņošanu par aizdomīgiem darījumiem, informācijas sniegšanu uzraudzības un kontroles institūcijai vai Finanšu </w:t>
            </w:r>
            <w:r w:rsidRPr="0067478B">
              <w:rPr>
                <w:color w:val="000000" w:themeColor="text1"/>
                <w:bdr w:val="none" w:sz="0" w:space="0" w:color="auto" w:frame="1"/>
              </w:rPr>
              <w:lastRenderedPageBreak/>
              <w:t>izlūkošanas dienestam, atturēšanos no darījuma veikšanas, līdzekļu iesaldēšanu, iekšējās kontroles sistēmu, informācijas glabāšanu un iznīcināšanu, kā arī par Regulas Nr. 2015/847 pārkāpumu likuma subjektam var piemērot šādas sankcijas:</w:t>
            </w:r>
            <w:r w:rsidRPr="0067478B">
              <w:rPr>
                <w:rStyle w:val="xapple-converted-space"/>
                <w:color w:val="000000" w:themeColor="text1"/>
                <w:bdr w:val="none" w:sz="0" w:space="0" w:color="auto" w:frame="1"/>
              </w:rPr>
              <w:t> </w:t>
            </w:r>
            <w:r w:rsidRPr="0067478B">
              <w:rPr>
                <w:color w:val="000000" w:themeColor="text1"/>
                <w:bdr w:val="none" w:sz="0" w:space="0" w:color="auto" w:frame="1"/>
              </w:rPr>
              <w:t>1) izteikt publisku paziņojumu, norādot par pārkāpumu atbildīgo personu un pārkāpuma būtību;</w:t>
            </w:r>
            <w:r w:rsidRPr="0067478B">
              <w:rPr>
                <w:rStyle w:val="xapple-converted-space"/>
                <w:color w:val="000000" w:themeColor="text1"/>
                <w:bdr w:val="none" w:sz="0" w:space="0" w:color="auto" w:frame="1"/>
              </w:rPr>
              <w:t> </w:t>
            </w:r>
            <w:r w:rsidRPr="0067478B">
              <w:rPr>
                <w:color w:val="000000" w:themeColor="text1"/>
                <w:bdr w:val="none" w:sz="0" w:space="0" w:color="auto" w:frame="1"/>
              </w:rPr>
              <w:t> </w:t>
            </w:r>
            <w:r w:rsidRPr="0067478B">
              <w:rPr>
                <w:color w:val="000000" w:themeColor="text1"/>
              </w:rPr>
              <w:t> </w:t>
            </w:r>
            <w:r w:rsidRPr="0067478B">
              <w:rPr>
                <w:color w:val="000000" w:themeColor="text1"/>
                <w:bdr w:val="none" w:sz="0" w:space="0" w:color="auto" w:frame="1"/>
              </w:rPr>
              <w:t>2) izteikt brīdinājumu;</w:t>
            </w:r>
            <w:r w:rsidRPr="0067478B">
              <w:rPr>
                <w:rStyle w:val="xapple-converted-space"/>
                <w:color w:val="000000" w:themeColor="text1"/>
                <w:bdr w:val="none" w:sz="0" w:space="0" w:color="auto" w:frame="1"/>
              </w:rPr>
              <w:t> </w:t>
            </w:r>
            <w:r w:rsidRPr="0067478B">
              <w:rPr>
                <w:color w:val="000000" w:themeColor="text1"/>
                <w:bdr w:val="none" w:sz="0" w:space="0" w:color="auto" w:frame="1"/>
              </w:rPr>
              <w:t> </w:t>
            </w:r>
            <w:r w:rsidRPr="0067478B">
              <w:rPr>
                <w:color w:val="000000" w:themeColor="text1"/>
              </w:rPr>
              <w:t> </w:t>
            </w:r>
            <w:r w:rsidRPr="0067478B">
              <w:rPr>
                <w:color w:val="000000" w:themeColor="text1"/>
                <w:bdr w:val="none" w:sz="0" w:space="0" w:color="auto" w:frame="1"/>
              </w:rPr>
              <w:t xml:space="preserve">3) uzlikt par pārkāpumu atbildīgajai personai (fiziskajai vai juridiskajai) soda naudu līdz 1 000 000 </w:t>
            </w:r>
            <w:r w:rsidRPr="0067478B">
              <w:rPr>
                <w:i/>
                <w:iCs/>
                <w:color w:val="000000" w:themeColor="text1"/>
                <w:bdr w:val="none" w:sz="0" w:space="0" w:color="auto" w:frame="1"/>
              </w:rPr>
              <w:t>euro</w:t>
            </w:r>
            <w:r w:rsidRPr="0067478B">
              <w:rPr>
                <w:color w:val="000000" w:themeColor="text1"/>
                <w:bdr w:val="none" w:sz="0" w:space="0" w:color="auto" w:frame="1"/>
              </w:rPr>
              <w:t>;</w:t>
            </w:r>
            <w:r w:rsidRPr="0067478B">
              <w:rPr>
                <w:color w:val="000000" w:themeColor="text1"/>
              </w:rPr>
              <w:t> </w:t>
            </w:r>
            <w:r w:rsidRPr="0067478B">
              <w:rPr>
                <w:color w:val="000000" w:themeColor="text1"/>
                <w:bdr w:val="none" w:sz="0" w:space="0" w:color="auto" w:frame="1"/>
              </w:rPr>
              <w:t>4) apturēt vai pārtraukt darbību (tai skaitā apturēt vai anulēt licenci (sertifikātu) vai anulēt ierakstu attiecīgajā reģistrā, apturēt saimniecisko darbību, piemērot liegumu izmaiņu reģistrācijai komercreģistrā komercsabiedrības reorganizācijai un dalībnieku maiņai) un dot kredītiestādēm vai maksājumu pakalpojumu sniedzējiem rīkojumus par likuma subjekta norēķinu operāciju daļēju vai pilnīgu apturēšanu;</w:t>
            </w:r>
            <w:r w:rsidRPr="0067478B">
              <w:rPr>
                <w:rStyle w:val="xapple-converted-space"/>
                <w:color w:val="000000" w:themeColor="text1"/>
                <w:bdr w:val="none" w:sz="0" w:space="0" w:color="auto" w:frame="1"/>
              </w:rPr>
              <w:t> </w:t>
            </w:r>
            <w:r w:rsidRPr="0067478B">
              <w:rPr>
                <w:color w:val="000000" w:themeColor="text1"/>
                <w:bdr w:val="none" w:sz="0" w:space="0" w:color="auto" w:frame="1"/>
              </w:rPr>
              <w:t>5) noteikt pagaidu aizliegumu par pārkāpumu atbildīgajai personai pildīt tai likuma subjekta noteiktos pienākumus;</w:t>
            </w:r>
            <w:r w:rsidRPr="0067478B">
              <w:rPr>
                <w:rStyle w:val="xapple-converted-space"/>
                <w:color w:val="000000" w:themeColor="text1"/>
                <w:bdr w:val="none" w:sz="0" w:space="0" w:color="auto" w:frame="1"/>
              </w:rPr>
              <w:t> </w:t>
            </w:r>
            <w:r w:rsidRPr="0067478B">
              <w:rPr>
                <w:color w:val="000000" w:themeColor="text1"/>
                <w:bdr w:val="none" w:sz="0" w:space="0" w:color="auto" w:frame="1"/>
              </w:rPr>
              <w:t>6) pienākumu veikt noteiktu rīcību vai atturēties no tās;</w:t>
            </w:r>
            <w:r w:rsidRPr="0067478B">
              <w:rPr>
                <w:rStyle w:val="xapple-converted-space"/>
                <w:color w:val="000000" w:themeColor="text1"/>
                <w:bdr w:val="none" w:sz="0" w:space="0" w:color="auto" w:frame="1"/>
              </w:rPr>
              <w:t> </w:t>
            </w:r>
            <w:r w:rsidRPr="0067478B">
              <w:rPr>
                <w:color w:val="000000" w:themeColor="text1"/>
                <w:bdr w:val="none" w:sz="0" w:space="0" w:color="auto" w:frame="1"/>
              </w:rPr>
              <w:t>7) uzlikt par pienākumu likuma subjektam atcelt par pārkāpumu atbildīgo personu no amata.</w:t>
            </w:r>
            <w:r w:rsidRPr="0067478B">
              <w:rPr>
                <w:rStyle w:val="xapple-converted-space"/>
                <w:color w:val="000000" w:themeColor="text1"/>
                <w:bdr w:val="none" w:sz="0" w:space="0" w:color="auto" w:frame="1"/>
              </w:rPr>
              <w:t> </w:t>
            </w:r>
            <w:r w:rsidRPr="0067478B">
              <w:rPr>
                <w:color w:val="000000" w:themeColor="text1"/>
                <w:bdr w:val="none" w:sz="0" w:space="0" w:color="auto" w:frame="1"/>
              </w:rPr>
              <w:t> </w:t>
            </w:r>
          </w:p>
          <w:p w14:paraId="332895F2" w14:textId="3A4AD8F4" w:rsidR="007D4825" w:rsidRPr="0067478B" w:rsidRDefault="007D4825" w:rsidP="009028D6">
            <w:pPr>
              <w:pStyle w:val="Paraststmeklis"/>
              <w:shd w:val="clear" w:color="auto" w:fill="FFFFFF" w:themeFill="background1"/>
              <w:jc w:val="both"/>
              <w:rPr>
                <w:color w:val="000000"/>
              </w:rPr>
            </w:pPr>
            <w:r w:rsidRPr="009028D6">
              <w:rPr>
                <w:color w:val="000000"/>
                <w:shd w:val="clear" w:color="auto" w:fill="FFFFFF" w:themeFill="background1"/>
              </w:rPr>
              <w:t xml:space="preserve">Atbilstoši minētajam, šobrīd ir iespējams piemērot Likuma regulējumu, lai lemtu </w:t>
            </w:r>
            <w:r w:rsidR="00661C59" w:rsidRPr="009028D6">
              <w:rPr>
                <w:color w:val="000000"/>
                <w:shd w:val="clear" w:color="auto" w:fill="FFFFFF" w:themeFill="background1"/>
              </w:rPr>
              <w:t xml:space="preserve">jautājumu </w:t>
            </w:r>
            <w:r w:rsidRPr="009028D6">
              <w:rPr>
                <w:color w:val="000000"/>
                <w:shd w:val="clear" w:color="auto" w:fill="FFFFFF" w:themeFill="background1"/>
              </w:rPr>
              <w:t>par administratora atcelšanu</w:t>
            </w:r>
            <w:r w:rsidR="00661C59" w:rsidRPr="009028D6">
              <w:rPr>
                <w:color w:val="000000"/>
                <w:shd w:val="clear" w:color="auto" w:fill="FFFFFF" w:themeFill="background1"/>
              </w:rPr>
              <w:t xml:space="preserve"> no amata</w:t>
            </w:r>
            <w:r w:rsidRPr="009028D6">
              <w:rPr>
                <w:color w:val="000000"/>
                <w:shd w:val="clear" w:color="auto" w:fill="FFFFFF" w:themeFill="background1"/>
              </w:rPr>
              <w:t xml:space="preserve"> vai atstādināšanu no amata darbības veikšanas, piemērojot Likuma 78. panta pirmās daļas 4. punkt</w:t>
            </w:r>
            <w:r w:rsidR="00661C59" w:rsidRPr="009028D6">
              <w:rPr>
                <w:color w:val="000000"/>
                <w:shd w:val="clear" w:color="auto" w:fill="FFFFFF" w:themeFill="background1"/>
              </w:rPr>
              <w:t>u</w:t>
            </w:r>
            <w:r w:rsidRPr="009028D6">
              <w:rPr>
                <w:color w:val="000000"/>
                <w:shd w:val="clear" w:color="auto" w:fill="FFFFFF" w:themeFill="background1"/>
              </w:rPr>
              <w:t xml:space="preserve">, ja viņš būtu pārkāpis likuma prasības, jo sankciju piemērošana ir tieši noteikta </w:t>
            </w:r>
            <w:r w:rsidR="00092B3E" w:rsidRPr="009028D6">
              <w:rPr>
                <w:color w:val="000000"/>
                <w:shd w:val="clear" w:color="auto" w:fill="FFFFFF" w:themeFill="background1"/>
              </w:rPr>
              <w:t>L</w:t>
            </w:r>
            <w:r w:rsidRPr="009028D6">
              <w:rPr>
                <w:color w:val="000000"/>
                <w:shd w:val="clear" w:color="auto" w:fill="FFFFFF" w:themeFill="background1"/>
              </w:rPr>
              <w:t>ikumā.</w:t>
            </w:r>
            <w:r w:rsidRPr="009028D6">
              <w:rPr>
                <w:rStyle w:val="apple-converted-space"/>
                <w:shd w:val="clear" w:color="auto" w:fill="FFFFFF" w:themeFill="background1"/>
              </w:rPr>
              <w:t xml:space="preserve"> </w:t>
            </w:r>
            <w:r w:rsidRPr="009028D6">
              <w:rPr>
                <w:color w:val="000000"/>
                <w:shd w:val="clear" w:color="auto" w:fill="FFFFFF" w:themeFill="background1"/>
              </w:rPr>
              <w:t>Vienlaikus no spēkā esošā regulējuma neizriet, ka administratoram, ja viņš atcelts no amata par Likuma pārkāpumu un viņam piemērota iepriekš minētajā punktā noteiktā sankcija, būtu ierobežojums jebkad vai noteiktu laiku pēc atcelšanas no amata atkārtoti pretendēt uz administratora amatu. Ievērojot minēto, Maksātnespējas likumā ietverams ierobežojums piecus gadus pretendēt uz administratora amatu, ja administrators atcelts no amata, pamatojoties uz Likuma 78. panta pirmās daļas 4. punktu. Līdzīgs ierobežojums paredzams arī attiecībā uz uzraugošās personas amata ieņemšanu</w:t>
            </w:r>
            <w:r w:rsidRPr="0067478B">
              <w:rPr>
                <w:color w:val="000000"/>
              </w:rPr>
              <w:t xml:space="preserve">. </w:t>
            </w:r>
          </w:p>
          <w:p w14:paraId="10DC2393" w14:textId="6471D464" w:rsidR="009A639C" w:rsidRPr="0067478B" w:rsidRDefault="007D4825" w:rsidP="00AF7B79">
            <w:pPr>
              <w:pStyle w:val="Paraststmeklis"/>
              <w:jc w:val="both"/>
              <w:rPr>
                <w:color w:val="000000"/>
              </w:rPr>
            </w:pPr>
            <w:r w:rsidRPr="0067478B">
              <w:rPr>
                <w:color w:val="000000"/>
              </w:rPr>
              <w:t xml:space="preserve">Savukārt, lai stiprinātu tiesisko noteiktību attiecībā uz amata jautājumu regulējumu Maksātnespējas likumā, papildināms Maksātnespējas likuma </w:t>
            </w:r>
            <w:r w:rsidR="00D1515F" w:rsidRPr="0067478B">
              <w:rPr>
                <w:color w:val="000000"/>
              </w:rPr>
              <w:t>17.</w:t>
            </w:r>
            <w:r w:rsidR="00D1515F" w:rsidRPr="0067478B">
              <w:rPr>
                <w:color w:val="000000"/>
                <w:vertAlign w:val="superscript"/>
              </w:rPr>
              <w:t>2</w:t>
            </w:r>
            <w:r w:rsidR="00D1515F" w:rsidRPr="0067478B">
              <w:rPr>
                <w:color w:val="000000"/>
              </w:rPr>
              <w:t xml:space="preserve"> pants un 17.</w:t>
            </w:r>
            <w:r w:rsidR="00D1515F" w:rsidRPr="0067478B">
              <w:rPr>
                <w:color w:val="000000"/>
                <w:vertAlign w:val="superscript"/>
              </w:rPr>
              <w:t>3</w:t>
            </w:r>
            <w:r w:rsidR="00D1515F" w:rsidRPr="0067478B">
              <w:rPr>
                <w:color w:val="000000"/>
              </w:rPr>
              <w:t xml:space="preserve"> pants, nosakot, ka Likuma 78. panta pirmās daļas 4. punkta sankcijas piemērošana vienlaikus ir arī pamats administratora atcelšanai no amata vai arī atstādināšanai no amata darbības veikšanas.</w:t>
            </w:r>
          </w:p>
        </w:tc>
      </w:tr>
      <w:tr w:rsidR="00AF65BB" w:rsidRPr="0067478B" w14:paraId="45F39993" w14:textId="77777777" w:rsidTr="009028D6">
        <w:trPr>
          <w:tblCellSpacing w:w="15" w:type="dxa"/>
        </w:trPr>
        <w:tc>
          <w:tcPr>
            <w:tcW w:w="196" w:type="pct"/>
            <w:tcBorders>
              <w:top w:val="outset" w:sz="6" w:space="0" w:color="auto"/>
              <w:left w:val="outset" w:sz="6" w:space="0" w:color="auto"/>
              <w:bottom w:val="outset" w:sz="6" w:space="0" w:color="auto"/>
              <w:right w:val="outset" w:sz="6" w:space="0" w:color="auto"/>
            </w:tcBorders>
            <w:shd w:val="clear" w:color="auto" w:fill="auto"/>
            <w:hideMark/>
          </w:tcPr>
          <w:p w14:paraId="7D086290" w14:textId="77777777" w:rsidR="005857E0" w:rsidRPr="0067478B" w:rsidRDefault="005857E0" w:rsidP="00172608">
            <w:pPr>
              <w:rPr>
                <w:iCs/>
                <w:lang w:eastAsia="lv-LV"/>
              </w:rPr>
            </w:pPr>
            <w:r w:rsidRPr="0067478B">
              <w:rPr>
                <w:iCs/>
                <w:lang w:eastAsia="lv-LV"/>
              </w:rPr>
              <w:lastRenderedPageBreak/>
              <w:t>3.</w:t>
            </w:r>
          </w:p>
        </w:tc>
        <w:tc>
          <w:tcPr>
            <w:tcW w:w="1595" w:type="pct"/>
            <w:tcBorders>
              <w:top w:val="outset" w:sz="6" w:space="0" w:color="auto"/>
              <w:left w:val="outset" w:sz="6" w:space="0" w:color="auto"/>
              <w:bottom w:val="outset" w:sz="6" w:space="0" w:color="auto"/>
              <w:right w:val="outset" w:sz="6" w:space="0" w:color="auto"/>
            </w:tcBorders>
            <w:shd w:val="clear" w:color="auto" w:fill="auto"/>
            <w:hideMark/>
          </w:tcPr>
          <w:p w14:paraId="45BA31D0" w14:textId="77777777" w:rsidR="005857E0" w:rsidRPr="0067478B" w:rsidRDefault="005857E0" w:rsidP="00C26BB3">
            <w:pPr>
              <w:jc w:val="both"/>
              <w:rPr>
                <w:iCs/>
                <w:lang w:eastAsia="lv-LV"/>
              </w:rPr>
            </w:pPr>
            <w:r w:rsidRPr="0067478B">
              <w:rPr>
                <w:iCs/>
                <w:lang w:eastAsia="lv-LV"/>
              </w:rPr>
              <w:t>Projekta izstrādē iesaistītās institūcijas un publiskas personas kapitālsabiedrības</w:t>
            </w:r>
          </w:p>
        </w:tc>
        <w:tc>
          <w:tcPr>
            <w:tcW w:w="3144"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1315CA03" w14:textId="34685D0B" w:rsidR="005857E0" w:rsidRPr="0067478B" w:rsidRDefault="005857E0" w:rsidP="00172608">
            <w:pPr>
              <w:jc w:val="both"/>
              <w:rPr>
                <w:iCs/>
                <w:lang w:eastAsia="lv-LV"/>
              </w:rPr>
            </w:pPr>
            <w:r w:rsidRPr="0067478B">
              <w:rPr>
                <w:iCs/>
                <w:lang w:eastAsia="lv-LV"/>
              </w:rPr>
              <w:t>Tieslietu ministrija, Maksātnespējas kontroles dienests</w:t>
            </w:r>
            <w:r w:rsidR="00140CB8" w:rsidRPr="0067478B">
              <w:rPr>
                <w:iCs/>
                <w:lang w:eastAsia="lv-LV"/>
              </w:rPr>
              <w:t xml:space="preserve">, Latvijas Republikas Uzņēmumu reģistrs, </w:t>
            </w:r>
            <w:r w:rsidR="00092B3E">
              <w:rPr>
                <w:iCs/>
                <w:lang w:eastAsia="lv-LV"/>
              </w:rPr>
              <w:t>Darba grupa.</w:t>
            </w:r>
          </w:p>
        </w:tc>
      </w:tr>
      <w:tr w:rsidR="00AF65BB" w:rsidRPr="0067478B" w14:paraId="0B581CD8" w14:textId="77777777" w:rsidTr="00037D3F">
        <w:trPr>
          <w:tblCellSpacing w:w="15" w:type="dxa"/>
        </w:trPr>
        <w:tc>
          <w:tcPr>
            <w:tcW w:w="196" w:type="pct"/>
            <w:tcBorders>
              <w:top w:val="outset" w:sz="6" w:space="0" w:color="auto"/>
              <w:left w:val="outset" w:sz="6" w:space="0" w:color="auto"/>
              <w:bottom w:val="outset" w:sz="6" w:space="0" w:color="auto"/>
              <w:right w:val="outset" w:sz="6" w:space="0" w:color="auto"/>
            </w:tcBorders>
            <w:shd w:val="clear" w:color="auto" w:fill="auto"/>
            <w:hideMark/>
          </w:tcPr>
          <w:p w14:paraId="2D5776FE" w14:textId="77777777" w:rsidR="005857E0" w:rsidRPr="0067478B" w:rsidRDefault="005857E0" w:rsidP="00172608">
            <w:pPr>
              <w:rPr>
                <w:iCs/>
                <w:lang w:eastAsia="lv-LV"/>
              </w:rPr>
            </w:pPr>
            <w:r w:rsidRPr="0067478B">
              <w:rPr>
                <w:iCs/>
                <w:lang w:eastAsia="lv-LV"/>
              </w:rPr>
              <w:lastRenderedPageBreak/>
              <w:t>4.</w:t>
            </w:r>
          </w:p>
        </w:tc>
        <w:tc>
          <w:tcPr>
            <w:tcW w:w="1595" w:type="pct"/>
            <w:tcBorders>
              <w:top w:val="outset" w:sz="6" w:space="0" w:color="auto"/>
              <w:left w:val="outset" w:sz="6" w:space="0" w:color="auto"/>
              <w:bottom w:val="outset" w:sz="6" w:space="0" w:color="auto"/>
              <w:right w:val="outset" w:sz="6" w:space="0" w:color="auto"/>
            </w:tcBorders>
            <w:shd w:val="clear" w:color="auto" w:fill="auto"/>
            <w:hideMark/>
          </w:tcPr>
          <w:p w14:paraId="0F7CB8E8" w14:textId="77777777" w:rsidR="005857E0" w:rsidRPr="0067478B" w:rsidRDefault="005857E0" w:rsidP="00172608">
            <w:pPr>
              <w:rPr>
                <w:iCs/>
                <w:lang w:eastAsia="lv-LV"/>
              </w:rPr>
            </w:pPr>
            <w:r w:rsidRPr="0067478B">
              <w:rPr>
                <w:iCs/>
                <w:lang w:eastAsia="lv-LV"/>
              </w:rPr>
              <w:t>Cita informācija</w:t>
            </w:r>
          </w:p>
        </w:tc>
        <w:tc>
          <w:tcPr>
            <w:tcW w:w="3144" w:type="pct"/>
            <w:tcBorders>
              <w:top w:val="outset" w:sz="6" w:space="0" w:color="auto"/>
              <w:left w:val="outset" w:sz="6" w:space="0" w:color="auto"/>
              <w:bottom w:val="outset" w:sz="6" w:space="0" w:color="auto"/>
              <w:right w:val="outset" w:sz="6" w:space="0" w:color="auto"/>
            </w:tcBorders>
            <w:shd w:val="clear" w:color="auto" w:fill="auto"/>
            <w:hideMark/>
          </w:tcPr>
          <w:p w14:paraId="3ECE4C76" w14:textId="77777777" w:rsidR="005857E0" w:rsidRPr="0067478B" w:rsidRDefault="005857E0" w:rsidP="00172608">
            <w:pPr>
              <w:rPr>
                <w:iCs/>
                <w:lang w:eastAsia="lv-LV"/>
              </w:rPr>
            </w:pPr>
            <w:r w:rsidRPr="0067478B">
              <w:rPr>
                <w:iCs/>
                <w:lang w:eastAsia="lv-LV"/>
              </w:rPr>
              <w:t xml:space="preserve"> Nav.</w:t>
            </w:r>
          </w:p>
        </w:tc>
      </w:tr>
    </w:tbl>
    <w:p w14:paraId="4E573301" w14:textId="77777777" w:rsidR="005857E0" w:rsidRPr="0067478B" w:rsidRDefault="005857E0" w:rsidP="005857E0">
      <w:pPr>
        <w:rPr>
          <w:iCs/>
          <w:lang w:val="en-US" w:eastAsia="lv-LV"/>
        </w:rPr>
      </w:pPr>
      <w:r w:rsidRPr="0067478B">
        <w:rPr>
          <w:iCs/>
          <w:lang w:val="en-US" w:eastAsia="lv-LV"/>
        </w:rPr>
        <w:t xml:space="preserve">  </w:t>
      </w:r>
    </w:p>
    <w:tbl>
      <w:tblPr>
        <w:tblW w:w="516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6"/>
        <w:gridCol w:w="2814"/>
        <w:gridCol w:w="5856"/>
      </w:tblGrid>
      <w:tr w:rsidR="005857E0" w:rsidRPr="0067478B" w14:paraId="4E7575D8" w14:textId="77777777" w:rsidTr="00EC3CB3">
        <w:trPr>
          <w:tblCellSpacing w:w="15" w:type="dxa"/>
        </w:trPr>
        <w:tc>
          <w:tcPr>
            <w:tcW w:w="4967" w:type="pct"/>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024C9179" w14:textId="77777777" w:rsidR="005857E0" w:rsidRPr="0067478B" w:rsidRDefault="005857E0" w:rsidP="005003BF">
            <w:pPr>
              <w:jc w:val="center"/>
              <w:rPr>
                <w:b/>
                <w:bCs/>
                <w:iCs/>
                <w:lang w:eastAsia="lv-LV"/>
              </w:rPr>
            </w:pPr>
            <w:r w:rsidRPr="0067478B">
              <w:rPr>
                <w:b/>
                <w:bCs/>
                <w:iCs/>
                <w:lang w:eastAsia="lv-LV"/>
              </w:rPr>
              <w:t>II. Tiesību akta projekta ietekme uz sabiedrību, tautsaimniecības attīstību un administratīvo slogu</w:t>
            </w:r>
          </w:p>
        </w:tc>
      </w:tr>
      <w:tr w:rsidR="005857E0" w:rsidRPr="0067478B" w14:paraId="48021AC3" w14:textId="77777777" w:rsidTr="00EC3CB3">
        <w:trPr>
          <w:tblCellSpacing w:w="15" w:type="dxa"/>
        </w:trPr>
        <w:tc>
          <w:tcPr>
            <w:tcW w:w="268" w:type="pct"/>
            <w:tcBorders>
              <w:top w:val="outset" w:sz="6" w:space="0" w:color="auto"/>
              <w:left w:val="outset" w:sz="6" w:space="0" w:color="auto"/>
              <w:bottom w:val="outset" w:sz="6" w:space="0" w:color="auto"/>
              <w:right w:val="outset" w:sz="6" w:space="0" w:color="auto"/>
            </w:tcBorders>
            <w:shd w:val="clear" w:color="auto" w:fill="auto"/>
            <w:hideMark/>
          </w:tcPr>
          <w:p w14:paraId="0B36C3BB" w14:textId="77777777" w:rsidR="005857E0" w:rsidRPr="0067478B" w:rsidRDefault="005857E0" w:rsidP="00172608">
            <w:pPr>
              <w:rPr>
                <w:iCs/>
                <w:lang w:eastAsia="lv-LV"/>
              </w:rPr>
            </w:pPr>
            <w:r w:rsidRPr="0067478B">
              <w:rPr>
                <w:iCs/>
                <w:lang w:eastAsia="lv-LV"/>
              </w:rPr>
              <w:t>1.</w:t>
            </w:r>
          </w:p>
        </w:tc>
        <w:tc>
          <w:tcPr>
            <w:tcW w:w="1522" w:type="pct"/>
            <w:tcBorders>
              <w:top w:val="outset" w:sz="6" w:space="0" w:color="auto"/>
              <w:left w:val="outset" w:sz="6" w:space="0" w:color="auto"/>
              <w:bottom w:val="outset" w:sz="6" w:space="0" w:color="auto"/>
              <w:right w:val="outset" w:sz="6" w:space="0" w:color="auto"/>
            </w:tcBorders>
            <w:shd w:val="clear" w:color="auto" w:fill="auto"/>
            <w:hideMark/>
          </w:tcPr>
          <w:p w14:paraId="4EFF8266" w14:textId="77777777" w:rsidR="005857E0" w:rsidRPr="0067478B" w:rsidRDefault="005857E0" w:rsidP="00C26BB3">
            <w:pPr>
              <w:jc w:val="both"/>
              <w:rPr>
                <w:iCs/>
                <w:lang w:eastAsia="lv-LV"/>
              </w:rPr>
            </w:pPr>
            <w:r w:rsidRPr="0067478B">
              <w:rPr>
                <w:iCs/>
                <w:lang w:eastAsia="lv-LV"/>
              </w:rPr>
              <w:t>Sabiedrības mērķgrupas, kuras tiesiskais regulējums ietekmē vai varētu ietekmēt</w:t>
            </w:r>
          </w:p>
        </w:tc>
        <w:tc>
          <w:tcPr>
            <w:tcW w:w="3144" w:type="pct"/>
            <w:tcBorders>
              <w:top w:val="outset" w:sz="6" w:space="0" w:color="auto"/>
              <w:left w:val="outset" w:sz="6" w:space="0" w:color="auto"/>
              <w:bottom w:val="outset" w:sz="6" w:space="0" w:color="auto"/>
              <w:right w:val="outset" w:sz="6" w:space="0" w:color="auto"/>
            </w:tcBorders>
            <w:shd w:val="clear" w:color="auto" w:fill="auto"/>
            <w:hideMark/>
          </w:tcPr>
          <w:p w14:paraId="3B3A5600" w14:textId="4F68942F" w:rsidR="00661A5B" w:rsidRPr="0067478B" w:rsidRDefault="00C26BB3" w:rsidP="00C26BB3">
            <w:pPr>
              <w:tabs>
                <w:tab w:val="right" w:pos="5271"/>
              </w:tabs>
              <w:jc w:val="both"/>
              <w:rPr>
                <w:iCs/>
                <w:lang w:eastAsia="lv-LV"/>
              </w:rPr>
            </w:pPr>
            <w:r w:rsidRPr="0067478B">
              <w:rPr>
                <w:iCs/>
                <w:lang w:eastAsia="lv-LV"/>
              </w:rPr>
              <w:t>Administratora amata pretendenti, a</w:t>
            </w:r>
            <w:r w:rsidR="00CE0C79" w:rsidRPr="0067478B">
              <w:rPr>
                <w:iCs/>
                <w:lang w:eastAsia="lv-LV"/>
              </w:rPr>
              <w:t>dministratori</w:t>
            </w:r>
            <w:r w:rsidR="00A56E17" w:rsidRPr="0067478B">
              <w:rPr>
                <w:iCs/>
                <w:lang w:eastAsia="lv-LV"/>
              </w:rPr>
              <w:t>, kreditori, parādnieki un citas maksātnespējas procesā iesaistītās personas.</w:t>
            </w:r>
          </w:p>
        </w:tc>
      </w:tr>
      <w:tr w:rsidR="005857E0" w:rsidRPr="0067478B" w14:paraId="5282159D" w14:textId="77777777" w:rsidTr="00EC3CB3">
        <w:trPr>
          <w:tblCellSpacing w:w="15" w:type="dxa"/>
        </w:trPr>
        <w:tc>
          <w:tcPr>
            <w:tcW w:w="268" w:type="pct"/>
            <w:tcBorders>
              <w:top w:val="outset" w:sz="6" w:space="0" w:color="auto"/>
              <w:left w:val="outset" w:sz="6" w:space="0" w:color="auto"/>
              <w:bottom w:val="outset" w:sz="6" w:space="0" w:color="auto"/>
              <w:right w:val="outset" w:sz="6" w:space="0" w:color="auto"/>
            </w:tcBorders>
            <w:shd w:val="clear" w:color="auto" w:fill="auto"/>
            <w:hideMark/>
          </w:tcPr>
          <w:p w14:paraId="13C97FBD" w14:textId="77777777" w:rsidR="005857E0" w:rsidRPr="0067478B" w:rsidRDefault="005857E0" w:rsidP="00172608">
            <w:pPr>
              <w:rPr>
                <w:iCs/>
                <w:lang w:eastAsia="lv-LV"/>
              </w:rPr>
            </w:pPr>
            <w:r w:rsidRPr="0067478B">
              <w:rPr>
                <w:iCs/>
                <w:lang w:eastAsia="lv-LV"/>
              </w:rPr>
              <w:t>2.</w:t>
            </w:r>
          </w:p>
        </w:tc>
        <w:tc>
          <w:tcPr>
            <w:tcW w:w="1522" w:type="pct"/>
            <w:tcBorders>
              <w:top w:val="outset" w:sz="6" w:space="0" w:color="auto"/>
              <w:left w:val="outset" w:sz="6" w:space="0" w:color="auto"/>
              <w:bottom w:val="outset" w:sz="6" w:space="0" w:color="auto"/>
              <w:right w:val="outset" w:sz="6" w:space="0" w:color="auto"/>
            </w:tcBorders>
            <w:shd w:val="clear" w:color="auto" w:fill="auto"/>
            <w:hideMark/>
          </w:tcPr>
          <w:p w14:paraId="3436216B" w14:textId="77777777" w:rsidR="005857E0" w:rsidRPr="0067478B" w:rsidRDefault="005857E0" w:rsidP="00C26BB3">
            <w:pPr>
              <w:jc w:val="both"/>
              <w:rPr>
                <w:iCs/>
                <w:lang w:eastAsia="lv-LV"/>
              </w:rPr>
            </w:pPr>
            <w:r w:rsidRPr="0067478B">
              <w:rPr>
                <w:iCs/>
                <w:lang w:eastAsia="lv-LV"/>
              </w:rPr>
              <w:t>Tiesiskā regulējuma ietekme uz tautsaimniecību un administratīvo slogu</w:t>
            </w:r>
          </w:p>
        </w:tc>
        <w:tc>
          <w:tcPr>
            <w:tcW w:w="3144" w:type="pct"/>
            <w:tcBorders>
              <w:top w:val="outset" w:sz="6" w:space="0" w:color="auto"/>
              <w:left w:val="outset" w:sz="6" w:space="0" w:color="auto"/>
              <w:bottom w:val="outset" w:sz="6" w:space="0" w:color="auto"/>
              <w:right w:val="outset" w:sz="6" w:space="0" w:color="auto"/>
            </w:tcBorders>
            <w:shd w:val="clear" w:color="auto" w:fill="auto"/>
            <w:hideMark/>
          </w:tcPr>
          <w:p w14:paraId="1BACE2B6" w14:textId="52C3A4A9" w:rsidR="005857E0" w:rsidRPr="0067478B" w:rsidRDefault="005857E0" w:rsidP="00172608">
            <w:pPr>
              <w:jc w:val="both"/>
              <w:rPr>
                <w:iCs/>
                <w:lang w:eastAsia="lv-LV"/>
              </w:rPr>
            </w:pPr>
            <w:r w:rsidRPr="0067478B">
              <w:t xml:space="preserve">Likumprojektam ir pozitīva ietekme uz tautsaimniecība, </w:t>
            </w:r>
            <w:r w:rsidR="00140CB8" w:rsidRPr="0067478B">
              <w:t xml:space="preserve">veicinot </w:t>
            </w:r>
            <w:r w:rsidR="00CE0C79" w:rsidRPr="0067478B">
              <w:t>maksātnespējas procesa caurspīdīgumu.</w:t>
            </w:r>
            <w:r w:rsidR="005003BF" w:rsidRPr="0067478B">
              <w:t xml:space="preserve"> </w:t>
            </w:r>
            <w:r w:rsidR="00140CB8" w:rsidRPr="0067478B">
              <w:t>Paredzams, ka a</w:t>
            </w:r>
            <w:r w:rsidR="005003BF" w:rsidRPr="0067478B">
              <w:t>dministratīvais slogs tiks samazināts gan administratoriem, gan Maksātnespējas kontroles dienestam, gan eksaminācijas komisijai, ievērojot to, ka administratora kvalifikācijas kontrole tiks īstenota reizi piecos gados, nevis reizi divos gados kā iepriekš.</w:t>
            </w:r>
          </w:p>
        </w:tc>
      </w:tr>
      <w:tr w:rsidR="005857E0" w:rsidRPr="0067478B" w14:paraId="045F2CC2" w14:textId="77777777" w:rsidTr="00EC3CB3">
        <w:trPr>
          <w:tblCellSpacing w:w="15" w:type="dxa"/>
        </w:trPr>
        <w:tc>
          <w:tcPr>
            <w:tcW w:w="268" w:type="pct"/>
            <w:tcBorders>
              <w:top w:val="outset" w:sz="6" w:space="0" w:color="auto"/>
              <w:left w:val="outset" w:sz="6" w:space="0" w:color="auto"/>
              <w:bottom w:val="outset" w:sz="6" w:space="0" w:color="auto"/>
              <w:right w:val="outset" w:sz="6" w:space="0" w:color="auto"/>
            </w:tcBorders>
            <w:shd w:val="clear" w:color="auto" w:fill="auto"/>
            <w:hideMark/>
          </w:tcPr>
          <w:p w14:paraId="63841C66" w14:textId="77777777" w:rsidR="005857E0" w:rsidRPr="0067478B" w:rsidRDefault="005857E0" w:rsidP="00172608">
            <w:pPr>
              <w:rPr>
                <w:iCs/>
                <w:lang w:eastAsia="lv-LV"/>
              </w:rPr>
            </w:pPr>
            <w:r w:rsidRPr="0067478B">
              <w:rPr>
                <w:iCs/>
                <w:lang w:eastAsia="lv-LV"/>
              </w:rPr>
              <w:t>3.</w:t>
            </w:r>
          </w:p>
        </w:tc>
        <w:tc>
          <w:tcPr>
            <w:tcW w:w="1522" w:type="pct"/>
            <w:tcBorders>
              <w:top w:val="outset" w:sz="6" w:space="0" w:color="auto"/>
              <w:left w:val="outset" w:sz="6" w:space="0" w:color="auto"/>
              <w:bottom w:val="outset" w:sz="6" w:space="0" w:color="auto"/>
              <w:right w:val="outset" w:sz="6" w:space="0" w:color="auto"/>
            </w:tcBorders>
            <w:shd w:val="clear" w:color="auto" w:fill="auto"/>
            <w:hideMark/>
          </w:tcPr>
          <w:p w14:paraId="5E425244" w14:textId="77777777" w:rsidR="005857E0" w:rsidRPr="0067478B" w:rsidRDefault="005857E0" w:rsidP="00C26BB3">
            <w:pPr>
              <w:jc w:val="both"/>
              <w:rPr>
                <w:iCs/>
                <w:lang w:eastAsia="lv-LV"/>
              </w:rPr>
            </w:pPr>
            <w:r w:rsidRPr="0067478B">
              <w:rPr>
                <w:iCs/>
                <w:lang w:eastAsia="lv-LV"/>
              </w:rPr>
              <w:t>Administratīvo izmaksu monetārs novērtējums</w:t>
            </w:r>
          </w:p>
        </w:tc>
        <w:tc>
          <w:tcPr>
            <w:tcW w:w="3144" w:type="pct"/>
            <w:tcBorders>
              <w:top w:val="outset" w:sz="6" w:space="0" w:color="auto"/>
              <w:left w:val="outset" w:sz="6" w:space="0" w:color="auto"/>
              <w:bottom w:val="outset" w:sz="6" w:space="0" w:color="auto"/>
              <w:right w:val="outset" w:sz="6" w:space="0" w:color="auto"/>
            </w:tcBorders>
            <w:shd w:val="clear" w:color="auto" w:fill="auto"/>
            <w:hideMark/>
          </w:tcPr>
          <w:p w14:paraId="315AD30B" w14:textId="77777777" w:rsidR="005857E0" w:rsidRPr="0067478B" w:rsidRDefault="005857E0" w:rsidP="00172608">
            <w:pPr>
              <w:rPr>
                <w:iCs/>
                <w:lang w:eastAsia="lv-LV"/>
              </w:rPr>
            </w:pPr>
            <w:r w:rsidRPr="0067478B">
              <w:rPr>
                <w:iCs/>
                <w:lang w:eastAsia="lv-LV"/>
              </w:rPr>
              <w:t>Likumprojekts šo jomu neskar.</w:t>
            </w:r>
          </w:p>
        </w:tc>
      </w:tr>
      <w:tr w:rsidR="005857E0" w:rsidRPr="0067478B" w14:paraId="5C05938F" w14:textId="77777777" w:rsidTr="00EC3CB3">
        <w:trPr>
          <w:tblCellSpacing w:w="15" w:type="dxa"/>
        </w:trPr>
        <w:tc>
          <w:tcPr>
            <w:tcW w:w="268" w:type="pct"/>
            <w:tcBorders>
              <w:top w:val="outset" w:sz="6" w:space="0" w:color="auto"/>
              <w:left w:val="outset" w:sz="6" w:space="0" w:color="auto"/>
              <w:bottom w:val="outset" w:sz="6" w:space="0" w:color="auto"/>
              <w:right w:val="outset" w:sz="6" w:space="0" w:color="auto"/>
            </w:tcBorders>
            <w:shd w:val="clear" w:color="auto" w:fill="auto"/>
            <w:hideMark/>
          </w:tcPr>
          <w:p w14:paraId="5244C732" w14:textId="77777777" w:rsidR="005857E0" w:rsidRPr="0067478B" w:rsidRDefault="005857E0" w:rsidP="00172608">
            <w:pPr>
              <w:rPr>
                <w:iCs/>
                <w:lang w:eastAsia="lv-LV"/>
              </w:rPr>
            </w:pPr>
            <w:r w:rsidRPr="0067478B">
              <w:rPr>
                <w:iCs/>
                <w:lang w:eastAsia="lv-LV"/>
              </w:rPr>
              <w:t>4.</w:t>
            </w:r>
          </w:p>
        </w:tc>
        <w:tc>
          <w:tcPr>
            <w:tcW w:w="1522" w:type="pct"/>
            <w:tcBorders>
              <w:top w:val="outset" w:sz="6" w:space="0" w:color="auto"/>
              <w:left w:val="outset" w:sz="6" w:space="0" w:color="auto"/>
              <w:bottom w:val="outset" w:sz="6" w:space="0" w:color="auto"/>
              <w:right w:val="outset" w:sz="6" w:space="0" w:color="auto"/>
            </w:tcBorders>
            <w:shd w:val="clear" w:color="auto" w:fill="auto"/>
            <w:hideMark/>
          </w:tcPr>
          <w:p w14:paraId="339AB643" w14:textId="77777777" w:rsidR="005857E0" w:rsidRPr="0067478B" w:rsidRDefault="005857E0" w:rsidP="00C26BB3">
            <w:pPr>
              <w:jc w:val="both"/>
              <w:rPr>
                <w:iCs/>
                <w:lang w:eastAsia="lv-LV"/>
              </w:rPr>
            </w:pPr>
            <w:r w:rsidRPr="0067478B">
              <w:rPr>
                <w:iCs/>
                <w:lang w:eastAsia="lv-LV"/>
              </w:rPr>
              <w:t>Atbilstības izmaksu monetārs novērtējums</w:t>
            </w:r>
          </w:p>
        </w:tc>
        <w:tc>
          <w:tcPr>
            <w:tcW w:w="3144" w:type="pct"/>
            <w:tcBorders>
              <w:top w:val="outset" w:sz="6" w:space="0" w:color="auto"/>
              <w:left w:val="outset" w:sz="6" w:space="0" w:color="auto"/>
              <w:bottom w:val="outset" w:sz="6" w:space="0" w:color="auto"/>
              <w:right w:val="outset" w:sz="6" w:space="0" w:color="auto"/>
            </w:tcBorders>
            <w:shd w:val="clear" w:color="auto" w:fill="auto"/>
            <w:hideMark/>
          </w:tcPr>
          <w:p w14:paraId="514EEDCC" w14:textId="77777777" w:rsidR="005857E0" w:rsidRPr="0067478B" w:rsidRDefault="005857E0" w:rsidP="00172608">
            <w:pPr>
              <w:rPr>
                <w:iCs/>
                <w:lang w:eastAsia="lv-LV"/>
              </w:rPr>
            </w:pPr>
            <w:r w:rsidRPr="0067478B">
              <w:rPr>
                <w:iCs/>
                <w:lang w:eastAsia="lv-LV"/>
              </w:rPr>
              <w:t>Likumprojekts šo jomu neskar.</w:t>
            </w:r>
          </w:p>
        </w:tc>
      </w:tr>
      <w:tr w:rsidR="005857E0" w:rsidRPr="0067478B" w14:paraId="65B7AB09" w14:textId="77777777" w:rsidTr="00EC3CB3">
        <w:trPr>
          <w:tblCellSpacing w:w="15" w:type="dxa"/>
        </w:trPr>
        <w:tc>
          <w:tcPr>
            <w:tcW w:w="268" w:type="pct"/>
            <w:tcBorders>
              <w:top w:val="outset" w:sz="6" w:space="0" w:color="auto"/>
              <w:left w:val="outset" w:sz="6" w:space="0" w:color="auto"/>
              <w:bottom w:val="outset" w:sz="6" w:space="0" w:color="auto"/>
              <w:right w:val="outset" w:sz="6" w:space="0" w:color="auto"/>
            </w:tcBorders>
            <w:shd w:val="clear" w:color="auto" w:fill="auto"/>
            <w:hideMark/>
          </w:tcPr>
          <w:p w14:paraId="5CFAB6BB" w14:textId="77777777" w:rsidR="005857E0" w:rsidRPr="0067478B" w:rsidRDefault="005857E0" w:rsidP="00172608">
            <w:pPr>
              <w:rPr>
                <w:iCs/>
                <w:lang w:eastAsia="lv-LV"/>
              </w:rPr>
            </w:pPr>
            <w:r w:rsidRPr="0067478B">
              <w:rPr>
                <w:iCs/>
                <w:lang w:eastAsia="lv-LV"/>
              </w:rPr>
              <w:t>5.</w:t>
            </w:r>
          </w:p>
        </w:tc>
        <w:tc>
          <w:tcPr>
            <w:tcW w:w="1522" w:type="pct"/>
            <w:tcBorders>
              <w:top w:val="outset" w:sz="6" w:space="0" w:color="auto"/>
              <w:left w:val="outset" w:sz="6" w:space="0" w:color="auto"/>
              <w:bottom w:val="outset" w:sz="6" w:space="0" w:color="auto"/>
              <w:right w:val="outset" w:sz="6" w:space="0" w:color="auto"/>
            </w:tcBorders>
            <w:shd w:val="clear" w:color="auto" w:fill="auto"/>
            <w:hideMark/>
          </w:tcPr>
          <w:p w14:paraId="1940FF59" w14:textId="77777777" w:rsidR="005857E0" w:rsidRPr="0067478B" w:rsidRDefault="005857E0" w:rsidP="00C26BB3">
            <w:pPr>
              <w:jc w:val="both"/>
              <w:rPr>
                <w:iCs/>
                <w:lang w:eastAsia="lv-LV"/>
              </w:rPr>
            </w:pPr>
            <w:r w:rsidRPr="0067478B">
              <w:rPr>
                <w:iCs/>
                <w:lang w:eastAsia="lv-LV"/>
              </w:rPr>
              <w:t>Cita informācija</w:t>
            </w:r>
          </w:p>
        </w:tc>
        <w:tc>
          <w:tcPr>
            <w:tcW w:w="3144" w:type="pct"/>
            <w:tcBorders>
              <w:top w:val="outset" w:sz="6" w:space="0" w:color="auto"/>
              <w:left w:val="outset" w:sz="6" w:space="0" w:color="auto"/>
              <w:bottom w:val="outset" w:sz="6" w:space="0" w:color="auto"/>
              <w:right w:val="outset" w:sz="6" w:space="0" w:color="auto"/>
            </w:tcBorders>
            <w:shd w:val="clear" w:color="auto" w:fill="auto"/>
            <w:hideMark/>
          </w:tcPr>
          <w:p w14:paraId="6D90C3E2" w14:textId="77777777" w:rsidR="005857E0" w:rsidRPr="0067478B" w:rsidRDefault="005857E0" w:rsidP="00172608">
            <w:pPr>
              <w:rPr>
                <w:iCs/>
                <w:lang w:eastAsia="lv-LV"/>
              </w:rPr>
            </w:pPr>
            <w:r w:rsidRPr="0067478B">
              <w:rPr>
                <w:iCs/>
                <w:lang w:eastAsia="lv-LV"/>
              </w:rPr>
              <w:t>Nav.</w:t>
            </w:r>
          </w:p>
        </w:tc>
      </w:tr>
    </w:tbl>
    <w:p w14:paraId="522974E0" w14:textId="7E2D5C77" w:rsidR="005857E0" w:rsidRPr="0067478B" w:rsidRDefault="005857E0" w:rsidP="005857E0">
      <w:pPr>
        <w:rPr>
          <w:iCs/>
          <w:lang w:val="en-US" w:eastAsia="lv-LV"/>
        </w:rPr>
      </w:pPr>
      <w:r w:rsidRPr="0067478B">
        <w:rPr>
          <w:iCs/>
          <w:lang w:val="en-US" w:eastAsia="lv-LV"/>
        </w:rPr>
        <w:t> </w:t>
      </w:r>
    </w:p>
    <w:tbl>
      <w:tblPr>
        <w:tblW w:w="5154"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39"/>
        <w:gridCol w:w="1291"/>
        <w:gridCol w:w="1074"/>
        <w:gridCol w:w="849"/>
        <w:gridCol w:w="1118"/>
        <w:gridCol w:w="849"/>
        <w:gridCol w:w="1118"/>
        <w:gridCol w:w="1652"/>
      </w:tblGrid>
      <w:tr w:rsidR="00AF7B79" w:rsidRPr="0067478B" w14:paraId="4226B12B" w14:textId="77777777" w:rsidTr="00ED3317">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14:paraId="05E876EA" w14:textId="77777777" w:rsidR="00AF7B79" w:rsidRPr="0067478B" w:rsidRDefault="00AF7B79" w:rsidP="00AE74A5">
            <w:pPr>
              <w:jc w:val="center"/>
              <w:rPr>
                <w:b/>
                <w:bCs/>
                <w:iCs/>
                <w:color w:val="000000" w:themeColor="text1"/>
                <w:lang w:eastAsia="lv-LV"/>
              </w:rPr>
            </w:pPr>
            <w:r w:rsidRPr="0067478B">
              <w:rPr>
                <w:b/>
                <w:bCs/>
                <w:iCs/>
                <w:color w:val="000000" w:themeColor="text1"/>
                <w:lang w:eastAsia="lv-LV"/>
              </w:rPr>
              <w:t>III. Tiesību akta projekta ietekme uz valsts budžetu un pašvaldību budžetiem</w:t>
            </w:r>
          </w:p>
        </w:tc>
      </w:tr>
      <w:tr w:rsidR="00AF7B79" w:rsidRPr="0067478B" w14:paraId="6DE3BE41" w14:textId="77777777" w:rsidTr="00ED3317">
        <w:trPr>
          <w:tblCellSpacing w:w="15" w:type="dxa"/>
        </w:trPr>
        <w:tc>
          <w:tcPr>
            <w:tcW w:w="665" w:type="pct"/>
            <w:vMerge w:val="restart"/>
            <w:tcBorders>
              <w:top w:val="outset" w:sz="6" w:space="0" w:color="auto"/>
              <w:left w:val="outset" w:sz="6" w:space="0" w:color="auto"/>
              <w:bottom w:val="outset" w:sz="6" w:space="0" w:color="auto"/>
              <w:right w:val="outset" w:sz="6" w:space="0" w:color="auto"/>
            </w:tcBorders>
            <w:vAlign w:val="center"/>
            <w:hideMark/>
          </w:tcPr>
          <w:p w14:paraId="6167A75E" w14:textId="77777777" w:rsidR="00AF7B79" w:rsidRPr="0067478B" w:rsidRDefault="00AF7B79" w:rsidP="00AE74A5">
            <w:pPr>
              <w:rPr>
                <w:iCs/>
                <w:color w:val="000000" w:themeColor="text1"/>
                <w:lang w:eastAsia="lv-LV"/>
              </w:rPr>
            </w:pPr>
            <w:r w:rsidRPr="0067478B">
              <w:rPr>
                <w:iCs/>
                <w:color w:val="000000" w:themeColor="text1"/>
                <w:lang w:eastAsia="lv-LV"/>
              </w:rPr>
              <w:t>Rādītāji</w:t>
            </w:r>
          </w:p>
        </w:tc>
        <w:tc>
          <w:tcPr>
            <w:tcW w:w="1283"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08CBECD" w14:textId="77777777" w:rsidR="00AF7B79" w:rsidRPr="0067478B" w:rsidRDefault="00AF7B79" w:rsidP="00AE74A5">
            <w:pPr>
              <w:rPr>
                <w:iCs/>
                <w:color w:val="000000" w:themeColor="text1"/>
                <w:lang w:eastAsia="lv-LV"/>
              </w:rPr>
            </w:pPr>
            <w:r w:rsidRPr="0067478B">
              <w:rPr>
                <w:iCs/>
                <w:color w:val="000000" w:themeColor="text1"/>
                <w:lang w:eastAsia="lv-LV"/>
              </w:rPr>
              <w:t>2021.gads</w:t>
            </w:r>
          </w:p>
        </w:tc>
        <w:tc>
          <w:tcPr>
            <w:tcW w:w="2987" w:type="pct"/>
            <w:gridSpan w:val="5"/>
            <w:tcBorders>
              <w:top w:val="outset" w:sz="6" w:space="0" w:color="auto"/>
              <w:left w:val="outset" w:sz="6" w:space="0" w:color="auto"/>
              <w:bottom w:val="outset" w:sz="6" w:space="0" w:color="auto"/>
              <w:right w:val="outset" w:sz="6" w:space="0" w:color="auto"/>
            </w:tcBorders>
            <w:vAlign w:val="center"/>
            <w:hideMark/>
          </w:tcPr>
          <w:p w14:paraId="1280AFC4" w14:textId="77777777" w:rsidR="00AF7B79" w:rsidRPr="0067478B" w:rsidRDefault="00AF7B79" w:rsidP="00AE74A5">
            <w:pPr>
              <w:rPr>
                <w:iCs/>
                <w:color w:val="000000" w:themeColor="text1"/>
                <w:lang w:eastAsia="lv-LV"/>
              </w:rPr>
            </w:pPr>
            <w:r w:rsidRPr="0067478B">
              <w:rPr>
                <w:iCs/>
                <w:color w:val="000000" w:themeColor="text1"/>
                <w:lang w:eastAsia="lv-LV"/>
              </w:rPr>
              <w:t>Turpmākie trīs gadi (</w:t>
            </w:r>
            <w:r w:rsidRPr="0067478B">
              <w:rPr>
                <w:i/>
                <w:iCs/>
                <w:color w:val="000000" w:themeColor="text1"/>
                <w:lang w:eastAsia="lv-LV"/>
              </w:rPr>
              <w:t>euro</w:t>
            </w:r>
            <w:r w:rsidRPr="0067478B">
              <w:rPr>
                <w:iCs/>
                <w:color w:val="000000" w:themeColor="text1"/>
                <w:lang w:eastAsia="lv-LV"/>
              </w:rPr>
              <w:t>)</w:t>
            </w:r>
          </w:p>
        </w:tc>
      </w:tr>
      <w:tr w:rsidR="00AF7B79" w:rsidRPr="0067478B" w14:paraId="35764B6C" w14:textId="77777777" w:rsidTr="00ED3317">
        <w:trPr>
          <w:tblCellSpacing w:w="15" w:type="dxa"/>
        </w:trPr>
        <w:tc>
          <w:tcPr>
            <w:tcW w:w="665" w:type="pct"/>
            <w:vMerge/>
            <w:tcBorders>
              <w:top w:val="outset" w:sz="6" w:space="0" w:color="auto"/>
              <w:left w:val="outset" w:sz="6" w:space="0" w:color="auto"/>
              <w:bottom w:val="outset" w:sz="6" w:space="0" w:color="auto"/>
              <w:right w:val="outset" w:sz="6" w:space="0" w:color="auto"/>
            </w:tcBorders>
            <w:vAlign w:val="center"/>
            <w:hideMark/>
          </w:tcPr>
          <w:p w14:paraId="5506AB77" w14:textId="77777777" w:rsidR="00AF7B79" w:rsidRPr="0067478B" w:rsidRDefault="00AF7B79" w:rsidP="00AE74A5">
            <w:pPr>
              <w:rPr>
                <w:iCs/>
                <w:color w:val="000000" w:themeColor="text1"/>
                <w:lang w:eastAsia="lv-LV"/>
              </w:rPr>
            </w:pPr>
          </w:p>
        </w:tc>
        <w:tc>
          <w:tcPr>
            <w:tcW w:w="1283" w:type="pct"/>
            <w:gridSpan w:val="2"/>
            <w:vMerge/>
            <w:tcBorders>
              <w:top w:val="outset" w:sz="6" w:space="0" w:color="auto"/>
              <w:left w:val="outset" w:sz="6" w:space="0" w:color="auto"/>
              <w:bottom w:val="outset" w:sz="6" w:space="0" w:color="auto"/>
              <w:right w:val="outset" w:sz="6" w:space="0" w:color="auto"/>
            </w:tcBorders>
            <w:vAlign w:val="center"/>
            <w:hideMark/>
          </w:tcPr>
          <w:p w14:paraId="7BECC4C6" w14:textId="77777777" w:rsidR="00AF7B79" w:rsidRPr="0067478B" w:rsidRDefault="00AF7B79" w:rsidP="00AE74A5">
            <w:pPr>
              <w:rPr>
                <w:iCs/>
                <w:color w:val="000000" w:themeColor="text1"/>
                <w:lang w:eastAsia="lv-LV"/>
              </w:rPr>
            </w:pPr>
          </w:p>
        </w:tc>
        <w:tc>
          <w:tcPr>
            <w:tcW w:w="1062" w:type="pct"/>
            <w:gridSpan w:val="2"/>
            <w:tcBorders>
              <w:top w:val="outset" w:sz="6" w:space="0" w:color="auto"/>
              <w:left w:val="outset" w:sz="6" w:space="0" w:color="auto"/>
              <w:bottom w:val="outset" w:sz="6" w:space="0" w:color="auto"/>
              <w:right w:val="outset" w:sz="6" w:space="0" w:color="auto"/>
            </w:tcBorders>
            <w:vAlign w:val="center"/>
            <w:hideMark/>
          </w:tcPr>
          <w:p w14:paraId="4545EA3F" w14:textId="77777777" w:rsidR="00AF7B79" w:rsidRPr="0067478B" w:rsidRDefault="00AF7B79" w:rsidP="00AE74A5">
            <w:pPr>
              <w:rPr>
                <w:iCs/>
                <w:color w:val="000000" w:themeColor="text1"/>
                <w:lang w:eastAsia="lv-LV"/>
              </w:rPr>
            </w:pPr>
            <w:r w:rsidRPr="0067478B">
              <w:rPr>
                <w:iCs/>
                <w:color w:val="000000" w:themeColor="text1"/>
                <w:lang w:eastAsia="lv-LV"/>
              </w:rPr>
              <w:t>2022.gads</w:t>
            </w:r>
          </w:p>
        </w:tc>
        <w:tc>
          <w:tcPr>
            <w:tcW w:w="1062" w:type="pct"/>
            <w:gridSpan w:val="2"/>
            <w:tcBorders>
              <w:top w:val="outset" w:sz="6" w:space="0" w:color="auto"/>
              <w:left w:val="outset" w:sz="6" w:space="0" w:color="auto"/>
              <w:bottom w:val="outset" w:sz="6" w:space="0" w:color="auto"/>
              <w:right w:val="outset" w:sz="6" w:space="0" w:color="auto"/>
            </w:tcBorders>
            <w:vAlign w:val="center"/>
            <w:hideMark/>
          </w:tcPr>
          <w:p w14:paraId="263858B7" w14:textId="77777777" w:rsidR="00AF7B79" w:rsidRPr="0067478B" w:rsidRDefault="00AF7B79" w:rsidP="00AE74A5">
            <w:pPr>
              <w:rPr>
                <w:iCs/>
                <w:color w:val="000000" w:themeColor="text1"/>
                <w:lang w:eastAsia="lv-LV"/>
              </w:rPr>
            </w:pPr>
            <w:r w:rsidRPr="0067478B">
              <w:rPr>
                <w:iCs/>
                <w:color w:val="000000" w:themeColor="text1"/>
                <w:lang w:eastAsia="lv-LV"/>
              </w:rPr>
              <w:t>2023.gads</w:t>
            </w:r>
          </w:p>
        </w:tc>
        <w:tc>
          <w:tcPr>
            <w:tcW w:w="831" w:type="pct"/>
            <w:tcBorders>
              <w:top w:val="outset" w:sz="6" w:space="0" w:color="auto"/>
              <w:left w:val="outset" w:sz="6" w:space="0" w:color="auto"/>
              <w:bottom w:val="outset" w:sz="6" w:space="0" w:color="auto"/>
              <w:right w:val="outset" w:sz="6" w:space="0" w:color="auto"/>
            </w:tcBorders>
            <w:vAlign w:val="center"/>
            <w:hideMark/>
          </w:tcPr>
          <w:p w14:paraId="5AB0388C" w14:textId="77777777" w:rsidR="00AF7B79" w:rsidRPr="0067478B" w:rsidRDefault="00AF7B79" w:rsidP="00AE74A5">
            <w:pPr>
              <w:rPr>
                <w:iCs/>
                <w:color w:val="000000" w:themeColor="text1"/>
                <w:lang w:eastAsia="lv-LV"/>
              </w:rPr>
            </w:pPr>
            <w:r w:rsidRPr="0067478B">
              <w:rPr>
                <w:iCs/>
                <w:color w:val="000000" w:themeColor="text1"/>
                <w:lang w:eastAsia="lv-LV"/>
              </w:rPr>
              <w:t>2024.gads</w:t>
            </w:r>
          </w:p>
        </w:tc>
      </w:tr>
      <w:tr w:rsidR="00AF7B79" w:rsidRPr="0067478B" w14:paraId="1C99550A" w14:textId="77777777" w:rsidTr="00ED3317">
        <w:trPr>
          <w:tblCellSpacing w:w="15" w:type="dxa"/>
        </w:trPr>
        <w:tc>
          <w:tcPr>
            <w:tcW w:w="665" w:type="pct"/>
            <w:vMerge/>
            <w:tcBorders>
              <w:top w:val="outset" w:sz="6" w:space="0" w:color="auto"/>
              <w:left w:val="outset" w:sz="6" w:space="0" w:color="auto"/>
              <w:bottom w:val="outset" w:sz="6" w:space="0" w:color="auto"/>
              <w:right w:val="outset" w:sz="6" w:space="0" w:color="auto"/>
            </w:tcBorders>
            <w:vAlign w:val="center"/>
            <w:hideMark/>
          </w:tcPr>
          <w:p w14:paraId="16382BAE" w14:textId="77777777" w:rsidR="00AF7B79" w:rsidRPr="0067478B" w:rsidRDefault="00AF7B79" w:rsidP="00AE74A5">
            <w:pPr>
              <w:rPr>
                <w:iCs/>
                <w:color w:val="000000" w:themeColor="text1"/>
                <w:lang w:eastAsia="lv-LV"/>
              </w:rPr>
            </w:pPr>
          </w:p>
        </w:tc>
        <w:tc>
          <w:tcPr>
            <w:tcW w:w="702" w:type="pct"/>
            <w:tcBorders>
              <w:top w:val="outset" w:sz="6" w:space="0" w:color="auto"/>
              <w:left w:val="outset" w:sz="6" w:space="0" w:color="auto"/>
              <w:bottom w:val="outset" w:sz="6" w:space="0" w:color="auto"/>
              <w:right w:val="outset" w:sz="6" w:space="0" w:color="auto"/>
            </w:tcBorders>
            <w:vAlign w:val="center"/>
            <w:hideMark/>
          </w:tcPr>
          <w:p w14:paraId="03F06398" w14:textId="77777777" w:rsidR="00AF7B79" w:rsidRPr="0067478B" w:rsidRDefault="00AF7B79" w:rsidP="00AE74A5">
            <w:pPr>
              <w:rPr>
                <w:iCs/>
                <w:color w:val="000000" w:themeColor="text1"/>
                <w:lang w:eastAsia="lv-LV"/>
              </w:rPr>
            </w:pPr>
            <w:r w:rsidRPr="0067478B">
              <w:rPr>
                <w:iCs/>
                <w:color w:val="000000" w:themeColor="text1"/>
                <w:lang w:eastAsia="lv-LV"/>
              </w:rPr>
              <w:t>saskaņā ar valsts budžetu kārtējam gadam</w:t>
            </w:r>
          </w:p>
        </w:tc>
        <w:tc>
          <w:tcPr>
            <w:tcW w:w="564" w:type="pct"/>
            <w:tcBorders>
              <w:top w:val="outset" w:sz="6" w:space="0" w:color="auto"/>
              <w:left w:val="outset" w:sz="6" w:space="0" w:color="auto"/>
              <w:bottom w:val="outset" w:sz="6" w:space="0" w:color="auto"/>
              <w:right w:val="outset" w:sz="6" w:space="0" w:color="auto"/>
            </w:tcBorders>
            <w:vAlign w:val="center"/>
            <w:hideMark/>
          </w:tcPr>
          <w:p w14:paraId="3829663B" w14:textId="77777777" w:rsidR="00AF7B79" w:rsidRPr="0067478B" w:rsidRDefault="00AF7B79" w:rsidP="00AE74A5">
            <w:pPr>
              <w:rPr>
                <w:iCs/>
                <w:color w:val="000000" w:themeColor="text1"/>
                <w:lang w:eastAsia="lv-LV"/>
              </w:rPr>
            </w:pPr>
            <w:r w:rsidRPr="0067478B">
              <w:rPr>
                <w:iCs/>
                <w:color w:val="000000" w:themeColor="text1"/>
                <w:lang w:eastAsia="lv-LV"/>
              </w:rPr>
              <w:t>izmaiņas kārtējā gadā, salīdzinot ar valsts budžetu kārtējam gadam</w:t>
            </w:r>
          </w:p>
        </w:tc>
        <w:tc>
          <w:tcPr>
            <w:tcW w:w="456" w:type="pct"/>
            <w:tcBorders>
              <w:top w:val="outset" w:sz="6" w:space="0" w:color="auto"/>
              <w:left w:val="outset" w:sz="6" w:space="0" w:color="auto"/>
              <w:bottom w:val="outset" w:sz="6" w:space="0" w:color="auto"/>
              <w:right w:val="outset" w:sz="6" w:space="0" w:color="auto"/>
            </w:tcBorders>
            <w:vAlign w:val="center"/>
            <w:hideMark/>
          </w:tcPr>
          <w:p w14:paraId="2743BF20" w14:textId="77777777" w:rsidR="00AF7B79" w:rsidRPr="0067478B" w:rsidRDefault="00AF7B79" w:rsidP="00AE74A5">
            <w:pPr>
              <w:rPr>
                <w:iCs/>
                <w:color w:val="000000" w:themeColor="text1"/>
                <w:lang w:eastAsia="lv-LV"/>
              </w:rPr>
            </w:pPr>
            <w:r w:rsidRPr="0067478B">
              <w:rPr>
                <w:iCs/>
                <w:color w:val="000000" w:themeColor="text1"/>
                <w:lang w:eastAsia="lv-LV"/>
              </w:rPr>
              <w:t>saskaņā ar vidēja termiņa budžeta ietvaru</w:t>
            </w:r>
          </w:p>
        </w:tc>
        <w:tc>
          <w:tcPr>
            <w:tcW w:w="589" w:type="pct"/>
            <w:tcBorders>
              <w:top w:val="outset" w:sz="6" w:space="0" w:color="auto"/>
              <w:left w:val="outset" w:sz="6" w:space="0" w:color="auto"/>
              <w:bottom w:val="outset" w:sz="6" w:space="0" w:color="auto"/>
              <w:right w:val="outset" w:sz="6" w:space="0" w:color="auto"/>
            </w:tcBorders>
            <w:vAlign w:val="center"/>
            <w:hideMark/>
          </w:tcPr>
          <w:p w14:paraId="6D07F25C" w14:textId="77777777" w:rsidR="00AF7B79" w:rsidRPr="0067478B" w:rsidRDefault="00AF7B79" w:rsidP="00AE74A5">
            <w:pPr>
              <w:rPr>
                <w:iCs/>
                <w:color w:val="000000" w:themeColor="text1"/>
                <w:lang w:eastAsia="lv-LV"/>
              </w:rPr>
            </w:pPr>
            <w:r w:rsidRPr="0067478B">
              <w:rPr>
                <w:iCs/>
                <w:color w:val="000000" w:themeColor="text1"/>
                <w:lang w:eastAsia="lv-LV"/>
              </w:rPr>
              <w:t>izmaiņas, salīdzinot ar vidēja termiņa budžeta ietvaru 2022.gads gadam</w:t>
            </w:r>
          </w:p>
        </w:tc>
        <w:tc>
          <w:tcPr>
            <w:tcW w:w="456" w:type="pct"/>
            <w:tcBorders>
              <w:top w:val="outset" w:sz="6" w:space="0" w:color="auto"/>
              <w:left w:val="outset" w:sz="6" w:space="0" w:color="auto"/>
              <w:bottom w:val="outset" w:sz="6" w:space="0" w:color="auto"/>
              <w:right w:val="outset" w:sz="6" w:space="0" w:color="auto"/>
            </w:tcBorders>
            <w:vAlign w:val="center"/>
            <w:hideMark/>
          </w:tcPr>
          <w:p w14:paraId="64E9950D" w14:textId="77777777" w:rsidR="00AF7B79" w:rsidRPr="0067478B" w:rsidRDefault="00AF7B79" w:rsidP="00AE74A5">
            <w:pPr>
              <w:rPr>
                <w:iCs/>
                <w:color w:val="000000" w:themeColor="text1"/>
                <w:lang w:eastAsia="lv-LV"/>
              </w:rPr>
            </w:pPr>
            <w:r w:rsidRPr="0067478B">
              <w:rPr>
                <w:iCs/>
                <w:color w:val="000000" w:themeColor="text1"/>
                <w:lang w:eastAsia="lv-LV"/>
              </w:rPr>
              <w:t>saskaņā ar vidēja termiņa budžeta ietvaru</w:t>
            </w:r>
          </w:p>
        </w:tc>
        <w:tc>
          <w:tcPr>
            <w:tcW w:w="589" w:type="pct"/>
            <w:tcBorders>
              <w:top w:val="outset" w:sz="6" w:space="0" w:color="auto"/>
              <w:left w:val="outset" w:sz="6" w:space="0" w:color="auto"/>
              <w:bottom w:val="outset" w:sz="6" w:space="0" w:color="auto"/>
              <w:right w:val="outset" w:sz="6" w:space="0" w:color="auto"/>
            </w:tcBorders>
            <w:vAlign w:val="center"/>
            <w:hideMark/>
          </w:tcPr>
          <w:p w14:paraId="700807A2" w14:textId="77777777" w:rsidR="00AF7B79" w:rsidRPr="0067478B" w:rsidRDefault="00AF7B79" w:rsidP="00AE74A5">
            <w:pPr>
              <w:rPr>
                <w:iCs/>
                <w:color w:val="000000" w:themeColor="text1"/>
                <w:lang w:eastAsia="lv-LV"/>
              </w:rPr>
            </w:pPr>
            <w:r w:rsidRPr="0067478B">
              <w:rPr>
                <w:iCs/>
                <w:color w:val="000000" w:themeColor="text1"/>
                <w:lang w:eastAsia="lv-LV"/>
              </w:rPr>
              <w:t>izmaiņas, salīdzinot ar vidēja termiņa budžeta ietvaru 2023.gads gadam</w:t>
            </w:r>
          </w:p>
        </w:tc>
        <w:tc>
          <w:tcPr>
            <w:tcW w:w="831" w:type="pct"/>
            <w:tcBorders>
              <w:top w:val="outset" w:sz="6" w:space="0" w:color="auto"/>
              <w:left w:val="outset" w:sz="6" w:space="0" w:color="auto"/>
              <w:bottom w:val="outset" w:sz="6" w:space="0" w:color="auto"/>
              <w:right w:val="outset" w:sz="6" w:space="0" w:color="auto"/>
            </w:tcBorders>
            <w:vAlign w:val="center"/>
            <w:hideMark/>
          </w:tcPr>
          <w:p w14:paraId="7F19D1FA" w14:textId="77777777" w:rsidR="00AF7B79" w:rsidRPr="0067478B" w:rsidRDefault="00AF7B79" w:rsidP="00AE74A5">
            <w:pPr>
              <w:rPr>
                <w:iCs/>
                <w:color w:val="000000" w:themeColor="text1"/>
                <w:lang w:eastAsia="lv-LV"/>
              </w:rPr>
            </w:pPr>
            <w:r w:rsidRPr="0067478B">
              <w:rPr>
                <w:iCs/>
                <w:color w:val="000000" w:themeColor="text1"/>
                <w:lang w:eastAsia="lv-LV"/>
              </w:rPr>
              <w:t>izmaiņas, salīdzinot ar vidēja termiņa budžeta ietvaru 2023. gadam</w:t>
            </w:r>
          </w:p>
        </w:tc>
      </w:tr>
      <w:tr w:rsidR="00AF7B79" w:rsidRPr="0067478B" w14:paraId="505E95F9"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vAlign w:val="center"/>
            <w:hideMark/>
          </w:tcPr>
          <w:p w14:paraId="416025CB" w14:textId="77777777" w:rsidR="00AF7B79" w:rsidRPr="0067478B" w:rsidRDefault="00AF7B79" w:rsidP="00AE74A5">
            <w:pPr>
              <w:rPr>
                <w:iCs/>
                <w:color w:val="000000" w:themeColor="text1"/>
                <w:lang w:eastAsia="lv-LV"/>
              </w:rPr>
            </w:pPr>
            <w:r w:rsidRPr="0067478B">
              <w:rPr>
                <w:iCs/>
                <w:color w:val="000000" w:themeColor="text1"/>
                <w:lang w:eastAsia="lv-LV"/>
              </w:rPr>
              <w:t>1</w:t>
            </w:r>
          </w:p>
        </w:tc>
        <w:tc>
          <w:tcPr>
            <w:tcW w:w="702" w:type="pct"/>
            <w:tcBorders>
              <w:top w:val="outset" w:sz="6" w:space="0" w:color="auto"/>
              <w:left w:val="outset" w:sz="6" w:space="0" w:color="auto"/>
              <w:bottom w:val="outset" w:sz="6" w:space="0" w:color="auto"/>
              <w:right w:val="outset" w:sz="6" w:space="0" w:color="auto"/>
            </w:tcBorders>
            <w:vAlign w:val="center"/>
            <w:hideMark/>
          </w:tcPr>
          <w:p w14:paraId="2096A953" w14:textId="77777777" w:rsidR="00AF7B79" w:rsidRPr="0067478B" w:rsidRDefault="00AF7B79" w:rsidP="00AE74A5">
            <w:pPr>
              <w:rPr>
                <w:iCs/>
                <w:color w:val="000000" w:themeColor="text1"/>
                <w:lang w:eastAsia="lv-LV"/>
              </w:rPr>
            </w:pPr>
            <w:r w:rsidRPr="0067478B">
              <w:rPr>
                <w:iCs/>
                <w:color w:val="000000" w:themeColor="text1"/>
                <w:lang w:eastAsia="lv-LV"/>
              </w:rPr>
              <w:t>2</w:t>
            </w:r>
          </w:p>
        </w:tc>
        <w:tc>
          <w:tcPr>
            <w:tcW w:w="564" w:type="pct"/>
            <w:tcBorders>
              <w:top w:val="outset" w:sz="6" w:space="0" w:color="auto"/>
              <w:left w:val="outset" w:sz="6" w:space="0" w:color="auto"/>
              <w:bottom w:val="outset" w:sz="6" w:space="0" w:color="auto"/>
              <w:right w:val="outset" w:sz="6" w:space="0" w:color="auto"/>
            </w:tcBorders>
            <w:vAlign w:val="center"/>
            <w:hideMark/>
          </w:tcPr>
          <w:p w14:paraId="4EEAA10E" w14:textId="77777777" w:rsidR="00AF7B79" w:rsidRPr="0067478B" w:rsidRDefault="00AF7B79" w:rsidP="00AE74A5">
            <w:pPr>
              <w:rPr>
                <w:iCs/>
                <w:color w:val="000000" w:themeColor="text1"/>
                <w:lang w:eastAsia="lv-LV"/>
              </w:rPr>
            </w:pPr>
            <w:r w:rsidRPr="0067478B">
              <w:rPr>
                <w:iCs/>
                <w:color w:val="000000" w:themeColor="text1"/>
                <w:lang w:eastAsia="lv-LV"/>
              </w:rPr>
              <w:t>3</w:t>
            </w:r>
          </w:p>
        </w:tc>
        <w:tc>
          <w:tcPr>
            <w:tcW w:w="456" w:type="pct"/>
            <w:tcBorders>
              <w:top w:val="outset" w:sz="6" w:space="0" w:color="auto"/>
              <w:left w:val="outset" w:sz="6" w:space="0" w:color="auto"/>
              <w:bottom w:val="outset" w:sz="6" w:space="0" w:color="auto"/>
              <w:right w:val="outset" w:sz="6" w:space="0" w:color="auto"/>
            </w:tcBorders>
            <w:vAlign w:val="center"/>
            <w:hideMark/>
          </w:tcPr>
          <w:p w14:paraId="1A317001" w14:textId="77777777" w:rsidR="00AF7B79" w:rsidRPr="0067478B" w:rsidRDefault="00AF7B79" w:rsidP="00AE74A5">
            <w:pPr>
              <w:rPr>
                <w:iCs/>
                <w:color w:val="000000" w:themeColor="text1"/>
                <w:lang w:eastAsia="lv-LV"/>
              </w:rPr>
            </w:pPr>
            <w:r w:rsidRPr="0067478B">
              <w:rPr>
                <w:iCs/>
                <w:color w:val="000000" w:themeColor="text1"/>
                <w:lang w:eastAsia="lv-LV"/>
              </w:rPr>
              <w:t>4</w:t>
            </w:r>
          </w:p>
        </w:tc>
        <w:tc>
          <w:tcPr>
            <w:tcW w:w="589" w:type="pct"/>
            <w:tcBorders>
              <w:top w:val="outset" w:sz="6" w:space="0" w:color="auto"/>
              <w:left w:val="outset" w:sz="6" w:space="0" w:color="auto"/>
              <w:bottom w:val="outset" w:sz="6" w:space="0" w:color="auto"/>
              <w:right w:val="outset" w:sz="6" w:space="0" w:color="auto"/>
            </w:tcBorders>
            <w:vAlign w:val="center"/>
            <w:hideMark/>
          </w:tcPr>
          <w:p w14:paraId="75A288A3" w14:textId="77777777" w:rsidR="00AF7B79" w:rsidRPr="0067478B" w:rsidRDefault="00AF7B79" w:rsidP="00AE74A5">
            <w:pPr>
              <w:rPr>
                <w:iCs/>
                <w:color w:val="000000" w:themeColor="text1"/>
                <w:lang w:eastAsia="lv-LV"/>
              </w:rPr>
            </w:pPr>
            <w:r w:rsidRPr="0067478B">
              <w:rPr>
                <w:iCs/>
                <w:color w:val="000000" w:themeColor="text1"/>
                <w:lang w:eastAsia="lv-LV"/>
              </w:rPr>
              <w:t>5</w:t>
            </w:r>
          </w:p>
        </w:tc>
        <w:tc>
          <w:tcPr>
            <w:tcW w:w="456" w:type="pct"/>
            <w:tcBorders>
              <w:top w:val="outset" w:sz="6" w:space="0" w:color="auto"/>
              <w:left w:val="outset" w:sz="6" w:space="0" w:color="auto"/>
              <w:bottom w:val="outset" w:sz="6" w:space="0" w:color="auto"/>
              <w:right w:val="outset" w:sz="6" w:space="0" w:color="auto"/>
            </w:tcBorders>
            <w:vAlign w:val="center"/>
            <w:hideMark/>
          </w:tcPr>
          <w:p w14:paraId="7760D0D8" w14:textId="77777777" w:rsidR="00AF7B79" w:rsidRPr="0067478B" w:rsidRDefault="00AF7B79" w:rsidP="00AE74A5">
            <w:pPr>
              <w:rPr>
                <w:iCs/>
                <w:color w:val="000000" w:themeColor="text1"/>
                <w:lang w:eastAsia="lv-LV"/>
              </w:rPr>
            </w:pPr>
            <w:r w:rsidRPr="0067478B">
              <w:rPr>
                <w:iCs/>
                <w:color w:val="000000" w:themeColor="text1"/>
                <w:lang w:eastAsia="lv-LV"/>
              </w:rPr>
              <w:t>6</w:t>
            </w:r>
          </w:p>
        </w:tc>
        <w:tc>
          <w:tcPr>
            <w:tcW w:w="589" w:type="pct"/>
            <w:tcBorders>
              <w:top w:val="outset" w:sz="6" w:space="0" w:color="auto"/>
              <w:left w:val="outset" w:sz="6" w:space="0" w:color="auto"/>
              <w:bottom w:val="outset" w:sz="6" w:space="0" w:color="auto"/>
              <w:right w:val="outset" w:sz="6" w:space="0" w:color="auto"/>
            </w:tcBorders>
            <w:vAlign w:val="center"/>
            <w:hideMark/>
          </w:tcPr>
          <w:p w14:paraId="5838E395" w14:textId="77777777" w:rsidR="00AF7B79" w:rsidRPr="0067478B" w:rsidRDefault="00AF7B79" w:rsidP="00AE74A5">
            <w:pPr>
              <w:rPr>
                <w:iCs/>
                <w:color w:val="000000" w:themeColor="text1"/>
                <w:lang w:eastAsia="lv-LV"/>
              </w:rPr>
            </w:pPr>
            <w:r w:rsidRPr="0067478B">
              <w:rPr>
                <w:iCs/>
                <w:color w:val="000000" w:themeColor="text1"/>
                <w:lang w:eastAsia="lv-LV"/>
              </w:rPr>
              <w:t>7</w:t>
            </w:r>
          </w:p>
        </w:tc>
        <w:tc>
          <w:tcPr>
            <w:tcW w:w="831" w:type="pct"/>
            <w:tcBorders>
              <w:top w:val="outset" w:sz="6" w:space="0" w:color="auto"/>
              <w:left w:val="outset" w:sz="6" w:space="0" w:color="auto"/>
              <w:bottom w:val="outset" w:sz="6" w:space="0" w:color="auto"/>
              <w:right w:val="outset" w:sz="6" w:space="0" w:color="auto"/>
            </w:tcBorders>
            <w:vAlign w:val="center"/>
            <w:hideMark/>
          </w:tcPr>
          <w:p w14:paraId="197FA160" w14:textId="77777777" w:rsidR="00AF7B79" w:rsidRPr="0067478B" w:rsidRDefault="00AF7B79" w:rsidP="00AE74A5">
            <w:pPr>
              <w:rPr>
                <w:iCs/>
                <w:color w:val="000000" w:themeColor="text1"/>
                <w:lang w:eastAsia="lv-LV"/>
              </w:rPr>
            </w:pPr>
            <w:r w:rsidRPr="0067478B">
              <w:rPr>
                <w:iCs/>
                <w:color w:val="000000" w:themeColor="text1"/>
                <w:lang w:eastAsia="lv-LV"/>
              </w:rPr>
              <w:t>8</w:t>
            </w:r>
          </w:p>
        </w:tc>
      </w:tr>
      <w:tr w:rsidR="00AF7B79" w:rsidRPr="0067478B" w14:paraId="5D378C34"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57AC50D7" w14:textId="77777777" w:rsidR="00AF7B79" w:rsidRPr="0067478B" w:rsidRDefault="00AF7B79" w:rsidP="00AE74A5">
            <w:pPr>
              <w:rPr>
                <w:iCs/>
                <w:color w:val="000000" w:themeColor="text1"/>
                <w:lang w:eastAsia="lv-LV"/>
              </w:rPr>
            </w:pPr>
            <w:r w:rsidRPr="0067478B">
              <w:rPr>
                <w:iCs/>
                <w:color w:val="000000" w:themeColor="text1"/>
                <w:lang w:eastAsia="lv-LV"/>
              </w:rPr>
              <w:t>1. Budžeta ieņēmumi</w:t>
            </w:r>
          </w:p>
        </w:tc>
        <w:tc>
          <w:tcPr>
            <w:tcW w:w="702" w:type="pct"/>
            <w:tcBorders>
              <w:top w:val="outset" w:sz="6" w:space="0" w:color="auto"/>
              <w:left w:val="outset" w:sz="6" w:space="0" w:color="auto"/>
              <w:bottom w:val="outset" w:sz="6" w:space="0" w:color="auto"/>
              <w:right w:val="outset" w:sz="6" w:space="0" w:color="auto"/>
            </w:tcBorders>
            <w:vAlign w:val="center"/>
            <w:hideMark/>
          </w:tcPr>
          <w:p w14:paraId="08A62AB7"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64" w:type="pct"/>
            <w:tcBorders>
              <w:top w:val="outset" w:sz="6" w:space="0" w:color="auto"/>
              <w:left w:val="outset" w:sz="6" w:space="0" w:color="auto"/>
              <w:bottom w:val="outset" w:sz="6" w:space="0" w:color="auto"/>
              <w:right w:val="outset" w:sz="6" w:space="0" w:color="auto"/>
            </w:tcBorders>
            <w:vAlign w:val="center"/>
            <w:hideMark/>
          </w:tcPr>
          <w:p w14:paraId="69C16374"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3B114317"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20479D0D"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7660D170"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7B4FAE18"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1" w:type="pct"/>
            <w:tcBorders>
              <w:top w:val="outset" w:sz="6" w:space="0" w:color="auto"/>
              <w:left w:val="outset" w:sz="6" w:space="0" w:color="auto"/>
              <w:bottom w:val="outset" w:sz="6" w:space="0" w:color="auto"/>
              <w:right w:val="outset" w:sz="6" w:space="0" w:color="auto"/>
            </w:tcBorders>
            <w:vAlign w:val="center"/>
            <w:hideMark/>
          </w:tcPr>
          <w:p w14:paraId="3AD6CB07"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r>
      <w:tr w:rsidR="00AF7B79" w:rsidRPr="0067478B" w14:paraId="295445F0"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370A9DBA" w14:textId="77777777" w:rsidR="00AF7B79" w:rsidRPr="0067478B" w:rsidRDefault="00AF7B79" w:rsidP="00AE74A5">
            <w:pPr>
              <w:rPr>
                <w:iCs/>
                <w:color w:val="000000" w:themeColor="text1"/>
                <w:lang w:eastAsia="lv-LV"/>
              </w:rPr>
            </w:pPr>
            <w:r w:rsidRPr="0067478B">
              <w:rPr>
                <w:iCs/>
                <w:color w:val="000000" w:themeColor="text1"/>
                <w:lang w:eastAsia="lv-LV"/>
              </w:rPr>
              <w:t>1.1. valsts pamatbudžets, tai skaitā ieņēmumi no maksas pakalpojumiem un citi pašu ieņēmumi</w:t>
            </w:r>
          </w:p>
        </w:tc>
        <w:tc>
          <w:tcPr>
            <w:tcW w:w="702" w:type="pct"/>
            <w:tcBorders>
              <w:top w:val="outset" w:sz="6" w:space="0" w:color="auto"/>
              <w:left w:val="outset" w:sz="6" w:space="0" w:color="auto"/>
              <w:bottom w:val="outset" w:sz="6" w:space="0" w:color="auto"/>
              <w:right w:val="outset" w:sz="6" w:space="0" w:color="auto"/>
            </w:tcBorders>
            <w:vAlign w:val="center"/>
            <w:hideMark/>
          </w:tcPr>
          <w:p w14:paraId="2D51C58F"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64" w:type="pct"/>
            <w:tcBorders>
              <w:top w:val="outset" w:sz="6" w:space="0" w:color="auto"/>
              <w:left w:val="outset" w:sz="6" w:space="0" w:color="auto"/>
              <w:bottom w:val="outset" w:sz="6" w:space="0" w:color="auto"/>
              <w:right w:val="outset" w:sz="6" w:space="0" w:color="auto"/>
            </w:tcBorders>
            <w:vAlign w:val="center"/>
            <w:hideMark/>
          </w:tcPr>
          <w:p w14:paraId="3514C263"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787215B8"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4BB8382B"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754F9B11"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09FCC607"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1" w:type="pct"/>
            <w:tcBorders>
              <w:top w:val="outset" w:sz="6" w:space="0" w:color="auto"/>
              <w:left w:val="outset" w:sz="6" w:space="0" w:color="auto"/>
              <w:bottom w:val="outset" w:sz="6" w:space="0" w:color="auto"/>
              <w:right w:val="outset" w:sz="6" w:space="0" w:color="auto"/>
            </w:tcBorders>
            <w:vAlign w:val="center"/>
            <w:hideMark/>
          </w:tcPr>
          <w:p w14:paraId="4145AEEB"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r>
      <w:tr w:rsidR="00AF7B79" w:rsidRPr="0067478B" w14:paraId="100844B4"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210BD67D" w14:textId="77777777" w:rsidR="00AF7B79" w:rsidRPr="0067478B" w:rsidRDefault="00AF7B79" w:rsidP="00AE74A5">
            <w:pPr>
              <w:rPr>
                <w:iCs/>
                <w:color w:val="000000" w:themeColor="text1"/>
                <w:lang w:eastAsia="lv-LV"/>
              </w:rPr>
            </w:pPr>
            <w:r w:rsidRPr="0067478B">
              <w:rPr>
                <w:iCs/>
                <w:color w:val="000000" w:themeColor="text1"/>
                <w:lang w:eastAsia="lv-LV"/>
              </w:rPr>
              <w:lastRenderedPageBreak/>
              <w:t>1.2. valsts speciālais budžets</w:t>
            </w:r>
          </w:p>
        </w:tc>
        <w:tc>
          <w:tcPr>
            <w:tcW w:w="702" w:type="pct"/>
            <w:tcBorders>
              <w:top w:val="outset" w:sz="6" w:space="0" w:color="auto"/>
              <w:left w:val="outset" w:sz="6" w:space="0" w:color="auto"/>
              <w:bottom w:val="outset" w:sz="6" w:space="0" w:color="auto"/>
              <w:right w:val="outset" w:sz="6" w:space="0" w:color="auto"/>
            </w:tcBorders>
            <w:vAlign w:val="center"/>
            <w:hideMark/>
          </w:tcPr>
          <w:p w14:paraId="5E304C21"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64" w:type="pct"/>
            <w:tcBorders>
              <w:top w:val="outset" w:sz="6" w:space="0" w:color="auto"/>
              <w:left w:val="outset" w:sz="6" w:space="0" w:color="auto"/>
              <w:bottom w:val="outset" w:sz="6" w:space="0" w:color="auto"/>
              <w:right w:val="outset" w:sz="6" w:space="0" w:color="auto"/>
            </w:tcBorders>
            <w:vAlign w:val="center"/>
            <w:hideMark/>
          </w:tcPr>
          <w:p w14:paraId="7DE57C34"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67DADE82"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529718BD"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099CD9A3"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615606EC"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1" w:type="pct"/>
            <w:tcBorders>
              <w:top w:val="outset" w:sz="6" w:space="0" w:color="auto"/>
              <w:left w:val="outset" w:sz="6" w:space="0" w:color="auto"/>
              <w:bottom w:val="outset" w:sz="6" w:space="0" w:color="auto"/>
              <w:right w:val="outset" w:sz="6" w:space="0" w:color="auto"/>
            </w:tcBorders>
            <w:vAlign w:val="center"/>
            <w:hideMark/>
          </w:tcPr>
          <w:p w14:paraId="3C547B3A"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r>
      <w:tr w:rsidR="00AF7B79" w:rsidRPr="0067478B" w14:paraId="4B3161CB"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28405EB2" w14:textId="77777777" w:rsidR="00AF7B79" w:rsidRPr="0067478B" w:rsidRDefault="00AF7B79" w:rsidP="00AE74A5">
            <w:pPr>
              <w:rPr>
                <w:iCs/>
                <w:color w:val="000000" w:themeColor="text1"/>
                <w:lang w:eastAsia="lv-LV"/>
              </w:rPr>
            </w:pPr>
            <w:r w:rsidRPr="0067478B">
              <w:rPr>
                <w:iCs/>
                <w:color w:val="000000" w:themeColor="text1"/>
                <w:lang w:eastAsia="lv-LV"/>
              </w:rPr>
              <w:t>1.3. pašvaldību budžets</w:t>
            </w:r>
          </w:p>
        </w:tc>
        <w:tc>
          <w:tcPr>
            <w:tcW w:w="702" w:type="pct"/>
            <w:tcBorders>
              <w:top w:val="outset" w:sz="6" w:space="0" w:color="auto"/>
              <w:left w:val="outset" w:sz="6" w:space="0" w:color="auto"/>
              <w:bottom w:val="outset" w:sz="6" w:space="0" w:color="auto"/>
              <w:right w:val="outset" w:sz="6" w:space="0" w:color="auto"/>
            </w:tcBorders>
            <w:vAlign w:val="center"/>
            <w:hideMark/>
          </w:tcPr>
          <w:p w14:paraId="487D9A12"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64" w:type="pct"/>
            <w:tcBorders>
              <w:top w:val="outset" w:sz="6" w:space="0" w:color="auto"/>
              <w:left w:val="outset" w:sz="6" w:space="0" w:color="auto"/>
              <w:bottom w:val="outset" w:sz="6" w:space="0" w:color="auto"/>
              <w:right w:val="outset" w:sz="6" w:space="0" w:color="auto"/>
            </w:tcBorders>
            <w:vAlign w:val="center"/>
            <w:hideMark/>
          </w:tcPr>
          <w:p w14:paraId="158C825A"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4A717A0E"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7E64503C"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6967163D"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32CD1986"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1" w:type="pct"/>
            <w:tcBorders>
              <w:top w:val="outset" w:sz="6" w:space="0" w:color="auto"/>
              <w:left w:val="outset" w:sz="6" w:space="0" w:color="auto"/>
              <w:bottom w:val="outset" w:sz="6" w:space="0" w:color="auto"/>
              <w:right w:val="outset" w:sz="6" w:space="0" w:color="auto"/>
            </w:tcBorders>
            <w:vAlign w:val="center"/>
            <w:hideMark/>
          </w:tcPr>
          <w:p w14:paraId="0158EAB9"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r>
      <w:tr w:rsidR="00AF7B79" w:rsidRPr="0067478B" w14:paraId="42BB8FDE"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4081977E" w14:textId="77777777" w:rsidR="00AF7B79" w:rsidRPr="0067478B" w:rsidRDefault="00AF7B79" w:rsidP="00AE74A5">
            <w:pPr>
              <w:rPr>
                <w:iCs/>
                <w:color w:val="000000" w:themeColor="text1"/>
                <w:lang w:eastAsia="lv-LV"/>
              </w:rPr>
            </w:pPr>
            <w:r w:rsidRPr="0067478B">
              <w:rPr>
                <w:iCs/>
                <w:color w:val="000000" w:themeColor="text1"/>
                <w:lang w:eastAsia="lv-LV"/>
              </w:rPr>
              <w:t>2. Budžeta izdevumi</w:t>
            </w:r>
          </w:p>
        </w:tc>
        <w:tc>
          <w:tcPr>
            <w:tcW w:w="702" w:type="pct"/>
            <w:tcBorders>
              <w:top w:val="outset" w:sz="6" w:space="0" w:color="auto"/>
              <w:left w:val="outset" w:sz="6" w:space="0" w:color="auto"/>
              <w:bottom w:val="outset" w:sz="6" w:space="0" w:color="auto"/>
              <w:right w:val="outset" w:sz="6" w:space="0" w:color="auto"/>
            </w:tcBorders>
            <w:vAlign w:val="center"/>
            <w:hideMark/>
          </w:tcPr>
          <w:p w14:paraId="469D8D8C"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64" w:type="pct"/>
            <w:tcBorders>
              <w:top w:val="outset" w:sz="6" w:space="0" w:color="auto"/>
              <w:left w:val="outset" w:sz="6" w:space="0" w:color="auto"/>
              <w:bottom w:val="outset" w:sz="6" w:space="0" w:color="auto"/>
              <w:right w:val="outset" w:sz="6" w:space="0" w:color="auto"/>
            </w:tcBorders>
            <w:vAlign w:val="center"/>
            <w:hideMark/>
          </w:tcPr>
          <w:p w14:paraId="254C065B"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709CAA5F"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4540EC22" w14:textId="77777777" w:rsidR="00AF7B79" w:rsidRPr="0067478B" w:rsidRDefault="00AF7B79" w:rsidP="00AE74A5">
            <w:pPr>
              <w:jc w:val="center"/>
              <w:rPr>
                <w:iCs/>
                <w:color w:val="000000" w:themeColor="text1"/>
                <w:lang w:eastAsia="lv-LV"/>
              </w:rPr>
            </w:pPr>
            <w:r w:rsidRPr="0067478B">
              <w:rPr>
                <w:iCs/>
                <w:color w:val="000000" w:themeColor="text1"/>
                <w:lang w:eastAsia="lv-LV"/>
              </w:rPr>
              <w:t>23 997</w:t>
            </w:r>
          </w:p>
        </w:tc>
        <w:tc>
          <w:tcPr>
            <w:tcW w:w="456" w:type="pct"/>
            <w:tcBorders>
              <w:top w:val="outset" w:sz="6" w:space="0" w:color="auto"/>
              <w:left w:val="outset" w:sz="6" w:space="0" w:color="auto"/>
              <w:bottom w:val="outset" w:sz="6" w:space="0" w:color="auto"/>
              <w:right w:val="outset" w:sz="6" w:space="0" w:color="auto"/>
            </w:tcBorders>
            <w:vAlign w:val="center"/>
            <w:hideMark/>
          </w:tcPr>
          <w:p w14:paraId="66AFA44C"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7B3EF08A"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1" w:type="pct"/>
            <w:tcBorders>
              <w:top w:val="outset" w:sz="6" w:space="0" w:color="auto"/>
              <w:left w:val="outset" w:sz="6" w:space="0" w:color="auto"/>
              <w:bottom w:val="outset" w:sz="6" w:space="0" w:color="auto"/>
              <w:right w:val="outset" w:sz="6" w:space="0" w:color="auto"/>
            </w:tcBorders>
            <w:vAlign w:val="center"/>
            <w:hideMark/>
          </w:tcPr>
          <w:p w14:paraId="389EE4C8"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r>
      <w:tr w:rsidR="00AF7B79" w:rsidRPr="0067478B" w14:paraId="1D4A3B02"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308B0EDE" w14:textId="77777777" w:rsidR="00AF7B79" w:rsidRPr="0067478B" w:rsidRDefault="00AF7B79" w:rsidP="00AE74A5">
            <w:pPr>
              <w:rPr>
                <w:iCs/>
                <w:color w:val="000000" w:themeColor="text1"/>
                <w:lang w:eastAsia="lv-LV"/>
              </w:rPr>
            </w:pPr>
            <w:r w:rsidRPr="0067478B">
              <w:rPr>
                <w:iCs/>
                <w:color w:val="000000" w:themeColor="text1"/>
                <w:lang w:eastAsia="lv-LV"/>
              </w:rPr>
              <w:t>2.1. valsts pamatbudžets</w:t>
            </w:r>
          </w:p>
        </w:tc>
        <w:tc>
          <w:tcPr>
            <w:tcW w:w="702" w:type="pct"/>
            <w:tcBorders>
              <w:top w:val="outset" w:sz="6" w:space="0" w:color="auto"/>
              <w:left w:val="outset" w:sz="6" w:space="0" w:color="auto"/>
              <w:bottom w:val="outset" w:sz="6" w:space="0" w:color="auto"/>
              <w:right w:val="outset" w:sz="6" w:space="0" w:color="auto"/>
            </w:tcBorders>
            <w:vAlign w:val="center"/>
            <w:hideMark/>
          </w:tcPr>
          <w:p w14:paraId="61C61E9B"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64" w:type="pct"/>
            <w:tcBorders>
              <w:top w:val="outset" w:sz="6" w:space="0" w:color="auto"/>
              <w:left w:val="outset" w:sz="6" w:space="0" w:color="auto"/>
              <w:bottom w:val="outset" w:sz="6" w:space="0" w:color="auto"/>
              <w:right w:val="outset" w:sz="6" w:space="0" w:color="auto"/>
            </w:tcBorders>
            <w:vAlign w:val="center"/>
            <w:hideMark/>
          </w:tcPr>
          <w:p w14:paraId="089116D9"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412643F2"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74096ED5" w14:textId="77777777" w:rsidR="00AF7B79" w:rsidRPr="0067478B" w:rsidRDefault="00AF7B79" w:rsidP="00AE74A5">
            <w:pPr>
              <w:jc w:val="center"/>
              <w:rPr>
                <w:iCs/>
                <w:color w:val="000000" w:themeColor="text1"/>
                <w:lang w:eastAsia="lv-LV"/>
              </w:rPr>
            </w:pPr>
            <w:r w:rsidRPr="0067478B">
              <w:rPr>
                <w:iCs/>
                <w:color w:val="000000" w:themeColor="text1"/>
                <w:lang w:eastAsia="lv-LV"/>
              </w:rPr>
              <w:t>23 997</w:t>
            </w:r>
          </w:p>
        </w:tc>
        <w:tc>
          <w:tcPr>
            <w:tcW w:w="456" w:type="pct"/>
            <w:tcBorders>
              <w:top w:val="outset" w:sz="6" w:space="0" w:color="auto"/>
              <w:left w:val="outset" w:sz="6" w:space="0" w:color="auto"/>
              <w:bottom w:val="outset" w:sz="6" w:space="0" w:color="auto"/>
              <w:right w:val="outset" w:sz="6" w:space="0" w:color="auto"/>
            </w:tcBorders>
            <w:vAlign w:val="center"/>
            <w:hideMark/>
          </w:tcPr>
          <w:p w14:paraId="28EDCC01"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45B8081F"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1" w:type="pct"/>
            <w:tcBorders>
              <w:top w:val="outset" w:sz="6" w:space="0" w:color="auto"/>
              <w:left w:val="outset" w:sz="6" w:space="0" w:color="auto"/>
              <w:bottom w:val="outset" w:sz="6" w:space="0" w:color="auto"/>
              <w:right w:val="outset" w:sz="6" w:space="0" w:color="auto"/>
            </w:tcBorders>
            <w:vAlign w:val="center"/>
            <w:hideMark/>
          </w:tcPr>
          <w:p w14:paraId="401C6B39"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r>
      <w:tr w:rsidR="00AF7B79" w:rsidRPr="0067478B" w14:paraId="579F61EA"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43C67246" w14:textId="77777777" w:rsidR="00AF7B79" w:rsidRPr="0067478B" w:rsidRDefault="00AF7B79" w:rsidP="00AE74A5">
            <w:pPr>
              <w:rPr>
                <w:iCs/>
                <w:color w:val="000000" w:themeColor="text1"/>
                <w:lang w:eastAsia="lv-LV"/>
              </w:rPr>
            </w:pPr>
            <w:r w:rsidRPr="0067478B">
              <w:rPr>
                <w:iCs/>
                <w:color w:val="000000" w:themeColor="text1"/>
                <w:lang w:eastAsia="lv-LV"/>
              </w:rPr>
              <w:t>2.2. valsts speciālais budžets</w:t>
            </w:r>
          </w:p>
        </w:tc>
        <w:tc>
          <w:tcPr>
            <w:tcW w:w="702" w:type="pct"/>
            <w:tcBorders>
              <w:top w:val="outset" w:sz="6" w:space="0" w:color="auto"/>
              <w:left w:val="outset" w:sz="6" w:space="0" w:color="auto"/>
              <w:bottom w:val="outset" w:sz="6" w:space="0" w:color="auto"/>
              <w:right w:val="outset" w:sz="6" w:space="0" w:color="auto"/>
            </w:tcBorders>
            <w:vAlign w:val="center"/>
            <w:hideMark/>
          </w:tcPr>
          <w:p w14:paraId="2F1ACA43"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64" w:type="pct"/>
            <w:tcBorders>
              <w:top w:val="outset" w:sz="6" w:space="0" w:color="auto"/>
              <w:left w:val="outset" w:sz="6" w:space="0" w:color="auto"/>
              <w:bottom w:val="outset" w:sz="6" w:space="0" w:color="auto"/>
              <w:right w:val="outset" w:sz="6" w:space="0" w:color="auto"/>
            </w:tcBorders>
            <w:vAlign w:val="center"/>
            <w:hideMark/>
          </w:tcPr>
          <w:p w14:paraId="31CE3638"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4F02DFEE"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3C558248"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3773CF4F"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70E4EAA7"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1" w:type="pct"/>
            <w:tcBorders>
              <w:top w:val="outset" w:sz="6" w:space="0" w:color="auto"/>
              <w:left w:val="outset" w:sz="6" w:space="0" w:color="auto"/>
              <w:bottom w:val="outset" w:sz="6" w:space="0" w:color="auto"/>
              <w:right w:val="outset" w:sz="6" w:space="0" w:color="auto"/>
            </w:tcBorders>
            <w:vAlign w:val="center"/>
            <w:hideMark/>
          </w:tcPr>
          <w:p w14:paraId="190B0A85"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r>
      <w:tr w:rsidR="00AF7B79" w:rsidRPr="0067478B" w14:paraId="5C0F93CC"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187C206F" w14:textId="77777777" w:rsidR="00AF7B79" w:rsidRPr="0067478B" w:rsidRDefault="00AF7B79" w:rsidP="00AE74A5">
            <w:pPr>
              <w:rPr>
                <w:iCs/>
                <w:color w:val="000000" w:themeColor="text1"/>
                <w:lang w:eastAsia="lv-LV"/>
              </w:rPr>
            </w:pPr>
            <w:r w:rsidRPr="0067478B">
              <w:rPr>
                <w:iCs/>
                <w:color w:val="000000" w:themeColor="text1"/>
                <w:lang w:eastAsia="lv-LV"/>
              </w:rPr>
              <w:t>2.3. pašvaldību budžets</w:t>
            </w:r>
          </w:p>
        </w:tc>
        <w:tc>
          <w:tcPr>
            <w:tcW w:w="702" w:type="pct"/>
            <w:tcBorders>
              <w:top w:val="outset" w:sz="6" w:space="0" w:color="auto"/>
              <w:left w:val="outset" w:sz="6" w:space="0" w:color="auto"/>
              <w:bottom w:val="outset" w:sz="6" w:space="0" w:color="auto"/>
              <w:right w:val="outset" w:sz="6" w:space="0" w:color="auto"/>
            </w:tcBorders>
            <w:vAlign w:val="center"/>
            <w:hideMark/>
          </w:tcPr>
          <w:p w14:paraId="6CF4EE4E"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64" w:type="pct"/>
            <w:tcBorders>
              <w:top w:val="outset" w:sz="6" w:space="0" w:color="auto"/>
              <w:left w:val="outset" w:sz="6" w:space="0" w:color="auto"/>
              <w:bottom w:val="outset" w:sz="6" w:space="0" w:color="auto"/>
              <w:right w:val="outset" w:sz="6" w:space="0" w:color="auto"/>
            </w:tcBorders>
            <w:vAlign w:val="center"/>
            <w:hideMark/>
          </w:tcPr>
          <w:p w14:paraId="0B671815"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0D1386EB"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412B9C12"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410F28F1"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7DA28D8C"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1" w:type="pct"/>
            <w:tcBorders>
              <w:top w:val="outset" w:sz="6" w:space="0" w:color="auto"/>
              <w:left w:val="outset" w:sz="6" w:space="0" w:color="auto"/>
              <w:bottom w:val="outset" w:sz="6" w:space="0" w:color="auto"/>
              <w:right w:val="outset" w:sz="6" w:space="0" w:color="auto"/>
            </w:tcBorders>
            <w:vAlign w:val="center"/>
            <w:hideMark/>
          </w:tcPr>
          <w:p w14:paraId="601D388E"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r>
      <w:tr w:rsidR="00AF7B79" w:rsidRPr="0067478B" w14:paraId="350E559D"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5CA5EEBF" w14:textId="77777777" w:rsidR="00AF7B79" w:rsidRPr="0067478B" w:rsidRDefault="00AF7B79" w:rsidP="00AE74A5">
            <w:pPr>
              <w:rPr>
                <w:iCs/>
                <w:color w:val="000000" w:themeColor="text1"/>
                <w:lang w:eastAsia="lv-LV"/>
              </w:rPr>
            </w:pPr>
            <w:r w:rsidRPr="0067478B">
              <w:rPr>
                <w:iCs/>
                <w:color w:val="000000" w:themeColor="text1"/>
                <w:lang w:eastAsia="lv-LV"/>
              </w:rPr>
              <w:t>3. Finansiālā ietekme</w:t>
            </w:r>
          </w:p>
        </w:tc>
        <w:tc>
          <w:tcPr>
            <w:tcW w:w="702" w:type="pct"/>
            <w:tcBorders>
              <w:top w:val="outset" w:sz="6" w:space="0" w:color="auto"/>
              <w:left w:val="outset" w:sz="6" w:space="0" w:color="auto"/>
              <w:bottom w:val="outset" w:sz="6" w:space="0" w:color="auto"/>
              <w:right w:val="outset" w:sz="6" w:space="0" w:color="auto"/>
            </w:tcBorders>
            <w:vAlign w:val="center"/>
            <w:hideMark/>
          </w:tcPr>
          <w:p w14:paraId="64C4F5F8"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64" w:type="pct"/>
            <w:tcBorders>
              <w:top w:val="outset" w:sz="6" w:space="0" w:color="auto"/>
              <w:left w:val="outset" w:sz="6" w:space="0" w:color="auto"/>
              <w:bottom w:val="outset" w:sz="6" w:space="0" w:color="auto"/>
              <w:right w:val="outset" w:sz="6" w:space="0" w:color="auto"/>
            </w:tcBorders>
            <w:vAlign w:val="center"/>
            <w:hideMark/>
          </w:tcPr>
          <w:p w14:paraId="731D0A1A"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3C196D93"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368D6A0F" w14:textId="77777777" w:rsidR="00AF7B79" w:rsidRPr="0067478B" w:rsidRDefault="00AF7B79" w:rsidP="00AE74A5">
            <w:pPr>
              <w:jc w:val="center"/>
              <w:rPr>
                <w:iCs/>
                <w:color w:val="000000" w:themeColor="text1"/>
                <w:lang w:eastAsia="lv-LV"/>
              </w:rPr>
            </w:pPr>
            <w:r w:rsidRPr="0067478B">
              <w:rPr>
                <w:iCs/>
                <w:color w:val="000000" w:themeColor="text1"/>
                <w:lang w:eastAsia="lv-LV"/>
              </w:rPr>
              <w:t>-23 997</w:t>
            </w:r>
          </w:p>
        </w:tc>
        <w:tc>
          <w:tcPr>
            <w:tcW w:w="456" w:type="pct"/>
            <w:tcBorders>
              <w:top w:val="outset" w:sz="6" w:space="0" w:color="auto"/>
              <w:left w:val="outset" w:sz="6" w:space="0" w:color="auto"/>
              <w:bottom w:val="outset" w:sz="6" w:space="0" w:color="auto"/>
              <w:right w:val="outset" w:sz="6" w:space="0" w:color="auto"/>
            </w:tcBorders>
            <w:vAlign w:val="center"/>
            <w:hideMark/>
          </w:tcPr>
          <w:p w14:paraId="6A2A8A21"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7D01F52B"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1" w:type="pct"/>
            <w:tcBorders>
              <w:top w:val="outset" w:sz="6" w:space="0" w:color="auto"/>
              <w:left w:val="outset" w:sz="6" w:space="0" w:color="auto"/>
              <w:bottom w:val="outset" w:sz="6" w:space="0" w:color="auto"/>
              <w:right w:val="outset" w:sz="6" w:space="0" w:color="auto"/>
            </w:tcBorders>
            <w:vAlign w:val="center"/>
            <w:hideMark/>
          </w:tcPr>
          <w:p w14:paraId="4F276303"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r>
      <w:tr w:rsidR="00AF7B79" w:rsidRPr="0067478B" w14:paraId="3A5213DD"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01F7349E" w14:textId="77777777" w:rsidR="00AF7B79" w:rsidRPr="0067478B" w:rsidRDefault="00AF7B79" w:rsidP="00AE74A5">
            <w:pPr>
              <w:rPr>
                <w:iCs/>
                <w:color w:val="000000" w:themeColor="text1"/>
                <w:lang w:eastAsia="lv-LV"/>
              </w:rPr>
            </w:pPr>
            <w:r w:rsidRPr="0067478B">
              <w:rPr>
                <w:iCs/>
                <w:color w:val="000000" w:themeColor="text1"/>
                <w:lang w:eastAsia="lv-LV"/>
              </w:rPr>
              <w:t>3.1. valsts pamatbudžets</w:t>
            </w:r>
          </w:p>
        </w:tc>
        <w:tc>
          <w:tcPr>
            <w:tcW w:w="702" w:type="pct"/>
            <w:tcBorders>
              <w:top w:val="outset" w:sz="6" w:space="0" w:color="auto"/>
              <w:left w:val="outset" w:sz="6" w:space="0" w:color="auto"/>
              <w:bottom w:val="outset" w:sz="6" w:space="0" w:color="auto"/>
              <w:right w:val="outset" w:sz="6" w:space="0" w:color="auto"/>
            </w:tcBorders>
            <w:vAlign w:val="center"/>
            <w:hideMark/>
          </w:tcPr>
          <w:p w14:paraId="03AA36F1"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64" w:type="pct"/>
            <w:tcBorders>
              <w:top w:val="outset" w:sz="6" w:space="0" w:color="auto"/>
              <w:left w:val="outset" w:sz="6" w:space="0" w:color="auto"/>
              <w:bottom w:val="outset" w:sz="6" w:space="0" w:color="auto"/>
              <w:right w:val="outset" w:sz="6" w:space="0" w:color="auto"/>
            </w:tcBorders>
            <w:vAlign w:val="center"/>
            <w:hideMark/>
          </w:tcPr>
          <w:p w14:paraId="340A6F1B"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0F552815"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50EF6A95" w14:textId="77777777" w:rsidR="00AF7B79" w:rsidRPr="0067478B" w:rsidRDefault="00AF7B79" w:rsidP="00AE74A5">
            <w:pPr>
              <w:jc w:val="center"/>
              <w:rPr>
                <w:iCs/>
                <w:color w:val="000000" w:themeColor="text1"/>
                <w:lang w:eastAsia="lv-LV"/>
              </w:rPr>
            </w:pPr>
            <w:r w:rsidRPr="0067478B">
              <w:rPr>
                <w:iCs/>
                <w:color w:val="000000" w:themeColor="text1"/>
                <w:lang w:eastAsia="lv-LV"/>
              </w:rPr>
              <w:t>-23 997</w:t>
            </w:r>
          </w:p>
        </w:tc>
        <w:tc>
          <w:tcPr>
            <w:tcW w:w="456" w:type="pct"/>
            <w:tcBorders>
              <w:top w:val="outset" w:sz="6" w:space="0" w:color="auto"/>
              <w:left w:val="outset" w:sz="6" w:space="0" w:color="auto"/>
              <w:bottom w:val="outset" w:sz="6" w:space="0" w:color="auto"/>
              <w:right w:val="outset" w:sz="6" w:space="0" w:color="auto"/>
            </w:tcBorders>
            <w:vAlign w:val="center"/>
            <w:hideMark/>
          </w:tcPr>
          <w:p w14:paraId="0BD8BA20"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14690D48"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1" w:type="pct"/>
            <w:tcBorders>
              <w:top w:val="outset" w:sz="6" w:space="0" w:color="auto"/>
              <w:left w:val="outset" w:sz="6" w:space="0" w:color="auto"/>
              <w:bottom w:val="outset" w:sz="6" w:space="0" w:color="auto"/>
              <w:right w:val="outset" w:sz="6" w:space="0" w:color="auto"/>
            </w:tcBorders>
            <w:vAlign w:val="center"/>
            <w:hideMark/>
          </w:tcPr>
          <w:p w14:paraId="1D2F4AB7"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r>
      <w:tr w:rsidR="00AF7B79" w:rsidRPr="0067478B" w14:paraId="6DCDA6ED"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79D0E6C3" w14:textId="77777777" w:rsidR="00AF7B79" w:rsidRPr="0067478B" w:rsidRDefault="00AF7B79" w:rsidP="00AE74A5">
            <w:pPr>
              <w:rPr>
                <w:iCs/>
                <w:color w:val="000000" w:themeColor="text1"/>
                <w:lang w:eastAsia="lv-LV"/>
              </w:rPr>
            </w:pPr>
            <w:r w:rsidRPr="0067478B">
              <w:rPr>
                <w:iCs/>
                <w:color w:val="000000" w:themeColor="text1"/>
                <w:lang w:eastAsia="lv-LV"/>
              </w:rPr>
              <w:t>3.2. speciālais budžets</w:t>
            </w:r>
          </w:p>
        </w:tc>
        <w:tc>
          <w:tcPr>
            <w:tcW w:w="702" w:type="pct"/>
            <w:tcBorders>
              <w:top w:val="outset" w:sz="6" w:space="0" w:color="auto"/>
              <w:left w:val="outset" w:sz="6" w:space="0" w:color="auto"/>
              <w:bottom w:val="outset" w:sz="6" w:space="0" w:color="auto"/>
              <w:right w:val="outset" w:sz="6" w:space="0" w:color="auto"/>
            </w:tcBorders>
            <w:vAlign w:val="center"/>
            <w:hideMark/>
          </w:tcPr>
          <w:p w14:paraId="5E31D31B"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64" w:type="pct"/>
            <w:tcBorders>
              <w:top w:val="outset" w:sz="6" w:space="0" w:color="auto"/>
              <w:left w:val="outset" w:sz="6" w:space="0" w:color="auto"/>
              <w:bottom w:val="outset" w:sz="6" w:space="0" w:color="auto"/>
              <w:right w:val="outset" w:sz="6" w:space="0" w:color="auto"/>
            </w:tcBorders>
            <w:vAlign w:val="center"/>
            <w:hideMark/>
          </w:tcPr>
          <w:p w14:paraId="387C8DD9"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1D5A8BE9"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35B62776"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2814AE17"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3C676220"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1" w:type="pct"/>
            <w:tcBorders>
              <w:top w:val="outset" w:sz="6" w:space="0" w:color="auto"/>
              <w:left w:val="outset" w:sz="6" w:space="0" w:color="auto"/>
              <w:bottom w:val="outset" w:sz="6" w:space="0" w:color="auto"/>
              <w:right w:val="outset" w:sz="6" w:space="0" w:color="auto"/>
            </w:tcBorders>
            <w:vAlign w:val="center"/>
            <w:hideMark/>
          </w:tcPr>
          <w:p w14:paraId="652C412F"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r>
      <w:tr w:rsidR="00AF7B79" w:rsidRPr="0067478B" w14:paraId="27ED1E4F"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0589BFCC" w14:textId="77777777" w:rsidR="00AF7B79" w:rsidRPr="0067478B" w:rsidRDefault="00AF7B79" w:rsidP="00AE74A5">
            <w:pPr>
              <w:rPr>
                <w:iCs/>
                <w:color w:val="000000" w:themeColor="text1"/>
                <w:lang w:eastAsia="lv-LV"/>
              </w:rPr>
            </w:pPr>
            <w:r w:rsidRPr="0067478B">
              <w:rPr>
                <w:iCs/>
                <w:color w:val="000000" w:themeColor="text1"/>
                <w:lang w:eastAsia="lv-LV"/>
              </w:rPr>
              <w:t>3.3. pašvaldību budžets</w:t>
            </w:r>
          </w:p>
        </w:tc>
        <w:tc>
          <w:tcPr>
            <w:tcW w:w="702" w:type="pct"/>
            <w:tcBorders>
              <w:top w:val="outset" w:sz="6" w:space="0" w:color="auto"/>
              <w:left w:val="outset" w:sz="6" w:space="0" w:color="auto"/>
              <w:bottom w:val="outset" w:sz="6" w:space="0" w:color="auto"/>
              <w:right w:val="outset" w:sz="6" w:space="0" w:color="auto"/>
            </w:tcBorders>
            <w:vAlign w:val="center"/>
            <w:hideMark/>
          </w:tcPr>
          <w:p w14:paraId="108FA597"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64" w:type="pct"/>
            <w:tcBorders>
              <w:top w:val="outset" w:sz="6" w:space="0" w:color="auto"/>
              <w:left w:val="outset" w:sz="6" w:space="0" w:color="auto"/>
              <w:bottom w:val="outset" w:sz="6" w:space="0" w:color="auto"/>
              <w:right w:val="outset" w:sz="6" w:space="0" w:color="auto"/>
            </w:tcBorders>
            <w:vAlign w:val="center"/>
            <w:hideMark/>
          </w:tcPr>
          <w:p w14:paraId="71D05956"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61001D05"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5C662E7E"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57128445"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589" w:type="pct"/>
            <w:tcBorders>
              <w:top w:val="outset" w:sz="6" w:space="0" w:color="auto"/>
              <w:left w:val="outset" w:sz="6" w:space="0" w:color="auto"/>
              <w:bottom w:val="outset" w:sz="6" w:space="0" w:color="auto"/>
              <w:right w:val="outset" w:sz="6" w:space="0" w:color="auto"/>
            </w:tcBorders>
            <w:vAlign w:val="center"/>
            <w:hideMark/>
          </w:tcPr>
          <w:p w14:paraId="7C692580"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1" w:type="pct"/>
            <w:tcBorders>
              <w:top w:val="outset" w:sz="6" w:space="0" w:color="auto"/>
              <w:left w:val="outset" w:sz="6" w:space="0" w:color="auto"/>
              <w:bottom w:val="outset" w:sz="6" w:space="0" w:color="auto"/>
              <w:right w:val="outset" w:sz="6" w:space="0" w:color="auto"/>
            </w:tcBorders>
            <w:vAlign w:val="center"/>
            <w:hideMark/>
          </w:tcPr>
          <w:p w14:paraId="68D0A8EB"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r>
      <w:tr w:rsidR="00AF7B79" w:rsidRPr="0067478B" w14:paraId="7E100471"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4EB0757F" w14:textId="77777777" w:rsidR="00AF7B79" w:rsidRPr="0067478B" w:rsidRDefault="00AF7B79" w:rsidP="00AE74A5">
            <w:pPr>
              <w:rPr>
                <w:iCs/>
                <w:color w:val="000000" w:themeColor="text1"/>
                <w:lang w:eastAsia="lv-LV"/>
              </w:rPr>
            </w:pPr>
            <w:r w:rsidRPr="0067478B">
              <w:rPr>
                <w:iCs/>
                <w:color w:val="000000" w:themeColor="text1"/>
                <w:lang w:eastAsia="lv-LV"/>
              </w:rPr>
              <w:t>4. Finanšu līdzekļi papildu izdevumu finansēšanai (kompensējošu izdevumu samazinājumu norāda ar "+" zīmi)</w:t>
            </w:r>
          </w:p>
        </w:tc>
        <w:tc>
          <w:tcPr>
            <w:tcW w:w="702" w:type="pct"/>
            <w:tcBorders>
              <w:top w:val="outset" w:sz="6" w:space="0" w:color="auto"/>
              <w:left w:val="outset" w:sz="6" w:space="0" w:color="auto"/>
              <w:bottom w:val="outset" w:sz="6" w:space="0" w:color="auto"/>
              <w:right w:val="outset" w:sz="6" w:space="0" w:color="auto"/>
            </w:tcBorders>
            <w:vAlign w:val="center"/>
            <w:hideMark/>
          </w:tcPr>
          <w:p w14:paraId="629856D6" w14:textId="77777777" w:rsidR="00AF7B79" w:rsidRPr="0067478B" w:rsidRDefault="00AF7B79" w:rsidP="00AE74A5">
            <w:pPr>
              <w:jc w:val="center"/>
              <w:rPr>
                <w:iCs/>
                <w:color w:val="000000" w:themeColor="text1"/>
                <w:lang w:eastAsia="lv-LV"/>
              </w:rPr>
            </w:pPr>
            <w:r w:rsidRPr="0067478B">
              <w:rPr>
                <w:iCs/>
                <w:color w:val="000000" w:themeColor="text1"/>
                <w:lang w:eastAsia="lv-LV"/>
              </w:rPr>
              <w:t>X</w:t>
            </w:r>
          </w:p>
        </w:tc>
        <w:tc>
          <w:tcPr>
            <w:tcW w:w="564" w:type="pct"/>
            <w:tcBorders>
              <w:top w:val="outset" w:sz="6" w:space="0" w:color="auto"/>
              <w:left w:val="outset" w:sz="6" w:space="0" w:color="auto"/>
              <w:bottom w:val="outset" w:sz="6" w:space="0" w:color="auto"/>
              <w:right w:val="outset" w:sz="6" w:space="0" w:color="auto"/>
            </w:tcBorders>
            <w:vAlign w:val="center"/>
            <w:hideMark/>
          </w:tcPr>
          <w:p w14:paraId="09483772" w14:textId="77777777" w:rsidR="00AF7B79" w:rsidRPr="0067478B" w:rsidRDefault="00AF7B79" w:rsidP="00AE74A5">
            <w:pPr>
              <w:jc w:val="center"/>
              <w:rPr>
                <w:iCs/>
                <w:color w:val="000000" w:themeColor="text1"/>
                <w:lang w:eastAsia="lv-LV"/>
              </w:rPr>
            </w:pPr>
          </w:p>
        </w:tc>
        <w:tc>
          <w:tcPr>
            <w:tcW w:w="456" w:type="pct"/>
            <w:tcBorders>
              <w:top w:val="outset" w:sz="6" w:space="0" w:color="auto"/>
              <w:left w:val="outset" w:sz="6" w:space="0" w:color="auto"/>
              <w:bottom w:val="outset" w:sz="6" w:space="0" w:color="auto"/>
              <w:right w:val="outset" w:sz="6" w:space="0" w:color="auto"/>
            </w:tcBorders>
            <w:vAlign w:val="center"/>
            <w:hideMark/>
          </w:tcPr>
          <w:p w14:paraId="3283D2E0" w14:textId="77777777" w:rsidR="00AF7B79" w:rsidRPr="0067478B" w:rsidRDefault="00AF7B79" w:rsidP="00AE74A5">
            <w:pPr>
              <w:jc w:val="center"/>
              <w:rPr>
                <w:iCs/>
                <w:color w:val="000000" w:themeColor="text1"/>
                <w:lang w:eastAsia="lv-LV"/>
              </w:rPr>
            </w:pPr>
            <w:r w:rsidRPr="0067478B">
              <w:rPr>
                <w:iCs/>
                <w:color w:val="000000" w:themeColor="text1"/>
                <w:lang w:eastAsia="lv-LV"/>
              </w:rPr>
              <w:t>X</w:t>
            </w:r>
          </w:p>
        </w:tc>
        <w:tc>
          <w:tcPr>
            <w:tcW w:w="589" w:type="pct"/>
            <w:tcBorders>
              <w:top w:val="outset" w:sz="6" w:space="0" w:color="auto"/>
              <w:left w:val="outset" w:sz="6" w:space="0" w:color="auto"/>
              <w:bottom w:val="outset" w:sz="6" w:space="0" w:color="auto"/>
              <w:right w:val="outset" w:sz="6" w:space="0" w:color="auto"/>
            </w:tcBorders>
            <w:vAlign w:val="center"/>
            <w:hideMark/>
          </w:tcPr>
          <w:p w14:paraId="063DB9A3" w14:textId="77777777" w:rsidR="00AF7B79" w:rsidRPr="0067478B" w:rsidRDefault="00AF7B79" w:rsidP="00AE74A5">
            <w:pPr>
              <w:jc w:val="center"/>
              <w:rPr>
                <w:iCs/>
                <w:color w:val="000000" w:themeColor="text1"/>
                <w:lang w:eastAsia="lv-LV"/>
              </w:rPr>
            </w:pPr>
          </w:p>
        </w:tc>
        <w:tc>
          <w:tcPr>
            <w:tcW w:w="456" w:type="pct"/>
            <w:tcBorders>
              <w:top w:val="outset" w:sz="6" w:space="0" w:color="auto"/>
              <w:left w:val="outset" w:sz="6" w:space="0" w:color="auto"/>
              <w:bottom w:val="outset" w:sz="6" w:space="0" w:color="auto"/>
              <w:right w:val="outset" w:sz="6" w:space="0" w:color="auto"/>
            </w:tcBorders>
            <w:vAlign w:val="center"/>
            <w:hideMark/>
          </w:tcPr>
          <w:p w14:paraId="09076907" w14:textId="77777777" w:rsidR="00AF7B79" w:rsidRPr="0067478B" w:rsidRDefault="00AF7B79" w:rsidP="00AE74A5">
            <w:pPr>
              <w:jc w:val="center"/>
              <w:rPr>
                <w:iCs/>
                <w:color w:val="000000" w:themeColor="text1"/>
                <w:lang w:eastAsia="lv-LV"/>
              </w:rPr>
            </w:pPr>
            <w:r w:rsidRPr="0067478B">
              <w:rPr>
                <w:iCs/>
                <w:color w:val="000000" w:themeColor="text1"/>
                <w:lang w:eastAsia="lv-LV"/>
              </w:rPr>
              <w:t>X</w:t>
            </w:r>
          </w:p>
        </w:tc>
        <w:tc>
          <w:tcPr>
            <w:tcW w:w="589" w:type="pct"/>
            <w:tcBorders>
              <w:top w:val="outset" w:sz="6" w:space="0" w:color="auto"/>
              <w:left w:val="outset" w:sz="6" w:space="0" w:color="auto"/>
              <w:bottom w:val="outset" w:sz="6" w:space="0" w:color="auto"/>
              <w:right w:val="outset" w:sz="6" w:space="0" w:color="auto"/>
            </w:tcBorders>
            <w:vAlign w:val="center"/>
            <w:hideMark/>
          </w:tcPr>
          <w:p w14:paraId="7C54D79A" w14:textId="77777777" w:rsidR="00AF7B79" w:rsidRPr="0067478B" w:rsidRDefault="00AF7B79" w:rsidP="00AE74A5">
            <w:pPr>
              <w:rPr>
                <w:iCs/>
                <w:color w:val="000000" w:themeColor="text1"/>
                <w:lang w:eastAsia="lv-LV"/>
              </w:rPr>
            </w:pPr>
            <w:r w:rsidRPr="0067478B">
              <w:rPr>
                <w:iCs/>
                <w:color w:val="000000" w:themeColor="text1"/>
                <w:lang w:eastAsia="lv-LV"/>
              </w:rPr>
              <w:t> </w:t>
            </w:r>
          </w:p>
        </w:tc>
        <w:tc>
          <w:tcPr>
            <w:tcW w:w="831" w:type="pct"/>
            <w:tcBorders>
              <w:top w:val="outset" w:sz="6" w:space="0" w:color="auto"/>
              <w:left w:val="outset" w:sz="6" w:space="0" w:color="auto"/>
              <w:bottom w:val="outset" w:sz="6" w:space="0" w:color="auto"/>
              <w:right w:val="outset" w:sz="6" w:space="0" w:color="auto"/>
            </w:tcBorders>
            <w:vAlign w:val="center"/>
            <w:hideMark/>
          </w:tcPr>
          <w:p w14:paraId="5DE039A3" w14:textId="77777777" w:rsidR="00AF7B79" w:rsidRPr="0067478B" w:rsidRDefault="00AF7B79" w:rsidP="00AE74A5">
            <w:pPr>
              <w:rPr>
                <w:iCs/>
                <w:color w:val="000000" w:themeColor="text1"/>
                <w:lang w:eastAsia="lv-LV"/>
              </w:rPr>
            </w:pPr>
            <w:r w:rsidRPr="0067478B">
              <w:rPr>
                <w:iCs/>
                <w:color w:val="000000" w:themeColor="text1"/>
                <w:lang w:eastAsia="lv-LV"/>
              </w:rPr>
              <w:t> </w:t>
            </w:r>
          </w:p>
        </w:tc>
      </w:tr>
      <w:tr w:rsidR="00AF7B79" w:rsidRPr="0067478B" w14:paraId="2B4490CE"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47876846" w14:textId="77777777" w:rsidR="00AF7B79" w:rsidRPr="0067478B" w:rsidRDefault="00AF7B79" w:rsidP="00AE74A5">
            <w:pPr>
              <w:rPr>
                <w:iCs/>
                <w:color w:val="000000" w:themeColor="text1"/>
                <w:lang w:eastAsia="lv-LV"/>
              </w:rPr>
            </w:pPr>
            <w:r w:rsidRPr="0067478B">
              <w:rPr>
                <w:iCs/>
                <w:color w:val="000000" w:themeColor="text1"/>
                <w:lang w:eastAsia="lv-LV"/>
              </w:rPr>
              <w:t xml:space="preserve">5. Precizēta </w:t>
            </w:r>
            <w:r w:rsidRPr="0067478B">
              <w:rPr>
                <w:iCs/>
                <w:color w:val="000000" w:themeColor="text1"/>
                <w:lang w:eastAsia="lv-LV"/>
              </w:rPr>
              <w:lastRenderedPageBreak/>
              <w:t>finansiālā ietekme</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30B81DC5" w14:textId="77777777" w:rsidR="00AF7B79" w:rsidRPr="0067478B" w:rsidRDefault="00AF7B79" w:rsidP="00AE74A5">
            <w:pPr>
              <w:jc w:val="center"/>
              <w:rPr>
                <w:iCs/>
                <w:color w:val="000000" w:themeColor="text1"/>
                <w:lang w:eastAsia="lv-LV"/>
              </w:rPr>
            </w:pPr>
          </w:p>
          <w:p w14:paraId="225AEE54" w14:textId="77777777" w:rsidR="00AF7B79" w:rsidRPr="0067478B" w:rsidRDefault="00AF7B79" w:rsidP="00AE74A5">
            <w:pPr>
              <w:jc w:val="center"/>
              <w:rPr>
                <w:iCs/>
                <w:color w:val="000000" w:themeColor="text1"/>
                <w:lang w:eastAsia="lv-LV"/>
              </w:rPr>
            </w:pPr>
          </w:p>
          <w:p w14:paraId="1575C53D" w14:textId="77777777" w:rsidR="00AF7B79" w:rsidRPr="0067478B" w:rsidRDefault="00AF7B79" w:rsidP="00AE74A5">
            <w:pPr>
              <w:jc w:val="center"/>
              <w:rPr>
                <w:iCs/>
                <w:color w:val="000000" w:themeColor="text1"/>
                <w:lang w:eastAsia="lv-LV"/>
              </w:rPr>
            </w:pPr>
          </w:p>
          <w:p w14:paraId="621C7BE4" w14:textId="77777777" w:rsidR="00AF7B79" w:rsidRPr="0067478B" w:rsidRDefault="00AF7B79" w:rsidP="00AE74A5">
            <w:pPr>
              <w:jc w:val="center"/>
              <w:rPr>
                <w:iCs/>
                <w:color w:val="000000" w:themeColor="text1"/>
                <w:lang w:eastAsia="lv-LV"/>
              </w:rPr>
            </w:pPr>
          </w:p>
          <w:p w14:paraId="79C9C5A6" w14:textId="77777777" w:rsidR="00AF7B79" w:rsidRPr="0067478B" w:rsidRDefault="00AF7B79" w:rsidP="00AE74A5">
            <w:pPr>
              <w:jc w:val="center"/>
              <w:rPr>
                <w:iCs/>
                <w:color w:val="000000" w:themeColor="text1"/>
                <w:lang w:eastAsia="lv-LV"/>
              </w:rPr>
            </w:pPr>
          </w:p>
          <w:p w14:paraId="4CB059C1" w14:textId="77777777" w:rsidR="00AF7B79" w:rsidRPr="0067478B" w:rsidRDefault="00AF7B79" w:rsidP="00AE74A5">
            <w:pPr>
              <w:jc w:val="center"/>
              <w:rPr>
                <w:iCs/>
                <w:color w:val="000000" w:themeColor="text1"/>
                <w:lang w:eastAsia="lv-LV"/>
              </w:rPr>
            </w:pPr>
            <w:r w:rsidRPr="0067478B">
              <w:rPr>
                <w:iCs/>
                <w:color w:val="000000" w:themeColor="text1"/>
                <w:lang w:eastAsia="lv-LV"/>
              </w:rPr>
              <w:t>X</w:t>
            </w:r>
          </w:p>
        </w:tc>
        <w:tc>
          <w:tcPr>
            <w:tcW w:w="564" w:type="pct"/>
            <w:tcBorders>
              <w:top w:val="outset" w:sz="6" w:space="0" w:color="auto"/>
              <w:left w:val="outset" w:sz="6" w:space="0" w:color="auto"/>
              <w:bottom w:val="outset" w:sz="6" w:space="0" w:color="auto"/>
              <w:right w:val="outset" w:sz="6" w:space="0" w:color="auto"/>
            </w:tcBorders>
            <w:vAlign w:val="center"/>
            <w:hideMark/>
          </w:tcPr>
          <w:p w14:paraId="2470230C" w14:textId="77777777" w:rsidR="00AF7B79" w:rsidRPr="0067478B" w:rsidRDefault="00AF7B79" w:rsidP="00AE74A5">
            <w:pPr>
              <w:jc w:val="center"/>
              <w:rPr>
                <w:iCs/>
                <w:color w:val="000000" w:themeColor="text1"/>
                <w:lang w:eastAsia="lv-LV"/>
              </w:rPr>
            </w:pPr>
            <w:r w:rsidRPr="0067478B">
              <w:rPr>
                <w:iCs/>
                <w:color w:val="000000" w:themeColor="text1"/>
                <w:lang w:eastAsia="lv-LV"/>
              </w:rPr>
              <w:lastRenderedPageBreak/>
              <w:t>0</w:t>
            </w:r>
          </w:p>
        </w:tc>
        <w:tc>
          <w:tcPr>
            <w:tcW w:w="456" w:type="pct"/>
            <w:vMerge w:val="restart"/>
            <w:tcBorders>
              <w:top w:val="outset" w:sz="6" w:space="0" w:color="auto"/>
              <w:left w:val="outset" w:sz="6" w:space="0" w:color="auto"/>
              <w:bottom w:val="outset" w:sz="6" w:space="0" w:color="auto"/>
              <w:right w:val="outset" w:sz="6" w:space="0" w:color="auto"/>
            </w:tcBorders>
            <w:vAlign w:val="center"/>
            <w:hideMark/>
          </w:tcPr>
          <w:p w14:paraId="7CFD4658" w14:textId="77777777" w:rsidR="00AF7B79" w:rsidRPr="0067478B" w:rsidRDefault="00AF7B79" w:rsidP="00AE74A5">
            <w:pPr>
              <w:jc w:val="center"/>
              <w:rPr>
                <w:iCs/>
                <w:color w:val="000000" w:themeColor="text1"/>
                <w:lang w:eastAsia="lv-LV"/>
              </w:rPr>
            </w:pPr>
          </w:p>
          <w:p w14:paraId="1B8086A5" w14:textId="77777777" w:rsidR="00AF7B79" w:rsidRPr="0067478B" w:rsidRDefault="00AF7B79" w:rsidP="00AE74A5">
            <w:pPr>
              <w:jc w:val="center"/>
              <w:rPr>
                <w:iCs/>
                <w:color w:val="000000" w:themeColor="text1"/>
                <w:lang w:eastAsia="lv-LV"/>
              </w:rPr>
            </w:pPr>
          </w:p>
          <w:p w14:paraId="2CBA3857" w14:textId="77777777" w:rsidR="00AF7B79" w:rsidRPr="0067478B" w:rsidRDefault="00AF7B79" w:rsidP="00AE74A5">
            <w:pPr>
              <w:jc w:val="center"/>
              <w:rPr>
                <w:iCs/>
                <w:color w:val="000000" w:themeColor="text1"/>
                <w:lang w:eastAsia="lv-LV"/>
              </w:rPr>
            </w:pPr>
          </w:p>
          <w:p w14:paraId="7F10379F" w14:textId="77777777" w:rsidR="00AF7B79" w:rsidRPr="0067478B" w:rsidRDefault="00AF7B79" w:rsidP="00AE74A5">
            <w:pPr>
              <w:jc w:val="center"/>
              <w:rPr>
                <w:iCs/>
                <w:color w:val="000000" w:themeColor="text1"/>
                <w:lang w:eastAsia="lv-LV"/>
              </w:rPr>
            </w:pPr>
          </w:p>
          <w:p w14:paraId="2C32BCAF" w14:textId="77777777" w:rsidR="00AF7B79" w:rsidRPr="0067478B" w:rsidRDefault="00AF7B79" w:rsidP="00AE74A5">
            <w:pPr>
              <w:jc w:val="center"/>
              <w:rPr>
                <w:iCs/>
                <w:color w:val="000000" w:themeColor="text1"/>
                <w:lang w:eastAsia="lv-LV"/>
              </w:rPr>
            </w:pPr>
          </w:p>
          <w:p w14:paraId="317D4B09" w14:textId="77777777" w:rsidR="00AF7B79" w:rsidRPr="0067478B" w:rsidRDefault="00AF7B79" w:rsidP="00AE74A5">
            <w:pPr>
              <w:jc w:val="center"/>
              <w:rPr>
                <w:iCs/>
                <w:color w:val="000000" w:themeColor="text1"/>
                <w:lang w:eastAsia="lv-LV"/>
              </w:rPr>
            </w:pPr>
            <w:r w:rsidRPr="0067478B">
              <w:rPr>
                <w:iCs/>
                <w:color w:val="000000" w:themeColor="text1"/>
                <w:lang w:eastAsia="lv-LV"/>
              </w:rPr>
              <w:t>X</w:t>
            </w:r>
          </w:p>
        </w:tc>
        <w:tc>
          <w:tcPr>
            <w:tcW w:w="589" w:type="pct"/>
            <w:tcBorders>
              <w:top w:val="outset" w:sz="6" w:space="0" w:color="auto"/>
              <w:left w:val="outset" w:sz="6" w:space="0" w:color="auto"/>
              <w:bottom w:val="outset" w:sz="6" w:space="0" w:color="auto"/>
              <w:right w:val="outset" w:sz="6" w:space="0" w:color="auto"/>
            </w:tcBorders>
            <w:vAlign w:val="center"/>
            <w:hideMark/>
          </w:tcPr>
          <w:p w14:paraId="2EB45A5C" w14:textId="77777777" w:rsidR="00AF7B79" w:rsidRPr="0067478B" w:rsidRDefault="00AF7B79" w:rsidP="00AE74A5">
            <w:pPr>
              <w:jc w:val="center"/>
              <w:rPr>
                <w:iCs/>
                <w:color w:val="000000" w:themeColor="text1"/>
                <w:lang w:eastAsia="lv-LV"/>
              </w:rPr>
            </w:pPr>
            <w:r w:rsidRPr="0067478B">
              <w:rPr>
                <w:iCs/>
                <w:color w:val="000000" w:themeColor="text1"/>
                <w:lang w:eastAsia="lv-LV"/>
              </w:rPr>
              <w:lastRenderedPageBreak/>
              <w:t>-23 997</w:t>
            </w:r>
          </w:p>
        </w:tc>
        <w:tc>
          <w:tcPr>
            <w:tcW w:w="456" w:type="pct"/>
            <w:vMerge w:val="restart"/>
            <w:tcBorders>
              <w:top w:val="outset" w:sz="6" w:space="0" w:color="auto"/>
              <w:left w:val="outset" w:sz="6" w:space="0" w:color="auto"/>
              <w:bottom w:val="outset" w:sz="6" w:space="0" w:color="auto"/>
              <w:right w:val="outset" w:sz="6" w:space="0" w:color="auto"/>
            </w:tcBorders>
            <w:vAlign w:val="center"/>
            <w:hideMark/>
          </w:tcPr>
          <w:p w14:paraId="57FB36D7" w14:textId="77777777" w:rsidR="00AF7B79" w:rsidRPr="0067478B" w:rsidRDefault="00AF7B79" w:rsidP="00AE74A5">
            <w:pPr>
              <w:jc w:val="center"/>
              <w:rPr>
                <w:iCs/>
                <w:color w:val="000000" w:themeColor="text1"/>
                <w:lang w:eastAsia="lv-LV"/>
              </w:rPr>
            </w:pPr>
          </w:p>
          <w:p w14:paraId="5B73B184" w14:textId="77777777" w:rsidR="00AF7B79" w:rsidRPr="0067478B" w:rsidRDefault="00AF7B79" w:rsidP="00AE74A5">
            <w:pPr>
              <w:jc w:val="center"/>
              <w:rPr>
                <w:iCs/>
                <w:color w:val="000000" w:themeColor="text1"/>
                <w:lang w:eastAsia="lv-LV"/>
              </w:rPr>
            </w:pPr>
          </w:p>
          <w:p w14:paraId="006E05E0" w14:textId="77777777" w:rsidR="00AF7B79" w:rsidRPr="0067478B" w:rsidRDefault="00AF7B79" w:rsidP="00AE74A5">
            <w:pPr>
              <w:jc w:val="center"/>
              <w:rPr>
                <w:iCs/>
                <w:color w:val="000000" w:themeColor="text1"/>
                <w:lang w:eastAsia="lv-LV"/>
              </w:rPr>
            </w:pPr>
          </w:p>
          <w:p w14:paraId="17E40B97" w14:textId="77777777" w:rsidR="00AF7B79" w:rsidRPr="0067478B" w:rsidRDefault="00AF7B79" w:rsidP="00AE74A5">
            <w:pPr>
              <w:jc w:val="center"/>
              <w:rPr>
                <w:iCs/>
                <w:color w:val="000000" w:themeColor="text1"/>
                <w:lang w:eastAsia="lv-LV"/>
              </w:rPr>
            </w:pPr>
          </w:p>
          <w:p w14:paraId="229D4F97" w14:textId="77777777" w:rsidR="00AF7B79" w:rsidRPr="0067478B" w:rsidRDefault="00AF7B79" w:rsidP="00AE74A5">
            <w:pPr>
              <w:jc w:val="center"/>
              <w:rPr>
                <w:iCs/>
                <w:color w:val="000000" w:themeColor="text1"/>
                <w:lang w:eastAsia="lv-LV"/>
              </w:rPr>
            </w:pPr>
          </w:p>
          <w:p w14:paraId="08030786" w14:textId="77777777" w:rsidR="00AF7B79" w:rsidRPr="0067478B" w:rsidRDefault="00AF7B79" w:rsidP="00AE74A5">
            <w:pPr>
              <w:jc w:val="center"/>
              <w:rPr>
                <w:iCs/>
                <w:color w:val="000000" w:themeColor="text1"/>
                <w:lang w:eastAsia="lv-LV"/>
              </w:rPr>
            </w:pPr>
            <w:r w:rsidRPr="0067478B">
              <w:rPr>
                <w:iCs/>
                <w:color w:val="000000" w:themeColor="text1"/>
                <w:lang w:eastAsia="lv-LV"/>
              </w:rPr>
              <w:t>X</w:t>
            </w:r>
          </w:p>
        </w:tc>
        <w:tc>
          <w:tcPr>
            <w:tcW w:w="589" w:type="pct"/>
            <w:tcBorders>
              <w:top w:val="outset" w:sz="6" w:space="0" w:color="auto"/>
              <w:left w:val="outset" w:sz="6" w:space="0" w:color="auto"/>
              <w:bottom w:val="outset" w:sz="6" w:space="0" w:color="auto"/>
              <w:right w:val="outset" w:sz="6" w:space="0" w:color="auto"/>
            </w:tcBorders>
            <w:vAlign w:val="center"/>
            <w:hideMark/>
          </w:tcPr>
          <w:p w14:paraId="77444939" w14:textId="77777777" w:rsidR="00AF7B79" w:rsidRPr="0067478B" w:rsidRDefault="00AF7B79" w:rsidP="00AE74A5">
            <w:pPr>
              <w:jc w:val="center"/>
              <w:rPr>
                <w:iCs/>
                <w:color w:val="000000" w:themeColor="text1"/>
                <w:lang w:eastAsia="lv-LV"/>
              </w:rPr>
            </w:pPr>
            <w:r w:rsidRPr="0067478B">
              <w:rPr>
                <w:iCs/>
                <w:color w:val="000000" w:themeColor="text1"/>
                <w:lang w:eastAsia="lv-LV"/>
              </w:rPr>
              <w:lastRenderedPageBreak/>
              <w:t>0</w:t>
            </w:r>
          </w:p>
        </w:tc>
        <w:tc>
          <w:tcPr>
            <w:tcW w:w="831" w:type="pct"/>
            <w:tcBorders>
              <w:top w:val="outset" w:sz="6" w:space="0" w:color="auto"/>
              <w:left w:val="outset" w:sz="6" w:space="0" w:color="auto"/>
              <w:bottom w:val="outset" w:sz="6" w:space="0" w:color="auto"/>
              <w:right w:val="outset" w:sz="6" w:space="0" w:color="auto"/>
            </w:tcBorders>
            <w:vAlign w:val="center"/>
            <w:hideMark/>
          </w:tcPr>
          <w:p w14:paraId="11BA1858"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r>
      <w:tr w:rsidR="00AF7B79" w:rsidRPr="0067478B" w14:paraId="59E8BF6C"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00740874" w14:textId="77777777" w:rsidR="00AF7B79" w:rsidRPr="0067478B" w:rsidRDefault="00AF7B79" w:rsidP="00AE74A5">
            <w:pPr>
              <w:rPr>
                <w:iCs/>
                <w:color w:val="000000" w:themeColor="text1"/>
                <w:lang w:eastAsia="lv-LV"/>
              </w:rPr>
            </w:pPr>
            <w:r w:rsidRPr="0067478B">
              <w:rPr>
                <w:iCs/>
                <w:color w:val="000000" w:themeColor="text1"/>
                <w:lang w:eastAsia="lv-LV"/>
              </w:rPr>
              <w:t>5.1. valsts pamatbudžets</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E7506E7" w14:textId="77777777" w:rsidR="00AF7B79" w:rsidRPr="0067478B" w:rsidRDefault="00AF7B79" w:rsidP="00AE74A5">
            <w:pPr>
              <w:rPr>
                <w:iCs/>
                <w:color w:val="000000" w:themeColor="text1"/>
                <w:lang w:eastAsia="lv-LV"/>
              </w:rPr>
            </w:pPr>
          </w:p>
        </w:tc>
        <w:tc>
          <w:tcPr>
            <w:tcW w:w="564" w:type="pct"/>
            <w:tcBorders>
              <w:top w:val="outset" w:sz="6" w:space="0" w:color="auto"/>
              <w:left w:val="outset" w:sz="6" w:space="0" w:color="auto"/>
              <w:bottom w:val="outset" w:sz="6" w:space="0" w:color="auto"/>
              <w:right w:val="outset" w:sz="6" w:space="0" w:color="auto"/>
            </w:tcBorders>
            <w:vAlign w:val="center"/>
            <w:hideMark/>
          </w:tcPr>
          <w:p w14:paraId="6A96D808"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8" w:type="dxa"/>
            <w:vMerge/>
            <w:tcBorders>
              <w:top w:val="outset" w:sz="6" w:space="0" w:color="auto"/>
              <w:left w:val="outset" w:sz="6" w:space="0" w:color="auto"/>
              <w:bottom w:val="outset" w:sz="6" w:space="0" w:color="auto"/>
              <w:right w:val="outset" w:sz="6" w:space="0" w:color="auto"/>
            </w:tcBorders>
            <w:vAlign w:val="center"/>
            <w:hideMark/>
          </w:tcPr>
          <w:p w14:paraId="37EAA9E9" w14:textId="77777777" w:rsidR="00AF7B79" w:rsidRPr="0067478B" w:rsidRDefault="00AF7B79" w:rsidP="00AE74A5">
            <w:pPr>
              <w:rPr>
                <w:iCs/>
                <w:color w:val="000000" w:themeColor="text1"/>
                <w:lang w:eastAsia="lv-LV"/>
              </w:rPr>
            </w:pPr>
          </w:p>
        </w:tc>
        <w:tc>
          <w:tcPr>
            <w:tcW w:w="589" w:type="pct"/>
            <w:tcBorders>
              <w:top w:val="outset" w:sz="6" w:space="0" w:color="auto"/>
              <w:left w:val="outset" w:sz="6" w:space="0" w:color="auto"/>
              <w:bottom w:val="outset" w:sz="6" w:space="0" w:color="auto"/>
              <w:right w:val="outset" w:sz="6" w:space="0" w:color="auto"/>
            </w:tcBorders>
            <w:vAlign w:val="center"/>
            <w:hideMark/>
          </w:tcPr>
          <w:p w14:paraId="408524EA" w14:textId="77777777" w:rsidR="00AF7B79" w:rsidRPr="0067478B" w:rsidRDefault="00AF7B79" w:rsidP="00AE74A5">
            <w:pPr>
              <w:jc w:val="center"/>
              <w:rPr>
                <w:iCs/>
                <w:color w:val="000000" w:themeColor="text1"/>
                <w:lang w:eastAsia="lv-LV"/>
              </w:rPr>
            </w:pPr>
            <w:r w:rsidRPr="0067478B">
              <w:rPr>
                <w:iCs/>
                <w:color w:val="000000" w:themeColor="text1"/>
                <w:lang w:eastAsia="lv-LV"/>
              </w:rPr>
              <w:t>-23 997</w:t>
            </w:r>
          </w:p>
        </w:tc>
        <w:tc>
          <w:tcPr>
            <w:tcW w:w="838" w:type="dxa"/>
            <w:vMerge/>
            <w:tcBorders>
              <w:top w:val="outset" w:sz="6" w:space="0" w:color="auto"/>
              <w:left w:val="outset" w:sz="6" w:space="0" w:color="auto"/>
              <w:bottom w:val="outset" w:sz="6" w:space="0" w:color="auto"/>
              <w:right w:val="outset" w:sz="6" w:space="0" w:color="auto"/>
            </w:tcBorders>
            <w:vAlign w:val="center"/>
            <w:hideMark/>
          </w:tcPr>
          <w:p w14:paraId="4EE5F39B" w14:textId="77777777" w:rsidR="00AF7B79" w:rsidRPr="0067478B" w:rsidRDefault="00AF7B79" w:rsidP="00AE74A5">
            <w:pPr>
              <w:rPr>
                <w:iCs/>
                <w:color w:val="000000" w:themeColor="text1"/>
                <w:lang w:eastAsia="lv-LV"/>
              </w:rPr>
            </w:pPr>
          </w:p>
        </w:tc>
        <w:tc>
          <w:tcPr>
            <w:tcW w:w="589" w:type="pct"/>
            <w:tcBorders>
              <w:top w:val="outset" w:sz="6" w:space="0" w:color="auto"/>
              <w:left w:val="outset" w:sz="6" w:space="0" w:color="auto"/>
              <w:bottom w:val="outset" w:sz="6" w:space="0" w:color="auto"/>
              <w:right w:val="outset" w:sz="6" w:space="0" w:color="auto"/>
            </w:tcBorders>
            <w:vAlign w:val="center"/>
            <w:hideMark/>
          </w:tcPr>
          <w:p w14:paraId="66BF6FE7"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1" w:type="pct"/>
            <w:tcBorders>
              <w:top w:val="outset" w:sz="6" w:space="0" w:color="auto"/>
              <w:left w:val="outset" w:sz="6" w:space="0" w:color="auto"/>
              <w:bottom w:val="outset" w:sz="6" w:space="0" w:color="auto"/>
              <w:right w:val="outset" w:sz="6" w:space="0" w:color="auto"/>
            </w:tcBorders>
            <w:vAlign w:val="center"/>
            <w:hideMark/>
          </w:tcPr>
          <w:p w14:paraId="5934CEA7"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r>
      <w:tr w:rsidR="00AF7B79" w:rsidRPr="0067478B" w14:paraId="27ECADAB"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51047B82" w14:textId="77777777" w:rsidR="00AF7B79" w:rsidRPr="0067478B" w:rsidRDefault="00AF7B79" w:rsidP="00AE74A5">
            <w:pPr>
              <w:rPr>
                <w:iCs/>
                <w:color w:val="000000" w:themeColor="text1"/>
                <w:lang w:eastAsia="lv-LV"/>
              </w:rPr>
            </w:pPr>
            <w:r w:rsidRPr="0067478B">
              <w:rPr>
                <w:iCs/>
                <w:color w:val="000000" w:themeColor="text1"/>
                <w:lang w:eastAsia="lv-LV"/>
              </w:rPr>
              <w:t>5.2. speciālais budžets</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4030BEF" w14:textId="77777777" w:rsidR="00AF7B79" w:rsidRPr="0067478B" w:rsidRDefault="00AF7B79" w:rsidP="00AE74A5">
            <w:pPr>
              <w:rPr>
                <w:iCs/>
                <w:color w:val="000000" w:themeColor="text1"/>
                <w:lang w:eastAsia="lv-LV"/>
              </w:rPr>
            </w:pPr>
          </w:p>
        </w:tc>
        <w:tc>
          <w:tcPr>
            <w:tcW w:w="564" w:type="pct"/>
            <w:tcBorders>
              <w:top w:val="outset" w:sz="6" w:space="0" w:color="auto"/>
              <w:left w:val="outset" w:sz="6" w:space="0" w:color="auto"/>
              <w:bottom w:val="outset" w:sz="6" w:space="0" w:color="auto"/>
              <w:right w:val="outset" w:sz="6" w:space="0" w:color="auto"/>
            </w:tcBorders>
            <w:vAlign w:val="center"/>
            <w:hideMark/>
          </w:tcPr>
          <w:p w14:paraId="73EDA444"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8" w:type="dxa"/>
            <w:vMerge/>
            <w:tcBorders>
              <w:top w:val="outset" w:sz="6" w:space="0" w:color="auto"/>
              <w:left w:val="outset" w:sz="6" w:space="0" w:color="auto"/>
              <w:bottom w:val="outset" w:sz="6" w:space="0" w:color="auto"/>
              <w:right w:val="outset" w:sz="6" w:space="0" w:color="auto"/>
            </w:tcBorders>
            <w:vAlign w:val="center"/>
            <w:hideMark/>
          </w:tcPr>
          <w:p w14:paraId="7EC3B9BD" w14:textId="77777777" w:rsidR="00AF7B79" w:rsidRPr="0067478B" w:rsidRDefault="00AF7B79" w:rsidP="00AE74A5">
            <w:pPr>
              <w:rPr>
                <w:iCs/>
                <w:color w:val="000000" w:themeColor="text1"/>
                <w:lang w:eastAsia="lv-LV"/>
              </w:rPr>
            </w:pPr>
          </w:p>
        </w:tc>
        <w:tc>
          <w:tcPr>
            <w:tcW w:w="589" w:type="pct"/>
            <w:tcBorders>
              <w:top w:val="outset" w:sz="6" w:space="0" w:color="auto"/>
              <w:left w:val="outset" w:sz="6" w:space="0" w:color="auto"/>
              <w:bottom w:val="outset" w:sz="6" w:space="0" w:color="auto"/>
              <w:right w:val="outset" w:sz="6" w:space="0" w:color="auto"/>
            </w:tcBorders>
            <w:vAlign w:val="center"/>
            <w:hideMark/>
          </w:tcPr>
          <w:p w14:paraId="35B97D60"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8" w:type="dxa"/>
            <w:vMerge/>
            <w:tcBorders>
              <w:top w:val="outset" w:sz="6" w:space="0" w:color="auto"/>
              <w:left w:val="outset" w:sz="6" w:space="0" w:color="auto"/>
              <w:bottom w:val="outset" w:sz="6" w:space="0" w:color="auto"/>
              <w:right w:val="outset" w:sz="6" w:space="0" w:color="auto"/>
            </w:tcBorders>
            <w:vAlign w:val="center"/>
            <w:hideMark/>
          </w:tcPr>
          <w:p w14:paraId="280B8D24" w14:textId="77777777" w:rsidR="00AF7B79" w:rsidRPr="0067478B" w:rsidRDefault="00AF7B79" w:rsidP="00AE74A5">
            <w:pPr>
              <w:rPr>
                <w:iCs/>
                <w:color w:val="000000" w:themeColor="text1"/>
                <w:lang w:eastAsia="lv-LV"/>
              </w:rPr>
            </w:pPr>
          </w:p>
        </w:tc>
        <w:tc>
          <w:tcPr>
            <w:tcW w:w="589" w:type="pct"/>
            <w:tcBorders>
              <w:top w:val="outset" w:sz="6" w:space="0" w:color="auto"/>
              <w:left w:val="outset" w:sz="6" w:space="0" w:color="auto"/>
              <w:bottom w:val="outset" w:sz="6" w:space="0" w:color="auto"/>
              <w:right w:val="outset" w:sz="6" w:space="0" w:color="auto"/>
            </w:tcBorders>
            <w:vAlign w:val="center"/>
            <w:hideMark/>
          </w:tcPr>
          <w:p w14:paraId="5E325992"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1" w:type="pct"/>
            <w:tcBorders>
              <w:top w:val="outset" w:sz="6" w:space="0" w:color="auto"/>
              <w:left w:val="outset" w:sz="6" w:space="0" w:color="auto"/>
              <w:bottom w:val="outset" w:sz="6" w:space="0" w:color="auto"/>
              <w:right w:val="outset" w:sz="6" w:space="0" w:color="auto"/>
            </w:tcBorders>
            <w:vAlign w:val="center"/>
            <w:hideMark/>
          </w:tcPr>
          <w:p w14:paraId="4CA3186B"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r>
      <w:tr w:rsidR="00AF7B79" w:rsidRPr="0067478B" w14:paraId="2999D79B"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3DCF4912" w14:textId="77777777" w:rsidR="00AF7B79" w:rsidRPr="0067478B" w:rsidRDefault="00AF7B79" w:rsidP="00AE74A5">
            <w:pPr>
              <w:rPr>
                <w:iCs/>
                <w:color w:val="000000" w:themeColor="text1"/>
                <w:lang w:eastAsia="lv-LV"/>
              </w:rPr>
            </w:pPr>
            <w:r w:rsidRPr="0067478B">
              <w:rPr>
                <w:iCs/>
                <w:color w:val="000000" w:themeColor="text1"/>
                <w:lang w:eastAsia="lv-LV"/>
              </w:rPr>
              <w:t>5.3. pašvaldību budžets</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4330A1C" w14:textId="77777777" w:rsidR="00AF7B79" w:rsidRPr="0067478B" w:rsidRDefault="00AF7B79" w:rsidP="00AE74A5">
            <w:pPr>
              <w:rPr>
                <w:iCs/>
                <w:color w:val="000000" w:themeColor="text1"/>
                <w:lang w:eastAsia="lv-LV"/>
              </w:rPr>
            </w:pPr>
          </w:p>
        </w:tc>
        <w:tc>
          <w:tcPr>
            <w:tcW w:w="564" w:type="pct"/>
            <w:tcBorders>
              <w:top w:val="outset" w:sz="6" w:space="0" w:color="auto"/>
              <w:left w:val="outset" w:sz="6" w:space="0" w:color="auto"/>
              <w:bottom w:val="outset" w:sz="6" w:space="0" w:color="auto"/>
              <w:right w:val="outset" w:sz="6" w:space="0" w:color="auto"/>
            </w:tcBorders>
            <w:vAlign w:val="center"/>
            <w:hideMark/>
          </w:tcPr>
          <w:p w14:paraId="4517B474"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8" w:type="dxa"/>
            <w:vMerge/>
            <w:tcBorders>
              <w:top w:val="outset" w:sz="6" w:space="0" w:color="auto"/>
              <w:left w:val="outset" w:sz="6" w:space="0" w:color="auto"/>
              <w:bottom w:val="outset" w:sz="6" w:space="0" w:color="auto"/>
              <w:right w:val="outset" w:sz="6" w:space="0" w:color="auto"/>
            </w:tcBorders>
            <w:vAlign w:val="center"/>
            <w:hideMark/>
          </w:tcPr>
          <w:p w14:paraId="3972AFA4" w14:textId="77777777" w:rsidR="00AF7B79" w:rsidRPr="0067478B" w:rsidRDefault="00AF7B79" w:rsidP="00AE74A5">
            <w:pPr>
              <w:rPr>
                <w:iCs/>
                <w:color w:val="000000" w:themeColor="text1"/>
                <w:lang w:eastAsia="lv-LV"/>
              </w:rPr>
            </w:pPr>
          </w:p>
        </w:tc>
        <w:tc>
          <w:tcPr>
            <w:tcW w:w="589" w:type="pct"/>
            <w:tcBorders>
              <w:top w:val="outset" w:sz="6" w:space="0" w:color="auto"/>
              <w:left w:val="outset" w:sz="6" w:space="0" w:color="auto"/>
              <w:bottom w:val="outset" w:sz="6" w:space="0" w:color="auto"/>
              <w:right w:val="outset" w:sz="6" w:space="0" w:color="auto"/>
            </w:tcBorders>
            <w:vAlign w:val="center"/>
            <w:hideMark/>
          </w:tcPr>
          <w:p w14:paraId="7FC8F6D3"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8" w:type="dxa"/>
            <w:vMerge/>
            <w:tcBorders>
              <w:top w:val="outset" w:sz="6" w:space="0" w:color="auto"/>
              <w:left w:val="outset" w:sz="6" w:space="0" w:color="auto"/>
              <w:bottom w:val="outset" w:sz="6" w:space="0" w:color="auto"/>
              <w:right w:val="outset" w:sz="6" w:space="0" w:color="auto"/>
            </w:tcBorders>
            <w:vAlign w:val="center"/>
            <w:hideMark/>
          </w:tcPr>
          <w:p w14:paraId="5BB1EB18" w14:textId="77777777" w:rsidR="00AF7B79" w:rsidRPr="0067478B" w:rsidRDefault="00AF7B79" w:rsidP="00AE74A5">
            <w:pPr>
              <w:rPr>
                <w:iCs/>
                <w:color w:val="000000" w:themeColor="text1"/>
                <w:lang w:eastAsia="lv-LV"/>
              </w:rPr>
            </w:pPr>
          </w:p>
        </w:tc>
        <w:tc>
          <w:tcPr>
            <w:tcW w:w="589" w:type="pct"/>
            <w:tcBorders>
              <w:top w:val="outset" w:sz="6" w:space="0" w:color="auto"/>
              <w:left w:val="outset" w:sz="6" w:space="0" w:color="auto"/>
              <w:bottom w:val="outset" w:sz="6" w:space="0" w:color="auto"/>
              <w:right w:val="outset" w:sz="6" w:space="0" w:color="auto"/>
            </w:tcBorders>
            <w:vAlign w:val="center"/>
            <w:hideMark/>
          </w:tcPr>
          <w:p w14:paraId="5394EE08"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c>
          <w:tcPr>
            <w:tcW w:w="831" w:type="pct"/>
            <w:tcBorders>
              <w:top w:val="outset" w:sz="6" w:space="0" w:color="auto"/>
              <w:left w:val="outset" w:sz="6" w:space="0" w:color="auto"/>
              <w:bottom w:val="outset" w:sz="6" w:space="0" w:color="auto"/>
              <w:right w:val="outset" w:sz="6" w:space="0" w:color="auto"/>
            </w:tcBorders>
            <w:vAlign w:val="center"/>
            <w:hideMark/>
          </w:tcPr>
          <w:p w14:paraId="137C7B7B" w14:textId="77777777" w:rsidR="00AF7B79" w:rsidRPr="0067478B" w:rsidRDefault="00AF7B79" w:rsidP="00AE74A5">
            <w:pPr>
              <w:jc w:val="center"/>
              <w:rPr>
                <w:iCs/>
                <w:color w:val="000000" w:themeColor="text1"/>
                <w:lang w:eastAsia="lv-LV"/>
              </w:rPr>
            </w:pPr>
            <w:r w:rsidRPr="0067478B">
              <w:rPr>
                <w:iCs/>
                <w:color w:val="000000" w:themeColor="text1"/>
                <w:lang w:eastAsia="lv-LV"/>
              </w:rPr>
              <w:t>0</w:t>
            </w:r>
          </w:p>
        </w:tc>
      </w:tr>
      <w:tr w:rsidR="00AF7B79" w:rsidRPr="0067478B" w14:paraId="6B900464"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0DF11873" w14:textId="77777777" w:rsidR="00AF7B79" w:rsidRPr="0067478B" w:rsidRDefault="00AF7B79" w:rsidP="00AE74A5">
            <w:pPr>
              <w:rPr>
                <w:iCs/>
                <w:color w:val="000000" w:themeColor="text1"/>
                <w:lang w:eastAsia="lv-LV"/>
              </w:rPr>
            </w:pPr>
            <w:r w:rsidRPr="0067478B">
              <w:rPr>
                <w:iCs/>
                <w:color w:val="000000" w:themeColor="text1"/>
                <w:lang w:eastAsia="lv-LV"/>
              </w:rPr>
              <w:t>6. Detalizēts ieņēmumu un izdevumu aprēķins (ja nepieciešams, detalizētu ieņēmumu un izdevumu aprēķinu var pievienot anotācijas pielikumā)</w:t>
            </w:r>
          </w:p>
        </w:tc>
        <w:tc>
          <w:tcPr>
            <w:tcW w:w="4286"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75439DA9" w14:textId="624268BE" w:rsidR="00AF7B79" w:rsidRPr="0067478B" w:rsidRDefault="00AF7B79" w:rsidP="00AF7B79">
            <w:pPr>
              <w:jc w:val="both"/>
              <w:rPr>
                <w:lang w:eastAsia="lv-LV"/>
              </w:rPr>
            </w:pPr>
            <w:r w:rsidRPr="0067478B">
              <w:rPr>
                <w:iCs/>
                <w:color w:val="000000" w:themeColor="text1"/>
                <w:lang w:eastAsia="lv-LV"/>
              </w:rPr>
              <w:t xml:space="preserve">Lai nodrošinātu likumprojektā noteikto normu izpildi Tieslietu ministrijai nepieciešams papildu finansējums  </w:t>
            </w:r>
            <w:r w:rsidRPr="0067478B">
              <w:rPr>
                <w:b/>
                <w:bCs/>
                <w:lang w:eastAsia="lv-LV"/>
              </w:rPr>
              <w:t xml:space="preserve">23 997  </w:t>
            </w:r>
            <w:r w:rsidRPr="0067478B">
              <w:rPr>
                <w:b/>
                <w:bCs/>
                <w:i/>
                <w:iCs/>
                <w:lang w:eastAsia="lv-LV"/>
              </w:rPr>
              <w:t>euro</w:t>
            </w:r>
            <w:r w:rsidRPr="0067478B">
              <w:rPr>
                <w:lang w:eastAsia="lv-LV"/>
              </w:rPr>
              <w:t>:</w:t>
            </w:r>
          </w:p>
          <w:p w14:paraId="3E044AD7" w14:textId="2CE4DFE8" w:rsidR="00AF7B79" w:rsidRPr="0067478B" w:rsidRDefault="00AF7B79" w:rsidP="00AF7B79">
            <w:pPr>
              <w:pStyle w:val="Sarakstarindkopa"/>
              <w:numPr>
                <w:ilvl w:val="0"/>
                <w:numId w:val="10"/>
              </w:numPr>
              <w:jc w:val="both"/>
              <w:rPr>
                <w:iCs/>
                <w:color w:val="000000" w:themeColor="text1"/>
                <w:lang w:eastAsia="lv-LV"/>
              </w:rPr>
            </w:pPr>
            <w:r w:rsidRPr="0067478B">
              <w:rPr>
                <w:lang w:eastAsia="lv-LV"/>
              </w:rPr>
              <w:t>apakšprogrammā 03.01.00 "</w:t>
            </w:r>
            <w:r w:rsidRPr="0067478B">
              <w:rPr>
                <w:bCs/>
              </w:rPr>
              <w:t>Tiesu administrēšana</w:t>
            </w:r>
            <w:r w:rsidRPr="0067478B">
              <w:rPr>
                <w:lang w:eastAsia="lv-LV"/>
              </w:rPr>
              <w:t xml:space="preserve">" Sistēmas papildinājumu veikšanai </w:t>
            </w:r>
            <w:r w:rsidRPr="0067478B">
              <w:rPr>
                <w:iCs/>
                <w:lang w:eastAsia="lv-LV"/>
              </w:rPr>
              <w:t>nepieciešams papildu finansējums</w:t>
            </w:r>
            <w:r w:rsidRPr="0067478B">
              <w:rPr>
                <w:b/>
                <w:bCs/>
                <w:lang w:eastAsia="lv-LV"/>
              </w:rPr>
              <w:t xml:space="preserve"> 2022.</w:t>
            </w:r>
            <w:r w:rsidR="00092B3E">
              <w:rPr>
                <w:b/>
                <w:bCs/>
                <w:lang w:eastAsia="lv-LV"/>
              </w:rPr>
              <w:t> </w:t>
            </w:r>
            <w:r w:rsidRPr="0067478B">
              <w:rPr>
                <w:b/>
                <w:bCs/>
                <w:lang w:eastAsia="lv-LV"/>
              </w:rPr>
              <w:t xml:space="preserve">gadā  7 444 </w:t>
            </w:r>
            <w:r w:rsidRPr="0067478B">
              <w:rPr>
                <w:b/>
                <w:bCs/>
                <w:i/>
                <w:lang w:eastAsia="lv-LV"/>
              </w:rPr>
              <w:t>euro</w:t>
            </w:r>
            <w:r w:rsidR="00092B3E">
              <w:rPr>
                <w:b/>
                <w:bCs/>
                <w:i/>
                <w:lang w:eastAsia="lv-LV"/>
              </w:rPr>
              <w:t>;</w:t>
            </w:r>
          </w:p>
          <w:p w14:paraId="45B7EA0E" w14:textId="77777777" w:rsidR="00AF7B79" w:rsidRPr="0067478B" w:rsidRDefault="00AF7B79" w:rsidP="00AF7B79">
            <w:pPr>
              <w:pStyle w:val="Sarakstarindkopa"/>
              <w:numPr>
                <w:ilvl w:val="0"/>
                <w:numId w:val="8"/>
              </w:numPr>
              <w:jc w:val="both"/>
              <w:rPr>
                <w:color w:val="000000" w:themeColor="text1"/>
                <w:lang w:eastAsia="lv-LV"/>
              </w:rPr>
            </w:pPr>
            <w:r w:rsidRPr="0067478B">
              <w:rPr>
                <w:color w:val="000000" w:themeColor="text1"/>
                <w:lang w:eastAsia="lv-LV"/>
              </w:rPr>
              <w:t xml:space="preserve">izveidojot jaunu atzīmes lauku izstrādes izmaksas sastāda 2 605 </w:t>
            </w:r>
            <w:r w:rsidRPr="0067478B">
              <w:rPr>
                <w:i/>
                <w:iCs/>
                <w:color w:val="000000" w:themeColor="text1"/>
                <w:lang w:eastAsia="lv-LV"/>
              </w:rPr>
              <w:t>euro</w:t>
            </w:r>
            <w:r w:rsidRPr="0067478B">
              <w:rPr>
                <w:color w:val="000000" w:themeColor="text1"/>
                <w:lang w:eastAsia="lv-LV"/>
              </w:rPr>
              <w:t xml:space="preserve"> (7 c/d x 372,20 </w:t>
            </w:r>
            <w:r w:rsidRPr="0067478B">
              <w:rPr>
                <w:i/>
                <w:iCs/>
                <w:color w:val="000000" w:themeColor="text1"/>
                <w:lang w:eastAsia="lv-LV"/>
              </w:rPr>
              <w:t>euro</w:t>
            </w:r>
            <w:r w:rsidRPr="0067478B">
              <w:rPr>
                <w:color w:val="000000" w:themeColor="text1"/>
                <w:lang w:eastAsia="lv-LV"/>
              </w:rPr>
              <w:t>);</w:t>
            </w:r>
          </w:p>
          <w:p w14:paraId="3B9AEDA8" w14:textId="3BAC2C88" w:rsidR="00AF7B79" w:rsidRPr="0067478B" w:rsidRDefault="00AF7B79" w:rsidP="00AF7B79">
            <w:pPr>
              <w:pStyle w:val="Sarakstarindkopa"/>
              <w:numPr>
                <w:ilvl w:val="0"/>
                <w:numId w:val="8"/>
              </w:numPr>
              <w:jc w:val="both"/>
              <w:rPr>
                <w:color w:val="000000" w:themeColor="text1"/>
                <w:lang w:eastAsia="lv-LV"/>
              </w:rPr>
            </w:pPr>
            <w:r w:rsidRPr="0067478B">
              <w:rPr>
                <w:color w:val="000000" w:themeColor="text1"/>
                <w:lang w:eastAsia="lv-LV"/>
              </w:rPr>
              <w:t xml:space="preserve">izstrādājot jaunu datu apmaiņas servisu starp Sistēmu un Uzņēmumu reģistra informācijas sistēmu (turpmāk – URIS). Izstrādes izmaksas sastāda 4 839 </w:t>
            </w:r>
            <w:r w:rsidRPr="0067478B">
              <w:rPr>
                <w:i/>
                <w:iCs/>
                <w:color w:val="000000" w:themeColor="text1"/>
                <w:lang w:eastAsia="lv-LV"/>
              </w:rPr>
              <w:t>euro</w:t>
            </w:r>
            <w:r w:rsidRPr="0067478B">
              <w:rPr>
                <w:color w:val="000000" w:themeColor="text1"/>
                <w:lang w:eastAsia="lv-LV"/>
              </w:rPr>
              <w:t xml:space="preserve"> (13 c/d x 372,20 </w:t>
            </w:r>
            <w:r w:rsidRPr="0067478B">
              <w:rPr>
                <w:i/>
                <w:iCs/>
                <w:color w:val="000000" w:themeColor="text1"/>
                <w:lang w:eastAsia="lv-LV"/>
              </w:rPr>
              <w:t>euro</w:t>
            </w:r>
            <w:r w:rsidRPr="0067478B">
              <w:rPr>
                <w:color w:val="000000" w:themeColor="text1"/>
                <w:lang w:eastAsia="lv-LV"/>
              </w:rPr>
              <w:t>).</w:t>
            </w:r>
          </w:p>
          <w:p w14:paraId="419C2650" w14:textId="75507EC7" w:rsidR="00AF7B79" w:rsidRPr="0067478B" w:rsidRDefault="00AF7B79" w:rsidP="00AF7B79">
            <w:pPr>
              <w:pStyle w:val="Sarakstarindkopa"/>
              <w:numPr>
                <w:ilvl w:val="0"/>
                <w:numId w:val="10"/>
              </w:numPr>
              <w:jc w:val="both"/>
              <w:rPr>
                <w:lang w:eastAsia="lv-LV"/>
              </w:rPr>
            </w:pPr>
            <w:r w:rsidRPr="0067478B">
              <w:rPr>
                <w:color w:val="000000" w:themeColor="text1"/>
                <w:lang w:eastAsia="lv-LV"/>
              </w:rPr>
              <w:t xml:space="preserve">apakšprogrammā 06.01.00 </w:t>
            </w:r>
            <w:r w:rsidRPr="0067478B">
              <w:rPr>
                <w:lang w:eastAsia="lv-LV"/>
              </w:rPr>
              <w:t xml:space="preserve">"Juridisko personu reģistrācija" URIS papildinājumu veikšanai </w:t>
            </w:r>
            <w:r w:rsidRPr="0067478B">
              <w:rPr>
                <w:iCs/>
                <w:lang w:eastAsia="lv-LV"/>
              </w:rPr>
              <w:t xml:space="preserve">nepieciešams papildu finansējums </w:t>
            </w:r>
            <w:r w:rsidRPr="0067478B">
              <w:rPr>
                <w:b/>
                <w:bCs/>
                <w:iCs/>
                <w:lang w:eastAsia="lv-LV"/>
              </w:rPr>
              <w:t xml:space="preserve">2022.gadā 16 553 </w:t>
            </w:r>
            <w:r w:rsidRPr="0067478B">
              <w:rPr>
                <w:b/>
                <w:bCs/>
                <w:i/>
                <w:lang w:eastAsia="lv-LV"/>
              </w:rPr>
              <w:t>euro;</w:t>
            </w:r>
          </w:p>
          <w:p w14:paraId="736363DF" w14:textId="77777777" w:rsidR="00092B3E" w:rsidRDefault="00AF7B79" w:rsidP="00092B3E">
            <w:pPr>
              <w:pStyle w:val="Sarakstarindkopa"/>
              <w:numPr>
                <w:ilvl w:val="0"/>
                <w:numId w:val="9"/>
              </w:numPr>
              <w:ind w:left="744" w:hanging="284"/>
              <w:jc w:val="both"/>
              <w:rPr>
                <w:lang w:eastAsia="lv-LV"/>
              </w:rPr>
            </w:pPr>
            <w:r w:rsidRPr="0067478B">
              <w:rPr>
                <w:lang w:eastAsia="lv-LV"/>
              </w:rPr>
              <w:t>izveidojot jaunas ziņas – atzīmes par juridiskās personas maksātnespējas procesu īstenošanu saīsinātā procesa kārtībā, ierakstīšanu maksātnespējas reģistrā, kā arī iekļaušanu visos datu izplatīšanas kanālos (datu izplatīšanas servisi, informācijas pieejamība lapā </w:t>
            </w:r>
            <w:hyperlink r:id="rId11" w:tgtFrame="_blank" w:history="1">
              <w:r w:rsidRPr="0067478B">
                <w:rPr>
                  <w:rStyle w:val="Hipersaite"/>
                  <w:color w:val="auto"/>
                  <w:lang w:eastAsia="lv-LV"/>
                </w:rPr>
                <w:t>https://maksatnespeja.ur.gov.lv</w:t>
              </w:r>
            </w:hyperlink>
            <w:r w:rsidRPr="0067478B">
              <w:rPr>
                <w:lang w:eastAsia="lv-LV"/>
              </w:rPr>
              <w:t>, informācijas pieejamība portālā e-</w:t>
            </w:r>
            <w:proofErr w:type="spellStart"/>
            <w:r w:rsidRPr="0067478B">
              <w:rPr>
                <w:lang w:eastAsia="lv-LV"/>
              </w:rPr>
              <w:t>Justice</w:t>
            </w:r>
            <w:proofErr w:type="spellEnd"/>
            <w:r w:rsidRPr="0067478B">
              <w:rPr>
                <w:lang w:eastAsia="lv-LV"/>
              </w:rPr>
              <w:t>). Izstrādes izmaksas sastāda 7 841</w:t>
            </w:r>
            <w:r w:rsidRPr="0067478B">
              <w:rPr>
                <w:i/>
                <w:iCs/>
                <w:lang w:eastAsia="lv-LV"/>
              </w:rPr>
              <w:t xml:space="preserve"> euro </w:t>
            </w:r>
            <w:r w:rsidRPr="0067478B">
              <w:rPr>
                <w:lang w:eastAsia="lv-LV"/>
              </w:rPr>
              <w:t xml:space="preserve">(144 c/h x 54,45 </w:t>
            </w:r>
            <w:r w:rsidRPr="0067478B">
              <w:rPr>
                <w:i/>
                <w:iCs/>
                <w:lang w:eastAsia="lv-LV"/>
              </w:rPr>
              <w:t>euro</w:t>
            </w:r>
            <w:r w:rsidRPr="0067478B">
              <w:rPr>
                <w:lang w:eastAsia="lv-LV"/>
              </w:rPr>
              <w:t>).</w:t>
            </w:r>
          </w:p>
          <w:p w14:paraId="4AF9C88F" w14:textId="6D871CA9" w:rsidR="00AF7B79" w:rsidRPr="00092B3E" w:rsidRDefault="00AF7B79" w:rsidP="00092B3E">
            <w:pPr>
              <w:pStyle w:val="Sarakstarindkopa"/>
              <w:numPr>
                <w:ilvl w:val="0"/>
                <w:numId w:val="9"/>
              </w:numPr>
              <w:ind w:left="744" w:hanging="284"/>
              <w:jc w:val="both"/>
              <w:rPr>
                <w:lang w:eastAsia="lv-LV"/>
              </w:rPr>
            </w:pPr>
            <w:r w:rsidRPr="0067478B">
              <w:rPr>
                <w:lang w:eastAsia="lv-LV"/>
              </w:rPr>
              <w:t xml:space="preserve">izstrādājot jaunu datu apmaiņas servisu starp Sistēmu un URIS. Izstrādes izmaksas sastāda 8 712 </w:t>
            </w:r>
            <w:r w:rsidRPr="00092B3E">
              <w:rPr>
                <w:i/>
                <w:iCs/>
                <w:lang w:eastAsia="lv-LV"/>
              </w:rPr>
              <w:t>euro</w:t>
            </w:r>
            <w:r w:rsidRPr="0067478B">
              <w:rPr>
                <w:lang w:eastAsia="lv-LV"/>
              </w:rPr>
              <w:t xml:space="preserve"> (160 c/h x 54,45 </w:t>
            </w:r>
            <w:r w:rsidRPr="00092B3E">
              <w:rPr>
                <w:i/>
                <w:iCs/>
                <w:lang w:eastAsia="lv-LV"/>
              </w:rPr>
              <w:t>euro</w:t>
            </w:r>
            <w:r w:rsidRPr="0067478B">
              <w:rPr>
                <w:lang w:eastAsia="lv-LV"/>
              </w:rPr>
              <w:t>). </w:t>
            </w:r>
          </w:p>
        </w:tc>
      </w:tr>
      <w:tr w:rsidR="00AF7B79" w:rsidRPr="0067478B" w14:paraId="09CDC22E"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0F05667E" w14:textId="77777777" w:rsidR="00AF7B79" w:rsidRPr="0067478B" w:rsidRDefault="00AF7B79" w:rsidP="00AE74A5">
            <w:pPr>
              <w:rPr>
                <w:iCs/>
                <w:color w:val="000000" w:themeColor="text1"/>
                <w:lang w:eastAsia="lv-LV"/>
              </w:rPr>
            </w:pPr>
            <w:r w:rsidRPr="0067478B">
              <w:rPr>
                <w:iCs/>
                <w:color w:val="000000" w:themeColor="text1"/>
                <w:lang w:eastAsia="lv-LV"/>
              </w:rPr>
              <w:t>6.1. detalizēts ieņēmumu aprēķins</w:t>
            </w:r>
          </w:p>
        </w:tc>
        <w:tc>
          <w:tcPr>
            <w:tcW w:w="4286" w:type="pct"/>
            <w:gridSpan w:val="7"/>
            <w:vMerge/>
            <w:tcBorders>
              <w:top w:val="outset" w:sz="6" w:space="0" w:color="auto"/>
              <w:left w:val="outset" w:sz="6" w:space="0" w:color="auto"/>
              <w:bottom w:val="outset" w:sz="6" w:space="0" w:color="auto"/>
              <w:right w:val="outset" w:sz="6" w:space="0" w:color="auto"/>
            </w:tcBorders>
            <w:vAlign w:val="center"/>
            <w:hideMark/>
          </w:tcPr>
          <w:p w14:paraId="5D39B47B" w14:textId="77777777" w:rsidR="00AF7B79" w:rsidRPr="0067478B" w:rsidRDefault="00AF7B79" w:rsidP="00AE74A5">
            <w:pPr>
              <w:rPr>
                <w:iCs/>
                <w:color w:val="000000" w:themeColor="text1"/>
                <w:lang w:eastAsia="lv-LV"/>
              </w:rPr>
            </w:pPr>
          </w:p>
        </w:tc>
      </w:tr>
      <w:tr w:rsidR="00AF7B79" w:rsidRPr="0067478B" w14:paraId="6992D4D1"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359F1CFA" w14:textId="77777777" w:rsidR="00AF7B79" w:rsidRPr="0067478B" w:rsidRDefault="00AF7B79" w:rsidP="00AE74A5">
            <w:pPr>
              <w:rPr>
                <w:iCs/>
                <w:color w:val="000000" w:themeColor="text1"/>
                <w:lang w:eastAsia="lv-LV"/>
              </w:rPr>
            </w:pPr>
            <w:r w:rsidRPr="0067478B">
              <w:rPr>
                <w:iCs/>
                <w:color w:val="000000" w:themeColor="text1"/>
                <w:lang w:eastAsia="lv-LV"/>
              </w:rPr>
              <w:t>6.2. detalizēts izdevumu aprēķins</w:t>
            </w:r>
          </w:p>
        </w:tc>
        <w:tc>
          <w:tcPr>
            <w:tcW w:w="4286" w:type="pct"/>
            <w:gridSpan w:val="7"/>
            <w:vMerge/>
            <w:tcBorders>
              <w:top w:val="outset" w:sz="6" w:space="0" w:color="auto"/>
              <w:left w:val="outset" w:sz="6" w:space="0" w:color="auto"/>
              <w:bottom w:val="outset" w:sz="6" w:space="0" w:color="auto"/>
              <w:right w:val="outset" w:sz="6" w:space="0" w:color="auto"/>
            </w:tcBorders>
            <w:vAlign w:val="center"/>
            <w:hideMark/>
          </w:tcPr>
          <w:p w14:paraId="34277A7D" w14:textId="77777777" w:rsidR="00AF7B79" w:rsidRPr="0067478B" w:rsidRDefault="00AF7B79" w:rsidP="00AE74A5">
            <w:pPr>
              <w:rPr>
                <w:iCs/>
                <w:color w:val="000000" w:themeColor="text1"/>
                <w:lang w:eastAsia="lv-LV"/>
              </w:rPr>
            </w:pPr>
          </w:p>
        </w:tc>
      </w:tr>
      <w:tr w:rsidR="00AF7B79" w:rsidRPr="0067478B" w14:paraId="1920ADF9"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40FB33BC" w14:textId="77777777" w:rsidR="00AF7B79" w:rsidRPr="0067478B" w:rsidRDefault="00AF7B79" w:rsidP="00AE74A5">
            <w:pPr>
              <w:rPr>
                <w:iCs/>
                <w:color w:val="000000" w:themeColor="text1"/>
                <w:lang w:eastAsia="lv-LV"/>
              </w:rPr>
            </w:pPr>
            <w:r w:rsidRPr="0067478B">
              <w:rPr>
                <w:iCs/>
                <w:color w:val="000000" w:themeColor="text1"/>
                <w:lang w:eastAsia="lv-LV"/>
              </w:rPr>
              <w:t>7. Amata vietu skaita izmaiņas</w:t>
            </w:r>
          </w:p>
        </w:tc>
        <w:tc>
          <w:tcPr>
            <w:tcW w:w="4286" w:type="pct"/>
            <w:gridSpan w:val="7"/>
            <w:tcBorders>
              <w:top w:val="outset" w:sz="6" w:space="0" w:color="auto"/>
              <w:left w:val="outset" w:sz="6" w:space="0" w:color="auto"/>
              <w:bottom w:val="outset" w:sz="6" w:space="0" w:color="auto"/>
              <w:right w:val="outset" w:sz="6" w:space="0" w:color="auto"/>
            </w:tcBorders>
            <w:hideMark/>
          </w:tcPr>
          <w:p w14:paraId="7FFC9D04" w14:textId="6F21696C" w:rsidR="00AF7B79" w:rsidRPr="0067478B" w:rsidRDefault="00AF7B79" w:rsidP="00AE74A5">
            <w:pPr>
              <w:rPr>
                <w:iCs/>
                <w:color w:val="000000" w:themeColor="text1"/>
                <w:lang w:eastAsia="lv-LV"/>
              </w:rPr>
            </w:pPr>
            <w:r w:rsidRPr="0067478B">
              <w:rPr>
                <w:iCs/>
                <w:color w:val="000000" w:themeColor="text1"/>
                <w:lang w:eastAsia="lv-LV"/>
              </w:rPr>
              <w:t>Nav</w:t>
            </w:r>
            <w:r w:rsidR="00A35E2F">
              <w:rPr>
                <w:iCs/>
                <w:color w:val="000000" w:themeColor="text1"/>
                <w:lang w:eastAsia="lv-LV"/>
              </w:rPr>
              <w:t>.</w:t>
            </w:r>
          </w:p>
        </w:tc>
      </w:tr>
      <w:tr w:rsidR="00AF7B79" w:rsidRPr="0067478B" w14:paraId="1DE25AFB" w14:textId="77777777" w:rsidTr="00ED3317">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15BEE554" w14:textId="77777777" w:rsidR="00AF7B79" w:rsidRPr="0067478B" w:rsidRDefault="00AF7B79" w:rsidP="00AE74A5">
            <w:pPr>
              <w:rPr>
                <w:iCs/>
                <w:color w:val="000000" w:themeColor="text1"/>
                <w:lang w:eastAsia="lv-LV"/>
              </w:rPr>
            </w:pPr>
            <w:r w:rsidRPr="0067478B">
              <w:rPr>
                <w:iCs/>
                <w:color w:val="000000" w:themeColor="text1"/>
                <w:lang w:eastAsia="lv-LV"/>
              </w:rPr>
              <w:t>8. Cita informācija</w:t>
            </w:r>
          </w:p>
        </w:tc>
        <w:tc>
          <w:tcPr>
            <w:tcW w:w="4286" w:type="pct"/>
            <w:gridSpan w:val="7"/>
            <w:tcBorders>
              <w:top w:val="outset" w:sz="6" w:space="0" w:color="auto"/>
              <w:left w:val="outset" w:sz="6" w:space="0" w:color="auto"/>
              <w:bottom w:val="outset" w:sz="6" w:space="0" w:color="auto"/>
              <w:right w:val="outset" w:sz="6" w:space="0" w:color="auto"/>
            </w:tcBorders>
            <w:hideMark/>
          </w:tcPr>
          <w:p w14:paraId="57708003" w14:textId="328C8567" w:rsidR="00AF7B79" w:rsidRPr="0067478B" w:rsidRDefault="00AF7B79" w:rsidP="00AE74A5">
            <w:pPr>
              <w:jc w:val="both"/>
              <w:rPr>
                <w:iCs/>
                <w:color w:val="000000" w:themeColor="text1"/>
                <w:lang w:eastAsia="lv-LV"/>
              </w:rPr>
            </w:pPr>
            <w:r w:rsidRPr="0067478B">
              <w:rPr>
                <w:iCs/>
                <w:color w:val="000000" w:themeColor="text1"/>
                <w:lang w:eastAsia="lv-LV"/>
              </w:rPr>
              <w:t>Jautājumu par papildu nepieciešamā finansējuma piešķiršanu 2022.</w:t>
            </w:r>
            <w:r w:rsidR="00092B3E">
              <w:rPr>
                <w:iCs/>
                <w:color w:val="000000" w:themeColor="text1"/>
                <w:lang w:eastAsia="lv-LV"/>
              </w:rPr>
              <w:t> </w:t>
            </w:r>
            <w:r w:rsidRPr="0067478B">
              <w:rPr>
                <w:iCs/>
                <w:color w:val="000000" w:themeColor="text1"/>
                <w:lang w:eastAsia="lv-LV"/>
              </w:rPr>
              <w:t xml:space="preserve">gadā Tieslietu ministrijas valsts pamatbudžeta apakšprogrammā </w:t>
            </w:r>
            <w:r w:rsidRPr="0067478B">
              <w:rPr>
                <w:lang w:eastAsia="lv-LV"/>
              </w:rPr>
              <w:t>03.01.00 "</w:t>
            </w:r>
            <w:r w:rsidRPr="0067478B">
              <w:rPr>
                <w:bCs/>
              </w:rPr>
              <w:t>Tiesu administrēšana</w:t>
            </w:r>
            <w:r w:rsidRPr="0067478B">
              <w:rPr>
                <w:lang w:eastAsia="lv-LV"/>
              </w:rPr>
              <w:t>"</w:t>
            </w:r>
            <w:r w:rsidRPr="0067478B">
              <w:rPr>
                <w:iCs/>
                <w:color w:val="000000" w:themeColor="text1"/>
                <w:lang w:eastAsia="lv-LV"/>
              </w:rPr>
              <w:t xml:space="preserve"> </w:t>
            </w:r>
            <w:r w:rsidRPr="0067478B">
              <w:rPr>
                <w:b/>
                <w:bCs/>
                <w:lang w:eastAsia="lv-LV"/>
              </w:rPr>
              <w:t>7 444</w:t>
            </w:r>
            <w:r w:rsidRPr="0067478B">
              <w:rPr>
                <w:bCs/>
                <w:iCs/>
                <w:color w:val="000000" w:themeColor="text1"/>
                <w:lang w:eastAsia="lv-LV"/>
              </w:rPr>
              <w:t> </w:t>
            </w:r>
            <w:r w:rsidRPr="0067478B">
              <w:rPr>
                <w:b/>
                <w:bCs/>
                <w:i/>
                <w:iCs/>
                <w:color w:val="000000" w:themeColor="text1"/>
                <w:lang w:eastAsia="lv-LV"/>
              </w:rPr>
              <w:t>euro</w:t>
            </w:r>
            <w:r w:rsidRPr="0067478B">
              <w:rPr>
                <w:b/>
                <w:bCs/>
                <w:iCs/>
                <w:color w:val="000000" w:themeColor="text1"/>
                <w:lang w:eastAsia="lv-LV"/>
              </w:rPr>
              <w:t xml:space="preserve"> </w:t>
            </w:r>
            <w:r w:rsidRPr="0067478B">
              <w:rPr>
                <w:iCs/>
                <w:color w:val="000000" w:themeColor="text1"/>
                <w:lang w:eastAsia="lv-LV"/>
              </w:rPr>
              <w:t xml:space="preserve">apmērā un </w:t>
            </w:r>
            <w:r w:rsidRPr="0067478B">
              <w:rPr>
                <w:color w:val="000000" w:themeColor="text1"/>
                <w:lang w:eastAsia="lv-LV"/>
              </w:rPr>
              <w:t xml:space="preserve">apakšprogrammā 06.01.00 </w:t>
            </w:r>
            <w:r w:rsidRPr="0067478B">
              <w:rPr>
                <w:lang w:eastAsia="lv-LV"/>
              </w:rPr>
              <w:t xml:space="preserve">"Juridisko personu reģistrācija" </w:t>
            </w:r>
            <w:r w:rsidRPr="0067478B">
              <w:rPr>
                <w:b/>
                <w:bCs/>
                <w:lang w:eastAsia="lv-LV"/>
              </w:rPr>
              <w:t>1</w:t>
            </w:r>
            <w:r w:rsidRPr="0067478B">
              <w:rPr>
                <w:b/>
                <w:bCs/>
                <w:iCs/>
                <w:lang w:eastAsia="lv-LV"/>
              </w:rPr>
              <w:t>6 553</w:t>
            </w:r>
            <w:r w:rsidRPr="0067478B">
              <w:rPr>
                <w:bCs/>
                <w:iCs/>
                <w:color w:val="000000" w:themeColor="text1"/>
                <w:lang w:eastAsia="lv-LV"/>
              </w:rPr>
              <w:t> </w:t>
            </w:r>
            <w:r w:rsidRPr="0067478B">
              <w:rPr>
                <w:b/>
                <w:bCs/>
                <w:i/>
                <w:iCs/>
                <w:color w:val="000000" w:themeColor="text1"/>
                <w:lang w:eastAsia="lv-LV"/>
              </w:rPr>
              <w:t>euro</w:t>
            </w:r>
            <w:r w:rsidRPr="0067478B">
              <w:rPr>
                <w:iCs/>
                <w:color w:val="000000" w:themeColor="text1"/>
                <w:lang w:eastAsia="lv-LV"/>
              </w:rPr>
              <w:t xml:space="preserve"> apmērā izskatīt Ministru kabinetā likumprojekta "Par valsts budžetu 2022. gadam" un likumprojekta "Par vidēja termiņa budžeta ietvaru 2022., 2023. un 2024. gadam" sagatavošanas un izskatīšanas procesā kopā </w:t>
            </w:r>
            <w:r w:rsidRPr="0067478B">
              <w:rPr>
                <w:iCs/>
                <w:color w:val="000000" w:themeColor="text1"/>
                <w:lang w:eastAsia="lv-LV"/>
              </w:rPr>
              <w:lastRenderedPageBreak/>
              <w:t>ar visu ministriju un centrālo valsts iestāžu iesniegtajiem prioritāro pasākumu pieteikumiem atbilstoši valsts budžeta finansiālajām iespējām.</w:t>
            </w:r>
          </w:p>
          <w:p w14:paraId="11EBCB49" w14:textId="77777777" w:rsidR="00AF7B79" w:rsidRPr="0067478B" w:rsidRDefault="00AF7B79" w:rsidP="00AE74A5">
            <w:pPr>
              <w:jc w:val="both"/>
              <w:rPr>
                <w:iCs/>
                <w:color w:val="000000" w:themeColor="text1"/>
                <w:lang w:eastAsia="lv-LV"/>
              </w:rPr>
            </w:pPr>
          </w:p>
        </w:tc>
      </w:tr>
    </w:tbl>
    <w:p w14:paraId="6E13FA05" w14:textId="0E34D5D2" w:rsidR="005857E0" w:rsidRPr="0067478B" w:rsidRDefault="005857E0" w:rsidP="005857E0">
      <w:pPr>
        <w:rPr>
          <w:iCs/>
          <w:lang w:val="en-US" w:eastAsia="lv-LV"/>
        </w:rPr>
      </w:pPr>
    </w:p>
    <w:tbl>
      <w:tblPr>
        <w:tblW w:w="516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6"/>
        <w:gridCol w:w="2814"/>
        <w:gridCol w:w="5856"/>
      </w:tblGrid>
      <w:tr w:rsidR="005857E0" w:rsidRPr="0067478B" w14:paraId="2BA2A904" w14:textId="77777777" w:rsidTr="00037D3F">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0F6B8A3B" w14:textId="77777777" w:rsidR="005857E0" w:rsidRPr="0067478B" w:rsidRDefault="005857E0" w:rsidP="005003BF">
            <w:pPr>
              <w:jc w:val="center"/>
              <w:rPr>
                <w:b/>
                <w:bCs/>
                <w:iCs/>
                <w:lang w:eastAsia="lv-LV"/>
              </w:rPr>
            </w:pPr>
            <w:r w:rsidRPr="0067478B">
              <w:rPr>
                <w:b/>
                <w:bCs/>
                <w:iCs/>
                <w:lang w:eastAsia="lv-LV"/>
              </w:rPr>
              <w:t>IV. Tiesību akta projekta ietekme uz spēkā esošo tiesību normu sistēmu</w:t>
            </w:r>
          </w:p>
        </w:tc>
      </w:tr>
      <w:tr w:rsidR="005857E0" w:rsidRPr="0067478B" w14:paraId="44A978BC" w14:textId="77777777" w:rsidTr="00037D3F">
        <w:trPr>
          <w:tblCellSpacing w:w="15" w:type="dxa"/>
        </w:trPr>
        <w:tc>
          <w:tcPr>
            <w:tcW w:w="268" w:type="pct"/>
            <w:tcBorders>
              <w:top w:val="outset" w:sz="6" w:space="0" w:color="auto"/>
              <w:left w:val="outset" w:sz="6" w:space="0" w:color="auto"/>
              <w:bottom w:val="outset" w:sz="6" w:space="0" w:color="auto"/>
              <w:right w:val="outset" w:sz="6" w:space="0" w:color="auto"/>
            </w:tcBorders>
            <w:hideMark/>
          </w:tcPr>
          <w:p w14:paraId="1A3ABF0B" w14:textId="77777777" w:rsidR="005857E0" w:rsidRPr="0067478B" w:rsidRDefault="005857E0" w:rsidP="00172608">
            <w:pPr>
              <w:rPr>
                <w:iCs/>
                <w:lang w:eastAsia="lv-LV"/>
              </w:rPr>
            </w:pPr>
            <w:r w:rsidRPr="0067478B">
              <w:rPr>
                <w:iCs/>
                <w:lang w:eastAsia="lv-LV"/>
              </w:rPr>
              <w:t>1.</w:t>
            </w:r>
          </w:p>
        </w:tc>
        <w:tc>
          <w:tcPr>
            <w:tcW w:w="1522" w:type="pct"/>
            <w:tcBorders>
              <w:top w:val="outset" w:sz="6" w:space="0" w:color="auto"/>
              <w:left w:val="outset" w:sz="6" w:space="0" w:color="auto"/>
              <w:bottom w:val="outset" w:sz="6" w:space="0" w:color="auto"/>
              <w:right w:val="outset" w:sz="6" w:space="0" w:color="auto"/>
            </w:tcBorders>
            <w:hideMark/>
          </w:tcPr>
          <w:p w14:paraId="5ABFD280" w14:textId="77777777" w:rsidR="005857E0" w:rsidRPr="0067478B" w:rsidRDefault="005857E0" w:rsidP="00C26BB3">
            <w:pPr>
              <w:jc w:val="both"/>
              <w:rPr>
                <w:iCs/>
                <w:lang w:eastAsia="lv-LV"/>
              </w:rPr>
            </w:pPr>
            <w:r w:rsidRPr="0067478B">
              <w:rPr>
                <w:iCs/>
                <w:lang w:eastAsia="lv-LV"/>
              </w:rPr>
              <w:t>Saistītie tiesību aktu projekti</w:t>
            </w:r>
          </w:p>
        </w:tc>
        <w:tc>
          <w:tcPr>
            <w:tcW w:w="3144" w:type="pct"/>
            <w:tcBorders>
              <w:top w:val="outset" w:sz="6" w:space="0" w:color="auto"/>
              <w:left w:val="outset" w:sz="6" w:space="0" w:color="auto"/>
              <w:bottom w:val="outset" w:sz="6" w:space="0" w:color="auto"/>
              <w:right w:val="outset" w:sz="6" w:space="0" w:color="auto"/>
            </w:tcBorders>
            <w:hideMark/>
          </w:tcPr>
          <w:p w14:paraId="0BFB599C" w14:textId="6A8B69E1" w:rsidR="00CE0C79" w:rsidRPr="0067478B" w:rsidRDefault="005857E0" w:rsidP="00FB0331">
            <w:pPr>
              <w:pStyle w:val="Paraststmeklis"/>
              <w:jc w:val="both"/>
              <w:rPr>
                <w:iCs/>
                <w:lang w:eastAsia="lv-LV"/>
              </w:rPr>
            </w:pPr>
            <w:r w:rsidRPr="0067478B">
              <w:rPr>
                <w:iCs/>
                <w:color w:val="000000" w:themeColor="text1"/>
                <w:lang w:eastAsia="lv-LV"/>
              </w:rPr>
              <w:t xml:space="preserve">Nepieciešami grozījumi Ministru kabineta </w:t>
            </w:r>
            <w:r w:rsidR="00C26BB3" w:rsidRPr="0067478B">
              <w:rPr>
                <w:iCs/>
                <w:color w:val="000000" w:themeColor="text1"/>
                <w:lang w:eastAsia="lv-LV"/>
              </w:rPr>
              <w:t>noteikumos Nr. 288</w:t>
            </w:r>
            <w:r w:rsidR="00140CB8" w:rsidRPr="0067478B">
              <w:rPr>
                <w:iCs/>
                <w:color w:val="000000" w:themeColor="text1"/>
                <w:lang w:eastAsia="lv-LV"/>
              </w:rPr>
              <w:t xml:space="preserve">. </w:t>
            </w:r>
          </w:p>
        </w:tc>
      </w:tr>
      <w:tr w:rsidR="005857E0" w:rsidRPr="0067478B" w14:paraId="02606D7A" w14:textId="77777777" w:rsidTr="00037D3F">
        <w:trPr>
          <w:tblCellSpacing w:w="15" w:type="dxa"/>
        </w:trPr>
        <w:tc>
          <w:tcPr>
            <w:tcW w:w="268" w:type="pct"/>
            <w:tcBorders>
              <w:top w:val="outset" w:sz="6" w:space="0" w:color="auto"/>
              <w:left w:val="outset" w:sz="6" w:space="0" w:color="auto"/>
              <w:bottom w:val="outset" w:sz="6" w:space="0" w:color="auto"/>
              <w:right w:val="outset" w:sz="6" w:space="0" w:color="auto"/>
            </w:tcBorders>
            <w:hideMark/>
          </w:tcPr>
          <w:p w14:paraId="34898D94" w14:textId="77777777" w:rsidR="005857E0" w:rsidRPr="0067478B" w:rsidRDefault="005857E0" w:rsidP="00172608">
            <w:pPr>
              <w:rPr>
                <w:iCs/>
                <w:lang w:eastAsia="lv-LV"/>
              </w:rPr>
            </w:pPr>
            <w:r w:rsidRPr="0067478B">
              <w:rPr>
                <w:iCs/>
                <w:lang w:eastAsia="lv-LV"/>
              </w:rPr>
              <w:t>2.</w:t>
            </w:r>
          </w:p>
        </w:tc>
        <w:tc>
          <w:tcPr>
            <w:tcW w:w="1522" w:type="pct"/>
            <w:tcBorders>
              <w:top w:val="outset" w:sz="6" w:space="0" w:color="auto"/>
              <w:left w:val="outset" w:sz="6" w:space="0" w:color="auto"/>
              <w:bottom w:val="outset" w:sz="6" w:space="0" w:color="auto"/>
              <w:right w:val="outset" w:sz="6" w:space="0" w:color="auto"/>
            </w:tcBorders>
            <w:hideMark/>
          </w:tcPr>
          <w:p w14:paraId="1C0932F8" w14:textId="77777777" w:rsidR="005857E0" w:rsidRPr="0067478B" w:rsidRDefault="005857E0" w:rsidP="00172608">
            <w:pPr>
              <w:rPr>
                <w:iCs/>
                <w:lang w:eastAsia="lv-LV"/>
              </w:rPr>
            </w:pPr>
            <w:r w:rsidRPr="0067478B">
              <w:rPr>
                <w:iCs/>
                <w:lang w:eastAsia="lv-LV"/>
              </w:rPr>
              <w:t>Atbildīgā institūcija</w:t>
            </w:r>
          </w:p>
        </w:tc>
        <w:tc>
          <w:tcPr>
            <w:tcW w:w="3144" w:type="pct"/>
            <w:tcBorders>
              <w:top w:val="outset" w:sz="6" w:space="0" w:color="auto"/>
              <w:left w:val="outset" w:sz="6" w:space="0" w:color="auto"/>
              <w:bottom w:val="outset" w:sz="6" w:space="0" w:color="auto"/>
              <w:right w:val="outset" w:sz="6" w:space="0" w:color="auto"/>
            </w:tcBorders>
            <w:hideMark/>
          </w:tcPr>
          <w:p w14:paraId="27F52385" w14:textId="77777777" w:rsidR="005857E0" w:rsidRPr="0067478B" w:rsidRDefault="005857E0" w:rsidP="00172608">
            <w:pPr>
              <w:rPr>
                <w:iCs/>
                <w:lang w:eastAsia="lv-LV"/>
              </w:rPr>
            </w:pPr>
            <w:r w:rsidRPr="0067478B">
              <w:rPr>
                <w:iCs/>
                <w:lang w:eastAsia="lv-LV"/>
              </w:rPr>
              <w:t>Tieslietu ministrija.</w:t>
            </w:r>
          </w:p>
        </w:tc>
      </w:tr>
      <w:tr w:rsidR="005857E0" w:rsidRPr="0067478B" w14:paraId="047123A6" w14:textId="77777777" w:rsidTr="00037D3F">
        <w:trPr>
          <w:tblCellSpacing w:w="15" w:type="dxa"/>
        </w:trPr>
        <w:tc>
          <w:tcPr>
            <w:tcW w:w="268" w:type="pct"/>
            <w:tcBorders>
              <w:top w:val="outset" w:sz="6" w:space="0" w:color="auto"/>
              <w:left w:val="outset" w:sz="6" w:space="0" w:color="auto"/>
              <w:bottom w:val="outset" w:sz="6" w:space="0" w:color="auto"/>
              <w:right w:val="outset" w:sz="6" w:space="0" w:color="auto"/>
            </w:tcBorders>
            <w:hideMark/>
          </w:tcPr>
          <w:p w14:paraId="485491B9" w14:textId="77777777" w:rsidR="005857E0" w:rsidRPr="0067478B" w:rsidRDefault="005857E0" w:rsidP="00172608">
            <w:pPr>
              <w:rPr>
                <w:iCs/>
                <w:lang w:eastAsia="lv-LV"/>
              </w:rPr>
            </w:pPr>
            <w:r w:rsidRPr="0067478B">
              <w:rPr>
                <w:iCs/>
                <w:lang w:eastAsia="lv-LV"/>
              </w:rPr>
              <w:t>3.</w:t>
            </w:r>
          </w:p>
        </w:tc>
        <w:tc>
          <w:tcPr>
            <w:tcW w:w="1522" w:type="pct"/>
            <w:tcBorders>
              <w:top w:val="outset" w:sz="6" w:space="0" w:color="auto"/>
              <w:left w:val="outset" w:sz="6" w:space="0" w:color="auto"/>
              <w:bottom w:val="outset" w:sz="6" w:space="0" w:color="auto"/>
              <w:right w:val="outset" w:sz="6" w:space="0" w:color="auto"/>
            </w:tcBorders>
            <w:hideMark/>
          </w:tcPr>
          <w:p w14:paraId="6F674D15" w14:textId="77777777" w:rsidR="005857E0" w:rsidRPr="0067478B" w:rsidRDefault="005857E0" w:rsidP="00172608">
            <w:pPr>
              <w:rPr>
                <w:iCs/>
                <w:lang w:eastAsia="lv-LV"/>
              </w:rPr>
            </w:pPr>
            <w:r w:rsidRPr="0067478B">
              <w:rPr>
                <w:iCs/>
                <w:lang w:eastAsia="lv-LV"/>
              </w:rPr>
              <w:t>Cita informācija</w:t>
            </w:r>
          </w:p>
        </w:tc>
        <w:tc>
          <w:tcPr>
            <w:tcW w:w="3144" w:type="pct"/>
            <w:tcBorders>
              <w:top w:val="outset" w:sz="6" w:space="0" w:color="auto"/>
              <w:left w:val="outset" w:sz="6" w:space="0" w:color="auto"/>
              <w:bottom w:val="outset" w:sz="6" w:space="0" w:color="auto"/>
              <w:right w:val="outset" w:sz="6" w:space="0" w:color="auto"/>
            </w:tcBorders>
            <w:hideMark/>
          </w:tcPr>
          <w:p w14:paraId="69051E88" w14:textId="77777777" w:rsidR="005857E0" w:rsidRPr="0067478B" w:rsidRDefault="005857E0" w:rsidP="00172608">
            <w:pPr>
              <w:rPr>
                <w:iCs/>
                <w:lang w:eastAsia="lv-LV"/>
              </w:rPr>
            </w:pPr>
            <w:r w:rsidRPr="0067478B">
              <w:rPr>
                <w:iCs/>
                <w:lang w:eastAsia="lv-LV"/>
              </w:rPr>
              <w:t>Nav.</w:t>
            </w:r>
          </w:p>
        </w:tc>
      </w:tr>
    </w:tbl>
    <w:p w14:paraId="03713B6D" w14:textId="77777777" w:rsidR="005857E0" w:rsidRPr="0067478B" w:rsidRDefault="005857E0" w:rsidP="005857E0">
      <w:pPr>
        <w:rPr>
          <w:iCs/>
          <w:lang w:val="en-US" w:eastAsia="lv-LV"/>
        </w:rPr>
      </w:pPr>
      <w:r w:rsidRPr="0067478B">
        <w:rPr>
          <w:iCs/>
          <w:lang w:val="en-US" w:eastAsia="lv-LV"/>
        </w:rPr>
        <w:t xml:space="preserve">  </w:t>
      </w:r>
    </w:p>
    <w:tbl>
      <w:tblPr>
        <w:tblW w:w="516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06"/>
      </w:tblGrid>
      <w:tr w:rsidR="005857E0" w:rsidRPr="0067478B" w14:paraId="12D32052" w14:textId="77777777" w:rsidTr="00037D3F">
        <w:trPr>
          <w:tblCellSpacing w:w="15" w:type="dxa"/>
        </w:trPr>
        <w:tc>
          <w:tcPr>
            <w:tcW w:w="49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0166D7" w14:textId="77777777" w:rsidR="005857E0" w:rsidRPr="0067478B" w:rsidRDefault="005857E0" w:rsidP="005003BF">
            <w:pPr>
              <w:jc w:val="center"/>
              <w:rPr>
                <w:b/>
                <w:bCs/>
                <w:iCs/>
                <w:lang w:eastAsia="lv-LV"/>
              </w:rPr>
            </w:pPr>
            <w:r w:rsidRPr="0067478B">
              <w:rPr>
                <w:b/>
                <w:bCs/>
                <w:iCs/>
                <w:lang w:eastAsia="lv-LV"/>
              </w:rPr>
              <w:t>V. Tiesību akta projekta atbilstība Latvijas Republikas starptautiskajām saistībām</w:t>
            </w:r>
          </w:p>
        </w:tc>
      </w:tr>
      <w:tr w:rsidR="005857E0" w:rsidRPr="0067478B" w14:paraId="331C5D56" w14:textId="77777777" w:rsidTr="00037D3F">
        <w:trPr>
          <w:tblCellSpacing w:w="15" w:type="dxa"/>
        </w:trPr>
        <w:tc>
          <w:tcPr>
            <w:tcW w:w="4967" w:type="pct"/>
            <w:tcBorders>
              <w:top w:val="outset" w:sz="6" w:space="0" w:color="auto"/>
              <w:left w:val="outset" w:sz="6" w:space="0" w:color="auto"/>
              <w:bottom w:val="outset" w:sz="6" w:space="0" w:color="auto"/>
              <w:right w:val="outset" w:sz="6" w:space="0" w:color="auto"/>
            </w:tcBorders>
            <w:shd w:val="clear" w:color="auto" w:fill="auto"/>
          </w:tcPr>
          <w:p w14:paraId="488BB7F0" w14:textId="77777777" w:rsidR="005857E0" w:rsidRPr="0067478B" w:rsidRDefault="005857E0" w:rsidP="00172608">
            <w:pPr>
              <w:jc w:val="center"/>
              <w:rPr>
                <w:iCs/>
                <w:lang w:eastAsia="lv-LV"/>
              </w:rPr>
            </w:pPr>
            <w:r w:rsidRPr="0067478B">
              <w:rPr>
                <w:iCs/>
                <w:lang w:eastAsia="lv-LV"/>
              </w:rPr>
              <w:t>Likumprojekts šo jomu neskar.</w:t>
            </w:r>
          </w:p>
        </w:tc>
      </w:tr>
    </w:tbl>
    <w:p w14:paraId="47E0345D" w14:textId="665FCAD6" w:rsidR="00EF4D4D" w:rsidRPr="0067478B" w:rsidRDefault="005857E0" w:rsidP="005857E0">
      <w:pPr>
        <w:rPr>
          <w:iCs/>
          <w:lang w:eastAsia="lv-LV"/>
        </w:rPr>
      </w:pPr>
      <w:r w:rsidRPr="0067478B">
        <w:rPr>
          <w:iCs/>
          <w:lang w:eastAsia="lv-LV"/>
        </w:rPr>
        <w:t> </w:t>
      </w:r>
    </w:p>
    <w:tbl>
      <w:tblPr>
        <w:tblW w:w="516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6"/>
        <w:gridCol w:w="2756"/>
        <w:gridCol w:w="5924"/>
      </w:tblGrid>
      <w:tr w:rsidR="005857E0" w:rsidRPr="0067478B" w14:paraId="68C18E93" w14:textId="77777777" w:rsidTr="00037D3F">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8EFF61D" w14:textId="77777777" w:rsidR="005857E0" w:rsidRPr="0067478B" w:rsidRDefault="005857E0" w:rsidP="005003BF">
            <w:pPr>
              <w:jc w:val="center"/>
              <w:rPr>
                <w:b/>
                <w:bCs/>
                <w:iCs/>
                <w:lang w:eastAsia="lv-LV"/>
              </w:rPr>
            </w:pPr>
            <w:r w:rsidRPr="0067478B">
              <w:rPr>
                <w:b/>
                <w:bCs/>
                <w:iCs/>
                <w:lang w:eastAsia="lv-LV"/>
              </w:rPr>
              <w:t>VI. Sabiedrības līdzdalība un komunikācijas aktivitātes</w:t>
            </w:r>
          </w:p>
        </w:tc>
      </w:tr>
      <w:tr w:rsidR="005857E0" w:rsidRPr="0067478B" w14:paraId="245D9C38" w14:textId="77777777" w:rsidTr="00037D3F">
        <w:trPr>
          <w:tblCellSpacing w:w="15" w:type="dxa"/>
        </w:trPr>
        <w:tc>
          <w:tcPr>
            <w:tcW w:w="263" w:type="pct"/>
            <w:tcBorders>
              <w:top w:val="outset" w:sz="6" w:space="0" w:color="auto"/>
              <w:left w:val="outset" w:sz="6" w:space="0" w:color="auto"/>
              <w:bottom w:val="outset" w:sz="6" w:space="0" w:color="auto"/>
              <w:right w:val="outset" w:sz="6" w:space="0" w:color="auto"/>
            </w:tcBorders>
            <w:hideMark/>
          </w:tcPr>
          <w:p w14:paraId="648787A6" w14:textId="77777777" w:rsidR="005857E0" w:rsidRPr="0067478B" w:rsidRDefault="005857E0" w:rsidP="00172608">
            <w:pPr>
              <w:rPr>
                <w:iCs/>
                <w:lang w:eastAsia="lv-LV"/>
              </w:rPr>
            </w:pPr>
            <w:r w:rsidRPr="0067478B">
              <w:rPr>
                <w:iCs/>
                <w:lang w:eastAsia="lv-LV"/>
              </w:rPr>
              <w:t>1.</w:t>
            </w:r>
          </w:p>
        </w:tc>
        <w:tc>
          <w:tcPr>
            <w:tcW w:w="1490" w:type="pct"/>
            <w:tcBorders>
              <w:top w:val="outset" w:sz="6" w:space="0" w:color="auto"/>
              <w:left w:val="outset" w:sz="6" w:space="0" w:color="auto"/>
              <w:bottom w:val="outset" w:sz="6" w:space="0" w:color="auto"/>
              <w:right w:val="outset" w:sz="6" w:space="0" w:color="auto"/>
            </w:tcBorders>
            <w:hideMark/>
          </w:tcPr>
          <w:p w14:paraId="3E6BDAE0" w14:textId="77777777" w:rsidR="005857E0" w:rsidRPr="0067478B" w:rsidRDefault="005857E0" w:rsidP="00172608">
            <w:pPr>
              <w:rPr>
                <w:iCs/>
                <w:lang w:eastAsia="lv-LV"/>
              </w:rPr>
            </w:pPr>
            <w:r w:rsidRPr="0067478B">
              <w:rPr>
                <w:iCs/>
                <w:lang w:eastAsia="lv-LV"/>
              </w:rPr>
              <w:t>Plānotās sabiedrības līdzdalības un komunikācijas aktivitātes saistībā ar projektu</w:t>
            </w:r>
          </w:p>
        </w:tc>
        <w:tc>
          <w:tcPr>
            <w:tcW w:w="3181" w:type="pct"/>
            <w:tcBorders>
              <w:top w:val="outset" w:sz="6" w:space="0" w:color="auto"/>
              <w:left w:val="outset" w:sz="6" w:space="0" w:color="auto"/>
              <w:bottom w:val="outset" w:sz="6" w:space="0" w:color="auto"/>
              <w:right w:val="outset" w:sz="6" w:space="0" w:color="auto"/>
            </w:tcBorders>
            <w:hideMark/>
          </w:tcPr>
          <w:p w14:paraId="4AB8889C" w14:textId="0B08547E" w:rsidR="00000176" w:rsidRPr="0067478B" w:rsidRDefault="00FB0331" w:rsidP="00CE0C79">
            <w:pPr>
              <w:pStyle w:val="Paraststmeklis"/>
              <w:jc w:val="both"/>
              <w:rPr>
                <w:color w:val="000000"/>
              </w:rPr>
            </w:pPr>
            <w:r w:rsidRPr="0067478B">
              <w:rPr>
                <w:color w:val="000000"/>
              </w:rPr>
              <w:t xml:space="preserve">Izstrādājot likumprojektu, notikušas diskusijas </w:t>
            </w:r>
            <w:r w:rsidR="004B69BC">
              <w:rPr>
                <w:color w:val="000000"/>
              </w:rPr>
              <w:t>Darba grupas</w:t>
            </w:r>
            <w:r w:rsidRPr="0067478B">
              <w:rPr>
                <w:color w:val="000000"/>
              </w:rPr>
              <w:t xml:space="preserve"> sanāksmēs </w:t>
            </w:r>
            <w:r w:rsidR="004B69BC">
              <w:rPr>
                <w:color w:val="000000"/>
              </w:rPr>
              <w:t>2020. gada</w:t>
            </w:r>
            <w:r w:rsidRPr="0067478B">
              <w:rPr>
                <w:color w:val="000000"/>
              </w:rPr>
              <w:t xml:space="preserve"> 8. un 22. oktobrī un 5. un 12. novembrī. Papildu j</w:t>
            </w:r>
            <w:r w:rsidR="00CE0C79" w:rsidRPr="0067478B">
              <w:rPr>
                <w:color w:val="000000"/>
              </w:rPr>
              <w:t>ebkurš sabiedrības pārstāvis varēs līdzdarboties projekta izstrādē, rakstiski sniedzot viedokli (iebildumus un priekšlikumus) par projektu. Sabiedrības pārstāvju rakstiski sniegtie viedokļi tiks izvērtēti projekta izstrādē.</w:t>
            </w:r>
          </w:p>
        </w:tc>
      </w:tr>
      <w:tr w:rsidR="005857E0" w:rsidRPr="0067478B" w14:paraId="2A4205A7" w14:textId="77777777" w:rsidTr="00037D3F">
        <w:trPr>
          <w:tblCellSpacing w:w="15" w:type="dxa"/>
        </w:trPr>
        <w:tc>
          <w:tcPr>
            <w:tcW w:w="263" w:type="pct"/>
            <w:tcBorders>
              <w:top w:val="outset" w:sz="6" w:space="0" w:color="auto"/>
              <w:left w:val="outset" w:sz="6" w:space="0" w:color="auto"/>
              <w:bottom w:val="outset" w:sz="6" w:space="0" w:color="auto"/>
              <w:right w:val="outset" w:sz="6" w:space="0" w:color="auto"/>
            </w:tcBorders>
            <w:hideMark/>
          </w:tcPr>
          <w:p w14:paraId="363ED820" w14:textId="77777777" w:rsidR="005857E0" w:rsidRPr="0067478B" w:rsidRDefault="005857E0" w:rsidP="00172608">
            <w:pPr>
              <w:rPr>
                <w:iCs/>
                <w:lang w:eastAsia="lv-LV"/>
              </w:rPr>
            </w:pPr>
            <w:r w:rsidRPr="0067478B">
              <w:rPr>
                <w:iCs/>
                <w:lang w:eastAsia="lv-LV"/>
              </w:rPr>
              <w:t>2.</w:t>
            </w:r>
          </w:p>
        </w:tc>
        <w:tc>
          <w:tcPr>
            <w:tcW w:w="1490" w:type="pct"/>
            <w:tcBorders>
              <w:top w:val="outset" w:sz="6" w:space="0" w:color="auto"/>
              <w:left w:val="outset" w:sz="6" w:space="0" w:color="auto"/>
              <w:bottom w:val="outset" w:sz="6" w:space="0" w:color="auto"/>
              <w:right w:val="outset" w:sz="6" w:space="0" w:color="auto"/>
            </w:tcBorders>
            <w:hideMark/>
          </w:tcPr>
          <w:p w14:paraId="23F61DEA" w14:textId="77777777" w:rsidR="005857E0" w:rsidRPr="0067478B" w:rsidRDefault="005857E0" w:rsidP="00172608">
            <w:pPr>
              <w:rPr>
                <w:iCs/>
                <w:lang w:eastAsia="lv-LV"/>
              </w:rPr>
            </w:pPr>
            <w:r w:rsidRPr="0067478B">
              <w:rPr>
                <w:iCs/>
                <w:lang w:eastAsia="lv-LV"/>
              </w:rPr>
              <w:t>Sabiedrības līdzdalība projekta izstrādē</w:t>
            </w:r>
          </w:p>
        </w:tc>
        <w:tc>
          <w:tcPr>
            <w:tcW w:w="3181" w:type="pct"/>
            <w:tcBorders>
              <w:top w:val="outset" w:sz="6" w:space="0" w:color="auto"/>
              <w:left w:val="outset" w:sz="6" w:space="0" w:color="auto"/>
              <w:bottom w:val="outset" w:sz="6" w:space="0" w:color="auto"/>
              <w:right w:val="outset" w:sz="6" w:space="0" w:color="auto"/>
            </w:tcBorders>
            <w:hideMark/>
          </w:tcPr>
          <w:p w14:paraId="26A9D07E" w14:textId="0D15CC21" w:rsidR="00CE0C79" w:rsidRPr="0067478B" w:rsidRDefault="00CE0C79" w:rsidP="00CE0C79">
            <w:pPr>
              <w:pStyle w:val="Paraststmeklis"/>
              <w:jc w:val="both"/>
              <w:rPr>
                <w:color w:val="000000"/>
              </w:rPr>
            </w:pPr>
            <w:r w:rsidRPr="0067478B">
              <w:rPr>
                <w:color w:val="000000"/>
              </w:rPr>
              <w:t>Informācija par projektu un sabiedrības līdzdalības aktivitātēm tiks ievietota Tieslietu ministrijas un Valsts kancelejas tīmekļvietnēs. Atbilstoši Ministru kabineta 2009.</w:t>
            </w:r>
            <w:r w:rsidR="004B69BC">
              <w:rPr>
                <w:color w:val="000000"/>
              </w:rPr>
              <w:t> </w:t>
            </w:r>
            <w:r w:rsidRPr="0067478B">
              <w:rPr>
                <w:color w:val="000000"/>
              </w:rPr>
              <w:t>gada 25.</w:t>
            </w:r>
            <w:r w:rsidR="004B69BC">
              <w:rPr>
                <w:color w:val="000000"/>
              </w:rPr>
              <w:t> </w:t>
            </w:r>
            <w:r w:rsidRPr="0067478B">
              <w:rPr>
                <w:color w:val="000000"/>
              </w:rPr>
              <w:t>augusta noteikumu Nr.</w:t>
            </w:r>
            <w:r w:rsidR="004B69BC">
              <w:rPr>
                <w:color w:val="000000"/>
              </w:rPr>
              <w:t> </w:t>
            </w:r>
            <w:r w:rsidRPr="0067478B">
              <w:rPr>
                <w:color w:val="000000"/>
              </w:rPr>
              <w:t>970 "Sabiedrības līdzdalības kārtība attīstības plānošanas procesā" 7.4.1. apakšpunktam jebkurš sabiedrības pārstāvis varēs līdzdarboties projekta izstrādē, rakstiski sniedzot viedokli (iebildumus un priekšlikumus) par projektu. Sabiedrības pārstāvju rakstiski sniegtie viedokļi tiks izvērtēti projekta izstrādē.</w:t>
            </w:r>
          </w:p>
          <w:p w14:paraId="33E66F21" w14:textId="522149A8" w:rsidR="005857E0" w:rsidRPr="0067478B" w:rsidRDefault="005857E0" w:rsidP="00172608">
            <w:pPr>
              <w:jc w:val="both"/>
              <w:rPr>
                <w:iCs/>
                <w:lang w:eastAsia="lv-LV"/>
              </w:rPr>
            </w:pPr>
          </w:p>
        </w:tc>
      </w:tr>
      <w:tr w:rsidR="005857E0" w:rsidRPr="0067478B" w14:paraId="2C1C19CC" w14:textId="77777777" w:rsidTr="00037D3F">
        <w:trPr>
          <w:tblCellSpacing w:w="15" w:type="dxa"/>
        </w:trPr>
        <w:tc>
          <w:tcPr>
            <w:tcW w:w="263" w:type="pct"/>
            <w:tcBorders>
              <w:top w:val="outset" w:sz="6" w:space="0" w:color="auto"/>
              <w:left w:val="outset" w:sz="6" w:space="0" w:color="auto"/>
              <w:bottom w:val="outset" w:sz="6" w:space="0" w:color="auto"/>
              <w:right w:val="outset" w:sz="6" w:space="0" w:color="auto"/>
            </w:tcBorders>
            <w:hideMark/>
          </w:tcPr>
          <w:p w14:paraId="41DFA824" w14:textId="77777777" w:rsidR="005857E0" w:rsidRPr="0067478B" w:rsidRDefault="005857E0" w:rsidP="00172608">
            <w:pPr>
              <w:rPr>
                <w:iCs/>
                <w:lang w:eastAsia="lv-LV"/>
              </w:rPr>
            </w:pPr>
            <w:r w:rsidRPr="0067478B">
              <w:rPr>
                <w:iCs/>
                <w:lang w:eastAsia="lv-LV"/>
              </w:rPr>
              <w:t>3.</w:t>
            </w:r>
          </w:p>
        </w:tc>
        <w:tc>
          <w:tcPr>
            <w:tcW w:w="1490" w:type="pct"/>
            <w:tcBorders>
              <w:top w:val="outset" w:sz="6" w:space="0" w:color="auto"/>
              <w:left w:val="outset" w:sz="6" w:space="0" w:color="auto"/>
              <w:bottom w:val="outset" w:sz="6" w:space="0" w:color="auto"/>
              <w:right w:val="outset" w:sz="6" w:space="0" w:color="auto"/>
            </w:tcBorders>
            <w:hideMark/>
          </w:tcPr>
          <w:p w14:paraId="3C424A11" w14:textId="77777777" w:rsidR="005857E0" w:rsidRPr="0067478B" w:rsidRDefault="005857E0" w:rsidP="00172608">
            <w:pPr>
              <w:rPr>
                <w:iCs/>
                <w:lang w:eastAsia="lv-LV"/>
              </w:rPr>
            </w:pPr>
            <w:r w:rsidRPr="0067478B">
              <w:rPr>
                <w:iCs/>
                <w:lang w:eastAsia="lv-LV"/>
              </w:rPr>
              <w:t>Sabiedrības līdzdalības rezultāti</w:t>
            </w:r>
          </w:p>
        </w:tc>
        <w:tc>
          <w:tcPr>
            <w:tcW w:w="3181" w:type="pct"/>
            <w:tcBorders>
              <w:top w:val="outset" w:sz="6" w:space="0" w:color="auto"/>
              <w:left w:val="outset" w:sz="6" w:space="0" w:color="auto"/>
              <w:bottom w:val="outset" w:sz="6" w:space="0" w:color="auto"/>
              <w:right w:val="outset" w:sz="6" w:space="0" w:color="auto"/>
            </w:tcBorders>
            <w:hideMark/>
          </w:tcPr>
          <w:p w14:paraId="5620319C" w14:textId="021B119C" w:rsidR="005857E0" w:rsidRPr="0067478B" w:rsidRDefault="005857E0" w:rsidP="004B69BC">
            <w:pPr>
              <w:jc w:val="both"/>
              <w:rPr>
                <w:iCs/>
                <w:lang w:eastAsia="lv-LV"/>
              </w:rPr>
            </w:pPr>
            <w:r w:rsidRPr="0067478B">
              <w:rPr>
                <w:iCs/>
                <w:lang w:eastAsia="lv-LV"/>
              </w:rPr>
              <w:t>Tiks iekļauti</w:t>
            </w:r>
            <w:r w:rsidR="004B69BC">
              <w:rPr>
                <w:iCs/>
                <w:lang w:eastAsia="lv-LV"/>
              </w:rPr>
              <w:t xml:space="preserve"> pēc sabiedrības līdzdalības rezultātu apkopošanas.</w:t>
            </w:r>
          </w:p>
        </w:tc>
      </w:tr>
      <w:tr w:rsidR="005857E0" w:rsidRPr="0067478B" w14:paraId="35696BAF" w14:textId="77777777" w:rsidTr="00037D3F">
        <w:trPr>
          <w:tblCellSpacing w:w="15" w:type="dxa"/>
        </w:trPr>
        <w:tc>
          <w:tcPr>
            <w:tcW w:w="263" w:type="pct"/>
            <w:tcBorders>
              <w:top w:val="outset" w:sz="6" w:space="0" w:color="auto"/>
              <w:left w:val="outset" w:sz="6" w:space="0" w:color="auto"/>
              <w:bottom w:val="outset" w:sz="6" w:space="0" w:color="auto"/>
              <w:right w:val="outset" w:sz="6" w:space="0" w:color="auto"/>
            </w:tcBorders>
            <w:hideMark/>
          </w:tcPr>
          <w:p w14:paraId="4D165EB5" w14:textId="77777777" w:rsidR="005857E0" w:rsidRPr="0067478B" w:rsidRDefault="005857E0" w:rsidP="00172608">
            <w:pPr>
              <w:rPr>
                <w:iCs/>
                <w:lang w:eastAsia="lv-LV"/>
              </w:rPr>
            </w:pPr>
            <w:r w:rsidRPr="0067478B">
              <w:rPr>
                <w:iCs/>
                <w:lang w:eastAsia="lv-LV"/>
              </w:rPr>
              <w:t>4.</w:t>
            </w:r>
          </w:p>
        </w:tc>
        <w:tc>
          <w:tcPr>
            <w:tcW w:w="1490" w:type="pct"/>
            <w:tcBorders>
              <w:top w:val="outset" w:sz="6" w:space="0" w:color="auto"/>
              <w:left w:val="outset" w:sz="6" w:space="0" w:color="auto"/>
              <w:bottom w:val="outset" w:sz="6" w:space="0" w:color="auto"/>
              <w:right w:val="outset" w:sz="6" w:space="0" w:color="auto"/>
            </w:tcBorders>
            <w:hideMark/>
          </w:tcPr>
          <w:p w14:paraId="6E3C170C" w14:textId="77777777" w:rsidR="005857E0" w:rsidRPr="0067478B" w:rsidRDefault="005857E0" w:rsidP="00172608">
            <w:pPr>
              <w:rPr>
                <w:iCs/>
                <w:lang w:eastAsia="lv-LV"/>
              </w:rPr>
            </w:pPr>
            <w:r w:rsidRPr="0067478B">
              <w:rPr>
                <w:iCs/>
                <w:lang w:eastAsia="lv-LV"/>
              </w:rPr>
              <w:t>Cita informācija</w:t>
            </w:r>
          </w:p>
        </w:tc>
        <w:tc>
          <w:tcPr>
            <w:tcW w:w="3181" w:type="pct"/>
            <w:tcBorders>
              <w:top w:val="outset" w:sz="6" w:space="0" w:color="auto"/>
              <w:left w:val="outset" w:sz="6" w:space="0" w:color="auto"/>
              <w:bottom w:val="outset" w:sz="6" w:space="0" w:color="auto"/>
              <w:right w:val="outset" w:sz="6" w:space="0" w:color="auto"/>
            </w:tcBorders>
            <w:hideMark/>
          </w:tcPr>
          <w:p w14:paraId="124D2AA3" w14:textId="77777777" w:rsidR="005857E0" w:rsidRPr="0067478B" w:rsidRDefault="005857E0" w:rsidP="00172608">
            <w:pPr>
              <w:rPr>
                <w:iCs/>
                <w:lang w:eastAsia="lv-LV"/>
              </w:rPr>
            </w:pPr>
            <w:r w:rsidRPr="0067478B">
              <w:rPr>
                <w:iCs/>
                <w:lang w:eastAsia="lv-LV"/>
              </w:rPr>
              <w:t>Nav.</w:t>
            </w:r>
          </w:p>
        </w:tc>
      </w:tr>
    </w:tbl>
    <w:p w14:paraId="2854E275" w14:textId="77777777" w:rsidR="005857E0" w:rsidRPr="0067478B" w:rsidRDefault="005857E0" w:rsidP="005857E0">
      <w:pPr>
        <w:rPr>
          <w:iCs/>
          <w:lang w:val="en-US" w:eastAsia="lv-LV"/>
        </w:rPr>
      </w:pPr>
      <w:r w:rsidRPr="0067478B">
        <w:rPr>
          <w:iCs/>
          <w:lang w:val="en-US" w:eastAsia="lv-LV"/>
        </w:rPr>
        <w:t xml:space="preserve">  </w:t>
      </w:r>
    </w:p>
    <w:tbl>
      <w:tblPr>
        <w:tblW w:w="516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6"/>
        <w:gridCol w:w="2756"/>
        <w:gridCol w:w="5924"/>
      </w:tblGrid>
      <w:tr w:rsidR="005857E0" w:rsidRPr="0067478B" w14:paraId="65FF0963" w14:textId="77777777" w:rsidTr="00037D3F">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5B8059BA" w14:textId="77777777" w:rsidR="005857E0" w:rsidRPr="0067478B" w:rsidRDefault="005857E0" w:rsidP="005003BF">
            <w:pPr>
              <w:jc w:val="center"/>
              <w:rPr>
                <w:b/>
                <w:bCs/>
                <w:iCs/>
                <w:lang w:eastAsia="lv-LV"/>
              </w:rPr>
            </w:pPr>
            <w:r w:rsidRPr="0067478B">
              <w:rPr>
                <w:b/>
                <w:bCs/>
                <w:iCs/>
                <w:lang w:eastAsia="lv-LV"/>
              </w:rPr>
              <w:t>VII. Tiesību akta projekta izpildes nodrošināšana un tās ietekme uz institūcijām</w:t>
            </w:r>
          </w:p>
        </w:tc>
      </w:tr>
      <w:tr w:rsidR="005857E0" w:rsidRPr="0067478B" w14:paraId="21E2F3B3" w14:textId="77777777" w:rsidTr="00037D3F">
        <w:trPr>
          <w:tblCellSpacing w:w="15" w:type="dxa"/>
        </w:trPr>
        <w:tc>
          <w:tcPr>
            <w:tcW w:w="263" w:type="pct"/>
            <w:tcBorders>
              <w:top w:val="outset" w:sz="6" w:space="0" w:color="auto"/>
              <w:left w:val="outset" w:sz="6" w:space="0" w:color="auto"/>
              <w:bottom w:val="outset" w:sz="6" w:space="0" w:color="auto"/>
              <w:right w:val="outset" w:sz="6" w:space="0" w:color="auto"/>
            </w:tcBorders>
            <w:hideMark/>
          </w:tcPr>
          <w:p w14:paraId="04180C7C" w14:textId="77777777" w:rsidR="005857E0" w:rsidRPr="0067478B" w:rsidRDefault="005857E0" w:rsidP="00172608">
            <w:pPr>
              <w:rPr>
                <w:iCs/>
                <w:lang w:eastAsia="lv-LV"/>
              </w:rPr>
            </w:pPr>
            <w:r w:rsidRPr="0067478B">
              <w:rPr>
                <w:iCs/>
                <w:lang w:eastAsia="lv-LV"/>
              </w:rPr>
              <w:t>1.</w:t>
            </w:r>
          </w:p>
        </w:tc>
        <w:tc>
          <w:tcPr>
            <w:tcW w:w="1490" w:type="pct"/>
            <w:tcBorders>
              <w:top w:val="outset" w:sz="6" w:space="0" w:color="auto"/>
              <w:left w:val="outset" w:sz="6" w:space="0" w:color="auto"/>
              <w:bottom w:val="outset" w:sz="6" w:space="0" w:color="auto"/>
              <w:right w:val="outset" w:sz="6" w:space="0" w:color="auto"/>
            </w:tcBorders>
            <w:hideMark/>
          </w:tcPr>
          <w:p w14:paraId="29A3ABA4" w14:textId="77777777" w:rsidR="005857E0" w:rsidRPr="0067478B" w:rsidRDefault="005857E0" w:rsidP="00172608">
            <w:pPr>
              <w:rPr>
                <w:iCs/>
                <w:lang w:eastAsia="lv-LV"/>
              </w:rPr>
            </w:pPr>
            <w:r w:rsidRPr="0067478B">
              <w:rPr>
                <w:iCs/>
                <w:lang w:eastAsia="lv-LV"/>
              </w:rPr>
              <w:t>Projekta izpildē iesaistītās institūcijas</w:t>
            </w:r>
          </w:p>
        </w:tc>
        <w:tc>
          <w:tcPr>
            <w:tcW w:w="3181" w:type="pct"/>
            <w:tcBorders>
              <w:top w:val="outset" w:sz="6" w:space="0" w:color="auto"/>
              <w:left w:val="outset" w:sz="6" w:space="0" w:color="auto"/>
              <w:bottom w:val="outset" w:sz="6" w:space="0" w:color="auto"/>
              <w:right w:val="outset" w:sz="6" w:space="0" w:color="auto"/>
            </w:tcBorders>
            <w:hideMark/>
          </w:tcPr>
          <w:p w14:paraId="06FC8E12" w14:textId="0169D6CD" w:rsidR="005857E0" w:rsidRPr="0067478B" w:rsidRDefault="00FB0331" w:rsidP="00CE0C79">
            <w:pPr>
              <w:jc w:val="both"/>
              <w:rPr>
                <w:iCs/>
                <w:lang w:eastAsia="lv-LV"/>
              </w:rPr>
            </w:pPr>
            <w:r w:rsidRPr="0067478B">
              <w:rPr>
                <w:iCs/>
                <w:lang w:eastAsia="lv-LV"/>
              </w:rPr>
              <w:t>Tieslietu ministrija, Maksātnespējas kontroles dienests</w:t>
            </w:r>
            <w:r w:rsidR="00140CB8" w:rsidRPr="0067478B">
              <w:rPr>
                <w:iCs/>
                <w:lang w:eastAsia="lv-LV"/>
              </w:rPr>
              <w:t>, Latvijas Republikas Uzņēmumu reģistrs.</w:t>
            </w:r>
          </w:p>
        </w:tc>
      </w:tr>
      <w:tr w:rsidR="005857E0" w:rsidRPr="0067478B" w14:paraId="20CC4802" w14:textId="77777777" w:rsidTr="00037D3F">
        <w:trPr>
          <w:tblCellSpacing w:w="15" w:type="dxa"/>
        </w:trPr>
        <w:tc>
          <w:tcPr>
            <w:tcW w:w="263" w:type="pct"/>
            <w:tcBorders>
              <w:top w:val="outset" w:sz="6" w:space="0" w:color="auto"/>
              <w:left w:val="outset" w:sz="6" w:space="0" w:color="auto"/>
              <w:bottom w:val="outset" w:sz="6" w:space="0" w:color="auto"/>
              <w:right w:val="outset" w:sz="6" w:space="0" w:color="auto"/>
            </w:tcBorders>
            <w:hideMark/>
          </w:tcPr>
          <w:p w14:paraId="1AABE57C" w14:textId="77777777" w:rsidR="005857E0" w:rsidRPr="0067478B" w:rsidRDefault="005857E0" w:rsidP="00172608">
            <w:pPr>
              <w:rPr>
                <w:iCs/>
                <w:lang w:eastAsia="lv-LV"/>
              </w:rPr>
            </w:pPr>
            <w:r w:rsidRPr="0067478B">
              <w:rPr>
                <w:iCs/>
                <w:lang w:eastAsia="lv-LV"/>
              </w:rPr>
              <w:t>2.</w:t>
            </w:r>
          </w:p>
        </w:tc>
        <w:tc>
          <w:tcPr>
            <w:tcW w:w="1490" w:type="pct"/>
            <w:tcBorders>
              <w:top w:val="outset" w:sz="6" w:space="0" w:color="auto"/>
              <w:left w:val="outset" w:sz="6" w:space="0" w:color="auto"/>
              <w:bottom w:val="outset" w:sz="6" w:space="0" w:color="auto"/>
              <w:right w:val="outset" w:sz="6" w:space="0" w:color="auto"/>
            </w:tcBorders>
            <w:hideMark/>
          </w:tcPr>
          <w:p w14:paraId="4F8F7626" w14:textId="77777777" w:rsidR="005857E0" w:rsidRPr="0067478B" w:rsidRDefault="005857E0" w:rsidP="00BE65BF">
            <w:pPr>
              <w:jc w:val="both"/>
              <w:rPr>
                <w:iCs/>
                <w:lang w:eastAsia="lv-LV"/>
              </w:rPr>
            </w:pPr>
            <w:r w:rsidRPr="0067478B">
              <w:rPr>
                <w:iCs/>
                <w:lang w:eastAsia="lv-LV"/>
              </w:rPr>
              <w:t>Projekta izpildes ietekme uz pārvaldes funkcijām un institucionālo struktūru.</w:t>
            </w:r>
            <w:r w:rsidRPr="0067478B">
              <w:rPr>
                <w:iCs/>
                <w:lang w:eastAsia="lv-LV"/>
              </w:rPr>
              <w:br/>
              <w:t xml:space="preserve">Jaunu institūciju izveide, esošu institūciju likvidācija </w:t>
            </w:r>
            <w:r w:rsidRPr="0067478B">
              <w:rPr>
                <w:iCs/>
                <w:lang w:eastAsia="lv-LV"/>
              </w:rPr>
              <w:lastRenderedPageBreak/>
              <w:t>vai reorganizācija, to ietekme uz institūcijas cilvēkresursiem</w:t>
            </w:r>
          </w:p>
        </w:tc>
        <w:tc>
          <w:tcPr>
            <w:tcW w:w="3181" w:type="pct"/>
            <w:tcBorders>
              <w:top w:val="outset" w:sz="6" w:space="0" w:color="auto"/>
              <w:left w:val="outset" w:sz="6" w:space="0" w:color="auto"/>
              <w:bottom w:val="outset" w:sz="6" w:space="0" w:color="auto"/>
              <w:right w:val="outset" w:sz="6" w:space="0" w:color="auto"/>
            </w:tcBorders>
            <w:hideMark/>
          </w:tcPr>
          <w:p w14:paraId="4DB4812C" w14:textId="77777777" w:rsidR="005857E0" w:rsidRPr="0067478B" w:rsidRDefault="005857E0" w:rsidP="00172608">
            <w:pPr>
              <w:jc w:val="both"/>
              <w:rPr>
                <w:iCs/>
                <w:lang w:eastAsia="lv-LV"/>
              </w:rPr>
            </w:pPr>
            <w:r w:rsidRPr="0067478B">
              <w:rPr>
                <w:iCs/>
                <w:lang w:eastAsia="lv-LV"/>
              </w:rPr>
              <w:lastRenderedPageBreak/>
              <w:t>Jaunas valsts institūcijas netiek veidotas, esošās institūcijas netiek likvidētas vai reorganizētas.</w:t>
            </w:r>
          </w:p>
        </w:tc>
      </w:tr>
      <w:tr w:rsidR="005857E0" w:rsidRPr="0067478B" w14:paraId="4B8AFF61" w14:textId="77777777" w:rsidTr="00037D3F">
        <w:trPr>
          <w:tblCellSpacing w:w="15" w:type="dxa"/>
        </w:trPr>
        <w:tc>
          <w:tcPr>
            <w:tcW w:w="263" w:type="pct"/>
            <w:tcBorders>
              <w:top w:val="outset" w:sz="6" w:space="0" w:color="auto"/>
              <w:left w:val="outset" w:sz="6" w:space="0" w:color="auto"/>
              <w:bottom w:val="outset" w:sz="6" w:space="0" w:color="auto"/>
              <w:right w:val="outset" w:sz="6" w:space="0" w:color="auto"/>
            </w:tcBorders>
            <w:hideMark/>
          </w:tcPr>
          <w:p w14:paraId="57F33217" w14:textId="77777777" w:rsidR="005857E0" w:rsidRPr="0067478B" w:rsidRDefault="005857E0" w:rsidP="00172608">
            <w:pPr>
              <w:rPr>
                <w:iCs/>
                <w:lang w:eastAsia="lv-LV"/>
              </w:rPr>
            </w:pPr>
            <w:r w:rsidRPr="0067478B">
              <w:rPr>
                <w:iCs/>
                <w:lang w:eastAsia="lv-LV"/>
              </w:rPr>
              <w:t>3.</w:t>
            </w:r>
          </w:p>
        </w:tc>
        <w:tc>
          <w:tcPr>
            <w:tcW w:w="1490" w:type="pct"/>
            <w:tcBorders>
              <w:top w:val="outset" w:sz="6" w:space="0" w:color="auto"/>
              <w:left w:val="outset" w:sz="6" w:space="0" w:color="auto"/>
              <w:bottom w:val="outset" w:sz="6" w:space="0" w:color="auto"/>
              <w:right w:val="outset" w:sz="6" w:space="0" w:color="auto"/>
            </w:tcBorders>
            <w:hideMark/>
          </w:tcPr>
          <w:p w14:paraId="27D5937E" w14:textId="77777777" w:rsidR="005857E0" w:rsidRPr="0067478B" w:rsidRDefault="005857E0" w:rsidP="00172608">
            <w:pPr>
              <w:rPr>
                <w:iCs/>
                <w:lang w:eastAsia="lv-LV"/>
              </w:rPr>
            </w:pPr>
            <w:r w:rsidRPr="0067478B">
              <w:rPr>
                <w:iCs/>
                <w:lang w:eastAsia="lv-LV"/>
              </w:rPr>
              <w:t>Cita informācija</w:t>
            </w:r>
          </w:p>
        </w:tc>
        <w:tc>
          <w:tcPr>
            <w:tcW w:w="3181" w:type="pct"/>
            <w:tcBorders>
              <w:top w:val="outset" w:sz="6" w:space="0" w:color="auto"/>
              <w:left w:val="outset" w:sz="6" w:space="0" w:color="auto"/>
              <w:bottom w:val="outset" w:sz="6" w:space="0" w:color="auto"/>
              <w:right w:val="outset" w:sz="6" w:space="0" w:color="auto"/>
            </w:tcBorders>
            <w:hideMark/>
          </w:tcPr>
          <w:p w14:paraId="47881B45" w14:textId="77777777" w:rsidR="005857E0" w:rsidRPr="0067478B" w:rsidRDefault="005857E0" w:rsidP="00172608">
            <w:pPr>
              <w:rPr>
                <w:iCs/>
                <w:lang w:eastAsia="lv-LV"/>
              </w:rPr>
            </w:pPr>
            <w:r w:rsidRPr="0067478B">
              <w:rPr>
                <w:iCs/>
                <w:lang w:eastAsia="lv-LV"/>
              </w:rPr>
              <w:t>Nav.</w:t>
            </w:r>
          </w:p>
        </w:tc>
      </w:tr>
    </w:tbl>
    <w:p w14:paraId="2E7419DC" w14:textId="77777777" w:rsidR="005857E0" w:rsidRPr="0067478B" w:rsidRDefault="005857E0" w:rsidP="005857E0">
      <w:pPr>
        <w:rPr>
          <w:sz w:val="28"/>
          <w:szCs w:val="28"/>
        </w:rPr>
      </w:pPr>
    </w:p>
    <w:p w14:paraId="3710DCCC" w14:textId="77777777" w:rsidR="005857E0" w:rsidRPr="0067478B" w:rsidRDefault="005857E0" w:rsidP="005857E0">
      <w:pPr>
        <w:tabs>
          <w:tab w:val="left" w:pos="6237"/>
        </w:tabs>
        <w:rPr>
          <w:color w:val="000000" w:themeColor="text1"/>
        </w:rPr>
      </w:pPr>
      <w:r w:rsidRPr="0067478B">
        <w:rPr>
          <w:color w:val="000000" w:themeColor="text1"/>
        </w:rPr>
        <w:t>Ministru prezidenta biedrs,</w:t>
      </w:r>
    </w:p>
    <w:p w14:paraId="1CF349B7" w14:textId="3D4F3A27" w:rsidR="005857E0" w:rsidRPr="0067478B" w:rsidRDefault="005857E0" w:rsidP="00037D3F">
      <w:pPr>
        <w:tabs>
          <w:tab w:val="left" w:pos="6237"/>
        </w:tabs>
        <w:ind w:right="-283"/>
        <w:rPr>
          <w:color w:val="000000" w:themeColor="text1"/>
        </w:rPr>
      </w:pPr>
      <w:r w:rsidRPr="0067478B">
        <w:rPr>
          <w:color w:val="000000" w:themeColor="text1"/>
        </w:rPr>
        <w:t>tieslietu ministrs</w:t>
      </w:r>
      <w:r w:rsidRPr="0067478B">
        <w:rPr>
          <w:color w:val="000000" w:themeColor="text1"/>
        </w:rPr>
        <w:tab/>
      </w:r>
      <w:r w:rsidRPr="0067478B">
        <w:rPr>
          <w:color w:val="000000" w:themeColor="text1"/>
        </w:rPr>
        <w:tab/>
      </w:r>
      <w:r w:rsidRPr="0067478B">
        <w:rPr>
          <w:color w:val="000000" w:themeColor="text1"/>
        </w:rPr>
        <w:tab/>
        <w:t xml:space="preserve">    </w:t>
      </w:r>
      <w:r w:rsidR="00000176" w:rsidRPr="0067478B">
        <w:rPr>
          <w:color w:val="000000" w:themeColor="text1"/>
        </w:rPr>
        <w:t xml:space="preserve">  </w:t>
      </w:r>
      <w:r w:rsidR="00037D3F" w:rsidRPr="0067478B">
        <w:rPr>
          <w:color w:val="000000" w:themeColor="text1"/>
        </w:rPr>
        <w:t xml:space="preserve">     </w:t>
      </w:r>
      <w:r w:rsidRPr="0067478B">
        <w:rPr>
          <w:color w:val="000000" w:themeColor="text1"/>
        </w:rPr>
        <w:t>Jānis Bordāns</w:t>
      </w:r>
    </w:p>
    <w:p w14:paraId="3C5FAF86" w14:textId="77777777" w:rsidR="005857E0" w:rsidRPr="0067478B" w:rsidRDefault="005857E0" w:rsidP="005857E0">
      <w:pPr>
        <w:tabs>
          <w:tab w:val="left" w:pos="6237"/>
        </w:tabs>
        <w:rPr>
          <w:color w:val="000000" w:themeColor="text1"/>
        </w:rPr>
      </w:pPr>
    </w:p>
    <w:p w14:paraId="3DDD6A71" w14:textId="77777777" w:rsidR="005857E0" w:rsidRPr="0067478B" w:rsidRDefault="005857E0" w:rsidP="005857E0">
      <w:pPr>
        <w:tabs>
          <w:tab w:val="left" w:pos="6237"/>
        </w:tabs>
        <w:rPr>
          <w:color w:val="000000" w:themeColor="text1"/>
        </w:rPr>
      </w:pPr>
      <w:r w:rsidRPr="0067478B">
        <w:rPr>
          <w:color w:val="000000" w:themeColor="text1"/>
        </w:rPr>
        <w:t>Iesniedzējs:</w:t>
      </w:r>
    </w:p>
    <w:p w14:paraId="724944D1" w14:textId="54A57A96" w:rsidR="005857E0" w:rsidRPr="0067478B" w:rsidRDefault="005857E0" w:rsidP="006D29FB">
      <w:pPr>
        <w:tabs>
          <w:tab w:val="left" w:pos="6237"/>
        </w:tabs>
        <w:ind w:right="-283"/>
        <w:rPr>
          <w:color w:val="000000" w:themeColor="text1"/>
        </w:rPr>
      </w:pPr>
      <w:r w:rsidRPr="0067478B">
        <w:rPr>
          <w:color w:val="000000" w:themeColor="text1"/>
        </w:rPr>
        <w:t>Tieslietu ministrijas valsts sekretārs</w:t>
      </w:r>
      <w:r w:rsidRPr="0067478B">
        <w:rPr>
          <w:color w:val="000000" w:themeColor="text1"/>
        </w:rPr>
        <w:tab/>
        <w:t xml:space="preserve">              </w:t>
      </w:r>
      <w:r w:rsidR="00000176" w:rsidRPr="0067478B">
        <w:rPr>
          <w:color w:val="000000" w:themeColor="text1"/>
        </w:rPr>
        <w:t xml:space="preserve"> </w:t>
      </w:r>
      <w:r w:rsidR="003E3F9B" w:rsidRPr="0067478B">
        <w:rPr>
          <w:color w:val="000000" w:themeColor="text1"/>
        </w:rPr>
        <w:t xml:space="preserve"> </w:t>
      </w:r>
      <w:r w:rsidR="006D29FB" w:rsidRPr="0067478B">
        <w:rPr>
          <w:color w:val="000000" w:themeColor="text1"/>
        </w:rPr>
        <w:t xml:space="preserve">     </w:t>
      </w:r>
      <w:r w:rsidRPr="0067478B">
        <w:rPr>
          <w:color w:val="000000" w:themeColor="text1"/>
        </w:rPr>
        <w:t>Raivis Kronbergs</w:t>
      </w:r>
    </w:p>
    <w:bookmarkEnd w:id="0"/>
    <w:p w14:paraId="5FE34EF9" w14:textId="161E6617" w:rsidR="00327BE1" w:rsidRPr="0067478B" w:rsidRDefault="00327BE1"/>
    <w:p w14:paraId="273F3927" w14:textId="3F805ADE" w:rsidR="008457B9" w:rsidRPr="004B69BC" w:rsidRDefault="008457B9">
      <w:pPr>
        <w:rPr>
          <w:sz w:val="20"/>
          <w:szCs w:val="20"/>
        </w:rPr>
      </w:pPr>
    </w:p>
    <w:p w14:paraId="3A2ADE5A" w14:textId="1C6D8772" w:rsidR="008457B9" w:rsidRPr="004B69BC" w:rsidRDefault="008457B9">
      <w:pPr>
        <w:rPr>
          <w:sz w:val="20"/>
          <w:szCs w:val="20"/>
        </w:rPr>
      </w:pPr>
      <w:r w:rsidRPr="004B69BC">
        <w:rPr>
          <w:sz w:val="20"/>
          <w:szCs w:val="20"/>
        </w:rPr>
        <w:t xml:space="preserve">Anfimova 67046139 </w:t>
      </w:r>
    </w:p>
    <w:p w14:paraId="30F1E0A1" w14:textId="25ADCC91" w:rsidR="008457B9" w:rsidRPr="004B69BC" w:rsidRDefault="00307D6B">
      <w:pPr>
        <w:rPr>
          <w:sz w:val="20"/>
          <w:szCs w:val="20"/>
        </w:rPr>
      </w:pPr>
      <w:hyperlink r:id="rId12" w:history="1">
        <w:r w:rsidR="008457B9" w:rsidRPr="004B69BC">
          <w:rPr>
            <w:rStyle w:val="Hipersaite"/>
            <w:sz w:val="20"/>
            <w:szCs w:val="20"/>
          </w:rPr>
          <w:t>Naira.Anfimova@tm.gov.lv</w:t>
        </w:r>
      </w:hyperlink>
    </w:p>
    <w:sectPr w:rsidR="008457B9" w:rsidRPr="004B69BC" w:rsidSect="00555489">
      <w:headerReference w:type="default" r:id="rId13"/>
      <w:footerReference w:type="default" r:id="rId14"/>
      <w:footerReference w:type="first" r:id="rId15"/>
      <w:pgSz w:w="11906" w:h="16838"/>
      <w:pgMar w:top="1418" w:right="1274" w:bottom="129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E02A1" w14:textId="77777777" w:rsidR="00307D6B" w:rsidRDefault="00307D6B" w:rsidP="005857E0">
      <w:r>
        <w:separator/>
      </w:r>
    </w:p>
  </w:endnote>
  <w:endnote w:type="continuationSeparator" w:id="0">
    <w:p w14:paraId="47753B4E" w14:textId="77777777" w:rsidR="00307D6B" w:rsidRDefault="00307D6B" w:rsidP="0058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F02E8" w14:textId="27863DF0" w:rsidR="000F6EA2" w:rsidRPr="00894C55" w:rsidRDefault="000F6EA2">
    <w:pPr>
      <w:pStyle w:val="Kjene"/>
      <w:rPr>
        <w:sz w:val="20"/>
        <w:szCs w:val="20"/>
      </w:rPr>
    </w:pPr>
    <w:r>
      <w:rPr>
        <w:sz w:val="20"/>
        <w:szCs w:val="20"/>
      </w:rPr>
      <w:t>TMAnot_180221_MNL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7AEF2" w14:textId="6402DBE7" w:rsidR="000F6EA2" w:rsidRPr="00A170AD" w:rsidRDefault="000F6EA2" w:rsidP="00172608">
    <w:pPr>
      <w:pStyle w:val="Kjene"/>
      <w:rPr>
        <w:sz w:val="20"/>
        <w:szCs w:val="20"/>
      </w:rPr>
    </w:pPr>
    <w:r w:rsidRPr="00314C33">
      <w:rPr>
        <w:sz w:val="20"/>
        <w:szCs w:val="20"/>
      </w:rPr>
      <w:t>TMAnot_</w:t>
    </w:r>
    <w:r>
      <w:rPr>
        <w:sz w:val="20"/>
        <w:szCs w:val="20"/>
      </w:rPr>
      <w:t>180221</w:t>
    </w:r>
    <w:r w:rsidRPr="00314C33">
      <w:rPr>
        <w:sz w:val="20"/>
        <w:szCs w:val="20"/>
      </w:rPr>
      <w:t>_</w:t>
    </w:r>
    <w:r>
      <w:rPr>
        <w:sz w:val="20"/>
        <w:szCs w:val="20"/>
      </w:rPr>
      <w:t>MNL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E7FA9" w14:textId="77777777" w:rsidR="00307D6B" w:rsidRDefault="00307D6B" w:rsidP="005857E0">
      <w:r>
        <w:separator/>
      </w:r>
    </w:p>
  </w:footnote>
  <w:footnote w:type="continuationSeparator" w:id="0">
    <w:p w14:paraId="2C5725F0" w14:textId="77777777" w:rsidR="00307D6B" w:rsidRDefault="00307D6B" w:rsidP="005857E0">
      <w:r>
        <w:continuationSeparator/>
      </w:r>
    </w:p>
  </w:footnote>
  <w:footnote w:id="1">
    <w:p w14:paraId="717C540B" w14:textId="3F467D98" w:rsidR="000F6EA2" w:rsidRPr="00AF65BB" w:rsidRDefault="000F6EA2" w:rsidP="00555489">
      <w:pPr>
        <w:jc w:val="both"/>
        <w:rPr>
          <w:color w:val="000000" w:themeColor="text1"/>
          <w:sz w:val="20"/>
          <w:szCs w:val="20"/>
        </w:rPr>
      </w:pPr>
      <w:r w:rsidRPr="00AF65BB">
        <w:rPr>
          <w:rStyle w:val="Vresatsauce"/>
          <w:color w:val="000000" w:themeColor="text1"/>
          <w:sz w:val="20"/>
          <w:szCs w:val="20"/>
        </w:rPr>
        <w:footnoteRef/>
      </w:r>
      <w:r>
        <w:rPr>
          <w:color w:val="000000" w:themeColor="text1"/>
          <w:sz w:val="20"/>
          <w:szCs w:val="20"/>
        </w:rPr>
        <w:t> </w:t>
      </w:r>
      <w:r w:rsidRPr="00AF65BB">
        <w:rPr>
          <w:color w:val="000000" w:themeColor="text1"/>
          <w:sz w:val="20"/>
          <w:szCs w:val="20"/>
        </w:rPr>
        <w:t>Ministru kabineta 2016. gada 21. septembra rīkojums Nr. 527 "Par Maksātnespējas politikas attīstības pamatnostādnēm 2016.–2020. gadam un to īstenošanas plānu". Pieejams:</w:t>
      </w:r>
      <w:r>
        <w:rPr>
          <w:color w:val="000000" w:themeColor="text1"/>
          <w:sz w:val="20"/>
          <w:szCs w:val="20"/>
        </w:rPr>
        <w:t> </w:t>
      </w:r>
      <w:hyperlink r:id="rId1" w:history="1">
        <w:r w:rsidRPr="001944CB">
          <w:rPr>
            <w:rStyle w:val="Hipersaite"/>
            <w:sz w:val="20"/>
            <w:szCs w:val="20"/>
          </w:rPr>
          <w:t>https://www.vestnesis.lv/op/2016/186.2</w:t>
        </w:r>
      </w:hyperlink>
      <w:r>
        <w:rPr>
          <w:color w:val="000000" w:themeColor="text1"/>
          <w:sz w:val="20"/>
          <w:szCs w:val="20"/>
        </w:rPr>
        <w:t>.</w:t>
      </w:r>
      <w:r w:rsidRPr="00AF65BB">
        <w:rPr>
          <w:color w:val="000000" w:themeColor="text1"/>
          <w:sz w:val="20"/>
          <w:szCs w:val="20"/>
        </w:rPr>
        <w:t xml:space="preserve"> </w:t>
      </w:r>
      <w:bookmarkStart w:id="1" w:name="p1"/>
      <w:bookmarkStart w:id="2" w:name="p-641156"/>
      <w:bookmarkEnd w:id="1"/>
      <w:bookmarkEnd w:id="2"/>
    </w:p>
  </w:footnote>
  <w:footnote w:id="2">
    <w:p w14:paraId="1B60E01F" w14:textId="44FD5EF4" w:rsidR="000F6EA2" w:rsidRPr="003E3F9B" w:rsidRDefault="000F6EA2" w:rsidP="003E3F9B">
      <w:pPr>
        <w:pStyle w:val="Vresteksts"/>
        <w:jc w:val="both"/>
      </w:pPr>
      <w:r>
        <w:rPr>
          <w:rStyle w:val="Vresatsauce"/>
        </w:rPr>
        <w:footnoteRef/>
      </w:r>
      <w:r>
        <w:t> D</w:t>
      </w:r>
      <w:r w:rsidRPr="00760CD0">
        <w:rPr>
          <w:color w:val="000000" w:themeColor="text1"/>
          <w:shd w:val="clear" w:color="auto" w:fill="FFFFFF" w:themeFill="background1"/>
        </w:rPr>
        <w:t>efinēt minimālās administratoru amata darbības</w:t>
      </w:r>
      <w:r>
        <w:rPr>
          <w:color w:val="000000" w:themeColor="text1"/>
          <w:shd w:val="clear" w:color="auto" w:fill="FFFFFF" w:themeFill="background1"/>
        </w:rPr>
        <w:t>.</w:t>
      </w:r>
    </w:p>
  </w:footnote>
  <w:footnote w:id="3">
    <w:p w14:paraId="7393B7C8" w14:textId="75BF7C62" w:rsidR="000F6EA2" w:rsidRPr="00AF65BB" w:rsidRDefault="000F6EA2" w:rsidP="00555489">
      <w:pPr>
        <w:pStyle w:val="Vresteksts"/>
        <w:jc w:val="both"/>
      </w:pPr>
      <w:r w:rsidRPr="00AF65BB">
        <w:rPr>
          <w:rStyle w:val="Vresatsauce"/>
        </w:rPr>
        <w:footnoteRef/>
      </w:r>
      <w:r>
        <w:t> </w:t>
      </w:r>
      <w:r w:rsidRPr="00AF65BB">
        <w:t>Starptautiskā Valūtas fonda novērtējums par maksātnespējas sistēmu Latvijā, 2019. gads.</w:t>
      </w:r>
      <w:r>
        <w:t xml:space="preserve"> </w:t>
      </w:r>
      <w:r w:rsidRPr="00AF65BB">
        <w:t>Pieejams:</w:t>
      </w:r>
      <w:r>
        <w:t> </w:t>
      </w:r>
      <w:hyperlink r:id="rId2" w:history="1">
        <w:r w:rsidRPr="007B06BE">
          <w:rPr>
            <w:rStyle w:val="Hipersaite"/>
          </w:rPr>
          <w:t>https://www.tm.gov.lv/lv/pieejams-starptautiska-valutas-fonda-novertejuma-zinojums-par-maksatnespejas-regulejumu-latvija</w:t>
        </w:r>
      </w:hyperlink>
      <w:r>
        <w:t>.</w:t>
      </w:r>
      <w:r w:rsidRPr="00AF65BB">
        <w:t xml:space="preserve"> </w:t>
      </w:r>
    </w:p>
  </w:footnote>
  <w:footnote w:id="4">
    <w:p w14:paraId="6352E58E" w14:textId="4E13A088" w:rsidR="000F6EA2" w:rsidRPr="00B11E2F" w:rsidRDefault="000F6EA2" w:rsidP="00134803">
      <w:pPr>
        <w:pStyle w:val="Vresteksts"/>
        <w:jc w:val="both"/>
      </w:pPr>
      <w:r w:rsidRPr="00B11E2F">
        <w:rPr>
          <w:rStyle w:val="Vresatsauce"/>
        </w:rPr>
        <w:footnoteRef/>
      </w:r>
      <w:r>
        <w:t> </w:t>
      </w:r>
      <w:r w:rsidRPr="00B11E2F">
        <w:t xml:space="preserve">Grozījumi Maksātnespējas likumā. Pieejams: </w:t>
      </w:r>
      <w:hyperlink r:id="rId3" w:history="1">
        <w:r w:rsidRPr="00B11E2F">
          <w:rPr>
            <w:rStyle w:val="Hipersaite"/>
          </w:rPr>
          <w:t>https://www.vestnesis.lv/op/2017/5.5</w:t>
        </w:r>
      </w:hyperlink>
      <w:r>
        <w:t>.</w:t>
      </w:r>
    </w:p>
  </w:footnote>
  <w:footnote w:id="5">
    <w:p w14:paraId="7E3D5EC9" w14:textId="62024EA8" w:rsidR="000F6EA2" w:rsidRDefault="000F6EA2" w:rsidP="00134803">
      <w:pPr>
        <w:pStyle w:val="Vresteksts"/>
        <w:jc w:val="both"/>
      </w:pPr>
      <w:r w:rsidRPr="00B11E2F">
        <w:rPr>
          <w:rStyle w:val="Vresatsauce"/>
        </w:rPr>
        <w:footnoteRef/>
      </w:r>
      <w:r w:rsidRPr="00B11E2F">
        <w:t> Grozījumu Maksātnespējas likumā sākotnējās ietekmes novērtējums (anotācija).Pieejams:</w:t>
      </w:r>
      <w:r>
        <w:t> </w:t>
      </w:r>
      <w:hyperlink r:id="rId4" w:anchor="a" w:history="1">
        <w:r w:rsidRPr="007B06BE">
          <w:rPr>
            <w:rStyle w:val="Hipersaite"/>
          </w:rPr>
          <w:t>http://titania.saeima.lv/LIVS12/SaeimaLIVS12.nsf/0/46F0710633B835A1C22580650038AEF9?OpenDocument#a</w:t>
        </w:r>
      </w:hyperlink>
      <w:r>
        <w:t xml:space="preserve">. </w:t>
      </w:r>
    </w:p>
  </w:footnote>
  <w:footnote w:id="6">
    <w:p w14:paraId="136A3BEF" w14:textId="0BFEEBBD" w:rsidR="000F6EA2" w:rsidRPr="00FB0331" w:rsidRDefault="000F6EA2" w:rsidP="00134803">
      <w:pPr>
        <w:pStyle w:val="Vresteksts"/>
        <w:jc w:val="both"/>
      </w:pPr>
      <w:r>
        <w:rPr>
          <w:rStyle w:val="Vresatsauce"/>
        </w:rPr>
        <w:footnoteRef/>
      </w:r>
      <w:r>
        <w:t> Latvijas Republikas Uzņēmumu reģistra vestais maksātnespējas reģistrs. Pieejams:</w:t>
      </w:r>
      <w:r w:rsidRPr="00FB0331">
        <w:t xml:space="preserve"> </w:t>
      </w:r>
      <w:hyperlink r:id="rId5" w:history="1">
        <w:r w:rsidRPr="002E62F5">
          <w:rPr>
            <w:rStyle w:val="Hipersaite"/>
          </w:rPr>
          <w:t>https://maksatnespeja.ur.gov.lv/insolvency/practitioner/lv</w:t>
        </w:r>
      </w:hyperlink>
      <w:r>
        <w:t>.</w:t>
      </w:r>
    </w:p>
  </w:footnote>
  <w:footnote w:id="7">
    <w:p w14:paraId="47A37EEF" w14:textId="03DBDD62" w:rsidR="000F6EA2" w:rsidRPr="00B258BD" w:rsidRDefault="000F6EA2">
      <w:pPr>
        <w:pStyle w:val="Vresteksts"/>
      </w:pPr>
      <w:r>
        <w:rPr>
          <w:rStyle w:val="Vresatsauce"/>
        </w:rPr>
        <w:footnoteRef/>
      </w:r>
      <w:r>
        <w:t xml:space="preserve"> Starptautiskā Valūtas fonda novērtējums par maksātnespējas sistēmu Latvijā, 2019. gads, 15. lpp. Pieejams: </w:t>
      </w:r>
      <w:hyperlink r:id="rId6" w:history="1">
        <w:r w:rsidRPr="005A35E1">
          <w:rPr>
            <w:rStyle w:val="Hipersaite"/>
          </w:rPr>
          <w:t>https://www.tm.gov.lv/sites/tm/files/latvija20svf20novertejums20par20maksatnespejas20regulejumu1.pdf</w:t>
        </w:r>
      </w:hyperlink>
      <w:r>
        <w:t>.</w:t>
      </w:r>
    </w:p>
  </w:footnote>
  <w:footnote w:id="8">
    <w:p w14:paraId="6D89FD7D" w14:textId="77777777" w:rsidR="000F6EA2" w:rsidRPr="004811FF" w:rsidRDefault="000F6EA2" w:rsidP="00134803">
      <w:pPr>
        <w:jc w:val="both"/>
        <w:rPr>
          <w:color w:val="000000" w:themeColor="text1"/>
          <w:sz w:val="20"/>
          <w:szCs w:val="20"/>
          <w:shd w:val="clear" w:color="auto" w:fill="FFFFFF"/>
        </w:rPr>
      </w:pPr>
      <w:r w:rsidRPr="00411685">
        <w:rPr>
          <w:rStyle w:val="Vresatsauce"/>
          <w:sz w:val="20"/>
          <w:szCs w:val="20"/>
        </w:rPr>
        <w:footnoteRef/>
      </w:r>
      <w:r>
        <w:rPr>
          <w:sz w:val="20"/>
          <w:szCs w:val="20"/>
        </w:rPr>
        <w:t> </w:t>
      </w:r>
      <w:r w:rsidRPr="00411685">
        <w:rPr>
          <w:color w:val="000000" w:themeColor="text1"/>
          <w:sz w:val="20"/>
          <w:szCs w:val="20"/>
        </w:rPr>
        <w:t xml:space="preserve">Ministru kabineta </w:t>
      </w:r>
      <w:r>
        <w:rPr>
          <w:color w:val="000000" w:themeColor="text1"/>
          <w:sz w:val="20"/>
          <w:szCs w:val="20"/>
        </w:rPr>
        <w:t>noteikumu</w:t>
      </w:r>
      <w:r w:rsidRPr="00411685">
        <w:rPr>
          <w:color w:val="000000" w:themeColor="text1"/>
          <w:sz w:val="20"/>
          <w:szCs w:val="20"/>
        </w:rPr>
        <w:t xml:space="preserve"> Nr. 288</w:t>
      </w:r>
      <w:r>
        <w:rPr>
          <w:color w:val="000000" w:themeColor="text1"/>
          <w:sz w:val="20"/>
          <w:szCs w:val="20"/>
          <w:shd w:val="clear" w:color="auto" w:fill="FFFFFF"/>
        </w:rPr>
        <w:t xml:space="preserve"> V nodaļa.</w:t>
      </w:r>
    </w:p>
  </w:footnote>
  <w:footnote w:id="9">
    <w:p w14:paraId="1CB7A874" w14:textId="79893BFD" w:rsidR="000F6EA2" w:rsidRPr="00626123" w:rsidRDefault="000F6EA2" w:rsidP="00555489">
      <w:pPr>
        <w:pStyle w:val="Vresteksts"/>
        <w:jc w:val="both"/>
      </w:pPr>
      <w:r>
        <w:rPr>
          <w:rStyle w:val="Vresatsauce"/>
        </w:rPr>
        <w:footnoteRef/>
      </w:r>
      <w:r>
        <w:t xml:space="preserve"> Maksātnespējas kontroles dienesta 2019. gada ziņojums, 12. lpp. Pieejams: </w:t>
      </w:r>
      <w:hyperlink r:id="rId7" w:history="1">
        <w:r w:rsidRPr="00584744">
          <w:rPr>
            <w:rStyle w:val="Hipersaite"/>
          </w:rPr>
          <w:t>https://www.mkd.gov.lv/lv/gada-zinojumi/maksatnespejas_kontroles_dienesta_2019.gada_zinojums.pdf</w:t>
        </w:r>
      </w:hyperlink>
      <w:r w:rsidR="008C320A">
        <w:t>.</w:t>
      </w:r>
    </w:p>
  </w:footnote>
  <w:footnote w:id="10">
    <w:p w14:paraId="522B80AF" w14:textId="5E137BBA" w:rsidR="000F6EA2" w:rsidRPr="009A1D5B" w:rsidRDefault="000F6EA2" w:rsidP="00555489">
      <w:pPr>
        <w:pStyle w:val="Vresteksts"/>
        <w:jc w:val="both"/>
      </w:pPr>
      <w:r>
        <w:rPr>
          <w:rStyle w:val="Vresatsauce"/>
        </w:rPr>
        <w:footnoteRef/>
      </w:r>
      <w:r>
        <w:t> </w:t>
      </w:r>
      <w:r w:rsidRPr="008D7231">
        <w:t>Tieslietu ministrijas priekšlikumi likumprojektam "Grozījumi Maksātnespējas</w:t>
      </w:r>
      <w:r>
        <w:t xml:space="preserve"> </w:t>
      </w:r>
      <w:r w:rsidRPr="008D7231">
        <w:t>likumā"</w:t>
      </w:r>
      <w:r>
        <w:t> </w:t>
      </w:r>
      <w:r w:rsidRPr="008D7231">
        <w:t>(</w:t>
      </w:r>
      <w:r>
        <w:t>Reģ. Nr. </w:t>
      </w:r>
      <w:r w:rsidRPr="008D7231">
        <w:t>653/Lp13).</w:t>
      </w:r>
      <w:r>
        <w:t> </w:t>
      </w:r>
      <w:r w:rsidRPr="008D7231">
        <w:t>Pieejams: </w:t>
      </w:r>
      <w:hyperlink r:id="rId8" w:history="1">
        <w:r w:rsidRPr="008D7231">
          <w:rPr>
            <w:rStyle w:val="Hipersaite"/>
          </w:rPr>
          <w:t>https://titania.saeima.lv/LIVS13/SaeimaLIVS13.nsf/0/751B6BF70B8156D0C22585A800223723?OpenDocument</w:t>
        </w:r>
      </w:hyperlink>
      <w:r w:rsidR="008C320A">
        <w:t>.</w:t>
      </w:r>
      <w:r>
        <w:t xml:space="preserve"> </w:t>
      </w:r>
    </w:p>
  </w:footnote>
  <w:footnote w:id="11">
    <w:p w14:paraId="29874888" w14:textId="0FC4D6D4" w:rsidR="000F6EA2" w:rsidRPr="00B258BD" w:rsidRDefault="000F6EA2" w:rsidP="00B258BD">
      <w:pPr>
        <w:pStyle w:val="Virsraksts3"/>
        <w:jc w:val="both"/>
        <w:rPr>
          <w:rFonts w:ascii="Arial" w:hAnsi="Arial" w:cs="Arial"/>
          <w:color w:val="000000" w:themeColor="text1"/>
          <w:sz w:val="35"/>
          <w:szCs w:val="35"/>
        </w:rPr>
      </w:pPr>
      <w:r w:rsidRPr="00B258BD">
        <w:rPr>
          <w:rStyle w:val="Vresatsauce"/>
          <w:b w:val="0"/>
          <w:bCs w:val="0"/>
          <w:color w:val="000000" w:themeColor="text1"/>
          <w:sz w:val="20"/>
          <w:szCs w:val="20"/>
        </w:rPr>
        <w:footnoteRef/>
      </w:r>
      <w:r>
        <w:rPr>
          <w:b w:val="0"/>
          <w:bCs w:val="0"/>
          <w:color w:val="000000" w:themeColor="text1"/>
          <w:sz w:val="20"/>
          <w:szCs w:val="20"/>
        </w:rPr>
        <w:t> </w:t>
      </w:r>
      <w:r w:rsidRPr="00B258BD">
        <w:rPr>
          <w:b w:val="0"/>
          <w:bCs w:val="0"/>
          <w:color w:val="000000" w:themeColor="text1"/>
          <w:sz w:val="20"/>
          <w:szCs w:val="20"/>
        </w:rPr>
        <w:t>Ar grozījumiem Ministru kabineta 2015. gada 24. novembra noteikumos Nr. 656 "</w:t>
      </w:r>
      <w:r>
        <w:rPr>
          <w:b w:val="0"/>
          <w:bCs w:val="0"/>
          <w:color w:val="000000" w:themeColor="text1"/>
          <w:sz w:val="20"/>
          <w:szCs w:val="20"/>
        </w:rPr>
        <w:t xml:space="preserve">Noteikumi par minimālās mēneša darba algas apmēru normālā darba laika ietvaros un minimālās stundas tarifa likmes aprēķināšana", kas spēkā stāsies 2021. gada 1. janvārī. Pieejams: </w:t>
      </w:r>
      <w:hyperlink r:id="rId9" w:history="1">
        <w:r w:rsidRPr="005A35E1">
          <w:rPr>
            <w:rStyle w:val="Hipersaite"/>
            <w:b w:val="0"/>
            <w:bCs w:val="0"/>
            <w:sz w:val="20"/>
            <w:szCs w:val="20"/>
          </w:rPr>
          <w:t>https://www.vestnesis.lv/op/2020/234.13</w:t>
        </w:r>
      </w:hyperlink>
      <w:r w:rsidR="008C320A">
        <w:rPr>
          <w:b w:val="0"/>
          <w:bCs w:val="0"/>
          <w:color w:val="000000" w:themeColor="text1"/>
          <w:sz w:val="20"/>
          <w:szCs w:val="20"/>
        </w:rPr>
        <w:t>.</w:t>
      </w:r>
    </w:p>
    <w:p w14:paraId="169908E8" w14:textId="45F65502" w:rsidR="000F6EA2" w:rsidRPr="00B258BD" w:rsidRDefault="000F6EA2">
      <w:pPr>
        <w:pStyle w:val="Vresteksts"/>
      </w:pPr>
    </w:p>
  </w:footnote>
  <w:footnote w:id="12">
    <w:p w14:paraId="79FC3CE5" w14:textId="1C678089" w:rsidR="000F6EA2" w:rsidRDefault="000F6EA2" w:rsidP="00CE4B3F">
      <w:pPr>
        <w:pStyle w:val="Vresteksts"/>
        <w:jc w:val="both"/>
      </w:pPr>
      <w:r>
        <w:rPr>
          <w:rStyle w:val="Vresatsauce"/>
        </w:rPr>
        <w:footnoteRef/>
      </w:r>
      <w:r>
        <w:t xml:space="preserve"> Sk. Maksātnespējas kontroles dienesta 2019. gada ziņojumu. Pieejams: </w:t>
      </w:r>
      <w:hyperlink r:id="rId10" w:history="1">
        <w:r w:rsidRPr="00644191">
          <w:rPr>
            <w:rStyle w:val="Hipersaite"/>
          </w:rPr>
          <w:t>https://www.mkd.gov.lv/lv/gada-zinojumi</w:t>
        </w:r>
      </w:hyperlink>
      <w:r>
        <w:t xml:space="preserve">. </w:t>
      </w:r>
    </w:p>
  </w:footnote>
  <w:footnote w:id="13">
    <w:p w14:paraId="7BD25C61" w14:textId="4B9CE9FC" w:rsidR="000F6EA2" w:rsidRPr="00D60F5E" w:rsidRDefault="000F6EA2" w:rsidP="00EC3CB3">
      <w:pPr>
        <w:pStyle w:val="Vresteksts"/>
        <w:jc w:val="both"/>
      </w:pPr>
      <w:r w:rsidRPr="00D60F5E">
        <w:rPr>
          <w:rStyle w:val="Vresatsauce"/>
        </w:rPr>
        <w:footnoteRef/>
      </w:r>
      <w:r w:rsidRPr="00D60F5E">
        <w:t xml:space="preserve"> Eiropas tiesiskuma portāls. Pieejams: </w:t>
      </w:r>
      <w:hyperlink r:id="rId11" w:tgtFrame="_blank" w:history="1">
        <w:r w:rsidRPr="00EC3CB3">
          <w:rPr>
            <w:rStyle w:val="Hipersaite"/>
            <w:bdr w:val="none" w:sz="0" w:space="0" w:color="auto" w:frame="1"/>
          </w:rPr>
          <w:t>https://e-justice.europa.eu/content_insolvency_registers-110-lv.do</w:t>
        </w:r>
      </w:hyperlink>
      <w:r w:rsidRPr="00EC3CB3">
        <w:rPr>
          <w:color w:val="201F1E"/>
          <w:shd w:val="clear" w:color="auto" w:fill="FFFFFF"/>
        </w:rPr>
        <w:t>)</w:t>
      </w:r>
      <w:r w:rsidRPr="00EC3CB3">
        <w:rPr>
          <w:rStyle w:val="apple-converted-space"/>
          <w:color w:val="201F1E"/>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szCs w:val="20"/>
      </w:rPr>
    </w:sdtEndPr>
    <w:sdtContent>
      <w:p w14:paraId="12A4F3A6" w14:textId="77777777" w:rsidR="000F6EA2" w:rsidRPr="00C25B49" w:rsidRDefault="000F6EA2">
        <w:pPr>
          <w:pStyle w:val="Galvene"/>
          <w:jc w:val="center"/>
          <w:rPr>
            <w:szCs w:val="20"/>
          </w:rPr>
        </w:pPr>
        <w:r w:rsidRPr="00C25B49">
          <w:rPr>
            <w:szCs w:val="20"/>
          </w:rPr>
          <w:fldChar w:fldCharType="begin"/>
        </w:r>
        <w:r w:rsidRPr="00C25B49">
          <w:rPr>
            <w:szCs w:val="20"/>
          </w:rPr>
          <w:instrText xml:space="preserve"> PAGE   \* MERGEFORMAT </w:instrText>
        </w:r>
        <w:r w:rsidRPr="00C25B49">
          <w:rPr>
            <w:szCs w:val="20"/>
          </w:rPr>
          <w:fldChar w:fldCharType="separate"/>
        </w:r>
        <w:r>
          <w:rPr>
            <w:szCs w:val="20"/>
          </w:rPr>
          <w:t>6</w:t>
        </w:r>
        <w:r w:rsidRPr="00C25B49">
          <w:rPr>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1A6A"/>
    <w:multiLevelType w:val="multilevel"/>
    <w:tmpl w:val="F80C9C1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5055B"/>
    <w:multiLevelType w:val="multilevel"/>
    <w:tmpl w:val="36B2A5C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46AD6"/>
    <w:multiLevelType w:val="hybridMultilevel"/>
    <w:tmpl w:val="1E0C066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339461E0"/>
    <w:multiLevelType w:val="hybridMultilevel"/>
    <w:tmpl w:val="4E2678D4"/>
    <w:lvl w:ilvl="0" w:tplc="BBA078A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9E73EF"/>
    <w:multiLevelType w:val="hybridMultilevel"/>
    <w:tmpl w:val="20388E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017047B"/>
    <w:multiLevelType w:val="multilevel"/>
    <w:tmpl w:val="32CE7D14"/>
    <w:lvl w:ilvl="0">
      <w:numFmt w:val="bullet"/>
      <w:lvlText w:val=""/>
      <w:lvlJc w:val="left"/>
      <w:pPr>
        <w:ind w:left="720" w:hanging="360"/>
      </w:pPr>
      <w:rPr>
        <w:rFonts w:ascii="Symbol" w:hAnsi="Symbol"/>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9D0BE4"/>
    <w:multiLevelType w:val="multilevel"/>
    <w:tmpl w:val="D424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B62DA"/>
    <w:multiLevelType w:val="hybridMultilevel"/>
    <w:tmpl w:val="337095E2"/>
    <w:lvl w:ilvl="0" w:tplc="8172936C">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807534A"/>
    <w:multiLevelType w:val="hybridMultilevel"/>
    <w:tmpl w:val="E37EDDEC"/>
    <w:lvl w:ilvl="0" w:tplc="8172936C">
      <w:start w:val="4"/>
      <w:numFmt w:val="bullet"/>
      <w:lvlText w:val="-"/>
      <w:lvlJc w:val="left"/>
      <w:pPr>
        <w:ind w:left="1150" w:hanging="360"/>
      </w:pPr>
      <w:rPr>
        <w:rFonts w:ascii="Times New Roman" w:eastAsia="Times New Roman" w:hAnsi="Times New Roman" w:cs="Times New Roman"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9" w15:restartNumberingAfterBreak="0">
    <w:nsid w:val="7B6C37CE"/>
    <w:multiLevelType w:val="hybridMultilevel"/>
    <w:tmpl w:val="2C645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0"/>
  </w:num>
  <w:num w:numId="6">
    <w:abstractNumId w:val="1"/>
  </w:num>
  <w:num w:numId="7">
    <w:abstractNumId w:val="2"/>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10"/>
    <w:rsid w:val="00000176"/>
    <w:rsid w:val="000035A7"/>
    <w:rsid w:val="00012865"/>
    <w:rsid w:val="00020CBF"/>
    <w:rsid w:val="00020E64"/>
    <w:rsid w:val="000225ED"/>
    <w:rsid w:val="00034712"/>
    <w:rsid w:val="00035B41"/>
    <w:rsid w:val="000369BB"/>
    <w:rsid w:val="00037D3F"/>
    <w:rsid w:val="000402E5"/>
    <w:rsid w:val="00044F44"/>
    <w:rsid w:val="00046496"/>
    <w:rsid w:val="00051000"/>
    <w:rsid w:val="000515F4"/>
    <w:rsid w:val="00060A3E"/>
    <w:rsid w:val="000618E4"/>
    <w:rsid w:val="0006294F"/>
    <w:rsid w:val="000714A3"/>
    <w:rsid w:val="000754DD"/>
    <w:rsid w:val="00076774"/>
    <w:rsid w:val="00077028"/>
    <w:rsid w:val="00077484"/>
    <w:rsid w:val="00081E4E"/>
    <w:rsid w:val="00082489"/>
    <w:rsid w:val="00084362"/>
    <w:rsid w:val="00085EA6"/>
    <w:rsid w:val="00090BEB"/>
    <w:rsid w:val="00092B3E"/>
    <w:rsid w:val="00094EE4"/>
    <w:rsid w:val="0009541F"/>
    <w:rsid w:val="000A084B"/>
    <w:rsid w:val="000A28B4"/>
    <w:rsid w:val="000C264E"/>
    <w:rsid w:val="000C45A5"/>
    <w:rsid w:val="000C74A4"/>
    <w:rsid w:val="000C7B75"/>
    <w:rsid w:val="000D7377"/>
    <w:rsid w:val="000E00BD"/>
    <w:rsid w:val="000E6BBC"/>
    <w:rsid w:val="000F02B4"/>
    <w:rsid w:val="000F6A08"/>
    <w:rsid w:val="000F6EA2"/>
    <w:rsid w:val="00103D40"/>
    <w:rsid w:val="0010515C"/>
    <w:rsid w:val="0010516C"/>
    <w:rsid w:val="00114958"/>
    <w:rsid w:val="0013294C"/>
    <w:rsid w:val="00134803"/>
    <w:rsid w:val="00137FB3"/>
    <w:rsid w:val="00140CB8"/>
    <w:rsid w:val="00141C5A"/>
    <w:rsid w:val="00144444"/>
    <w:rsid w:val="00151DB0"/>
    <w:rsid w:val="0015322D"/>
    <w:rsid w:val="00156892"/>
    <w:rsid w:val="00161713"/>
    <w:rsid w:val="00172608"/>
    <w:rsid w:val="00175877"/>
    <w:rsid w:val="0017651B"/>
    <w:rsid w:val="00180741"/>
    <w:rsid w:val="001818BC"/>
    <w:rsid w:val="001839C8"/>
    <w:rsid w:val="001862DD"/>
    <w:rsid w:val="00187592"/>
    <w:rsid w:val="00196103"/>
    <w:rsid w:val="001B67A8"/>
    <w:rsid w:val="001B7E09"/>
    <w:rsid w:val="001C23E3"/>
    <w:rsid w:val="001D1A23"/>
    <w:rsid w:val="001D2657"/>
    <w:rsid w:val="001D56E2"/>
    <w:rsid w:val="001E58EF"/>
    <w:rsid w:val="001E76F6"/>
    <w:rsid w:val="001F44C0"/>
    <w:rsid w:val="002022E1"/>
    <w:rsid w:val="00203E73"/>
    <w:rsid w:val="00210621"/>
    <w:rsid w:val="002168CC"/>
    <w:rsid w:val="00221F29"/>
    <w:rsid w:val="002237A3"/>
    <w:rsid w:val="00224BAC"/>
    <w:rsid w:val="00243FAF"/>
    <w:rsid w:val="00245A77"/>
    <w:rsid w:val="00250248"/>
    <w:rsid w:val="00251D88"/>
    <w:rsid w:val="00260297"/>
    <w:rsid w:val="002631AC"/>
    <w:rsid w:val="0026353B"/>
    <w:rsid w:val="00265C72"/>
    <w:rsid w:val="00270175"/>
    <w:rsid w:val="00270309"/>
    <w:rsid w:val="00272B41"/>
    <w:rsid w:val="00274E2F"/>
    <w:rsid w:val="002770BA"/>
    <w:rsid w:val="00280391"/>
    <w:rsid w:val="00284B8E"/>
    <w:rsid w:val="0028634F"/>
    <w:rsid w:val="002954DA"/>
    <w:rsid w:val="002A3C63"/>
    <w:rsid w:val="002B1D08"/>
    <w:rsid w:val="002B7CB6"/>
    <w:rsid w:val="002C159C"/>
    <w:rsid w:val="002D2382"/>
    <w:rsid w:val="002D5623"/>
    <w:rsid w:val="002E193D"/>
    <w:rsid w:val="002F032F"/>
    <w:rsid w:val="002F042E"/>
    <w:rsid w:val="002F1DC2"/>
    <w:rsid w:val="0030034A"/>
    <w:rsid w:val="003005A0"/>
    <w:rsid w:val="00307C79"/>
    <w:rsid w:val="00307D6B"/>
    <w:rsid w:val="00312C12"/>
    <w:rsid w:val="00315E36"/>
    <w:rsid w:val="00316DD8"/>
    <w:rsid w:val="00317BBC"/>
    <w:rsid w:val="00322529"/>
    <w:rsid w:val="00325188"/>
    <w:rsid w:val="003271C5"/>
    <w:rsid w:val="00327B7B"/>
    <w:rsid w:val="00327BE1"/>
    <w:rsid w:val="00340C57"/>
    <w:rsid w:val="00344CCE"/>
    <w:rsid w:val="00347097"/>
    <w:rsid w:val="0035024F"/>
    <w:rsid w:val="00351C26"/>
    <w:rsid w:val="00352BAA"/>
    <w:rsid w:val="00354098"/>
    <w:rsid w:val="00357573"/>
    <w:rsid w:val="0036445D"/>
    <w:rsid w:val="00366128"/>
    <w:rsid w:val="00373D2C"/>
    <w:rsid w:val="00380F26"/>
    <w:rsid w:val="00381D13"/>
    <w:rsid w:val="00383534"/>
    <w:rsid w:val="00385A88"/>
    <w:rsid w:val="003917C2"/>
    <w:rsid w:val="00392A0E"/>
    <w:rsid w:val="00396799"/>
    <w:rsid w:val="003A0246"/>
    <w:rsid w:val="003A1978"/>
    <w:rsid w:val="003A1B3A"/>
    <w:rsid w:val="003A2B1A"/>
    <w:rsid w:val="003A3DA0"/>
    <w:rsid w:val="003A7D25"/>
    <w:rsid w:val="003B067A"/>
    <w:rsid w:val="003B5AB6"/>
    <w:rsid w:val="003B6CD8"/>
    <w:rsid w:val="003D7215"/>
    <w:rsid w:val="003E2527"/>
    <w:rsid w:val="003E3F9B"/>
    <w:rsid w:val="003F5A48"/>
    <w:rsid w:val="003F7EEE"/>
    <w:rsid w:val="0040445B"/>
    <w:rsid w:val="00410F85"/>
    <w:rsid w:val="00413039"/>
    <w:rsid w:val="0041305A"/>
    <w:rsid w:val="004148DF"/>
    <w:rsid w:val="0042433A"/>
    <w:rsid w:val="00424DF0"/>
    <w:rsid w:val="004261C7"/>
    <w:rsid w:val="00430398"/>
    <w:rsid w:val="00430B1A"/>
    <w:rsid w:val="0043639D"/>
    <w:rsid w:val="0043737F"/>
    <w:rsid w:val="00450911"/>
    <w:rsid w:val="00451925"/>
    <w:rsid w:val="00452BE0"/>
    <w:rsid w:val="00454A92"/>
    <w:rsid w:val="00455BAF"/>
    <w:rsid w:val="00457DD9"/>
    <w:rsid w:val="00460464"/>
    <w:rsid w:val="00461D43"/>
    <w:rsid w:val="00462AC1"/>
    <w:rsid w:val="004636F6"/>
    <w:rsid w:val="00467C0E"/>
    <w:rsid w:val="00486CF5"/>
    <w:rsid w:val="0049284C"/>
    <w:rsid w:val="00495BB8"/>
    <w:rsid w:val="004A2865"/>
    <w:rsid w:val="004B4A84"/>
    <w:rsid w:val="004B4ADA"/>
    <w:rsid w:val="004B67B3"/>
    <w:rsid w:val="004B69BC"/>
    <w:rsid w:val="004C46F4"/>
    <w:rsid w:val="004C6327"/>
    <w:rsid w:val="004C744E"/>
    <w:rsid w:val="004D448E"/>
    <w:rsid w:val="004D55B1"/>
    <w:rsid w:val="004D73CC"/>
    <w:rsid w:val="004E14CD"/>
    <w:rsid w:val="004E31CC"/>
    <w:rsid w:val="004E7504"/>
    <w:rsid w:val="004F304F"/>
    <w:rsid w:val="004F5619"/>
    <w:rsid w:val="005003BF"/>
    <w:rsid w:val="00500C68"/>
    <w:rsid w:val="00505D61"/>
    <w:rsid w:val="00505E60"/>
    <w:rsid w:val="00507095"/>
    <w:rsid w:val="005154CE"/>
    <w:rsid w:val="00521F10"/>
    <w:rsid w:val="00530DA1"/>
    <w:rsid w:val="00530FA3"/>
    <w:rsid w:val="00534A56"/>
    <w:rsid w:val="0053670A"/>
    <w:rsid w:val="00544287"/>
    <w:rsid w:val="005504CB"/>
    <w:rsid w:val="00550507"/>
    <w:rsid w:val="00552203"/>
    <w:rsid w:val="00555489"/>
    <w:rsid w:val="00581260"/>
    <w:rsid w:val="005857E0"/>
    <w:rsid w:val="00591993"/>
    <w:rsid w:val="005A26B2"/>
    <w:rsid w:val="005B0649"/>
    <w:rsid w:val="005B398D"/>
    <w:rsid w:val="005B63FD"/>
    <w:rsid w:val="005C7410"/>
    <w:rsid w:val="005C7EAE"/>
    <w:rsid w:val="005D5B2B"/>
    <w:rsid w:val="005E3E86"/>
    <w:rsid w:val="005F5176"/>
    <w:rsid w:val="005F5AC6"/>
    <w:rsid w:val="00603721"/>
    <w:rsid w:val="00613767"/>
    <w:rsid w:val="0061428D"/>
    <w:rsid w:val="00615445"/>
    <w:rsid w:val="006166A0"/>
    <w:rsid w:val="006171A3"/>
    <w:rsid w:val="00621B2F"/>
    <w:rsid w:val="006235F0"/>
    <w:rsid w:val="00626123"/>
    <w:rsid w:val="00626D13"/>
    <w:rsid w:val="0063016D"/>
    <w:rsid w:val="0064176E"/>
    <w:rsid w:val="00643E7B"/>
    <w:rsid w:val="00644051"/>
    <w:rsid w:val="006463E8"/>
    <w:rsid w:val="00647267"/>
    <w:rsid w:val="006524D2"/>
    <w:rsid w:val="0065363A"/>
    <w:rsid w:val="00654398"/>
    <w:rsid w:val="0065523A"/>
    <w:rsid w:val="0066162F"/>
    <w:rsid w:val="00661A5B"/>
    <w:rsid w:val="00661C59"/>
    <w:rsid w:val="00661CAD"/>
    <w:rsid w:val="00662447"/>
    <w:rsid w:val="006700AE"/>
    <w:rsid w:val="0067478B"/>
    <w:rsid w:val="0068249E"/>
    <w:rsid w:val="00686B33"/>
    <w:rsid w:val="00687AE7"/>
    <w:rsid w:val="006963DB"/>
    <w:rsid w:val="006971CA"/>
    <w:rsid w:val="006A3BC8"/>
    <w:rsid w:val="006A6FB7"/>
    <w:rsid w:val="006B2740"/>
    <w:rsid w:val="006B2A22"/>
    <w:rsid w:val="006B3A09"/>
    <w:rsid w:val="006B7316"/>
    <w:rsid w:val="006B7F00"/>
    <w:rsid w:val="006C345D"/>
    <w:rsid w:val="006D29FB"/>
    <w:rsid w:val="006D4AD9"/>
    <w:rsid w:val="006E2675"/>
    <w:rsid w:val="006E40EE"/>
    <w:rsid w:val="006F3B97"/>
    <w:rsid w:val="00700E73"/>
    <w:rsid w:val="007119DA"/>
    <w:rsid w:val="00713EF9"/>
    <w:rsid w:val="00720A59"/>
    <w:rsid w:val="0072681C"/>
    <w:rsid w:val="0073553B"/>
    <w:rsid w:val="007563E1"/>
    <w:rsid w:val="00760CD0"/>
    <w:rsid w:val="00763148"/>
    <w:rsid w:val="007650D4"/>
    <w:rsid w:val="00775ACB"/>
    <w:rsid w:val="00777529"/>
    <w:rsid w:val="007776C9"/>
    <w:rsid w:val="00780676"/>
    <w:rsid w:val="00781454"/>
    <w:rsid w:val="00782FF1"/>
    <w:rsid w:val="00791356"/>
    <w:rsid w:val="00793345"/>
    <w:rsid w:val="00794114"/>
    <w:rsid w:val="007A3608"/>
    <w:rsid w:val="007B4EE1"/>
    <w:rsid w:val="007C7A77"/>
    <w:rsid w:val="007D3351"/>
    <w:rsid w:val="007D4354"/>
    <w:rsid w:val="007D4825"/>
    <w:rsid w:val="007D483F"/>
    <w:rsid w:val="007D5828"/>
    <w:rsid w:val="007D640D"/>
    <w:rsid w:val="007E3FCE"/>
    <w:rsid w:val="007E7307"/>
    <w:rsid w:val="007E7344"/>
    <w:rsid w:val="007F1EE7"/>
    <w:rsid w:val="008026FD"/>
    <w:rsid w:val="00804DC3"/>
    <w:rsid w:val="00813FB8"/>
    <w:rsid w:val="008230A3"/>
    <w:rsid w:val="00835F72"/>
    <w:rsid w:val="00842AB8"/>
    <w:rsid w:val="008439FF"/>
    <w:rsid w:val="00844722"/>
    <w:rsid w:val="00844C36"/>
    <w:rsid w:val="008457B9"/>
    <w:rsid w:val="00845CF1"/>
    <w:rsid w:val="00847AE2"/>
    <w:rsid w:val="00851A90"/>
    <w:rsid w:val="00851D27"/>
    <w:rsid w:val="00851E77"/>
    <w:rsid w:val="008520F7"/>
    <w:rsid w:val="00854263"/>
    <w:rsid w:val="00861AA4"/>
    <w:rsid w:val="008650C7"/>
    <w:rsid w:val="00865779"/>
    <w:rsid w:val="00866CEF"/>
    <w:rsid w:val="00872B40"/>
    <w:rsid w:val="00880297"/>
    <w:rsid w:val="008902FD"/>
    <w:rsid w:val="008931EE"/>
    <w:rsid w:val="008A24DB"/>
    <w:rsid w:val="008C2A80"/>
    <w:rsid w:val="008C2DEF"/>
    <w:rsid w:val="008C320A"/>
    <w:rsid w:val="008D297A"/>
    <w:rsid w:val="008D4EFD"/>
    <w:rsid w:val="008D6F88"/>
    <w:rsid w:val="008D7CB2"/>
    <w:rsid w:val="008E2508"/>
    <w:rsid w:val="008E301E"/>
    <w:rsid w:val="008E53B0"/>
    <w:rsid w:val="008E5983"/>
    <w:rsid w:val="008F1037"/>
    <w:rsid w:val="008F42B4"/>
    <w:rsid w:val="00901469"/>
    <w:rsid w:val="009026BF"/>
    <w:rsid w:val="009028D6"/>
    <w:rsid w:val="009122DE"/>
    <w:rsid w:val="0092064D"/>
    <w:rsid w:val="00925350"/>
    <w:rsid w:val="00927F83"/>
    <w:rsid w:val="00933A59"/>
    <w:rsid w:val="00934B5D"/>
    <w:rsid w:val="009363E4"/>
    <w:rsid w:val="0094088C"/>
    <w:rsid w:val="00941AF7"/>
    <w:rsid w:val="009421F3"/>
    <w:rsid w:val="00947412"/>
    <w:rsid w:val="00952EA2"/>
    <w:rsid w:val="00953F74"/>
    <w:rsid w:val="00956CBC"/>
    <w:rsid w:val="00957990"/>
    <w:rsid w:val="00960105"/>
    <w:rsid w:val="0096024F"/>
    <w:rsid w:val="009618BA"/>
    <w:rsid w:val="00966DB6"/>
    <w:rsid w:val="00976AF2"/>
    <w:rsid w:val="00980A28"/>
    <w:rsid w:val="00982EB9"/>
    <w:rsid w:val="00987301"/>
    <w:rsid w:val="00992249"/>
    <w:rsid w:val="0099235D"/>
    <w:rsid w:val="00994065"/>
    <w:rsid w:val="009A0EFA"/>
    <w:rsid w:val="009A1D5B"/>
    <w:rsid w:val="009A28FA"/>
    <w:rsid w:val="009A2908"/>
    <w:rsid w:val="009A639C"/>
    <w:rsid w:val="009B2AD5"/>
    <w:rsid w:val="009B2D77"/>
    <w:rsid w:val="009B7B4E"/>
    <w:rsid w:val="009C2939"/>
    <w:rsid w:val="009C411A"/>
    <w:rsid w:val="009C72F1"/>
    <w:rsid w:val="009D179E"/>
    <w:rsid w:val="009D42D2"/>
    <w:rsid w:val="009D7BFE"/>
    <w:rsid w:val="009E2435"/>
    <w:rsid w:val="009E42F7"/>
    <w:rsid w:val="009F1E41"/>
    <w:rsid w:val="009F34C0"/>
    <w:rsid w:val="009F4396"/>
    <w:rsid w:val="00A01376"/>
    <w:rsid w:val="00A03E76"/>
    <w:rsid w:val="00A071A6"/>
    <w:rsid w:val="00A1186D"/>
    <w:rsid w:val="00A16167"/>
    <w:rsid w:val="00A16C26"/>
    <w:rsid w:val="00A20130"/>
    <w:rsid w:val="00A22ADE"/>
    <w:rsid w:val="00A22CA5"/>
    <w:rsid w:val="00A322F6"/>
    <w:rsid w:val="00A35E2F"/>
    <w:rsid w:val="00A3702A"/>
    <w:rsid w:val="00A3742F"/>
    <w:rsid w:val="00A537E0"/>
    <w:rsid w:val="00A56E17"/>
    <w:rsid w:val="00A62561"/>
    <w:rsid w:val="00A6393D"/>
    <w:rsid w:val="00A72E9C"/>
    <w:rsid w:val="00A74B09"/>
    <w:rsid w:val="00A75603"/>
    <w:rsid w:val="00A836B4"/>
    <w:rsid w:val="00A9108E"/>
    <w:rsid w:val="00A92369"/>
    <w:rsid w:val="00A93711"/>
    <w:rsid w:val="00A94D08"/>
    <w:rsid w:val="00A9550C"/>
    <w:rsid w:val="00AB4CF9"/>
    <w:rsid w:val="00AB5FB8"/>
    <w:rsid w:val="00AC04B3"/>
    <w:rsid w:val="00AC3D7A"/>
    <w:rsid w:val="00AD0E64"/>
    <w:rsid w:val="00AD20C2"/>
    <w:rsid w:val="00AD6724"/>
    <w:rsid w:val="00AE42A9"/>
    <w:rsid w:val="00AE74A5"/>
    <w:rsid w:val="00AF400E"/>
    <w:rsid w:val="00AF4FF8"/>
    <w:rsid w:val="00AF65BB"/>
    <w:rsid w:val="00AF7B79"/>
    <w:rsid w:val="00B03089"/>
    <w:rsid w:val="00B05816"/>
    <w:rsid w:val="00B10F5B"/>
    <w:rsid w:val="00B11E2F"/>
    <w:rsid w:val="00B12475"/>
    <w:rsid w:val="00B132C8"/>
    <w:rsid w:val="00B165FF"/>
    <w:rsid w:val="00B255F7"/>
    <w:rsid w:val="00B258BD"/>
    <w:rsid w:val="00B2620B"/>
    <w:rsid w:val="00B3114C"/>
    <w:rsid w:val="00B4002C"/>
    <w:rsid w:val="00B5001D"/>
    <w:rsid w:val="00B509B0"/>
    <w:rsid w:val="00B52CB9"/>
    <w:rsid w:val="00B52E13"/>
    <w:rsid w:val="00B62929"/>
    <w:rsid w:val="00B649B9"/>
    <w:rsid w:val="00B71580"/>
    <w:rsid w:val="00B82385"/>
    <w:rsid w:val="00B85392"/>
    <w:rsid w:val="00B9346D"/>
    <w:rsid w:val="00B942B7"/>
    <w:rsid w:val="00B96F6C"/>
    <w:rsid w:val="00BA1C6E"/>
    <w:rsid w:val="00BA6FE8"/>
    <w:rsid w:val="00BA70EC"/>
    <w:rsid w:val="00BB00D3"/>
    <w:rsid w:val="00BB109F"/>
    <w:rsid w:val="00BB1B87"/>
    <w:rsid w:val="00BB6C53"/>
    <w:rsid w:val="00BC3A3E"/>
    <w:rsid w:val="00BC3C39"/>
    <w:rsid w:val="00BC4966"/>
    <w:rsid w:val="00BD7702"/>
    <w:rsid w:val="00BE1652"/>
    <w:rsid w:val="00BE469A"/>
    <w:rsid w:val="00BE65BF"/>
    <w:rsid w:val="00BF6F23"/>
    <w:rsid w:val="00C01C5C"/>
    <w:rsid w:val="00C063F3"/>
    <w:rsid w:val="00C25EDF"/>
    <w:rsid w:val="00C26016"/>
    <w:rsid w:val="00C26BB3"/>
    <w:rsid w:val="00C27F14"/>
    <w:rsid w:val="00C33130"/>
    <w:rsid w:val="00C37152"/>
    <w:rsid w:val="00C3728B"/>
    <w:rsid w:val="00C37CE6"/>
    <w:rsid w:val="00C425DF"/>
    <w:rsid w:val="00C52723"/>
    <w:rsid w:val="00C52BE9"/>
    <w:rsid w:val="00C538FD"/>
    <w:rsid w:val="00C57DD6"/>
    <w:rsid w:val="00C6098B"/>
    <w:rsid w:val="00C625DA"/>
    <w:rsid w:val="00C62D65"/>
    <w:rsid w:val="00C64509"/>
    <w:rsid w:val="00C66A11"/>
    <w:rsid w:val="00C70BEA"/>
    <w:rsid w:val="00C87D47"/>
    <w:rsid w:val="00C95F16"/>
    <w:rsid w:val="00CA093E"/>
    <w:rsid w:val="00CA735D"/>
    <w:rsid w:val="00CB05E0"/>
    <w:rsid w:val="00CB0B17"/>
    <w:rsid w:val="00CB1C69"/>
    <w:rsid w:val="00CB2B9E"/>
    <w:rsid w:val="00CB459C"/>
    <w:rsid w:val="00CB5068"/>
    <w:rsid w:val="00CB792B"/>
    <w:rsid w:val="00CC03FF"/>
    <w:rsid w:val="00CC05D7"/>
    <w:rsid w:val="00CC2634"/>
    <w:rsid w:val="00CD1571"/>
    <w:rsid w:val="00CD3310"/>
    <w:rsid w:val="00CE09F2"/>
    <w:rsid w:val="00CE0C79"/>
    <w:rsid w:val="00CE3DEB"/>
    <w:rsid w:val="00CE4B3F"/>
    <w:rsid w:val="00CE6556"/>
    <w:rsid w:val="00CE6839"/>
    <w:rsid w:val="00CE735B"/>
    <w:rsid w:val="00CE74EE"/>
    <w:rsid w:val="00CF43E3"/>
    <w:rsid w:val="00CF43E4"/>
    <w:rsid w:val="00CF58E1"/>
    <w:rsid w:val="00CF68E6"/>
    <w:rsid w:val="00D00F20"/>
    <w:rsid w:val="00D016CA"/>
    <w:rsid w:val="00D03C30"/>
    <w:rsid w:val="00D10EF7"/>
    <w:rsid w:val="00D1515F"/>
    <w:rsid w:val="00D178A8"/>
    <w:rsid w:val="00D246EE"/>
    <w:rsid w:val="00D310B8"/>
    <w:rsid w:val="00D3335E"/>
    <w:rsid w:val="00D36E5E"/>
    <w:rsid w:val="00D37761"/>
    <w:rsid w:val="00D377FC"/>
    <w:rsid w:val="00D50FEC"/>
    <w:rsid w:val="00D5299E"/>
    <w:rsid w:val="00D54592"/>
    <w:rsid w:val="00D57CB3"/>
    <w:rsid w:val="00D60F5E"/>
    <w:rsid w:val="00D64240"/>
    <w:rsid w:val="00D71006"/>
    <w:rsid w:val="00D74DE7"/>
    <w:rsid w:val="00D75D54"/>
    <w:rsid w:val="00D76C3E"/>
    <w:rsid w:val="00D84346"/>
    <w:rsid w:val="00D8673F"/>
    <w:rsid w:val="00D86CB2"/>
    <w:rsid w:val="00D87D82"/>
    <w:rsid w:val="00D97438"/>
    <w:rsid w:val="00DA077D"/>
    <w:rsid w:val="00DB079B"/>
    <w:rsid w:val="00DC0AB9"/>
    <w:rsid w:val="00DC0FD9"/>
    <w:rsid w:val="00DC2CD4"/>
    <w:rsid w:val="00DC4733"/>
    <w:rsid w:val="00DD0A7B"/>
    <w:rsid w:val="00DD3A74"/>
    <w:rsid w:val="00DF1E57"/>
    <w:rsid w:val="00DF28F2"/>
    <w:rsid w:val="00DF2A89"/>
    <w:rsid w:val="00DF3716"/>
    <w:rsid w:val="00E02A12"/>
    <w:rsid w:val="00E12EE1"/>
    <w:rsid w:val="00E13501"/>
    <w:rsid w:val="00E15D14"/>
    <w:rsid w:val="00E16241"/>
    <w:rsid w:val="00E24F71"/>
    <w:rsid w:val="00E32E75"/>
    <w:rsid w:val="00E34224"/>
    <w:rsid w:val="00E36309"/>
    <w:rsid w:val="00E3709F"/>
    <w:rsid w:val="00E3734F"/>
    <w:rsid w:val="00E4530B"/>
    <w:rsid w:val="00E455F6"/>
    <w:rsid w:val="00E531A8"/>
    <w:rsid w:val="00E567A0"/>
    <w:rsid w:val="00E57502"/>
    <w:rsid w:val="00E57BF7"/>
    <w:rsid w:val="00E64BA3"/>
    <w:rsid w:val="00E64C20"/>
    <w:rsid w:val="00E65FE2"/>
    <w:rsid w:val="00E71570"/>
    <w:rsid w:val="00E71D60"/>
    <w:rsid w:val="00E73E19"/>
    <w:rsid w:val="00E81E08"/>
    <w:rsid w:val="00E821C8"/>
    <w:rsid w:val="00E85D55"/>
    <w:rsid w:val="00E866D7"/>
    <w:rsid w:val="00E87B5F"/>
    <w:rsid w:val="00E9079A"/>
    <w:rsid w:val="00E953F3"/>
    <w:rsid w:val="00E95D45"/>
    <w:rsid w:val="00EA0F01"/>
    <w:rsid w:val="00EA2573"/>
    <w:rsid w:val="00EA36B6"/>
    <w:rsid w:val="00EA6DD3"/>
    <w:rsid w:val="00EB2AD1"/>
    <w:rsid w:val="00EB3EDB"/>
    <w:rsid w:val="00EB4DE1"/>
    <w:rsid w:val="00EB5085"/>
    <w:rsid w:val="00EB5B27"/>
    <w:rsid w:val="00EB5DBD"/>
    <w:rsid w:val="00EC3CB3"/>
    <w:rsid w:val="00EC6873"/>
    <w:rsid w:val="00ED1141"/>
    <w:rsid w:val="00ED3317"/>
    <w:rsid w:val="00EE3637"/>
    <w:rsid w:val="00EE49AD"/>
    <w:rsid w:val="00EE5909"/>
    <w:rsid w:val="00EE5C6D"/>
    <w:rsid w:val="00EF1BF4"/>
    <w:rsid w:val="00EF4D4D"/>
    <w:rsid w:val="00F029D1"/>
    <w:rsid w:val="00F0781B"/>
    <w:rsid w:val="00F146E8"/>
    <w:rsid w:val="00F14D66"/>
    <w:rsid w:val="00F15A1B"/>
    <w:rsid w:val="00F238AA"/>
    <w:rsid w:val="00F249F1"/>
    <w:rsid w:val="00F24CAD"/>
    <w:rsid w:val="00F24D29"/>
    <w:rsid w:val="00F26C07"/>
    <w:rsid w:val="00F3674F"/>
    <w:rsid w:val="00F42B2C"/>
    <w:rsid w:val="00F605F0"/>
    <w:rsid w:val="00F64174"/>
    <w:rsid w:val="00F67919"/>
    <w:rsid w:val="00F722B5"/>
    <w:rsid w:val="00F74516"/>
    <w:rsid w:val="00F91455"/>
    <w:rsid w:val="00F947AB"/>
    <w:rsid w:val="00FA2ECA"/>
    <w:rsid w:val="00FA35FF"/>
    <w:rsid w:val="00FB0331"/>
    <w:rsid w:val="00FB17F5"/>
    <w:rsid w:val="00FB195E"/>
    <w:rsid w:val="00FB4F52"/>
    <w:rsid w:val="00FC7932"/>
    <w:rsid w:val="00FD2202"/>
    <w:rsid w:val="00FD61C8"/>
    <w:rsid w:val="00FE3262"/>
    <w:rsid w:val="00FE3858"/>
    <w:rsid w:val="00FE4DF1"/>
    <w:rsid w:val="00FF1DCB"/>
    <w:rsid w:val="00FF1F7A"/>
    <w:rsid w:val="00FF3A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F58A"/>
  <w15:chartTrackingRefBased/>
  <w15:docId w15:val="{6E81992D-D171-45BF-8975-91CFB424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445D"/>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5003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link w:val="Virsraksts3Rakstz"/>
    <w:uiPriority w:val="9"/>
    <w:qFormat/>
    <w:rsid w:val="006B2A22"/>
    <w:pPr>
      <w:spacing w:before="100" w:beforeAutospacing="1" w:after="100" w:afterAutospacing="1"/>
      <w:outlineLvl w:val="2"/>
    </w:pPr>
    <w:rPr>
      <w:b/>
      <w:bCs/>
      <w:sz w:val="27"/>
      <w:szCs w:val="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857E0"/>
    <w:rPr>
      <w:color w:val="0000FF"/>
      <w:u w:val="single"/>
    </w:rPr>
  </w:style>
  <w:style w:type="paragraph" w:styleId="Galvene">
    <w:name w:val="header"/>
    <w:basedOn w:val="Parasts"/>
    <w:link w:val="GalveneRakstz"/>
    <w:uiPriority w:val="99"/>
    <w:unhideWhenUsed/>
    <w:rsid w:val="005857E0"/>
    <w:pPr>
      <w:tabs>
        <w:tab w:val="center" w:pos="4153"/>
        <w:tab w:val="right" w:pos="8306"/>
      </w:tabs>
    </w:pPr>
  </w:style>
  <w:style w:type="character" w:customStyle="1" w:styleId="GalveneRakstz">
    <w:name w:val="Galvene Rakstz."/>
    <w:basedOn w:val="Noklusjumarindkopasfonts"/>
    <w:link w:val="Galvene"/>
    <w:uiPriority w:val="99"/>
    <w:rsid w:val="005857E0"/>
  </w:style>
  <w:style w:type="paragraph" w:styleId="Kjene">
    <w:name w:val="footer"/>
    <w:basedOn w:val="Parasts"/>
    <w:link w:val="KjeneRakstz"/>
    <w:uiPriority w:val="99"/>
    <w:unhideWhenUsed/>
    <w:rsid w:val="005857E0"/>
    <w:pPr>
      <w:tabs>
        <w:tab w:val="center" w:pos="4153"/>
        <w:tab w:val="right" w:pos="8306"/>
      </w:tabs>
    </w:pPr>
  </w:style>
  <w:style w:type="character" w:customStyle="1" w:styleId="KjeneRakstz">
    <w:name w:val="Kājene Rakstz."/>
    <w:basedOn w:val="Noklusjumarindkopasfonts"/>
    <w:link w:val="Kjene"/>
    <w:uiPriority w:val="99"/>
    <w:rsid w:val="005857E0"/>
  </w:style>
  <w:style w:type="paragraph" w:styleId="Vresteksts">
    <w:name w:val="footnote text"/>
    <w:basedOn w:val="Parasts"/>
    <w:link w:val="VrestekstsRakstz"/>
    <w:uiPriority w:val="99"/>
    <w:semiHidden/>
    <w:unhideWhenUsed/>
    <w:rsid w:val="005857E0"/>
    <w:rPr>
      <w:sz w:val="20"/>
      <w:szCs w:val="20"/>
    </w:rPr>
  </w:style>
  <w:style w:type="character" w:customStyle="1" w:styleId="VrestekstsRakstz">
    <w:name w:val="Vēres teksts Rakstz."/>
    <w:basedOn w:val="Noklusjumarindkopasfonts"/>
    <w:link w:val="Vresteksts"/>
    <w:uiPriority w:val="99"/>
    <w:semiHidden/>
    <w:rsid w:val="005857E0"/>
    <w:rPr>
      <w:sz w:val="20"/>
      <w:szCs w:val="20"/>
    </w:rPr>
  </w:style>
  <w:style w:type="character" w:styleId="Vresatsauce">
    <w:name w:val="footnote reference"/>
    <w:basedOn w:val="Noklusjumarindkopasfonts"/>
    <w:uiPriority w:val="99"/>
    <w:semiHidden/>
    <w:unhideWhenUsed/>
    <w:rsid w:val="005857E0"/>
    <w:rPr>
      <w:vertAlign w:val="superscript"/>
    </w:rPr>
  </w:style>
  <w:style w:type="paragraph" w:styleId="Paraststmeklis">
    <w:name w:val="Normal (Web)"/>
    <w:basedOn w:val="Parasts"/>
    <w:uiPriority w:val="99"/>
    <w:unhideWhenUsed/>
    <w:rsid w:val="00CE0C79"/>
    <w:pPr>
      <w:spacing w:before="100" w:beforeAutospacing="1" w:after="100" w:afterAutospacing="1"/>
    </w:pPr>
  </w:style>
  <w:style w:type="character" w:customStyle="1" w:styleId="apple-converted-space">
    <w:name w:val="apple-converted-space"/>
    <w:basedOn w:val="Noklusjumarindkopasfonts"/>
    <w:rsid w:val="00CE0C79"/>
  </w:style>
  <w:style w:type="character" w:customStyle="1" w:styleId="Virsraksts3Rakstz">
    <w:name w:val="Virsraksts 3 Rakstz."/>
    <w:basedOn w:val="Noklusjumarindkopasfonts"/>
    <w:link w:val="Virsraksts3"/>
    <w:uiPriority w:val="9"/>
    <w:rsid w:val="006B2A22"/>
    <w:rPr>
      <w:rFonts w:ascii="Times New Roman" w:eastAsia="Times New Roman" w:hAnsi="Times New Roman" w:cs="Times New Roman"/>
      <w:b/>
      <w:bCs/>
      <w:sz w:val="27"/>
      <w:szCs w:val="27"/>
      <w:lang w:eastAsia="en-GB"/>
    </w:rPr>
  </w:style>
  <w:style w:type="character" w:styleId="Neatrisintapieminana">
    <w:name w:val="Unresolved Mention"/>
    <w:basedOn w:val="Noklusjumarindkopasfonts"/>
    <w:uiPriority w:val="99"/>
    <w:semiHidden/>
    <w:unhideWhenUsed/>
    <w:rsid w:val="00AF65BB"/>
    <w:rPr>
      <w:color w:val="605E5C"/>
      <w:shd w:val="clear" w:color="auto" w:fill="E1DFDD"/>
    </w:rPr>
  </w:style>
  <w:style w:type="paragraph" w:customStyle="1" w:styleId="tv213">
    <w:name w:val="tv213"/>
    <w:basedOn w:val="Parasts"/>
    <w:rsid w:val="006D4AD9"/>
    <w:pPr>
      <w:spacing w:before="100" w:beforeAutospacing="1" w:after="100" w:afterAutospacing="1"/>
    </w:pPr>
  </w:style>
  <w:style w:type="character" w:customStyle="1" w:styleId="Virsraksts1Rakstz">
    <w:name w:val="Virsraksts 1 Rakstz."/>
    <w:basedOn w:val="Noklusjumarindkopasfonts"/>
    <w:link w:val="Virsraksts1"/>
    <w:uiPriority w:val="9"/>
    <w:rsid w:val="005003BF"/>
    <w:rPr>
      <w:rFonts w:asciiTheme="majorHAnsi" w:eastAsiaTheme="majorEastAsia" w:hAnsiTheme="majorHAnsi" w:cstheme="majorBidi"/>
      <w:color w:val="2F5496" w:themeColor="accent1" w:themeShade="BF"/>
      <w:sz w:val="32"/>
      <w:szCs w:val="32"/>
    </w:rPr>
  </w:style>
  <w:style w:type="paragraph" w:customStyle="1" w:styleId="Parasts1">
    <w:name w:val="Parasts1"/>
    <w:rsid w:val="00DA077D"/>
    <w:pPr>
      <w:suppressAutoHyphens/>
      <w:autoSpaceDN w:val="0"/>
      <w:spacing w:line="242" w:lineRule="auto"/>
      <w:textAlignment w:val="baseline"/>
    </w:pPr>
    <w:rPr>
      <w:rFonts w:ascii="Calibri" w:eastAsia="Calibri" w:hAnsi="Calibri" w:cs="Times New Roman"/>
    </w:rPr>
  </w:style>
  <w:style w:type="character" w:styleId="Komentraatsauce">
    <w:name w:val="annotation reference"/>
    <w:basedOn w:val="Noklusjumarindkopasfonts"/>
    <w:uiPriority w:val="99"/>
    <w:semiHidden/>
    <w:unhideWhenUsed/>
    <w:rsid w:val="00D10EF7"/>
    <w:rPr>
      <w:sz w:val="16"/>
      <w:szCs w:val="16"/>
    </w:rPr>
  </w:style>
  <w:style w:type="paragraph" w:styleId="Komentrateksts">
    <w:name w:val="annotation text"/>
    <w:basedOn w:val="Parasts"/>
    <w:link w:val="KomentratekstsRakstz"/>
    <w:uiPriority w:val="99"/>
    <w:unhideWhenUsed/>
    <w:rsid w:val="00D10EF7"/>
    <w:rPr>
      <w:sz w:val="20"/>
      <w:szCs w:val="20"/>
    </w:rPr>
  </w:style>
  <w:style w:type="character" w:customStyle="1" w:styleId="KomentratekstsRakstz">
    <w:name w:val="Komentāra teksts Rakstz."/>
    <w:basedOn w:val="Noklusjumarindkopasfonts"/>
    <w:link w:val="Komentrateksts"/>
    <w:uiPriority w:val="99"/>
    <w:rsid w:val="00D10EF7"/>
    <w:rPr>
      <w:sz w:val="20"/>
      <w:szCs w:val="20"/>
    </w:rPr>
  </w:style>
  <w:style w:type="paragraph" w:styleId="Komentratma">
    <w:name w:val="annotation subject"/>
    <w:basedOn w:val="Komentrateksts"/>
    <w:next w:val="Komentrateksts"/>
    <w:link w:val="KomentratmaRakstz"/>
    <w:uiPriority w:val="99"/>
    <w:semiHidden/>
    <w:unhideWhenUsed/>
    <w:rsid w:val="00D10EF7"/>
    <w:rPr>
      <w:b/>
      <w:bCs/>
    </w:rPr>
  </w:style>
  <w:style w:type="character" w:customStyle="1" w:styleId="KomentratmaRakstz">
    <w:name w:val="Komentāra tēma Rakstz."/>
    <w:basedOn w:val="KomentratekstsRakstz"/>
    <w:link w:val="Komentratma"/>
    <w:uiPriority w:val="99"/>
    <w:semiHidden/>
    <w:rsid w:val="00D10EF7"/>
    <w:rPr>
      <w:b/>
      <w:bCs/>
      <w:sz w:val="20"/>
      <w:szCs w:val="20"/>
    </w:rPr>
  </w:style>
  <w:style w:type="paragraph" w:styleId="Prskatjums">
    <w:name w:val="Revision"/>
    <w:hidden/>
    <w:uiPriority w:val="99"/>
    <w:semiHidden/>
    <w:rsid w:val="00D10EF7"/>
    <w:pPr>
      <w:spacing w:after="0" w:line="240" w:lineRule="auto"/>
    </w:pPr>
  </w:style>
  <w:style w:type="paragraph" w:styleId="Balonteksts">
    <w:name w:val="Balloon Text"/>
    <w:basedOn w:val="Parasts"/>
    <w:link w:val="BalontekstsRakstz"/>
    <w:uiPriority w:val="99"/>
    <w:semiHidden/>
    <w:unhideWhenUsed/>
    <w:rsid w:val="00D10EF7"/>
    <w:rPr>
      <w:sz w:val="18"/>
      <w:szCs w:val="18"/>
    </w:rPr>
  </w:style>
  <w:style w:type="character" w:customStyle="1" w:styleId="BalontekstsRakstz">
    <w:name w:val="Balonteksts Rakstz."/>
    <w:basedOn w:val="Noklusjumarindkopasfonts"/>
    <w:link w:val="Balonteksts"/>
    <w:uiPriority w:val="99"/>
    <w:semiHidden/>
    <w:rsid w:val="00D10EF7"/>
    <w:rPr>
      <w:rFonts w:ascii="Times New Roman" w:hAnsi="Times New Roman" w:cs="Times New Roman"/>
      <w:sz w:val="18"/>
      <w:szCs w:val="18"/>
    </w:rPr>
  </w:style>
  <w:style w:type="character" w:styleId="Izmantotahipersaite">
    <w:name w:val="FollowedHyperlink"/>
    <w:basedOn w:val="Noklusjumarindkopasfonts"/>
    <w:uiPriority w:val="99"/>
    <w:semiHidden/>
    <w:unhideWhenUsed/>
    <w:rsid w:val="00012865"/>
    <w:rPr>
      <w:color w:val="954F72" w:themeColor="followedHyperlink"/>
      <w:u w:val="single"/>
    </w:rPr>
  </w:style>
  <w:style w:type="paragraph" w:styleId="Sarakstarindkopa">
    <w:name w:val="List Paragraph"/>
    <w:basedOn w:val="Parasts"/>
    <w:uiPriority w:val="34"/>
    <w:qFormat/>
    <w:rsid w:val="00CF58E1"/>
    <w:pPr>
      <w:ind w:left="720"/>
      <w:contextualSpacing/>
    </w:pPr>
  </w:style>
  <w:style w:type="paragraph" w:customStyle="1" w:styleId="xmsonormal">
    <w:name w:val="x_msonormal"/>
    <w:basedOn w:val="Parasts"/>
    <w:rsid w:val="009A639C"/>
    <w:pPr>
      <w:spacing w:before="100" w:beforeAutospacing="1" w:after="100" w:afterAutospacing="1"/>
    </w:pPr>
  </w:style>
  <w:style w:type="character" w:customStyle="1" w:styleId="xapple-converted-space">
    <w:name w:val="x_apple-converted-space"/>
    <w:basedOn w:val="Noklusjumarindkopasfonts"/>
    <w:rsid w:val="009A6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4659">
      <w:bodyDiv w:val="1"/>
      <w:marLeft w:val="0"/>
      <w:marRight w:val="0"/>
      <w:marTop w:val="0"/>
      <w:marBottom w:val="0"/>
      <w:divBdr>
        <w:top w:val="none" w:sz="0" w:space="0" w:color="auto"/>
        <w:left w:val="none" w:sz="0" w:space="0" w:color="auto"/>
        <w:bottom w:val="none" w:sz="0" w:space="0" w:color="auto"/>
        <w:right w:val="none" w:sz="0" w:space="0" w:color="auto"/>
      </w:divBdr>
    </w:div>
    <w:div w:id="82921050">
      <w:bodyDiv w:val="1"/>
      <w:marLeft w:val="0"/>
      <w:marRight w:val="0"/>
      <w:marTop w:val="0"/>
      <w:marBottom w:val="0"/>
      <w:divBdr>
        <w:top w:val="none" w:sz="0" w:space="0" w:color="auto"/>
        <w:left w:val="none" w:sz="0" w:space="0" w:color="auto"/>
        <w:bottom w:val="none" w:sz="0" w:space="0" w:color="auto"/>
        <w:right w:val="none" w:sz="0" w:space="0" w:color="auto"/>
      </w:divBdr>
    </w:div>
    <w:div w:id="118181597">
      <w:bodyDiv w:val="1"/>
      <w:marLeft w:val="0"/>
      <w:marRight w:val="0"/>
      <w:marTop w:val="0"/>
      <w:marBottom w:val="0"/>
      <w:divBdr>
        <w:top w:val="none" w:sz="0" w:space="0" w:color="auto"/>
        <w:left w:val="none" w:sz="0" w:space="0" w:color="auto"/>
        <w:bottom w:val="none" w:sz="0" w:space="0" w:color="auto"/>
        <w:right w:val="none" w:sz="0" w:space="0" w:color="auto"/>
      </w:divBdr>
    </w:div>
    <w:div w:id="130289681">
      <w:bodyDiv w:val="1"/>
      <w:marLeft w:val="0"/>
      <w:marRight w:val="0"/>
      <w:marTop w:val="0"/>
      <w:marBottom w:val="0"/>
      <w:divBdr>
        <w:top w:val="none" w:sz="0" w:space="0" w:color="auto"/>
        <w:left w:val="none" w:sz="0" w:space="0" w:color="auto"/>
        <w:bottom w:val="none" w:sz="0" w:space="0" w:color="auto"/>
        <w:right w:val="none" w:sz="0" w:space="0" w:color="auto"/>
      </w:divBdr>
    </w:div>
    <w:div w:id="130680213">
      <w:bodyDiv w:val="1"/>
      <w:marLeft w:val="0"/>
      <w:marRight w:val="0"/>
      <w:marTop w:val="0"/>
      <w:marBottom w:val="0"/>
      <w:divBdr>
        <w:top w:val="none" w:sz="0" w:space="0" w:color="auto"/>
        <w:left w:val="none" w:sz="0" w:space="0" w:color="auto"/>
        <w:bottom w:val="none" w:sz="0" w:space="0" w:color="auto"/>
        <w:right w:val="none" w:sz="0" w:space="0" w:color="auto"/>
      </w:divBdr>
    </w:div>
    <w:div w:id="169376123">
      <w:bodyDiv w:val="1"/>
      <w:marLeft w:val="0"/>
      <w:marRight w:val="0"/>
      <w:marTop w:val="0"/>
      <w:marBottom w:val="0"/>
      <w:divBdr>
        <w:top w:val="none" w:sz="0" w:space="0" w:color="auto"/>
        <w:left w:val="none" w:sz="0" w:space="0" w:color="auto"/>
        <w:bottom w:val="none" w:sz="0" w:space="0" w:color="auto"/>
        <w:right w:val="none" w:sz="0" w:space="0" w:color="auto"/>
      </w:divBdr>
    </w:div>
    <w:div w:id="430318071">
      <w:bodyDiv w:val="1"/>
      <w:marLeft w:val="0"/>
      <w:marRight w:val="0"/>
      <w:marTop w:val="0"/>
      <w:marBottom w:val="0"/>
      <w:divBdr>
        <w:top w:val="none" w:sz="0" w:space="0" w:color="auto"/>
        <w:left w:val="none" w:sz="0" w:space="0" w:color="auto"/>
        <w:bottom w:val="none" w:sz="0" w:space="0" w:color="auto"/>
        <w:right w:val="none" w:sz="0" w:space="0" w:color="auto"/>
      </w:divBdr>
    </w:div>
    <w:div w:id="556819852">
      <w:bodyDiv w:val="1"/>
      <w:marLeft w:val="0"/>
      <w:marRight w:val="0"/>
      <w:marTop w:val="0"/>
      <w:marBottom w:val="0"/>
      <w:divBdr>
        <w:top w:val="none" w:sz="0" w:space="0" w:color="auto"/>
        <w:left w:val="none" w:sz="0" w:space="0" w:color="auto"/>
        <w:bottom w:val="none" w:sz="0" w:space="0" w:color="auto"/>
        <w:right w:val="none" w:sz="0" w:space="0" w:color="auto"/>
      </w:divBdr>
      <w:divsChild>
        <w:div w:id="1671371285">
          <w:marLeft w:val="0"/>
          <w:marRight w:val="0"/>
          <w:marTop w:val="0"/>
          <w:marBottom w:val="0"/>
          <w:divBdr>
            <w:top w:val="none" w:sz="0" w:space="0" w:color="auto"/>
            <w:left w:val="none" w:sz="0" w:space="0" w:color="auto"/>
            <w:bottom w:val="none" w:sz="0" w:space="0" w:color="auto"/>
            <w:right w:val="none" w:sz="0" w:space="0" w:color="auto"/>
          </w:divBdr>
          <w:divsChild>
            <w:div w:id="1231964625">
              <w:marLeft w:val="0"/>
              <w:marRight w:val="0"/>
              <w:marTop w:val="0"/>
              <w:marBottom w:val="0"/>
              <w:divBdr>
                <w:top w:val="none" w:sz="0" w:space="0" w:color="auto"/>
                <w:left w:val="none" w:sz="0" w:space="0" w:color="auto"/>
                <w:bottom w:val="none" w:sz="0" w:space="0" w:color="auto"/>
                <w:right w:val="none" w:sz="0" w:space="0" w:color="auto"/>
              </w:divBdr>
              <w:divsChild>
                <w:div w:id="145166489">
                  <w:marLeft w:val="0"/>
                  <w:marRight w:val="0"/>
                  <w:marTop w:val="0"/>
                  <w:marBottom w:val="0"/>
                  <w:divBdr>
                    <w:top w:val="none" w:sz="0" w:space="0" w:color="auto"/>
                    <w:left w:val="none" w:sz="0" w:space="0" w:color="auto"/>
                    <w:bottom w:val="none" w:sz="0" w:space="0" w:color="auto"/>
                    <w:right w:val="none" w:sz="0" w:space="0" w:color="auto"/>
                  </w:divBdr>
                  <w:divsChild>
                    <w:div w:id="16244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72521">
      <w:bodyDiv w:val="1"/>
      <w:marLeft w:val="0"/>
      <w:marRight w:val="0"/>
      <w:marTop w:val="0"/>
      <w:marBottom w:val="0"/>
      <w:divBdr>
        <w:top w:val="none" w:sz="0" w:space="0" w:color="auto"/>
        <w:left w:val="none" w:sz="0" w:space="0" w:color="auto"/>
        <w:bottom w:val="none" w:sz="0" w:space="0" w:color="auto"/>
        <w:right w:val="none" w:sz="0" w:space="0" w:color="auto"/>
      </w:divBdr>
    </w:div>
    <w:div w:id="560796427">
      <w:bodyDiv w:val="1"/>
      <w:marLeft w:val="0"/>
      <w:marRight w:val="0"/>
      <w:marTop w:val="0"/>
      <w:marBottom w:val="0"/>
      <w:divBdr>
        <w:top w:val="none" w:sz="0" w:space="0" w:color="auto"/>
        <w:left w:val="none" w:sz="0" w:space="0" w:color="auto"/>
        <w:bottom w:val="none" w:sz="0" w:space="0" w:color="auto"/>
        <w:right w:val="none" w:sz="0" w:space="0" w:color="auto"/>
      </w:divBdr>
    </w:div>
    <w:div w:id="638729424">
      <w:bodyDiv w:val="1"/>
      <w:marLeft w:val="0"/>
      <w:marRight w:val="0"/>
      <w:marTop w:val="0"/>
      <w:marBottom w:val="0"/>
      <w:divBdr>
        <w:top w:val="none" w:sz="0" w:space="0" w:color="auto"/>
        <w:left w:val="none" w:sz="0" w:space="0" w:color="auto"/>
        <w:bottom w:val="none" w:sz="0" w:space="0" w:color="auto"/>
        <w:right w:val="none" w:sz="0" w:space="0" w:color="auto"/>
      </w:divBdr>
    </w:div>
    <w:div w:id="668599864">
      <w:bodyDiv w:val="1"/>
      <w:marLeft w:val="0"/>
      <w:marRight w:val="0"/>
      <w:marTop w:val="0"/>
      <w:marBottom w:val="0"/>
      <w:divBdr>
        <w:top w:val="none" w:sz="0" w:space="0" w:color="auto"/>
        <w:left w:val="none" w:sz="0" w:space="0" w:color="auto"/>
        <w:bottom w:val="none" w:sz="0" w:space="0" w:color="auto"/>
        <w:right w:val="none" w:sz="0" w:space="0" w:color="auto"/>
      </w:divBdr>
    </w:div>
    <w:div w:id="681710284">
      <w:bodyDiv w:val="1"/>
      <w:marLeft w:val="0"/>
      <w:marRight w:val="0"/>
      <w:marTop w:val="0"/>
      <w:marBottom w:val="0"/>
      <w:divBdr>
        <w:top w:val="none" w:sz="0" w:space="0" w:color="auto"/>
        <w:left w:val="none" w:sz="0" w:space="0" w:color="auto"/>
        <w:bottom w:val="none" w:sz="0" w:space="0" w:color="auto"/>
        <w:right w:val="none" w:sz="0" w:space="0" w:color="auto"/>
      </w:divBdr>
      <w:divsChild>
        <w:div w:id="655958670">
          <w:marLeft w:val="0"/>
          <w:marRight w:val="0"/>
          <w:marTop w:val="0"/>
          <w:marBottom w:val="0"/>
          <w:divBdr>
            <w:top w:val="none" w:sz="0" w:space="0" w:color="auto"/>
            <w:left w:val="none" w:sz="0" w:space="0" w:color="auto"/>
            <w:bottom w:val="none" w:sz="0" w:space="0" w:color="auto"/>
            <w:right w:val="none" w:sz="0" w:space="0" w:color="auto"/>
          </w:divBdr>
          <w:divsChild>
            <w:div w:id="568729880">
              <w:marLeft w:val="0"/>
              <w:marRight w:val="0"/>
              <w:marTop w:val="0"/>
              <w:marBottom w:val="0"/>
              <w:divBdr>
                <w:top w:val="none" w:sz="0" w:space="0" w:color="auto"/>
                <w:left w:val="none" w:sz="0" w:space="0" w:color="auto"/>
                <w:bottom w:val="none" w:sz="0" w:space="0" w:color="auto"/>
                <w:right w:val="none" w:sz="0" w:space="0" w:color="auto"/>
              </w:divBdr>
              <w:divsChild>
                <w:div w:id="8164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76887">
      <w:bodyDiv w:val="1"/>
      <w:marLeft w:val="0"/>
      <w:marRight w:val="0"/>
      <w:marTop w:val="0"/>
      <w:marBottom w:val="0"/>
      <w:divBdr>
        <w:top w:val="none" w:sz="0" w:space="0" w:color="auto"/>
        <w:left w:val="none" w:sz="0" w:space="0" w:color="auto"/>
        <w:bottom w:val="none" w:sz="0" w:space="0" w:color="auto"/>
        <w:right w:val="none" w:sz="0" w:space="0" w:color="auto"/>
      </w:divBdr>
    </w:div>
    <w:div w:id="746614323">
      <w:bodyDiv w:val="1"/>
      <w:marLeft w:val="0"/>
      <w:marRight w:val="0"/>
      <w:marTop w:val="0"/>
      <w:marBottom w:val="0"/>
      <w:divBdr>
        <w:top w:val="none" w:sz="0" w:space="0" w:color="auto"/>
        <w:left w:val="none" w:sz="0" w:space="0" w:color="auto"/>
        <w:bottom w:val="none" w:sz="0" w:space="0" w:color="auto"/>
        <w:right w:val="none" w:sz="0" w:space="0" w:color="auto"/>
      </w:divBdr>
    </w:div>
    <w:div w:id="784230100">
      <w:bodyDiv w:val="1"/>
      <w:marLeft w:val="0"/>
      <w:marRight w:val="0"/>
      <w:marTop w:val="0"/>
      <w:marBottom w:val="0"/>
      <w:divBdr>
        <w:top w:val="none" w:sz="0" w:space="0" w:color="auto"/>
        <w:left w:val="none" w:sz="0" w:space="0" w:color="auto"/>
        <w:bottom w:val="none" w:sz="0" w:space="0" w:color="auto"/>
        <w:right w:val="none" w:sz="0" w:space="0" w:color="auto"/>
      </w:divBdr>
    </w:div>
    <w:div w:id="821390135">
      <w:bodyDiv w:val="1"/>
      <w:marLeft w:val="0"/>
      <w:marRight w:val="0"/>
      <w:marTop w:val="0"/>
      <w:marBottom w:val="0"/>
      <w:divBdr>
        <w:top w:val="none" w:sz="0" w:space="0" w:color="auto"/>
        <w:left w:val="none" w:sz="0" w:space="0" w:color="auto"/>
        <w:bottom w:val="none" w:sz="0" w:space="0" w:color="auto"/>
        <w:right w:val="none" w:sz="0" w:space="0" w:color="auto"/>
      </w:divBdr>
    </w:div>
    <w:div w:id="825584014">
      <w:bodyDiv w:val="1"/>
      <w:marLeft w:val="0"/>
      <w:marRight w:val="0"/>
      <w:marTop w:val="0"/>
      <w:marBottom w:val="0"/>
      <w:divBdr>
        <w:top w:val="none" w:sz="0" w:space="0" w:color="auto"/>
        <w:left w:val="none" w:sz="0" w:space="0" w:color="auto"/>
        <w:bottom w:val="none" w:sz="0" w:space="0" w:color="auto"/>
        <w:right w:val="none" w:sz="0" w:space="0" w:color="auto"/>
      </w:divBdr>
    </w:div>
    <w:div w:id="872687819">
      <w:bodyDiv w:val="1"/>
      <w:marLeft w:val="0"/>
      <w:marRight w:val="0"/>
      <w:marTop w:val="0"/>
      <w:marBottom w:val="0"/>
      <w:divBdr>
        <w:top w:val="none" w:sz="0" w:space="0" w:color="auto"/>
        <w:left w:val="none" w:sz="0" w:space="0" w:color="auto"/>
        <w:bottom w:val="none" w:sz="0" w:space="0" w:color="auto"/>
        <w:right w:val="none" w:sz="0" w:space="0" w:color="auto"/>
      </w:divBdr>
    </w:div>
    <w:div w:id="942765028">
      <w:bodyDiv w:val="1"/>
      <w:marLeft w:val="0"/>
      <w:marRight w:val="0"/>
      <w:marTop w:val="0"/>
      <w:marBottom w:val="0"/>
      <w:divBdr>
        <w:top w:val="none" w:sz="0" w:space="0" w:color="auto"/>
        <w:left w:val="none" w:sz="0" w:space="0" w:color="auto"/>
        <w:bottom w:val="none" w:sz="0" w:space="0" w:color="auto"/>
        <w:right w:val="none" w:sz="0" w:space="0" w:color="auto"/>
      </w:divBdr>
    </w:div>
    <w:div w:id="943655105">
      <w:bodyDiv w:val="1"/>
      <w:marLeft w:val="0"/>
      <w:marRight w:val="0"/>
      <w:marTop w:val="0"/>
      <w:marBottom w:val="0"/>
      <w:divBdr>
        <w:top w:val="none" w:sz="0" w:space="0" w:color="auto"/>
        <w:left w:val="none" w:sz="0" w:space="0" w:color="auto"/>
        <w:bottom w:val="none" w:sz="0" w:space="0" w:color="auto"/>
        <w:right w:val="none" w:sz="0" w:space="0" w:color="auto"/>
      </w:divBdr>
    </w:div>
    <w:div w:id="1003509169">
      <w:bodyDiv w:val="1"/>
      <w:marLeft w:val="0"/>
      <w:marRight w:val="0"/>
      <w:marTop w:val="0"/>
      <w:marBottom w:val="0"/>
      <w:divBdr>
        <w:top w:val="none" w:sz="0" w:space="0" w:color="auto"/>
        <w:left w:val="none" w:sz="0" w:space="0" w:color="auto"/>
        <w:bottom w:val="none" w:sz="0" w:space="0" w:color="auto"/>
        <w:right w:val="none" w:sz="0" w:space="0" w:color="auto"/>
      </w:divBdr>
    </w:div>
    <w:div w:id="1005666517">
      <w:bodyDiv w:val="1"/>
      <w:marLeft w:val="0"/>
      <w:marRight w:val="0"/>
      <w:marTop w:val="0"/>
      <w:marBottom w:val="0"/>
      <w:divBdr>
        <w:top w:val="none" w:sz="0" w:space="0" w:color="auto"/>
        <w:left w:val="none" w:sz="0" w:space="0" w:color="auto"/>
        <w:bottom w:val="none" w:sz="0" w:space="0" w:color="auto"/>
        <w:right w:val="none" w:sz="0" w:space="0" w:color="auto"/>
      </w:divBdr>
    </w:div>
    <w:div w:id="1091968653">
      <w:bodyDiv w:val="1"/>
      <w:marLeft w:val="0"/>
      <w:marRight w:val="0"/>
      <w:marTop w:val="0"/>
      <w:marBottom w:val="0"/>
      <w:divBdr>
        <w:top w:val="none" w:sz="0" w:space="0" w:color="auto"/>
        <w:left w:val="none" w:sz="0" w:space="0" w:color="auto"/>
        <w:bottom w:val="none" w:sz="0" w:space="0" w:color="auto"/>
        <w:right w:val="none" w:sz="0" w:space="0" w:color="auto"/>
      </w:divBdr>
    </w:div>
    <w:div w:id="1093282912">
      <w:bodyDiv w:val="1"/>
      <w:marLeft w:val="0"/>
      <w:marRight w:val="0"/>
      <w:marTop w:val="0"/>
      <w:marBottom w:val="0"/>
      <w:divBdr>
        <w:top w:val="none" w:sz="0" w:space="0" w:color="auto"/>
        <w:left w:val="none" w:sz="0" w:space="0" w:color="auto"/>
        <w:bottom w:val="none" w:sz="0" w:space="0" w:color="auto"/>
        <w:right w:val="none" w:sz="0" w:space="0" w:color="auto"/>
      </w:divBdr>
    </w:div>
    <w:div w:id="1234002651">
      <w:bodyDiv w:val="1"/>
      <w:marLeft w:val="0"/>
      <w:marRight w:val="0"/>
      <w:marTop w:val="0"/>
      <w:marBottom w:val="0"/>
      <w:divBdr>
        <w:top w:val="none" w:sz="0" w:space="0" w:color="auto"/>
        <w:left w:val="none" w:sz="0" w:space="0" w:color="auto"/>
        <w:bottom w:val="none" w:sz="0" w:space="0" w:color="auto"/>
        <w:right w:val="none" w:sz="0" w:space="0" w:color="auto"/>
      </w:divBdr>
    </w:div>
    <w:div w:id="1264148333">
      <w:bodyDiv w:val="1"/>
      <w:marLeft w:val="0"/>
      <w:marRight w:val="0"/>
      <w:marTop w:val="0"/>
      <w:marBottom w:val="0"/>
      <w:divBdr>
        <w:top w:val="none" w:sz="0" w:space="0" w:color="auto"/>
        <w:left w:val="none" w:sz="0" w:space="0" w:color="auto"/>
        <w:bottom w:val="none" w:sz="0" w:space="0" w:color="auto"/>
        <w:right w:val="none" w:sz="0" w:space="0" w:color="auto"/>
      </w:divBdr>
    </w:div>
    <w:div w:id="1278683253">
      <w:bodyDiv w:val="1"/>
      <w:marLeft w:val="0"/>
      <w:marRight w:val="0"/>
      <w:marTop w:val="0"/>
      <w:marBottom w:val="0"/>
      <w:divBdr>
        <w:top w:val="none" w:sz="0" w:space="0" w:color="auto"/>
        <w:left w:val="none" w:sz="0" w:space="0" w:color="auto"/>
        <w:bottom w:val="none" w:sz="0" w:space="0" w:color="auto"/>
        <w:right w:val="none" w:sz="0" w:space="0" w:color="auto"/>
      </w:divBdr>
      <w:divsChild>
        <w:div w:id="1600407374">
          <w:marLeft w:val="0"/>
          <w:marRight w:val="0"/>
          <w:marTop w:val="0"/>
          <w:marBottom w:val="567"/>
          <w:divBdr>
            <w:top w:val="none" w:sz="0" w:space="0" w:color="auto"/>
            <w:left w:val="none" w:sz="0" w:space="0" w:color="auto"/>
            <w:bottom w:val="none" w:sz="0" w:space="0" w:color="auto"/>
            <w:right w:val="none" w:sz="0" w:space="0" w:color="auto"/>
          </w:divBdr>
        </w:div>
        <w:div w:id="296103491">
          <w:marLeft w:val="0"/>
          <w:marRight w:val="0"/>
          <w:marTop w:val="0"/>
          <w:marBottom w:val="0"/>
          <w:divBdr>
            <w:top w:val="none" w:sz="0" w:space="0" w:color="auto"/>
            <w:left w:val="none" w:sz="0" w:space="0" w:color="auto"/>
            <w:bottom w:val="none" w:sz="0" w:space="0" w:color="auto"/>
            <w:right w:val="none" w:sz="0" w:space="0" w:color="auto"/>
          </w:divBdr>
        </w:div>
      </w:divsChild>
    </w:div>
    <w:div w:id="1285428390">
      <w:bodyDiv w:val="1"/>
      <w:marLeft w:val="0"/>
      <w:marRight w:val="0"/>
      <w:marTop w:val="0"/>
      <w:marBottom w:val="0"/>
      <w:divBdr>
        <w:top w:val="none" w:sz="0" w:space="0" w:color="auto"/>
        <w:left w:val="none" w:sz="0" w:space="0" w:color="auto"/>
        <w:bottom w:val="none" w:sz="0" w:space="0" w:color="auto"/>
        <w:right w:val="none" w:sz="0" w:space="0" w:color="auto"/>
      </w:divBdr>
    </w:div>
    <w:div w:id="1414474208">
      <w:bodyDiv w:val="1"/>
      <w:marLeft w:val="0"/>
      <w:marRight w:val="0"/>
      <w:marTop w:val="0"/>
      <w:marBottom w:val="0"/>
      <w:divBdr>
        <w:top w:val="none" w:sz="0" w:space="0" w:color="auto"/>
        <w:left w:val="none" w:sz="0" w:space="0" w:color="auto"/>
        <w:bottom w:val="none" w:sz="0" w:space="0" w:color="auto"/>
        <w:right w:val="none" w:sz="0" w:space="0" w:color="auto"/>
      </w:divBdr>
      <w:divsChild>
        <w:div w:id="78722337">
          <w:marLeft w:val="0"/>
          <w:marRight w:val="0"/>
          <w:marTop w:val="0"/>
          <w:marBottom w:val="567"/>
          <w:divBdr>
            <w:top w:val="none" w:sz="0" w:space="0" w:color="auto"/>
            <w:left w:val="none" w:sz="0" w:space="0" w:color="auto"/>
            <w:bottom w:val="none" w:sz="0" w:space="0" w:color="auto"/>
            <w:right w:val="none" w:sz="0" w:space="0" w:color="auto"/>
          </w:divBdr>
        </w:div>
      </w:divsChild>
    </w:div>
    <w:div w:id="1433207819">
      <w:bodyDiv w:val="1"/>
      <w:marLeft w:val="0"/>
      <w:marRight w:val="0"/>
      <w:marTop w:val="0"/>
      <w:marBottom w:val="0"/>
      <w:divBdr>
        <w:top w:val="none" w:sz="0" w:space="0" w:color="auto"/>
        <w:left w:val="none" w:sz="0" w:space="0" w:color="auto"/>
        <w:bottom w:val="none" w:sz="0" w:space="0" w:color="auto"/>
        <w:right w:val="none" w:sz="0" w:space="0" w:color="auto"/>
      </w:divBdr>
    </w:div>
    <w:div w:id="1435787537">
      <w:bodyDiv w:val="1"/>
      <w:marLeft w:val="0"/>
      <w:marRight w:val="0"/>
      <w:marTop w:val="0"/>
      <w:marBottom w:val="0"/>
      <w:divBdr>
        <w:top w:val="none" w:sz="0" w:space="0" w:color="auto"/>
        <w:left w:val="none" w:sz="0" w:space="0" w:color="auto"/>
        <w:bottom w:val="none" w:sz="0" w:space="0" w:color="auto"/>
        <w:right w:val="none" w:sz="0" w:space="0" w:color="auto"/>
      </w:divBdr>
    </w:div>
    <w:div w:id="1440569689">
      <w:bodyDiv w:val="1"/>
      <w:marLeft w:val="0"/>
      <w:marRight w:val="0"/>
      <w:marTop w:val="0"/>
      <w:marBottom w:val="0"/>
      <w:divBdr>
        <w:top w:val="none" w:sz="0" w:space="0" w:color="auto"/>
        <w:left w:val="none" w:sz="0" w:space="0" w:color="auto"/>
        <w:bottom w:val="none" w:sz="0" w:space="0" w:color="auto"/>
        <w:right w:val="none" w:sz="0" w:space="0" w:color="auto"/>
      </w:divBdr>
    </w:div>
    <w:div w:id="1473866905">
      <w:bodyDiv w:val="1"/>
      <w:marLeft w:val="0"/>
      <w:marRight w:val="0"/>
      <w:marTop w:val="0"/>
      <w:marBottom w:val="0"/>
      <w:divBdr>
        <w:top w:val="none" w:sz="0" w:space="0" w:color="auto"/>
        <w:left w:val="none" w:sz="0" w:space="0" w:color="auto"/>
        <w:bottom w:val="none" w:sz="0" w:space="0" w:color="auto"/>
        <w:right w:val="none" w:sz="0" w:space="0" w:color="auto"/>
      </w:divBdr>
    </w:div>
    <w:div w:id="1489252917">
      <w:bodyDiv w:val="1"/>
      <w:marLeft w:val="0"/>
      <w:marRight w:val="0"/>
      <w:marTop w:val="0"/>
      <w:marBottom w:val="0"/>
      <w:divBdr>
        <w:top w:val="none" w:sz="0" w:space="0" w:color="auto"/>
        <w:left w:val="none" w:sz="0" w:space="0" w:color="auto"/>
        <w:bottom w:val="none" w:sz="0" w:space="0" w:color="auto"/>
        <w:right w:val="none" w:sz="0" w:space="0" w:color="auto"/>
      </w:divBdr>
    </w:div>
    <w:div w:id="1508208945">
      <w:bodyDiv w:val="1"/>
      <w:marLeft w:val="0"/>
      <w:marRight w:val="0"/>
      <w:marTop w:val="0"/>
      <w:marBottom w:val="0"/>
      <w:divBdr>
        <w:top w:val="none" w:sz="0" w:space="0" w:color="auto"/>
        <w:left w:val="none" w:sz="0" w:space="0" w:color="auto"/>
        <w:bottom w:val="none" w:sz="0" w:space="0" w:color="auto"/>
        <w:right w:val="none" w:sz="0" w:space="0" w:color="auto"/>
      </w:divBdr>
    </w:div>
    <w:div w:id="1541480664">
      <w:bodyDiv w:val="1"/>
      <w:marLeft w:val="0"/>
      <w:marRight w:val="0"/>
      <w:marTop w:val="0"/>
      <w:marBottom w:val="0"/>
      <w:divBdr>
        <w:top w:val="none" w:sz="0" w:space="0" w:color="auto"/>
        <w:left w:val="none" w:sz="0" w:space="0" w:color="auto"/>
        <w:bottom w:val="none" w:sz="0" w:space="0" w:color="auto"/>
        <w:right w:val="none" w:sz="0" w:space="0" w:color="auto"/>
      </w:divBdr>
    </w:div>
    <w:div w:id="1571571664">
      <w:bodyDiv w:val="1"/>
      <w:marLeft w:val="0"/>
      <w:marRight w:val="0"/>
      <w:marTop w:val="0"/>
      <w:marBottom w:val="0"/>
      <w:divBdr>
        <w:top w:val="none" w:sz="0" w:space="0" w:color="auto"/>
        <w:left w:val="none" w:sz="0" w:space="0" w:color="auto"/>
        <w:bottom w:val="none" w:sz="0" w:space="0" w:color="auto"/>
        <w:right w:val="none" w:sz="0" w:space="0" w:color="auto"/>
      </w:divBdr>
    </w:div>
    <w:div w:id="1571766156">
      <w:bodyDiv w:val="1"/>
      <w:marLeft w:val="0"/>
      <w:marRight w:val="0"/>
      <w:marTop w:val="0"/>
      <w:marBottom w:val="0"/>
      <w:divBdr>
        <w:top w:val="none" w:sz="0" w:space="0" w:color="auto"/>
        <w:left w:val="none" w:sz="0" w:space="0" w:color="auto"/>
        <w:bottom w:val="none" w:sz="0" w:space="0" w:color="auto"/>
        <w:right w:val="none" w:sz="0" w:space="0" w:color="auto"/>
      </w:divBdr>
    </w:div>
    <w:div w:id="1641692345">
      <w:bodyDiv w:val="1"/>
      <w:marLeft w:val="0"/>
      <w:marRight w:val="0"/>
      <w:marTop w:val="0"/>
      <w:marBottom w:val="0"/>
      <w:divBdr>
        <w:top w:val="none" w:sz="0" w:space="0" w:color="auto"/>
        <w:left w:val="none" w:sz="0" w:space="0" w:color="auto"/>
        <w:bottom w:val="none" w:sz="0" w:space="0" w:color="auto"/>
        <w:right w:val="none" w:sz="0" w:space="0" w:color="auto"/>
      </w:divBdr>
    </w:div>
    <w:div w:id="1653676059">
      <w:bodyDiv w:val="1"/>
      <w:marLeft w:val="0"/>
      <w:marRight w:val="0"/>
      <w:marTop w:val="0"/>
      <w:marBottom w:val="0"/>
      <w:divBdr>
        <w:top w:val="none" w:sz="0" w:space="0" w:color="auto"/>
        <w:left w:val="none" w:sz="0" w:space="0" w:color="auto"/>
        <w:bottom w:val="none" w:sz="0" w:space="0" w:color="auto"/>
        <w:right w:val="none" w:sz="0" w:space="0" w:color="auto"/>
      </w:divBdr>
      <w:divsChild>
        <w:div w:id="185024502">
          <w:marLeft w:val="0"/>
          <w:marRight w:val="0"/>
          <w:marTop w:val="0"/>
          <w:marBottom w:val="0"/>
          <w:divBdr>
            <w:top w:val="none" w:sz="0" w:space="0" w:color="auto"/>
            <w:left w:val="none" w:sz="0" w:space="0" w:color="auto"/>
            <w:bottom w:val="none" w:sz="0" w:space="0" w:color="auto"/>
            <w:right w:val="none" w:sz="0" w:space="0" w:color="auto"/>
          </w:divBdr>
          <w:divsChild>
            <w:div w:id="2043093501">
              <w:marLeft w:val="0"/>
              <w:marRight w:val="0"/>
              <w:marTop w:val="0"/>
              <w:marBottom w:val="0"/>
              <w:divBdr>
                <w:top w:val="none" w:sz="0" w:space="0" w:color="auto"/>
                <w:left w:val="none" w:sz="0" w:space="0" w:color="auto"/>
                <w:bottom w:val="none" w:sz="0" w:space="0" w:color="auto"/>
                <w:right w:val="none" w:sz="0" w:space="0" w:color="auto"/>
              </w:divBdr>
              <w:divsChild>
                <w:div w:id="18481665">
                  <w:marLeft w:val="0"/>
                  <w:marRight w:val="0"/>
                  <w:marTop w:val="0"/>
                  <w:marBottom w:val="0"/>
                  <w:divBdr>
                    <w:top w:val="none" w:sz="0" w:space="0" w:color="auto"/>
                    <w:left w:val="none" w:sz="0" w:space="0" w:color="auto"/>
                    <w:bottom w:val="none" w:sz="0" w:space="0" w:color="auto"/>
                    <w:right w:val="none" w:sz="0" w:space="0" w:color="auto"/>
                  </w:divBdr>
                  <w:divsChild>
                    <w:div w:id="8453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652438">
      <w:bodyDiv w:val="1"/>
      <w:marLeft w:val="0"/>
      <w:marRight w:val="0"/>
      <w:marTop w:val="0"/>
      <w:marBottom w:val="0"/>
      <w:divBdr>
        <w:top w:val="none" w:sz="0" w:space="0" w:color="auto"/>
        <w:left w:val="none" w:sz="0" w:space="0" w:color="auto"/>
        <w:bottom w:val="none" w:sz="0" w:space="0" w:color="auto"/>
        <w:right w:val="none" w:sz="0" w:space="0" w:color="auto"/>
      </w:divBdr>
    </w:div>
    <w:div w:id="1692218295">
      <w:bodyDiv w:val="1"/>
      <w:marLeft w:val="0"/>
      <w:marRight w:val="0"/>
      <w:marTop w:val="0"/>
      <w:marBottom w:val="0"/>
      <w:divBdr>
        <w:top w:val="none" w:sz="0" w:space="0" w:color="auto"/>
        <w:left w:val="none" w:sz="0" w:space="0" w:color="auto"/>
        <w:bottom w:val="none" w:sz="0" w:space="0" w:color="auto"/>
        <w:right w:val="none" w:sz="0" w:space="0" w:color="auto"/>
      </w:divBdr>
      <w:divsChild>
        <w:div w:id="712391483">
          <w:marLeft w:val="0"/>
          <w:marRight w:val="0"/>
          <w:marTop w:val="0"/>
          <w:marBottom w:val="0"/>
          <w:divBdr>
            <w:top w:val="none" w:sz="0" w:space="0" w:color="auto"/>
            <w:left w:val="none" w:sz="0" w:space="0" w:color="auto"/>
            <w:bottom w:val="none" w:sz="0" w:space="0" w:color="auto"/>
            <w:right w:val="none" w:sz="0" w:space="0" w:color="auto"/>
          </w:divBdr>
          <w:divsChild>
            <w:div w:id="1240596658">
              <w:marLeft w:val="0"/>
              <w:marRight w:val="0"/>
              <w:marTop w:val="0"/>
              <w:marBottom w:val="0"/>
              <w:divBdr>
                <w:top w:val="none" w:sz="0" w:space="0" w:color="auto"/>
                <w:left w:val="none" w:sz="0" w:space="0" w:color="auto"/>
                <w:bottom w:val="none" w:sz="0" w:space="0" w:color="auto"/>
                <w:right w:val="none" w:sz="0" w:space="0" w:color="auto"/>
              </w:divBdr>
              <w:divsChild>
                <w:div w:id="1428690680">
                  <w:marLeft w:val="0"/>
                  <w:marRight w:val="0"/>
                  <w:marTop w:val="0"/>
                  <w:marBottom w:val="0"/>
                  <w:divBdr>
                    <w:top w:val="none" w:sz="0" w:space="0" w:color="auto"/>
                    <w:left w:val="none" w:sz="0" w:space="0" w:color="auto"/>
                    <w:bottom w:val="none" w:sz="0" w:space="0" w:color="auto"/>
                    <w:right w:val="none" w:sz="0" w:space="0" w:color="auto"/>
                  </w:divBdr>
                  <w:divsChild>
                    <w:div w:id="163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99417">
      <w:bodyDiv w:val="1"/>
      <w:marLeft w:val="0"/>
      <w:marRight w:val="0"/>
      <w:marTop w:val="0"/>
      <w:marBottom w:val="0"/>
      <w:divBdr>
        <w:top w:val="none" w:sz="0" w:space="0" w:color="auto"/>
        <w:left w:val="none" w:sz="0" w:space="0" w:color="auto"/>
        <w:bottom w:val="none" w:sz="0" w:space="0" w:color="auto"/>
        <w:right w:val="none" w:sz="0" w:space="0" w:color="auto"/>
      </w:divBdr>
    </w:div>
    <w:div w:id="1708527749">
      <w:bodyDiv w:val="1"/>
      <w:marLeft w:val="0"/>
      <w:marRight w:val="0"/>
      <w:marTop w:val="0"/>
      <w:marBottom w:val="0"/>
      <w:divBdr>
        <w:top w:val="none" w:sz="0" w:space="0" w:color="auto"/>
        <w:left w:val="none" w:sz="0" w:space="0" w:color="auto"/>
        <w:bottom w:val="none" w:sz="0" w:space="0" w:color="auto"/>
        <w:right w:val="none" w:sz="0" w:space="0" w:color="auto"/>
      </w:divBdr>
      <w:divsChild>
        <w:div w:id="438376008">
          <w:marLeft w:val="0"/>
          <w:marRight w:val="0"/>
          <w:marTop w:val="0"/>
          <w:marBottom w:val="567"/>
          <w:divBdr>
            <w:top w:val="none" w:sz="0" w:space="0" w:color="auto"/>
            <w:left w:val="none" w:sz="0" w:space="0" w:color="auto"/>
            <w:bottom w:val="none" w:sz="0" w:space="0" w:color="auto"/>
            <w:right w:val="none" w:sz="0" w:space="0" w:color="auto"/>
          </w:divBdr>
        </w:div>
      </w:divsChild>
    </w:div>
    <w:div w:id="1795249983">
      <w:bodyDiv w:val="1"/>
      <w:marLeft w:val="0"/>
      <w:marRight w:val="0"/>
      <w:marTop w:val="0"/>
      <w:marBottom w:val="0"/>
      <w:divBdr>
        <w:top w:val="none" w:sz="0" w:space="0" w:color="auto"/>
        <w:left w:val="none" w:sz="0" w:space="0" w:color="auto"/>
        <w:bottom w:val="none" w:sz="0" w:space="0" w:color="auto"/>
        <w:right w:val="none" w:sz="0" w:space="0" w:color="auto"/>
      </w:divBdr>
    </w:div>
    <w:div w:id="1812136167">
      <w:bodyDiv w:val="1"/>
      <w:marLeft w:val="0"/>
      <w:marRight w:val="0"/>
      <w:marTop w:val="0"/>
      <w:marBottom w:val="0"/>
      <w:divBdr>
        <w:top w:val="none" w:sz="0" w:space="0" w:color="auto"/>
        <w:left w:val="none" w:sz="0" w:space="0" w:color="auto"/>
        <w:bottom w:val="none" w:sz="0" w:space="0" w:color="auto"/>
        <w:right w:val="none" w:sz="0" w:space="0" w:color="auto"/>
      </w:divBdr>
    </w:div>
    <w:div w:id="1817409352">
      <w:bodyDiv w:val="1"/>
      <w:marLeft w:val="0"/>
      <w:marRight w:val="0"/>
      <w:marTop w:val="0"/>
      <w:marBottom w:val="0"/>
      <w:divBdr>
        <w:top w:val="none" w:sz="0" w:space="0" w:color="auto"/>
        <w:left w:val="none" w:sz="0" w:space="0" w:color="auto"/>
        <w:bottom w:val="none" w:sz="0" w:space="0" w:color="auto"/>
        <w:right w:val="none" w:sz="0" w:space="0" w:color="auto"/>
      </w:divBdr>
    </w:div>
    <w:div w:id="1826430154">
      <w:bodyDiv w:val="1"/>
      <w:marLeft w:val="0"/>
      <w:marRight w:val="0"/>
      <w:marTop w:val="0"/>
      <w:marBottom w:val="0"/>
      <w:divBdr>
        <w:top w:val="none" w:sz="0" w:space="0" w:color="auto"/>
        <w:left w:val="none" w:sz="0" w:space="0" w:color="auto"/>
        <w:bottom w:val="none" w:sz="0" w:space="0" w:color="auto"/>
        <w:right w:val="none" w:sz="0" w:space="0" w:color="auto"/>
      </w:divBdr>
    </w:div>
    <w:div w:id="1849365416">
      <w:bodyDiv w:val="1"/>
      <w:marLeft w:val="0"/>
      <w:marRight w:val="0"/>
      <w:marTop w:val="0"/>
      <w:marBottom w:val="0"/>
      <w:divBdr>
        <w:top w:val="none" w:sz="0" w:space="0" w:color="auto"/>
        <w:left w:val="none" w:sz="0" w:space="0" w:color="auto"/>
        <w:bottom w:val="none" w:sz="0" w:space="0" w:color="auto"/>
        <w:right w:val="none" w:sz="0" w:space="0" w:color="auto"/>
      </w:divBdr>
    </w:div>
    <w:div w:id="1904490495">
      <w:bodyDiv w:val="1"/>
      <w:marLeft w:val="0"/>
      <w:marRight w:val="0"/>
      <w:marTop w:val="0"/>
      <w:marBottom w:val="0"/>
      <w:divBdr>
        <w:top w:val="none" w:sz="0" w:space="0" w:color="auto"/>
        <w:left w:val="none" w:sz="0" w:space="0" w:color="auto"/>
        <w:bottom w:val="none" w:sz="0" w:space="0" w:color="auto"/>
        <w:right w:val="none" w:sz="0" w:space="0" w:color="auto"/>
      </w:divBdr>
    </w:div>
    <w:div w:id="2053340155">
      <w:bodyDiv w:val="1"/>
      <w:marLeft w:val="0"/>
      <w:marRight w:val="0"/>
      <w:marTop w:val="0"/>
      <w:marBottom w:val="0"/>
      <w:divBdr>
        <w:top w:val="none" w:sz="0" w:space="0" w:color="auto"/>
        <w:left w:val="none" w:sz="0" w:space="0" w:color="auto"/>
        <w:bottom w:val="none" w:sz="0" w:space="0" w:color="auto"/>
        <w:right w:val="none" w:sz="0" w:space="0" w:color="auto"/>
      </w:divBdr>
    </w:div>
    <w:div w:id="2054425547">
      <w:bodyDiv w:val="1"/>
      <w:marLeft w:val="0"/>
      <w:marRight w:val="0"/>
      <w:marTop w:val="0"/>
      <w:marBottom w:val="0"/>
      <w:divBdr>
        <w:top w:val="none" w:sz="0" w:space="0" w:color="auto"/>
        <w:left w:val="none" w:sz="0" w:space="0" w:color="auto"/>
        <w:bottom w:val="none" w:sz="0" w:space="0" w:color="auto"/>
        <w:right w:val="none" w:sz="0" w:space="0" w:color="auto"/>
      </w:divBdr>
    </w:div>
    <w:div w:id="2087914523">
      <w:bodyDiv w:val="1"/>
      <w:marLeft w:val="0"/>
      <w:marRight w:val="0"/>
      <w:marTop w:val="0"/>
      <w:marBottom w:val="0"/>
      <w:divBdr>
        <w:top w:val="none" w:sz="0" w:space="0" w:color="auto"/>
        <w:left w:val="none" w:sz="0" w:space="0" w:color="auto"/>
        <w:bottom w:val="none" w:sz="0" w:space="0" w:color="auto"/>
        <w:right w:val="none" w:sz="0" w:space="0" w:color="auto"/>
      </w:divBdr>
    </w:div>
    <w:div w:id="2115510556">
      <w:bodyDiv w:val="1"/>
      <w:marLeft w:val="0"/>
      <w:marRight w:val="0"/>
      <w:marTop w:val="0"/>
      <w:marBottom w:val="0"/>
      <w:divBdr>
        <w:top w:val="none" w:sz="0" w:space="0" w:color="auto"/>
        <w:left w:val="none" w:sz="0" w:space="0" w:color="auto"/>
        <w:bottom w:val="none" w:sz="0" w:space="0" w:color="auto"/>
        <w:right w:val="none" w:sz="0" w:space="0" w:color="auto"/>
      </w:divBdr>
    </w:div>
    <w:div w:id="213374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ira.Anfimova@tm.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ksatnespeja.ur.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titania.saeima.lv/LIVS13/SaeimaLIVS13.nsf/0/751B6BF70B8156D0C22585A800223723?OpenDocument" TargetMode="External"/><Relationship Id="rId3" Type="http://schemas.openxmlformats.org/officeDocument/2006/relationships/hyperlink" Target="https://www.vestnesis.lv/op/2017/5.5" TargetMode="External"/><Relationship Id="rId7" Type="http://schemas.openxmlformats.org/officeDocument/2006/relationships/hyperlink" Target="https://www.mkd.gov.lv/lv/gada-zinojumi/maksatnespejas_kontroles_dienesta_2019.gada_zinojums.pdf" TargetMode="External"/><Relationship Id="rId2" Type="http://schemas.openxmlformats.org/officeDocument/2006/relationships/hyperlink" Target="https://www.tm.gov.lv/lv/pieejams-starptautiska-valutas-fonda-novertejuma-zinojums-par-maksatnespejas-regulejumu-latvija" TargetMode="External"/><Relationship Id="rId1" Type="http://schemas.openxmlformats.org/officeDocument/2006/relationships/hyperlink" Target="https://www.vestnesis.lv/op/2016/186.2" TargetMode="External"/><Relationship Id="rId6" Type="http://schemas.openxmlformats.org/officeDocument/2006/relationships/hyperlink" Target="https://www.tm.gov.lv/sites/tm/files/latvija20svf20novertejums20par20maksatnespejas20regulejumu1.pdf" TargetMode="External"/><Relationship Id="rId11" Type="http://schemas.openxmlformats.org/officeDocument/2006/relationships/hyperlink" Target="https://e-justice.europa.eu/content_insolvency_registers-110-lv.do" TargetMode="External"/><Relationship Id="rId5" Type="http://schemas.openxmlformats.org/officeDocument/2006/relationships/hyperlink" Target="https://maksatnespeja.ur.gov.lv/insolvency/practitioner/lv" TargetMode="External"/><Relationship Id="rId10" Type="http://schemas.openxmlformats.org/officeDocument/2006/relationships/hyperlink" Target="https://www.mkd.gov.lv/lv/gada-zinojumi" TargetMode="External"/><Relationship Id="rId4" Type="http://schemas.openxmlformats.org/officeDocument/2006/relationships/hyperlink" Target="http://titania.saeima.lv/LIVS12/SaeimaLIVS12.nsf/0/46F0710633B835A1C22580650038AEF9?OpenDocument" TargetMode="External"/><Relationship Id="rId9" Type="http://schemas.openxmlformats.org/officeDocument/2006/relationships/hyperlink" Target="https://www.vestnesis.lv/op/2020/234.1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EA893E66EEB442BEB2555FED7555BD" ma:contentTypeVersion="2" ma:contentTypeDescription="Create a new document." ma:contentTypeScope="" ma:versionID="e0457469347ede374f788822c3d81c1a">
  <xsd:schema xmlns:xsd="http://www.w3.org/2001/XMLSchema" xmlns:xs="http://www.w3.org/2001/XMLSchema" xmlns:p="http://schemas.microsoft.com/office/2006/metadata/properties" xmlns:ns2="2297866d-d7da-4456-b2b3-49e4fdde03da" targetNamespace="http://schemas.microsoft.com/office/2006/metadata/properties" ma:root="true" ma:fieldsID="8bf30c35f84024996d57f09e063b371e" ns2:_="">
    <xsd:import namespace="2297866d-d7da-4456-b2b3-49e4fdde03d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7866d-d7da-4456-b2b3-49e4fdde0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BC739-1F45-4D43-87B9-B13E1F0960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F71CE1-9FA7-D24B-ADCE-945291FD495C}">
  <ds:schemaRefs>
    <ds:schemaRef ds:uri="http://schemas.openxmlformats.org/officeDocument/2006/bibliography"/>
  </ds:schemaRefs>
</ds:datastoreItem>
</file>

<file path=customXml/itemProps3.xml><?xml version="1.0" encoding="utf-8"?>
<ds:datastoreItem xmlns:ds="http://schemas.openxmlformats.org/officeDocument/2006/customXml" ds:itemID="{4AEEBE5C-8A57-4444-B858-C2C2BE1C1A0E}">
  <ds:schemaRefs>
    <ds:schemaRef ds:uri="http://schemas.microsoft.com/sharepoint/v3/contenttype/forms"/>
  </ds:schemaRefs>
</ds:datastoreItem>
</file>

<file path=customXml/itemProps4.xml><?xml version="1.0" encoding="utf-8"?>
<ds:datastoreItem xmlns:ds="http://schemas.openxmlformats.org/officeDocument/2006/customXml" ds:itemID="{E94F62CB-BC5B-4BDE-8E67-350504AA5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7866d-d7da-4456-b2b3-49e4fdde0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36645</Words>
  <Characters>20889</Characters>
  <Application>Microsoft Office Word</Application>
  <DocSecurity>0</DocSecurity>
  <Lines>174</Lines>
  <Paragraphs>114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TMAnot_180221_MNL</vt:lpstr>
      <vt:lpstr>TMAnot_180221_MNL</vt:lpstr>
    </vt:vector>
  </TitlesOfParts>
  <Manager/>
  <Company/>
  <LinksUpToDate>false</LinksUpToDate>
  <CharactersWithSpaces>57420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TMAnot_180221_MNL</dc:title>
  <dc:subject/>
  <dc:creator>Tieslietu ministrija</dc:creator>
  <cp:keywords/>
  <dc:description/>
  <cp:lastModifiedBy>Lana Mauliņa</cp:lastModifiedBy>
  <cp:revision>2</cp:revision>
  <dcterms:created xsi:type="dcterms:W3CDTF">2021-02-19T14:49:00Z</dcterms:created>
  <dcterms:modified xsi:type="dcterms:W3CDTF">2021-02-19T14:49:00Z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0x01010029EA893E66EEB442BEB2555FED7555BD</vt:lpwstr>
  </property>
</Properties>
</file>