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10A77" w14:textId="09D5C908" w:rsidR="0018118E" w:rsidRPr="00B5103E" w:rsidRDefault="007724B7" w:rsidP="0018118E">
      <w:pPr>
        <w:spacing w:after="0" w:line="240" w:lineRule="auto"/>
        <w:jc w:val="center"/>
        <w:rPr>
          <w:rFonts w:eastAsia="Times New Roman"/>
          <w:b/>
          <w:bCs/>
          <w:sz w:val="24"/>
          <w:szCs w:val="24"/>
          <w:lang w:eastAsia="lv-LV"/>
        </w:rPr>
      </w:pPr>
      <w:r w:rsidRPr="00B5103E">
        <w:rPr>
          <w:rFonts w:eastAsia="Times New Roman"/>
          <w:b/>
          <w:bCs/>
          <w:sz w:val="24"/>
          <w:szCs w:val="24"/>
          <w:lang w:eastAsia="lv-LV"/>
        </w:rPr>
        <w:t>Ministru kabineta noteikumu projekt</w:t>
      </w:r>
      <w:r w:rsidR="0018118E" w:rsidRPr="00B5103E">
        <w:rPr>
          <w:rFonts w:eastAsia="Times New Roman"/>
          <w:b/>
          <w:bCs/>
          <w:sz w:val="24"/>
          <w:szCs w:val="24"/>
          <w:lang w:eastAsia="lv-LV"/>
        </w:rPr>
        <w:t>a</w:t>
      </w:r>
      <w:r w:rsidRPr="00B5103E">
        <w:rPr>
          <w:rFonts w:eastAsia="Times New Roman"/>
          <w:b/>
          <w:bCs/>
          <w:sz w:val="24"/>
          <w:szCs w:val="24"/>
          <w:lang w:eastAsia="lv-LV"/>
        </w:rPr>
        <w:t xml:space="preserve"> "</w:t>
      </w:r>
      <w:r w:rsidR="00D44203" w:rsidRPr="00D44203">
        <w:rPr>
          <w:rFonts w:eastAsia="Times New Roman"/>
          <w:b/>
          <w:bCs/>
          <w:sz w:val="24"/>
          <w:szCs w:val="24"/>
          <w:lang w:eastAsia="lv-LV"/>
        </w:rPr>
        <w:t>Grozījum</w:t>
      </w:r>
      <w:r w:rsidR="007755C1">
        <w:rPr>
          <w:rFonts w:eastAsia="Times New Roman"/>
          <w:b/>
          <w:bCs/>
          <w:sz w:val="24"/>
          <w:szCs w:val="24"/>
          <w:lang w:eastAsia="lv-LV"/>
        </w:rPr>
        <w:t>i</w:t>
      </w:r>
      <w:r w:rsidR="00D44203" w:rsidRPr="00D44203">
        <w:rPr>
          <w:rFonts w:eastAsia="Times New Roman"/>
          <w:b/>
          <w:bCs/>
          <w:sz w:val="24"/>
          <w:szCs w:val="24"/>
          <w:lang w:eastAsia="lv-LV"/>
        </w:rPr>
        <w:t xml:space="preserve"> </w:t>
      </w:r>
      <w:bookmarkStart w:id="0" w:name="_Hlk69803429"/>
      <w:r w:rsidR="00D44203" w:rsidRPr="00D44203">
        <w:rPr>
          <w:rFonts w:eastAsia="Times New Roman"/>
          <w:b/>
          <w:bCs/>
          <w:sz w:val="24"/>
          <w:szCs w:val="24"/>
          <w:lang w:eastAsia="lv-LV"/>
        </w:rPr>
        <w:t>Ministru kabineta 2009. gada 27. oktobra noteikumos Nr. 1250 "Noteikumi par valsts nodevu par īpašuma tiesību un ķīlas tiesību nostiprināšanu zemesgrāmatā"</w:t>
      </w:r>
      <w:bookmarkEnd w:id="0"/>
      <w:r w:rsidRPr="00B5103E">
        <w:rPr>
          <w:rFonts w:eastAsia="Times New Roman"/>
          <w:b/>
          <w:bCs/>
          <w:sz w:val="24"/>
          <w:szCs w:val="24"/>
          <w:lang w:eastAsia="lv-LV"/>
        </w:rPr>
        <w:t>"</w:t>
      </w:r>
      <w:r w:rsidR="0018118E" w:rsidRPr="00B5103E">
        <w:rPr>
          <w:rFonts w:eastAsia="Times New Roman"/>
          <w:b/>
          <w:bCs/>
          <w:sz w:val="22"/>
          <w:szCs w:val="22"/>
          <w:lang w:eastAsia="lv-LV"/>
        </w:rPr>
        <w:t xml:space="preserve"> </w:t>
      </w:r>
      <w:r w:rsidR="0018118E" w:rsidRPr="00B5103E">
        <w:rPr>
          <w:rFonts w:eastAsia="Times New Roman"/>
          <w:b/>
          <w:bCs/>
          <w:sz w:val="24"/>
          <w:szCs w:val="24"/>
          <w:lang w:eastAsia="lv-LV"/>
        </w:rPr>
        <w:t>sākotnējās ietekmes novērtējuma ziņojums (anotācija)</w:t>
      </w:r>
    </w:p>
    <w:p w14:paraId="42AFF49E" w14:textId="4DBF6201" w:rsidR="00A1552F" w:rsidRDefault="00A1552F" w:rsidP="00A978F1">
      <w:pPr>
        <w:spacing w:after="0" w:line="240" w:lineRule="auto"/>
        <w:ind w:firstLine="300"/>
        <w:jc w:val="center"/>
        <w:rPr>
          <w:rFonts w:eastAsia="Times New Roman"/>
          <w:b/>
          <w:bCs/>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2830"/>
        <w:gridCol w:w="6231"/>
      </w:tblGrid>
      <w:tr w:rsidR="00A1552F" w:rsidRPr="002D7166" w14:paraId="70BDCC6E" w14:textId="77777777" w:rsidTr="00A1552F">
        <w:trPr>
          <w:cantSplit/>
        </w:trPr>
        <w:tc>
          <w:tcPr>
            <w:tcW w:w="9061" w:type="dxa"/>
            <w:gridSpan w:val="2"/>
            <w:shd w:val="clear" w:color="auto" w:fill="FFFFFF"/>
            <w:vAlign w:val="center"/>
            <w:hideMark/>
          </w:tcPr>
          <w:p w14:paraId="2E3635E1" w14:textId="77777777" w:rsidR="00A1552F" w:rsidRPr="002D7166" w:rsidRDefault="00A1552F">
            <w:pPr>
              <w:spacing w:after="0" w:line="240" w:lineRule="auto"/>
              <w:ind w:firstLine="300"/>
              <w:jc w:val="center"/>
              <w:rPr>
                <w:rFonts w:ascii="Cambria" w:hAnsi="Cambria"/>
                <w:b/>
                <w:iCs/>
                <w:sz w:val="19"/>
                <w:szCs w:val="19"/>
              </w:rPr>
            </w:pPr>
            <w:r w:rsidRPr="00A1552F">
              <w:rPr>
                <w:rFonts w:eastAsia="Times New Roman"/>
                <w:b/>
                <w:bCs/>
                <w:sz w:val="24"/>
                <w:szCs w:val="24"/>
                <w:lang w:eastAsia="lv-LV"/>
              </w:rPr>
              <w:t>Tiesību akta projekta anotācijas kopsavilkums</w:t>
            </w:r>
          </w:p>
        </w:tc>
      </w:tr>
      <w:tr w:rsidR="00A1552F" w:rsidRPr="002D7166" w14:paraId="47F047DD" w14:textId="77777777" w:rsidTr="00E9181C">
        <w:trPr>
          <w:cantSplit/>
        </w:trPr>
        <w:tc>
          <w:tcPr>
            <w:tcW w:w="2830" w:type="dxa"/>
            <w:shd w:val="clear" w:color="auto" w:fill="FFFFFF"/>
            <w:hideMark/>
          </w:tcPr>
          <w:p w14:paraId="3C58940B" w14:textId="77777777" w:rsidR="00A1552F" w:rsidRPr="00A1552F" w:rsidRDefault="00A1552F" w:rsidP="00C26E82">
            <w:pPr>
              <w:spacing w:after="0" w:line="240" w:lineRule="auto"/>
              <w:rPr>
                <w:rFonts w:eastAsia="Times New Roman"/>
                <w:sz w:val="24"/>
                <w:szCs w:val="24"/>
                <w:lang w:eastAsia="lv-LV"/>
              </w:rPr>
            </w:pPr>
            <w:r w:rsidRPr="00A1552F">
              <w:rPr>
                <w:rFonts w:eastAsia="Times New Roman"/>
                <w:sz w:val="24"/>
                <w:szCs w:val="24"/>
                <w:lang w:eastAsia="lv-LV"/>
              </w:rPr>
              <w:t>Mērķis, risinājums un projekta spēkā stāšanās laiks (500 zīmes bez atstarpēm)</w:t>
            </w:r>
          </w:p>
        </w:tc>
        <w:tc>
          <w:tcPr>
            <w:tcW w:w="6231" w:type="dxa"/>
            <w:shd w:val="clear" w:color="auto" w:fill="FFFFFF"/>
            <w:hideMark/>
          </w:tcPr>
          <w:p w14:paraId="2D343C0B" w14:textId="5FEA6B28" w:rsidR="00A1552F" w:rsidRPr="00A1552F" w:rsidRDefault="0074000E" w:rsidP="00A978F1">
            <w:pPr>
              <w:spacing w:after="0" w:line="240" w:lineRule="auto"/>
              <w:jc w:val="both"/>
              <w:rPr>
                <w:rFonts w:eastAsia="Times New Roman"/>
                <w:sz w:val="24"/>
                <w:szCs w:val="24"/>
                <w:lang w:eastAsia="lv-LV"/>
              </w:rPr>
            </w:pPr>
            <w:r w:rsidRPr="0074000E">
              <w:rPr>
                <w:rFonts w:eastAsia="Times New Roman"/>
                <w:sz w:val="24"/>
                <w:szCs w:val="24"/>
                <w:lang w:eastAsia="lv-LV"/>
              </w:rPr>
              <w:t>Ministru kabineta noteikumu projekts "Grozījum</w:t>
            </w:r>
            <w:r w:rsidR="007755C1">
              <w:rPr>
                <w:rFonts w:eastAsia="Times New Roman"/>
                <w:sz w:val="24"/>
                <w:szCs w:val="24"/>
                <w:lang w:eastAsia="lv-LV"/>
              </w:rPr>
              <w:t>i</w:t>
            </w:r>
            <w:r w:rsidRPr="0074000E">
              <w:rPr>
                <w:rFonts w:eastAsia="Times New Roman"/>
                <w:sz w:val="24"/>
                <w:szCs w:val="24"/>
                <w:lang w:eastAsia="lv-LV"/>
              </w:rPr>
              <w:t xml:space="preserve"> Ministru kabineta 2009. gada 27. oktobra noteikumos Nr. 1250 "Noteikumi par valsts nodevu par īpašuma tiesību un ķīlas tiesību nostiprināšanu zemesgrāmatā"" </w:t>
            </w:r>
            <w:r w:rsidR="00604312">
              <w:rPr>
                <w:rFonts w:eastAsia="Times New Roman"/>
                <w:sz w:val="24"/>
                <w:szCs w:val="24"/>
                <w:lang w:eastAsia="lv-LV"/>
              </w:rPr>
              <w:t xml:space="preserve">(turpmāk – noteikumu projekts) </w:t>
            </w:r>
            <w:r w:rsidR="00D033CD">
              <w:rPr>
                <w:rFonts w:eastAsia="Times New Roman"/>
                <w:sz w:val="24"/>
                <w:szCs w:val="24"/>
                <w:lang w:eastAsia="lv-LV"/>
              </w:rPr>
              <w:t xml:space="preserve">paredz </w:t>
            </w:r>
            <w:r w:rsidR="00604312">
              <w:rPr>
                <w:rFonts w:eastAsia="Times New Roman"/>
                <w:sz w:val="24"/>
                <w:szCs w:val="24"/>
                <w:lang w:eastAsia="lv-LV"/>
              </w:rPr>
              <w:t>ar 2021.</w:t>
            </w:r>
            <w:r w:rsidR="00514371">
              <w:rPr>
                <w:rFonts w:eastAsia="Times New Roman"/>
                <w:sz w:val="24"/>
                <w:szCs w:val="24"/>
                <w:lang w:eastAsia="lv-LV"/>
              </w:rPr>
              <w:t> </w:t>
            </w:r>
            <w:r w:rsidR="00604312">
              <w:rPr>
                <w:rFonts w:eastAsia="Times New Roman"/>
                <w:sz w:val="24"/>
                <w:szCs w:val="24"/>
                <w:lang w:eastAsia="lv-LV"/>
              </w:rPr>
              <w:t>gada 1.</w:t>
            </w:r>
            <w:r w:rsidR="00514371">
              <w:rPr>
                <w:rFonts w:eastAsia="Times New Roman"/>
                <w:sz w:val="24"/>
                <w:szCs w:val="24"/>
                <w:lang w:eastAsia="lv-LV"/>
              </w:rPr>
              <w:t> </w:t>
            </w:r>
            <w:r w:rsidR="00604312">
              <w:rPr>
                <w:rFonts w:eastAsia="Times New Roman"/>
                <w:sz w:val="24"/>
                <w:szCs w:val="24"/>
                <w:lang w:eastAsia="lv-LV"/>
              </w:rPr>
              <w:t xml:space="preserve">jūniju </w:t>
            </w:r>
            <w:r w:rsidR="00FE1816">
              <w:rPr>
                <w:rFonts w:eastAsia="Times New Roman"/>
                <w:sz w:val="24"/>
                <w:szCs w:val="24"/>
                <w:lang w:eastAsia="lv-LV"/>
              </w:rPr>
              <w:t>samazināt</w:t>
            </w:r>
            <w:r w:rsidR="00D033CD">
              <w:rPr>
                <w:rFonts w:eastAsia="Times New Roman"/>
                <w:sz w:val="24"/>
                <w:szCs w:val="24"/>
                <w:lang w:eastAsia="lv-LV"/>
              </w:rPr>
              <w:t xml:space="preserve"> </w:t>
            </w:r>
            <w:r w:rsidR="00272799" w:rsidRPr="00272799">
              <w:rPr>
                <w:rFonts w:eastAsia="Times New Roman"/>
                <w:sz w:val="24"/>
                <w:szCs w:val="24"/>
                <w:lang w:eastAsia="lv-LV"/>
              </w:rPr>
              <w:t xml:space="preserve">valsts nodevu </w:t>
            </w:r>
            <w:r w:rsidR="00604312">
              <w:rPr>
                <w:rFonts w:eastAsia="Times New Roman"/>
                <w:sz w:val="24"/>
                <w:szCs w:val="24"/>
                <w:lang w:eastAsia="lv-LV"/>
              </w:rPr>
              <w:t>procentuālo likmi</w:t>
            </w:r>
            <w:r w:rsidR="00604312" w:rsidRPr="00272799">
              <w:rPr>
                <w:rFonts w:eastAsia="Times New Roman"/>
                <w:sz w:val="24"/>
                <w:szCs w:val="24"/>
                <w:lang w:eastAsia="lv-LV"/>
              </w:rPr>
              <w:t xml:space="preserve"> </w:t>
            </w:r>
            <w:r w:rsidR="00272799" w:rsidRPr="00272799">
              <w:rPr>
                <w:rFonts w:eastAsia="Times New Roman"/>
                <w:sz w:val="24"/>
                <w:szCs w:val="24"/>
                <w:lang w:eastAsia="lv-LV"/>
              </w:rPr>
              <w:t>par īpašum</w:t>
            </w:r>
            <w:r w:rsidR="00316E46">
              <w:rPr>
                <w:rFonts w:eastAsia="Times New Roman"/>
                <w:sz w:val="24"/>
                <w:szCs w:val="24"/>
                <w:lang w:eastAsia="lv-LV"/>
              </w:rPr>
              <w:t xml:space="preserve">a </w:t>
            </w:r>
            <w:r w:rsidR="00272799" w:rsidRPr="00272799">
              <w:rPr>
                <w:rFonts w:eastAsia="Times New Roman"/>
                <w:sz w:val="24"/>
                <w:szCs w:val="24"/>
                <w:lang w:eastAsia="lv-LV"/>
              </w:rPr>
              <w:t>tiesību nostiprināšanu zemesgrāmatā</w:t>
            </w:r>
            <w:r w:rsidR="00604312">
              <w:rPr>
                <w:rFonts w:eastAsia="Times New Roman"/>
                <w:sz w:val="24"/>
                <w:szCs w:val="24"/>
                <w:lang w:eastAsia="lv-LV"/>
              </w:rPr>
              <w:t xml:space="preserve"> noteiktos atsavināšanas gadījumos fiziskām un juridiskām personām.</w:t>
            </w:r>
          </w:p>
        </w:tc>
      </w:tr>
    </w:tbl>
    <w:p w14:paraId="38674108" w14:textId="77777777" w:rsidR="00A1552F" w:rsidRPr="00BC2633" w:rsidRDefault="00A1552F" w:rsidP="00C26E82">
      <w:pPr>
        <w:spacing w:after="0" w:line="240" w:lineRule="auto"/>
        <w:jc w:val="center"/>
        <w:rPr>
          <w:rFonts w:eastAsia="Times New Roman"/>
          <w:b/>
          <w:bCs/>
          <w:sz w:val="24"/>
          <w:szCs w:val="24"/>
          <w:lang w:eastAsia="lv-LV"/>
        </w:rPr>
      </w:pPr>
    </w:p>
    <w:tbl>
      <w:tblPr>
        <w:tblW w:w="5004" w:type="pct"/>
        <w:tblInd w:w="-8"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362"/>
        <w:gridCol w:w="1905"/>
        <w:gridCol w:w="428"/>
        <w:gridCol w:w="569"/>
        <w:gridCol w:w="991"/>
        <w:gridCol w:w="990"/>
        <w:gridCol w:w="854"/>
        <w:gridCol w:w="848"/>
        <w:gridCol w:w="993"/>
        <w:gridCol w:w="1122"/>
      </w:tblGrid>
      <w:tr w:rsidR="00BC2633" w:rsidRPr="00BC2633" w14:paraId="2C53EF84" w14:textId="77777777" w:rsidTr="0059057E">
        <w:trPr>
          <w:trHeight w:val="405"/>
        </w:trPr>
        <w:tc>
          <w:tcPr>
            <w:tcW w:w="5000" w:type="pct"/>
            <w:gridSpan w:val="10"/>
            <w:tcBorders>
              <w:top w:val="outset" w:sz="6" w:space="0" w:color="414142"/>
              <w:left w:val="outset" w:sz="6" w:space="0" w:color="414142"/>
              <w:bottom w:val="outset" w:sz="6" w:space="0" w:color="414142"/>
              <w:right w:val="outset" w:sz="6" w:space="0" w:color="414142"/>
            </w:tcBorders>
            <w:vAlign w:val="center"/>
            <w:hideMark/>
          </w:tcPr>
          <w:p w14:paraId="18B67FDD" w14:textId="77777777" w:rsidR="004D15A9" w:rsidRPr="00BC2633" w:rsidRDefault="004D15A9" w:rsidP="00C26E82">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I. Tiesību akta projekta izstrādes nepieciešamība</w:t>
            </w:r>
          </w:p>
        </w:tc>
      </w:tr>
      <w:tr w:rsidR="00DA326E" w:rsidRPr="00BC2633" w14:paraId="22687615" w14:textId="77777777" w:rsidTr="00B72D55">
        <w:trPr>
          <w:trHeight w:val="405"/>
        </w:trPr>
        <w:tc>
          <w:tcPr>
            <w:tcW w:w="200" w:type="pct"/>
            <w:tcBorders>
              <w:top w:val="outset" w:sz="6" w:space="0" w:color="414142"/>
              <w:left w:val="outset" w:sz="6" w:space="0" w:color="414142"/>
              <w:bottom w:val="outset" w:sz="6" w:space="0" w:color="414142"/>
              <w:right w:val="outset" w:sz="6" w:space="0" w:color="414142"/>
            </w:tcBorders>
            <w:hideMark/>
          </w:tcPr>
          <w:p w14:paraId="2B187791"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1.</w:t>
            </w:r>
          </w:p>
        </w:tc>
        <w:tc>
          <w:tcPr>
            <w:tcW w:w="1287" w:type="pct"/>
            <w:gridSpan w:val="2"/>
            <w:tcBorders>
              <w:top w:val="outset" w:sz="6" w:space="0" w:color="414142"/>
              <w:left w:val="outset" w:sz="6" w:space="0" w:color="414142"/>
              <w:bottom w:val="outset" w:sz="6" w:space="0" w:color="414142"/>
              <w:right w:val="outset" w:sz="6" w:space="0" w:color="414142"/>
            </w:tcBorders>
            <w:hideMark/>
          </w:tcPr>
          <w:p w14:paraId="64AFBCA2"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Pamatojums</w:t>
            </w:r>
          </w:p>
        </w:tc>
        <w:tc>
          <w:tcPr>
            <w:tcW w:w="3513" w:type="pct"/>
            <w:gridSpan w:val="7"/>
            <w:tcBorders>
              <w:top w:val="outset" w:sz="6" w:space="0" w:color="414142"/>
              <w:left w:val="outset" w:sz="6" w:space="0" w:color="414142"/>
              <w:bottom w:val="outset" w:sz="6" w:space="0" w:color="414142"/>
              <w:right w:val="outset" w:sz="6" w:space="0" w:color="414142"/>
            </w:tcBorders>
            <w:hideMark/>
          </w:tcPr>
          <w:p w14:paraId="561068FA" w14:textId="1E1B476C" w:rsidR="00647838" w:rsidRPr="00647838" w:rsidRDefault="00604312" w:rsidP="00647838">
            <w:pPr>
              <w:spacing w:after="0" w:line="240" w:lineRule="auto"/>
              <w:jc w:val="both"/>
              <w:rPr>
                <w:rFonts w:eastAsia="Times New Roman"/>
                <w:sz w:val="24"/>
                <w:szCs w:val="24"/>
                <w:lang w:eastAsia="lv-LV"/>
              </w:rPr>
            </w:pPr>
            <w:r>
              <w:rPr>
                <w:rFonts w:eastAsia="Times New Roman"/>
                <w:sz w:val="24"/>
                <w:szCs w:val="24"/>
                <w:lang w:eastAsia="lv-LV"/>
              </w:rPr>
              <w:t>N</w:t>
            </w:r>
            <w:r w:rsidR="00D322EE" w:rsidRPr="00D322EE">
              <w:rPr>
                <w:rFonts w:eastAsia="Times New Roman"/>
                <w:sz w:val="24"/>
                <w:szCs w:val="24"/>
                <w:lang w:eastAsia="lv-LV"/>
              </w:rPr>
              <w:t>oteikumu projekts</w:t>
            </w:r>
            <w:r w:rsidR="00AA7184" w:rsidRPr="00B5103E">
              <w:rPr>
                <w:rFonts w:eastAsia="Times New Roman"/>
                <w:sz w:val="24"/>
                <w:szCs w:val="24"/>
                <w:lang w:eastAsia="lv-LV"/>
              </w:rPr>
              <w:t xml:space="preserve"> </w:t>
            </w:r>
            <w:r w:rsidR="00AA7184" w:rsidRPr="003F0200">
              <w:rPr>
                <w:rFonts w:eastAsia="Times New Roman"/>
                <w:sz w:val="24"/>
                <w:szCs w:val="24"/>
                <w:lang w:eastAsia="lv-LV"/>
              </w:rPr>
              <w:t>izstrādāts</w:t>
            </w:r>
            <w:r w:rsidR="00AA7184">
              <w:rPr>
                <w:rFonts w:eastAsia="Times New Roman"/>
                <w:sz w:val="24"/>
                <w:szCs w:val="24"/>
                <w:lang w:eastAsia="lv-LV"/>
              </w:rPr>
              <w:t xml:space="preserve"> pēc Tieslietu ministrijas</w:t>
            </w:r>
            <w:r w:rsidR="008A329C">
              <w:rPr>
                <w:rFonts w:eastAsia="Times New Roman"/>
                <w:sz w:val="24"/>
                <w:szCs w:val="24"/>
                <w:lang w:eastAsia="lv-LV"/>
              </w:rPr>
              <w:t xml:space="preserve"> iniciatīvas</w:t>
            </w:r>
            <w:r w:rsidR="007C4F80">
              <w:rPr>
                <w:rFonts w:eastAsia="Times New Roman"/>
                <w:sz w:val="24"/>
                <w:szCs w:val="24"/>
                <w:lang w:eastAsia="lv-LV"/>
              </w:rPr>
              <w:t xml:space="preserve">, ņemot vērā </w:t>
            </w:r>
            <w:r w:rsidR="000E0FB0">
              <w:rPr>
                <w:rFonts w:eastAsia="Times New Roman"/>
                <w:sz w:val="24"/>
                <w:szCs w:val="24"/>
                <w:lang w:eastAsia="lv-LV"/>
              </w:rPr>
              <w:t>likumprojekta "</w:t>
            </w:r>
            <w:r w:rsidR="000E0FB0" w:rsidRPr="000E0FB0">
              <w:rPr>
                <w:rFonts w:eastAsia="Times New Roman"/>
                <w:sz w:val="24"/>
                <w:szCs w:val="24"/>
                <w:lang w:eastAsia="lv-LV"/>
              </w:rPr>
              <w:t>Grozījumi Zemesgrāmatu likumā</w:t>
            </w:r>
            <w:r w:rsidR="000E0FB0">
              <w:rPr>
                <w:rFonts w:eastAsia="Times New Roman"/>
                <w:sz w:val="24"/>
                <w:szCs w:val="24"/>
                <w:lang w:eastAsia="lv-LV"/>
              </w:rPr>
              <w:t>"</w:t>
            </w:r>
            <w:r w:rsidR="000E0FB0" w:rsidRPr="000E0FB0">
              <w:rPr>
                <w:rFonts w:eastAsia="Times New Roman"/>
                <w:sz w:val="24"/>
                <w:szCs w:val="24"/>
                <w:lang w:eastAsia="lv-LV"/>
              </w:rPr>
              <w:t xml:space="preserve"> Nr</w:t>
            </w:r>
            <w:r w:rsidR="000E0FB0">
              <w:rPr>
                <w:rFonts w:eastAsia="Times New Roman"/>
                <w:sz w:val="24"/>
                <w:szCs w:val="24"/>
                <w:lang w:eastAsia="lv-LV"/>
              </w:rPr>
              <w:t>. </w:t>
            </w:r>
            <w:r w:rsidR="000E0FB0" w:rsidRPr="000E0FB0">
              <w:rPr>
                <w:rFonts w:eastAsia="Times New Roman"/>
                <w:sz w:val="24"/>
                <w:szCs w:val="24"/>
                <w:lang w:eastAsia="lv-LV"/>
              </w:rPr>
              <w:t>858/Lp13</w:t>
            </w:r>
            <w:r w:rsidR="000E0FB0">
              <w:rPr>
                <w:rFonts w:eastAsia="Times New Roman"/>
                <w:sz w:val="24"/>
                <w:szCs w:val="24"/>
                <w:lang w:eastAsia="lv-LV"/>
              </w:rPr>
              <w:t xml:space="preserve"> (</w:t>
            </w:r>
            <w:r w:rsidR="0057165A">
              <w:rPr>
                <w:rFonts w:eastAsia="Times New Roman"/>
                <w:sz w:val="24"/>
                <w:szCs w:val="24"/>
                <w:lang w:eastAsia="lv-LV"/>
              </w:rPr>
              <w:t>2021. gada 7. aprīlī pieņemts Saeimā 2. lasījumā</w:t>
            </w:r>
            <w:r w:rsidR="000E0FB0">
              <w:rPr>
                <w:rFonts w:eastAsia="Times New Roman"/>
                <w:sz w:val="24"/>
                <w:szCs w:val="24"/>
                <w:lang w:eastAsia="lv-LV"/>
              </w:rPr>
              <w:t>)</w:t>
            </w:r>
            <w:r w:rsidR="0057165A">
              <w:rPr>
                <w:rFonts w:eastAsia="Times New Roman"/>
                <w:sz w:val="24"/>
                <w:szCs w:val="24"/>
                <w:lang w:eastAsia="lv-LV"/>
              </w:rPr>
              <w:t xml:space="preserve"> </w:t>
            </w:r>
            <w:r w:rsidR="005073A8">
              <w:rPr>
                <w:rFonts w:eastAsia="Times New Roman"/>
                <w:sz w:val="24"/>
                <w:szCs w:val="24"/>
                <w:lang w:eastAsia="lv-LV"/>
              </w:rPr>
              <w:t>6. pantā ietvertā pārejas noteikumu 26. </w:t>
            </w:r>
            <w:r w:rsidR="00647838">
              <w:rPr>
                <w:rFonts w:eastAsia="Times New Roman"/>
                <w:sz w:val="24"/>
                <w:szCs w:val="24"/>
                <w:lang w:eastAsia="lv-LV"/>
              </w:rPr>
              <w:t>un 27. </w:t>
            </w:r>
            <w:r w:rsidR="005073A8">
              <w:rPr>
                <w:rFonts w:eastAsia="Times New Roman"/>
                <w:sz w:val="24"/>
                <w:szCs w:val="24"/>
                <w:lang w:eastAsia="lv-LV"/>
              </w:rPr>
              <w:t>p</w:t>
            </w:r>
            <w:r w:rsidR="003B6A30">
              <w:rPr>
                <w:rFonts w:eastAsia="Times New Roman"/>
                <w:sz w:val="24"/>
                <w:szCs w:val="24"/>
                <w:lang w:eastAsia="lv-LV"/>
              </w:rPr>
              <w:t>unkt</w:t>
            </w:r>
            <w:r w:rsidR="00FE2070">
              <w:rPr>
                <w:rFonts w:eastAsia="Times New Roman"/>
                <w:sz w:val="24"/>
                <w:szCs w:val="24"/>
                <w:lang w:eastAsia="lv-LV"/>
              </w:rPr>
              <w:t xml:space="preserve">ā </w:t>
            </w:r>
            <w:r w:rsidR="00DD3054">
              <w:rPr>
                <w:rFonts w:eastAsia="Times New Roman"/>
                <w:sz w:val="24"/>
                <w:szCs w:val="24"/>
                <w:lang w:eastAsia="lv-LV"/>
              </w:rPr>
              <w:t xml:space="preserve">(turpmāk – likumprojekts) </w:t>
            </w:r>
            <w:r w:rsidR="00FE2070">
              <w:rPr>
                <w:rFonts w:eastAsia="Times New Roman"/>
                <w:sz w:val="24"/>
                <w:szCs w:val="24"/>
                <w:lang w:eastAsia="lv-LV"/>
              </w:rPr>
              <w:t>noteikto</w:t>
            </w:r>
            <w:r w:rsidR="00647838">
              <w:rPr>
                <w:rFonts w:eastAsia="Times New Roman"/>
                <w:sz w:val="24"/>
                <w:szCs w:val="24"/>
                <w:lang w:eastAsia="lv-LV"/>
              </w:rPr>
              <w:t xml:space="preserve">, ka </w:t>
            </w:r>
            <w:r w:rsidR="00647838" w:rsidRPr="00647838">
              <w:rPr>
                <w:rFonts w:eastAsia="Times New Roman"/>
                <w:sz w:val="24"/>
                <w:szCs w:val="24"/>
                <w:lang w:eastAsia="lv-LV"/>
              </w:rPr>
              <w:t>Ministru kabinets šā</w:t>
            </w:r>
            <w:r w:rsidR="00647838">
              <w:rPr>
                <w:rFonts w:eastAsia="Times New Roman"/>
                <w:sz w:val="24"/>
                <w:szCs w:val="24"/>
                <w:lang w:eastAsia="lv-LV"/>
              </w:rPr>
              <w:t xml:space="preserve"> </w:t>
            </w:r>
            <w:r w:rsidR="00647838" w:rsidRPr="00647838">
              <w:rPr>
                <w:rFonts w:eastAsia="Times New Roman"/>
                <w:sz w:val="24"/>
                <w:szCs w:val="24"/>
                <w:lang w:eastAsia="lv-LV"/>
              </w:rPr>
              <w:t>likuma 106.</w:t>
            </w:r>
            <w:r w:rsidR="00B432E8">
              <w:rPr>
                <w:rFonts w:eastAsia="Times New Roman"/>
                <w:sz w:val="24"/>
                <w:szCs w:val="24"/>
                <w:lang w:eastAsia="lv-LV"/>
              </w:rPr>
              <w:t> </w:t>
            </w:r>
            <w:r w:rsidR="00647838" w:rsidRPr="00647838">
              <w:rPr>
                <w:rFonts w:eastAsia="Times New Roman"/>
                <w:sz w:val="24"/>
                <w:szCs w:val="24"/>
                <w:lang w:eastAsia="lv-LV"/>
              </w:rPr>
              <w:t>panta otrajā daļā</w:t>
            </w:r>
            <w:r w:rsidR="00647838">
              <w:rPr>
                <w:rFonts w:eastAsia="Times New Roman"/>
                <w:sz w:val="24"/>
                <w:szCs w:val="24"/>
                <w:lang w:eastAsia="lv-LV"/>
              </w:rPr>
              <w:t xml:space="preserve"> </w:t>
            </w:r>
            <w:r w:rsidR="00647838" w:rsidRPr="00647838">
              <w:rPr>
                <w:rFonts w:eastAsia="Times New Roman"/>
                <w:sz w:val="24"/>
                <w:szCs w:val="24"/>
                <w:lang w:eastAsia="lv-LV"/>
              </w:rPr>
              <w:t>minētajos noteikumos izdara</w:t>
            </w:r>
            <w:r w:rsidR="00647838">
              <w:rPr>
                <w:rFonts w:eastAsia="Times New Roman"/>
                <w:sz w:val="24"/>
                <w:szCs w:val="24"/>
                <w:lang w:eastAsia="lv-LV"/>
              </w:rPr>
              <w:t xml:space="preserve"> </w:t>
            </w:r>
            <w:r w:rsidR="00647838" w:rsidRPr="00647838">
              <w:rPr>
                <w:rFonts w:eastAsia="Times New Roman"/>
                <w:sz w:val="24"/>
                <w:szCs w:val="24"/>
                <w:lang w:eastAsia="lv-LV"/>
              </w:rPr>
              <w:t>grozījumus, atbilstoši kuriem</w:t>
            </w:r>
            <w:r w:rsidR="00647838">
              <w:rPr>
                <w:rFonts w:eastAsia="Times New Roman"/>
                <w:sz w:val="24"/>
                <w:szCs w:val="24"/>
                <w:lang w:eastAsia="lv-LV"/>
              </w:rPr>
              <w:t xml:space="preserve"> </w:t>
            </w:r>
            <w:r w:rsidR="00647838" w:rsidRPr="00647838">
              <w:rPr>
                <w:rFonts w:eastAsia="Times New Roman"/>
                <w:sz w:val="24"/>
                <w:szCs w:val="24"/>
                <w:lang w:eastAsia="lv-LV"/>
              </w:rPr>
              <w:t>valsts nodevu par īpašuma tiesību</w:t>
            </w:r>
            <w:r w:rsidR="00647838">
              <w:rPr>
                <w:rFonts w:eastAsia="Times New Roman"/>
                <w:sz w:val="24"/>
                <w:szCs w:val="24"/>
                <w:lang w:eastAsia="lv-LV"/>
              </w:rPr>
              <w:t xml:space="preserve"> </w:t>
            </w:r>
            <w:r w:rsidR="00647838" w:rsidRPr="00647838">
              <w:rPr>
                <w:rFonts w:eastAsia="Times New Roman"/>
                <w:sz w:val="24"/>
                <w:szCs w:val="24"/>
                <w:lang w:eastAsia="lv-LV"/>
              </w:rPr>
              <w:t>nostiprināšanu zemesgrāmatā par</w:t>
            </w:r>
            <w:r w:rsidR="00647838">
              <w:rPr>
                <w:rFonts w:eastAsia="Times New Roman"/>
                <w:sz w:val="24"/>
                <w:szCs w:val="24"/>
                <w:lang w:eastAsia="lv-LV"/>
              </w:rPr>
              <w:t xml:space="preserve"> </w:t>
            </w:r>
            <w:r w:rsidR="00647838" w:rsidRPr="00647838">
              <w:rPr>
                <w:rFonts w:eastAsia="Times New Roman"/>
                <w:sz w:val="24"/>
                <w:szCs w:val="24"/>
                <w:lang w:eastAsia="lv-LV"/>
              </w:rPr>
              <w:t>katru nekustamo īpašumu nosaka</w:t>
            </w:r>
            <w:r w:rsidR="00647838">
              <w:rPr>
                <w:rFonts w:eastAsia="Times New Roman"/>
                <w:sz w:val="24"/>
                <w:szCs w:val="24"/>
                <w:lang w:eastAsia="lv-LV"/>
              </w:rPr>
              <w:t xml:space="preserve"> </w:t>
            </w:r>
            <w:r w:rsidR="00647838" w:rsidRPr="00647838">
              <w:rPr>
                <w:rFonts w:eastAsia="Times New Roman"/>
                <w:sz w:val="24"/>
                <w:szCs w:val="24"/>
                <w:lang w:eastAsia="lv-LV"/>
              </w:rPr>
              <w:t>šādā apmērā:</w:t>
            </w:r>
          </w:p>
          <w:p w14:paraId="0511E17B" w14:textId="5B52C500" w:rsidR="00B432E8" w:rsidRDefault="00647838" w:rsidP="00647838">
            <w:pPr>
              <w:spacing w:after="0" w:line="240" w:lineRule="auto"/>
              <w:jc w:val="both"/>
              <w:rPr>
                <w:rFonts w:eastAsia="Times New Roman"/>
                <w:sz w:val="24"/>
                <w:szCs w:val="24"/>
                <w:lang w:eastAsia="lv-LV"/>
              </w:rPr>
            </w:pPr>
            <w:r w:rsidRPr="00647838">
              <w:rPr>
                <w:rFonts w:eastAsia="Times New Roman"/>
                <w:sz w:val="24"/>
                <w:szCs w:val="24"/>
                <w:lang w:eastAsia="lv-LV"/>
              </w:rPr>
              <w:t>1)</w:t>
            </w:r>
            <w:r w:rsidR="00FD5E36">
              <w:rPr>
                <w:rFonts w:eastAsia="Times New Roman"/>
                <w:sz w:val="24"/>
                <w:szCs w:val="24"/>
                <w:lang w:eastAsia="lv-LV"/>
              </w:rPr>
              <w:t> </w:t>
            </w:r>
            <w:r w:rsidRPr="00647838">
              <w:rPr>
                <w:rFonts w:eastAsia="Times New Roman"/>
                <w:sz w:val="24"/>
                <w:szCs w:val="24"/>
                <w:lang w:eastAsia="lv-LV"/>
              </w:rPr>
              <w:t>zemes īpašuma vai zemes</w:t>
            </w:r>
            <w:r>
              <w:rPr>
                <w:rFonts w:eastAsia="Times New Roman"/>
                <w:sz w:val="24"/>
                <w:szCs w:val="24"/>
                <w:lang w:eastAsia="lv-LV"/>
              </w:rPr>
              <w:t xml:space="preserve"> </w:t>
            </w:r>
            <w:r w:rsidRPr="00647838">
              <w:rPr>
                <w:rFonts w:eastAsia="Times New Roman"/>
                <w:sz w:val="24"/>
                <w:szCs w:val="24"/>
                <w:lang w:eastAsia="lv-LV"/>
              </w:rPr>
              <w:t>un būvju īpašuma, vai būvju</w:t>
            </w:r>
            <w:r>
              <w:rPr>
                <w:rFonts w:eastAsia="Times New Roman"/>
                <w:sz w:val="24"/>
                <w:szCs w:val="24"/>
                <w:lang w:eastAsia="lv-LV"/>
              </w:rPr>
              <w:t xml:space="preserve"> </w:t>
            </w:r>
            <w:r w:rsidRPr="00647838">
              <w:rPr>
                <w:rFonts w:eastAsia="Times New Roman"/>
                <w:sz w:val="24"/>
                <w:szCs w:val="24"/>
                <w:lang w:eastAsia="lv-LV"/>
              </w:rPr>
              <w:t>īpašuma, kura sastāvā ietilpst</w:t>
            </w:r>
            <w:r>
              <w:rPr>
                <w:rFonts w:eastAsia="Times New Roman"/>
                <w:sz w:val="24"/>
                <w:szCs w:val="24"/>
                <w:lang w:eastAsia="lv-LV"/>
              </w:rPr>
              <w:t xml:space="preserve"> </w:t>
            </w:r>
            <w:r w:rsidRPr="00647838">
              <w:rPr>
                <w:rFonts w:eastAsia="Times New Roman"/>
                <w:sz w:val="24"/>
                <w:szCs w:val="24"/>
                <w:lang w:eastAsia="lv-LV"/>
              </w:rPr>
              <w:t>dzīvojamā māja (tajā skaitā ar to</w:t>
            </w:r>
            <w:r>
              <w:rPr>
                <w:rFonts w:eastAsia="Times New Roman"/>
                <w:sz w:val="24"/>
                <w:szCs w:val="24"/>
                <w:lang w:eastAsia="lv-LV"/>
              </w:rPr>
              <w:t xml:space="preserve"> </w:t>
            </w:r>
            <w:r w:rsidRPr="00647838">
              <w:rPr>
                <w:rFonts w:eastAsia="Times New Roman"/>
                <w:sz w:val="24"/>
                <w:szCs w:val="24"/>
                <w:lang w:eastAsia="lv-LV"/>
              </w:rPr>
              <w:t>funkcionāli saistītās ēkas un</w:t>
            </w:r>
            <w:r>
              <w:rPr>
                <w:rFonts w:eastAsia="Times New Roman"/>
                <w:sz w:val="24"/>
                <w:szCs w:val="24"/>
                <w:lang w:eastAsia="lv-LV"/>
              </w:rPr>
              <w:t xml:space="preserve"> </w:t>
            </w:r>
            <w:r w:rsidRPr="00647838">
              <w:rPr>
                <w:rFonts w:eastAsia="Times New Roman"/>
                <w:sz w:val="24"/>
                <w:szCs w:val="24"/>
                <w:lang w:eastAsia="lv-LV"/>
              </w:rPr>
              <w:t>būves), atsavināšana fiziskajai</w:t>
            </w:r>
            <w:r>
              <w:rPr>
                <w:rFonts w:eastAsia="Times New Roman"/>
                <w:sz w:val="24"/>
                <w:szCs w:val="24"/>
                <w:lang w:eastAsia="lv-LV"/>
              </w:rPr>
              <w:t xml:space="preserve"> </w:t>
            </w:r>
            <w:r w:rsidRPr="00647838">
              <w:rPr>
                <w:rFonts w:eastAsia="Times New Roman"/>
                <w:sz w:val="24"/>
                <w:szCs w:val="24"/>
                <w:lang w:eastAsia="lv-LV"/>
              </w:rPr>
              <w:t>personai uz līguma pamata vai</w:t>
            </w:r>
            <w:r>
              <w:rPr>
                <w:rFonts w:eastAsia="Times New Roman"/>
                <w:sz w:val="24"/>
                <w:szCs w:val="24"/>
                <w:lang w:eastAsia="lv-LV"/>
              </w:rPr>
              <w:t xml:space="preserve"> </w:t>
            </w:r>
            <w:r w:rsidRPr="00647838">
              <w:rPr>
                <w:rFonts w:eastAsia="Times New Roman"/>
                <w:sz w:val="24"/>
                <w:szCs w:val="24"/>
                <w:lang w:eastAsia="lv-LV"/>
              </w:rPr>
              <w:t>pamatojoties uz tiesas lēmumu par</w:t>
            </w:r>
            <w:r>
              <w:rPr>
                <w:rFonts w:eastAsia="Times New Roman"/>
                <w:sz w:val="24"/>
                <w:szCs w:val="24"/>
                <w:lang w:eastAsia="lv-LV"/>
              </w:rPr>
              <w:t xml:space="preserve"> </w:t>
            </w:r>
            <w:r w:rsidRPr="00647838">
              <w:rPr>
                <w:rFonts w:eastAsia="Times New Roman"/>
                <w:sz w:val="24"/>
                <w:szCs w:val="24"/>
                <w:lang w:eastAsia="lv-LV"/>
              </w:rPr>
              <w:t>izsoles akta apstiprināšanu vai uz</w:t>
            </w:r>
            <w:r>
              <w:rPr>
                <w:rFonts w:eastAsia="Times New Roman"/>
                <w:sz w:val="24"/>
                <w:szCs w:val="24"/>
                <w:lang w:eastAsia="lv-LV"/>
              </w:rPr>
              <w:t xml:space="preserve"> </w:t>
            </w:r>
            <w:r w:rsidRPr="00647838">
              <w:rPr>
                <w:rFonts w:eastAsia="Times New Roman"/>
                <w:sz w:val="24"/>
                <w:szCs w:val="24"/>
                <w:lang w:eastAsia="lv-LV"/>
              </w:rPr>
              <w:t>tiesas lēmumu par nekustamā</w:t>
            </w:r>
            <w:r>
              <w:rPr>
                <w:rFonts w:eastAsia="Times New Roman"/>
                <w:sz w:val="24"/>
                <w:szCs w:val="24"/>
                <w:lang w:eastAsia="lv-LV"/>
              </w:rPr>
              <w:t xml:space="preserve"> </w:t>
            </w:r>
            <w:r w:rsidRPr="00647838">
              <w:rPr>
                <w:rFonts w:eastAsia="Times New Roman"/>
                <w:sz w:val="24"/>
                <w:szCs w:val="24"/>
                <w:lang w:eastAsia="lv-LV"/>
              </w:rPr>
              <w:t>īpašuma nostiprināšanu</w:t>
            </w:r>
            <w:r>
              <w:rPr>
                <w:rFonts w:eastAsia="Times New Roman"/>
                <w:sz w:val="24"/>
                <w:szCs w:val="24"/>
                <w:lang w:eastAsia="lv-LV"/>
              </w:rPr>
              <w:t xml:space="preserve"> </w:t>
            </w:r>
            <w:r w:rsidRPr="00647838">
              <w:rPr>
                <w:rFonts w:eastAsia="Times New Roman"/>
                <w:sz w:val="24"/>
                <w:szCs w:val="24"/>
                <w:lang w:eastAsia="lv-LV"/>
              </w:rPr>
              <w:t>nosolītājam, līdzīpašniekam vai</w:t>
            </w:r>
            <w:r>
              <w:rPr>
                <w:rFonts w:eastAsia="Times New Roman"/>
                <w:sz w:val="24"/>
                <w:szCs w:val="24"/>
                <w:lang w:eastAsia="lv-LV"/>
              </w:rPr>
              <w:t xml:space="preserve"> </w:t>
            </w:r>
            <w:r w:rsidRPr="00647838">
              <w:rPr>
                <w:rFonts w:eastAsia="Times New Roman"/>
                <w:sz w:val="24"/>
                <w:szCs w:val="24"/>
                <w:lang w:eastAsia="lv-LV"/>
              </w:rPr>
              <w:t>kreditoram, — 1,5</w:t>
            </w:r>
            <w:r w:rsidR="00FD5E36">
              <w:rPr>
                <w:rFonts w:eastAsia="Times New Roman"/>
                <w:sz w:val="24"/>
                <w:szCs w:val="24"/>
                <w:lang w:eastAsia="lv-LV"/>
              </w:rPr>
              <w:t> </w:t>
            </w:r>
            <w:r w:rsidRPr="00647838">
              <w:rPr>
                <w:rFonts w:eastAsia="Times New Roman"/>
                <w:sz w:val="24"/>
                <w:szCs w:val="24"/>
                <w:lang w:eastAsia="lv-LV"/>
              </w:rPr>
              <w:t>procenti no</w:t>
            </w:r>
            <w:r>
              <w:rPr>
                <w:rFonts w:eastAsia="Times New Roman"/>
                <w:sz w:val="24"/>
                <w:szCs w:val="24"/>
                <w:lang w:eastAsia="lv-LV"/>
              </w:rPr>
              <w:t xml:space="preserve"> </w:t>
            </w:r>
            <w:r w:rsidRPr="00647838">
              <w:rPr>
                <w:rFonts w:eastAsia="Times New Roman"/>
                <w:sz w:val="24"/>
                <w:szCs w:val="24"/>
                <w:lang w:eastAsia="lv-LV"/>
              </w:rPr>
              <w:t>nekustamā īpašuma vērtības</w:t>
            </w:r>
            <w:r>
              <w:rPr>
                <w:rFonts w:eastAsia="Times New Roman"/>
                <w:sz w:val="24"/>
                <w:szCs w:val="24"/>
                <w:lang w:eastAsia="lv-LV"/>
              </w:rPr>
              <w:t xml:space="preserve"> </w:t>
            </w:r>
            <w:r w:rsidRPr="00647838">
              <w:rPr>
                <w:rFonts w:eastAsia="Times New Roman"/>
                <w:sz w:val="24"/>
                <w:szCs w:val="24"/>
                <w:lang w:eastAsia="lv-LV"/>
              </w:rPr>
              <w:t>(euro);</w:t>
            </w:r>
            <w:r>
              <w:rPr>
                <w:rFonts w:eastAsia="Times New Roman"/>
                <w:sz w:val="24"/>
                <w:szCs w:val="24"/>
                <w:lang w:eastAsia="lv-LV"/>
              </w:rPr>
              <w:t xml:space="preserve"> </w:t>
            </w:r>
          </w:p>
          <w:p w14:paraId="263F976C" w14:textId="0CC1C9D7" w:rsidR="00647838" w:rsidRPr="00647838" w:rsidRDefault="00647838" w:rsidP="00647838">
            <w:pPr>
              <w:spacing w:after="0" w:line="240" w:lineRule="auto"/>
              <w:jc w:val="both"/>
              <w:rPr>
                <w:rFonts w:eastAsia="Times New Roman"/>
                <w:sz w:val="24"/>
                <w:szCs w:val="24"/>
                <w:lang w:eastAsia="lv-LV"/>
              </w:rPr>
            </w:pPr>
            <w:r w:rsidRPr="00647838">
              <w:rPr>
                <w:rFonts w:eastAsia="Times New Roman"/>
                <w:sz w:val="24"/>
                <w:szCs w:val="24"/>
                <w:lang w:eastAsia="lv-LV"/>
              </w:rPr>
              <w:t>2)</w:t>
            </w:r>
            <w:r w:rsidR="00FD5E36">
              <w:rPr>
                <w:rFonts w:eastAsia="Times New Roman"/>
                <w:sz w:val="24"/>
                <w:szCs w:val="24"/>
                <w:lang w:eastAsia="lv-LV"/>
              </w:rPr>
              <w:t> </w:t>
            </w:r>
            <w:r w:rsidRPr="00647838">
              <w:rPr>
                <w:rFonts w:eastAsia="Times New Roman"/>
                <w:sz w:val="24"/>
                <w:szCs w:val="24"/>
                <w:lang w:eastAsia="lv-LV"/>
              </w:rPr>
              <w:t>zemes un būvju īpašuma</w:t>
            </w:r>
            <w:r>
              <w:rPr>
                <w:rFonts w:eastAsia="Times New Roman"/>
                <w:sz w:val="24"/>
                <w:szCs w:val="24"/>
                <w:lang w:eastAsia="lv-LV"/>
              </w:rPr>
              <w:t xml:space="preserve"> </w:t>
            </w:r>
            <w:r w:rsidRPr="00647838">
              <w:rPr>
                <w:rFonts w:eastAsia="Times New Roman"/>
                <w:sz w:val="24"/>
                <w:szCs w:val="24"/>
                <w:lang w:eastAsia="lv-LV"/>
              </w:rPr>
              <w:t>vai būvju īpašuma, kura sastāvā</w:t>
            </w:r>
            <w:r>
              <w:rPr>
                <w:rFonts w:eastAsia="Times New Roman"/>
                <w:sz w:val="24"/>
                <w:szCs w:val="24"/>
                <w:lang w:eastAsia="lv-LV"/>
              </w:rPr>
              <w:t xml:space="preserve"> </w:t>
            </w:r>
            <w:r w:rsidRPr="00647838">
              <w:rPr>
                <w:rFonts w:eastAsia="Times New Roman"/>
                <w:sz w:val="24"/>
                <w:szCs w:val="24"/>
                <w:lang w:eastAsia="lv-LV"/>
              </w:rPr>
              <w:t>ietilpst tikai nedzīvojamā ēka vai</w:t>
            </w:r>
            <w:r>
              <w:rPr>
                <w:rFonts w:eastAsia="Times New Roman"/>
                <w:sz w:val="24"/>
                <w:szCs w:val="24"/>
                <w:lang w:eastAsia="lv-LV"/>
              </w:rPr>
              <w:t xml:space="preserve"> </w:t>
            </w:r>
            <w:r w:rsidRPr="00647838">
              <w:rPr>
                <w:rFonts w:eastAsia="Times New Roman"/>
                <w:sz w:val="24"/>
                <w:szCs w:val="24"/>
                <w:lang w:eastAsia="lv-LV"/>
              </w:rPr>
              <w:t>nedzīvojamās ēkas un ar tām</w:t>
            </w:r>
            <w:r>
              <w:rPr>
                <w:rFonts w:eastAsia="Times New Roman"/>
                <w:sz w:val="24"/>
                <w:szCs w:val="24"/>
                <w:lang w:eastAsia="lv-LV"/>
              </w:rPr>
              <w:t xml:space="preserve"> </w:t>
            </w:r>
            <w:r w:rsidRPr="00647838">
              <w:rPr>
                <w:rFonts w:eastAsia="Times New Roman"/>
                <w:sz w:val="24"/>
                <w:szCs w:val="24"/>
                <w:lang w:eastAsia="lv-LV"/>
              </w:rPr>
              <w:t>saistītās inženierbūves,</w:t>
            </w:r>
            <w:r>
              <w:rPr>
                <w:rFonts w:eastAsia="Times New Roman"/>
                <w:sz w:val="24"/>
                <w:szCs w:val="24"/>
                <w:lang w:eastAsia="lv-LV"/>
              </w:rPr>
              <w:t xml:space="preserve"> </w:t>
            </w:r>
            <w:r w:rsidRPr="00647838">
              <w:rPr>
                <w:rFonts w:eastAsia="Times New Roman"/>
                <w:sz w:val="24"/>
                <w:szCs w:val="24"/>
                <w:lang w:eastAsia="lv-LV"/>
              </w:rPr>
              <w:t>atsavināšana fiziskajai personai uz</w:t>
            </w:r>
            <w:r>
              <w:rPr>
                <w:rFonts w:eastAsia="Times New Roman"/>
                <w:sz w:val="24"/>
                <w:szCs w:val="24"/>
                <w:lang w:eastAsia="lv-LV"/>
              </w:rPr>
              <w:t xml:space="preserve"> </w:t>
            </w:r>
            <w:r w:rsidRPr="00647838">
              <w:rPr>
                <w:rFonts w:eastAsia="Times New Roman"/>
                <w:sz w:val="24"/>
                <w:szCs w:val="24"/>
                <w:lang w:eastAsia="lv-LV"/>
              </w:rPr>
              <w:t>līguma pamata vai pamatojoties uz</w:t>
            </w:r>
            <w:r>
              <w:rPr>
                <w:rFonts w:eastAsia="Times New Roman"/>
                <w:sz w:val="24"/>
                <w:szCs w:val="24"/>
                <w:lang w:eastAsia="lv-LV"/>
              </w:rPr>
              <w:t xml:space="preserve"> </w:t>
            </w:r>
            <w:r w:rsidRPr="00647838">
              <w:rPr>
                <w:rFonts w:eastAsia="Times New Roman"/>
                <w:sz w:val="24"/>
                <w:szCs w:val="24"/>
                <w:lang w:eastAsia="lv-LV"/>
              </w:rPr>
              <w:t>tiesas lēmumu par izsoles akta</w:t>
            </w:r>
            <w:r>
              <w:rPr>
                <w:rFonts w:eastAsia="Times New Roman"/>
                <w:sz w:val="24"/>
                <w:szCs w:val="24"/>
                <w:lang w:eastAsia="lv-LV"/>
              </w:rPr>
              <w:t xml:space="preserve"> </w:t>
            </w:r>
            <w:r w:rsidRPr="00647838">
              <w:rPr>
                <w:rFonts w:eastAsia="Times New Roman"/>
                <w:sz w:val="24"/>
                <w:szCs w:val="24"/>
                <w:lang w:eastAsia="lv-LV"/>
              </w:rPr>
              <w:t>apstiprināšanu vai uz tiesas</w:t>
            </w:r>
            <w:r>
              <w:rPr>
                <w:rFonts w:eastAsia="Times New Roman"/>
                <w:sz w:val="24"/>
                <w:szCs w:val="24"/>
                <w:lang w:eastAsia="lv-LV"/>
              </w:rPr>
              <w:t xml:space="preserve"> </w:t>
            </w:r>
            <w:r w:rsidRPr="00647838">
              <w:rPr>
                <w:rFonts w:eastAsia="Times New Roman"/>
                <w:sz w:val="24"/>
                <w:szCs w:val="24"/>
                <w:lang w:eastAsia="lv-LV"/>
              </w:rPr>
              <w:t>lēmumu par nekustamā īpašuma</w:t>
            </w:r>
            <w:r>
              <w:rPr>
                <w:rFonts w:eastAsia="Times New Roman"/>
                <w:sz w:val="24"/>
                <w:szCs w:val="24"/>
                <w:lang w:eastAsia="lv-LV"/>
              </w:rPr>
              <w:t xml:space="preserve"> </w:t>
            </w:r>
            <w:r w:rsidRPr="00647838">
              <w:rPr>
                <w:rFonts w:eastAsia="Times New Roman"/>
                <w:sz w:val="24"/>
                <w:szCs w:val="24"/>
                <w:lang w:eastAsia="lv-LV"/>
              </w:rPr>
              <w:t>nostiprināšanu nosolītājam,</w:t>
            </w:r>
            <w:r>
              <w:rPr>
                <w:rFonts w:eastAsia="Times New Roman"/>
                <w:sz w:val="24"/>
                <w:szCs w:val="24"/>
                <w:lang w:eastAsia="lv-LV"/>
              </w:rPr>
              <w:t xml:space="preserve"> </w:t>
            </w:r>
            <w:r w:rsidRPr="00647838">
              <w:rPr>
                <w:rFonts w:eastAsia="Times New Roman"/>
                <w:sz w:val="24"/>
                <w:szCs w:val="24"/>
                <w:lang w:eastAsia="lv-LV"/>
              </w:rPr>
              <w:t>līdzīpašniekam vai kreditoram, —</w:t>
            </w:r>
            <w:r w:rsidR="00B432E8">
              <w:rPr>
                <w:rFonts w:eastAsia="Times New Roman"/>
                <w:sz w:val="24"/>
                <w:szCs w:val="24"/>
                <w:lang w:eastAsia="lv-LV"/>
              </w:rPr>
              <w:t xml:space="preserve"> </w:t>
            </w:r>
            <w:r w:rsidRPr="00647838">
              <w:rPr>
                <w:rFonts w:eastAsia="Times New Roman"/>
                <w:sz w:val="24"/>
                <w:szCs w:val="24"/>
                <w:lang w:eastAsia="lv-LV"/>
              </w:rPr>
              <w:t>1,5</w:t>
            </w:r>
            <w:r w:rsidR="00FD5E36">
              <w:rPr>
                <w:rFonts w:eastAsia="Times New Roman"/>
                <w:sz w:val="24"/>
                <w:szCs w:val="24"/>
                <w:lang w:eastAsia="lv-LV"/>
              </w:rPr>
              <w:t> </w:t>
            </w:r>
            <w:r w:rsidRPr="00647838">
              <w:rPr>
                <w:rFonts w:eastAsia="Times New Roman"/>
                <w:sz w:val="24"/>
                <w:szCs w:val="24"/>
                <w:lang w:eastAsia="lv-LV"/>
              </w:rPr>
              <w:t>procenti no nekustamā īpašuma</w:t>
            </w:r>
            <w:r w:rsidR="00B432E8">
              <w:rPr>
                <w:rFonts w:eastAsia="Times New Roman"/>
                <w:sz w:val="24"/>
                <w:szCs w:val="24"/>
                <w:lang w:eastAsia="lv-LV"/>
              </w:rPr>
              <w:t xml:space="preserve"> </w:t>
            </w:r>
            <w:r w:rsidRPr="00647838">
              <w:rPr>
                <w:rFonts w:eastAsia="Times New Roman"/>
                <w:sz w:val="24"/>
                <w:szCs w:val="24"/>
                <w:lang w:eastAsia="lv-LV"/>
              </w:rPr>
              <w:t>vērtības (euro);</w:t>
            </w:r>
          </w:p>
          <w:p w14:paraId="212108A5" w14:textId="32A00D44" w:rsidR="00647838" w:rsidRPr="00647838" w:rsidRDefault="00647838" w:rsidP="00647838">
            <w:pPr>
              <w:spacing w:after="0" w:line="240" w:lineRule="auto"/>
              <w:jc w:val="both"/>
              <w:rPr>
                <w:rFonts w:eastAsia="Times New Roman"/>
                <w:sz w:val="24"/>
                <w:szCs w:val="24"/>
                <w:lang w:eastAsia="lv-LV"/>
              </w:rPr>
            </w:pPr>
            <w:r w:rsidRPr="00647838">
              <w:rPr>
                <w:rFonts w:eastAsia="Times New Roman"/>
                <w:sz w:val="24"/>
                <w:szCs w:val="24"/>
                <w:lang w:eastAsia="lv-LV"/>
              </w:rPr>
              <w:t>3)</w:t>
            </w:r>
            <w:r w:rsidR="00FD5E36">
              <w:rPr>
                <w:rFonts w:eastAsia="Times New Roman"/>
                <w:sz w:val="24"/>
                <w:szCs w:val="24"/>
                <w:lang w:eastAsia="lv-LV"/>
              </w:rPr>
              <w:t> </w:t>
            </w:r>
            <w:r w:rsidRPr="00647838">
              <w:rPr>
                <w:rFonts w:eastAsia="Times New Roman"/>
                <w:sz w:val="24"/>
                <w:szCs w:val="24"/>
                <w:lang w:eastAsia="lv-LV"/>
              </w:rPr>
              <w:t>dzīvokļa īpašuma</w:t>
            </w:r>
            <w:r w:rsidR="00B432E8">
              <w:rPr>
                <w:rFonts w:eastAsia="Times New Roman"/>
                <w:sz w:val="24"/>
                <w:szCs w:val="24"/>
                <w:lang w:eastAsia="lv-LV"/>
              </w:rPr>
              <w:t xml:space="preserve"> </w:t>
            </w:r>
            <w:r w:rsidRPr="00647838">
              <w:rPr>
                <w:rFonts w:eastAsia="Times New Roman"/>
                <w:sz w:val="24"/>
                <w:szCs w:val="24"/>
                <w:lang w:eastAsia="lv-LV"/>
              </w:rPr>
              <w:t>atsavināšana juridiskajai personai,</w:t>
            </w:r>
            <w:r w:rsidR="00B432E8">
              <w:rPr>
                <w:rFonts w:eastAsia="Times New Roman"/>
                <w:sz w:val="24"/>
                <w:szCs w:val="24"/>
                <w:lang w:eastAsia="lv-LV"/>
              </w:rPr>
              <w:t xml:space="preserve"> </w:t>
            </w:r>
            <w:r w:rsidRPr="00647838">
              <w:rPr>
                <w:rFonts w:eastAsia="Times New Roman"/>
                <w:sz w:val="24"/>
                <w:szCs w:val="24"/>
                <w:lang w:eastAsia="lv-LV"/>
              </w:rPr>
              <w:t>kas veic komercdarbību, uz līguma</w:t>
            </w:r>
            <w:r w:rsidR="00B432E8">
              <w:rPr>
                <w:rFonts w:eastAsia="Times New Roman"/>
                <w:sz w:val="24"/>
                <w:szCs w:val="24"/>
                <w:lang w:eastAsia="lv-LV"/>
              </w:rPr>
              <w:t xml:space="preserve"> </w:t>
            </w:r>
            <w:r w:rsidRPr="00647838">
              <w:rPr>
                <w:rFonts w:eastAsia="Times New Roman"/>
                <w:sz w:val="24"/>
                <w:szCs w:val="24"/>
                <w:lang w:eastAsia="lv-LV"/>
              </w:rPr>
              <w:t>pamata vai pamatojoties uz tiesas</w:t>
            </w:r>
            <w:r w:rsidR="00B432E8">
              <w:rPr>
                <w:rFonts w:eastAsia="Times New Roman"/>
                <w:sz w:val="24"/>
                <w:szCs w:val="24"/>
                <w:lang w:eastAsia="lv-LV"/>
              </w:rPr>
              <w:t xml:space="preserve"> </w:t>
            </w:r>
            <w:r w:rsidRPr="00647838">
              <w:rPr>
                <w:rFonts w:eastAsia="Times New Roman"/>
                <w:sz w:val="24"/>
                <w:szCs w:val="24"/>
                <w:lang w:eastAsia="lv-LV"/>
              </w:rPr>
              <w:t>lēmumu par izsoles akta</w:t>
            </w:r>
            <w:r w:rsidR="00B432E8">
              <w:rPr>
                <w:rFonts w:eastAsia="Times New Roman"/>
                <w:sz w:val="24"/>
                <w:szCs w:val="24"/>
                <w:lang w:eastAsia="lv-LV"/>
              </w:rPr>
              <w:t xml:space="preserve"> </w:t>
            </w:r>
            <w:r w:rsidRPr="00647838">
              <w:rPr>
                <w:rFonts w:eastAsia="Times New Roman"/>
                <w:sz w:val="24"/>
                <w:szCs w:val="24"/>
                <w:lang w:eastAsia="lv-LV"/>
              </w:rPr>
              <w:t>apstiprināšanu vai uz tiesas</w:t>
            </w:r>
            <w:r w:rsidR="00B432E8">
              <w:rPr>
                <w:rFonts w:eastAsia="Times New Roman"/>
                <w:sz w:val="24"/>
                <w:szCs w:val="24"/>
                <w:lang w:eastAsia="lv-LV"/>
              </w:rPr>
              <w:t xml:space="preserve"> </w:t>
            </w:r>
            <w:r w:rsidRPr="00647838">
              <w:rPr>
                <w:rFonts w:eastAsia="Times New Roman"/>
                <w:sz w:val="24"/>
                <w:szCs w:val="24"/>
                <w:lang w:eastAsia="lv-LV"/>
              </w:rPr>
              <w:t>lēmumu par nekustamā īpašuma</w:t>
            </w:r>
            <w:r w:rsidR="00B432E8">
              <w:rPr>
                <w:rFonts w:eastAsia="Times New Roman"/>
                <w:sz w:val="24"/>
                <w:szCs w:val="24"/>
                <w:lang w:eastAsia="lv-LV"/>
              </w:rPr>
              <w:t xml:space="preserve"> </w:t>
            </w:r>
            <w:r w:rsidRPr="00647838">
              <w:rPr>
                <w:rFonts w:eastAsia="Times New Roman"/>
                <w:sz w:val="24"/>
                <w:szCs w:val="24"/>
                <w:lang w:eastAsia="lv-LV"/>
              </w:rPr>
              <w:t>nostiprināšanu nosolītājam,</w:t>
            </w:r>
            <w:r w:rsidR="00B432E8">
              <w:rPr>
                <w:rFonts w:eastAsia="Times New Roman"/>
                <w:sz w:val="24"/>
                <w:szCs w:val="24"/>
                <w:lang w:eastAsia="lv-LV"/>
              </w:rPr>
              <w:t xml:space="preserve"> </w:t>
            </w:r>
            <w:r w:rsidRPr="00647838">
              <w:rPr>
                <w:rFonts w:eastAsia="Times New Roman"/>
                <w:sz w:val="24"/>
                <w:szCs w:val="24"/>
                <w:lang w:eastAsia="lv-LV"/>
              </w:rPr>
              <w:t>līdzīpašniekam vai kreditoram, —</w:t>
            </w:r>
            <w:r w:rsidR="00B432E8">
              <w:rPr>
                <w:rFonts w:eastAsia="Times New Roman"/>
                <w:sz w:val="24"/>
                <w:szCs w:val="24"/>
                <w:lang w:eastAsia="lv-LV"/>
              </w:rPr>
              <w:t xml:space="preserve"> </w:t>
            </w:r>
            <w:r w:rsidRPr="00647838">
              <w:rPr>
                <w:rFonts w:eastAsia="Times New Roman"/>
                <w:sz w:val="24"/>
                <w:szCs w:val="24"/>
                <w:lang w:eastAsia="lv-LV"/>
              </w:rPr>
              <w:t>divi procenti no dzīvokļa īpašuma</w:t>
            </w:r>
            <w:r w:rsidR="00B432E8">
              <w:rPr>
                <w:rFonts w:eastAsia="Times New Roman"/>
                <w:sz w:val="24"/>
                <w:szCs w:val="24"/>
                <w:lang w:eastAsia="lv-LV"/>
              </w:rPr>
              <w:t xml:space="preserve"> </w:t>
            </w:r>
            <w:r w:rsidRPr="00647838">
              <w:rPr>
                <w:rFonts w:eastAsia="Times New Roman"/>
                <w:sz w:val="24"/>
                <w:szCs w:val="24"/>
                <w:lang w:eastAsia="lv-LV"/>
              </w:rPr>
              <w:t>vērtības (euro).</w:t>
            </w:r>
          </w:p>
          <w:p w14:paraId="0A3EB312" w14:textId="07C41311" w:rsidR="004D15A9" w:rsidRPr="00BC2633" w:rsidRDefault="00647838" w:rsidP="00B432E8">
            <w:pPr>
              <w:spacing w:after="0" w:line="240" w:lineRule="auto"/>
              <w:jc w:val="both"/>
              <w:rPr>
                <w:rFonts w:eastAsia="Times New Roman"/>
                <w:sz w:val="24"/>
                <w:szCs w:val="24"/>
                <w:lang w:eastAsia="lv-LV"/>
              </w:rPr>
            </w:pPr>
            <w:r w:rsidRPr="00647838">
              <w:rPr>
                <w:rFonts w:eastAsia="Times New Roman"/>
                <w:sz w:val="24"/>
                <w:szCs w:val="24"/>
                <w:lang w:eastAsia="lv-LV"/>
              </w:rPr>
              <w:t>Ministru kabinets</w:t>
            </w:r>
            <w:r w:rsidR="00B432E8">
              <w:rPr>
                <w:rFonts w:eastAsia="Times New Roman"/>
                <w:sz w:val="24"/>
                <w:szCs w:val="24"/>
                <w:lang w:eastAsia="lv-LV"/>
              </w:rPr>
              <w:t xml:space="preserve"> </w:t>
            </w:r>
            <w:r w:rsidRPr="00647838">
              <w:rPr>
                <w:rFonts w:eastAsia="Times New Roman"/>
                <w:sz w:val="24"/>
                <w:szCs w:val="24"/>
                <w:lang w:eastAsia="lv-LV"/>
              </w:rPr>
              <w:t>nosaka, ka grozījumi šā likuma</w:t>
            </w:r>
            <w:r w:rsidR="00B432E8">
              <w:rPr>
                <w:rFonts w:eastAsia="Times New Roman"/>
                <w:sz w:val="24"/>
                <w:szCs w:val="24"/>
                <w:lang w:eastAsia="lv-LV"/>
              </w:rPr>
              <w:t xml:space="preserve"> </w:t>
            </w:r>
            <w:r w:rsidRPr="00647838">
              <w:rPr>
                <w:rFonts w:eastAsia="Times New Roman"/>
                <w:sz w:val="24"/>
                <w:szCs w:val="24"/>
                <w:lang w:eastAsia="lv-LV"/>
              </w:rPr>
              <w:t>106.</w:t>
            </w:r>
            <w:r w:rsidR="00FD5E36">
              <w:rPr>
                <w:rFonts w:eastAsia="Times New Roman"/>
                <w:sz w:val="24"/>
                <w:szCs w:val="24"/>
                <w:lang w:eastAsia="lv-LV"/>
              </w:rPr>
              <w:t> </w:t>
            </w:r>
            <w:r w:rsidRPr="00647838">
              <w:rPr>
                <w:rFonts w:eastAsia="Times New Roman"/>
                <w:sz w:val="24"/>
                <w:szCs w:val="24"/>
                <w:lang w:eastAsia="lv-LV"/>
              </w:rPr>
              <w:t>panta otrajā daļā minētajos</w:t>
            </w:r>
            <w:r w:rsidR="00B432E8">
              <w:rPr>
                <w:rFonts w:eastAsia="Times New Roman"/>
                <w:sz w:val="24"/>
                <w:szCs w:val="24"/>
                <w:lang w:eastAsia="lv-LV"/>
              </w:rPr>
              <w:t xml:space="preserve"> </w:t>
            </w:r>
            <w:r w:rsidRPr="00647838">
              <w:rPr>
                <w:rFonts w:eastAsia="Times New Roman"/>
                <w:sz w:val="24"/>
                <w:szCs w:val="24"/>
                <w:lang w:eastAsia="lv-LV"/>
              </w:rPr>
              <w:t>noteikumos, kas izdarīti atbilstoši</w:t>
            </w:r>
            <w:r w:rsidR="00B432E8">
              <w:rPr>
                <w:rFonts w:eastAsia="Times New Roman"/>
                <w:sz w:val="24"/>
                <w:szCs w:val="24"/>
                <w:lang w:eastAsia="lv-LV"/>
              </w:rPr>
              <w:t xml:space="preserve"> </w:t>
            </w:r>
            <w:r w:rsidRPr="00647838">
              <w:rPr>
                <w:rFonts w:eastAsia="Times New Roman"/>
                <w:sz w:val="24"/>
                <w:szCs w:val="24"/>
                <w:lang w:eastAsia="lv-LV"/>
              </w:rPr>
              <w:t>šā likuma pārejas noteikumu</w:t>
            </w:r>
            <w:r w:rsidR="00B432E8">
              <w:rPr>
                <w:rFonts w:eastAsia="Times New Roman"/>
                <w:sz w:val="24"/>
                <w:szCs w:val="24"/>
                <w:lang w:eastAsia="lv-LV"/>
              </w:rPr>
              <w:t xml:space="preserve"> </w:t>
            </w:r>
            <w:r w:rsidRPr="00647838">
              <w:rPr>
                <w:rFonts w:eastAsia="Times New Roman"/>
                <w:sz w:val="24"/>
                <w:szCs w:val="24"/>
                <w:lang w:eastAsia="lv-LV"/>
              </w:rPr>
              <w:t>26.</w:t>
            </w:r>
            <w:r w:rsidR="00FD5E36">
              <w:rPr>
                <w:rFonts w:eastAsia="Times New Roman"/>
                <w:sz w:val="24"/>
                <w:szCs w:val="24"/>
                <w:lang w:eastAsia="lv-LV"/>
              </w:rPr>
              <w:t> </w:t>
            </w:r>
            <w:r w:rsidRPr="00647838">
              <w:rPr>
                <w:rFonts w:eastAsia="Times New Roman"/>
                <w:sz w:val="24"/>
                <w:szCs w:val="24"/>
                <w:lang w:eastAsia="lv-LV"/>
              </w:rPr>
              <w:t>punktam, stājas spēkā ne vēlāk</w:t>
            </w:r>
            <w:r w:rsidR="00B432E8">
              <w:rPr>
                <w:rFonts w:eastAsia="Times New Roman"/>
                <w:sz w:val="24"/>
                <w:szCs w:val="24"/>
                <w:lang w:eastAsia="lv-LV"/>
              </w:rPr>
              <w:t xml:space="preserve"> </w:t>
            </w:r>
            <w:r w:rsidRPr="00647838">
              <w:rPr>
                <w:rFonts w:eastAsia="Times New Roman"/>
                <w:sz w:val="24"/>
                <w:szCs w:val="24"/>
                <w:lang w:eastAsia="lv-LV"/>
              </w:rPr>
              <w:t>kā līdz 2021.</w:t>
            </w:r>
            <w:r w:rsidR="00FD5E36">
              <w:rPr>
                <w:rFonts w:eastAsia="Times New Roman"/>
                <w:sz w:val="24"/>
                <w:szCs w:val="24"/>
                <w:lang w:eastAsia="lv-LV"/>
              </w:rPr>
              <w:t> </w:t>
            </w:r>
            <w:r w:rsidRPr="00647838">
              <w:rPr>
                <w:rFonts w:eastAsia="Times New Roman"/>
                <w:sz w:val="24"/>
                <w:szCs w:val="24"/>
                <w:lang w:eastAsia="lv-LV"/>
              </w:rPr>
              <w:t>gada 1.</w:t>
            </w:r>
            <w:r w:rsidR="00FD5E36">
              <w:rPr>
                <w:rFonts w:eastAsia="Times New Roman"/>
                <w:sz w:val="24"/>
                <w:szCs w:val="24"/>
                <w:lang w:eastAsia="lv-LV"/>
              </w:rPr>
              <w:t> </w:t>
            </w:r>
            <w:r w:rsidRPr="00647838">
              <w:rPr>
                <w:rFonts w:eastAsia="Times New Roman"/>
                <w:sz w:val="24"/>
                <w:szCs w:val="24"/>
                <w:lang w:eastAsia="lv-LV"/>
              </w:rPr>
              <w:t>jūlijam</w:t>
            </w:r>
            <w:r w:rsidR="00B432E8">
              <w:rPr>
                <w:rFonts w:eastAsia="Times New Roman"/>
                <w:sz w:val="24"/>
                <w:szCs w:val="24"/>
                <w:lang w:eastAsia="lv-LV"/>
              </w:rPr>
              <w:t>.</w:t>
            </w:r>
            <w:r w:rsidR="000E0FB0" w:rsidRPr="000E0FB0">
              <w:rPr>
                <w:rFonts w:eastAsia="Times New Roman"/>
                <w:sz w:val="24"/>
                <w:szCs w:val="24"/>
                <w:lang w:eastAsia="lv-LV"/>
              </w:rPr>
              <w:tab/>
            </w:r>
          </w:p>
        </w:tc>
      </w:tr>
      <w:tr w:rsidR="00DA326E" w:rsidRPr="00BC2633" w14:paraId="5FF7B6AF" w14:textId="77777777" w:rsidTr="00B72D55">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1C86D47B"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lastRenderedPageBreak/>
              <w:t>2.</w:t>
            </w:r>
          </w:p>
        </w:tc>
        <w:tc>
          <w:tcPr>
            <w:tcW w:w="1287" w:type="pct"/>
            <w:gridSpan w:val="2"/>
            <w:tcBorders>
              <w:top w:val="outset" w:sz="6" w:space="0" w:color="414142"/>
              <w:left w:val="outset" w:sz="6" w:space="0" w:color="414142"/>
              <w:bottom w:val="outset" w:sz="6" w:space="0" w:color="414142"/>
              <w:right w:val="outset" w:sz="6" w:space="0" w:color="414142"/>
            </w:tcBorders>
            <w:hideMark/>
          </w:tcPr>
          <w:p w14:paraId="7B9225C8" w14:textId="24D5FE16" w:rsidR="00EB051C" w:rsidRPr="00EB051C" w:rsidRDefault="004D15A9" w:rsidP="007C11FB">
            <w:pPr>
              <w:spacing w:after="0" w:line="240" w:lineRule="auto"/>
              <w:rPr>
                <w:rFonts w:eastAsia="Times New Roman"/>
                <w:sz w:val="24"/>
                <w:szCs w:val="24"/>
                <w:lang w:eastAsia="lv-LV"/>
              </w:rPr>
            </w:pPr>
            <w:r w:rsidRPr="00BC2633">
              <w:rPr>
                <w:rFonts w:eastAsia="Times New Roman"/>
                <w:sz w:val="24"/>
                <w:szCs w:val="24"/>
                <w:lang w:eastAsia="lv-LV"/>
              </w:rPr>
              <w:t>Pašreizējā situācija un problēmas, kuru risināšanai tiesību akta projekts izstrādāts, tiesiskā regulējuma mērķis un būtība</w:t>
            </w:r>
          </w:p>
        </w:tc>
        <w:tc>
          <w:tcPr>
            <w:tcW w:w="3513" w:type="pct"/>
            <w:gridSpan w:val="7"/>
            <w:tcBorders>
              <w:top w:val="outset" w:sz="6" w:space="0" w:color="414142"/>
              <w:left w:val="outset" w:sz="6" w:space="0" w:color="414142"/>
              <w:bottom w:val="outset" w:sz="6" w:space="0" w:color="414142"/>
              <w:right w:val="outset" w:sz="6" w:space="0" w:color="414142"/>
            </w:tcBorders>
          </w:tcPr>
          <w:p w14:paraId="2D70610F" w14:textId="4E09EA5B" w:rsidR="003E2B52" w:rsidRPr="003E2B52" w:rsidRDefault="00FD5E36" w:rsidP="003E2B52">
            <w:pPr>
              <w:spacing w:after="0" w:line="240" w:lineRule="auto"/>
              <w:jc w:val="both"/>
              <w:rPr>
                <w:rFonts w:eastAsia="Times New Roman"/>
                <w:bCs/>
                <w:sz w:val="24"/>
                <w:szCs w:val="24"/>
                <w:lang w:eastAsia="lv-LV"/>
              </w:rPr>
            </w:pPr>
            <w:r w:rsidRPr="00FD5E36">
              <w:rPr>
                <w:rFonts w:eastAsia="Times New Roman"/>
                <w:bCs/>
                <w:sz w:val="24"/>
                <w:szCs w:val="24"/>
                <w:lang w:eastAsia="lv-LV"/>
              </w:rPr>
              <w:t>Ministru kabineta 2009. gada 27. oktobra noteikum</w:t>
            </w:r>
            <w:r>
              <w:rPr>
                <w:rFonts w:eastAsia="Times New Roman"/>
                <w:bCs/>
                <w:sz w:val="24"/>
                <w:szCs w:val="24"/>
                <w:lang w:eastAsia="lv-LV"/>
              </w:rPr>
              <w:t>u</w:t>
            </w:r>
            <w:r w:rsidRPr="00FD5E36">
              <w:rPr>
                <w:rFonts w:eastAsia="Times New Roman"/>
                <w:bCs/>
                <w:sz w:val="24"/>
                <w:szCs w:val="24"/>
                <w:lang w:eastAsia="lv-LV"/>
              </w:rPr>
              <w:t xml:space="preserve"> Nr. 1250 "Noteikumi par valsts nodevu par īpašuma tiesību un ķīlas tiesību nostiprināšanu zemesgrāmatā"</w:t>
            </w:r>
            <w:r>
              <w:rPr>
                <w:rFonts w:eastAsia="Times New Roman"/>
                <w:bCs/>
                <w:sz w:val="24"/>
                <w:szCs w:val="24"/>
                <w:lang w:eastAsia="lv-LV"/>
              </w:rPr>
              <w:t xml:space="preserve"> (turpmāk – noteikumi Nr. 1250) </w:t>
            </w:r>
            <w:r w:rsidR="003E2B52">
              <w:rPr>
                <w:rFonts w:eastAsia="Times New Roman"/>
                <w:bCs/>
                <w:sz w:val="24"/>
                <w:szCs w:val="24"/>
                <w:lang w:eastAsia="lv-LV"/>
              </w:rPr>
              <w:t>5. punkts noteic, ka va</w:t>
            </w:r>
            <w:r w:rsidR="003E2B52" w:rsidRPr="003E2B52">
              <w:rPr>
                <w:rFonts w:eastAsia="Times New Roman"/>
                <w:bCs/>
                <w:sz w:val="24"/>
                <w:szCs w:val="24"/>
                <w:lang w:eastAsia="lv-LV"/>
              </w:rPr>
              <w:t>lsts nodevu par īpašuma tiesību nostiprināšanu zemesgrāmatā par katru nekustamo īpašumu nosaka šādā apmērā:</w:t>
            </w:r>
          </w:p>
          <w:p w14:paraId="4B484AC0" w14:textId="7B9F7047" w:rsidR="003E2B52" w:rsidRPr="003E2B52" w:rsidRDefault="003E2B52" w:rsidP="003E2B52">
            <w:pPr>
              <w:spacing w:after="0" w:line="240" w:lineRule="auto"/>
              <w:jc w:val="both"/>
              <w:rPr>
                <w:rFonts w:eastAsia="Times New Roman"/>
                <w:bCs/>
                <w:sz w:val="24"/>
                <w:szCs w:val="24"/>
                <w:lang w:eastAsia="lv-LV"/>
              </w:rPr>
            </w:pPr>
            <w:r w:rsidRPr="003E2B52">
              <w:rPr>
                <w:rFonts w:eastAsia="Times New Roman"/>
                <w:bCs/>
                <w:sz w:val="24"/>
                <w:szCs w:val="24"/>
                <w:lang w:eastAsia="lv-LV"/>
              </w:rPr>
              <w:t>1.</w:t>
            </w:r>
            <w:r>
              <w:rPr>
                <w:rFonts w:eastAsia="Times New Roman"/>
                <w:bCs/>
                <w:sz w:val="24"/>
                <w:szCs w:val="24"/>
                <w:lang w:eastAsia="lv-LV"/>
              </w:rPr>
              <w:t> </w:t>
            </w:r>
            <w:r w:rsidRPr="003E2B52">
              <w:rPr>
                <w:rFonts w:eastAsia="Times New Roman"/>
                <w:bCs/>
                <w:sz w:val="24"/>
                <w:szCs w:val="24"/>
                <w:lang w:eastAsia="lv-LV"/>
              </w:rPr>
              <w:t>zemes īpašuma vai zemes un būvju īpašuma, vai būvju īpašuma, kura sastāvā ietilpst dzīvojamā māja (tajā skaitā ar to funkcionāli saistītās ēkas un būves), atsavināšana uz līguma vai tiesas lēmuma pamata par izsoles akta apstiprināšanu vai uz tiesas lēmuma pamata par nekustamā īpašuma nostiprināšanu nosolītājam, līdzīpašniekam vai kreditoram – 2</w:t>
            </w:r>
            <w:r>
              <w:rPr>
                <w:rFonts w:eastAsia="Times New Roman"/>
                <w:bCs/>
                <w:sz w:val="24"/>
                <w:szCs w:val="24"/>
                <w:lang w:eastAsia="lv-LV"/>
              </w:rPr>
              <w:t> </w:t>
            </w:r>
            <w:r w:rsidRPr="003E2B52">
              <w:rPr>
                <w:rFonts w:eastAsia="Times New Roman"/>
                <w:bCs/>
                <w:sz w:val="24"/>
                <w:szCs w:val="24"/>
                <w:lang w:eastAsia="lv-LV"/>
              </w:rPr>
              <w:t>% no nekustamā īpašuma vērtības (</w:t>
            </w:r>
            <w:r w:rsidRPr="003E2B52">
              <w:rPr>
                <w:rFonts w:eastAsia="Times New Roman"/>
                <w:bCs/>
                <w:i/>
                <w:iCs/>
                <w:sz w:val="24"/>
                <w:szCs w:val="24"/>
                <w:lang w:eastAsia="lv-LV"/>
              </w:rPr>
              <w:t>euro</w:t>
            </w:r>
            <w:r w:rsidRPr="003E2B52">
              <w:rPr>
                <w:rFonts w:eastAsia="Times New Roman"/>
                <w:bCs/>
                <w:sz w:val="24"/>
                <w:szCs w:val="24"/>
                <w:lang w:eastAsia="lv-LV"/>
              </w:rPr>
              <w:t>);</w:t>
            </w:r>
          </w:p>
          <w:p w14:paraId="2F687A79" w14:textId="76F6F413" w:rsidR="003E2B52" w:rsidRPr="003E2B52" w:rsidRDefault="003E2B52" w:rsidP="003E2B52">
            <w:pPr>
              <w:spacing w:after="0" w:line="240" w:lineRule="auto"/>
              <w:jc w:val="both"/>
              <w:rPr>
                <w:rFonts w:eastAsia="Times New Roman"/>
                <w:bCs/>
                <w:sz w:val="24"/>
                <w:szCs w:val="24"/>
                <w:lang w:eastAsia="lv-LV"/>
              </w:rPr>
            </w:pPr>
            <w:r w:rsidRPr="003E2B52">
              <w:rPr>
                <w:rFonts w:eastAsia="Times New Roman"/>
                <w:bCs/>
                <w:sz w:val="24"/>
                <w:szCs w:val="24"/>
                <w:lang w:eastAsia="lv-LV"/>
              </w:rPr>
              <w:t>2.</w:t>
            </w:r>
            <w:r>
              <w:rPr>
                <w:rFonts w:eastAsia="Times New Roman"/>
                <w:bCs/>
                <w:sz w:val="24"/>
                <w:szCs w:val="24"/>
                <w:lang w:eastAsia="lv-LV"/>
              </w:rPr>
              <w:t> </w:t>
            </w:r>
            <w:r w:rsidRPr="003E2B52">
              <w:rPr>
                <w:rFonts w:eastAsia="Times New Roman"/>
                <w:bCs/>
                <w:sz w:val="24"/>
                <w:szCs w:val="24"/>
                <w:lang w:eastAsia="lv-LV"/>
              </w:rPr>
              <w:t>zemes un būvju īpašuma vai būvju īpašuma, kura sastāvā ietilpst tikai nedzīvojamā ēka vai nedzīvojamās ēkas un ar tām saistītās inženierbūves, atsavināšana uz līguma vai tiesas lēmuma pamata par izsoles akta apstiprināšanu vai uz tiesas lēmuma pamata par nekustamā īpašuma nostiprināšanu nosolītājam, līdzīpašniekam vai kreditoram – 2</w:t>
            </w:r>
            <w:r>
              <w:rPr>
                <w:rFonts w:eastAsia="Times New Roman"/>
                <w:bCs/>
                <w:sz w:val="24"/>
                <w:szCs w:val="24"/>
                <w:lang w:eastAsia="lv-LV"/>
              </w:rPr>
              <w:t> </w:t>
            </w:r>
            <w:r w:rsidRPr="003E2B52">
              <w:rPr>
                <w:rFonts w:eastAsia="Times New Roman"/>
                <w:bCs/>
                <w:sz w:val="24"/>
                <w:szCs w:val="24"/>
                <w:lang w:eastAsia="lv-LV"/>
              </w:rPr>
              <w:t>% no nekustamā īpašuma vērtības (</w:t>
            </w:r>
            <w:r w:rsidRPr="003E2B52">
              <w:rPr>
                <w:rFonts w:eastAsia="Times New Roman"/>
                <w:bCs/>
                <w:i/>
                <w:iCs/>
                <w:sz w:val="24"/>
                <w:szCs w:val="24"/>
                <w:lang w:eastAsia="lv-LV"/>
              </w:rPr>
              <w:t>euro</w:t>
            </w:r>
            <w:r w:rsidRPr="003E2B52">
              <w:rPr>
                <w:rFonts w:eastAsia="Times New Roman"/>
                <w:bCs/>
                <w:sz w:val="24"/>
                <w:szCs w:val="24"/>
                <w:lang w:eastAsia="lv-LV"/>
              </w:rPr>
              <w:t>);</w:t>
            </w:r>
          </w:p>
          <w:p w14:paraId="562F3BD0" w14:textId="472EE77B" w:rsidR="003E2B52" w:rsidRPr="003E2B52" w:rsidRDefault="003E2B52" w:rsidP="003E2B52">
            <w:pPr>
              <w:spacing w:after="0" w:line="240" w:lineRule="auto"/>
              <w:jc w:val="both"/>
              <w:rPr>
                <w:rFonts w:eastAsia="Times New Roman"/>
                <w:bCs/>
                <w:sz w:val="24"/>
                <w:szCs w:val="24"/>
                <w:lang w:eastAsia="lv-LV"/>
              </w:rPr>
            </w:pPr>
            <w:r w:rsidRPr="003E2B52">
              <w:rPr>
                <w:rFonts w:eastAsia="Times New Roman"/>
                <w:bCs/>
                <w:sz w:val="24"/>
                <w:szCs w:val="24"/>
                <w:lang w:eastAsia="lv-LV"/>
              </w:rPr>
              <w:t>3.</w:t>
            </w:r>
            <w:r>
              <w:rPr>
                <w:rFonts w:eastAsia="Times New Roman"/>
                <w:bCs/>
                <w:sz w:val="24"/>
                <w:szCs w:val="24"/>
                <w:lang w:eastAsia="lv-LV"/>
              </w:rPr>
              <w:t> </w:t>
            </w:r>
            <w:r w:rsidRPr="003E2B52">
              <w:rPr>
                <w:rFonts w:eastAsia="Times New Roman"/>
                <w:bCs/>
                <w:sz w:val="24"/>
                <w:szCs w:val="24"/>
                <w:lang w:eastAsia="lv-LV"/>
              </w:rPr>
              <w:t>īpašuma atsavināšana uz dāvinājuma līguma pamata – 3 % no nekustamā īpašuma vērtības (</w:t>
            </w:r>
            <w:r w:rsidRPr="003E2B52">
              <w:rPr>
                <w:rFonts w:eastAsia="Times New Roman"/>
                <w:bCs/>
                <w:i/>
                <w:iCs/>
                <w:sz w:val="24"/>
                <w:szCs w:val="24"/>
                <w:lang w:eastAsia="lv-LV"/>
              </w:rPr>
              <w:t>euro</w:t>
            </w:r>
            <w:r w:rsidRPr="003E2B52">
              <w:rPr>
                <w:rFonts w:eastAsia="Times New Roman"/>
                <w:bCs/>
                <w:sz w:val="24"/>
                <w:szCs w:val="24"/>
                <w:lang w:eastAsia="lv-LV"/>
              </w:rPr>
              <w:t>);</w:t>
            </w:r>
          </w:p>
          <w:p w14:paraId="6D167BD1" w14:textId="16096318" w:rsidR="003E2B52" w:rsidRPr="003E2B52" w:rsidRDefault="003E2B52" w:rsidP="003E2B52">
            <w:pPr>
              <w:spacing w:after="0" w:line="240" w:lineRule="auto"/>
              <w:jc w:val="both"/>
              <w:rPr>
                <w:rFonts w:eastAsia="Times New Roman"/>
                <w:bCs/>
                <w:sz w:val="24"/>
                <w:szCs w:val="24"/>
                <w:lang w:eastAsia="lv-LV"/>
              </w:rPr>
            </w:pPr>
            <w:r w:rsidRPr="003E2B52">
              <w:rPr>
                <w:rFonts w:eastAsia="Times New Roman"/>
                <w:bCs/>
                <w:sz w:val="24"/>
                <w:szCs w:val="24"/>
                <w:lang w:eastAsia="lv-LV"/>
              </w:rPr>
              <w:t>4.</w:t>
            </w:r>
            <w:r>
              <w:rPr>
                <w:rFonts w:eastAsia="Times New Roman"/>
                <w:bCs/>
                <w:sz w:val="24"/>
                <w:szCs w:val="24"/>
                <w:lang w:eastAsia="lv-LV"/>
              </w:rPr>
              <w:t> </w:t>
            </w:r>
            <w:r w:rsidRPr="003E2B52">
              <w:rPr>
                <w:rFonts w:eastAsia="Times New Roman"/>
                <w:bCs/>
                <w:sz w:val="24"/>
                <w:szCs w:val="24"/>
                <w:lang w:eastAsia="lv-LV"/>
              </w:rPr>
              <w:t>nekustamā īpašuma ieguldīšana kapitālsabiedrības pamatkapitālā – 1</w:t>
            </w:r>
            <w:r>
              <w:rPr>
                <w:rFonts w:eastAsia="Times New Roman"/>
                <w:bCs/>
                <w:sz w:val="24"/>
                <w:szCs w:val="24"/>
                <w:lang w:eastAsia="lv-LV"/>
              </w:rPr>
              <w:t> </w:t>
            </w:r>
            <w:r w:rsidRPr="003E2B52">
              <w:rPr>
                <w:rFonts w:eastAsia="Times New Roman"/>
                <w:bCs/>
                <w:sz w:val="24"/>
                <w:szCs w:val="24"/>
                <w:lang w:eastAsia="lv-LV"/>
              </w:rPr>
              <w:t>% no kapitālsabiedrības pamatkapitālā ieguldāmās nekustamā īpašuma ieguldījuma summas (</w:t>
            </w:r>
            <w:r w:rsidRPr="003E2B52">
              <w:rPr>
                <w:rFonts w:eastAsia="Times New Roman"/>
                <w:bCs/>
                <w:i/>
                <w:iCs/>
                <w:sz w:val="24"/>
                <w:szCs w:val="24"/>
                <w:lang w:eastAsia="lv-LV"/>
              </w:rPr>
              <w:t>euro</w:t>
            </w:r>
            <w:r w:rsidRPr="003E2B52">
              <w:rPr>
                <w:rFonts w:eastAsia="Times New Roman"/>
                <w:bCs/>
                <w:sz w:val="24"/>
                <w:szCs w:val="24"/>
                <w:lang w:eastAsia="lv-LV"/>
              </w:rPr>
              <w:t>);</w:t>
            </w:r>
          </w:p>
          <w:p w14:paraId="1298F84A" w14:textId="482CECE8" w:rsidR="003E2B52" w:rsidRPr="003E2B52" w:rsidRDefault="003E2B52" w:rsidP="003E2B52">
            <w:pPr>
              <w:spacing w:after="0" w:line="240" w:lineRule="auto"/>
              <w:jc w:val="both"/>
              <w:rPr>
                <w:rFonts w:eastAsia="Times New Roman"/>
                <w:bCs/>
                <w:sz w:val="24"/>
                <w:szCs w:val="24"/>
                <w:lang w:eastAsia="lv-LV"/>
              </w:rPr>
            </w:pPr>
            <w:r w:rsidRPr="003E2B52">
              <w:rPr>
                <w:rFonts w:eastAsia="Times New Roman"/>
                <w:bCs/>
                <w:sz w:val="24"/>
                <w:szCs w:val="24"/>
                <w:lang w:eastAsia="lv-LV"/>
              </w:rPr>
              <w:t>5.</w:t>
            </w:r>
            <w:r>
              <w:rPr>
                <w:rFonts w:eastAsia="Times New Roman"/>
                <w:bCs/>
                <w:sz w:val="24"/>
                <w:szCs w:val="24"/>
                <w:lang w:eastAsia="lv-LV"/>
              </w:rPr>
              <w:t> </w:t>
            </w:r>
            <w:r w:rsidRPr="003E2B52">
              <w:rPr>
                <w:rFonts w:eastAsia="Times New Roman"/>
                <w:bCs/>
                <w:sz w:val="24"/>
                <w:szCs w:val="24"/>
                <w:lang w:eastAsia="lv-LV"/>
              </w:rPr>
              <w:t>dzīvokļa īpašuma atsavināšana juridiskai personai, kas veic komercdarbību, uz līguma vai tiesas lēmuma pamata par izsoles akta apstiprināšanu vai uz tiesas lēmuma pamata par nekustamā īpašuma nostiprināšanu nosolītājam, līdzīpašniekam vai kreditoram – 6</w:t>
            </w:r>
            <w:r>
              <w:rPr>
                <w:rFonts w:eastAsia="Times New Roman"/>
                <w:bCs/>
                <w:sz w:val="24"/>
                <w:szCs w:val="24"/>
                <w:lang w:eastAsia="lv-LV"/>
              </w:rPr>
              <w:t> </w:t>
            </w:r>
            <w:r w:rsidRPr="003E2B52">
              <w:rPr>
                <w:rFonts w:eastAsia="Times New Roman"/>
                <w:bCs/>
                <w:sz w:val="24"/>
                <w:szCs w:val="24"/>
                <w:lang w:eastAsia="lv-LV"/>
              </w:rPr>
              <w:t>% no dzīvokļa īpašuma vērtības (</w:t>
            </w:r>
            <w:r w:rsidRPr="003E2B52">
              <w:rPr>
                <w:rFonts w:eastAsia="Times New Roman"/>
                <w:bCs/>
                <w:i/>
                <w:iCs/>
                <w:sz w:val="24"/>
                <w:szCs w:val="24"/>
                <w:lang w:eastAsia="lv-LV"/>
              </w:rPr>
              <w:t>euro</w:t>
            </w:r>
            <w:r w:rsidRPr="003E2B52">
              <w:rPr>
                <w:rFonts w:eastAsia="Times New Roman"/>
                <w:bCs/>
                <w:sz w:val="24"/>
                <w:szCs w:val="24"/>
                <w:lang w:eastAsia="lv-LV"/>
              </w:rPr>
              <w:t>).</w:t>
            </w:r>
          </w:p>
          <w:p w14:paraId="0A13D85E" w14:textId="00DC5685" w:rsidR="00142E23" w:rsidRPr="00CC7E30" w:rsidRDefault="00CF3796" w:rsidP="00142E23">
            <w:pPr>
              <w:spacing w:after="0" w:line="240" w:lineRule="auto"/>
              <w:jc w:val="both"/>
              <w:rPr>
                <w:rFonts w:eastAsia="Calibri"/>
                <w:sz w:val="24"/>
                <w:szCs w:val="24"/>
              </w:rPr>
            </w:pPr>
            <w:r>
              <w:rPr>
                <w:rFonts w:eastAsia="Calibri"/>
                <w:sz w:val="24"/>
                <w:szCs w:val="24"/>
              </w:rPr>
              <w:t xml:space="preserve">Atbilstoši </w:t>
            </w:r>
            <w:r w:rsidRPr="00CF3796">
              <w:rPr>
                <w:rFonts w:eastAsia="Calibri"/>
                <w:sz w:val="24"/>
                <w:szCs w:val="24"/>
              </w:rPr>
              <w:t>likumprojekt</w:t>
            </w:r>
            <w:r w:rsidR="00DC1429">
              <w:rPr>
                <w:rFonts w:eastAsia="Calibri"/>
                <w:sz w:val="24"/>
                <w:szCs w:val="24"/>
              </w:rPr>
              <w:t>ā noteiktajam</w:t>
            </w:r>
            <w:r w:rsidRPr="00CF3796">
              <w:rPr>
                <w:rFonts w:eastAsia="Calibri"/>
                <w:sz w:val="24"/>
                <w:szCs w:val="24"/>
              </w:rPr>
              <w:t xml:space="preserve"> </w:t>
            </w:r>
            <w:r>
              <w:rPr>
                <w:rFonts w:eastAsia="Calibri"/>
                <w:sz w:val="24"/>
                <w:szCs w:val="24"/>
              </w:rPr>
              <w:t xml:space="preserve">Ministru kabinetam </w:t>
            </w:r>
            <w:r w:rsidR="00604312">
              <w:rPr>
                <w:rFonts w:eastAsia="Calibri"/>
                <w:sz w:val="24"/>
                <w:szCs w:val="24"/>
              </w:rPr>
              <w:t xml:space="preserve">noteiktos gadījumos, kad īpašumtiesības nostiprināmas zemesgrāmatā, </w:t>
            </w:r>
            <w:r>
              <w:rPr>
                <w:rFonts w:eastAsia="Calibri"/>
                <w:sz w:val="24"/>
                <w:szCs w:val="24"/>
              </w:rPr>
              <w:t xml:space="preserve">nepieciešams pārskatīt </w:t>
            </w:r>
            <w:r w:rsidR="00042AA0">
              <w:rPr>
                <w:rFonts w:eastAsia="Calibri"/>
                <w:sz w:val="24"/>
                <w:szCs w:val="24"/>
              </w:rPr>
              <w:t>noteikumos Nr. 1250 noteikto valsts nodevu apmēru.</w:t>
            </w:r>
            <w:r w:rsidR="004906DF">
              <w:rPr>
                <w:rFonts w:eastAsia="Calibri"/>
                <w:sz w:val="24"/>
                <w:szCs w:val="24"/>
              </w:rPr>
              <w:t xml:space="preserve"> </w:t>
            </w:r>
            <w:r w:rsidR="00604312">
              <w:rPr>
                <w:rFonts w:eastAsia="Calibri"/>
                <w:sz w:val="24"/>
                <w:szCs w:val="24"/>
              </w:rPr>
              <w:t>Kā uzsvērts</w:t>
            </w:r>
            <w:r w:rsidR="009636DF">
              <w:rPr>
                <w:rFonts w:eastAsia="Calibri"/>
                <w:sz w:val="24"/>
                <w:szCs w:val="24"/>
              </w:rPr>
              <w:t xml:space="preserve"> priekšlikum</w:t>
            </w:r>
            <w:r w:rsidR="00604312">
              <w:rPr>
                <w:rFonts w:eastAsia="Calibri"/>
                <w:sz w:val="24"/>
                <w:szCs w:val="24"/>
              </w:rPr>
              <w:t xml:space="preserve">a </w:t>
            </w:r>
            <w:r w:rsidR="00A40A13">
              <w:rPr>
                <w:rFonts w:eastAsia="Calibri"/>
                <w:sz w:val="24"/>
                <w:szCs w:val="24"/>
              </w:rPr>
              <w:t xml:space="preserve">pamatojumā, </w:t>
            </w:r>
            <w:r w:rsidR="00142E23" w:rsidRPr="00F12F6E">
              <w:rPr>
                <w:rFonts w:eastAsia="Calibri"/>
                <w:i/>
                <w:iCs/>
                <w:sz w:val="24"/>
                <w:szCs w:val="24"/>
              </w:rPr>
              <w:t>v</w:t>
            </w:r>
            <w:r w:rsidR="00142E23" w:rsidRPr="00CC7E30">
              <w:rPr>
                <w:rFonts w:eastAsia="Calibri"/>
                <w:i/>
                <w:iCs/>
                <w:sz w:val="24"/>
                <w:szCs w:val="24"/>
              </w:rPr>
              <w:t xml:space="preserve">alsts nodevu apmēri par īpašuma tiesību </w:t>
            </w:r>
            <w:r w:rsidR="00604312">
              <w:rPr>
                <w:rFonts w:eastAsia="Calibri"/>
                <w:i/>
                <w:iCs/>
                <w:sz w:val="24"/>
                <w:szCs w:val="24"/>
              </w:rPr>
              <w:t>nostiprināšanu</w:t>
            </w:r>
            <w:r w:rsidR="00604312" w:rsidRPr="00CC7E30">
              <w:rPr>
                <w:rFonts w:eastAsia="Calibri"/>
                <w:i/>
                <w:iCs/>
                <w:sz w:val="24"/>
                <w:szCs w:val="24"/>
              </w:rPr>
              <w:t xml:space="preserve"> </w:t>
            </w:r>
            <w:r w:rsidR="00142E23" w:rsidRPr="00CC7E30">
              <w:rPr>
                <w:rFonts w:eastAsia="Calibri"/>
                <w:i/>
                <w:iCs/>
                <w:sz w:val="24"/>
                <w:szCs w:val="24"/>
              </w:rPr>
              <w:t>zemesgrāmatā par īpašuma atsavināšanu fiziskai personai un par dzīvokļa īpašuma atsavināšanu juridiskai personai, kas veic komercdarbību, šobrīd ir noteikti nesamērīgi augsti. Ar priekšlikumu paredzēts tos samazināt, proti, valsts nodevas apmēru fiziskai personai no šobrīd noteiktajiem 2% samazināt uz 1,5</w:t>
            </w:r>
            <w:r w:rsidR="008C657E">
              <w:rPr>
                <w:rFonts w:eastAsia="Calibri"/>
                <w:i/>
                <w:iCs/>
                <w:sz w:val="24"/>
                <w:szCs w:val="24"/>
              </w:rPr>
              <w:t> </w:t>
            </w:r>
            <w:r w:rsidR="00142E23" w:rsidRPr="00CC7E30">
              <w:rPr>
                <w:rFonts w:eastAsia="Calibri"/>
                <w:i/>
                <w:iCs/>
                <w:sz w:val="24"/>
                <w:szCs w:val="24"/>
              </w:rPr>
              <w:t>% no īpašuma vērtības, savukārt juridiskai personai par dzīvokļa īpašuma nostiprināšanu no 6% samazināt uz 2</w:t>
            </w:r>
            <w:r w:rsidR="008C657E">
              <w:rPr>
                <w:rFonts w:eastAsia="Calibri"/>
                <w:i/>
                <w:iCs/>
                <w:sz w:val="24"/>
                <w:szCs w:val="24"/>
              </w:rPr>
              <w:t> </w:t>
            </w:r>
            <w:r w:rsidR="00142E23" w:rsidRPr="00CC7E30">
              <w:rPr>
                <w:rFonts w:eastAsia="Calibri"/>
                <w:i/>
                <w:iCs/>
                <w:sz w:val="24"/>
                <w:szCs w:val="24"/>
              </w:rPr>
              <w:t>% no īpašuma vērtības.</w:t>
            </w:r>
            <w:r w:rsidR="00142E23" w:rsidRPr="00F12F6E">
              <w:rPr>
                <w:rFonts w:eastAsia="Calibri"/>
                <w:i/>
                <w:iCs/>
                <w:sz w:val="24"/>
                <w:szCs w:val="24"/>
              </w:rPr>
              <w:t xml:space="preserve"> </w:t>
            </w:r>
            <w:r w:rsidR="00142E23" w:rsidRPr="00CC7E30">
              <w:rPr>
                <w:rFonts w:eastAsia="Calibri"/>
                <w:i/>
                <w:iCs/>
                <w:sz w:val="24"/>
                <w:szCs w:val="24"/>
              </w:rPr>
              <w:t>Fiziskām personām noteiktās valsts nodevas jāsamazina, lai nodrošinātu lētāku mājokļu pieejamību.</w:t>
            </w:r>
            <w:r w:rsidR="00F12F6E">
              <w:rPr>
                <w:rStyle w:val="Vresatsauce"/>
                <w:rFonts w:eastAsia="Calibri"/>
                <w:i/>
                <w:iCs/>
                <w:sz w:val="24"/>
                <w:szCs w:val="24"/>
              </w:rPr>
              <w:footnoteReference w:id="1"/>
            </w:r>
            <w:r w:rsidR="00142E23" w:rsidRPr="00CC7E30">
              <w:rPr>
                <w:rFonts w:eastAsia="Calibri"/>
                <w:i/>
                <w:iCs/>
                <w:sz w:val="24"/>
                <w:szCs w:val="24"/>
              </w:rPr>
              <w:t>.</w:t>
            </w:r>
          </w:p>
          <w:p w14:paraId="46A82D58" w14:textId="74217D71" w:rsidR="00BA09BC" w:rsidRPr="009B40B4" w:rsidRDefault="007B64ED" w:rsidP="00BA09BC">
            <w:pPr>
              <w:shd w:val="clear" w:color="auto" w:fill="FFFFFF"/>
              <w:spacing w:after="0" w:line="240" w:lineRule="auto"/>
              <w:jc w:val="both"/>
              <w:rPr>
                <w:rFonts w:eastAsia="Calibri"/>
                <w:sz w:val="24"/>
                <w:szCs w:val="24"/>
              </w:rPr>
            </w:pPr>
            <w:r>
              <w:rPr>
                <w:rFonts w:eastAsia="Calibri"/>
                <w:sz w:val="24"/>
                <w:szCs w:val="24"/>
              </w:rPr>
              <w:t xml:space="preserve">Norādāms, ka arī Latvijas Darba devēju konfederācija </w:t>
            </w:r>
            <w:r w:rsidR="00BA09BC">
              <w:rPr>
                <w:rFonts w:eastAsia="Calibri"/>
                <w:sz w:val="24"/>
                <w:szCs w:val="24"/>
              </w:rPr>
              <w:t xml:space="preserve">savā </w:t>
            </w:r>
            <w:r w:rsidR="00BA09BC" w:rsidRPr="00407285">
              <w:rPr>
                <w:rFonts w:eastAsia="Calibri"/>
                <w:sz w:val="24"/>
                <w:szCs w:val="24"/>
              </w:rPr>
              <w:t xml:space="preserve">izvērtējumā par </w:t>
            </w:r>
            <w:r w:rsidR="00BA09BC" w:rsidRPr="00407285">
              <w:rPr>
                <w:rFonts w:eastAsia="Calibri"/>
                <w:bCs/>
                <w:sz w:val="24"/>
                <w:szCs w:val="24"/>
              </w:rPr>
              <w:t>atkārtotu</w:t>
            </w:r>
            <w:r w:rsidR="00BA09BC" w:rsidRPr="00407285">
              <w:rPr>
                <w:rFonts w:eastAsia="Calibri"/>
                <w:b/>
                <w:bCs/>
                <w:sz w:val="24"/>
                <w:szCs w:val="24"/>
              </w:rPr>
              <w:t xml:space="preserve"> </w:t>
            </w:r>
            <w:r w:rsidR="00BA09BC" w:rsidRPr="00407285">
              <w:rPr>
                <w:rFonts w:eastAsia="Calibri"/>
                <w:bCs/>
                <w:sz w:val="24"/>
                <w:szCs w:val="24"/>
              </w:rPr>
              <w:t xml:space="preserve">Latvijas Atveseļošanas un noturības mehānisma (ANM) plāna </w:t>
            </w:r>
            <w:r w:rsidR="00413E1B" w:rsidRPr="00407285">
              <w:rPr>
                <w:rFonts w:eastAsia="Calibri"/>
                <w:bCs/>
                <w:sz w:val="24"/>
                <w:szCs w:val="24"/>
              </w:rPr>
              <w:t>projektu</w:t>
            </w:r>
            <w:r w:rsidR="00BA09BC" w:rsidRPr="00407285">
              <w:rPr>
                <w:rFonts w:eastAsia="Calibri"/>
                <w:bCs/>
                <w:sz w:val="24"/>
                <w:szCs w:val="24"/>
              </w:rPr>
              <w:t xml:space="preserve"> </w:t>
            </w:r>
            <w:r w:rsidR="0055458F" w:rsidRPr="00407285">
              <w:rPr>
                <w:rFonts w:eastAsia="Calibri"/>
                <w:bCs/>
                <w:sz w:val="24"/>
                <w:szCs w:val="24"/>
              </w:rPr>
              <w:t>mājokļu būvniecības sakarā</w:t>
            </w:r>
            <w:r w:rsidR="006B4BEE" w:rsidRPr="00407285">
              <w:rPr>
                <w:rFonts w:eastAsia="Calibri"/>
                <w:bCs/>
                <w:sz w:val="24"/>
                <w:szCs w:val="24"/>
              </w:rPr>
              <w:t>, norādījusi, lai</w:t>
            </w:r>
            <w:r w:rsidR="00407285" w:rsidRPr="00407285">
              <w:rPr>
                <w:sz w:val="24"/>
                <w:szCs w:val="24"/>
              </w:rPr>
              <w:t xml:space="preserve"> sekmētu mājokļu tirgus attīstību - mājokļu apriti un to apsaimniekošanu</w:t>
            </w:r>
            <w:r w:rsidR="001B38FC">
              <w:rPr>
                <w:sz w:val="24"/>
                <w:szCs w:val="24"/>
              </w:rPr>
              <w:t>,</w:t>
            </w:r>
            <w:r w:rsidR="00407285" w:rsidRPr="00407285">
              <w:rPr>
                <w:rFonts w:eastAsia="Calibri"/>
                <w:bCs/>
                <w:sz w:val="24"/>
                <w:szCs w:val="24"/>
              </w:rPr>
              <w:t xml:space="preserve"> </w:t>
            </w:r>
            <w:r w:rsidR="001B38FC">
              <w:rPr>
                <w:rFonts w:eastAsia="Calibri"/>
                <w:bCs/>
                <w:sz w:val="24"/>
                <w:szCs w:val="24"/>
              </w:rPr>
              <w:t>n</w:t>
            </w:r>
            <w:r w:rsidR="006B4BEE" w:rsidRPr="00407285">
              <w:rPr>
                <w:sz w:val="24"/>
                <w:szCs w:val="24"/>
              </w:rPr>
              <w:t xml:space="preserve">epieciešams papildināt </w:t>
            </w:r>
            <w:r w:rsidR="00D90B48">
              <w:rPr>
                <w:sz w:val="24"/>
                <w:szCs w:val="24"/>
              </w:rPr>
              <w:t xml:space="preserve">minēto plānu </w:t>
            </w:r>
            <w:r w:rsidR="006B4BEE" w:rsidRPr="00407285">
              <w:rPr>
                <w:sz w:val="24"/>
                <w:szCs w:val="24"/>
              </w:rPr>
              <w:t xml:space="preserve">ar </w:t>
            </w:r>
            <w:r w:rsidR="006B4BEE" w:rsidRPr="00407285">
              <w:rPr>
                <w:sz w:val="24"/>
                <w:szCs w:val="24"/>
              </w:rPr>
              <w:lastRenderedPageBreak/>
              <w:t>konkrētiem pasākumiem reformu sadaļā,</w:t>
            </w:r>
            <w:r w:rsidR="00D90B48">
              <w:rPr>
                <w:sz w:val="24"/>
                <w:szCs w:val="24"/>
              </w:rPr>
              <w:t xml:space="preserve"> tajā skaitā,</w:t>
            </w:r>
            <w:r w:rsidR="006B4BEE" w:rsidRPr="00407285">
              <w:rPr>
                <w:sz w:val="24"/>
                <w:szCs w:val="24"/>
              </w:rPr>
              <w:t xml:space="preserve"> </w:t>
            </w:r>
            <w:r w:rsidR="00D90B48">
              <w:rPr>
                <w:sz w:val="24"/>
                <w:szCs w:val="24"/>
              </w:rPr>
              <w:t xml:space="preserve">norādot, ka ir </w:t>
            </w:r>
            <w:r w:rsidR="00D90B48" w:rsidRPr="009B40B4">
              <w:rPr>
                <w:sz w:val="24"/>
                <w:szCs w:val="24"/>
              </w:rPr>
              <w:t>jā</w:t>
            </w:r>
            <w:r w:rsidR="00407285" w:rsidRPr="009B40B4">
              <w:rPr>
                <w:sz w:val="24"/>
                <w:szCs w:val="24"/>
              </w:rPr>
              <w:t>samazin</w:t>
            </w:r>
            <w:r w:rsidR="00D90B48" w:rsidRPr="009B40B4">
              <w:rPr>
                <w:sz w:val="24"/>
                <w:szCs w:val="24"/>
              </w:rPr>
              <w:t>a</w:t>
            </w:r>
            <w:r w:rsidR="00407285" w:rsidRPr="009B40B4">
              <w:rPr>
                <w:sz w:val="24"/>
                <w:szCs w:val="24"/>
              </w:rPr>
              <w:t xml:space="preserve"> zemesgrāmatu nodevas.</w:t>
            </w:r>
          </w:p>
          <w:p w14:paraId="54446405" w14:textId="585BD18A" w:rsidR="009B40B4" w:rsidRPr="009B40B4" w:rsidRDefault="009B40B4" w:rsidP="009B40B4">
            <w:pPr>
              <w:shd w:val="clear" w:color="auto" w:fill="FFFFFF"/>
              <w:spacing w:after="0" w:line="240" w:lineRule="auto"/>
              <w:jc w:val="both"/>
              <w:rPr>
                <w:rFonts w:eastAsia="Calibri"/>
                <w:sz w:val="24"/>
                <w:szCs w:val="24"/>
              </w:rPr>
            </w:pPr>
            <w:r w:rsidRPr="009B40B4">
              <w:rPr>
                <w:rFonts w:eastAsia="Calibri"/>
                <w:sz w:val="24"/>
                <w:szCs w:val="24"/>
              </w:rPr>
              <w:t>Ņemot vērā to, ka atbilstoši likumprojektam valsts nodevas likmes tiek noteiktas atbilstoši subjektam, uz kura īpašum</w:t>
            </w:r>
            <w:r w:rsidR="00F13415">
              <w:rPr>
                <w:rFonts w:eastAsia="Calibri"/>
                <w:sz w:val="24"/>
                <w:szCs w:val="24"/>
              </w:rPr>
              <w:t xml:space="preserve">a </w:t>
            </w:r>
            <w:r w:rsidRPr="009B40B4">
              <w:rPr>
                <w:rFonts w:eastAsia="Calibri"/>
                <w:sz w:val="24"/>
                <w:szCs w:val="24"/>
              </w:rPr>
              <w:t>tiesības nostiprināmas, proti, fizisku vai juridisku personu</w:t>
            </w:r>
            <w:r w:rsidR="00385ADC">
              <w:rPr>
                <w:rFonts w:eastAsia="Calibri"/>
                <w:sz w:val="24"/>
                <w:szCs w:val="24"/>
              </w:rPr>
              <w:t>,</w:t>
            </w:r>
            <w:r w:rsidRPr="009B40B4">
              <w:rPr>
                <w:rFonts w:eastAsia="Calibri"/>
                <w:sz w:val="24"/>
                <w:szCs w:val="24"/>
              </w:rPr>
              <w:t xml:space="preserve"> uzskatāms, ka noteikumu Nr. 1250 5. punkts ir precizējams, apvienojot regulējumu atbilstoši tam, vai īpašum</w:t>
            </w:r>
            <w:r w:rsidR="00F13415">
              <w:rPr>
                <w:rFonts w:eastAsia="Calibri"/>
                <w:sz w:val="24"/>
                <w:szCs w:val="24"/>
              </w:rPr>
              <w:t xml:space="preserve">a </w:t>
            </w:r>
            <w:r w:rsidRPr="009B40B4">
              <w:rPr>
                <w:rFonts w:eastAsia="Calibri"/>
                <w:sz w:val="24"/>
                <w:szCs w:val="24"/>
              </w:rPr>
              <w:t xml:space="preserve">tiesības nostiprināmas fiziskai vai juridiskai personai. </w:t>
            </w:r>
            <w:r w:rsidR="007459FE">
              <w:rPr>
                <w:rFonts w:eastAsia="Calibri"/>
                <w:sz w:val="24"/>
                <w:szCs w:val="24"/>
              </w:rPr>
              <w:t>I</w:t>
            </w:r>
            <w:r w:rsidRPr="009B40B4">
              <w:rPr>
                <w:rFonts w:eastAsia="Calibri"/>
                <w:sz w:val="24"/>
                <w:szCs w:val="24"/>
              </w:rPr>
              <w:t xml:space="preserve">evērojot </w:t>
            </w:r>
            <w:r w:rsidR="007459FE">
              <w:rPr>
                <w:rFonts w:eastAsia="Calibri"/>
                <w:sz w:val="24"/>
                <w:szCs w:val="24"/>
              </w:rPr>
              <w:t>minēto</w:t>
            </w:r>
            <w:r w:rsidRPr="009B40B4">
              <w:rPr>
                <w:rFonts w:eastAsia="Calibri"/>
                <w:sz w:val="24"/>
                <w:szCs w:val="24"/>
              </w:rPr>
              <w:t>, noteikumu Nr. 1250 5. punktā noteiktais</w:t>
            </w:r>
            <w:r w:rsidR="007459FE">
              <w:rPr>
                <w:rFonts w:eastAsia="Calibri"/>
                <w:sz w:val="24"/>
                <w:szCs w:val="24"/>
              </w:rPr>
              <w:t xml:space="preserve"> </w:t>
            </w:r>
            <w:r w:rsidRPr="009B40B4">
              <w:rPr>
                <w:rFonts w:eastAsia="Calibri"/>
                <w:sz w:val="24"/>
                <w:szCs w:val="24"/>
              </w:rPr>
              <w:t xml:space="preserve">regulējums precizējams. </w:t>
            </w:r>
          </w:p>
          <w:p w14:paraId="510757C5" w14:textId="2F8AF6B8" w:rsidR="00507063" w:rsidRPr="009249FF" w:rsidRDefault="00704CBF" w:rsidP="00507063">
            <w:pPr>
              <w:shd w:val="clear" w:color="auto" w:fill="FFFFFF"/>
              <w:spacing w:after="0" w:line="240" w:lineRule="auto"/>
              <w:jc w:val="both"/>
              <w:rPr>
                <w:rFonts w:eastAsia="Calibri"/>
                <w:sz w:val="24"/>
                <w:szCs w:val="24"/>
              </w:rPr>
            </w:pPr>
            <w:r w:rsidRPr="00704CBF">
              <w:rPr>
                <w:rFonts w:eastAsia="Calibri"/>
                <w:sz w:val="24"/>
                <w:szCs w:val="24"/>
              </w:rPr>
              <w:t>Ņemot vērā minēto, izstrādāts noteikumu projekts, kas paredz</w:t>
            </w:r>
            <w:r w:rsidR="00787E5A">
              <w:rPr>
                <w:rFonts w:eastAsia="Calibri"/>
                <w:sz w:val="24"/>
                <w:szCs w:val="24"/>
              </w:rPr>
              <w:t xml:space="preserve"> </w:t>
            </w:r>
            <w:r w:rsidR="00B155C5">
              <w:rPr>
                <w:rFonts w:eastAsia="Calibri"/>
                <w:sz w:val="24"/>
                <w:szCs w:val="24"/>
              </w:rPr>
              <w:t>samazināt</w:t>
            </w:r>
            <w:r w:rsidR="00787E5A">
              <w:rPr>
                <w:rFonts w:eastAsia="Calibri"/>
                <w:sz w:val="24"/>
                <w:szCs w:val="24"/>
              </w:rPr>
              <w:t xml:space="preserve"> valsts nodev</w:t>
            </w:r>
            <w:r w:rsidR="006D1F9C">
              <w:rPr>
                <w:rFonts w:eastAsia="Calibri"/>
                <w:sz w:val="24"/>
                <w:szCs w:val="24"/>
              </w:rPr>
              <w:t>as</w:t>
            </w:r>
            <w:r w:rsidR="00787E5A">
              <w:rPr>
                <w:rFonts w:eastAsia="Calibri"/>
                <w:sz w:val="24"/>
                <w:szCs w:val="24"/>
              </w:rPr>
              <w:t xml:space="preserve"> par īpašum</w:t>
            </w:r>
            <w:r w:rsidR="00F13415">
              <w:rPr>
                <w:rFonts w:eastAsia="Calibri"/>
                <w:sz w:val="24"/>
                <w:szCs w:val="24"/>
              </w:rPr>
              <w:t xml:space="preserve">a </w:t>
            </w:r>
            <w:r w:rsidR="00787E5A">
              <w:rPr>
                <w:rFonts w:eastAsia="Calibri"/>
                <w:sz w:val="24"/>
                <w:szCs w:val="24"/>
              </w:rPr>
              <w:t>tiesību nostiprināšanu zemesgrāmatā</w:t>
            </w:r>
            <w:r w:rsidR="00947336">
              <w:rPr>
                <w:rFonts w:eastAsia="Calibri"/>
                <w:sz w:val="24"/>
                <w:szCs w:val="24"/>
              </w:rPr>
              <w:t>, pamatojoties</w:t>
            </w:r>
            <w:r w:rsidR="00787E5A" w:rsidRPr="00787E5A">
              <w:rPr>
                <w:rFonts w:eastAsia="Calibri"/>
                <w:sz w:val="24"/>
                <w:szCs w:val="24"/>
              </w:rPr>
              <w:t xml:space="preserve"> uz īpašuma atsavināšanu uz līguma vai tiesas lēmuma pamata par izsoles akta apstiprināšanu vai uz tiesas lēmuma pamata par nekustamā īpašuma nostiprināšanu apmērus</w:t>
            </w:r>
            <w:r w:rsidR="00787E5A">
              <w:rPr>
                <w:rFonts w:eastAsia="Calibri"/>
                <w:sz w:val="24"/>
                <w:szCs w:val="24"/>
              </w:rPr>
              <w:t>. Proti, noteikumu projekts paredz</w:t>
            </w:r>
            <w:r w:rsidRPr="00704CBF">
              <w:rPr>
                <w:rFonts w:eastAsia="Calibri"/>
                <w:sz w:val="24"/>
                <w:szCs w:val="24"/>
              </w:rPr>
              <w:t xml:space="preserve"> </w:t>
            </w:r>
            <w:r w:rsidR="00FD5E36">
              <w:rPr>
                <w:rFonts w:eastAsia="Calibri"/>
                <w:sz w:val="24"/>
                <w:szCs w:val="24"/>
              </w:rPr>
              <w:t>izteikt noteikumu Nr. </w:t>
            </w:r>
            <w:r w:rsidR="005B36BA">
              <w:rPr>
                <w:rFonts w:eastAsia="Calibri"/>
                <w:sz w:val="24"/>
                <w:szCs w:val="24"/>
              </w:rPr>
              <w:t>1250 5. punktu jaunā redakcijā, nosakot, ka</w:t>
            </w:r>
            <w:r w:rsidR="00507063">
              <w:rPr>
                <w:rFonts w:eastAsia="Calibri"/>
                <w:sz w:val="24"/>
                <w:szCs w:val="24"/>
              </w:rPr>
              <w:t xml:space="preserve"> </w:t>
            </w:r>
            <w:r w:rsidR="002814D2">
              <w:rPr>
                <w:rFonts w:eastAsia="Calibri"/>
                <w:sz w:val="24"/>
                <w:szCs w:val="24"/>
              </w:rPr>
              <w:t>v</w:t>
            </w:r>
            <w:r w:rsidR="00507063" w:rsidRPr="009249FF">
              <w:rPr>
                <w:rFonts w:eastAsia="Calibri"/>
                <w:sz w:val="24"/>
                <w:szCs w:val="24"/>
              </w:rPr>
              <w:t>alsts nodevu par īpašuma tiesību nostiprināšanu zemesgrāmatā par katru nekustamo īpašumu nosaka šādā apmērā:</w:t>
            </w:r>
          </w:p>
          <w:p w14:paraId="21BF13CF" w14:textId="22BBAAF0" w:rsidR="00507063" w:rsidRPr="009249FF" w:rsidRDefault="00507063" w:rsidP="00507063">
            <w:pPr>
              <w:shd w:val="clear" w:color="auto" w:fill="FFFFFF"/>
              <w:spacing w:after="0" w:line="240" w:lineRule="auto"/>
              <w:jc w:val="both"/>
              <w:rPr>
                <w:rFonts w:eastAsia="Calibri"/>
                <w:sz w:val="24"/>
                <w:szCs w:val="24"/>
              </w:rPr>
            </w:pPr>
            <w:r w:rsidRPr="009249FF">
              <w:rPr>
                <w:rFonts w:eastAsia="Calibri"/>
                <w:sz w:val="24"/>
                <w:szCs w:val="24"/>
              </w:rPr>
              <w:t>1. īpašuma atsavināšana uz līguma vai tiesas lēmuma pamata par izsoles akta apstiprināšanu vai uz tiesas lēmuma pamata par nekustamā īpašuma nostiprināšanu nosolītājam, līdzīpašniekam vai kreditoram – 1,5 % no nekustamā īpašuma vērtības (euro), ja īpašuma tiesības iegūst fiziska persona;</w:t>
            </w:r>
          </w:p>
          <w:p w14:paraId="3A67AD9D" w14:textId="6051803E" w:rsidR="00507063" w:rsidRPr="009249FF" w:rsidRDefault="00507063" w:rsidP="00507063">
            <w:pPr>
              <w:shd w:val="clear" w:color="auto" w:fill="FFFFFF"/>
              <w:spacing w:after="0" w:line="240" w:lineRule="auto"/>
              <w:jc w:val="both"/>
              <w:rPr>
                <w:rFonts w:eastAsia="Calibri"/>
                <w:sz w:val="24"/>
                <w:szCs w:val="24"/>
              </w:rPr>
            </w:pPr>
            <w:r w:rsidRPr="009249FF">
              <w:rPr>
                <w:rFonts w:eastAsia="Calibri"/>
                <w:sz w:val="24"/>
                <w:szCs w:val="24"/>
              </w:rPr>
              <w:t>2. īpašuma atsavināšana uz līguma vai tiesas lēmuma pamata par izsoles akta apstiprināšanu vai uz tiesas lēmuma pamata par nekustamā īpašuma nostiprināšanu nosolītājam, līdzīpašniekam vai kreditoram – 2 % no nekustamā īpašuma vērtības (euro), ja īpašuma tiesības iegūst juridiska persona;</w:t>
            </w:r>
          </w:p>
          <w:p w14:paraId="367C2977" w14:textId="7DACD541" w:rsidR="00507063" w:rsidRPr="009249FF" w:rsidRDefault="00507063" w:rsidP="00507063">
            <w:pPr>
              <w:shd w:val="clear" w:color="auto" w:fill="FFFFFF"/>
              <w:spacing w:after="0" w:line="240" w:lineRule="auto"/>
              <w:jc w:val="both"/>
              <w:rPr>
                <w:rFonts w:eastAsia="Calibri"/>
                <w:sz w:val="24"/>
                <w:szCs w:val="24"/>
              </w:rPr>
            </w:pPr>
            <w:r>
              <w:rPr>
                <w:rFonts w:eastAsia="Calibri"/>
                <w:sz w:val="24"/>
                <w:szCs w:val="24"/>
              </w:rPr>
              <w:t>3</w:t>
            </w:r>
            <w:r w:rsidRPr="009249FF">
              <w:rPr>
                <w:rFonts w:eastAsia="Calibri"/>
                <w:sz w:val="24"/>
                <w:szCs w:val="24"/>
              </w:rPr>
              <w:t>. īpašuma atsavināšana uz dāvinājuma līguma pamata – 3 % no nekustamā īpašuma vērtības (euro);</w:t>
            </w:r>
          </w:p>
          <w:p w14:paraId="690B9728" w14:textId="55827B44" w:rsidR="007459FE" w:rsidRDefault="00507063" w:rsidP="00507063">
            <w:pPr>
              <w:spacing w:after="0" w:line="240" w:lineRule="auto"/>
              <w:jc w:val="both"/>
              <w:rPr>
                <w:rFonts w:eastAsia="Calibri"/>
                <w:sz w:val="24"/>
                <w:szCs w:val="24"/>
              </w:rPr>
            </w:pPr>
            <w:r>
              <w:rPr>
                <w:rFonts w:eastAsia="Calibri"/>
                <w:sz w:val="24"/>
                <w:szCs w:val="24"/>
              </w:rPr>
              <w:t>4</w:t>
            </w:r>
            <w:r w:rsidRPr="009249FF">
              <w:rPr>
                <w:rFonts w:eastAsia="Calibri"/>
                <w:sz w:val="24"/>
                <w:szCs w:val="24"/>
              </w:rPr>
              <w:t>. nekustamā īpašuma ieguldīšana kapitālsabiedrības pamatkapitālā – 1 % no kapitālsabiedrības pamatkapitālā ieguldāmās nekustamā īpašuma ieguldījuma summas (euro)</w:t>
            </w:r>
            <w:r w:rsidR="003B6BF2">
              <w:rPr>
                <w:rFonts w:eastAsia="Calibri"/>
                <w:sz w:val="24"/>
                <w:szCs w:val="24"/>
              </w:rPr>
              <w:t>.</w:t>
            </w:r>
          </w:p>
          <w:p w14:paraId="68D54D9E" w14:textId="7CB2BB3C" w:rsidR="00DD7534" w:rsidRDefault="00DD7534" w:rsidP="00507063">
            <w:pPr>
              <w:spacing w:after="0" w:line="240" w:lineRule="auto"/>
              <w:jc w:val="both"/>
              <w:rPr>
                <w:rFonts w:eastAsia="Calibri"/>
                <w:sz w:val="24"/>
                <w:szCs w:val="24"/>
              </w:rPr>
            </w:pPr>
            <w:r>
              <w:rPr>
                <w:rFonts w:eastAsia="Calibri"/>
                <w:sz w:val="24"/>
                <w:szCs w:val="24"/>
              </w:rPr>
              <w:t xml:space="preserve">Vienlaikus atbilstoši </w:t>
            </w:r>
            <w:r w:rsidR="00CB0FAA">
              <w:rPr>
                <w:rFonts w:eastAsia="Calibri"/>
                <w:sz w:val="24"/>
                <w:szCs w:val="24"/>
              </w:rPr>
              <w:t xml:space="preserve">noteikumu Nr. 1250 </w:t>
            </w:r>
            <w:r w:rsidR="00CB0FAA" w:rsidRPr="00CB0FAA">
              <w:rPr>
                <w:rFonts w:eastAsia="Calibri"/>
                <w:sz w:val="24"/>
                <w:szCs w:val="24"/>
              </w:rPr>
              <w:t>7.</w:t>
            </w:r>
            <w:r w:rsidR="00CB0FAA" w:rsidRPr="00CB0FAA">
              <w:rPr>
                <w:rFonts w:eastAsia="Calibri"/>
                <w:sz w:val="24"/>
                <w:szCs w:val="24"/>
                <w:vertAlign w:val="superscript"/>
              </w:rPr>
              <w:t>3</w:t>
            </w:r>
            <w:r w:rsidR="00CB0FAA" w:rsidRPr="00CB0FAA">
              <w:rPr>
                <w:rFonts w:eastAsia="Calibri"/>
                <w:sz w:val="24"/>
                <w:szCs w:val="24"/>
              </w:rPr>
              <w:t> un 7.</w:t>
            </w:r>
            <w:r w:rsidR="00CB0FAA" w:rsidRPr="00CB0FAA">
              <w:rPr>
                <w:rFonts w:eastAsia="Calibri"/>
                <w:sz w:val="24"/>
                <w:szCs w:val="24"/>
                <w:vertAlign w:val="superscript"/>
              </w:rPr>
              <w:t>4 </w:t>
            </w:r>
            <w:r w:rsidR="00CB0FAA" w:rsidRPr="00CB0FAA">
              <w:rPr>
                <w:rFonts w:eastAsia="Calibri"/>
                <w:sz w:val="24"/>
                <w:szCs w:val="24"/>
              </w:rPr>
              <w:t> punkt</w:t>
            </w:r>
            <w:r w:rsidR="00CB0FAA">
              <w:rPr>
                <w:rFonts w:eastAsia="Calibri"/>
                <w:sz w:val="24"/>
                <w:szCs w:val="24"/>
              </w:rPr>
              <w:t>am noteikt</w:t>
            </w:r>
            <w:r w:rsidR="00B40231">
              <w:rPr>
                <w:rFonts w:eastAsia="Calibri"/>
                <w:sz w:val="24"/>
                <w:szCs w:val="24"/>
              </w:rPr>
              <w:t>a samazināta valsts nodeva</w:t>
            </w:r>
            <w:r w:rsidR="00CB0FAA">
              <w:rPr>
                <w:rFonts w:eastAsia="Calibri"/>
                <w:sz w:val="24"/>
                <w:szCs w:val="24"/>
              </w:rPr>
              <w:t xml:space="preserve"> </w:t>
            </w:r>
            <w:r w:rsidR="00B40231">
              <w:rPr>
                <w:rFonts w:eastAsia="Calibri"/>
                <w:sz w:val="24"/>
                <w:szCs w:val="24"/>
              </w:rPr>
              <w:t>par īpašum</w:t>
            </w:r>
            <w:r w:rsidR="00B72D55">
              <w:rPr>
                <w:rFonts w:eastAsia="Calibri"/>
                <w:sz w:val="24"/>
                <w:szCs w:val="24"/>
              </w:rPr>
              <w:t xml:space="preserve">a </w:t>
            </w:r>
            <w:r w:rsidR="00B40231">
              <w:rPr>
                <w:rFonts w:eastAsia="Calibri"/>
                <w:sz w:val="24"/>
                <w:szCs w:val="24"/>
              </w:rPr>
              <w:t>tiesību nostiprināšanu zemesgrāmatā</w:t>
            </w:r>
            <w:r w:rsidR="004D1623">
              <w:rPr>
                <w:rFonts w:eastAsia="Calibri"/>
                <w:sz w:val="24"/>
                <w:szCs w:val="24"/>
              </w:rPr>
              <w:t xml:space="preserve"> saskaņā ar šo noteikumu 6. punktu</w:t>
            </w:r>
            <w:r w:rsidR="00636CD2">
              <w:rPr>
                <w:rFonts w:eastAsia="Calibri"/>
                <w:sz w:val="24"/>
                <w:szCs w:val="24"/>
              </w:rPr>
              <w:t xml:space="preserve">, ja </w:t>
            </w:r>
            <w:r w:rsidR="00B40231">
              <w:rPr>
                <w:rFonts w:eastAsia="Calibri"/>
                <w:sz w:val="24"/>
                <w:szCs w:val="24"/>
              </w:rPr>
              <w:t>v</w:t>
            </w:r>
            <w:r w:rsidR="00B40231" w:rsidRPr="00B40231">
              <w:rPr>
                <w:rFonts w:eastAsia="Calibri"/>
                <w:sz w:val="24"/>
                <w:szCs w:val="24"/>
              </w:rPr>
              <w:t xml:space="preserve">ecākam ir derīga karte, kas izsniegta Latvijas Goda ģimenes apliecības </w:t>
            </w:r>
            <w:r w:rsidR="00B40231" w:rsidRPr="008C5C39">
              <w:rPr>
                <w:rFonts w:eastAsia="Calibri"/>
                <w:sz w:val="24"/>
                <w:szCs w:val="24"/>
              </w:rPr>
              <w:t>programmas ietvaros</w:t>
            </w:r>
            <w:r w:rsidR="00636CD2" w:rsidRPr="008C5C39">
              <w:rPr>
                <w:rFonts w:eastAsia="Calibri"/>
                <w:sz w:val="24"/>
                <w:szCs w:val="24"/>
              </w:rPr>
              <w:t xml:space="preserve">. Norādāms, ka </w:t>
            </w:r>
            <w:r w:rsidR="008C5C39" w:rsidRPr="008C5C39">
              <w:rPr>
                <w:rFonts w:eastAsia="Calibri"/>
                <w:sz w:val="24"/>
                <w:szCs w:val="24"/>
              </w:rPr>
              <w:t xml:space="preserve">saskaņā ar </w:t>
            </w:r>
            <w:r w:rsidR="008C5C39" w:rsidRPr="000C3A88">
              <w:rPr>
                <w:sz w:val="24"/>
                <w:szCs w:val="24"/>
              </w:rPr>
              <w:t>Ministru kabineta 2016.</w:t>
            </w:r>
            <w:r w:rsidR="008C5C39" w:rsidRPr="008C5C39">
              <w:rPr>
                <w:sz w:val="24"/>
                <w:szCs w:val="24"/>
              </w:rPr>
              <w:t> </w:t>
            </w:r>
            <w:r w:rsidR="008C5C39" w:rsidRPr="000C3A88">
              <w:rPr>
                <w:sz w:val="24"/>
                <w:szCs w:val="24"/>
              </w:rPr>
              <w:t>gada 5.</w:t>
            </w:r>
            <w:r w:rsidR="008C5C39" w:rsidRPr="008C5C39">
              <w:rPr>
                <w:sz w:val="24"/>
                <w:szCs w:val="24"/>
              </w:rPr>
              <w:t> </w:t>
            </w:r>
            <w:r w:rsidR="008C5C39" w:rsidRPr="000C3A88">
              <w:rPr>
                <w:sz w:val="24"/>
                <w:szCs w:val="24"/>
              </w:rPr>
              <w:t>janvār</w:t>
            </w:r>
            <w:r w:rsidR="008C5C39" w:rsidRPr="008C5C39">
              <w:rPr>
                <w:sz w:val="24"/>
                <w:szCs w:val="24"/>
              </w:rPr>
              <w:t>a</w:t>
            </w:r>
            <w:r w:rsidR="008C5C39" w:rsidRPr="000C3A88">
              <w:rPr>
                <w:sz w:val="24"/>
                <w:szCs w:val="24"/>
              </w:rPr>
              <w:t xml:space="preserve"> noteikum</w:t>
            </w:r>
            <w:r w:rsidR="00FC6B0C">
              <w:rPr>
                <w:sz w:val="24"/>
                <w:szCs w:val="24"/>
              </w:rPr>
              <w:t>u</w:t>
            </w:r>
            <w:r w:rsidR="008C5C39" w:rsidRPr="000C3A88">
              <w:rPr>
                <w:sz w:val="24"/>
                <w:szCs w:val="24"/>
              </w:rPr>
              <w:t xml:space="preserve"> Nr.</w:t>
            </w:r>
            <w:r w:rsidR="008C5C39" w:rsidRPr="008C5C39">
              <w:rPr>
                <w:sz w:val="24"/>
                <w:szCs w:val="24"/>
              </w:rPr>
              <w:t> </w:t>
            </w:r>
            <w:r w:rsidR="008C5C39" w:rsidRPr="000C3A88">
              <w:rPr>
                <w:sz w:val="24"/>
                <w:szCs w:val="24"/>
              </w:rPr>
              <w:t>15</w:t>
            </w:r>
            <w:r w:rsidR="008C5C39" w:rsidRPr="008C5C39">
              <w:rPr>
                <w:sz w:val="24"/>
                <w:szCs w:val="24"/>
              </w:rPr>
              <w:t xml:space="preserve"> "</w:t>
            </w:r>
            <w:r w:rsidR="008C5C39" w:rsidRPr="000C3A88">
              <w:rPr>
                <w:sz w:val="24"/>
                <w:szCs w:val="24"/>
              </w:rPr>
              <w:t>Valsts atbalsta programmas "Latvijas Goda ģimenes apliecība "3+ Ģimenes karte"" īstenošanas kārtība</w:t>
            </w:r>
            <w:r w:rsidR="008C5C39" w:rsidRPr="008C5C39">
              <w:rPr>
                <w:sz w:val="24"/>
                <w:szCs w:val="24"/>
              </w:rPr>
              <w:t>"</w:t>
            </w:r>
            <w:r w:rsidR="008C5C39">
              <w:rPr>
                <w:sz w:val="24"/>
                <w:szCs w:val="24"/>
              </w:rPr>
              <w:t xml:space="preserve"> </w:t>
            </w:r>
            <w:r w:rsidR="00FC6B0C">
              <w:rPr>
                <w:sz w:val="24"/>
                <w:szCs w:val="24"/>
              </w:rPr>
              <w:t>7. un 7</w:t>
            </w:r>
            <w:r w:rsidR="00CB2D77">
              <w:rPr>
                <w:sz w:val="24"/>
                <w:szCs w:val="24"/>
              </w:rPr>
              <w:t>.</w:t>
            </w:r>
            <w:r w:rsidR="00CB2D77">
              <w:rPr>
                <w:sz w:val="24"/>
                <w:szCs w:val="24"/>
                <w:vertAlign w:val="superscript"/>
              </w:rPr>
              <w:t>1 </w:t>
            </w:r>
            <w:r w:rsidR="00CB2D77">
              <w:rPr>
                <w:sz w:val="24"/>
                <w:szCs w:val="24"/>
              </w:rPr>
              <w:t>punkt</w:t>
            </w:r>
            <w:r w:rsidR="0018103F">
              <w:rPr>
                <w:sz w:val="24"/>
                <w:szCs w:val="24"/>
              </w:rPr>
              <w:t>u</w:t>
            </w:r>
            <w:r w:rsidR="00FC6B0C">
              <w:rPr>
                <w:sz w:val="24"/>
                <w:szCs w:val="24"/>
              </w:rPr>
              <w:t xml:space="preserve"> </w:t>
            </w:r>
            <w:r w:rsidR="00837483" w:rsidRPr="00837483">
              <w:rPr>
                <w:sz w:val="24"/>
                <w:szCs w:val="24"/>
              </w:rPr>
              <w:t>Latvijas Goda ģimenes apliecīb</w:t>
            </w:r>
            <w:r w:rsidR="00837483">
              <w:rPr>
                <w:sz w:val="24"/>
                <w:szCs w:val="24"/>
              </w:rPr>
              <w:t xml:space="preserve">u var </w:t>
            </w:r>
            <w:r w:rsidR="00FC6B0C" w:rsidRPr="00FC6B0C">
              <w:rPr>
                <w:sz w:val="24"/>
                <w:szCs w:val="24"/>
              </w:rPr>
              <w:t>piešķir daudzbērnu ģimenes loceklim, kas atbilst daudzbērnu ģimenes statusam</w:t>
            </w:r>
            <w:r w:rsidR="00FC6B0C">
              <w:rPr>
                <w:sz w:val="24"/>
                <w:szCs w:val="24"/>
              </w:rPr>
              <w:t xml:space="preserve">, tajā skaitā, </w:t>
            </w:r>
            <w:r w:rsidR="00CB2D77" w:rsidRPr="00CB2D77">
              <w:rPr>
                <w:sz w:val="24"/>
                <w:szCs w:val="24"/>
              </w:rPr>
              <w:t>bērniem, kuri ir sasnieguši septiņu gadu vecumu, un pilngadīgām personām, kuras turpina iegūt izglītību</w:t>
            </w:r>
            <w:r w:rsidR="00CB2D77">
              <w:rPr>
                <w:sz w:val="24"/>
                <w:szCs w:val="24"/>
              </w:rPr>
              <w:t xml:space="preserve">. Tādējādi pašreiz </w:t>
            </w:r>
            <w:r w:rsidR="00CB2D77" w:rsidRPr="00CB2D77">
              <w:rPr>
                <w:sz w:val="24"/>
                <w:szCs w:val="24"/>
              </w:rPr>
              <w:t>noteikumu Nr. 1250 7.</w:t>
            </w:r>
            <w:r w:rsidR="00CB2D77" w:rsidRPr="00CB2D77">
              <w:rPr>
                <w:sz w:val="24"/>
                <w:szCs w:val="24"/>
                <w:vertAlign w:val="superscript"/>
              </w:rPr>
              <w:t>3</w:t>
            </w:r>
            <w:r w:rsidR="00CB2D77" w:rsidRPr="00CB2D77">
              <w:rPr>
                <w:sz w:val="24"/>
                <w:szCs w:val="24"/>
              </w:rPr>
              <w:t> un 7.</w:t>
            </w:r>
            <w:r w:rsidR="00CB2D77" w:rsidRPr="00CB2D77">
              <w:rPr>
                <w:sz w:val="24"/>
                <w:szCs w:val="24"/>
                <w:vertAlign w:val="superscript"/>
              </w:rPr>
              <w:t>4 </w:t>
            </w:r>
            <w:r w:rsidR="00CB2D77" w:rsidRPr="00CB2D77">
              <w:rPr>
                <w:sz w:val="24"/>
                <w:szCs w:val="24"/>
              </w:rPr>
              <w:t> punkt</w:t>
            </w:r>
            <w:r w:rsidR="00062072">
              <w:rPr>
                <w:sz w:val="24"/>
                <w:szCs w:val="24"/>
              </w:rPr>
              <w:t>s</w:t>
            </w:r>
            <w:r w:rsidR="00CB2D77">
              <w:rPr>
                <w:sz w:val="24"/>
                <w:szCs w:val="24"/>
              </w:rPr>
              <w:t xml:space="preserve"> neapver visas</w:t>
            </w:r>
            <w:r w:rsidR="00CB2D77" w:rsidRPr="00CB2D77">
              <w:rPr>
                <w:sz w:val="24"/>
                <w:szCs w:val="24"/>
              </w:rPr>
              <w:t xml:space="preserve"> </w:t>
            </w:r>
            <w:r w:rsidR="00CB2D77" w:rsidRPr="000C3A88">
              <w:rPr>
                <w:sz w:val="24"/>
                <w:szCs w:val="24"/>
              </w:rPr>
              <w:t>Ministru kabineta 2016.</w:t>
            </w:r>
            <w:r w:rsidR="00CB2D77" w:rsidRPr="00CB2D77">
              <w:rPr>
                <w:sz w:val="24"/>
                <w:szCs w:val="24"/>
              </w:rPr>
              <w:t> </w:t>
            </w:r>
            <w:r w:rsidR="00CB2D77" w:rsidRPr="000C3A88">
              <w:rPr>
                <w:sz w:val="24"/>
                <w:szCs w:val="24"/>
              </w:rPr>
              <w:t>gada 5.</w:t>
            </w:r>
            <w:r w:rsidR="00CB2D77" w:rsidRPr="00CB2D77">
              <w:rPr>
                <w:sz w:val="24"/>
                <w:szCs w:val="24"/>
              </w:rPr>
              <w:t> </w:t>
            </w:r>
            <w:r w:rsidR="00CB2D77" w:rsidRPr="000C3A88">
              <w:rPr>
                <w:sz w:val="24"/>
                <w:szCs w:val="24"/>
              </w:rPr>
              <w:t>janvār</w:t>
            </w:r>
            <w:r w:rsidR="00CB2D77" w:rsidRPr="00CB2D77">
              <w:rPr>
                <w:sz w:val="24"/>
                <w:szCs w:val="24"/>
              </w:rPr>
              <w:t>a</w:t>
            </w:r>
            <w:r w:rsidR="00CB2D77" w:rsidRPr="000C3A88">
              <w:rPr>
                <w:sz w:val="24"/>
                <w:szCs w:val="24"/>
              </w:rPr>
              <w:t xml:space="preserve"> noteikum</w:t>
            </w:r>
            <w:r w:rsidR="00CB2D77">
              <w:rPr>
                <w:sz w:val="24"/>
                <w:szCs w:val="24"/>
              </w:rPr>
              <w:t>os</w:t>
            </w:r>
            <w:r w:rsidR="00CB2D77" w:rsidRPr="000C3A88">
              <w:rPr>
                <w:sz w:val="24"/>
                <w:szCs w:val="24"/>
              </w:rPr>
              <w:t xml:space="preserve"> Nr.</w:t>
            </w:r>
            <w:r w:rsidR="00CB2D77" w:rsidRPr="00CB2D77">
              <w:rPr>
                <w:sz w:val="24"/>
                <w:szCs w:val="24"/>
              </w:rPr>
              <w:t> </w:t>
            </w:r>
            <w:r w:rsidR="00CB2D77" w:rsidRPr="000C3A88">
              <w:rPr>
                <w:sz w:val="24"/>
                <w:szCs w:val="24"/>
              </w:rPr>
              <w:t>15</w:t>
            </w:r>
            <w:r w:rsidR="00CB2D77" w:rsidRPr="00CB2D77">
              <w:rPr>
                <w:sz w:val="24"/>
                <w:szCs w:val="24"/>
              </w:rPr>
              <w:t xml:space="preserve"> "</w:t>
            </w:r>
            <w:r w:rsidR="00CB2D77" w:rsidRPr="000C3A88">
              <w:rPr>
                <w:sz w:val="24"/>
                <w:szCs w:val="24"/>
              </w:rPr>
              <w:t>Valsts atbalsta programmas "Latvijas Goda ģimenes apliecība "3+ Ģimenes karte"" īstenošanas kārtība</w:t>
            </w:r>
            <w:r w:rsidR="00CB2D77" w:rsidRPr="00CB2D77">
              <w:rPr>
                <w:sz w:val="24"/>
                <w:szCs w:val="24"/>
              </w:rPr>
              <w:t xml:space="preserve">" </w:t>
            </w:r>
            <w:r w:rsidR="00CB2D77">
              <w:rPr>
                <w:sz w:val="24"/>
                <w:szCs w:val="24"/>
              </w:rPr>
              <w:t xml:space="preserve">noteiktās personas, kurām var tikt piešķirta Latvijas Goda ģimenes karte. Ievērojot minēto, noteikumu </w:t>
            </w:r>
            <w:r w:rsidR="00CB2D77">
              <w:rPr>
                <w:sz w:val="24"/>
                <w:szCs w:val="24"/>
              </w:rPr>
              <w:lastRenderedPageBreak/>
              <w:t xml:space="preserve">projekts precizē </w:t>
            </w:r>
            <w:r w:rsidR="00CB2D77" w:rsidRPr="00CB2D77">
              <w:rPr>
                <w:sz w:val="24"/>
                <w:szCs w:val="24"/>
              </w:rPr>
              <w:t>noteikumu Nr. 1250 7.</w:t>
            </w:r>
            <w:r w:rsidR="00CB2D77" w:rsidRPr="00CB2D77">
              <w:rPr>
                <w:sz w:val="24"/>
                <w:szCs w:val="24"/>
                <w:vertAlign w:val="superscript"/>
              </w:rPr>
              <w:t>3</w:t>
            </w:r>
            <w:r w:rsidR="00CB2D77" w:rsidRPr="00CB2D77">
              <w:rPr>
                <w:sz w:val="24"/>
                <w:szCs w:val="24"/>
              </w:rPr>
              <w:t> un 7.</w:t>
            </w:r>
            <w:r w:rsidR="00CB2D77" w:rsidRPr="00CB2D77">
              <w:rPr>
                <w:sz w:val="24"/>
                <w:szCs w:val="24"/>
                <w:vertAlign w:val="superscript"/>
              </w:rPr>
              <w:t>4 </w:t>
            </w:r>
            <w:r w:rsidR="00CB2D77" w:rsidRPr="00CB2D77">
              <w:rPr>
                <w:sz w:val="24"/>
                <w:szCs w:val="24"/>
              </w:rPr>
              <w:t> punkt</w:t>
            </w:r>
            <w:r w:rsidR="00CB2D77">
              <w:rPr>
                <w:sz w:val="24"/>
                <w:szCs w:val="24"/>
              </w:rPr>
              <w:t>u, aizstājot vārdu "vecāks" ar vārdu "persona".</w:t>
            </w:r>
          </w:p>
          <w:p w14:paraId="30C06537" w14:textId="3B02787E" w:rsidR="00065F7D" w:rsidRPr="00A35A64" w:rsidRDefault="005B36BA" w:rsidP="00507063">
            <w:pPr>
              <w:spacing w:after="0" w:line="240" w:lineRule="auto"/>
              <w:jc w:val="both"/>
              <w:rPr>
                <w:rFonts w:eastAsia="Times New Roman"/>
                <w:bCs/>
                <w:sz w:val="24"/>
                <w:szCs w:val="24"/>
                <w:lang w:eastAsia="lv-LV"/>
              </w:rPr>
            </w:pPr>
            <w:r>
              <w:rPr>
                <w:rFonts w:eastAsia="Calibri"/>
                <w:sz w:val="24"/>
                <w:szCs w:val="24"/>
              </w:rPr>
              <w:t>Noteikumu projektā noteiktajam regulējuma paredzēta spēkā stāšanās 2021. gada 1. jūnijā.</w:t>
            </w:r>
            <w:r w:rsidR="00704CBF" w:rsidRPr="00704CBF">
              <w:rPr>
                <w:rFonts w:eastAsia="Calibri"/>
                <w:sz w:val="24"/>
                <w:szCs w:val="24"/>
              </w:rPr>
              <w:t xml:space="preserve"> </w:t>
            </w:r>
          </w:p>
        </w:tc>
      </w:tr>
      <w:tr w:rsidR="00DA326E" w:rsidRPr="00BC2633" w14:paraId="1AA028D9" w14:textId="77777777" w:rsidTr="00B72D55">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3D285142"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lastRenderedPageBreak/>
              <w:t>3.</w:t>
            </w:r>
          </w:p>
        </w:tc>
        <w:tc>
          <w:tcPr>
            <w:tcW w:w="1287" w:type="pct"/>
            <w:gridSpan w:val="2"/>
            <w:tcBorders>
              <w:top w:val="outset" w:sz="6" w:space="0" w:color="414142"/>
              <w:left w:val="outset" w:sz="6" w:space="0" w:color="414142"/>
              <w:bottom w:val="outset" w:sz="6" w:space="0" w:color="414142"/>
              <w:right w:val="outset" w:sz="6" w:space="0" w:color="414142"/>
            </w:tcBorders>
            <w:hideMark/>
          </w:tcPr>
          <w:p w14:paraId="4EC22A37" w14:textId="51CE741F"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Projekta izstrādē iesaistītās institūcijas</w:t>
            </w:r>
            <w:r w:rsidR="00A1552F">
              <w:rPr>
                <w:rFonts w:eastAsia="Times New Roman"/>
                <w:sz w:val="24"/>
                <w:szCs w:val="24"/>
                <w:lang w:eastAsia="lv-LV"/>
              </w:rPr>
              <w:t xml:space="preserve"> </w:t>
            </w:r>
            <w:r w:rsidR="00A1552F" w:rsidRPr="00A1552F">
              <w:rPr>
                <w:rFonts w:eastAsia="Times New Roman"/>
                <w:sz w:val="24"/>
                <w:szCs w:val="24"/>
                <w:lang w:eastAsia="lv-LV"/>
              </w:rPr>
              <w:t>un publiskas personas kapitālsabiedrības</w:t>
            </w:r>
          </w:p>
        </w:tc>
        <w:tc>
          <w:tcPr>
            <w:tcW w:w="3513" w:type="pct"/>
            <w:gridSpan w:val="7"/>
            <w:tcBorders>
              <w:top w:val="outset" w:sz="6" w:space="0" w:color="414142"/>
              <w:left w:val="outset" w:sz="6" w:space="0" w:color="414142"/>
              <w:bottom w:val="outset" w:sz="6" w:space="0" w:color="414142"/>
              <w:right w:val="outset" w:sz="6" w:space="0" w:color="414142"/>
            </w:tcBorders>
            <w:hideMark/>
          </w:tcPr>
          <w:p w14:paraId="09DA66A3" w14:textId="6969E19E" w:rsidR="004D15A9" w:rsidRPr="00BC2633" w:rsidRDefault="00EE46B0" w:rsidP="00C26E82">
            <w:pPr>
              <w:spacing w:after="0" w:line="240" w:lineRule="auto"/>
              <w:jc w:val="both"/>
              <w:rPr>
                <w:rFonts w:eastAsia="Times New Roman"/>
                <w:sz w:val="24"/>
                <w:szCs w:val="24"/>
                <w:lang w:eastAsia="lv-LV"/>
              </w:rPr>
            </w:pPr>
            <w:r>
              <w:rPr>
                <w:rFonts w:eastAsia="Times New Roman"/>
                <w:sz w:val="24"/>
                <w:szCs w:val="24"/>
                <w:lang w:eastAsia="lv-LV"/>
              </w:rPr>
              <w:t>Tieslietu ministrija</w:t>
            </w:r>
            <w:r w:rsidRPr="00197F8F">
              <w:rPr>
                <w:rFonts w:eastAsia="Times New Roman"/>
                <w:sz w:val="24"/>
                <w:szCs w:val="24"/>
                <w:lang w:eastAsia="lv-LV"/>
              </w:rPr>
              <w:t>.</w:t>
            </w:r>
          </w:p>
        </w:tc>
      </w:tr>
      <w:tr w:rsidR="00DA326E" w:rsidRPr="00BC2633" w14:paraId="4416C82A" w14:textId="77777777" w:rsidTr="00B72D55">
        <w:tc>
          <w:tcPr>
            <w:tcW w:w="200" w:type="pct"/>
            <w:tcBorders>
              <w:top w:val="outset" w:sz="6" w:space="0" w:color="414142"/>
              <w:left w:val="outset" w:sz="6" w:space="0" w:color="414142"/>
              <w:bottom w:val="outset" w:sz="6" w:space="0" w:color="414142"/>
              <w:right w:val="outset" w:sz="6" w:space="0" w:color="414142"/>
            </w:tcBorders>
            <w:hideMark/>
          </w:tcPr>
          <w:p w14:paraId="0D4BD810"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4.</w:t>
            </w:r>
          </w:p>
        </w:tc>
        <w:tc>
          <w:tcPr>
            <w:tcW w:w="1287" w:type="pct"/>
            <w:gridSpan w:val="2"/>
            <w:tcBorders>
              <w:top w:val="outset" w:sz="6" w:space="0" w:color="414142"/>
              <w:left w:val="outset" w:sz="6" w:space="0" w:color="414142"/>
              <w:bottom w:val="outset" w:sz="6" w:space="0" w:color="414142"/>
              <w:right w:val="outset" w:sz="6" w:space="0" w:color="414142"/>
            </w:tcBorders>
            <w:hideMark/>
          </w:tcPr>
          <w:p w14:paraId="31AC9F60"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Cita informācija</w:t>
            </w:r>
          </w:p>
        </w:tc>
        <w:tc>
          <w:tcPr>
            <w:tcW w:w="3513" w:type="pct"/>
            <w:gridSpan w:val="7"/>
            <w:tcBorders>
              <w:top w:val="outset" w:sz="6" w:space="0" w:color="414142"/>
              <w:left w:val="outset" w:sz="6" w:space="0" w:color="414142"/>
              <w:bottom w:val="outset" w:sz="6" w:space="0" w:color="414142"/>
              <w:right w:val="outset" w:sz="6" w:space="0" w:color="414142"/>
            </w:tcBorders>
            <w:hideMark/>
          </w:tcPr>
          <w:p w14:paraId="1182056C" w14:textId="4E935B09" w:rsidR="004D15A9" w:rsidRPr="00BC2633" w:rsidRDefault="00EE46B0" w:rsidP="00C26E82">
            <w:pPr>
              <w:spacing w:after="0" w:line="240" w:lineRule="auto"/>
              <w:jc w:val="both"/>
              <w:rPr>
                <w:rFonts w:eastAsia="Times New Roman"/>
                <w:sz w:val="24"/>
                <w:szCs w:val="24"/>
                <w:lang w:eastAsia="lv-LV"/>
              </w:rPr>
            </w:pPr>
            <w:r>
              <w:rPr>
                <w:rFonts w:eastAsia="Times New Roman"/>
                <w:sz w:val="24"/>
                <w:szCs w:val="24"/>
                <w:lang w:eastAsia="lv-LV"/>
              </w:rPr>
              <w:t>Nav.</w:t>
            </w:r>
          </w:p>
        </w:tc>
      </w:tr>
      <w:tr w:rsidR="005D4E8A" w:rsidRPr="00BC2633" w14:paraId="4A35F0EC" w14:textId="77777777" w:rsidTr="0059057E">
        <w:trPr>
          <w:trHeight w:val="128"/>
        </w:trPr>
        <w:tc>
          <w:tcPr>
            <w:tcW w:w="5000" w:type="pct"/>
            <w:gridSpan w:val="10"/>
            <w:tcBorders>
              <w:top w:val="outset" w:sz="6" w:space="0" w:color="414142"/>
              <w:left w:val="nil"/>
              <w:bottom w:val="outset" w:sz="6" w:space="0" w:color="414142"/>
              <w:right w:val="nil"/>
            </w:tcBorders>
          </w:tcPr>
          <w:p w14:paraId="3909DB7C" w14:textId="77777777" w:rsidR="00031256" w:rsidRPr="00BC2633" w:rsidRDefault="0081203F" w:rsidP="00C26E82">
            <w:pPr>
              <w:tabs>
                <w:tab w:val="left" w:pos="990"/>
              </w:tabs>
              <w:spacing w:after="0" w:line="240" w:lineRule="auto"/>
              <w:rPr>
                <w:rFonts w:eastAsia="Times New Roman"/>
                <w:sz w:val="24"/>
                <w:szCs w:val="24"/>
                <w:lang w:eastAsia="lv-LV"/>
              </w:rPr>
            </w:pPr>
            <w:r w:rsidRPr="00BC2633">
              <w:rPr>
                <w:rFonts w:eastAsia="Times New Roman"/>
                <w:sz w:val="24"/>
                <w:szCs w:val="24"/>
                <w:lang w:eastAsia="lv-LV"/>
              </w:rPr>
              <w:tab/>
            </w:r>
          </w:p>
        </w:tc>
      </w:tr>
      <w:tr w:rsidR="00BC2633" w:rsidRPr="00BC2633" w14:paraId="231B55F5" w14:textId="77777777" w:rsidTr="0059057E">
        <w:trPr>
          <w:trHeight w:val="555"/>
        </w:trPr>
        <w:tc>
          <w:tcPr>
            <w:tcW w:w="5000" w:type="pct"/>
            <w:gridSpan w:val="10"/>
            <w:tcBorders>
              <w:top w:val="nil"/>
              <w:left w:val="outset" w:sz="6" w:space="0" w:color="414142"/>
              <w:bottom w:val="outset" w:sz="6" w:space="0" w:color="414142"/>
              <w:right w:val="outset" w:sz="6" w:space="0" w:color="414142"/>
            </w:tcBorders>
            <w:vAlign w:val="center"/>
            <w:hideMark/>
          </w:tcPr>
          <w:p w14:paraId="4C70EC05" w14:textId="77777777" w:rsidR="004D15A9" w:rsidRPr="00BC2633" w:rsidRDefault="004D15A9" w:rsidP="00C26E82">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II. Tiesību akta projekta ietekme uz sabiedrību, tautsaimniecības attīstību un administratīvo slogu</w:t>
            </w:r>
          </w:p>
        </w:tc>
      </w:tr>
      <w:tr w:rsidR="00DA326E" w:rsidRPr="00BC2633" w14:paraId="2C9F3255" w14:textId="77777777" w:rsidTr="00B72D55">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6ABD5F2F"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1.</w:t>
            </w:r>
          </w:p>
        </w:tc>
        <w:tc>
          <w:tcPr>
            <w:tcW w:w="1287" w:type="pct"/>
            <w:gridSpan w:val="2"/>
            <w:tcBorders>
              <w:top w:val="outset" w:sz="6" w:space="0" w:color="414142"/>
              <w:left w:val="outset" w:sz="6" w:space="0" w:color="414142"/>
              <w:bottom w:val="outset" w:sz="6" w:space="0" w:color="414142"/>
              <w:right w:val="outset" w:sz="6" w:space="0" w:color="414142"/>
            </w:tcBorders>
            <w:hideMark/>
          </w:tcPr>
          <w:p w14:paraId="7DF97D57"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Sabiedrības mērķgrupas, kuras tiesiskais regulējums ietekmē vai varētu ietekmēt</w:t>
            </w:r>
          </w:p>
        </w:tc>
        <w:tc>
          <w:tcPr>
            <w:tcW w:w="3513" w:type="pct"/>
            <w:gridSpan w:val="7"/>
            <w:tcBorders>
              <w:top w:val="outset" w:sz="6" w:space="0" w:color="414142"/>
              <w:left w:val="outset" w:sz="6" w:space="0" w:color="414142"/>
              <w:bottom w:val="outset" w:sz="6" w:space="0" w:color="414142"/>
              <w:right w:val="outset" w:sz="6" w:space="0" w:color="414142"/>
            </w:tcBorders>
            <w:hideMark/>
          </w:tcPr>
          <w:p w14:paraId="674A68B1" w14:textId="7BC806A7" w:rsidR="00FD1D37" w:rsidRPr="00BC2633" w:rsidRDefault="004A265E" w:rsidP="0051773C">
            <w:pPr>
              <w:spacing w:after="0" w:line="240" w:lineRule="auto"/>
              <w:jc w:val="both"/>
              <w:rPr>
                <w:rFonts w:eastAsia="Times New Roman"/>
                <w:sz w:val="24"/>
                <w:szCs w:val="24"/>
                <w:lang w:eastAsia="lv-LV"/>
              </w:rPr>
            </w:pPr>
            <w:r w:rsidRPr="004A265E">
              <w:rPr>
                <w:rFonts w:eastAsia="Times New Roman"/>
                <w:sz w:val="24"/>
                <w:szCs w:val="24"/>
                <w:lang w:eastAsia="lv-LV"/>
              </w:rPr>
              <w:t xml:space="preserve">Sabiedrības mērķgrupas kopējo skaitlisko apmēru noteikt nav iespējams. Noteikumu projekts attiecas uz </w:t>
            </w:r>
            <w:r w:rsidR="00D50DDA" w:rsidRPr="00D50DDA">
              <w:rPr>
                <w:rFonts w:eastAsia="Times New Roman"/>
                <w:sz w:val="24"/>
                <w:szCs w:val="24"/>
                <w:lang w:eastAsia="lv-LV"/>
              </w:rPr>
              <w:t>personām, kurām piešķirta Latvijas Goda ģimenes karte</w:t>
            </w:r>
            <w:r w:rsidR="00D50DDA">
              <w:rPr>
                <w:rFonts w:eastAsia="Times New Roman"/>
                <w:sz w:val="24"/>
                <w:szCs w:val="24"/>
                <w:lang w:eastAsia="lv-LV"/>
              </w:rPr>
              <w:t>, un uz</w:t>
            </w:r>
            <w:r w:rsidR="00D50DDA" w:rsidRPr="00D50DDA">
              <w:rPr>
                <w:rFonts w:eastAsia="Times New Roman"/>
                <w:sz w:val="24"/>
                <w:szCs w:val="24"/>
                <w:lang w:eastAsia="lv-LV"/>
              </w:rPr>
              <w:t xml:space="preserve"> </w:t>
            </w:r>
            <w:r w:rsidR="001B1E02">
              <w:rPr>
                <w:rFonts w:eastAsia="Times New Roman"/>
                <w:sz w:val="24"/>
                <w:szCs w:val="24"/>
                <w:lang w:eastAsia="lv-LV"/>
              </w:rPr>
              <w:t xml:space="preserve">ikvienu fizisku un juridisku </w:t>
            </w:r>
            <w:r w:rsidRPr="004A265E">
              <w:rPr>
                <w:rFonts w:eastAsia="Times New Roman"/>
                <w:sz w:val="24"/>
                <w:szCs w:val="24"/>
                <w:lang w:eastAsia="lv-LV"/>
              </w:rPr>
              <w:t>ikvienu, kura nākotnē</w:t>
            </w:r>
            <w:r w:rsidR="001B1E02">
              <w:rPr>
                <w:rFonts w:eastAsia="Times New Roman"/>
                <w:sz w:val="24"/>
                <w:szCs w:val="24"/>
                <w:lang w:eastAsia="lv-LV"/>
              </w:rPr>
              <w:t xml:space="preserve"> vēlēsies nostiprināt īpašuma tiesības</w:t>
            </w:r>
            <w:r w:rsidR="00947336">
              <w:rPr>
                <w:rFonts w:eastAsia="Times New Roman"/>
                <w:sz w:val="24"/>
                <w:szCs w:val="24"/>
                <w:lang w:eastAsia="lv-LV"/>
              </w:rPr>
              <w:t>, pamatojoties</w:t>
            </w:r>
            <w:r w:rsidR="001B1E02" w:rsidRPr="001B1E02">
              <w:rPr>
                <w:rFonts w:eastAsia="Times New Roman"/>
                <w:sz w:val="24"/>
                <w:szCs w:val="24"/>
                <w:lang w:eastAsia="lv-LV"/>
              </w:rPr>
              <w:t xml:space="preserve"> uz īpašuma atsavināšanu uz līguma vai tiesas lēmuma pamata par izsoles akta apstiprināšanu vai uz tiesas lēmuma pamata par nekustamā īpašuma nostiprināšanu</w:t>
            </w:r>
            <w:r w:rsidR="00D33E57">
              <w:rPr>
                <w:rFonts w:eastAsia="Times New Roman"/>
                <w:sz w:val="24"/>
                <w:szCs w:val="24"/>
                <w:lang w:eastAsia="lv-LV"/>
              </w:rPr>
              <w:t>, jo tiek samazināts valsts nodevas apmērs par īpašuma tiesību nostiprināšanu zemesgrāmatā minētajos gadījumos.</w:t>
            </w:r>
            <w:r w:rsidR="001B1E02">
              <w:rPr>
                <w:rFonts w:eastAsia="Times New Roman"/>
                <w:sz w:val="24"/>
                <w:szCs w:val="24"/>
                <w:lang w:eastAsia="lv-LV"/>
              </w:rPr>
              <w:t xml:space="preserve"> </w:t>
            </w:r>
          </w:p>
        </w:tc>
      </w:tr>
      <w:tr w:rsidR="00DA326E" w:rsidRPr="00BC2633" w14:paraId="135FDA25" w14:textId="77777777" w:rsidTr="00B72D55">
        <w:trPr>
          <w:trHeight w:val="510"/>
        </w:trPr>
        <w:tc>
          <w:tcPr>
            <w:tcW w:w="200" w:type="pct"/>
            <w:tcBorders>
              <w:top w:val="outset" w:sz="6" w:space="0" w:color="414142"/>
              <w:left w:val="outset" w:sz="6" w:space="0" w:color="414142"/>
              <w:bottom w:val="outset" w:sz="6" w:space="0" w:color="414142"/>
              <w:right w:val="outset" w:sz="6" w:space="0" w:color="414142"/>
            </w:tcBorders>
            <w:hideMark/>
          </w:tcPr>
          <w:p w14:paraId="725AAD29"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2.</w:t>
            </w:r>
          </w:p>
        </w:tc>
        <w:tc>
          <w:tcPr>
            <w:tcW w:w="1287" w:type="pct"/>
            <w:gridSpan w:val="2"/>
            <w:tcBorders>
              <w:top w:val="outset" w:sz="6" w:space="0" w:color="414142"/>
              <w:left w:val="outset" w:sz="6" w:space="0" w:color="414142"/>
              <w:bottom w:val="outset" w:sz="6" w:space="0" w:color="414142"/>
              <w:right w:val="outset" w:sz="6" w:space="0" w:color="414142"/>
            </w:tcBorders>
            <w:hideMark/>
          </w:tcPr>
          <w:p w14:paraId="1BB1E646"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Tiesiskā regulējuma ietekme uz tautsaimniecību un administratīvo slogu</w:t>
            </w:r>
          </w:p>
        </w:tc>
        <w:tc>
          <w:tcPr>
            <w:tcW w:w="3513" w:type="pct"/>
            <w:gridSpan w:val="7"/>
            <w:tcBorders>
              <w:top w:val="outset" w:sz="6" w:space="0" w:color="414142"/>
              <w:left w:val="outset" w:sz="6" w:space="0" w:color="414142"/>
              <w:bottom w:val="outset" w:sz="6" w:space="0" w:color="414142"/>
              <w:right w:val="outset" w:sz="6" w:space="0" w:color="414142"/>
            </w:tcBorders>
            <w:hideMark/>
          </w:tcPr>
          <w:p w14:paraId="41536339" w14:textId="09BFBB45" w:rsidR="00A35AB6" w:rsidRDefault="00A35AB6" w:rsidP="00A35AB6">
            <w:pPr>
              <w:spacing w:after="0" w:line="240" w:lineRule="auto"/>
              <w:jc w:val="both"/>
              <w:rPr>
                <w:rFonts w:eastAsia="Calibri"/>
                <w:sz w:val="24"/>
                <w:szCs w:val="24"/>
              </w:rPr>
            </w:pPr>
            <w:r>
              <w:rPr>
                <w:rFonts w:eastAsia="Calibri"/>
                <w:sz w:val="24"/>
                <w:szCs w:val="24"/>
              </w:rPr>
              <w:t xml:space="preserve">Papildus norādāms, ka </w:t>
            </w:r>
            <w:r w:rsidRPr="00A35AB6">
              <w:rPr>
                <w:rFonts w:eastAsia="Calibri"/>
                <w:sz w:val="24"/>
                <w:szCs w:val="24"/>
              </w:rPr>
              <w:t>valsts nodevas par īpašuma tiesību nostiprināšanu apmēra pārskatīšana, to samazinot, veicinās īpašuma tiesību savlaicīgu nostiprināšanu, tādējādi nodrošinot zemesgrāmatas kā publiska reģistra mērķi – sniegt publiski ticamu informāciju par nekustamā īpašuma īpašnieku. Īpašuma tiesību nostiprināšana vērsta uz trešo personu aizsardzību, kurām, iegādājoties nekustamu īpašumu vai arī pieņemot nekustamu īpašumu kā ķīlu, jābūt pārliecinātām par iegūto tiesību patiesumu, stabilitāti, neapstrīdamību un prioritāti.</w:t>
            </w:r>
          </w:p>
          <w:p w14:paraId="013F9D62" w14:textId="17615D80" w:rsidR="00A35AB6" w:rsidRDefault="00A35AB6" w:rsidP="00A35AB6">
            <w:pPr>
              <w:spacing w:after="0" w:line="240" w:lineRule="auto"/>
              <w:jc w:val="both"/>
              <w:rPr>
                <w:rFonts w:eastAsia="Calibri"/>
                <w:sz w:val="24"/>
                <w:szCs w:val="24"/>
              </w:rPr>
            </w:pPr>
            <w:r w:rsidRPr="00A35AB6">
              <w:rPr>
                <w:rFonts w:eastAsia="Calibri"/>
                <w:sz w:val="24"/>
                <w:szCs w:val="24"/>
              </w:rPr>
              <w:t>Kā norādīts priekšlikuma pamatojumā, atbilstoši Nekustamā īpašuma attīstītāju alianses veiktajam aprēķinam izmaiņas pozitīvi veicinās juridisko personu investīciju piesaisti dzīvokļu īpašumu</w:t>
            </w:r>
            <w:r w:rsidRPr="00CC7E30">
              <w:rPr>
                <w:rFonts w:eastAsia="Calibri"/>
                <w:sz w:val="24"/>
                <w:szCs w:val="24"/>
              </w:rPr>
              <w:t xml:space="preserve"> </w:t>
            </w:r>
            <w:r w:rsidRPr="00A35AB6">
              <w:rPr>
                <w:rFonts w:eastAsia="Calibri"/>
                <w:sz w:val="24"/>
                <w:szCs w:val="24"/>
              </w:rPr>
              <w:t>iegādei, būtiski nesamazinot ieņēmumus no nodevām, bet vienlaikus palielinot kopējos nodokļu ieņēmumus par aptuveni 1,26</w:t>
            </w:r>
            <w:r w:rsidR="00514371">
              <w:rPr>
                <w:rFonts w:eastAsia="Calibri"/>
                <w:sz w:val="24"/>
                <w:szCs w:val="24"/>
              </w:rPr>
              <w:t> </w:t>
            </w:r>
            <w:r w:rsidRPr="00A35AB6">
              <w:rPr>
                <w:rFonts w:eastAsia="Calibri"/>
                <w:sz w:val="24"/>
                <w:szCs w:val="24"/>
              </w:rPr>
              <w:t>milj.</w:t>
            </w:r>
            <w:r w:rsidR="00514371">
              <w:rPr>
                <w:rFonts w:eastAsia="Calibri"/>
                <w:sz w:val="24"/>
                <w:szCs w:val="24"/>
              </w:rPr>
              <w:t> </w:t>
            </w:r>
            <w:r w:rsidRPr="00514371">
              <w:rPr>
                <w:rFonts w:eastAsia="Calibri"/>
                <w:i/>
                <w:iCs/>
                <w:sz w:val="24"/>
                <w:szCs w:val="24"/>
              </w:rPr>
              <w:t>euro</w:t>
            </w:r>
            <w:r w:rsidRPr="00A35AB6">
              <w:rPr>
                <w:rFonts w:eastAsia="Calibri"/>
                <w:sz w:val="24"/>
                <w:szCs w:val="24"/>
              </w:rPr>
              <w:t xml:space="preserve"> gadā. Turklāt lielāku investīciju piesaisti nodrošinās arī investīciju pieaugums īres tirgū pēc jaunā Dzīvojamo telpu īres likuma stāšanās spēkā, kas tādējādi pozitīvi ietekmēs ieņēmumus no nodevām.</w:t>
            </w:r>
          </w:p>
          <w:p w14:paraId="12DBBFF5" w14:textId="0D4CA7FB" w:rsidR="00703120" w:rsidRPr="00BC2633" w:rsidRDefault="00703120" w:rsidP="003333C4">
            <w:pPr>
              <w:spacing w:after="0" w:line="240" w:lineRule="auto"/>
              <w:jc w:val="both"/>
              <w:rPr>
                <w:rFonts w:eastAsia="Times New Roman"/>
                <w:sz w:val="24"/>
                <w:szCs w:val="24"/>
                <w:lang w:eastAsia="lv-LV"/>
              </w:rPr>
            </w:pPr>
          </w:p>
        </w:tc>
      </w:tr>
      <w:tr w:rsidR="00DA326E" w:rsidRPr="00BC2633" w14:paraId="5245BA7A" w14:textId="77777777" w:rsidTr="00B72D55">
        <w:trPr>
          <w:trHeight w:val="510"/>
        </w:trPr>
        <w:tc>
          <w:tcPr>
            <w:tcW w:w="200" w:type="pct"/>
            <w:tcBorders>
              <w:top w:val="outset" w:sz="6" w:space="0" w:color="414142"/>
              <w:left w:val="outset" w:sz="6" w:space="0" w:color="414142"/>
              <w:bottom w:val="outset" w:sz="6" w:space="0" w:color="414142"/>
              <w:right w:val="outset" w:sz="6" w:space="0" w:color="414142"/>
            </w:tcBorders>
            <w:hideMark/>
          </w:tcPr>
          <w:p w14:paraId="5F40837F"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3.</w:t>
            </w:r>
          </w:p>
        </w:tc>
        <w:tc>
          <w:tcPr>
            <w:tcW w:w="1287" w:type="pct"/>
            <w:gridSpan w:val="2"/>
            <w:tcBorders>
              <w:top w:val="outset" w:sz="6" w:space="0" w:color="414142"/>
              <w:left w:val="outset" w:sz="6" w:space="0" w:color="414142"/>
              <w:bottom w:val="outset" w:sz="6" w:space="0" w:color="414142"/>
              <w:right w:val="outset" w:sz="6" w:space="0" w:color="414142"/>
            </w:tcBorders>
            <w:hideMark/>
          </w:tcPr>
          <w:p w14:paraId="490198F8"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Administratīvo izmaksu monetārs novērtējums</w:t>
            </w:r>
          </w:p>
        </w:tc>
        <w:tc>
          <w:tcPr>
            <w:tcW w:w="3513" w:type="pct"/>
            <w:gridSpan w:val="7"/>
            <w:tcBorders>
              <w:top w:val="outset" w:sz="6" w:space="0" w:color="414142"/>
              <w:left w:val="outset" w:sz="6" w:space="0" w:color="414142"/>
              <w:bottom w:val="outset" w:sz="6" w:space="0" w:color="414142"/>
              <w:right w:val="outset" w:sz="6" w:space="0" w:color="414142"/>
            </w:tcBorders>
            <w:hideMark/>
          </w:tcPr>
          <w:p w14:paraId="5D564945" w14:textId="18C6D18A" w:rsidR="00201B6E" w:rsidRPr="00BC2633" w:rsidRDefault="007A4A34" w:rsidP="00C26E82">
            <w:pPr>
              <w:spacing w:after="0" w:line="240" w:lineRule="auto"/>
              <w:jc w:val="both"/>
              <w:rPr>
                <w:rFonts w:eastAsia="Times New Roman"/>
                <w:sz w:val="24"/>
                <w:szCs w:val="24"/>
                <w:lang w:eastAsia="lv-LV"/>
              </w:rPr>
            </w:pPr>
            <w:r>
              <w:rPr>
                <w:rFonts w:eastAsia="Times New Roman"/>
                <w:sz w:val="24"/>
                <w:szCs w:val="24"/>
                <w:lang w:eastAsia="lv-LV"/>
              </w:rPr>
              <w:t xml:space="preserve">Fiziskām personām īpašuma atsavināšanas vai tiesas nolēmuma gadījumā nodevas likme samazināsies par 1/4, fizisko personu gadījumā par 2/3. </w:t>
            </w:r>
          </w:p>
        </w:tc>
      </w:tr>
      <w:tr w:rsidR="00DA326E" w:rsidRPr="00BC2633" w14:paraId="2C02878A" w14:textId="77777777" w:rsidTr="00B72D55">
        <w:trPr>
          <w:trHeight w:val="510"/>
        </w:trPr>
        <w:tc>
          <w:tcPr>
            <w:tcW w:w="200" w:type="pct"/>
            <w:tcBorders>
              <w:top w:val="outset" w:sz="6" w:space="0" w:color="414142"/>
              <w:left w:val="outset" w:sz="6" w:space="0" w:color="414142"/>
              <w:bottom w:val="outset" w:sz="6" w:space="0" w:color="414142"/>
              <w:right w:val="outset" w:sz="6" w:space="0" w:color="414142"/>
            </w:tcBorders>
          </w:tcPr>
          <w:p w14:paraId="5745159C" w14:textId="017EBBC8" w:rsidR="00A1552F" w:rsidRPr="00604C73" w:rsidRDefault="00A1552F" w:rsidP="00C26E82">
            <w:pPr>
              <w:spacing w:after="0" w:line="240" w:lineRule="auto"/>
              <w:rPr>
                <w:rFonts w:eastAsia="Times New Roman"/>
                <w:sz w:val="24"/>
                <w:szCs w:val="24"/>
                <w:lang w:eastAsia="lv-LV"/>
              </w:rPr>
            </w:pPr>
            <w:r w:rsidRPr="00604C73">
              <w:rPr>
                <w:rFonts w:eastAsia="Times New Roman"/>
                <w:sz w:val="24"/>
                <w:szCs w:val="24"/>
                <w:lang w:eastAsia="lv-LV"/>
              </w:rPr>
              <w:t>4.</w:t>
            </w:r>
          </w:p>
        </w:tc>
        <w:tc>
          <w:tcPr>
            <w:tcW w:w="1287" w:type="pct"/>
            <w:gridSpan w:val="2"/>
            <w:tcBorders>
              <w:top w:val="outset" w:sz="6" w:space="0" w:color="414142"/>
              <w:left w:val="outset" w:sz="6" w:space="0" w:color="414142"/>
              <w:bottom w:val="outset" w:sz="6" w:space="0" w:color="414142"/>
              <w:right w:val="outset" w:sz="6" w:space="0" w:color="414142"/>
            </w:tcBorders>
          </w:tcPr>
          <w:p w14:paraId="105AF451" w14:textId="0BBD8082" w:rsidR="00A1552F" w:rsidRPr="00604C73" w:rsidRDefault="00A1552F" w:rsidP="00C26E82">
            <w:pPr>
              <w:spacing w:after="0" w:line="240" w:lineRule="auto"/>
              <w:rPr>
                <w:rFonts w:eastAsia="Times New Roman"/>
                <w:sz w:val="24"/>
                <w:szCs w:val="24"/>
                <w:lang w:eastAsia="lv-LV"/>
              </w:rPr>
            </w:pPr>
            <w:r w:rsidRPr="00604C73">
              <w:rPr>
                <w:rFonts w:eastAsia="Times New Roman"/>
                <w:sz w:val="24"/>
                <w:szCs w:val="24"/>
                <w:lang w:eastAsia="lv-LV"/>
              </w:rPr>
              <w:t>Atbilstības izmaksu monetārs novērtējums</w:t>
            </w:r>
          </w:p>
        </w:tc>
        <w:tc>
          <w:tcPr>
            <w:tcW w:w="3513" w:type="pct"/>
            <w:gridSpan w:val="7"/>
            <w:tcBorders>
              <w:top w:val="outset" w:sz="6" w:space="0" w:color="414142"/>
              <w:left w:val="outset" w:sz="6" w:space="0" w:color="414142"/>
              <w:bottom w:val="outset" w:sz="6" w:space="0" w:color="414142"/>
              <w:right w:val="outset" w:sz="6" w:space="0" w:color="414142"/>
            </w:tcBorders>
          </w:tcPr>
          <w:p w14:paraId="0C5B7775" w14:textId="0541036D" w:rsidR="00201B6E" w:rsidRPr="00604C73" w:rsidRDefault="00B946ED" w:rsidP="00C26E82">
            <w:pPr>
              <w:spacing w:after="0" w:line="240" w:lineRule="auto"/>
              <w:jc w:val="both"/>
              <w:rPr>
                <w:rFonts w:eastAsia="Times New Roman"/>
                <w:sz w:val="24"/>
                <w:szCs w:val="24"/>
                <w:lang w:eastAsia="lv-LV"/>
              </w:rPr>
            </w:pPr>
            <w:r>
              <w:rPr>
                <w:rFonts w:eastAsia="Times New Roman"/>
                <w:sz w:val="24"/>
                <w:szCs w:val="24"/>
                <w:lang w:eastAsia="lv-LV"/>
              </w:rPr>
              <w:t xml:space="preserve">Noteikumu </w:t>
            </w:r>
            <w:r w:rsidR="00A957CD" w:rsidRPr="00A957CD">
              <w:rPr>
                <w:rFonts w:eastAsia="Times New Roman"/>
                <w:sz w:val="24"/>
                <w:szCs w:val="24"/>
                <w:lang w:eastAsia="lv-LV"/>
              </w:rPr>
              <w:t>projekts šo jomu neskar.</w:t>
            </w:r>
          </w:p>
        </w:tc>
      </w:tr>
      <w:tr w:rsidR="00DA326E" w:rsidRPr="00BC2633" w14:paraId="058C8E07" w14:textId="77777777" w:rsidTr="00B72D55">
        <w:trPr>
          <w:trHeight w:val="345"/>
        </w:trPr>
        <w:tc>
          <w:tcPr>
            <w:tcW w:w="200" w:type="pct"/>
            <w:tcBorders>
              <w:top w:val="outset" w:sz="6" w:space="0" w:color="414142"/>
              <w:left w:val="outset" w:sz="6" w:space="0" w:color="414142"/>
              <w:bottom w:val="single" w:sz="4" w:space="0" w:color="auto"/>
              <w:right w:val="outset" w:sz="6" w:space="0" w:color="414142"/>
            </w:tcBorders>
            <w:hideMark/>
          </w:tcPr>
          <w:p w14:paraId="580FAF10" w14:textId="4634BFC2" w:rsidR="004D15A9" w:rsidRPr="00BC2633" w:rsidRDefault="00A1552F" w:rsidP="00C26E82">
            <w:pPr>
              <w:spacing w:after="0" w:line="240" w:lineRule="auto"/>
              <w:rPr>
                <w:rFonts w:eastAsia="Times New Roman"/>
                <w:sz w:val="24"/>
                <w:szCs w:val="24"/>
                <w:lang w:eastAsia="lv-LV"/>
              </w:rPr>
            </w:pPr>
            <w:r>
              <w:rPr>
                <w:rFonts w:eastAsia="Times New Roman"/>
                <w:sz w:val="24"/>
                <w:szCs w:val="24"/>
                <w:lang w:eastAsia="lv-LV"/>
              </w:rPr>
              <w:t>5</w:t>
            </w:r>
            <w:r w:rsidR="004D15A9" w:rsidRPr="00BC2633">
              <w:rPr>
                <w:rFonts w:eastAsia="Times New Roman"/>
                <w:sz w:val="24"/>
                <w:szCs w:val="24"/>
                <w:lang w:eastAsia="lv-LV"/>
              </w:rPr>
              <w:t>.</w:t>
            </w:r>
          </w:p>
        </w:tc>
        <w:tc>
          <w:tcPr>
            <w:tcW w:w="1287" w:type="pct"/>
            <w:gridSpan w:val="2"/>
            <w:tcBorders>
              <w:top w:val="outset" w:sz="6" w:space="0" w:color="414142"/>
              <w:left w:val="outset" w:sz="6" w:space="0" w:color="414142"/>
              <w:bottom w:val="single" w:sz="4" w:space="0" w:color="auto"/>
              <w:right w:val="outset" w:sz="6" w:space="0" w:color="414142"/>
            </w:tcBorders>
            <w:hideMark/>
          </w:tcPr>
          <w:p w14:paraId="6CBBE35C"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Cita informācija</w:t>
            </w:r>
          </w:p>
        </w:tc>
        <w:tc>
          <w:tcPr>
            <w:tcW w:w="3513" w:type="pct"/>
            <w:gridSpan w:val="7"/>
            <w:tcBorders>
              <w:top w:val="outset" w:sz="6" w:space="0" w:color="414142"/>
              <w:left w:val="outset" w:sz="6" w:space="0" w:color="414142"/>
              <w:bottom w:val="single" w:sz="4" w:space="0" w:color="auto"/>
              <w:right w:val="outset" w:sz="6" w:space="0" w:color="414142"/>
            </w:tcBorders>
            <w:hideMark/>
          </w:tcPr>
          <w:p w14:paraId="5CC17AB0" w14:textId="01101157" w:rsidR="004D15A9" w:rsidRPr="00BC2633" w:rsidRDefault="00201B6E" w:rsidP="00C26E82">
            <w:pPr>
              <w:spacing w:after="0" w:line="240" w:lineRule="auto"/>
              <w:jc w:val="both"/>
              <w:rPr>
                <w:rFonts w:eastAsia="Times New Roman"/>
                <w:sz w:val="24"/>
                <w:szCs w:val="24"/>
                <w:lang w:eastAsia="lv-LV"/>
              </w:rPr>
            </w:pPr>
            <w:r>
              <w:rPr>
                <w:rFonts w:eastAsia="Times New Roman"/>
                <w:sz w:val="24"/>
                <w:szCs w:val="24"/>
                <w:lang w:eastAsia="lv-LV"/>
              </w:rPr>
              <w:t>Nav.</w:t>
            </w:r>
          </w:p>
        </w:tc>
      </w:tr>
      <w:tr w:rsidR="0059057E" w:rsidRPr="00BC2633" w14:paraId="347A5AC7" w14:textId="77777777" w:rsidTr="0059057E">
        <w:trPr>
          <w:trHeight w:val="360"/>
        </w:trPr>
        <w:tc>
          <w:tcPr>
            <w:tcW w:w="5000" w:type="pct"/>
            <w:gridSpan w:val="10"/>
            <w:tcBorders>
              <w:top w:val="single" w:sz="4" w:space="0" w:color="auto"/>
              <w:left w:val="nil"/>
              <w:bottom w:val="nil"/>
              <w:right w:val="nil"/>
            </w:tcBorders>
            <w:vAlign w:val="center"/>
          </w:tcPr>
          <w:p w14:paraId="541E9657" w14:textId="77777777" w:rsidR="0059057E" w:rsidRDefault="0059057E" w:rsidP="00C26E82">
            <w:pPr>
              <w:spacing w:after="0" w:line="240" w:lineRule="auto"/>
              <w:ind w:firstLine="300"/>
              <w:jc w:val="center"/>
              <w:rPr>
                <w:rFonts w:eastAsia="Times New Roman"/>
                <w:b/>
                <w:bCs/>
                <w:sz w:val="24"/>
                <w:szCs w:val="24"/>
                <w:lang w:eastAsia="lv-LV"/>
              </w:rPr>
            </w:pPr>
          </w:p>
        </w:tc>
      </w:tr>
      <w:tr w:rsidR="003643DC" w:rsidRPr="003643DC" w14:paraId="329BB3A1" w14:textId="77777777" w:rsidTr="0016497A">
        <w:trPr>
          <w:trHeight w:val="360"/>
        </w:trPr>
        <w:tc>
          <w:tcPr>
            <w:tcW w:w="5000" w:type="pct"/>
            <w:gridSpan w:val="10"/>
            <w:tcBorders>
              <w:top w:val="single" w:sz="4" w:space="0" w:color="auto"/>
              <w:left w:val="outset" w:sz="6" w:space="0" w:color="414142"/>
              <w:bottom w:val="outset" w:sz="6" w:space="0" w:color="414142"/>
              <w:right w:val="outset" w:sz="6" w:space="0" w:color="414142"/>
            </w:tcBorders>
            <w:vAlign w:val="center"/>
            <w:hideMark/>
          </w:tcPr>
          <w:p w14:paraId="7D514A48" w14:textId="77777777" w:rsidR="003643DC" w:rsidRPr="003643DC" w:rsidRDefault="003643DC" w:rsidP="003643DC">
            <w:pPr>
              <w:spacing w:after="0" w:line="240" w:lineRule="auto"/>
              <w:jc w:val="center"/>
              <w:rPr>
                <w:rFonts w:eastAsia="Times New Roman"/>
                <w:b/>
                <w:bCs/>
                <w:sz w:val="24"/>
                <w:szCs w:val="24"/>
                <w:lang w:eastAsia="lv-LV"/>
              </w:rPr>
            </w:pPr>
            <w:r w:rsidRPr="003643DC">
              <w:rPr>
                <w:rFonts w:eastAsia="Times New Roman"/>
                <w:b/>
                <w:bCs/>
                <w:sz w:val="24"/>
                <w:szCs w:val="24"/>
                <w:lang w:eastAsia="lv-LV"/>
              </w:rPr>
              <w:lastRenderedPageBreak/>
              <w:t>III. Tiesību akta projekta ietekme uz valsts budžetu un pašvaldību budžetiem</w:t>
            </w:r>
          </w:p>
        </w:tc>
      </w:tr>
      <w:tr w:rsidR="003643DC" w:rsidRPr="003643DC" w14:paraId="7036A499" w14:textId="77777777" w:rsidTr="001649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vMerge w:val="restart"/>
            <w:shd w:val="clear" w:color="auto" w:fill="FFFFFF"/>
            <w:vAlign w:val="center"/>
          </w:tcPr>
          <w:p w14:paraId="1A46EA8D" w14:textId="77777777" w:rsidR="003643DC" w:rsidRPr="003643DC" w:rsidRDefault="003643DC" w:rsidP="003643DC">
            <w:pPr>
              <w:spacing w:after="0" w:line="240" w:lineRule="auto"/>
              <w:rPr>
                <w:rFonts w:eastAsia="Times New Roman"/>
                <w:sz w:val="24"/>
                <w:szCs w:val="24"/>
                <w:lang w:eastAsia="lv-LV"/>
              </w:rPr>
            </w:pPr>
            <w:r w:rsidRPr="003643DC">
              <w:rPr>
                <w:rFonts w:eastAsia="Times New Roman"/>
                <w:sz w:val="24"/>
                <w:szCs w:val="24"/>
                <w:lang w:eastAsia="lv-LV"/>
              </w:rPr>
              <w:t>Rādītāji</w:t>
            </w:r>
          </w:p>
        </w:tc>
        <w:tc>
          <w:tcPr>
            <w:tcW w:w="1097" w:type="pct"/>
            <w:gridSpan w:val="3"/>
            <w:vMerge w:val="restart"/>
            <w:shd w:val="clear" w:color="auto" w:fill="FFFFFF"/>
            <w:vAlign w:val="center"/>
            <w:hideMark/>
          </w:tcPr>
          <w:p w14:paraId="2DA0EC81" w14:textId="35DF4511" w:rsidR="003643DC" w:rsidRPr="003643DC" w:rsidRDefault="003643DC" w:rsidP="003643DC">
            <w:pPr>
              <w:spacing w:after="0" w:line="240" w:lineRule="auto"/>
              <w:rPr>
                <w:rFonts w:eastAsia="Times New Roman"/>
                <w:sz w:val="24"/>
                <w:szCs w:val="24"/>
                <w:lang w:eastAsia="lv-LV"/>
              </w:rPr>
            </w:pPr>
            <w:r w:rsidRPr="003643DC">
              <w:rPr>
                <w:rFonts w:eastAsia="Times New Roman"/>
                <w:sz w:val="24"/>
                <w:szCs w:val="24"/>
                <w:lang w:eastAsia="lv-LV"/>
              </w:rPr>
              <w:t>20</w:t>
            </w:r>
            <w:r w:rsidR="00FC4A54">
              <w:rPr>
                <w:rFonts w:eastAsia="Times New Roman"/>
                <w:sz w:val="24"/>
                <w:szCs w:val="24"/>
                <w:lang w:eastAsia="lv-LV"/>
              </w:rPr>
              <w:t>21</w:t>
            </w:r>
            <w:r w:rsidRPr="003643DC">
              <w:rPr>
                <w:rFonts w:eastAsia="Times New Roman"/>
                <w:sz w:val="24"/>
                <w:szCs w:val="24"/>
                <w:lang w:eastAsia="lv-LV"/>
              </w:rPr>
              <w:t>. gads</w:t>
            </w:r>
          </w:p>
        </w:tc>
        <w:tc>
          <w:tcPr>
            <w:tcW w:w="2652" w:type="pct"/>
            <w:gridSpan w:val="5"/>
            <w:shd w:val="clear" w:color="auto" w:fill="FFFFFF"/>
            <w:vAlign w:val="center"/>
            <w:hideMark/>
          </w:tcPr>
          <w:p w14:paraId="119DDD12" w14:textId="77777777" w:rsidR="003643DC" w:rsidRPr="003643DC" w:rsidRDefault="003643DC" w:rsidP="003643DC">
            <w:pPr>
              <w:spacing w:after="0" w:line="240" w:lineRule="auto"/>
              <w:rPr>
                <w:rFonts w:eastAsia="Times New Roman"/>
                <w:sz w:val="24"/>
                <w:szCs w:val="24"/>
                <w:lang w:eastAsia="lv-LV"/>
              </w:rPr>
            </w:pPr>
            <w:r w:rsidRPr="003643DC">
              <w:rPr>
                <w:rFonts w:eastAsia="Times New Roman"/>
                <w:sz w:val="24"/>
                <w:szCs w:val="24"/>
                <w:lang w:eastAsia="lv-LV"/>
              </w:rPr>
              <w:t>Turpmākie trīs gadi (</w:t>
            </w:r>
            <w:r w:rsidRPr="003643DC">
              <w:rPr>
                <w:rFonts w:eastAsia="Times New Roman"/>
                <w:i/>
                <w:sz w:val="24"/>
                <w:szCs w:val="24"/>
                <w:lang w:eastAsia="lv-LV"/>
              </w:rPr>
              <w:t>euro</w:t>
            </w:r>
            <w:r w:rsidRPr="003643DC">
              <w:rPr>
                <w:rFonts w:eastAsia="Times New Roman"/>
                <w:sz w:val="24"/>
                <w:szCs w:val="24"/>
                <w:lang w:eastAsia="lv-LV"/>
              </w:rPr>
              <w:t>)</w:t>
            </w:r>
          </w:p>
        </w:tc>
      </w:tr>
      <w:tr w:rsidR="003643DC" w:rsidRPr="003643DC" w14:paraId="621A31BD" w14:textId="77777777" w:rsidTr="001649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vMerge/>
            <w:shd w:val="clear" w:color="auto" w:fill="auto"/>
            <w:vAlign w:val="center"/>
            <w:hideMark/>
          </w:tcPr>
          <w:p w14:paraId="7B557019" w14:textId="77777777" w:rsidR="003643DC" w:rsidRPr="003643DC" w:rsidRDefault="003643DC" w:rsidP="003643DC">
            <w:pPr>
              <w:spacing w:after="0" w:line="240" w:lineRule="auto"/>
              <w:rPr>
                <w:rFonts w:eastAsia="Times New Roman"/>
                <w:sz w:val="24"/>
                <w:szCs w:val="24"/>
                <w:lang w:eastAsia="lv-LV"/>
              </w:rPr>
            </w:pPr>
          </w:p>
        </w:tc>
        <w:tc>
          <w:tcPr>
            <w:tcW w:w="1097" w:type="pct"/>
            <w:gridSpan w:val="3"/>
            <w:vMerge/>
            <w:shd w:val="clear" w:color="auto" w:fill="auto"/>
            <w:vAlign w:val="center"/>
            <w:hideMark/>
          </w:tcPr>
          <w:p w14:paraId="17BA6C4A" w14:textId="77777777" w:rsidR="003643DC" w:rsidRPr="003643DC" w:rsidRDefault="003643DC" w:rsidP="003643DC">
            <w:pPr>
              <w:spacing w:after="0" w:line="240" w:lineRule="auto"/>
              <w:rPr>
                <w:rFonts w:eastAsia="Times New Roman"/>
                <w:sz w:val="24"/>
                <w:szCs w:val="24"/>
                <w:lang w:eastAsia="lv-LV"/>
              </w:rPr>
            </w:pPr>
          </w:p>
        </w:tc>
        <w:tc>
          <w:tcPr>
            <w:tcW w:w="1017" w:type="pct"/>
            <w:gridSpan w:val="2"/>
            <w:shd w:val="clear" w:color="auto" w:fill="FFFFFF"/>
            <w:vAlign w:val="center"/>
            <w:hideMark/>
          </w:tcPr>
          <w:p w14:paraId="65D91A70" w14:textId="55C2A93A" w:rsidR="003643DC" w:rsidRPr="003643DC" w:rsidRDefault="003643DC" w:rsidP="00D23C2F">
            <w:pPr>
              <w:spacing w:after="0" w:line="240" w:lineRule="auto"/>
              <w:jc w:val="center"/>
              <w:rPr>
                <w:rFonts w:eastAsia="Times New Roman"/>
                <w:sz w:val="24"/>
                <w:szCs w:val="24"/>
                <w:lang w:eastAsia="lv-LV"/>
              </w:rPr>
            </w:pPr>
            <w:r w:rsidRPr="003643DC">
              <w:rPr>
                <w:rFonts w:eastAsia="Times New Roman"/>
                <w:sz w:val="24"/>
                <w:szCs w:val="24"/>
                <w:lang w:eastAsia="lv-LV"/>
              </w:rPr>
              <w:t>202</w:t>
            </w:r>
            <w:r w:rsidR="00FC4A54">
              <w:rPr>
                <w:rFonts w:eastAsia="Times New Roman"/>
                <w:sz w:val="24"/>
                <w:szCs w:val="24"/>
                <w:lang w:eastAsia="lv-LV"/>
              </w:rPr>
              <w:t>2</w:t>
            </w:r>
          </w:p>
        </w:tc>
        <w:tc>
          <w:tcPr>
            <w:tcW w:w="1016" w:type="pct"/>
            <w:gridSpan w:val="2"/>
            <w:shd w:val="clear" w:color="auto" w:fill="FFFFFF"/>
            <w:vAlign w:val="center"/>
            <w:hideMark/>
          </w:tcPr>
          <w:p w14:paraId="54D8266F" w14:textId="0F8BB50C" w:rsidR="003643DC" w:rsidRPr="003643DC" w:rsidRDefault="003643DC" w:rsidP="00D23C2F">
            <w:pPr>
              <w:spacing w:after="0" w:line="240" w:lineRule="auto"/>
              <w:jc w:val="center"/>
              <w:rPr>
                <w:rFonts w:eastAsia="Times New Roman"/>
                <w:sz w:val="24"/>
                <w:szCs w:val="24"/>
                <w:lang w:eastAsia="lv-LV"/>
              </w:rPr>
            </w:pPr>
            <w:r w:rsidRPr="003643DC">
              <w:rPr>
                <w:rFonts w:eastAsia="Times New Roman"/>
                <w:sz w:val="24"/>
                <w:szCs w:val="24"/>
                <w:lang w:eastAsia="lv-LV"/>
              </w:rPr>
              <w:t>202</w:t>
            </w:r>
            <w:r w:rsidR="00D23C2F">
              <w:rPr>
                <w:rFonts w:eastAsia="Times New Roman"/>
                <w:sz w:val="24"/>
                <w:szCs w:val="24"/>
                <w:lang w:eastAsia="lv-LV"/>
              </w:rPr>
              <w:t>3</w:t>
            </w:r>
          </w:p>
        </w:tc>
        <w:tc>
          <w:tcPr>
            <w:tcW w:w="619" w:type="pct"/>
            <w:shd w:val="clear" w:color="auto" w:fill="FFFFFF"/>
            <w:vAlign w:val="center"/>
            <w:hideMark/>
          </w:tcPr>
          <w:p w14:paraId="034751CF" w14:textId="7B7A7974" w:rsidR="003643DC" w:rsidRPr="003643DC" w:rsidRDefault="003643DC" w:rsidP="00D23C2F">
            <w:pPr>
              <w:spacing w:after="0" w:line="240" w:lineRule="auto"/>
              <w:jc w:val="center"/>
              <w:rPr>
                <w:rFonts w:eastAsia="Times New Roman"/>
                <w:sz w:val="24"/>
                <w:szCs w:val="24"/>
                <w:lang w:eastAsia="lv-LV"/>
              </w:rPr>
            </w:pPr>
            <w:r w:rsidRPr="003643DC">
              <w:rPr>
                <w:rFonts w:eastAsia="Times New Roman"/>
                <w:sz w:val="24"/>
                <w:szCs w:val="24"/>
                <w:lang w:eastAsia="lv-LV"/>
              </w:rPr>
              <w:t>202</w:t>
            </w:r>
            <w:r w:rsidR="00D23C2F">
              <w:rPr>
                <w:rFonts w:eastAsia="Times New Roman"/>
                <w:sz w:val="24"/>
                <w:szCs w:val="24"/>
                <w:lang w:eastAsia="lv-LV"/>
              </w:rPr>
              <w:t>4</w:t>
            </w:r>
          </w:p>
        </w:tc>
      </w:tr>
      <w:tr w:rsidR="003643DC" w:rsidRPr="003643DC" w14:paraId="14DAD048" w14:textId="77777777" w:rsidTr="001649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vMerge/>
            <w:shd w:val="clear" w:color="auto" w:fill="auto"/>
            <w:vAlign w:val="center"/>
            <w:hideMark/>
          </w:tcPr>
          <w:p w14:paraId="21F2FAB4" w14:textId="77777777" w:rsidR="003643DC" w:rsidRPr="003643DC" w:rsidRDefault="003643DC" w:rsidP="003643DC">
            <w:pPr>
              <w:spacing w:after="0" w:line="240" w:lineRule="auto"/>
              <w:rPr>
                <w:rFonts w:eastAsia="Times New Roman"/>
                <w:sz w:val="24"/>
                <w:szCs w:val="24"/>
                <w:lang w:eastAsia="lv-LV"/>
              </w:rPr>
            </w:pPr>
          </w:p>
        </w:tc>
        <w:tc>
          <w:tcPr>
            <w:tcW w:w="550" w:type="pct"/>
            <w:gridSpan w:val="2"/>
            <w:shd w:val="clear" w:color="auto" w:fill="FFFFFF"/>
            <w:vAlign w:val="center"/>
            <w:hideMark/>
          </w:tcPr>
          <w:p w14:paraId="01888A1C" w14:textId="77777777" w:rsidR="003643DC" w:rsidRPr="003643DC" w:rsidRDefault="003643DC" w:rsidP="003643DC">
            <w:pPr>
              <w:spacing w:after="0" w:line="240" w:lineRule="auto"/>
              <w:rPr>
                <w:rFonts w:eastAsia="Times New Roman"/>
                <w:sz w:val="24"/>
                <w:szCs w:val="24"/>
                <w:lang w:eastAsia="lv-LV"/>
              </w:rPr>
            </w:pPr>
            <w:r w:rsidRPr="003643DC">
              <w:rPr>
                <w:rFonts w:eastAsia="Times New Roman"/>
                <w:sz w:val="24"/>
                <w:szCs w:val="24"/>
                <w:lang w:eastAsia="lv-LV"/>
              </w:rPr>
              <w:t>saskaņā ar valsts budžetu kārtējam gadam</w:t>
            </w:r>
          </w:p>
        </w:tc>
        <w:tc>
          <w:tcPr>
            <w:tcW w:w="547" w:type="pct"/>
            <w:shd w:val="clear" w:color="auto" w:fill="FFFFFF"/>
            <w:vAlign w:val="center"/>
            <w:hideMark/>
          </w:tcPr>
          <w:p w14:paraId="6E2708EB" w14:textId="77777777" w:rsidR="003643DC" w:rsidRPr="003643DC" w:rsidRDefault="003643DC" w:rsidP="003643DC">
            <w:pPr>
              <w:spacing w:after="0" w:line="240" w:lineRule="auto"/>
              <w:rPr>
                <w:rFonts w:eastAsia="Times New Roman"/>
                <w:sz w:val="24"/>
                <w:szCs w:val="24"/>
                <w:lang w:eastAsia="lv-LV"/>
              </w:rPr>
            </w:pPr>
            <w:r w:rsidRPr="003643DC">
              <w:rPr>
                <w:rFonts w:eastAsia="Times New Roman"/>
                <w:sz w:val="24"/>
                <w:szCs w:val="24"/>
                <w:lang w:eastAsia="lv-LV"/>
              </w:rPr>
              <w:t>izmaiņas kārtējā gadā, salīdzinot ar valsts budžetu kārtējam gadam</w:t>
            </w:r>
          </w:p>
        </w:tc>
        <w:tc>
          <w:tcPr>
            <w:tcW w:w="546" w:type="pct"/>
            <w:shd w:val="clear" w:color="auto" w:fill="FFFFFF"/>
            <w:vAlign w:val="center"/>
            <w:hideMark/>
          </w:tcPr>
          <w:p w14:paraId="6A8E1AC7" w14:textId="77777777" w:rsidR="003643DC" w:rsidRPr="003643DC" w:rsidRDefault="003643DC" w:rsidP="003643DC">
            <w:pPr>
              <w:spacing w:after="0" w:line="240" w:lineRule="auto"/>
              <w:rPr>
                <w:rFonts w:eastAsia="Times New Roman"/>
                <w:sz w:val="24"/>
                <w:szCs w:val="24"/>
                <w:lang w:eastAsia="lv-LV"/>
              </w:rPr>
            </w:pPr>
            <w:r w:rsidRPr="003643DC">
              <w:rPr>
                <w:rFonts w:eastAsia="Times New Roman"/>
                <w:sz w:val="24"/>
                <w:szCs w:val="24"/>
                <w:lang w:eastAsia="lv-LV"/>
              </w:rPr>
              <w:t>saskaņā ar vidēja termiņa budžeta ietvaru</w:t>
            </w:r>
          </w:p>
        </w:tc>
        <w:tc>
          <w:tcPr>
            <w:tcW w:w="471" w:type="pct"/>
            <w:shd w:val="clear" w:color="auto" w:fill="FFFFFF"/>
            <w:vAlign w:val="center"/>
            <w:hideMark/>
          </w:tcPr>
          <w:p w14:paraId="68A62FF6" w14:textId="77777777" w:rsidR="003643DC" w:rsidRPr="003643DC" w:rsidRDefault="003643DC" w:rsidP="003643DC">
            <w:pPr>
              <w:spacing w:after="0" w:line="240" w:lineRule="auto"/>
              <w:rPr>
                <w:rFonts w:eastAsia="Times New Roman"/>
                <w:sz w:val="24"/>
                <w:szCs w:val="24"/>
                <w:lang w:eastAsia="lv-LV"/>
              </w:rPr>
            </w:pPr>
            <w:r w:rsidRPr="003643DC">
              <w:rPr>
                <w:rFonts w:eastAsia="Times New Roman"/>
                <w:sz w:val="24"/>
                <w:szCs w:val="24"/>
                <w:lang w:eastAsia="lv-LV"/>
              </w:rPr>
              <w:t>izmaiņas, salīdzinot ar vidēja termiņa budžeta ietvaru 2020. gadam</w:t>
            </w:r>
          </w:p>
        </w:tc>
        <w:tc>
          <w:tcPr>
            <w:tcW w:w="468" w:type="pct"/>
            <w:shd w:val="clear" w:color="auto" w:fill="FFFFFF"/>
            <w:vAlign w:val="center"/>
            <w:hideMark/>
          </w:tcPr>
          <w:p w14:paraId="4A8AF13E" w14:textId="77777777" w:rsidR="003643DC" w:rsidRPr="003643DC" w:rsidRDefault="003643DC" w:rsidP="003643DC">
            <w:pPr>
              <w:spacing w:after="0" w:line="240" w:lineRule="auto"/>
              <w:rPr>
                <w:rFonts w:eastAsia="Times New Roman"/>
                <w:sz w:val="24"/>
                <w:szCs w:val="24"/>
                <w:lang w:eastAsia="lv-LV"/>
              </w:rPr>
            </w:pPr>
            <w:r w:rsidRPr="003643DC">
              <w:rPr>
                <w:rFonts w:eastAsia="Times New Roman"/>
                <w:sz w:val="24"/>
                <w:szCs w:val="24"/>
                <w:lang w:eastAsia="lv-LV"/>
              </w:rPr>
              <w:t>saskaņā ar vidēja termiņa budžeta ietvaru</w:t>
            </w:r>
          </w:p>
        </w:tc>
        <w:tc>
          <w:tcPr>
            <w:tcW w:w="548" w:type="pct"/>
            <w:shd w:val="clear" w:color="auto" w:fill="FFFFFF"/>
            <w:vAlign w:val="center"/>
            <w:hideMark/>
          </w:tcPr>
          <w:p w14:paraId="4F55C18C" w14:textId="77777777" w:rsidR="003643DC" w:rsidRPr="003643DC" w:rsidRDefault="003643DC" w:rsidP="003643DC">
            <w:pPr>
              <w:spacing w:after="0" w:line="240" w:lineRule="auto"/>
              <w:rPr>
                <w:rFonts w:eastAsia="Times New Roman"/>
                <w:sz w:val="24"/>
                <w:szCs w:val="24"/>
                <w:lang w:eastAsia="lv-LV"/>
              </w:rPr>
            </w:pPr>
            <w:r w:rsidRPr="003643DC">
              <w:rPr>
                <w:rFonts w:eastAsia="Times New Roman"/>
                <w:sz w:val="24"/>
                <w:szCs w:val="24"/>
                <w:lang w:eastAsia="lv-LV"/>
              </w:rPr>
              <w:t>izmaiņas, salīdzinot ar vidēja termiņa budžeta ietvaru 2021. gadam</w:t>
            </w:r>
          </w:p>
        </w:tc>
        <w:tc>
          <w:tcPr>
            <w:tcW w:w="619" w:type="pct"/>
            <w:shd w:val="clear" w:color="auto" w:fill="FFFFFF"/>
            <w:vAlign w:val="center"/>
            <w:hideMark/>
          </w:tcPr>
          <w:p w14:paraId="27EEF286" w14:textId="77777777" w:rsidR="003643DC" w:rsidRPr="003643DC" w:rsidRDefault="003643DC" w:rsidP="003643DC">
            <w:pPr>
              <w:spacing w:after="0" w:line="240" w:lineRule="auto"/>
              <w:rPr>
                <w:rFonts w:eastAsia="Times New Roman"/>
                <w:sz w:val="24"/>
                <w:szCs w:val="24"/>
                <w:lang w:eastAsia="lv-LV"/>
              </w:rPr>
            </w:pPr>
            <w:r w:rsidRPr="003643DC">
              <w:rPr>
                <w:rFonts w:eastAsia="Times New Roman"/>
                <w:sz w:val="24"/>
                <w:szCs w:val="24"/>
                <w:lang w:eastAsia="lv-LV"/>
              </w:rPr>
              <w:t xml:space="preserve">izmaiņas, salīdzinot ar vidēja termiņa budžeta ietvaru </w:t>
            </w:r>
            <w:r w:rsidRPr="003643DC">
              <w:rPr>
                <w:rFonts w:eastAsia="Times New Roman"/>
                <w:sz w:val="24"/>
                <w:szCs w:val="24"/>
                <w:lang w:eastAsia="lv-LV"/>
              </w:rPr>
              <w:br/>
              <w:t>2021. gadam</w:t>
            </w:r>
          </w:p>
        </w:tc>
      </w:tr>
      <w:tr w:rsidR="003643DC" w:rsidRPr="003643DC" w14:paraId="3A2F00B1" w14:textId="77777777" w:rsidTr="001649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FFFFFF"/>
            <w:vAlign w:val="center"/>
            <w:hideMark/>
          </w:tcPr>
          <w:p w14:paraId="29750637" w14:textId="77777777" w:rsidR="003643DC" w:rsidRPr="003643DC" w:rsidRDefault="003643DC" w:rsidP="003643DC">
            <w:pPr>
              <w:spacing w:after="0" w:line="240" w:lineRule="auto"/>
              <w:rPr>
                <w:rFonts w:eastAsia="Times New Roman"/>
                <w:sz w:val="24"/>
                <w:szCs w:val="24"/>
                <w:lang w:eastAsia="lv-LV"/>
              </w:rPr>
            </w:pPr>
            <w:r w:rsidRPr="003643DC">
              <w:rPr>
                <w:rFonts w:eastAsia="Times New Roman"/>
                <w:sz w:val="24"/>
                <w:szCs w:val="24"/>
                <w:lang w:eastAsia="lv-LV"/>
              </w:rPr>
              <w:t>1</w:t>
            </w:r>
          </w:p>
        </w:tc>
        <w:tc>
          <w:tcPr>
            <w:tcW w:w="550" w:type="pct"/>
            <w:gridSpan w:val="2"/>
            <w:shd w:val="clear" w:color="auto" w:fill="FFFFFF"/>
            <w:vAlign w:val="center"/>
            <w:hideMark/>
          </w:tcPr>
          <w:p w14:paraId="097C3E55" w14:textId="77777777" w:rsidR="003643DC" w:rsidRPr="003643DC" w:rsidRDefault="003643DC" w:rsidP="003643DC">
            <w:pPr>
              <w:spacing w:after="0" w:line="240" w:lineRule="auto"/>
              <w:rPr>
                <w:rFonts w:eastAsia="Times New Roman"/>
                <w:sz w:val="24"/>
                <w:szCs w:val="24"/>
                <w:lang w:eastAsia="lv-LV"/>
              </w:rPr>
            </w:pPr>
            <w:r w:rsidRPr="003643DC">
              <w:rPr>
                <w:rFonts w:eastAsia="Times New Roman"/>
                <w:sz w:val="24"/>
                <w:szCs w:val="24"/>
                <w:lang w:eastAsia="lv-LV"/>
              </w:rPr>
              <w:t>2</w:t>
            </w:r>
          </w:p>
        </w:tc>
        <w:tc>
          <w:tcPr>
            <w:tcW w:w="547" w:type="pct"/>
            <w:shd w:val="clear" w:color="auto" w:fill="FFFFFF"/>
            <w:vAlign w:val="center"/>
            <w:hideMark/>
          </w:tcPr>
          <w:p w14:paraId="7E6FE7E4" w14:textId="77777777" w:rsidR="003643DC" w:rsidRPr="003643DC" w:rsidRDefault="003643DC" w:rsidP="003643DC">
            <w:pPr>
              <w:spacing w:after="0" w:line="240" w:lineRule="auto"/>
              <w:rPr>
                <w:rFonts w:eastAsia="Times New Roman"/>
                <w:sz w:val="24"/>
                <w:szCs w:val="24"/>
                <w:lang w:eastAsia="lv-LV"/>
              </w:rPr>
            </w:pPr>
            <w:r w:rsidRPr="003643DC">
              <w:rPr>
                <w:rFonts w:eastAsia="Times New Roman"/>
                <w:sz w:val="24"/>
                <w:szCs w:val="24"/>
                <w:lang w:eastAsia="lv-LV"/>
              </w:rPr>
              <w:t>3</w:t>
            </w:r>
          </w:p>
        </w:tc>
        <w:tc>
          <w:tcPr>
            <w:tcW w:w="546" w:type="pct"/>
            <w:shd w:val="clear" w:color="auto" w:fill="FFFFFF"/>
            <w:vAlign w:val="center"/>
            <w:hideMark/>
          </w:tcPr>
          <w:p w14:paraId="26200BB1" w14:textId="77777777" w:rsidR="003643DC" w:rsidRPr="003643DC" w:rsidRDefault="003643DC" w:rsidP="003643DC">
            <w:pPr>
              <w:spacing w:after="0" w:line="240" w:lineRule="auto"/>
              <w:rPr>
                <w:rFonts w:eastAsia="Times New Roman"/>
                <w:sz w:val="24"/>
                <w:szCs w:val="24"/>
                <w:lang w:eastAsia="lv-LV"/>
              </w:rPr>
            </w:pPr>
            <w:r w:rsidRPr="003643DC">
              <w:rPr>
                <w:rFonts w:eastAsia="Times New Roman"/>
                <w:sz w:val="24"/>
                <w:szCs w:val="24"/>
                <w:lang w:eastAsia="lv-LV"/>
              </w:rPr>
              <w:t>4</w:t>
            </w:r>
          </w:p>
        </w:tc>
        <w:tc>
          <w:tcPr>
            <w:tcW w:w="471" w:type="pct"/>
            <w:shd w:val="clear" w:color="auto" w:fill="FFFFFF"/>
            <w:vAlign w:val="center"/>
            <w:hideMark/>
          </w:tcPr>
          <w:p w14:paraId="366D5480" w14:textId="77777777" w:rsidR="003643DC" w:rsidRPr="003643DC" w:rsidRDefault="003643DC" w:rsidP="003643DC">
            <w:pPr>
              <w:spacing w:after="0" w:line="240" w:lineRule="auto"/>
              <w:rPr>
                <w:rFonts w:eastAsia="Times New Roman"/>
                <w:sz w:val="24"/>
                <w:szCs w:val="24"/>
                <w:lang w:eastAsia="lv-LV"/>
              </w:rPr>
            </w:pPr>
            <w:r w:rsidRPr="003643DC">
              <w:rPr>
                <w:rFonts w:eastAsia="Times New Roman"/>
                <w:sz w:val="24"/>
                <w:szCs w:val="24"/>
                <w:lang w:eastAsia="lv-LV"/>
              </w:rPr>
              <w:t>5</w:t>
            </w:r>
          </w:p>
        </w:tc>
        <w:tc>
          <w:tcPr>
            <w:tcW w:w="468" w:type="pct"/>
            <w:shd w:val="clear" w:color="auto" w:fill="FFFFFF"/>
            <w:vAlign w:val="center"/>
            <w:hideMark/>
          </w:tcPr>
          <w:p w14:paraId="1B4F8C1E" w14:textId="77777777" w:rsidR="003643DC" w:rsidRPr="003643DC" w:rsidRDefault="003643DC" w:rsidP="003643DC">
            <w:pPr>
              <w:spacing w:after="0" w:line="240" w:lineRule="auto"/>
              <w:rPr>
                <w:rFonts w:eastAsia="Times New Roman"/>
                <w:sz w:val="24"/>
                <w:szCs w:val="24"/>
                <w:lang w:eastAsia="lv-LV"/>
              </w:rPr>
            </w:pPr>
            <w:r w:rsidRPr="003643DC">
              <w:rPr>
                <w:rFonts w:eastAsia="Times New Roman"/>
                <w:sz w:val="24"/>
                <w:szCs w:val="24"/>
                <w:lang w:eastAsia="lv-LV"/>
              </w:rPr>
              <w:t>6</w:t>
            </w:r>
          </w:p>
        </w:tc>
        <w:tc>
          <w:tcPr>
            <w:tcW w:w="548" w:type="pct"/>
            <w:shd w:val="clear" w:color="auto" w:fill="FFFFFF"/>
            <w:vAlign w:val="center"/>
            <w:hideMark/>
          </w:tcPr>
          <w:p w14:paraId="55BF17AA" w14:textId="77777777" w:rsidR="003643DC" w:rsidRPr="003643DC" w:rsidRDefault="003643DC" w:rsidP="003643DC">
            <w:pPr>
              <w:spacing w:after="0" w:line="240" w:lineRule="auto"/>
              <w:rPr>
                <w:rFonts w:eastAsia="Times New Roman"/>
                <w:sz w:val="24"/>
                <w:szCs w:val="24"/>
                <w:lang w:eastAsia="lv-LV"/>
              </w:rPr>
            </w:pPr>
            <w:r w:rsidRPr="003643DC">
              <w:rPr>
                <w:rFonts w:eastAsia="Times New Roman"/>
                <w:sz w:val="24"/>
                <w:szCs w:val="24"/>
                <w:lang w:eastAsia="lv-LV"/>
              </w:rPr>
              <w:t>7</w:t>
            </w:r>
          </w:p>
        </w:tc>
        <w:tc>
          <w:tcPr>
            <w:tcW w:w="619" w:type="pct"/>
            <w:shd w:val="clear" w:color="auto" w:fill="FFFFFF"/>
            <w:vAlign w:val="center"/>
            <w:hideMark/>
          </w:tcPr>
          <w:p w14:paraId="1EFBBA83" w14:textId="77777777" w:rsidR="003643DC" w:rsidRPr="003643DC" w:rsidRDefault="003643DC" w:rsidP="003643DC">
            <w:pPr>
              <w:spacing w:after="0" w:line="240" w:lineRule="auto"/>
              <w:rPr>
                <w:rFonts w:eastAsia="Times New Roman"/>
                <w:sz w:val="24"/>
                <w:szCs w:val="24"/>
                <w:lang w:eastAsia="lv-LV"/>
              </w:rPr>
            </w:pPr>
            <w:r w:rsidRPr="003643DC">
              <w:rPr>
                <w:rFonts w:eastAsia="Times New Roman"/>
                <w:sz w:val="24"/>
                <w:szCs w:val="24"/>
                <w:lang w:eastAsia="lv-LV"/>
              </w:rPr>
              <w:t>8</w:t>
            </w:r>
          </w:p>
        </w:tc>
      </w:tr>
      <w:tr w:rsidR="001D0EFC" w:rsidRPr="003643DC" w14:paraId="5B5B2A4F" w14:textId="77777777" w:rsidTr="00D32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FFFFFF"/>
            <w:hideMark/>
          </w:tcPr>
          <w:p w14:paraId="383A5C9E" w14:textId="77777777" w:rsidR="001D0EFC" w:rsidRPr="003643DC" w:rsidRDefault="001D0EFC" w:rsidP="001D0EFC">
            <w:pPr>
              <w:spacing w:after="0" w:line="240" w:lineRule="auto"/>
              <w:rPr>
                <w:rFonts w:eastAsia="Times New Roman"/>
                <w:sz w:val="24"/>
                <w:szCs w:val="24"/>
                <w:lang w:eastAsia="lv-LV"/>
              </w:rPr>
            </w:pPr>
            <w:r w:rsidRPr="003643DC">
              <w:rPr>
                <w:rFonts w:eastAsia="Times New Roman"/>
                <w:sz w:val="24"/>
                <w:szCs w:val="24"/>
                <w:lang w:eastAsia="lv-LV"/>
              </w:rPr>
              <w:t>1. Budžeta ieņēmumi</w:t>
            </w:r>
          </w:p>
        </w:tc>
        <w:tc>
          <w:tcPr>
            <w:tcW w:w="550" w:type="pct"/>
            <w:gridSpan w:val="2"/>
            <w:shd w:val="clear" w:color="auto" w:fill="FFFFFF"/>
          </w:tcPr>
          <w:p w14:paraId="31FFFCD4" w14:textId="53921201" w:rsidR="001D0EFC" w:rsidRPr="003643DC" w:rsidRDefault="001D0EFC" w:rsidP="0088665B">
            <w:pPr>
              <w:spacing w:after="0" w:line="240" w:lineRule="auto"/>
              <w:jc w:val="center"/>
              <w:rPr>
                <w:rFonts w:eastAsia="Times New Roman"/>
                <w:sz w:val="24"/>
                <w:szCs w:val="24"/>
                <w:highlight w:val="yellow"/>
                <w:lang w:eastAsia="lv-LV"/>
              </w:rPr>
            </w:pPr>
          </w:p>
        </w:tc>
        <w:tc>
          <w:tcPr>
            <w:tcW w:w="547" w:type="pct"/>
            <w:shd w:val="clear" w:color="auto" w:fill="FFFFFF"/>
          </w:tcPr>
          <w:p w14:paraId="44932C47" w14:textId="5F55B2E1" w:rsidR="001D0EFC" w:rsidRPr="003643DC" w:rsidRDefault="001D0EFC" w:rsidP="0088665B">
            <w:pPr>
              <w:spacing w:after="0" w:line="240" w:lineRule="auto"/>
              <w:jc w:val="center"/>
              <w:rPr>
                <w:rFonts w:eastAsia="Times New Roman"/>
                <w:sz w:val="24"/>
                <w:szCs w:val="24"/>
                <w:lang w:eastAsia="lv-LV"/>
              </w:rPr>
            </w:pPr>
            <w:r w:rsidRPr="001D0EFC">
              <w:rPr>
                <w:sz w:val="24"/>
                <w:szCs w:val="24"/>
              </w:rPr>
              <w:t>- 3 565 926</w:t>
            </w:r>
          </w:p>
        </w:tc>
        <w:tc>
          <w:tcPr>
            <w:tcW w:w="546" w:type="pct"/>
            <w:shd w:val="clear" w:color="auto" w:fill="FFFFFF"/>
          </w:tcPr>
          <w:p w14:paraId="5D1682C6" w14:textId="43B5D14C" w:rsidR="001D0EFC" w:rsidRPr="003643DC" w:rsidRDefault="001D0EFC" w:rsidP="0088665B">
            <w:pPr>
              <w:spacing w:after="0" w:line="240" w:lineRule="auto"/>
              <w:jc w:val="center"/>
              <w:rPr>
                <w:rFonts w:eastAsia="Times New Roman"/>
                <w:sz w:val="24"/>
                <w:szCs w:val="24"/>
                <w:highlight w:val="yellow"/>
                <w:lang w:eastAsia="lv-LV"/>
              </w:rPr>
            </w:pPr>
          </w:p>
        </w:tc>
        <w:tc>
          <w:tcPr>
            <w:tcW w:w="471" w:type="pct"/>
            <w:shd w:val="clear" w:color="auto" w:fill="FFFFFF"/>
          </w:tcPr>
          <w:p w14:paraId="43A3BDBF" w14:textId="53A7D305" w:rsidR="001D0EFC" w:rsidRPr="003643DC" w:rsidRDefault="001D0EFC" w:rsidP="0088665B">
            <w:pPr>
              <w:spacing w:after="0" w:line="240" w:lineRule="auto"/>
              <w:jc w:val="center"/>
              <w:rPr>
                <w:rFonts w:eastAsia="Times New Roman"/>
                <w:sz w:val="24"/>
                <w:szCs w:val="24"/>
                <w:lang w:eastAsia="lv-LV"/>
              </w:rPr>
            </w:pPr>
            <w:r w:rsidRPr="001D0EFC">
              <w:rPr>
                <w:sz w:val="24"/>
                <w:szCs w:val="24"/>
              </w:rPr>
              <w:t>- 6 113 015</w:t>
            </w:r>
          </w:p>
        </w:tc>
        <w:tc>
          <w:tcPr>
            <w:tcW w:w="468" w:type="pct"/>
            <w:shd w:val="clear" w:color="auto" w:fill="FFFFFF"/>
          </w:tcPr>
          <w:p w14:paraId="7BB31DBA" w14:textId="62473595" w:rsidR="001D0EFC" w:rsidRPr="003643DC" w:rsidRDefault="001D0EFC" w:rsidP="0088665B">
            <w:pPr>
              <w:spacing w:after="0" w:line="240" w:lineRule="auto"/>
              <w:jc w:val="center"/>
              <w:rPr>
                <w:rFonts w:eastAsia="Times New Roman"/>
                <w:sz w:val="24"/>
                <w:szCs w:val="24"/>
                <w:highlight w:val="yellow"/>
                <w:lang w:eastAsia="lv-LV"/>
              </w:rPr>
            </w:pPr>
          </w:p>
        </w:tc>
        <w:tc>
          <w:tcPr>
            <w:tcW w:w="548" w:type="pct"/>
            <w:shd w:val="clear" w:color="auto" w:fill="FFFFFF"/>
          </w:tcPr>
          <w:p w14:paraId="21886481" w14:textId="779A3037" w:rsidR="001D0EFC" w:rsidRPr="003643DC" w:rsidRDefault="001D0EFC" w:rsidP="0088665B">
            <w:pPr>
              <w:spacing w:after="0" w:line="240" w:lineRule="auto"/>
              <w:jc w:val="center"/>
              <w:rPr>
                <w:rFonts w:eastAsia="Times New Roman"/>
                <w:sz w:val="24"/>
                <w:szCs w:val="24"/>
                <w:lang w:eastAsia="lv-LV"/>
              </w:rPr>
            </w:pPr>
            <w:r w:rsidRPr="001D0EFC">
              <w:rPr>
                <w:sz w:val="24"/>
                <w:szCs w:val="24"/>
              </w:rPr>
              <w:t>- 6 113 015</w:t>
            </w:r>
          </w:p>
        </w:tc>
        <w:tc>
          <w:tcPr>
            <w:tcW w:w="619" w:type="pct"/>
            <w:shd w:val="clear" w:color="auto" w:fill="FFFFFF"/>
          </w:tcPr>
          <w:p w14:paraId="08846D20" w14:textId="7138AC88" w:rsidR="001D0EFC" w:rsidRPr="003643DC" w:rsidRDefault="001D0EFC" w:rsidP="0088665B">
            <w:pPr>
              <w:spacing w:after="0" w:line="240" w:lineRule="auto"/>
              <w:jc w:val="center"/>
              <w:rPr>
                <w:rFonts w:eastAsia="Times New Roman"/>
                <w:sz w:val="24"/>
                <w:szCs w:val="24"/>
                <w:lang w:eastAsia="lv-LV"/>
              </w:rPr>
            </w:pPr>
            <w:r w:rsidRPr="001D0EFC">
              <w:rPr>
                <w:sz w:val="24"/>
                <w:szCs w:val="24"/>
              </w:rPr>
              <w:t>- 6 113 015</w:t>
            </w:r>
          </w:p>
        </w:tc>
      </w:tr>
      <w:tr w:rsidR="001D0EFC" w:rsidRPr="003643DC" w14:paraId="52D1FB0A" w14:textId="77777777" w:rsidTr="00D32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5372EFB1" w14:textId="77777777" w:rsidR="001D0EFC" w:rsidRPr="003643DC" w:rsidRDefault="001D0EFC" w:rsidP="001D0EFC">
            <w:pPr>
              <w:spacing w:after="0" w:line="240" w:lineRule="auto"/>
              <w:rPr>
                <w:rFonts w:eastAsia="Times New Roman"/>
                <w:sz w:val="24"/>
                <w:szCs w:val="24"/>
                <w:lang w:eastAsia="lv-LV"/>
              </w:rPr>
            </w:pPr>
            <w:r w:rsidRPr="003643DC">
              <w:rPr>
                <w:rFonts w:eastAsia="Times New Roman"/>
                <w:sz w:val="24"/>
                <w:szCs w:val="24"/>
                <w:lang w:eastAsia="lv-LV"/>
              </w:rPr>
              <w:t>1.1. valsts pamatbudžets, tai skaitā ieņēmumi no maksas pakalpojumiem un citi pašu ieņēmumi</w:t>
            </w:r>
          </w:p>
        </w:tc>
        <w:tc>
          <w:tcPr>
            <w:tcW w:w="550" w:type="pct"/>
            <w:gridSpan w:val="2"/>
            <w:shd w:val="clear" w:color="auto" w:fill="auto"/>
          </w:tcPr>
          <w:p w14:paraId="7B622EB7" w14:textId="25C9A46E" w:rsidR="001D0EFC" w:rsidRPr="003643DC" w:rsidRDefault="001D0EFC" w:rsidP="0088665B">
            <w:pPr>
              <w:spacing w:after="0" w:line="240" w:lineRule="auto"/>
              <w:jc w:val="center"/>
              <w:rPr>
                <w:rFonts w:eastAsia="Times New Roman"/>
                <w:sz w:val="24"/>
                <w:szCs w:val="24"/>
                <w:highlight w:val="yellow"/>
                <w:lang w:eastAsia="lv-LV"/>
              </w:rPr>
            </w:pPr>
          </w:p>
        </w:tc>
        <w:tc>
          <w:tcPr>
            <w:tcW w:w="547" w:type="pct"/>
            <w:shd w:val="clear" w:color="auto" w:fill="auto"/>
          </w:tcPr>
          <w:p w14:paraId="00A72562" w14:textId="79F4C920" w:rsidR="001D0EFC" w:rsidRPr="003643DC" w:rsidRDefault="001D0EFC" w:rsidP="0088665B">
            <w:pPr>
              <w:spacing w:after="0" w:line="240" w:lineRule="auto"/>
              <w:jc w:val="center"/>
              <w:rPr>
                <w:rFonts w:eastAsia="Times New Roman"/>
                <w:sz w:val="24"/>
                <w:szCs w:val="24"/>
                <w:lang w:eastAsia="lv-LV"/>
              </w:rPr>
            </w:pPr>
            <w:r w:rsidRPr="001D0EFC">
              <w:rPr>
                <w:sz w:val="24"/>
                <w:szCs w:val="24"/>
              </w:rPr>
              <w:t>- 3 565 926</w:t>
            </w:r>
          </w:p>
        </w:tc>
        <w:tc>
          <w:tcPr>
            <w:tcW w:w="546" w:type="pct"/>
            <w:shd w:val="clear" w:color="auto" w:fill="auto"/>
          </w:tcPr>
          <w:p w14:paraId="2751E0AB" w14:textId="312B396F" w:rsidR="001D0EFC" w:rsidRPr="003643DC" w:rsidRDefault="001D0EFC" w:rsidP="0088665B">
            <w:pPr>
              <w:spacing w:after="0" w:line="240" w:lineRule="auto"/>
              <w:jc w:val="center"/>
              <w:rPr>
                <w:rFonts w:eastAsia="Times New Roman"/>
                <w:sz w:val="24"/>
                <w:szCs w:val="24"/>
                <w:highlight w:val="yellow"/>
                <w:lang w:eastAsia="lv-LV"/>
              </w:rPr>
            </w:pPr>
          </w:p>
        </w:tc>
        <w:tc>
          <w:tcPr>
            <w:tcW w:w="471" w:type="pct"/>
            <w:shd w:val="clear" w:color="auto" w:fill="auto"/>
          </w:tcPr>
          <w:p w14:paraId="0B24BF37" w14:textId="02CFA40C" w:rsidR="001D0EFC" w:rsidRPr="003643DC" w:rsidRDefault="001D0EFC" w:rsidP="0088665B">
            <w:pPr>
              <w:spacing w:after="0" w:line="240" w:lineRule="auto"/>
              <w:jc w:val="center"/>
              <w:rPr>
                <w:rFonts w:eastAsia="Times New Roman"/>
                <w:sz w:val="24"/>
                <w:szCs w:val="24"/>
                <w:lang w:eastAsia="lv-LV"/>
              </w:rPr>
            </w:pPr>
            <w:r w:rsidRPr="001D0EFC">
              <w:rPr>
                <w:sz w:val="24"/>
                <w:szCs w:val="24"/>
              </w:rPr>
              <w:t>- 6 113 015</w:t>
            </w:r>
          </w:p>
        </w:tc>
        <w:tc>
          <w:tcPr>
            <w:tcW w:w="468" w:type="pct"/>
            <w:shd w:val="clear" w:color="auto" w:fill="auto"/>
          </w:tcPr>
          <w:p w14:paraId="1BC85DB6" w14:textId="60DF824C" w:rsidR="001D0EFC" w:rsidRPr="003643DC" w:rsidRDefault="001D0EFC" w:rsidP="0088665B">
            <w:pPr>
              <w:spacing w:after="0" w:line="240" w:lineRule="auto"/>
              <w:jc w:val="center"/>
              <w:rPr>
                <w:rFonts w:eastAsia="Times New Roman"/>
                <w:sz w:val="24"/>
                <w:szCs w:val="24"/>
                <w:highlight w:val="yellow"/>
                <w:lang w:eastAsia="lv-LV"/>
              </w:rPr>
            </w:pPr>
          </w:p>
        </w:tc>
        <w:tc>
          <w:tcPr>
            <w:tcW w:w="548" w:type="pct"/>
            <w:shd w:val="clear" w:color="auto" w:fill="auto"/>
          </w:tcPr>
          <w:p w14:paraId="70BFDE34" w14:textId="758BD1B6" w:rsidR="001D0EFC" w:rsidRPr="003643DC" w:rsidRDefault="001D0EFC" w:rsidP="0088665B">
            <w:pPr>
              <w:spacing w:after="0" w:line="240" w:lineRule="auto"/>
              <w:jc w:val="center"/>
              <w:rPr>
                <w:rFonts w:eastAsia="Times New Roman"/>
                <w:sz w:val="24"/>
                <w:szCs w:val="24"/>
                <w:lang w:eastAsia="lv-LV"/>
              </w:rPr>
            </w:pPr>
            <w:r w:rsidRPr="001D0EFC">
              <w:rPr>
                <w:sz w:val="24"/>
                <w:szCs w:val="24"/>
              </w:rPr>
              <w:t>- 6 113 015</w:t>
            </w:r>
          </w:p>
        </w:tc>
        <w:tc>
          <w:tcPr>
            <w:tcW w:w="619" w:type="pct"/>
            <w:shd w:val="clear" w:color="auto" w:fill="auto"/>
          </w:tcPr>
          <w:p w14:paraId="0BBC533D" w14:textId="0FF93605" w:rsidR="001D0EFC" w:rsidRPr="003643DC" w:rsidRDefault="001D0EFC" w:rsidP="0088665B">
            <w:pPr>
              <w:spacing w:after="0" w:line="240" w:lineRule="auto"/>
              <w:jc w:val="center"/>
              <w:rPr>
                <w:rFonts w:eastAsia="Times New Roman"/>
                <w:sz w:val="24"/>
                <w:szCs w:val="24"/>
                <w:lang w:eastAsia="lv-LV"/>
              </w:rPr>
            </w:pPr>
            <w:r w:rsidRPr="001D0EFC">
              <w:rPr>
                <w:sz w:val="24"/>
                <w:szCs w:val="24"/>
              </w:rPr>
              <w:t>- 6 113 015</w:t>
            </w:r>
          </w:p>
        </w:tc>
      </w:tr>
      <w:tr w:rsidR="001D0EFC" w:rsidRPr="003643DC" w14:paraId="51817B98" w14:textId="77777777" w:rsidTr="00D32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5C988B18" w14:textId="77777777" w:rsidR="001D0EFC" w:rsidRPr="003643DC" w:rsidRDefault="001D0EFC" w:rsidP="001D0EFC">
            <w:pPr>
              <w:spacing w:after="0" w:line="240" w:lineRule="auto"/>
              <w:rPr>
                <w:rFonts w:eastAsia="Times New Roman"/>
                <w:sz w:val="24"/>
                <w:szCs w:val="24"/>
                <w:lang w:eastAsia="lv-LV"/>
              </w:rPr>
            </w:pPr>
            <w:r w:rsidRPr="003643DC">
              <w:rPr>
                <w:rFonts w:eastAsia="Times New Roman"/>
                <w:sz w:val="24"/>
                <w:szCs w:val="24"/>
                <w:lang w:eastAsia="lv-LV"/>
              </w:rPr>
              <w:t>1.2. valsts speciālais budžets</w:t>
            </w:r>
          </w:p>
        </w:tc>
        <w:tc>
          <w:tcPr>
            <w:tcW w:w="550" w:type="pct"/>
            <w:gridSpan w:val="2"/>
            <w:shd w:val="clear" w:color="auto" w:fill="auto"/>
          </w:tcPr>
          <w:p w14:paraId="631CF71A" w14:textId="546EA453" w:rsidR="001D0EFC" w:rsidRPr="003643DC" w:rsidRDefault="001D0EFC" w:rsidP="0088665B">
            <w:pPr>
              <w:spacing w:after="0" w:line="240" w:lineRule="auto"/>
              <w:jc w:val="center"/>
              <w:rPr>
                <w:rFonts w:eastAsia="Times New Roman"/>
                <w:sz w:val="24"/>
                <w:szCs w:val="24"/>
                <w:lang w:eastAsia="lv-LV"/>
              </w:rPr>
            </w:pPr>
            <w:r w:rsidRPr="001D0EFC">
              <w:rPr>
                <w:sz w:val="24"/>
                <w:szCs w:val="24"/>
              </w:rPr>
              <w:t>0</w:t>
            </w:r>
          </w:p>
        </w:tc>
        <w:tc>
          <w:tcPr>
            <w:tcW w:w="547" w:type="pct"/>
            <w:shd w:val="clear" w:color="auto" w:fill="auto"/>
          </w:tcPr>
          <w:p w14:paraId="6940830C" w14:textId="33A2E81C" w:rsidR="001D0EFC" w:rsidRPr="003643DC" w:rsidRDefault="001D0EFC" w:rsidP="0088665B">
            <w:pPr>
              <w:spacing w:after="0" w:line="240" w:lineRule="auto"/>
              <w:jc w:val="center"/>
              <w:rPr>
                <w:rFonts w:eastAsia="Times New Roman"/>
                <w:sz w:val="24"/>
                <w:szCs w:val="24"/>
                <w:lang w:eastAsia="lv-LV"/>
              </w:rPr>
            </w:pPr>
            <w:r w:rsidRPr="001D0EFC">
              <w:rPr>
                <w:sz w:val="24"/>
                <w:szCs w:val="24"/>
              </w:rPr>
              <w:t>0</w:t>
            </w:r>
          </w:p>
        </w:tc>
        <w:tc>
          <w:tcPr>
            <w:tcW w:w="546" w:type="pct"/>
            <w:shd w:val="clear" w:color="auto" w:fill="auto"/>
          </w:tcPr>
          <w:p w14:paraId="6AF0650F" w14:textId="0BAF397D" w:rsidR="001D0EFC" w:rsidRPr="003643DC" w:rsidRDefault="001D0EFC" w:rsidP="0088665B">
            <w:pPr>
              <w:spacing w:after="0" w:line="240" w:lineRule="auto"/>
              <w:jc w:val="center"/>
              <w:rPr>
                <w:rFonts w:eastAsia="Times New Roman"/>
                <w:sz w:val="24"/>
                <w:szCs w:val="24"/>
                <w:lang w:eastAsia="lv-LV"/>
              </w:rPr>
            </w:pPr>
            <w:r w:rsidRPr="001D0EFC">
              <w:rPr>
                <w:sz w:val="24"/>
                <w:szCs w:val="24"/>
              </w:rPr>
              <w:t>0</w:t>
            </w:r>
          </w:p>
        </w:tc>
        <w:tc>
          <w:tcPr>
            <w:tcW w:w="471" w:type="pct"/>
            <w:shd w:val="clear" w:color="auto" w:fill="auto"/>
          </w:tcPr>
          <w:p w14:paraId="2361DA66" w14:textId="5C3D368B" w:rsidR="001D0EFC" w:rsidRPr="003643DC" w:rsidRDefault="001D0EFC" w:rsidP="0088665B">
            <w:pPr>
              <w:spacing w:after="0" w:line="240" w:lineRule="auto"/>
              <w:jc w:val="center"/>
              <w:rPr>
                <w:rFonts w:eastAsia="Times New Roman"/>
                <w:sz w:val="24"/>
                <w:szCs w:val="24"/>
                <w:lang w:eastAsia="lv-LV"/>
              </w:rPr>
            </w:pPr>
            <w:r w:rsidRPr="001D0EFC">
              <w:rPr>
                <w:sz w:val="24"/>
                <w:szCs w:val="24"/>
              </w:rPr>
              <w:t>0</w:t>
            </w:r>
          </w:p>
        </w:tc>
        <w:tc>
          <w:tcPr>
            <w:tcW w:w="468" w:type="pct"/>
            <w:shd w:val="clear" w:color="auto" w:fill="auto"/>
          </w:tcPr>
          <w:p w14:paraId="7C044EE5" w14:textId="33624CF0" w:rsidR="001D0EFC" w:rsidRPr="003643DC" w:rsidRDefault="001D0EFC" w:rsidP="0088665B">
            <w:pPr>
              <w:spacing w:after="0" w:line="240" w:lineRule="auto"/>
              <w:jc w:val="center"/>
              <w:rPr>
                <w:rFonts w:eastAsia="Times New Roman"/>
                <w:sz w:val="24"/>
                <w:szCs w:val="24"/>
                <w:lang w:eastAsia="lv-LV"/>
              </w:rPr>
            </w:pPr>
            <w:r w:rsidRPr="001D0EFC">
              <w:rPr>
                <w:sz w:val="24"/>
                <w:szCs w:val="24"/>
              </w:rPr>
              <w:t>0</w:t>
            </w:r>
          </w:p>
        </w:tc>
        <w:tc>
          <w:tcPr>
            <w:tcW w:w="548" w:type="pct"/>
            <w:shd w:val="clear" w:color="auto" w:fill="auto"/>
          </w:tcPr>
          <w:p w14:paraId="4C53B135" w14:textId="5D2E4FE1" w:rsidR="001D0EFC" w:rsidRPr="003643DC" w:rsidRDefault="001D0EFC" w:rsidP="0088665B">
            <w:pPr>
              <w:spacing w:after="0" w:line="240" w:lineRule="auto"/>
              <w:jc w:val="center"/>
              <w:rPr>
                <w:rFonts w:eastAsia="Times New Roman"/>
                <w:sz w:val="24"/>
                <w:szCs w:val="24"/>
                <w:lang w:eastAsia="lv-LV"/>
              </w:rPr>
            </w:pPr>
            <w:r w:rsidRPr="001D0EFC">
              <w:rPr>
                <w:sz w:val="24"/>
                <w:szCs w:val="24"/>
              </w:rPr>
              <w:t>0</w:t>
            </w:r>
          </w:p>
        </w:tc>
        <w:tc>
          <w:tcPr>
            <w:tcW w:w="619" w:type="pct"/>
            <w:shd w:val="clear" w:color="auto" w:fill="auto"/>
          </w:tcPr>
          <w:p w14:paraId="41C22E92" w14:textId="54BB4986" w:rsidR="001D0EFC" w:rsidRPr="003643DC" w:rsidRDefault="001D0EFC" w:rsidP="0088665B">
            <w:pPr>
              <w:spacing w:after="0" w:line="240" w:lineRule="auto"/>
              <w:jc w:val="center"/>
              <w:rPr>
                <w:rFonts w:eastAsia="Times New Roman"/>
                <w:sz w:val="24"/>
                <w:szCs w:val="24"/>
                <w:lang w:eastAsia="lv-LV"/>
              </w:rPr>
            </w:pPr>
            <w:r w:rsidRPr="001D0EFC">
              <w:rPr>
                <w:sz w:val="24"/>
                <w:szCs w:val="24"/>
              </w:rPr>
              <w:t>0</w:t>
            </w:r>
          </w:p>
        </w:tc>
      </w:tr>
      <w:tr w:rsidR="001D0EFC" w:rsidRPr="003643DC" w14:paraId="05CED123" w14:textId="77777777" w:rsidTr="00D32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6F6F46EA" w14:textId="77777777" w:rsidR="001D0EFC" w:rsidRPr="003643DC" w:rsidRDefault="001D0EFC" w:rsidP="001D0EFC">
            <w:pPr>
              <w:spacing w:after="0" w:line="240" w:lineRule="auto"/>
              <w:rPr>
                <w:rFonts w:eastAsia="Times New Roman"/>
                <w:sz w:val="24"/>
                <w:szCs w:val="24"/>
                <w:lang w:eastAsia="lv-LV"/>
              </w:rPr>
            </w:pPr>
            <w:r w:rsidRPr="003643DC">
              <w:rPr>
                <w:rFonts w:eastAsia="Times New Roman"/>
                <w:sz w:val="24"/>
                <w:szCs w:val="24"/>
                <w:lang w:eastAsia="lv-LV"/>
              </w:rPr>
              <w:t>1.3. pašvaldību budžets</w:t>
            </w:r>
          </w:p>
        </w:tc>
        <w:tc>
          <w:tcPr>
            <w:tcW w:w="550" w:type="pct"/>
            <w:gridSpan w:val="2"/>
            <w:shd w:val="clear" w:color="auto" w:fill="auto"/>
          </w:tcPr>
          <w:p w14:paraId="1B0070E7" w14:textId="30006AE7" w:rsidR="001D0EFC" w:rsidRPr="003643DC" w:rsidRDefault="001D0EFC" w:rsidP="0088665B">
            <w:pPr>
              <w:spacing w:after="0" w:line="240" w:lineRule="auto"/>
              <w:jc w:val="center"/>
              <w:rPr>
                <w:rFonts w:eastAsia="Times New Roman"/>
                <w:sz w:val="24"/>
                <w:szCs w:val="24"/>
                <w:lang w:eastAsia="lv-LV"/>
              </w:rPr>
            </w:pPr>
            <w:r w:rsidRPr="001D0EFC">
              <w:rPr>
                <w:sz w:val="24"/>
                <w:szCs w:val="24"/>
              </w:rPr>
              <w:t>0</w:t>
            </w:r>
          </w:p>
        </w:tc>
        <w:tc>
          <w:tcPr>
            <w:tcW w:w="547" w:type="pct"/>
            <w:shd w:val="clear" w:color="auto" w:fill="auto"/>
          </w:tcPr>
          <w:p w14:paraId="7AF804FD" w14:textId="1B11F5DD" w:rsidR="001D0EFC" w:rsidRPr="003643DC" w:rsidRDefault="001D0EFC" w:rsidP="0088665B">
            <w:pPr>
              <w:spacing w:after="0" w:line="240" w:lineRule="auto"/>
              <w:jc w:val="center"/>
              <w:rPr>
                <w:rFonts w:eastAsia="Times New Roman"/>
                <w:sz w:val="24"/>
                <w:szCs w:val="24"/>
                <w:lang w:eastAsia="lv-LV"/>
              </w:rPr>
            </w:pPr>
            <w:r w:rsidRPr="001D0EFC">
              <w:rPr>
                <w:sz w:val="24"/>
                <w:szCs w:val="24"/>
              </w:rPr>
              <w:t>0</w:t>
            </w:r>
          </w:p>
        </w:tc>
        <w:tc>
          <w:tcPr>
            <w:tcW w:w="546" w:type="pct"/>
            <w:shd w:val="clear" w:color="auto" w:fill="auto"/>
          </w:tcPr>
          <w:p w14:paraId="17E44B29" w14:textId="1B11DFE0" w:rsidR="001D0EFC" w:rsidRPr="003643DC" w:rsidRDefault="001D0EFC" w:rsidP="0088665B">
            <w:pPr>
              <w:spacing w:after="0" w:line="240" w:lineRule="auto"/>
              <w:jc w:val="center"/>
              <w:rPr>
                <w:rFonts w:eastAsia="Times New Roman"/>
                <w:sz w:val="24"/>
                <w:szCs w:val="24"/>
                <w:lang w:eastAsia="lv-LV"/>
              </w:rPr>
            </w:pPr>
            <w:r w:rsidRPr="001D0EFC">
              <w:rPr>
                <w:sz w:val="24"/>
                <w:szCs w:val="24"/>
              </w:rPr>
              <w:t>0</w:t>
            </w:r>
          </w:p>
        </w:tc>
        <w:tc>
          <w:tcPr>
            <w:tcW w:w="471" w:type="pct"/>
            <w:shd w:val="clear" w:color="auto" w:fill="auto"/>
          </w:tcPr>
          <w:p w14:paraId="2C241114" w14:textId="17C65DE2" w:rsidR="001D0EFC" w:rsidRPr="003643DC" w:rsidRDefault="001D0EFC" w:rsidP="0088665B">
            <w:pPr>
              <w:spacing w:after="0" w:line="240" w:lineRule="auto"/>
              <w:jc w:val="center"/>
              <w:rPr>
                <w:rFonts w:eastAsia="Times New Roman"/>
                <w:sz w:val="24"/>
                <w:szCs w:val="24"/>
                <w:lang w:eastAsia="lv-LV"/>
              </w:rPr>
            </w:pPr>
            <w:r w:rsidRPr="001D0EFC">
              <w:rPr>
                <w:sz w:val="24"/>
                <w:szCs w:val="24"/>
              </w:rPr>
              <w:t>0</w:t>
            </w:r>
          </w:p>
        </w:tc>
        <w:tc>
          <w:tcPr>
            <w:tcW w:w="468" w:type="pct"/>
            <w:shd w:val="clear" w:color="auto" w:fill="auto"/>
          </w:tcPr>
          <w:p w14:paraId="7EAFF40B" w14:textId="300C61D9" w:rsidR="001D0EFC" w:rsidRPr="003643DC" w:rsidRDefault="001D0EFC" w:rsidP="0088665B">
            <w:pPr>
              <w:spacing w:after="0" w:line="240" w:lineRule="auto"/>
              <w:jc w:val="center"/>
              <w:rPr>
                <w:rFonts w:eastAsia="Times New Roman"/>
                <w:sz w:val="24"/>
                <w:szCs w:val="24"/>
                <w:lang w:eastAsia="lv-LV"/>
              </w:rPr>
            </w:pPr>
            <w:r w:rsidRPr="001D0EFC">
              <w:rPr>
                <w:sz w:val="24"/>
                <w:szCs w:val="24"/>
              </w:rPr>
              <w:t>0</w:t>
            </w:r>
          </w:p>
        </w:tc>
        <w:tc>
          <w:tcPr>
            <w:tcW w:w="548" w:type="pct"/>
            <w:shd w:val="clear" w:color="auto" w:fill="auto"/>
          </w:tcPr>
          <w:p w14:paraId="3F324AA6" w14:textId="661284E4" w:rsidR="001D0EFC" w:rsidRPr="003643DC" w:rsidRDefault="001D0EFC" w:rsidP="0088665B">
            <w:pPr>
              <w:spacing w:after="0" w:line="240" w:lineRule="auto"/>
              <w:jc w:val="center"/>
              <w:rPr>
                <w:rFonts w:eastAsia="Times New Roman"/>
                <w:sz w:val="24"/>
                <w:szCs w:val="24"/>
                <w:lang w:eastAsia="lv-LV"/>
              </w:rPr>
            </w:pPr>
            <w:r w:rsidRPr="001D0EFC">
              <w:rPr>
                <w:sz w:val="24"/>
                <w:szCs w:val="24"/>
              </w:rPr>
              <w:t>0</w:t>
            </w:r>
          </w:p>
        </w:tc>
        <w:tc>
          <w:tcPr>
            <w:tcW w:w="619" w:type="pct"/>
            <w:shd w:val="clear" w:color="auto" w:fill="auto"/>
          </w:tcPr>
          <w:p w14:paraId="07669780" w14:textId="6F810E78" w:rsidR="001D0EFC" w:rsidRPr="003643DC" w:rsidRDefault="001D0EFC" w:rsidP="0088665B">
            <w:pPr>
              <w:spacing w:after="0" w:line="240" w:lineRule="auto"/>
              <w:jc w:val="center"/>
              <w:rPr>
                <w:rFonts w:eastAsia="Times New Roman"/>
                <w:sz w:val="24"/>
                <w:szCs w:val="24"/>
                <w:lang w:eastAsia="lv-LV"/>
              </w:rPr>
            </w:pPr>
            <w:r w:rsidRPr="001D0EFC">
              <w:rPr>
                <w:sz w:val="24"/>
                <w:szCs w:val="24"/>
              </w:rPr>
              <w:t>0</w:t>
            </w:r>
          </w:p>
        </w:tc>
      </w:tr>
      <w:tr w:rsidR="001D0EFC" w:rsidRPr="003643DC" w14:paraId="767BC680" w14:textId="77777777" w:rsidTr="00D32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6A39D1B4" w14:textId="77777777" w:rsidR="001D0EFC" w:rsidRPr="003643DC" w:rsidRDefault="001D0EFC" w:rsidP="001D0EFC">
            <w:pPr>
              <w:spacing w:after="0" w:line="240" w:lineRule="auto"/>
              <w:rPr>
                <w:rFonts w:eastAsia="Times New Roman"/>
                <w:sz w:val="24"/>
                <w:szCs w:val="24"/>
                <w:lang w:eastAsia="lv-LV"/>
              </w:rPr>
            </w:pPr>
            <w:r w:rsidRPr="003643DC">
              <w:rPr>
                <w:rFonts w:eastAsia="Times New Roman"/>
                <w:sz w:val="24"/>
                <w:szCs w:val="24"/>
                <w:lang w:eastAsia="lv-LV"/>
              </w:rPr>
              <w:t>2. Budžeta izdevumi</w:t>
            </w:r>
          </w:p>
        </w:tc>
        <w:tc>
          <w:tcPr>
            <w:tcW w:w="550" w:type="pct"/>
            <w:gridSpan w:val="2"/>
            <w:shd w:val="clear" w:color="auto" w:fill="auto"/>
          </w:tcPr>
          <w:p w14:paraId="472EC3C0" w14:textId="45150429" w:rsidR="001D0EFC" w:rsidRPr="003643DC" w:rsidRDefault="001D0EFC" w:rsidP="0088665B">
            <w:pPr>
              <w:spacing w:after="0" w:line="240" w:lineRule="auto"/>
              <w:jc w:val="center"/>
              <w:rPr>
                <w:rFonts w:eastAsia="Times New Roman"/>
                <w:sz w:val="24"/>
                <w:szCs w:val="24"/>
                <w:lang w:eastAsia="lv-LV"/>
              </w:rPr>
            </w:pPr>
            <w:r w:rsidRPr="001D0EFC">
              <w:rPr>
                <w:sz w:val="24"/>
                <w:szCs w:val="24"/>
              </w:rPr>
              <w:t>0</w:t>
            </w:r>
          </w:p>
        </w:tc>
        <w:tc>
          <w:tcPr>
            <w:tcW w:w="547" w:type="pct"/>
            <w:shd w:val="clear" w:color="auto" w:fill="auto"/>
          </w:tcPr>
          <w:p w14:paraId="68188306" w14:textId="524D6865" w:rsidR="001D0EFC" w:rsidRPr="003643DC" w:rsidRDefault="001D0EFC" w:rsidP="0088665B">
            <w:pPr>
              <w:spacing w:after="0" w:line="240" w:lineRule="auto"/>
              <w:jc w:val="center"/>
              <w:rPr>
                <w:rFonts w:eastAsia="Times New Roman"/>
                <w:sz w:val="24"/>
                <w:szCs w:val="24"/>
                <w:lang w:eastAsia="lv-LV"/>
              </w:rPr>
            </w:pPr>
            <w:r w:rsidRPr="001D0EFC">
              <w:rPr>
                <w:sz w:val="24"/>
                <w:szCs w:val="24"/>
              </w:rPr>
              <w:t>0</w:t>
            </w:r>
          </w:p>
        </w:tc>
        <w:tc>
          <w:tcPr>
            <w:tcW w:w="546" w:type="pct"/>
            <w:shd w:val="clear" w:color="auto" w:fill="auto"/>
          </w:tcPr>
          <w:p w14:paraId="0F677B10" w14:textId="7EAAB9D0" w:rsidR="001D0EFC" w:rsidRPr="003643DC" w:rsidRDefault="001D0EFC" w:rsidP="0088665B">
            <w:pPr>
              <w:spacing w:after="0" w:line="240" w:lineRule="auto"/>
              <w:jc w:val="center"/>
              <w:rPr>
                <w:rFonts w:eastAsia="Times New Roman"/>
                <w:sz w:val="24"/>
                <w:szCs w:val="24"/>
                <w:lang w:eastAsia="lv-LV"/>
              </w:rPr>
            </w:pPr>
            <w:r w:rsidRPr="001D0EFC">
              <w:rPr>
                <w:sz w:val="24"/>
                <w:szCs w:val="24"/>
              </w:rPr>
              <w:t>0</w:t>
            </w:r>
          </w:p>
        </w:tc>
        <w:tc>
          <w:tcPr>
            <w:tcW w:w="471" w:type="pct"/>
            <w:shd w:val="clear" w:color="auto" w:fill="auto"/>
          </w:tcPr>
          <w:p w14:paraId="0FE8CE49" w14:textId="76A75992" w:rsidR="001D0EFC" w:rsidRPr="003643DC" w:rsidRDefault="001D0EFC" w:rsidP="0088665B">
            <w:pPr>
              <w:spacing w:after="0" w:line="240" w:lineRule="auto"/>
              <w:jc w:val="center"/>
              <w:rPr>
                <w:rFonts w:eastAsia="Times New Roman"/>
                <w:sz w:val="24"/>
                <w:szCs w:val="24"/>
                <w:lang w:eastAsia="lv-LV"/>
              </w:rPr>
            </w:pPr>
            <w:r w:rsidRPr="001D0EFC">
              <w:rPr>
                <w:sz w:val="24"/>
                <w:szCs w:val="24"/>
              </w:rPr>
              <w:t>0</w:t>
            </w:r>
          </w:p>
        </w:tc>
        <w:tc>
          <w:tcPr>
            <w:tcW w:w="468" w:type="pct"/>
            <w:shd w:val="clear" w:color="auto" w:fill="auto"/>
          </w:tcPr>
          <w:p w14:paraId="713E8635" w14:textId="0D241D5E" w:rsidR="001D0EFC" w:rsidRPr="003643DC" w:rsidRDefault="001D0EFC" w:rsidP="0088665B">
            <w:pPr>
              <w:spacing w:after="0" w:line="240" w:lineRule="auto"/>
              <w:jc w:val="center"/>
              <w:rPr>
                <w:rFonts w:eastAsia="Times New Roman"/>
                <w:sz w:val="24"/>
                <w:szCs w:val="24"/>
                <w:lang w:eastAsia="lv-LV"/>
              </w:rPr>
            </w:pPr>
            <w:r w:rsidRPr="001D0EFC">
              <w:rPr>
                <w:sz w:val="24"/>
                <w:szCs w:val="24"/>
              </w:rPr>
              <w:t>0</w:t>
            </w:r>
          </w:p>
        </w:tc>
        <w:tc>
          <w:tcPr>
            <w:tcW w:w="548" w:type="pct"/>
            <w:shd w:val="clear" w:color="auto" w:fill="auto"/>
          </w:tcPr>
          <w:p w14:paraId="06AF883B" w14:textId="3D876535" w:rsidR="001D0EFC" w:rsidRPr="003643DC" w:rsidRDefault="001D0EFC" w:rsidP="0088665B">
            <w:pPr>
              <w:spacing w:after="0" w:line="240" w:lineRule="auto"/>
              <w:jc w:val="center"/>
              <w:rPr>
                <w:rFonts w:eastAsia="Times New Roman"/>
                <w:sz w:val="24"/>
                <w:szCs w:val="24"/>
                <w:lang w:eastAsia="lv-LV"/>
              </w:rPr>
            </w:pPr>
            <w:r w:rsidRPr="001D0EFC">
              <w:rPr>
                <w:sz w:val="24"/>
                <w:szCs w:val="24"/>
              </w:rPr>
              <w:t>0</w:t>
            </w:r>
          </w:p>
        </w:tc>
        <w:tc>
          <w:tcPr>
            <w:tcW w:w="619" w:type="pct"/>
            <w:shd w:val="clear" w:color="auto" w:fill="auto"/>
          </w:tcPr>
          <w:p w14:paraId="170A0558" w14:textId="0E4275BA" w:rsidR="001D0EFC" w:rsidRPr="003643DC" w:rsidRDefault="001D0EFC" w:rsidP="0088665B">
            <w:pPr>
              <w:spacing w:after="0" w:line="240" w:lineRule="auto"/>
              <w:jc w:val="center"/>
              <w:rPr>
                <w:rFonts w:eastAsia="Times New Roman"/>
                <w:sz w:val="24"/>
                <w:szCs w:val="24"/>
                <w:lang w:eastAsia="lv-LV"/>
              </w:rPr>
            </w:pPr>
            <w:r w:rsidRPr="001D0EFC">
              <w:rPr>
                <w:sz w:val="24"/>
                <w:szCs w:val="24"/>
              </w:rPr>
              <w:t>0</w:t>
            </w:r>
          </w:p>
        </w:tc>
      </w:tr>
      <w:tr w:rsidR="001D0EFC" w:rsidRPr="003643DC" w14:paraId="07AB2336" w14:textId="77777777" w:rsidTr="00D32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057B0BEC" w14:textId="77777777" w:rsidR="001D0EFC" w:rsidRPr="003643DC" w:rsidRDefault="001D0EFC" w:rsidP="001D0EFC">
            <w:pPr>
              <w:spacing w:after="0" w:line="240" w:lineRule="auto"/>
              <w:rPr>
                <w:rFonts w:eastAsia="Times New Roman"/>
                <w:sz w:val="24"/>
                <w:szCs w:val="24"/>
                <w:lang w:eastAsia="lv-LV"/>
              </w:rPr>
            </w:pPr>
            <w:r w:rsidRPr="003643DC">
              <w:rPr>
                <w:rFonts w:eastAsia="Times New Roman"/>
                <w:sz w:val="24"/>
                <w:szCs w:val="24"/>
                <w:lang w:eastAsia="lv-LV"/>
              </w:rPr>
              <w:t>2.1. valsts pamatbudžets</w:t>
            </w:r>
          </w:p>
        </w:tc>
        <w:tc>
          <w:tcPr>
            <w:tcW w:w="550" w:type="pct"/>
            <w:gridSpan w:val="2"/>
            <w:shd w:val="clear" w:color="auto" w:fill="auto"/>
          </w:tcPr>
          <w:p w14:paraId="5C85141B" w14:textId="26AB2163" w:rsidR="001D0EFC" w:rsidRPr="003643DC" w:rsidRDefault="001D0EFC" w:rsidP="0088665B">
            <w:pPr>
              <w:spacing w:after="0" w:line="240" w:lineRule="auto"/>
              <w:jc w:val="center"/>
              <w:rPr>
                <w:rFonts w:eastAsia="Times New Roman"/>
                <w:sz w:val="24"/>
                <w:szCs w:val="24"/>
                <w:lang w:eastAsia="lv-LV"/>
              </w:rPr>
            </w:pPr>
            <w:r w:rsidRPr="001D0EFC">
              <w:rPr>
                <w:sz w:val="24"/>
                <w:szCs w:val="24"/>
              </w:rPr>
              <w:t>0</w:t>
            </w:r>
          </w:p>
        </w:tc>
        <w:tc>
          <w:tcPr>
            <w:tcW w:w="547" w:type="pct"/>
            <w:shd w:val="clear" w:color="auto" w:fill="auto"/>
          </w:tcPr>
          <w:p w14:paraId="78613290" w14:textId="0E2C8B04" w:rsidR="001D0EFC" w:rsidRPr="003643DC" w:rsidRDefault="001D0EFC" w:rsidP="0088665B">
            <w:pPr>
              <w:spacing w:after="0" w:line="240" w:lineRule="auto"/>
              <w:jc w:val="center"/>
              <w:rPr>
                <w:rFonts w:eastAsia="Times New Roman"/>
                <w:sz w:val="24"/>
                <w:szCs w:val="24"/>
                <w:lang w:eastAsia="lv-LV"/>
              </w:rPr>
            </w:pPr>
            <w:r w:rsidRPr="001D0EFC">
              <w:rPr>
                <w:sz w:val="24"/>
                <w:szCs w:val="24"/>
              </w:rPr>
              <w:t>0</w:t>
            </w:r>
          </w:p>
        </w:tc>
        <w:tc>
          <w:tcPr>
            <w:tcW w:w="546" w:type="pct"/>
            <w:shd w:val="clear" w:color="auto" w:fill="auto"/>
          </w:tcPr>
          <w:p w14:paraId="43DDA796" w14:textId="5DDDC6D5" w:rsidR="001D0EFC" w:rsidRPr="003643DC" w:rsidRDefault="001D0EFC" w:rsidP="0088665B">
            <w:pPr>
              <w:spacing w:after="0" w:line="240" w:lineRule="auto"/>
              <w:jc w:val="center"/>
              <w:rPr>
                <w:rFonts w:eastAsia="Times New Roman"/>
                <w:sz w:val="24"/>
                <w:szCs w:val="24"/>
                <w:lang w:eastAsia="lv-LV"/>
              </w:rPr>
            </w:pPr>
            <w:r w:rsidRPr="001D0EFC">
              <w:rPr>
                <w:sz w:val="24"/>
                <w:szCs w:val="24"/>
              </w:rPr>
              <w:t>0</w:t>
            </w:r>
          </w:p>
        </w:tc>
        <w:tc>
          <w:tcPr>
            <w:tcW w:w="471" w:type="pct"/>
            <w:shd w:val="clear" w:color="auto" w:fill="auto"/>
          </w:tcPr>
          <w:p w14:paraId="29730746" w14:textId="2021C3EE" w:rsidR="001D0EFC" w:rsidRPr="003643DC" w:rsidRDefault="001D0EFC" w:rsidP="0088665B">
            <w:pPr>
              <w:spacing w:after="0" w:line="240" w:lineRule="auto"/>
              <w:jc w:val="center"/>
              <w:rPr>
                <w:rFonts w:eastAsia="Times New Roman"/>
                <w:sz w:val="24"/>
                <w:szCs w:val="24"/>
                <w:lang w:eastAsia="lv-LV"/>
              </w:rPr>
            </w:pPr>
            <w:r w:rsidRPr="001D0EFC">
              <w:rPr>
                <w:sz w:val="24"/>
                <w:szCs w:val="24"/>
              </w:rPr>
              <w:t>0</w:t>
            </w:r>
          </w:p>
        </w:tc>
        <w:tc>
          <w:tcPr>
            <w:tcW w:w="468" w:type="pct"/>
            <w:shd w:val="clear" w:color="auto" w:fill="auto"/>
          </w:tcPr>
          <w:p w14:paraId="3CEAE3D8" w14:textId="4A66402D" w:rsidR="001D0EFC" w:rsidRPr="003643DC" w:rsidRDefault="001D0EFC" w:rsidP="0088665B">
            <w:pPr>
              <w:spacing w:after="0" w:line="240" w:lineRule="auto"/>
              <w:jc w:val="center"/>
              <w:rPr>
                <w:rFonts w:eastAsia="Times New Roman"/>
                <w:sz w:val="24"/>
                <w:szCs w:val="24"/>
                <w:lang w:eastAsia="lv-LV"/>
              </w:rPr>
            </w:pPr>
            <w:r w:rsidRPr="001D0EFC">
              <w:rPr>
                <w:sz w:val="24"/>
                <w:szCs w:val="24"/>
              </w:rPr>
              <w:t>0</w:t>
            </w:r>
          </w:p>
        </w:tc>
        <w:tc>
          <w:tcPr>
            <w:tcW w:w="548" w:type="pct"/>
            <w:shd w:val="clear" w:color="auto" w:fill="auto"/>
          </w:tcPr>
          <w:p w14:paraId="1A33A006" w14:textId="4FB8D976" w:rsidR="001D0EFC" w:rsidRPr="003643DC" w:rsidRDefault="001D0EFC" w:rsidP="0088665B">
            <w:pPr>
              <w:spacing w:after="0" w:line="240" w:lineRule="auto"/>
              <w:jc w:val="center"/>
              <w:rPr>
                <w:rFonts w:eastAsia="Times New Roman"/>
                <w:sz w:val="24"/>
                <w:szCs w:val="24"/>
                <w:lang w:eastAsia="lv-LV"/>
              </w:rPr>
            </w:pPr>
            <w:r w:rsidRPr="001D0EFC">
              <w:rPr>
                <w:sz w:val="24"/>
                <w:szCs w:val="24"/>
              </w:rPr>
              <w:t>0</w:t>
            </w:r>
          </w:p>
        </w:tc>
        <w:tc>
          <w:tcPr>
            <w:tcW w:w="619" w:type="pct"/>
            <w:shd w:val="clear" w:color="auto" w:fill="auto"/>
          </w:tcPr>
          <w:p w14:paraId="498ED5C1" w14:textId="017B58EA" w:rsidR="001D0EFC" w:rsidRPr="003643DC" w:rsidRDefault="001D0EFC" w:rsidP="0088665B">
            <w:pPr>
              <w:spacing w:after="0" w:line="240" w:lineRule="auto"/>
              <w:jc w:val="center"/>
              <w:rPr>
                <w:rFonts w:eastAsia="Times New Roman"/>
                <w:sz w:val="24"/>
                <w:szCs w:val="24"/>
                <w:lang w:eastAsia="lv-LV"/>
              </w:rPr>
            </w:pPr>
            <w:r w:rsidRPr="001D0EFC">
              <w:rPr>
                <w:sz w:val="24"/>
                <w:szCs w:val="24"/>
              </w:rPr>
              <w:t>0</w:t>
            </w:r>
          </w:p>
        </w:tc>
      </w:tr>
      <w:tr w:rsidR="001D0EFC" w:rsidRPr="003643DC" w14:paraId="613A0C05" w14:textId="77777777" w:rsidTr="00D32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4B7276C7" w14:textId="77777777" w:rsidR="001D0EFC" w:rsidRPr="003643DC" w:rsidRDefault="001D0EFC" w:rsidP="001D0EFC">
            <w:pPr>
              <w:spacing w:after="0" w:line="240" w:lineRule="auto"/>
              <w:rPr>
                <w:rFonts w:eastAsia="Times New Roman"/>
                <w:sz w:val="24"/>
                <w:szCs w:val="24"/>
                <w:lang w:eastAsia="lv-LV"/>
              </w:rPr>
            </w:pPr>
            <w:r w:rsidRPr="003643DC">
              <w:rPr>
                <w:rFonts w:eastAsia="Times New Roman"/>
                <w:sz w:val="24"/>
                <w:szCs w:val="24"/>
                <w:lang w:eastAsia="lv-LV"/>
              </w:rPr>
              <w:t>2.2. valsts speciālais budžets</w:t>
            </w:r>
          </w:p>
        </w:tc>
        <w:tc>
          <w:tcPr>
            <w:tcW w:w="550" w:type="pct"/>
            <w:gridSpan w:val="2"/>
            <w:shd w:val="clear" w:color="auto" w:fill="auto"/>
          </w:tcPr>
          <w:p w14:paraId="014397EC" w14:textId="740EC2B3" w:rsidR="001D0EFC" w:rsidRPr="003643DC" w:rsidRDefault="001D0EFC" w:rsidP="0088665B">
            <w:pPr>
              <w:spacing w:after="0" w:line="240" w:lineRule="auto"/>
              <w:jc w:val="center"/>
              <w:rPr>
                <w:rFonts w:eastAsia="Times New Roman"/>
                <w:sz w:val="24"/>
                <w:szCs w:val="24"/>
                <w:lang w:eastAsia="lv-LV"/>
              </w:rPr>
            </w:pPr>
            <w:r w:rsidRPr="001D0EFC">
              <w:rPr>
                <w:sz w:val="24"/>
                <w:szCs w:val="24"/>
              </w:rPr>
              <w:t>0</w:t>
            </w:r>
          </w:p>
        </w:tc>
        <w:tc>
          <w:tcPr>
            <w:tcW w:w="547" w:type="pct"/>
            <w:shd w:val="clear" w:color="auto" w:fill="auto"/>
          </w:tcPr>
          <w:p w14:paraId="1927F43B" w14:textId="755047FC" w:rsidR="001D0EFC" w:rsidRPr="003643DC" w:rsidRDefault="001D0EFC" w:rsidP="0088665B">
            <w:pPr>
              <w:spacing w:after="0" w:line="240" w:lineRule="auto"/>
              <w:jc w:val="center"/>
              <w:rPr>
                <w:rFonts w:eastAsia="Times New Roman"/>
                <w:sz w:val="24"/>
                <w:szCs w:val="24"/>
                <w:lang w:eastAsia="lv-LV"/>
              </w:rPr>
            </w:pPr>
            <w:r w:rsidRPr="001D0EFC">
              <w:rPr>
                <w:sz w:val="24"/>
                <w:szCs w:val="24"/>
              </w:rPr>
              <w:t>0</w:t>
            </w:r>
          </w:p>
        </w:tc>
        <w:tc>
          <w:tcPr>
            <w:tcW w:w="546" w:type="pct"/>
            <w:shd w:val="clear" w:color="auto" w:fill="auto"/>
          </w:tcPr>
          <w:p w14:paraId="2CD13774" w14:textId="23E676C6" w:rsidR="001D0EFC" w:rsidRPr="003643DC" w:rsidRDefault="001D0EFC" w:rsidP="0088665B">
            <w:pPr>
              <w:spacing w:after="0" w:line="240" w:lineRule="auto"/>
              <w:jc w:val="center"/>
              <w:rPr>
                <w:rFonts w:eastAsia="Times New Roman"/>
                <w:sz w:val="24"/>
                <w:szCs w:val="24"/>
                <w:lang w:eastAsia="lv-LV"/>
              </w:rPr>
            </w:pPr>
            <w:r w:rsidRPr="001D0EFC">
              <w:rPr>
                <w:sz w:val="24"/>
                <w:szCs w:val="24"/>
              </w:rPr>
              <w:t>0</w:t>
            </w:r>
          </w:p>
        </w:tc>
        <w:tc>
          <w:tcPr>
            <w:tcW w:w="471" w:type="pct"/>
            <w:shd w:val="clear" w:color="auto" w:fill="auto"/>
          </w:tcPr>
          <w:p w14:paraId="71492F12" w14:textId="5B6756E1" w:rsidR="001D0EFC" w:rsidRPr="003643DC" w:rsidRDefault="001D0EFC" w:rsidP="0088665B">
            <w:pPr>
              <w:spacing w:after="0" w:line="240" w:lineRule="auto"/>
              <w:jc w:val="center"/>
              <w:rPr>
                <w:rFonts w:eastAsia="Times New Roman"/>
                <w:sz w:val="24"/>
                <w:szCs w:val="24"/>
                <w:lang w:eastAsia="lv-LV"/>
              </w:rPr>
            </w:pPr>
            <w:r w:rsidRPr="001D0EFC">
              <w:rPr>
                <w:sz w:val="24"/>
                <w:szCs w:val="24"/>
              </w:rPr>
              <w:t>0</w:t>
            </w:r>
          </w:p>
        </w:tc>
        <w:tc>
          <w:tcPr>
            <w:tcW w:w="468" w:type="pct"/>
            <w:shd w:val="clear" w:color="auto" w:fill="auto"/>
          </w:tcPr>
          <w:p w14:paraId="1F9FCA80" w14:textId="267CE47C" w:rsidR="001D0EFC" w:rsidRPr="003643DC" w:rsidRDefault="001D0EFC" w:rsidP="0088665B">
            <w:pPr>
              <w:spacing w:after="0" w:line="240" w:lineRule="auto"/>
              <w:jc w:val="center"/>
              <w:rPr>
                <w:rFonts w:eastAsia="Times New Roman"/>
                <w:sz w:val="24"/>
                <w:szCs w:val="24"/>
                <w:lang w:eastAsia="lv-LV"/>
              </w:rPr>
            </w:pPr>
            <w:r w:rsidRPr="001D0EFC">
              <w:rPr>
                <w:sz w:val="24"/>
                <w:szCs w:val="24"/>
              </w:rPr>
              <w:t>0</w:t>
            </w:r>
          </w:p>
        </w:tc>
        <w:tc>
          <w:tcPr>
            <w:tcW w:w="548" w:type="pct"/>
            <w:shd w:val="clear" w:color="auto" w:fill="auto"/>
          </w:tcPr>
          <w:p w14:paraId="50286398" w14:textId="20562E5C" w:rsidR="001D0EFC" w:rsidRPr="003643DC" w:rsidRDefault="001D0EFC" w:rsidP="0088665B">
            <w:pPr>
              <w:spacing w:after="0" w:line="240" w:lineRule="auto"/>
              <w:jc w:val="center"/>
              <w:rPr>
                <w:rFonts w:eastAsia="Times New Roman"/>
                <w:sz w:val="24"/>
                <w:szCs w:val="24"/>
                <w:lang w:eastAsia="lv-LV"/>
              </w:rPr>
            </w:pPr>
            <w:r w:rsidRPr="001D0EFC">
              <w:rPr>
                <w:sz w:val="24"/>
                <w:szCs w:val="24"/>
              </w:rPr>
              <w:t>0</w:t>
            </w:r>
          </w:p>
        </w:tc>
        <w:tc>
          <w:tcPr>
            <w:tcW w:w="619" w:type="pct"/>
            <w:shd w:val="clear" w:color="auto" w:fill="auto"/>
          </w:tcPr>
          <w:p w14:paraId="3881A8EB" w14:textId="253D3393" w:rsidR="001D0EFC" w:rsidRPr="003643DC" w:rsidRDefault="001D0EFC" w:rsidP="0088665B">
            <w:pPr>
              <w:spacing w:after="0" w:line="240" w:lineRule="auto"/>
              <w:jc w:val="center"/>
              <w:rPr>
                <w:rFonts w:eastAsia="Times New Roman"/>
                <w:sz w:val="24"/>
                <w:szCs w:val="24"/>
                <w:lang w:eastAsia="lv-LV"/>
              </w:rPr>
            </w:pPr>
            <w:r w:rsidRPr="001D0EFC">
              <w:rPr>
                <w:sz w:val="24"/>
                <w:szCs w:val="24"/>
              </w:rPr>
              <w:t>0</w:t>
            </w:r>
          </w:p>
        </w:tc>
      </w:tr>
      <w:tr w:rsidR="001D0EFC" w:rsidRPr="003643DC" w14:paraId="032A2060" w14:textId="77777777" w:rsidTr="00D32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0AEC150E" w14:textId="77777777" w:rsidR="001D0EFC" w:rsidRPr="003643DC" w:rsidRDefault="001D0EFC" w:rsidP="001D0EFC">
            <w:pPr>
              <w:spacing w:after="0" w:line="240" w:lineRule="auto"/>
              <w:rPr>
                <w:rFonts w:eastAsia="Times New Roman"/>
                <w:sz w:val="24"/>
                <w:szCs w:val="24"/>
                <w:lang w:eastAsia="lv-LV"/>
              </w:rPr>
            </w:pPr>
            <w:r w:rsidRPr="003643DC">
              <w:rPr>
                <w:rFonts w:eastAsia="Times New Roman"/>
                <w:sz w:val="24"/>
                <w:szCs w:val="24"/>
                <w:lang w:eastAsia="lv-LV"/>
              </w:rPr>
              <w:t>2.3. pašvaldību budžets</w:t>
            </w:r>
          </w:p>
        </w:tc>
        <w:tc>
          <w:tcPr>
            <w:tcW w:w="550" w:type="pct"/>
            <w:gridSpan w:val="2"/>
            <w:shd w:val="clear" w:color="auto" w:fill="auto"/>
          </w:tcPr>
          <w:p w14:paraId="1DF06985" w14:textId="37F05210" w:rsidR="001D0EFC" w:rsidRPr="003643DC" w:rsidRDefault="001D0EFC" w:rsidP="0088665B">
            <w:pPr>
              <w:spacing w:after="0" w:line="240" w:lineRule="auto"/>
              <w:jc w:val="center"/>
              <w:rPr>
                <w:rFonts w:eastAsia="Times New Roman"/>
                <w:sz w:val="24"/>
                <w:szCs w:val="24"/>
                <w:lang w:eastAsia="lv-LV"/>
              </w:rPr>
            </w:pPr>
            <w:r w:rsidRPr="001D0EFC">
              <w:rPr>
                <w:sz w:val="24"/>
                <w:szCs w:val="24"/>
              </w:rPr>
              <w:t>0</w:t>
            </w:r>
          </w:p>
        </w:tc>
        <w:tc>
          <w:tcPr>
            <w:tcW w:w="547" w:type="pct"/>
            <w:shd w:val="clear" w:color="auto" w:fill="auto"/>
          </w:tcPr>
          <w:p w14:paraId="2B0CC5F8" w14:textId="19890A7A" w:rsidR="001D0EFC" w:rsidRPr="003643DC" w:rsidRDefault="001D0EFC" w:rsidP="0088665B">
            <w:pPr>
              <w:spacing w:after="0" w:line="240" w:lineRule="auto"/>
              <w:jc w:val="center"/>
              <w:rPr>
                <w:rFonts w:eastAsia="Times New Roman"/>
                <w:sz w:val="24"/>
                <w:szCs w:val="24"/>
                <w:lang w:eastAsia="lv-LV"/>
              </w:rPr>
            </w:pPr>
            <w:r w:rsidRPr="001D0EFC">
              <w:rPr>
                <w:sz w:val="24"/>
                <w:szCs w:val="24"/>
              </w:rPr>
              <w:t>0</w:t>
            </w:r>
          </w:p>
        </w:tc>
        <w:tc>
          <w:tcPr>
            <w:tcW w:w="546" w:type="pct"/>
            <w:shd w:val="clear" w:color="auto" w:fill="auto"/>
          </w:tcPr>
          <w:p w14:paraId="24138CD8" w14:textId="3963BBEB" w:rsidR="001D0EFC" w:rsidRPr="003643DC" w:rsidRDefault="001D0EFC" w:rsidP="0088665B">
            <w:pPr>
              <w:spacing w:after="0" w:line="240" w:lineRule="auto"/>
              <w:jc w:val="center"/>
              <w:rPr>
                <w:rFonts w:eastAsia="Times New Roman"/>
                <w:sz w:val="24"/>
                <w:szCs w:val="24"/>
                <w:lang w:eastAsia="lv-LV"/>
              </w:rPr>
            </w:pPr>
            <w:r w:rsidRPr="001D0EFC">
              <w:rPr>
                <w:sz w:val="24"/>
                <w:szCs w:val="24"/>
              </w:rPr>
              <w:t>0</w:t>
            </w:r>
          </w:p>
        </w:tc>
        <w:tc>
          <w:tcPr>
            <w:tcW w:w="471" w:type="pct"/>
            <w:shd w:val="clear" w:color="auto" w:fill="auto"/>
          </w:tcPr>
          <w:p w14:paraId="1D0EF477" w14:textId="422CF8CB" w:rsidR="001D0EFC" w:rsidRPr="003643DC" w:rsidRDefault="001D0EFC" w:rsidP="0088665B">
            <w:pPr>
              <w:spacing w:after="0" w:line="240" w:lineRule="auto"/>
              <w:jc w:val="center"/>
              <w:rPr>
                <w:rFonts w:eastAsia="Times New Roman"/>
                <w:sz w:val="24"/>
                <w:szCs w:val="24"/>
                <w:lang w:eastAsia="lv-LV"/>
              </w:rPr>
            </w:pPr>
            <w:r w:rsidRPr="001D0EFC">
              <w:rPr>
                <w:sz w:val="24"/>
                <w:szCs w:val="24"/>
              </w:rPr>
              <w:t>0</w:t>
            </w:r>
          </w:p>
        </w:tc>
        <w:tc>
          <w:tcPr>
            <w:tcW w:w="468" w:type="pct"/>
            <w:shd w:val="clear" w:color="auto" w:fill="auto"/>
          </w:tcPr>
          <w:p w14:paraId="61C54355" w14:textId="52515617" w:rsidR="001D0EFC" w:rsidRPr="003643DC" w:rsidRDefault="001D0EFC" w:rsidP="0088665B">
            <w:pPr>
              <w:spacing w:after="0" w:line="240" w:lineRule="auto"/>
              <w:jc w:val="center"/>
              <w:rPr>
                <w:rFonts w:eastAsia="Times New Roman"/>
                <w:sz w:val="24"/>
                <w:szCs w:val="24"/>
                <w:lang w:eastAsia="lv-LV"/>
              </w:rPr>
            </w:pPr>
            <w:r w:rsidRPr="001D0EFC">
              <w:rPr>
                <w:sz w:val="24"/>
                <w:szCs w:val="24"/>
              </w:rPr>
              <w:t>0</w:t>
            </w:r>
          </w:p>
        </w:tc>
        <w:tc>
          <w:tcPr>
            <w:tcW w:w="548" w:type="pct"/>
            <w:shd w:val="clear" w:color="auto" w:fill="auto"/>
          </w:tcPr>
          <w:p w14:paraId="67B5065E" w14:textId="1560A219" w:rsidR="001D0EFC" w:rsidRPr="003643DC" w:rsidRDefault="001D0EFC" w:rsidP="0088665B">
            <w:pPr>
              <w:spacing w:after="0" w:line="240" w:lineRule="auto"/>
              <w:jc w:val="center"/>
              <w:rPr>
                <w:rFonts w:eastAsia="Times New Roman"/>
                <w:sz w:val="24"/>
                <w:szCs w:val="24"/>
                <w:lang w:eastAsia="lv-LV"/>
              </w:rPr>
            </w:pPr>
            <w:r w:rsidRPr="001D0EFC">
              <w:rPr>
                <w:sz w:val="24"/>
                <w:szCs w:val="24"/>
              </w:rPr>
              <w:t>0</w:t>
            </w:r>
          </w:p>
        </w:tc>
        <w:tc>
          <w:tcPr>
            <w:tcW w:w="619" w:type="pct"/>
            <w:shd w:val="clear" w:color="auto" w:fill="auto"/>
          </w:tcPr>
          <w:p w14:paraId="26C232F8" w14:textId="37376895" w:rsidR="001D0EFC" w:rsidRPr="003643DC" w:rsidRDefault="001D0EFC" w:rsidP="0088665B">
            <w:pPr>
              <w:spacing w:after="0" w:line="240" w:lineRule="auto"/>
              <w:jc w:val="center"/>
              <w:rPr>
                <w:rFonts w:eastAsia="Times New Roman"/>
                <w:sz w:val="24"/>
                <w:szCs w:val="24"/>
                <w:lang w:eastAsia="lv-LV"/>
              </w:rPr>
            </w:pPr>
            <w:r w:rsidRPr="001D0EFC">
              <w:rPr>
                <w:sz w:val="24"/>
                <w:szCs w:val="24"/>
              </w:rPr>
              <w:t>0</w:t>
            </w:r>
          </w:p>
        </w:tc>
      </w:tr>
      <w:tr w:rsidR="001D0EFC" w:rsidRPr="003643DC" w14:paraId="13849501" w14:textId="77777777" w:rsidTr="00D32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0228B2E8" w14:textId="77777777" w:rsidR="001D0EFC" w:rsidRPr="003643DC" w:rsidRDefault="001D0EFC" w:rsidP="001D0EFC">
            <w:pPr>
              <w:spacing w:after="0" w:line="240" w:lineRule="auto"/>
              <w:rPr>
                <w:rFonts w:eastAsia="Times New Roman"/>
                <w:sz w:val="24"/>
                <w:szCs w:val="24"/>
                <w:lang w:eastAsia="lv-LV"/>
              </w:rPr>
            </w:pPr>
            <w:r w:rsidRPr="003643DC">
              <w:rPr>
                <w:rFonts w:eastAsia="Times New Roman"/>
                <w:sz w:val="24"/>
                <w:szCs w:val="24"/>
                <w:lang w:eastAsia="lv-LV"/>
              </w:rPr>
              <w:t>3. Finansiālā ietekme</w:t>
            </w:r>
          </w:p>
        </w:tc>
        <w:tc>
          <w:tcPr>
            <w:tcW w:w="550" w:type="pct"/>
            <w:gridSpan w:val="2"/>
            <w:shd w:val="clear" w:color="auto" w:fill="auto"/>
          </w:tcPr>
          <w:p w14:paraId="6E643251" w14:textId="63B3EB40" w:rsidR="001D0EFC" w:rsidRPr="003643DC" w:rsidRDefault="001D0EFC" w:rsidP="0088665B">
            <w:pPr>
              <w:spacing w:after="0" w:line="240" w:lineRule="auto"/>
              <w:jc w:val="center"/>
              <w:rPr>
                <w:rFonts w:eastAsia="Times New Roman"/>
                <w:sz w:val="24"/>
                <w:szCs w:val="24"/>
                <w:lang w:eastAsia="lv-LV"/>
              </w:rPr>
            </w:pPr>
            <w:r w:rsidRPr="001D0EFC">
              <w:rPr>
                <w:sz w:val="24"/>
                <w:szCs w:val="24"/>
              </w:rPr>
              <w:t>0</w:t>
            </w:r>
          </w:p>
        </w:tc>
        <w:tc>
          <w:tcPr>
            <w:tcW w:w="547" w:type="pct"/>
            <w:shd w:val="clear" w:color="auto" w:fill="auto"/>
          </w:tcPr>
          <w:p w14:paraId="14EB3B92" w14:textId="2EC8F915" w:rsidR="001D0EFC" w:rsidRPr="003643DC" w:rsidRDefault="001D0EFC" w:rsidP="0088665B">
            <w:pPr>
              <w:spacing w:after="0" w:line="240" w:lineRule="auto"/>
              <w:jc w:val="center"/>
              <w:rPr>
                <w:rFonts w:eastAsia="Times New Roman"/>
                <w:sz w:val="24"/>
                <w:szCs w:val="24"/>
                <w:lang w:eastAsia="lv-LV"/>
              </w:rPr>
            </w:pPr>
            <w:r w:rsidRPr="001D0EFC">
              <w:rPr>
                <w:sz w:val="24"/>
                <w:szCs w:val="24"/>
              </w:rPr>
              <w:t>- 3 565 926</w:t>
            </w:r>
          </w:p>
        </w:tc>
        <w:tc>
          <w:tcPr>
            <w:tcW w:w="546" w:type="pct"/>
            <w:shd w:val="clear" w:color="auto" w:fill="auto"/>
          </w:tcPr>
          <w:p w14:paraId="1F58FC79" w14:textId="0854EF43" w:rsidR="001D0EFC" w:rsidRPr="003643DC" w:rsidRDefault="001D0EFC" w:rsidP="0088665B">
            <w:pPr>
              <w:spacing w:after="0" w:line="240" w:lineRule="auto"/>
              <w:jc w:val="center"/>
              <w:rPr>
                <w:rFonts w:eastAsia="Times New Roman"/>
                <w:sz w:val="24"/>
                <w:szCs w:val="24"/>
                <w:lang w:eastAsia="lv-LV"/>
              </w:rPr>
            </w:pPr>
            <w:r w:rsidRPr="001D0EFC">
              <w:rPr>
                <w:sz w:val="24"/>
                <w:szCs w:val="24"/>
              </w:rPr>
              <w:t>0</w:t>
            </w:r>
          </w:p>
        </w:tc>
        <w:tc>
          <w:tcPr>
            <w:tcW w:w="471" w:type="pct"/>
            <w:shd w:val="clear" w:color="auto" w:fill="auto"/>
          </w:tcPr>
          <w:p w14:paraId="33DA7CC8" w14:textId="323AF356" w:rsidR="001D0EFC" w:rsidRPr="003643DC" w:rsidRDefault="001D0EFC" w:rsidP="0088665B">
            <w:pPr>
              <w:spacing w:after="0" w:line="240" w:lineRule="auto"/>
              <w:jc w:val="center"/>
              <w:rPr>
                <w:rFonts w:eastAsia="Times New Roman"/>
                <w:sz w:val="24"/>
                <w:szCs w:val="24"/>
                <w:lang w:eastAsia="lv-LV"/>
              </w:rPr>
            </w:pPr>
            <w:r w:rsidRPr="001D0EFC">
              <w:rPr>
                <w:sz w:val="24"/>
                <w:szCs w:val="24"/>
              </w:rPr>
              <w:t>- 6 113 015</w:t>
            </w:r>
          </w:p>
        </w:tc>
        <w:tc>
          <w:tcPr>
            <w:tcW w:w="468" w:type="pct"/>
            <w:shd w:val="clear" w:color="auto" w:fill="auto"/>
          </w:tcPr>
          <w:p w14:paraId="5FF1E1CA" w14:textId="3D6B9E3A" w:rsidR="001D0EFC" w:rsidRPr="003643DC" w:rsidRDefault="001D0EFC" w:rsidP="0088665B">
            <w:pPr>
              <w:spacing w:after="0" w:line="240" w:lineRule="auto"/>
              <w:jc w:val="center"/>
              <w:rPr>
                <w:rFonts w:eastAsia="Times New Roman"/>
                <w:sz w:val="24"/>
                <w:szCs w:val="24"/>
                <w:lang w:eastAsia="lv-LV"/>
              </w:rPr>
            </w:pPr>
            <w:r w:rsidRPr="001D0EFC">
              <w:rPr>
                <w:sz w:val="24"/>
                <w:szCs w:val="24"/>
              </w:rPr>
              <w:t>0</w:t>
            </w:r>
          </w:p>
        </w:tc>
        <w:tc>
          <w:tcPr>
            <w:tcW w:w="548" w:type="pct"/>
            <w:shd w:val="clear" w:color="auto" w:fill="auto"/>
          </w:tcPr>
          <w:p w14:paraId="5D6FFA1E" w14:textId="067DFE72" w:rsidR="001D0EFC" w:rsidRPr="003643DC" w:rsidRDefault="001D0EFC" w:rsidP="0088665B">
            <w:pPr>
              <w:spacing w:after="0" w:line="240" w:lineRule="auto"/>
              <w:jc w:val="center"/>
              <w:rPr>
                <w:rFonts w:eastAsia="Times New Roman"/>
                <w:sz w:val="24"/>
                <w:szCs w:val="24"/>
                <w:lang w:eastAsia="lv-LV"/>
              </w:rPr>
            </w:pPr>
            <w:r w:rsidRPr="001D0EFC">
              <w:rPr>
                <w:sz w:val="24"/>
                <w:szCs w:val="24"/>
              </w:rPr>
              <w:t>- 6 113 015</w:t>
            </w:r>
          </w:p>
        </w:tc>
        <w:tc>
          <w:tcPr>
            <w:tcW w:w="619" w:type="pct"/>
            <w:shd w:val="clear" w:color="auto" w:fill="auto"/>
          </w:tcPr>
          <w:p w14:paraId="2BDB34C8" w14:textId="2A970A8C" w:rsidR="001D0EFC" w:rsidRPr="003643DC" w:rsidRDefault="001D0EFC" w:rsidP="0088665B">
            <w:pPr>
              <w:spacing w:after="0" w:line="240" w:lineRule="auto"/>
              <w:jc w:val="center"/>
              <w:rPr>
                <w:rFonts w:eastAsia="Times New Roman"/>
                <w:sz w:val="24"/>
                <w:szCs w:val="24"/>
                <w:lang w:eastAsia="lv-LV"/>
              </w:rPr>
            </w:pPr>
            <w:r w:rsidRPr="001D0EFC">
              <w:rPr>
                <w:sz w:val="24"/>
                <w:szCs w:val="24"/>
              </w:rPr>
              <w:t>- 6 113 015</w:t>
            </w:r>
          </w:p>
        </w:tc>
      </w:tr>
      <w:tr w:rsidR="001D0EFC" w:rsidRPr="003643DC" w14:paraId="57B6156E" w14:textId="77777777" w:rsidTr="00D32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6055119E" w14:textId="77777777" w:rsidR="001D0EFC" w:rsidRPr="003643DC" w:rsidRDefault="001D0EFC" w:rsidP="001D0EFC">
            <w:pPr>
              <w:spacing w:after="0" w:line="240" w:lineRule="auto"/>
              <w:rPr>
                <w:rFonts w:eastAsia="Times New Roman"/>
                <w:sz w:val="24"/>
                <w:szCs w:val="24"/>
                <w:lang w:eastAsia="lv-LV"/>
              </w:rPr>
            </w:pPr>
            <w:r w:rsidRPr="003643DC">
              <w:rPr>
                <w:rFonts w:eastAsia="Times New Roman"/>
                <w:sz w:val="24"/>
                <w:szCs w:val="24"/>
                <w:lang w:eastAsia="lv-LV"/>
              </w:rPr>
              <w:t>3.1. valsts pamatbudžets</w:t>
            </w:r>
          </w:p>
        </w:tc>
        <w:tc>
          <w:tcPr>
            <w:tcW w:w="550" w:type="pct"/>
            <w:gridSpan w:val="2"/>
            <w:shd w:val="clear" w:color="auto" w:fill="auto"/>
          </w:tcPr>
          <w:p w14:paraId="3A91B477" w14:textId="64A1FC72" w:rsidR="001D0EFC" w:rsidRPr="003643DC" w:rsidRDefault="001D0EFC" w:rsidP="0088665B">
            <w:pPr>
              <w:spacing w:after="0" w:line="240" w:lineRule="auto"/>
              <w:jc w:val="center"/>
              <w:rPr>
                <w:rFonts w:eastAsia="Times New Roman"/>
                <w:sz w:val="24"/>
                <w:szCs w:val="24"/>
                <w:lang w:eastAsia="lv-LV"/>
              </w:rPr>
            </w:pPr>
            <w:r w:rsidRPr="001D0EFC">
              <w:rPr>
                <w:sz w:val="24"/>
                <w:szCs w:val="24"/>
              </w:rPr>
              <w:t>0</w:t>
            </w:r>
          </w:p>
        </w:tc>
        <w:tc>
          <w:tcPr>
            <w:tcW w:w="547" w:type="pct"/>
            <w:shd w:val="clear" w:color="auto" w:fill="auto"/>
          </w:tcPr>
          <w:p w14:paraId="02C4F973" w14:textId="6095943B" w:rsidR="001D0EFC" w:rsidRPr="003643DC" w:rsidRDefault="001D0EFC" w:rsidP="0088665B">
            <w:pPr>
              <w:spacing w:after="0" w:line="240" w:lineRule="auto"/>
              <w:jc w:val="center"/>
              <w:rPr>
                <w:rFonts w:eastAsia="Times New Roman"/>
                <w:sz w:val="24"/>
                <w:szCs w:val="24"/>
                <w:lang w:eastAsia="lv-LV"/>
              </w:rPr>
            </w:pPr>
            <w:r w:rsidRPr="001D0EFC">
              <w:rPr>
                <w:sz w:val="24"/>
                <w:szCs w:val="24"/>
              </w:rPr>
              <w:t>- 3 565 926</w:t>
            </w:r>
          </w:p>
        </w:tc>
        <w:tc>
          <w:tcPr>
            <w:tcW w:w="546" w:type="pct"/>
            <w:shd w:val="clear" w:color="auto" w:fill="auto"/>
          </w:tcPr>
          <w:p w14:paraId="59A25770" w14:textId="355E9867" w:rsidR="001D0EFC" w:rsidRPr="003643DC" w:rsidRDefault="001D0EFC" w:rsidP="0088665B">
            <w:pPr>
              <w:spacing w:after="0" w:line="240" w:lineRule="auto"/>
              <w:jc w:val="center"/>
              <w:rPr>
                <w:rFonts w:eastAsia="Times New Roman"/>
                <w:sz w:val="24"/>
                <w:szCs w:val="24"/>
                <w:lang w:eastAsia="lv-LV"/>
              </w:rPr>
            </w:pPr>
            <w:r w:rsidRPr="001D0EFC">
              <w:rPr>
                <w:sz w:val="24"/>
                <w:szCs w:val="24"/>
              </w:rPr>
              <w:t>0</w:t>
            </w:r>
          </w:p>
        </w:tc>
        <w:tc>
          <w:tcPr>
            <w:tcW w:w="471" w:type="pct"/>
            <w:shd w:val="clear" w:color="auto" w:fill="auto"/>
          </w:tcPr>
          <w:p w14:paraId="44015967" w14:textId="5AB7474E" w:rsidR="001D0EFC" w:rsidRPr="003643DC" w:rsidRDefault="001D0EFC" w:rsidP="0088665B">
            <w:pPr>
              <w:spacing w:after="0" w:line="240" w:lineRule="auto"/>
              <w:jc w:val="center"/>
              <w:rPr>
                <w:rFonts w:eastAsia="Times New Roman"/>
                <w:sz w:val="24"/>
                <w:szCs w:val="24"/>
                <w:lang w:eastAsia="lv-LV"/>
              </w:rPr>
            </w:pPr>
            <w:r w:rsidRPr="001D0EFC">
              <w:rPr>
                <w:sz w:val="24"/>
                <w:szCs w:val="24"/>
              </w:rPr>
              <w:t>- 6 113 015</w:t>
            </w:r>
          </w:p>
        </w:tc>
        <w:tc>
          <w:tcPr>
            <w:tcW w:w="468" w:type="pct"/>
            <w:shd w:val="clear" w:color="auto" w:fill="auto"/>
          </w:tcPr>
          <w:p w14:paraId="02CF9C9D" w14:textId="09096BFB" w:rsidR="001D0EFC" w:rsidRPr="003643DC" w:rsidRDefault="001D0EFC" w:rsidP="0088665B">
            <w:pPr>
              <w:spacing w:after="0" w:line="240" w:lineRule="auto"/>
              <w:jc w:val="center"/>
              <w:rPr>
                <w:rFonts w:eastAsia="Times New Roman"/>
                <w:sz w:val="24"/>
                <w:szCs w:val="24"/>
                <w:lang w:eastAsia="lv-LV"/>
              </w:rPr>
            </w:pPr>
            <w:r w:rsidRPr="001D0EFC">
              <w:rPr>
                <w:sz w:val="24"/>
                <w:szCs w:val="24"/>
              </w:rPr>
              <w:t>0</w:t>
            </w:r>
          </w:p>
        </w:tc>
        <w:tc>
          <w:tcPr>
            <w:tcW w:w="548" w:type="pct"/>
            <w:shd w:val="clear" w:color="auto" w:fill="auto"/>
          </w:tcPr>
          <w:p w14:paraId="71B7DE7E" w14:textId="1DB983C2" w:rsidR="001D0EFC" w:rsidRPr="003643DC" w:rsidRDefault="001D0EFC" w:rsidP="0088665B">
            <w:pPr>
              <w:spacing w:after="0" w:line="240" w:lineRule="auto"/>
              <w:jc w:val="center"/>
              <w:rPr>
                <w:rFonts w:eastAsia="Times New Roman"/>
                <w:sz w:val="24"/>
                <w:szCs w:val="24"/>
                <w:lang w:eastAsia="lv-LV"/>
              </w:rPr>
            </w:pPr>
            <w:r w:rsidRPr="001D0EFC">
              <w:rPr>
                <w:sz w:val="24"/>
                <w:szCs w:val="24"/>
              </w:rPr>
              <w:t>- 6 113 015</w:t>
            </w:r>
          </w:p>
        </w:tc>
        <w:tc>
          <w:tcPr>
            <w:tcW w:w="619" w:type="pct"/>
            <w:shd w:val="clear" w:color="auto" w:fill="auto"/>
          </w:tcPr>
          <w:p w14:paraId="35DF6F1A" w14:textId="71006BEF" w:rsidR="001D0EFC" w:rsidRPr="003643DC" w:rsidRDefault="001D0EFC" w:rsidP="0088665B">
            <w:pPr>
              <w:spacing w:after="0" w:line="240" w:lineRule="auto"/>
              <w:jc w:val="center"/>
              <w:rPr>
                <w:rFonts w:eastAsia="Times New Roman"/>
                <w:sz w:val="24"/>
                <w:szCs w:val="24"/>
                <w:lang w:eastAsia="lv-LV"/>
              </w:rPr>
            </w:pPr>
            <w:r w:rsidRPr="001D0EFC">
              <w:rPr>
                <w:sz w:val="24"/>
                <w:szCs w:val="24"/>
              </w:rPr>
              <w:t>- 6 113 015</w:t>
            </w:r>
          </w:p>
        </w:tc>
      </w:tr>
      <w:tr w:rsidR="001D0EFC" w:rsidRPr="003643DC" w14:paraId="3AE7E671" w14:textId="77777777" w:rsidTr="00D32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7F6106C2" w14:textId="77777777" w:rsidR="001D0EFC" w:rsidRPr="003643DC" w:rsidRDefault="001D0EFC" w:rsidP="001D0EFC">
            <w:pPr>
              <w:spacing w:after="0" w:line="240" w:lineRule="auto"/>
              <w:rPr>
                <w:rFonts w:eastAsia="Times New Roman"/>
                <w:sz w:val="24"/>
                <w:szCs w:val="24"/>
                <w:lang w:eastAsia="lv-LV"/>
              </w:rPr>
            </w:pPr>
            <w:r w:rsidRPr="003643DC">
              <w:rPr>
                <w:rFonts w:eastAsia="Times New Roman"/>
                <w:sz w:val="24"/>
                <w:szCs w:val="24"/>
                <w:lang w:eastAsia="lv-LV"/>
              </w:rPr>
              <w:t>3.2. speciālais budžets</w:t>
            </w:r>
          </w:p>
        </w:tc>
        <w:tc>
          <w:tcPr>
            <w:tcW w:w="550" w:type="pct"/>
            <w:gridSpan w:val="2"/>
            <w:shd w:val="clear" w:color="auto" w:fill="auto"/>
          </w:tcPr>
          <w:p w14:paraId="484D2C99" w14:textId="49803760" w:rsidR="001D0EFC" w:rsidRPr="003643DC" w:rsidRDefault="001D0EFC" w:rsidP="0088665B">
            <w:pPr>
              <w:spacing w:after="0" w:line="240" w:lineRule="auto"/>
              <w:jc w:val="center"/>
              <w:rPr>
                <w:rFonts w:eastAsia="Times New Roman"/>
                <w:sz w:val="24"/>
                <w:szCs w:val="24"/>
                <w:lang w:eastAsia="lv-LV"/>
              </w:rPr>
            </w:pPr>
            <w:r w:rsidRPr="001D0EFC">
              <w:rPr>
                <w:sz w:val="24"/>
                <w:szCs w:val="24"/>
              </w:rPr>
              <w:t>0</w:t>
            </w:r>
          </w:p>
        </w:tc>
        <w:tc>
          <w:tcPr>
            <w:tcW w:w="547" w:type="pct"/>
            <w:shd w:val="clear" w:color="auto" w:fill="auto"/>
          </w:tcPr>
          <w:p w14:paraId="53B4C79E" w14:textId="56D94ABF" w:rsidR="001D0EFC" w:rsidRPr="003643DC" w:rsidRDefault="001D0EFC" w:rsidP="0088665B">
            <w:pPr>
              <w:spacing w:after="0" w:line="240" w:lineRule="auto"/>
              <w:jc w:val="center"/>
              <w:rPr>
                <w:rFonts w:eastAsia="Times New Roman"/>
                <w:sz w:val="24"/>
                <w:szCs w:val="24"/>
                <w:lang w:eastAsia="lv-LV"/>
              </w:rPr>
            </w:pPr>
            <w:r w:rsidRPr="001D0EFC">
              <w:rPr>
                <w:sz w:val="24"/>
                <w:szCs w:val="24"/>
              </w:rPr>
              <w:t>0</w:t>
            </w:r>
          </w:p>
        </w:tc>
        <w:tc>
          <w:tcPr>
            <w:tcW w:w="546" w:type="pct"/>
            <w:shd w:val="clear" w:color="auto" w:fill="auto"/>
          </w:tcPr>
          <w:p w14:paraId="595AD0AA" w14:textId="6915584D" w:rsidR="001D0EFC" w:rsidRPr="003643DC" w:rsidRDefault="001D0EFC" w:rsidP="0088665B">
            <w:pPr>
              <w:spacing w:after="0" w:line="240" w:lineRule="auto"/>
              <w:jc w:val="center"/>
              <w:rPr>
                <w:rFonts w:eastAsia="Times New Roman"/>
                <w:sz w:val="24"/>
                <w:szCs w:val="24"/>
                <w:lang w:eastAsia="lv-LV"/>
              </w:rPr>
            </w:pPr>
            <w:r w:rsidRPr="001D0EFC">
              <w:rPr>
                <w:sz w:val="24"/>
                <w:szCs w:val="24"/>
              </w:rPr>
              <w:t>0</w:t>
            </w:r>
          </w:p>
        </w:tc>
        <w:tc>
          <w:tcPr>
            <w:tcW w:w="471" w:type="pct"/>
            <w:shd w:val="clear" w:color="auto" w:fill="auto"/>
          </w:tcPr>
          <w:p w14:paraId="0C03E28D" w14:textId="72E976C8" w:rsidR="001D0EFC" w:rsidRPr="003643DC" w:rsidRDefault="001D0EFC" w:rsidP="0088665B">
            <w:pPr>
              <w:spacing w:after="0" w:line="240" w:lineRule="auto"/>
              <w:jc w:val="center"/>
              <w:rPr>
                <w:rFonts w:eastAsia="Times New Roman"/>
                <w:sz w:val="24"/>
                <w:szCs w:val="24"/>
                <w:lang w:eastAsia="lv-LV"/>
              </w:rPr>
            </w:pPr>
            <w:r w:rsidRPr="001D0EFC">
              <w:rPr>
                <w:sz w:val="24"/>
                <w:szCs w:val="24"/>
              </w:rPr>
              <w:t>0</w:t>
            </w:r>
          </w:p>
        </w:tc>
        <w:tc>
          <w:tcPr>
            <w:tcW w:w="468" w:type="pct"/>
            <w:shd w:val="clear" w:color="auto" w:fill="auto"/>
          </w:tcPr>
          <w:p w14:paraId="0C16F811" w14:textId="017EDDAE" w:rsidR="001D0EFC" w:rsidRPr="003643DC" w:rsidRDefault="001D0EFC" w:rsidP="0088665B">
            <w:pPr>
              <w:spacing w:after="0" w:line="240" w:lineRule="auto"/>
              <w:jc w:val="center"/>
              <w:rPr>
                <w:rFonts w:eastAsia="Times New Roman"/>
                <w:sz w:val="24"/>
                <w:szCs w:val="24"/>
                <w:lang w:eastAsia="lv-LV"/>
              </w:rPr>
            </w:pPr>
            <w:r w:rsidRPr="001D0EFC">
              <w:rPr>
                <w:sz w:val="24"/>
                <w:szCs w:val="24"/>
              </w:rPr>
              <w:t>0</w:t>
            </w:r>
          </w:p>
        </w:tc>
        <w:tc>
          <w:tcPr>
            <w:tcW w:w="548" w:type="pct"/>
            <w:shd w:val="clear" w:color="auto" w:fill="auto"/>
          </w:tcPr>
          <w:p w14:paraId="68376A88" w14:textId="7B0B1BF9" w:rsidR="001D0EFC" w:rsidRPr="003643DC" w:rsidRDefault="001D0EFC" w:rsidP="0088665B">
            <w:pPr>
              <w:spacing w:after="0" w:line="240" w:lineRule="auto"/>
              <w:jc w:val="center"/>
              <w:rPr>
                <w:rFonts w:eastAsia="Times New Roman"/>
                <w:sz w:val="24"/>
                <w:szCs w:val="24"/>
                <w:lang w:eastAsia="lv-LV"/>
              </w:rPr>
            </w:pPr>
            <w:r w:rsidRPr="001D0EFC">
              <w:rPr>
                <w:sz w:val="24"/>
                <w:szCs w:val="24"/>
              </w:rPr>
              <w:t>0</w:t>
            </w:r>
          </w:p>
        </w:tc>
        <w:tc>
          <w:tcPr>
            <w:tcW w:w="619" w:type="pct"/>
            <w:shd w:val="clear" w:color="auto" w:fill="auto"/>
          </w:tcPr>
          <w:p w14:paraId="30FED2C0" w14:textId="743D0F66" w:rsidR="001D0EFC" w:rsidRPr="003643DC" w:rsidRDefault="001D0EFC" w:rsidP="0088665B">
            <w:pPr>
              <w:spacing w:after="0" w:line="240" w:lineRule="auto"/>
              <w:jc w:val="center"/>
              <w:rPr>
                <w:rFonts w:eastAsia="Times New Roman"/>
                <w:sz w:val="24"/>
                <w:szCs w:val="24"/>
                <w:lang w:eastAsia="lv-LV"/>
              </w:rPr>
            </w:pPr>
            <w:r w:rsidRPr="001D0EFC">
              <w:rPr>
                <w:sz w:val="24"/>
                <w:szCs w:val="24"/>
              </w:rPr>
              <w:t>0</w:t>
            </w:r>
          </w:p>
        </w:tc>
      </w:tr>
      <w:tr w:rsidR="00D573FB" w:rsidRPr="003643DC" w14:paraId="5F358293" w14:textId="77777777" w:rsidTr="009E0C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6D805CF5" w14:textId="77777777" w:rsidR="00D573FB" w:rsidRPr="003643DC" w:rsidRDefault="00D573FB" w:rsidP="00D573FB">
            <w:pPr>
              <w:spacing w:after="0" w:line="240" w:lineRule="auto"/>
              <w:rPr>
                <w:rFonts w:eastAsia="Times New Roman"/>
                <w:sz w:val="24"/>
                <w:szCs w:val="24"/>
                <w:lang w:eastAsia="lv-LV"/>
              </w:rPr>
            </w:pPr>
            <w:r w:rsidRPr="003643DC">
              <w:rPr>
                <w:rFonts w:eastAsia="Times New Roman"/>
                <w:sz w:val="24"/>
                <w:szCs w:val="24"/>
                <w:lang w:eastAsia="lv-LV"/>
              </w:rPr>
              <w:t>3.3. pašvaldību budžets</w:t>
            </w:r>
          </w:p>
        </w:tc>
        <w:tc>
          <w:tcPr>
            <w:tcW w:w="550" w:type="pct"/>
            <w:gridSpan w:val="2"/>
            <w:shd w:val="clear" w:color="auto" w:fill="auto"/>
          </w:tcPr>
          <w:p w14:paraId="707B1006" w14:textId="75186949" w:rsidR="00D573FB" w:rsidRPr="003643DC" w:rsidRDefault="00D573FB" w:rsidP="0088665B">
            <w:pPr>
              <w:spacing w:after="0" w:line="240" w:lineRule="auto"/>
              <w:jc w:val="center"/>
              <w:rPr>
                <w:rFonts w:eastAsia="Times New Roman"/>
                <w:sz w:val="24"/>
                <w:szCs w:val="24"/>
                <w:lang w:eastAsia="lv-LV"/>
              </w:rPr>
            </w:pPr>
            <w:r w:rsidRPr="0088665B">
              <w:rPr>
                <w:sz w:val="24"/>
                <w:szCs w:val="24"/>
              </w:rPr>
              <w:t>0</w:t>
            </w:r>
          </w:p>
        </w:tc>
        <w:tc>
          <w:tcPr>
            <w:tcW w:w="547" w:type="pct"/>
            <w:shd w:val="clear" w:color="auto" w:fill="auto"/>
          </w:tcPr>
          <w:p w14:paraId="3C229B1C" w14:textId="448C0191" w:rsidR="00D573FB" w:rsidRPr="003643DC" w:rsidRDefault="00D573FB" w:rsidP="0088665B">
            <w:pPr>
              <w:spacing w:after="0" w:line="240" w:lineRule="auto"/>
              <w:jc w:val="center"/>
              <w:rPr>
                <w:rFonts w:eastAsia="Times New Roman"/>
                <w:sz w:val="24"/>
                <w:szCs w:val="24"/>
                <w:lang w:eastAsia="lv-LV"/>
              </w:rPr>
            </w:pPr>
            <w:r w:rsidRPr="0088665B">
              <w:rPr>
                <w:sz w:val="24"/>
                <w:szCs w:val="24"/>
              </w:rPr>
              <w:t>0</w:t>
            </w:r>
          </w:p>
        </w:tc>
        <w:tc>
          <w:tcPr>
            <w:tcW w:w="546" w:type="pct"/>
            <w:shd w:val="clear" w:color="auto" w:fill="auto"/>
          </w:tcPr>
          <w:p w14:paraId="16A54E6D" w14:textId="4A24EED1" w:rsidR="00D573FB" w:rsidRPr="003643DC" w:rsidRDefault="00D573FB" w:rsidP="0088665B">
            <w:pPr>
              <w:spacing w:after="0" w:line="240" w:lineRule="auto"/>
              <w:jc w:val="center"/>
              <w:rPr>
                <w:rFonts w:eastAsia="Times New Roman"/>
                <w:sz w:val="24"/>
                <w:szCs w:val="24"/>
                <w:lang w:eastAsia="lv-LV"/>
              </w:rPr>
            </w:pPr>
            <w:r w:rsidRPr="0088665B">
              <w:rPr>
                <w:sz w:val="24"/>
                <w:szCs w:val="24"/>
              </w:rPr>
              <w:t>0</w:t>
            </w:r>
          </w:p>
        </w:tc>
        <w:tc>
          <w:tcPr>
            <w:tcW w:w="471" w:type="pct"/>
            <w:shd w:val="clear" w:color="auto" w:fill="auto"/>
          </w:tcPr>
          <w:p w14:paraId="5EBE697D" w14:textId="05EAAB49" w:rsidR="00D573FB" w:rsidRPr="003643DC" w:rsidRDefault="00D573FB" w:rsidP="0088665B">
            <w:pPr>
              <w:spacing w:after="0" w:line="240" w:lineRule="auto"/>
              <w:jc w:val="center"/>
              <w:rPr>
                <w:rFonts w:eastAsia="Times New Roman"/>
                <w:sz w:val="24"/>
                <w:szCs w:val="24"/>
                <w:lang w:eastAsia="lv-LV"/>
              </w:rPr>
            </w:pPr>
            <w:r w:rsidRPr="0088665B">
              <w:rPr>
                <w:sz w:val="24"/>
                <w:szCs w:val="24"/>
              </w:rPr>
              <w:t>0</w:t>
            </w:r>
          </w:p>
        </w:tc>
        <w:tc>
          <w:tcPr>
            <w:tcW w:w="468" w:type="pct"/>
            <w:shd w:val="clear" w:color="auto" w:fill="auto"/>
          </w:tcPr>
          <w:p w14:paraId="49E1BB99" w14:textId="16B9BD74" w:rsidR="00D573FB" w:rsidRPr="003643DC" w:rsidRDefault="00D573FB" w:rsidP="0088665B">
            <w:pPr>
              <w:spacing w:after="0" w:line="240" w:lineRule="auto"/>
              <w:jc w:val="center"/>
              <w:rPr>
                <w:rFonts w:eastAsia="Times New Roman"/>
                <w:sz w:val="24"/>
                <w:szCs w:val="24"/>
                <w:lang w:eastAsia="lv-LV"/>
              </w:rPr>
            </w:pPr>
            <w:r w:rsidRPr="0088665B">
              <w:rPr>
                <w:sz w:val="24"/>
                <w:szCs w:val="24"/>
              </w:rPr>
              <w:t>0</w:t>
            </w:r>
          </w:p>
        </w:tc>
        <w:tc>
          <w:tcPr>
            <w:tcW w:w="548" w:type="pct"/>
            <w:shd w:val="clear" w:color="auto" w:fill="auto"/>
          </w:tcPr>
          <w:p w14:paraId="73E6B897" w14:textId="6EA5CBE0" w:rsidR="00D573FB" w:rsidRPr="003643DC" w:rsidRDefault="00D573FB" w:rsidP="0088665B">
            <w:pPr>
              <w:spacing w:after="0" w:line="240" w:lineRule="auto"/>
              <w:jc w:val="center"/>
              <w:rPr>
                <w:rFonts w:eastAsia="Times New Roman"/>
                <w:sz w:val="24"/>
                <w:szCs w:val="24"/>
                <w:lang w:eastAsia="lv-LV"/>
              </w:rPr>
            </w:pPr>
            <w:r w:rsidRPr="0088665B">
              <w:rPr>
                <w:sz w:val="24"/>
                <w:szCs w:val="24"/>
              </w:rPr>
              <w:t>0</w:t>
            </w:r>
          </w:p>
        </w:tc>
        <w:tc>
          <w:tcPr>
            <w:tcW w:w="619" w:type="pct"/>
            <w:shd w:val="clear" w:color="auto" w:fill="auto"/>
          </w:tcPr>
          <w:p w14:paraId="75447B27" w14:textId="698B4E2D" w:rsidR="00D573FB" w:rsidRPr="003643DC" w:rsidRDefault="00D573FB" w:rsidP="0088665B">
            <w:pPr>
              <w:spacing w:after="0" w:line="240" w:lineRule="auto"/>
              <w:jc w:val="center"/>
              <w:rPr>
                <w:rFonts w:eastAsia="Times New Roman"/>
                <w:sz w:val="24"/>
                <w:szCs w:val="24"/>
                <w:lang w:eastAsia="lv-LV"/>
              </w:rPr>
            </w:pPr>
            <w:r w:rsidRPr="0088665B">
              <w:rPr>
                <w:sz w:val="24"/>
                <w:szCs w:val="24"/>
              </w:rPr>
              <w:t>0</w:t>
            </w:r>
          </w:p>
        </w:tc>
      </w:tr>
      <w:tr w:rsidR="00D573FB" w:rsidRPr="003643DC" w14:paraId="1460A8E7" w14:textId="77777777" w:rsidTr="009E0C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22DF218A" w14:textId="77777777" w:rsidR="00D573FB" w:rsidRPr="003643DC" w:rsidRDefault="00D573FB" w:rsidP="00D573FB">
            <w:pPr>
              <w:spacing w:after="0" w:line="240" w:lineRule="auto"/>
              <w:rPr>
                <w:rFonts w:eastAsia="Times New Roman"/>
                <w:sz w:val="24"/>
                <w:szCs w:val="24"/>
                <w:lang w:eastAsia="lv-LV"/>
              </w:rPr>
            </w:pPr>
            <w:r w:rsidRPr="003643DC">
              <w:rPr>
                <w:rFonts w:eastAsia="Times New Roman"/>
                <w:sz w:val="24"/>
                <w:szCs w:val="24"/>
                <w:lang w:eastAsia="lv-LV"/>
              </w:rPr>
              <w:lastRenderedPageBreak/>
              <w:t>4. Finanšu līdzekļi papildu izdevumu finansēšanai (kompensējošu izdevumu samazinājumu norāda ar "+" zīmi)</w:t>
            </w:r>
          </w:p>
        </w:tc>
        <w:tc>
          <w:tcPr>
            <w:tcW w:w="550" w:type="pct"/>
            <w:gridSpan w:val="2"/>
            <w:shd w:val="clear" w:color="auto" w:fill="auto"/>
          </w:tcPr>
          <w:p w14:paraId="65166054" w14:textId="4C6EFB6D" w:rsidR="00D573FB" w:rsidRPr="003643DC" w:rsidRDefault="00D573FB" w:rsidP="0088665B">
            <w:pPr>
              <w:spacing w:after="0" w:line="240" w:lineRule="auto"/>
              <w:jc w:val="center"/>
              <w:rPr>
                <w:rFonts w:eastAsia="Times New Roman"/>
                <w:sz w:val="24"/>
                <w:szCs w:val="24"/>
                <w:lang w:eastAsia="lv-LV"/>
              </w:rPr>
            </w:pPr>
            <w:r w:rsidRPr="0088665B">
              <w:rPr>
                <w:sz w:val="24"/>
                <w:szCs w:val="24"/>
              </w:rPr>
              <w:t>X</w:t>
            </w:r>
          </w:p>
        </w:tc>
        <w:tc>
          <w:tcPr>
            <w:tcW w:w="547" w:type="pct"/>
            <w:shd w:val="clear" w:color="auto" w:fill="auto"/>
          </w:tcPr>
          <w:p w14:paraId="267A755F" w14:textId="58B0633B" w:rsidR="00D573FB" w:rsidRPr="003643DC" w:rsidRDefault="00D573FB" w:rsidP="0088665B">
            <w:pPr>
              <w:spacing w:after="0" w:line="240" w:lineRule="auto"/>
              <w:jc w:val="center"/>
              <w:rPr>
                <w:rFonts w:eastAsia="Times New Roman"/>
                <w:sz w:val="24"/>
                <w:szCs w:val="24"/>
                <w:lang w:eastAsia="lv-LV"/>
              </w:rPr>
            </w:pPr>
            <w:r w:rsidRPr="0088665B">
              <w:rPr>
                <w:sz w:val="24"/>
                <w:szCs w:val="24"/>
              </w:rPr>
              <w:t>0</w:t>
            </w:r>
          </w:p>
        </w:tc>
        <w:tc>
          <w:tcPr>
            <w:tcW w:w="546" w:type="pct"/>
            <w:shd w:val="clear" w:color="auto" w:fill="auto"/>
          </w:tcPr>
          <w:p w14:paraId="42F584D8" w14:textId="01DBB816" w:rsidR="00D573FB" w:rsidRPr="003643DC" w:rsidRDefault="00D573FB" w:rsidP="0088665B">
            <w:pPr>
              <w:spacing w:after="0" w:line="240" w:lineRule="auto"/>
              <w:jc w:val="center"/>
              <w:rPr>
                <w:rFonts w:eastAsia="Times New Roman"/>
                <w:sz w:val="24"/>
                <w:szCs w:val="24"/>
                <w:lang w:eastAsia="lv-LV"/>
              </w:rPr>
            </w:pPr>
            <w:r w:rsidRPr="0088665B">
              <w:rPr>
                <w:sz w:val="24"/>
                <w:szCs w:val="24"/>
              </w:rPr>
              <w:t>X</w:t>
            </w:r>
          </w:p>
        </w:tc>
        <w:tc>
          <w:tcPr>
            <w:tcW w:w="471" w:type="pct"/>
            <w:shd w:val="clear" w:color="auto" w:fill="auto"/>
          </w:tcPr>
          <w:p w14:paraId="5FF6294F" w14:textId="6531DBD0" w:rsidR="00D573FB" w:rsidRPr="003643DC" w:rsidRDefault="00D573FB" w:rsidP="0088665B">
            <w:pPr>
              <w:spacing w:after="0" w:line="240" w:lineRule="auto"/>
              <w:jc w:val="center"/>
              <w:rPr>
                <w:rFonts w:eastAsia="Times New Roman"/>
                <w:sz w:val="24"/>
                <w:szCs w:val="24"/>
                <w:lang w:eastAsia="lv-LV"/>
              </w:rPr>
            </w:pPr>
            <w:r w:rsidRPr="0088665B">
              <w:rPr>
                <w:sz w:val="24"/>
                <w:szCs w:val="24"/>
              </w:rPr>
              <w:t>0</w:t>
            </w:r>
          </w:p>
        </w:tc>
        <w:tc>
          <w:tcPr>
            <w:tcW w:w="468" w:type="pct"/>
            <w:shd w:val="clear" w:color="auto" w:fill="auto"/>
          </w:tcPr>
          <w:p w14:paraId="019BA98C" w14:textId="44CAA0C4" w:rsidR="00D573FB" w:rsidRPr="003643DC" w:rsidRDefault="00D573FB" w:rsidP="0088665B">
            <w:pPr>
              <w:spacing w:after="0" w:line="240" w:lineRule="auto"/>
              <w:jc w:val="center"/>
              <w:rPr>
                <w:rFonts w:eastAsia="Times New Roman"/>
                <w:sz w:val="24"/>
                <w:szCs w:val="24"/>
                <w:lang w:eastAsia="lv-LV"/>
              </w:rPr>
            </w:pPr>
            <w:r w:rsidRPr="0088665B">
              <w:rPr>
                <w:sz w:val="24"/>
                <w:szCs w:val="24"/>
              </w:rPr>
              <w:t>X</w:t>
            </w:r>
          </w:p>
        </w:tc>
        <w:tc>
          <w:tcPr>
            <w:tcW w:w="548" w:type="pct"/>
            <w:shd w:val="clear" w:color="auto" w:fill="auto"/>
          </w:tcPr>
          <w:p w14:paraId="4BC41E46" w14:textId="204313A7" w:rsidR="00D573FB" w:rsidRPr="003643DC" w:rsidRDefault="00D573FB" w:rsidP="0088665B">
            <w:pPr>
              <w:spacing w:after="0" w:line="240" w:lineRule="auto"/>
              <w:jc w:val="center"/>
              <w:rPr>
                <w:rFonts w:eastAsia="Times New Roman"/>
                <w:sz w:val="24"/>
                <w:szCs w:val="24"/>
                <w:lang w:eastAsia="lv-LV"/>
              </w:rPr>
            </w:pPr>
            <w:r w:rsidRPr="0088665B">
              <w:rPr>
                <w:sz w:val="24"/>
                <w:szCs w:val="24"/>
              </w:rPr>
              <w:t>0</w:t>
            </w:r>
          </w:p>
        </w:tc>
        <w:tc>
          <w:tcPr>
            <w:tcW w:w="619" w:type="pct"/>
            <w:shd w:val="clear" w:color="auto" w:fill="auto"/>
          </w:tcPr>
          <w:p w14:paraId="3DCA4909" w14:textId="4855B872" w:rsidR="00D573FB" w:rsidRPr="003643DC" w:rsidRDefault="00D573FB" w:rsidP="0088665B">
            <w:pPr>
              <w:spacing w:after="0" w:line="240" w:lineRule="auto"/>
              <w:jc w:val="center"/>
              <w:rPr>
                <w:rFonts w:eastAsia="Times New Roman"/>
                <w:sz w:val="24"/>
                <w:szCs w:val="24"/>
                <w:lang w:eastAsia="lv-LV"/>
              </w:rPr>
            </w:pPr>
            <w:r w:rsidRPr="0088665B">
              <w:rPr>
                <w:sz w:val="24"/>
                <w:szCs w:val="24"/>
              </w:rPr>
              <w:t>0</w:t>
            </w:r>
          </w:p>
        </w:tc>
      </w:tr>
      <w:tr w:rsidR="00A65EED" w:rsidRPr="003643DC" w14:paraId="5991B5D7" w14:textId="77777777" w:rsidTr="009E0C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5B3C5618" w14:textId="77777777" w:rsidR="00A65EED" w:rsidRPr="003643DC" w:rsidRDefault="00A65EED" w:rsidP="00A65EED">
            <w:pPr>
              <w:spacing w:after="0" w:line="240" w:lineRule="auto"/>
              <w:rPr>
                <w:rFonts w:eastAsia="Times New Roman"/>
                <w:sz w:val="24"/>
                <w:szCs w:val="24"/>
                <w:lang w:eastAsia="lv-LV"/>
              </w:rPr>
            </w:pPr>
            <w:r w:rsidRPr="003643DC">
              <w:rPr>
                <w:rFonts w:eastAsia="Times New Roman"/>
                <w:sz w:val="24"/>
                <w:szCs w:val="24"/>
                <w:lang w:eastAsia="lv-LV"/>
              </w:rPr>
              <w:t>5. Precizēta finansiālā ietekme</w:t>
            </w:r>
          </w:p>
        </w:tc>
        <w:tc>
          <w:tcPr>
            <w:tcW w:w="550" w:type="pct"/>
            <w:gridSpan w:val="2"/>
            <w:vMerge w:val="restart"/>
            <w:shd w:val="clear" w:color="auto" w:fill="auto"/>
          </w:tcPr>
          <w:p w14:paraId="6DFBE5EB" w14:textId="77777777" w:rsidR="00A65EED" w:rsidRPr="0088665B" w:rsidRDefault="00A65EED" w:rsidP="0088665B">
            <w:pPr>
              <w:spacing w:after="0" w:line="240" w:lineRule="auto"/>
              <w:jc w:val="center"/>
              <w:rPr>
                <w:rFonts w:eastAsia="Times New Roman"/>
                <w:sz w:val="24"/>
                <w:szCs w:val="24"/>
                <w:lang w:eastAsia="lv-LV"/>
              </w:rPr>
            </w:pPr>
          </w:p>
          <w:p w14:paraId="5647C2A0" w14:textId="77777777" w:rsidR="0088665B" w:rsidRDefault="0088665B" w:rsidP="0088665B">
            <w:pPr>
              <w:spacing w:after="0" w:line="240" w:lineRule="auto"/>
              <w:jc w:val="center"/>
              <w:rPr>
                <w:rFonts w:eastAsia="Times New Roman"/>
                <w:sz w:val="24"/>
                <w:szCs w:val="24"/>
                <w:lang w:eastAsia="lv-LV"/>
              </w:rPr>
            </w:pPr>
          </w:p>
          <w:p w14:paraId="66E5BDD9" w14:textId="77777777" w:rsidR="0088665B" w:rsidRDefault="0088665B" w:rsidP="0088665B">
            <w:pPr>
              <w:spacing w:after="0" w:line="240" w:lineRule="auto"/>
              <w:jc w:val="center"/>
              <w:rPr>
                <w:rFonts w:eastAsia="Times New Roman"/>
                <w:sz w:val="24"/>
                <w:szCs w:val="24"/>
                <w:lang w:eastAsia="lv-LV"/>
              </w:rPr>
            </w:pPr>
          </w:p>
          <w:p w14:paraId="21DED361" w14:textId="77777777" w:rsidR="0088665B" w:rsidRDefault="0088665B" w:rsidP="0088665B">
            <w:pPr>
              <w:spacing w:after="0" w:line="240" w:lineRule="auto"/>
              <w:jc w:val="center"/>
              <w:rPr>
                <w:rFonts w:eastAsia="Times New Roman"/>
                <w:sz w:val="24"/>
                <w:szCs w:val="24"/>
                <w:lang w:eastAsia="lv-LV"/>
              </w:rPr>
            </w:pPr>
          </w:p>
          <w:p w14:paraId="0AC2FAB3" w14:textId="77777777" w:rsidR="0088665B" w:rsidRDefault="0088665B" w:rsidP="0088665B">
            <w:pPr>
              <w:spacing w:after="0" w:line="240" w:lineRule="auto"/>
              <w:jc w:val="center"/>
              <w:rPr>
                <w:rFonts w:eastAsia="Times New Roman"/>
                <w:sz w:val="24"/>
                <w:szCs w:val="24"/>
                <w:lang w:eastAsia="lv-LV"/>
              </w:rPr>
            </w:pPr>
          </w:p>
          <w:p w14:paraId="6C9E7784" w14:textId="77777777" w:rsidR="0088665B" w:rsidRDefault="0088665B" w:rsidP="0088665B">
            <w:pPr>
              <w:spacing w:after="0" w:line="240" w:lineRule="auto"/>
              <w:jc w:val="center"/>
              <w:rPr>
                <w:rFonts w:eastAsia="Times New Roman"/>
                <w:sz w:val="24"/>
                <w:szCs w:val="24"/>
                <w:lang w:eastAsia="lv-LV"/>
              </w:rPr>
            </w:pPr>
          </w:p>
          <w:p w14:paraId="34BFCF0E" w14:textId="59354B81" w:rsidR="00A65EED" w:rsidRPr="003643DC" w:rsidRDefault="00A65EED" w:rsidP="0088665B">
            <w:pPr>
              <w:spacing w:after="0" w:line="240" w:lineRule="auto"/>
              <w:jc w:val="center"/>
              <w:rPr>
                <w:rFonts w:eastAsia="Times New Roman"/>
                <w:sz w:val="24"/>
                <w:szCs w:val="24"/>
                <w:lang w:eastAsia="lv-LV"/>
              </w:rPr>
            </w:pPr>
            <w:r w:rsidRPr="0088665B">
              <w:rPr>
                <w:rFonts w:eastAsia="Times New Roman"/>
                <w:sz w:val="24"/>
                <w:szCs w:val="24"/>
                <w:lang w:eastAsia="lv-LV"/>
              </w:rPr>
              <w:t>X</w:t>
            </w:r>
          </w:p>
        </w:tc>
        <w:tc>
          <w:tcPr>
            <w:tcW w:w="547" w:type="pct"/>
            <w:shd w:val="clear" w:color="auto" w:fill="auto"/>
          </w:tcPr>
          <w:p w14:paraId="3D771AFC" w14:textId="7015A38A" w:rsidR="00A65EED" w:rsidRPr="003643DC" w:rsidRDefault="00A65EED" w:rsidP="0088665B">
            <w:pPr>
              <w:spacing w:after="0" w:line="240" w:lineRule="auto"/>
              <w:jc w:val="center"/>
              <w:rPr>
                <w:rFonts w:eastAsia="Times New Roman"/>
                <w:sz w:val="24"/>
                <w:szCs w:val="24"/>
                <w:lang w:eastAsia="lv-LV"/>
              </w:rPr>
            </w:pPr>
            <w:r w:rsidRPr="0088665B">
              <w:rPr>
                <w:sz w:val="24"/>
                <w:szCs w:val="24"/>
              </w:rPr>
              <w:t>- 3 565 926</w:t>
            </w:r>
          </w:p>
        </w:tc>
        <w:tc>
          <w:tcPr>
            <w:tcW w:w="546" w:type="pct"/>
            <w:vMerge w:val="restart"/>
            <w:shd w:val="clear" w:color="auto" w:fill="auto"/>
          </w:tcPr>
          <w:p w14:paraId="50B72C03" w14:textId="77777777" w:rsidR="00A65EED" w:rsidRPr="0088665B" w:rsidRDefault="00A65EED" w:rsidP="0088665B">
            <w:pPr>
              <w:spacing w:after="0" w:line="240" w:lineRule="auto"/>
              <w:jc w:val="center"/>
              <w:rPr>
                <w:rFonts w:eastAsia="Times New Roman"/>
                <w:sz w:val="24"/>
                <w:szCs w:val="24"/>
                <w:lang w:eastAsia="lv-LV"/>
              </w:rPr>
            </w:pPr>
          </w:p>
          <w:p w14:paraId="2E541774" w14:textId="77777777" w:rsidR="0088665B" w:rsidRDefault="0088665B" w:rsidP="0088665B">
            <w:pPr>
              <w:spacing w:after="0" w:line="240" w:lineRule="auto"/>
              <w:jc w:val="center"/>
              <w:rPr>
                <w:rFonts w:eastAsia="Times New Roman"/>
                <w:sz w:val="24"/>
                <w:szCs w:val="24"/>
                <w:lang w:eastAsia="lv-LV"/>
              </w:rPr>
            </w:pPr>
          </w:p>
          <w:p w14:paraId="0B7040B8" w14:textId="77777777" w:rsidR="0088665B" w:rsidRDefault="0088665B" w:rsidP="0088665B">
            <w:pPr>
              <w:spacing w:after="0" w:line="240" w:lineRule="auto"/>
              <w:jc w:val="center"/>
              <w:rPr>
                <w:rFonts w:eastAsia="Times New Roman"/>
                <w:sz w:val="24"/>
                <w:szCs w:val="24"/>
                <w:lang w:eastAsia="lv-LV"/>
              </w:rPr>
            </w:pPr>
          </w:p>
          <w:p w14:paraId="0DE28511" w14:textId="77777777" w:rsidR="0088665B" w:rsidRDefault="0088665B" w:rsidP="0088665B">
            <w:pPr>
              <w:spacing w:after="0" w:line="240" w:lineRule="auto"/>
              <w:jc w:val="center"/>
              <w:rPr>
                <w:rFonts w:eastAsia="Times New Roman"/>
                <w:sz w:val="24"/>
                <w:szCs w:val="24"/>
                <w:lang w:eastAsia="lv-LV"/>
              </w:rPr>
            </w:pPr>
          </w:p>
          <w:p w14:paraId="13039219" w14:textId="77777777" w:rsidR="0088665B" w:rsidRDefault="0088665B" w:rsidP="0088665B">
            <w:pPr>
              <w:spacing w:after="0" w:line="240" w:lineRule="auto"/>
              <w:jc w:val="center"/>
              <w:rPr>
                <w:rFonts w:eastAsia="Times New Roman"/>
                <w:sz w:val="24"/>
                <w:szCs w:val="24"/>
                <w:lang w:eastAsia="lv-LV"/>
              </w:rPr>
            </w:pPr>
          </w:p>
          <w:p w14:paraId="629069BC" w14:textId="77777777" w:rsidR="0088665B" w:rsidRDefault="0088665B" w:rsidP="0088665B">
            <w:pPr>
              <w:spacing w:after="0" w:line="240" w:lineRule="auto"/>
              <w:jc w:val="center"/>
              <w:rPr>
                <w:rFonts w:eastAsia="Times New Roman"/>
                <w:sz w:val="24"/>
                <w:szCs w:val="24"/>
                <w:lang w:eastAsia="lv-LV"/>
              </w:rPr>
            </w:pPr>
          </w:p>
          <w:p w14:paraId="1D5319A7" w14:textId="0B089031" w:rsidR="00A65EED" w:rsidRPr="003643DC" w:rsidRDefault="00A65EED" w:rsidP="0088665B">
            <w:pPr>
              <w:spacing w:after="0" w:line="240" w:lineRule="auto"/>
              <w:jc w:val="center"/>
              <w:rPr>
                <w:rFonts w:eastAsia="Times New Roman"/>
                <w:sz w:val="24"/>
                <w:szCs w:val="24"/>
                <w:lang w:eastAsia="lv-LV"/>
              </w:rPr>
            </w:pPr>
            <w:r w:rsidRPr="0088665B">
              <w:rPr>
                <w:rFonts w:eastAsia="Times New Roman"/>
                <w:sz w:val="24"/>
                <w:szCs w:val="24"/>
                <w:lang w:eastAsia="lv-LV"/>
              </w:rPr>
              <w:t>X</w:t>
            </w:r>
          </w:p>
        </w:tc>
        <w:tc>
          <w:tcPr>
            <w:tcW w:w="471" w:type="pct"/>
            <w:shd w:val="clear" w:color="auto" w:fill="auto"/>
          </w:tcPr>
          <w:p w14:paraId="2C01CC9B" w14:textId="77777777" w:rsidR="00A65EED" w:rsidRPr="0088665B" w:rsidRDefault="00A65EED" w:rsidP="0088665B">
            <w:pPr>
              <w:spacing w:after="0" w:line="240" w:lineRule="auto"/>
              <w:jc w:val="center"/>
              <w:rPr>
                <w:rFonts w:eastAsia="Times New Roman"/>
                <w:sz w:val="24"/>
                <w:szCs w:val="24"/>
                <w:lang w:eastAsia="lv-LV"/>
              </w:rPr>
            </w:pPr>
            <w:r w:rsidRPr="0088665B">
              <w:rPr>
                <w:rFonts w:eastAsia="Times New Roman"/>
                <w:sz w:val="24"/>
                <w:szCs w:val="24"/>
                <w:lang w:eastAsia="lv-LV"/>
              </w:rPr>
              <w:t>- 6 113 015</w:t>
            </w:r>
          </w:p>
          <w:p w14:paraId="5C131060" w14:textId="77777777" w:rsidR="00A65EED" w:rsidRPr="0088665B" w:rsidRDefault="00A65EED" w:rsidP="0088665B">
            <w:pPr>
              <w:spacing w:after="0" w:line="240" w:lineRule="auto"/>
              <w:jc w:val="center"/>
              <w:rPr>
                <w:rFonts w:eastAsia="Times New Roman"/>
                <w:sz w:val="24"/>
                <w:szCs w:val="24"/>
                <w:lang w:eastAsia="lv-LV"/>
              </w:rPr>
            </w:pPr>
            <w:r w:rsidRPr="0088665B">
              <w:rPr>
                <w:rFonts w:eastAsia="Times New Roman"/>
                <w:sz w:val="24"/>
                <w:szCs w:val="24"/>
                <w:lang w:eastAsia="lv-LV"/>
              </w:rPr>
              <w:t>- 6 113 015</w:t>
            </w:r>
          </w:p>
          <w:p w14:paraId="62682A4F" w14:textId="1B91D1E5" w:rsidR="00A65EED" w:rsidRPr="0088665B" w:rsidRDefault="00A65EED" w:rsidP="0088665B">
            <w:pPr>
              <w:spacing w:after="0" w:line="240" w:lineRule="auto"/>
              <w:jc w:val="center"/>
              <w:rPr>
                <w:rFonts w:eastAsia="Times New Roman"/>
                <w:sz w:val="24"/>
                <w:szCs w:val="24"/>
                <w:lang w:eastAsia="lv-LV"/>
              </w:rPr>
            </w:pPr>
            <w:r w:rsidRPr="0088665B">
              <w:rPr>
                <w:rFonts w:eastAsia="Times New Roman"/>
                <w:sz w:val="24"/>
                <w:szCs w:val="24"/>
                <w:lang w:eastAsia="lv-LV"/>
              </w:rPr>
              <w:t>0</w:t>
            </w:r>
          </w:p>
          <w:p w14:paraId="180BE8EC" w14:textId="442E07EC" w:rsidR="00A65EED" w:rsidRPr="003643DC" w:rsidRDefault="00A65EED" w:rsidP="0088665B">
            <w:pPr>
              <w:spacing w:after="0" w:line="240" w:lineRule="auto"/>
              <w:jc w:val="center"/>
              <w:rPr>
                <w:rFonts w:eastAsia="Times New Roman"/>
                <w:sz w:val="24"/>
                <w:szCs w:val="24"/>
                <w:lang w:eastAsia="lv-LV"/>
              </w:rPr>
            </w:pPr>
            <w:r w:rsidRPr="0088665B">
              <w:rPr>
                <w:rFonts w:eastAsia="Times New Roman"/>
                <w:sz w:val="24"/>
                <w:szCs w:val="24"/>
                <w:lang w:eastAsia="lv-LV"/>
              </w:rPr>
              <w:t>0</w:t>
            </w:r>
          </w:p>
        </w:tc>
        <w:tc>
          <w:tcPr>
            <w:tcW w:w="468" w:type="pct"/>
            <w:vMerge w:val="restart"/>
            <w:shd w:val="clear" w:color="auto" w:fill="auto"/>
          </w:tcPr>
          <w:p w14:paraId="58BA1733" w14:textId="77777777" w:rsidR="00A65EED" w:rsidRPr="0088665B" w:rsidRDefault="00A65EED" w:rsidP="0088665B">
            <w:pPr>
              <w:spacing w:after="0" w:line="240" w:lineRule="auto"/>
              <w:jc w:val="center"/>
              <w:rPr>
                <w:rFonts w:eastAsia="Times New Roman"/>
                <w:sz w:val="24"/>
                <w:szCs w:val="24"/>
                <w:lang w:eastAsia="lv-LV"/>
              </w:rPr>
            </w:pPr>
          </w:p>
          <w:p w14:paraId="608AC2F4" w14:textId="77777777" w:rsidR="0088665B" w:rsidRDefault="0088665B" w:rsidP="0088665B">
            <w:pPr>
              <w:spacing w:after="0" w:line="240" w:lineRule="auto"/>
              <w:jc w:val="center"/>
              <w:rPr>
                <w:rFonts w:eastAsia="Times New Roman"/>
                <w:sz w:val="24"/>
                <w:szCs w:val="24"/>
                <w:lang w:eastAsia="lv-LV"/>
              </w:rPr>
            </w:pPr>
          </w:p>
          <w:p w14:paraId="4EE3E9E1" w14:textId="77777777" w:rsidR="0088665B" w:rsidRDefault="0088665B" w:rsidP="0088665B">
            <w:pPr>
              <w:spacing w:after="0" w:line="240" w:lineRule="auto"/>
              <w:jc w:val="center"/>
              <w:rPr>
                <w:rFonts w:eastAsia="Times New Roman"/>
                <w:sz w:val="24"/>
                <w:szCs w:val="24"/>
                <w:lang w:eastAsia="lv-LV"/>
              </w:rPr>
            </w:pPr>
          </w:p>
          <w:p w14:paraId="71312A6D" w14:textId="77777777" w:rsidR="0088665B" w:rsidRDefault="0088665B" w:rsidP="0088665B">
            <w:pPr>
              <w:spacing w:after="0" w:line="240" w:lineRule="auto"/>
              <w:jc w:val="center"/>
              <w:rPr>
                <w:rFonts w:eastAsia="Times New Roman"/>
                <w:sz w:val="24"/>
                <w:szCs w:val="24"/>
                <w:lang w:eastAsia="lv-LV"/>
              </w:rPr>
            </w:pPr>
          </w:p>
          <w:p w14:paraId="4C6FFA4C" w14:textId="77777777" w:rsidR="0088665B" w:rsidRDefault="0088665B" w:rsidP="0088665B">
            <w:pPr>
              <w:spacing w:after="0" w:line="240" w:lineRule="auto"/>
              <w:jc w:val="center"/>
              <w:rPr>
                <w:rFonts w:eastAsia="Times New Roman"/>
                <w:sz w:val="24"/>
                <w:szCs w:val="24"/>
                <w:lang w:eastAsia="lv-LV"/>
              </w:rPr>
            </w:pPr>
          </w:p>
          <w:p w14:paraId="42439744" w14:textId="77777777" w:rsidR="0088665B" w:rsidRDefault="0088665B" w:rsidP="0088665B">
            <w:pPr>
              <w:spacing w:after="0" w:line="240" w:lineRule="auto"/>
              <w:jc w:val="center"/>
              <w:rPr>
                <w:rFonts w:eastAsia="Times New Roman"/>
                <w:sz w:val="24"/>
                <w:szCs w:val="24"/>
                <w:lang w:eastAsia="lv-LV"/>
              </w:rPr>
            </w:pPr>
          </w:p>
          <w:p w14:paraId="1BF363A1" w14:textId="7EE214C4" w:rsidR="00A65EED" w:rsidRPr="003643DC" w:rsidRDefault="00A65EED" w:rsidP="0088665B">
            <w:pPr>
              <w:spacing w:after="0" w:line="240" w:lineRule="auto"/>
              <w:jc w:val="center"/>
              <w:rPr>
                <w:rFonts w:eastAsia="Times New Roman"/>
                <w:sz w:val="24"/>
                <w:szCs w:val="24"/>
                <w:lang w:eastAsia="lv-LV"/>
              </w:rPr>
            </w:pPr>
            <w:r w:rsidRPr="0088665B">
              <w:rPr>
                <w:rFonts w:eastAsia="Times New Roman"/>
                <w:sz w:val="24"/>
                <w:szCs w:val="24"/>
                <w:lang w:eastAsia="lv-LV"/>
              </w:rPr>
              <w:t>X</w:t>
            </w:r>
          </w:p>
        </w:tc>
        <w:tc>
          <w:tcPr>
            <w:tcW w:w="548" w:type="pct"/>
            <w:shd w:val="clear" w:color="auto" w:fill="auto"/>
          </w:tcPr>
          <w:p w14:paraId="6341CC50" w14:textId="114A197A" w:rsidR="00A65EED" w:rsidRPr="003643DC" w:rsidRDefault="00A65EED" w:rsidP="0088665B">
            <w:pPr>
              <w:spacing w:after="0" w:line="240" w:lineRule="auto"/>
              <w:jc w:val="center"/>
              <w:rPr>
                <w:rFonts w:eastAsia="Times New Roman"/>
                <w:sz w:val="24"/>
                <w:szCs w:val="24"/>
                <w:lang w:eastAsia="lv-LV"/>
              </w:rPr>
            </w:pPr>
            <w:r w:rsidRPr="0088665B">
              <w:rPr>
                <w:sz w:val="24"/>
                <w:szCs w:val="24"/>
              </w:rPr>
              <w:t>- 6 113 015</w:t>
            </w:r>
          </w:p>
        </w:tc>
        <w:tc>
          <w:tcPr>
            <w:tcW w:w="619" w:type="pct"/>
            <w:shd w:val="clear" w:color="auto" w:fill="auto"/>
          </w:tcPr>
          <w:p w14:paraId="6E47F512" w14:textId="62C02985" w:rsidR="00A65EED" w:rsidRPr="003643DC" w:rsidRDefault="00A65EED" w:rsidP="0088665B">
            <w:pPr>
              <w:spacing w:after="0" w:line="240" w:lineRule="auto"/>
              <w:jc w:val="center"/>
              <w:rPr>
                <w:rFonts w:eastAsia="Times New Roman"/>
                <w:sz w:val="24"/>
                <w:szCs w:val="24"/>
                <w:lang w:eastAsia="lv-LV"/>
              </w:rPr>
            </w:pPr>
            <w:r w:rsidRPr="0088665B">
              <w:rPr>
                <w:sz w:val="24"/>
                <w:szCs w:val="24"/>
              </w:rPr>
              <w:t>- 6 113 015</w:t>
            </w:r>
          </w:p>
        </w:tc>
      </w:tr>
      <w:tr w:rsidR="00A65EED" w:rsidRPr="003643DC" w14:paraId="470D2B8F" w14:textId="77777777" w:rsidTr="009E0C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45F9CE26" w14:textId="77777777" w:rsidR="00A65EED" w:rsidRPr="003643DC" w:rsidRDefault="00A65EED" w:rsidP="00A65EED">
            <w:pPr>
              <w:spacing w:after="0" w:line="240" w:lineRule="auto"/>
              <w:rPr>
                <w:rFonts w:eastAsia="Times New Roman"/>
                <w:sz w:val="24"/>
                <w:szCs w:val="24"/>
                <w:lang w:eastAsia="lv-LV"/>
              </w:rPr>
            </w:pPr>
            <w:r w:rsidRPr="003643DC">
              <w:rPr>
                <w:rFonts w:eastAsia="Times New Roman"/>
                <w:sz w:val="24"/>
                <w:szCs w:val="24"/>
                <w:lang w:eastAsia="lv-LV"/>
              </w:rPr>
              <w:t>5.1. valsts pamatbudžets</w:t>
            </w:r>
          </w:p>
        </w:tc>
        <w:tc>
          <w:tcPr>
            <w:tcW w:w="550" w:type="pct"/>
            <w:gridSpan w:val="2"/>
            <w:vMerge/>
            <w:shd w:val="clear" w:color="auto" w:fill="auto"/>
          </w:tcPr>
          <w:p w14:paraId="1B6667DE" w14:textId="77777777" w:rsidR="00A65EED" w:rsidRPr="003643DC" w:rsidRDefault="00A65EED" w:rsidP="0088665B">
            <w:pPr>
              <w:spacing w:after="0" w:line="240" w:lineRule="auto"/>
              <w:jc w:val="center"/>
              <w:rPr>
                <w:rFonts w:eastAsia="Times New Roman"/>
                <w:sz w:val="24"/>
                <w:szCs w:val="24"/>
                <w:lang w:eastAsia="lv-LV"/>
              </w:rPr>
            </w:pPr>
          </w:p>
        </w:tc>
        <w:tc>
          <w:tcPr>
            <w:tcW w:w="547" w:type="pct"/>
            <w:shd w:val="clear" w:color="auto" w:fill="auto"/>
          </w:tcPr>
          <w:p w14:paraId="42AB5DE1" w14:textId="092FDEF8" w:rsidR="00A65EED" w:rsidRPr="003643DC" w:rsidRDefault="00A65EED" w:rsidP="0088665B">
            <w:pPr>
              <w:spacing w:after="0" w:line="240" w:lineRule="auto"/>
              <w:jc w:val="center"/>
              <w:rPr>
                <w:rFonts w:eastAsia="Times New Roman"/>
                <w:sz w:val="24"/>
                <w:szCs w:val="24"/>
                <w:lang w:eastAsia="lv-LV"/>
              </w:rPr>
            </w:pPr>
            <w:r w:rsidRPr="0088665B">
              <w:rPr>
                <w:sz w:val="24"/>
                <w:szCs w:val="24"/>
              </w:rPr>
              <w:t>- 3 565 926</w:t>
            </w:r>
          </w:p>
        </w:tc>
        <w:tc>
          <w:tcPr>
            <w:tcW w:w="546" w:type="pct"/>
            <w:vMerge/>
            <w:shd w:val="clear" w:color="auto" w:fill="auto"/>
          </w:tcPr>
          <w:p w14:paraId="433D5D5A" w14:textId="77777777" w:rsidR="00A65EED" w:rsidRPr="003643DC" w:rsidRDefault="00A65EED" w:rsidP="0088665B">
            <w:pPr>
              <w:spacing w:after="0" w:line="240" w:lineRule="auto"/>
              <w:jc w:val="center"/>
              <w:rPr>
                <w:rFonts w:eastAsia="Times New Roman"/>
                <w:sz w:val="24"/>
                <w:szCs w:val="24"/>
                <w:lang w:eastAsia="lv-LV"/>
              </w:rPr>
            </w:pPr>
          </w:p>
        </w:tc>
        <w:tc>
          <w:tcPr>
            <w:tcW w:w="471" w:type="pct"/>
            <w:shd w:val="clear" w:color="auto" w:fill="auto"/>
          </w:tcPr>
          <w:p w14:paraId="24330CA8" w14:textId="610097F2" w:rsidR="00A65EED" w:rsidRPr="003643DC" w:rsidRDefault="00A65EED" w:rsidP="0088665B">
            <w:pPr>
              <w:spacing w:after="0" w:line="240" w:lineRule="auto"/>
              <w:jc w:val="center"/>
              <w:rPr>
                <w:rFonts w:eastAsia="Times New Roman"/>
                <w:sz w:val="24"/>
                <w:szCs w:val="24"/>
                <w:lang w:eastAsia="lv-LV"/>
              </w:rPr>
            </w:pPr>
          </w:p>
        </w:tc>
        <w:tc>
          <w:tcPr>
            <w:tcW w:w="468" w:type="pct"/>
            <w:vMerge/>
            <w:shd w:val="clear" w:color="auto" w:fill="auto"/>
          </w:tcPr>
          <w:p w14:paraId="55793D08" w14:textId="77777777" w:rsidR="00A65EED" w:rsidRPr="003643DC" w:rsidRDefault="00A65EED" w:rsidP="0088665B">
            <w:pPr>
              <w:spacing w:after="0" w:line="240" w:lineRule="auto"/>
              <w:jc w:val="center"/>
              <w:rPr>
                <w:rFonts w:eastAsia="Times New Roman"/>
                <w:sz w:val="24"/>
                <w:szCs w:val="24"/>
                <w:lang w:eastAsia="lv-LV"/>
              </w:rPr>
            </w:pPr>
          </w:p>
        </w:tc>
        <w:tc>
          <w:tcPr>
            <w:tcW w:w="548" w:type="pct"/>
            <w:shd w:val="clear" w:color="auto" w:fill="auto"/>
          </w:tcPr>
          <w:p w14:paraId="272737FF" w14:textId="0105C91C" w:rsidR="00A65EED" w:rsidRPr="003643DC" w:rsidRDefault="00A65EED" w:rsidP="0088665B">
            <w:pPr>
              <w:spacing w:after="0" w:line="240" w:lineRule="auto"/>
              <w:jc w:val="center"/>
              <w:rPr>
                <w:rFonts w:eastAsia="Times New Roman"/>
                <w:sz w:val="24"/>
                <w:szCs w:val="24"/>
                <w:lang w:eastAsia="lv-LV"/>
              </w:rPr>
            </w:pPr>
            <w:r w:rsidRPr="0088665B">
              <w:rPr>
                <w:sz w:val="24"/>
                <w:szCs w:val="24"/>
              </w:rPr>
              <w:t>- 6 113 015</w:t>
            </w:r>
          </w:p>
        </w:tc>
        <w:tc>
          <w:tcPr>
            <w:tcW w:w="619" w:type="pct"/>
            <w:shd w:val="clear" w:color="auto" w:fill="auto"/>
          </w:tcPr>
          <w:p w14:paraId="269BEE2E" w14:textId="5600D8F7" w:rsidR="00A65EED" w:rsidRPr="003643DC" w:rsidRDefault="00A65EED" w:rsidP="0088665B">
            <w:pPr>
              <w:spacing w:after="0" w:line="240" w:lineRule="auto"/>
              <w:jc w:val="center"/>
              <w:rPr>
                <w:rFonts w:eastAsia="Times New Roman"/>
                <w:sz w:val="24"/>
                <w:szCs w:val="24"/>
                <w:lang w:eastAsia="lv-LV"/>
              </w:rPr>
            </w:pPr>
            <w:r w:rsidRPr="0088665B">
              <w:rPr>
                <w:sz w:val="24"/>
                <w:szCs w:val="24"/>
              </w:rPr>
              <w:t>- 6 113 015</w:t>
            </w:r>
          </w:p>
        </w:tc>
      </w:tr>
      <w:tr w:rsidR="00A65EED" w:rsidRPr="003643DC" w14:paraId="5BB987A0" w14:textId="77777777" w:rsidTr="009E0C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5F4CE669" w14:textId="77777777" w:rsidR="00A65EED" w:rsidRPr="003643DC" w:rsidRDefault="00A65EED" w:rsidP="00A65EED">
            <w:pPr>
              <w:spacing w:after="0" w:line="240" w:lineRule="auto"/>
              <w:rPr>
                <w:rFonts w:eastAsia="Times New Roman"/>
                <w:sz w:val="24"/>
                <w:szCs w:val="24"/>
                <w:lang w:eastAsia="lv-LV"/>
              </w:rPr>
            </w:pPr>
            <w:r w:rsidRPr="003643DC">
              <w:rPr>
                <w:rFonts w:eastAsia="Times New Roman"/>
                <w:sz w:val="24"/>
                <w:szCs w:val="24"/>
                <w:lang w:eastAsia="lv-LV"/>
              </w:rPr>
              <w:t>5.2. speciālais budžets</w:t>
            </w:r>
          </w:p>
        </w:tc>
        <w:tc>
          <w:tcPr>
            <w:tcW w:w="550" w:type="pct"/>
            <w:gridSpan w:val="2"/>
            <w:vMerge/>
            <w:shd w:val="clear" w:color="auto" w:fill="auto"/>
          </w:tcPr>
          <w:p w14:paraId="243045B4" w14:textId="77777777" w:rsidR="00A65EED" w:rsidRPr="003643DC" w:rsidRDefault="00A65EED" w:rsidP="0088665B">
            <w:pPr>
              <w:spacing w:after="0" w:line="240" w:lineRule="auto"/>
              <w:jc w:val="center"/>
              <w:rPr>
                <w:rFonts w:eastAsia="Times New Roman"/>
                <w:sz w:val="24"/>
                <w:szCs w:val="24"/>
                <w:lang w:eastAsia="lv-LV"/>
              </w:rPr>
            </w:pPr>
          </w:p>
        </w:tc>
        <w:tc>
          <w:tcPr>
            <w:tcW w:w="547" w:type="pct"/>
            <w:shd w:val="clear" w:color="auto" w:fill="auto"/>
          </w:tcPr>
          <w:p w14:paraId="6AEED205" w14:textId="34F2B862" w:rsidR="00A65EED" w:rsidRPr="003643DC" w:rsidRDefault="00A65EED" w:rsidP="0088665B">
            <w:pPr>
              <w:spacing w:after="0" w:line="240" w:lineRule="auto"/>
              <w:jc w:val="center"/>
              <w:rPr>
                <w:rFonts w:eastAsia="Times New Roman"/>
                <w:sz w:val="24"/>
                <w:szCs w:val="24"/>
                <w:lang w:eastAsia="lv-LV"/>
              </w:rPr>
            </w:pPr>
            <w:r w:rsidRPr="0088665B">
              <w:rPr>
                <w:sz w:val="24"/>
                <w:szCs w:val="24"/>
              </w:rPr>
              <w:t>0</w:t>
            </w:r>
          </w:p>
        </w:tc>
        <w:tc>
          <w:tcPr>
            <w:tcW w:w="546" w:type="pct"/>
            <w:vMerge/>
            <w:shd w:val="clear" w:color="auto" w:fill="auto"/>
          </w:tcPr>
          <w:p w14:paraId="66FBFC88" w14:textId="77777777" w:rsidR="00A65EED" w:rsidRPr="003643DC" w:rsidRDefault="00A65EED" w:rsidP="0088665B">
            <w:pPr>
              <w:spacing w:after="0" w:line="240" w:lineRule="auto"/>
              <w:jc w:val="center"/>
              <w:rPr>
                <w:rFonts w:eastAsia="Times New Roman"/>
                <w:sz w:val="24"/>
                <w:szCs w:val="24"/>
                <w:lang w:eastAsia="lv-LV"/>
              </w:rPr>
            </w:pPr>
          </w:p>
        </w:tc>
        <w:tc>
          <w:tcPr>
            <w:tcW w:w="471" w:type="pct"/>
            <w:shd w:val="clear" w:color="auto" w:fill="auto"/>
          </w:tcPr>
          <w:p w14:paraId="6C13CAD7" w14:textId="6CC26C13" w:rsidR="00A65EED" w:rsidRPr="003643DC" w:rsidRDefault="00A65EED" w:rsidP="0088665B">
            <w:pPr>
              <w:spacing w:after="0" w:line="240" w:lineRule="auto"/>
              <w:jc w:val="center"/>
              <w:rPr>
                <w:rFonts w:eastAsia="Times New Roman"/>
                <w:sz w:val="24"/>
                <w:szCs w:val="24"/>
                <w:lang w:eastAsia="lv-LV"/>
              </w:rPr>
            </w:pPr>
          </w:p>
        </w:tc>
        <w:tc>
          <w:tcPr>
            <w:tcW w:w="468" w:type="pct"/>
            <w:vMerge/>
            <w:shd w:val="clear" w:color="auto" w:fill="auto"/>
          </w:tcPr>
          <w:p w14:paraId="4E59875A" w14:textId="77777777" w:rsidR="00A65EED" w:rsidRPr="003643DC" w:rsidRDefault="00A65EED" w:rsidP="0088665B">
            <w:pPr>
              <w:spacing w:after="0" w:line="240" w:lineRule="auto"/>
              <w:jc w:val="center"/>
              <w:rPr>
                <w:rFonts w:eastAsia="Times New Roman"/>
                <w:sz w:val="24"/>
                <w:szCs w:val="24"/>
                <w:lang w:eastAsia="lv-LV"/>
              </w:rPr>
            </w:pPr>
          </w:p>
        </w:tc>
        <w:tc>
          <w:tcPr>
            <w:tcW w:w="548" w:type="pct"/>
            <w:shd w:val="clear" w:color="auto" w:fill="auto"/>
          </w:tcPr>
          <w:p w14:paraId="5BAA5B3D" w14:textId="5E9864A9" w:rsidR="00A65EED" w:rsidRPr="003643DC" w:rsidRDefault="00A65EED" w:rsidP="0088665B">
            <w:pPr>
              <w:spacing w:after="0" w:line="240" w:lineRule="auto"/>
              <w:jc w:val="center"/>
              <w:rPr>
                <w:rFonts w:eastAsia="Times New Roman"/>
                <w:sz w:val="24"/>
                <w:szCs w:val="24"/>
                <w:lang w:eastAsia="lv-LV"/>
              </w:rPr>
            </w:pPr>
            <w:r w:rsidRPr="0088665B">
              <w:rPr>
                <w:sz w:val="24"/>
                <w:szCs w:val="24"/>
              </w:rPr>
              <w:t>0</w:t>
            </w:r>
          </w:p>
        </w:tc>
        <w:tc>
          <w:tcPr>
            <w:tcW w:w="619" w:type="pct"/>
            <w:shd w:val="clear" w:color="auto" w:fill="auto"/>
          </w:tcPr>
          <w:p w14:paraId="317B214E" w14:textId="175A982A" w:rsidR="00A65EED" w:rsidRPr="003643DC" w:rsidRDefault="00A65EED" w:rsidP="0088665B">
            <w:pPr>
              <w:spacing w:after="0" w:line="240" w:lineRule="auto"/>
              <w:jc w:val="center"/>
              <w:rPr>
                <w:rFonts w:eastAsia="Times New Roman"/>
                <w:sz w:val="24"/>
                <w:szCs w:val="24"/>
                <w:lang w:eastAsia="lv-LV"/>
              </w:rPr>
            </w:pPr>
            <w:r w:rsidRPr="0088665B">
              <w:rPr>
                <w:sz w:val="24"/>
                <w:szCs w:val="24"/>
              </w:rPr>
              <w:t>0</w:t>
            </w:r>
          </w:p>
        </w:tc>
      </w:tr>
      <w:tr w:rsidR="00A65EED" w:rsidRPr="003643DC" w14:paraId="27E298A8" w14:textId="77777777" w:rsidTr="009E0C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7794DA3E" w14:textId="77777777" w:rsidR="00A65EED" w:rsidRPr="003643DC" w:rsidRDefault="00A65EED" w:rsidP="00A65EED">
            <w:pPr>
              <w:spacing w:after="0" w:line="240" w:lineRule="auto"/>
              <w:rPr>
                <w:rFonts w:eastAsia="Times New Roman"/>
                <w:sz w:val="24"/>
                <w:szCs w:val="24"/>
                <w:lang w:eastAsia="lv-LV"/>
              </w:rPr>
            </w:pPr>
            <w:r w:rsidRPr="003643DC">
              <w:rPr>
                <w:rFonts w:eastAsia="Times New Roman"/>
                <w:sz w:val="24"/>
                <w:szCs w:val="24"/>
                <w:lang w:eastAsia="lv-LV"/>
              </w:rPr>
              <w:t>5.3. pašvaldību budžets</w:t>
            </w:r>
          </w:p>
        </w:tc>
        <w:tc>
          <w:tcPr>
            <w:tcW w:w="550" w:type="pct"/>
            <w:gridSpan w:val="2"/>
            <w:vMerge/>
            <w:shd w:val="clear" w:color="auto" w:fill="auto"/>
          </w:tcPr>
          <w:p w14:paraId="2485638D" w14:textId="77777777" w:rsidR="00A65EED" w:rsidRPr="003643DC" w:rsidRDefault="00A65EED" w:rsidP="0088665B">
            <w:pPr>
              <w:spacing w:after="0" w:line="240" w:lineRule="auto"/>
              <w:jc w:val="center"/>
              <w:rPr>
                <w:rFonts w:eastAsia="Times New Roman"/>
                <w:sz w:val="24"/>
                <w:szCs w:val="24"/>
                <w:lang w:eastAsia="lv-LV"/>
              </w:rPr>
            </w:pPr>
          </w:p>
        </w:tc>
        <w:tc>
          <w:tcPr>
            <w:tcW w:w="547" w:type="pct"/>
            <w:shd w:val="clear" w:color="auto" w:fill="auto"/>
          </w:tcPr>
          <w:p w14:paraId="2C48E8C6" w14:textId="098C44E6" w:rsidR="00A65EED" w:rsidRPr="003643DC" w:rsidRDefault="00A65EED" w:rsidP="0088665B">
            <w:pPr>
              <w:spacing w:after="0" w:line="240" w:lineRule="auto"/>
              <w:jc w:val="center"/>
              <w:rPr>
                <w:rFonts w:eastAsia="Times New Roman"/>
                <w:sz w:val="24"/>
                <w:szCs w:val="24"/>
                <w:lang w:eastAsia="lv-LV"/>
              </w:rPr>
            </w:pPr>
            <w:r w:rsidRPr="0088665B">
              <w:rPr>
                <w:sz w:val="24"/>
                <w:szCs w:val="24"/>
              </w:rPr>
              <w:t>0</w:t>
            </w:r>
          </w:p>
        </w:tc>
        <w:tc>
          <w:tcPr>
            <w:tcW w:w="546" w:type="pct"/>
            <w:vMerge/>
            <w:shd w:val="clear" w:color="auto" w:fill="auto"/>
          </w:tcPr>
          <w:p w14:paraId="0416B186" w14:textId="77777777" w:rsidR="00A65EED" w:rsidRPr="003643DC" w:rsidRDefault="00A65EED" w:rsidP="0088665B">
            <w:pPr>
              <w:spacing w:after="0" w:line="240" w:lineRule="auto"/>
              <w:jc w:val="center"/>
              <w:rPr>
                <w:rFonts w:eastAsia="Times New Roman"/>
                <w:sz w:val="24"/>
                <w:szCs w:val="24"/>
                <w:lang w:eastAsia="lv-LV"/>
              </w:rPr>
            </w:pPr>
          </w:p>
        </w:tc>
        <w:tc>
          <w:tcPr>
            <w:tcW w:w="471" w:type="pct"/>
            <w:shd w:val="clear" w:color="auto" w:fill="auto"/>
          </w:tcPr>
          <w:p w14:paraId="75A520FE" w14:textId="696614FB" w:rsidR="00A65EED" w:rsidRPr="003643DC" w:rsidRDefault="00A65EED" w:rsidP="0088665B">
            <w:pPr>
              <w:spacing w:after="0" w:line="240" w:lineRule="auto"/>
              <w:jc w:val="center"/>
              <w:rPr>
                <w:rFonts w:eastAsia="Times New Roman"/>
                <w:sz w:val="24"/>
                <w:szCs w:val="24"/>
                <w:lang w:eastAsia="lv-LV"/>
              </w:rPr>
            </w:pPr>
          </w:p>
        </w:tc>
        <w:tc>
          <w:tcPr>
            <w:tcW w:w="468" w:type="pct"/>
            <w:vMerge/>
            <w:shd w:val="clear" w:color="auto" w:fill="auto"/>
          </w:tcPr>
          <w:p w14:paraId="5AEF9CC5" w14:textId="77777777" w:rsidR="00A65EED" w:rsidRPr="003643DC" w:rsidRDefault="00A65EED" w:rsidP="0088665B">
            <w:pPr>
              <w:spacing w:after="0" w:line="240" w:lineRule="auto"/>
              <w:jc w:val="center"/>
              <w:rPr>
                <w:rFonts w:eastAsia="Times New Roman"/>
                <w:sz w:val="24"/>
                <w:szCs w:val="24"/>
                <w:lang w:eastAsia="lv-LV"/>
              </w:rPr>
            </w:pPr>
          </w:p>
        </w:tc>
        <w:tc>
          <w:tcPr>
            <w:tcW w:w="548" w:type="pct"/>
            <w:shd w:val="clear" w:color="auto" w:fill="auto"/>
          </w:tcPr>
          <w:p w14:paraId="355E0C01" w14:textId="653BE386" w:rsidR="00A65EED" w:rsidRPr="003643DC" w:rsidRDefault="00A65EED" w:rsidP="0088665B">
            <w:pPr>
              <w:spacing w:after="0" w:line="240" w:lineRule="auto"/>
              <w:jc w:val="center"/>
              <w:rPr>
                <w:rFonts w:eastAsia="Times New Roman"/>
                <w:sz w:val="24"/>
                <w:szCs w:val="24"/>
                <w:lang w:eastAsia="lv-LV"/>
              </w:rPr>
            </w:pPr>
            <w:r w:rsidRPr="0088665B">
              <w:rPr>
                <w:sz w:val="24"/>
                <w:szCs w:val="24"/>
              </w:rPr>
              <w:t>0</w:t>
            </w:r>
          </w:p>
        </w:tc>
        <w:tc>
          <w:tcPr>
            <w:tcW w:w="619" w:type="pct"/>
            <w:shd w:val="clear" w:color="auto" w:fill="auto"/>
          </w:tcPr>
          <w:p w14:paraId="73FF656A" w14:textId="45947FD2" w:rsidR="00A65EED" w:rsidRPr="003643DC" w:rsidRDefault="00A65EED" w:rsidP="0088665B">
            <w:pPr>
              <w:spacing w:after="0" w:line="240" w:lineRule="auto"/>
              <w:jc w:val="center"/>
              <w:rPr>
                <w:rFonts w:eastAsia="Times New Roman"/>
                <w:sz w:val="24"/>
                <w:szCs w:val="24"/>
                <w:lang w:eastAsia="lv-LV"/>
              </w:rPr>
            </w:pPr>
            <w:r w:rsidRPr="0088665B">
              <w:rPr>
                <w:sz w:val="24"/>
                <w:szCs w:val="24"/>
              </w:rPr>
              <w:t>0</w:t>
            </w:r>
          </w:p>
        </w:tc>
      </w:tr>
      <w:tr w:rsidR="00D573FB" w:rsidRPr="003643DC" w14:paraId="79834478" w14:textId="77777777" w:rsidTr="001649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3B073654" w14:textId="77777777" w:rsidR="00D573FB" w:rsidRPr="003643DC" w:rsidRDefault="00D573FB" w:rsidP="00D573FB">
            <w:pPr>
              <w:spacing w:after="0" w:line="240" w:lineRule="auto"/>
              <w:rPr>
                <w:rFonts w:eastAsia="Times New Roman"/>
                <w:sz w:val="24"/>
                <w:szCs w:val="24"/>
                <w:lang w:eastAsia="lv-LV"/>
              </w:rPr>
            </w:pPr>
            <w:r w:rsidRPr="003643DC">
              <w:rPr>
                <w:rFonts w:eastAsia="Times New Roman"/>
                <w:sz w:val="24"/>
                <w:szCs w:val="24"/>
                <w:lang w:eastAsia="lv-LV"/>
              </w:rPr>
              <w:t>6. Detalizēts ieņēmumu un izdevumu aprēķins (ja nepieciešams, detalizētu ieņēmumu un izdevumu aprēķinu var pievienot anotācijas pielikumā)</w:t>
            </w:r>
          </w:p>
        </w:tc>
        <w:tc>
          <w:tcPr>
            <w:tcW w:w="3749" w:type="pct"/>
            <w:gridSpan w:val="8"/>
            <w:vMerge w:val="restart"/>
            <w:shd w:val="clear" w:color="auto" w:fill="auto"/>
          </w:tcPr>
          <w:p w14:paraId="5C83EA47" w14:textId="35454B11" w:rsidR="0088665B" w:rsidRPr="0088665B" w:rsidRDefault="0088665B" w:rsidP="0088665B">
            <w:pPr>
              <w:spacing w:after="0" w:line="240" w:lineRule="auto"/>
              <w:jc w:val="both"/>
              <w:rPr>
                <w:rFonts w:eastAsia="Times New Roman"/>
                <w:sz w:val="24"/>
                <w:szCs w:val="24"/>
                <w:lang w:eastAsia="lv-LV"/>
              </w:rPr>
            </w:pPr>
            <w:r w:rsidRPr="0088665B">
              <w:rPr>
                <w:rFonts w:eastAsia="Times New Roman"/>
                <w:sz w:val="24"/>
                <w:szCs w:val="24"/>
                <w:lang w:eastAsia="lv-LV"/>
              </w:rPr>
              <w:t>Saskaņā ar Valsts vienotās datorizētās zemesgrāmatas datiem par 2020.</w:t>
            </w:r>
            <w:r>
              <w:rPr>
                <w:rFonts w:eastAsia="Times New Roman"/>
                <w:sz w:val="24"/>
                <w:szCs w:val="24"/>
                <w:lang w:eastAsia="lv-LV"/>
              </w:rPr>
              <w:t> </w:t>
            </w:r>
            <w:r w:rsidRPr="0088665B">
              <w:rPr>
                <w:rFonts w:eastAsia="Times New Roman"/>
                <w:sz w:val="24"/>
                <w:szCs w:val="24"/>
                <w:lang w:eastAsia="lv-LV"/>
              </w:rPr>
              <w:t xml:space="preserve">gadā veiktajiem darījumiem: </w:t>
            </w:r>
          </w:p>
          <w:p w14:paraId="4BBF8028" w14:textId="46F34313" w:rsidR="0088665B" w:rsidRPr="0088665B" w:rsidRDefault="0088665B" w:rsidP="0088665B">
            <w:pPr>
              <w:spacing w:after="0" w:line="240" w:lineRule="auto"/>
              <w:jc w:val="both"/>
              <w:rPr>
                <w:rFonts w:eastAsia="Times New Roman"/>
                <w:sz w:val="24"/>
                <w:szCs w:val="24"/>
                <w:lang w:eastAsia="lv-LV"/>
              </w:rPr>
            </w:pPr>
            <w:r w:rsidRPr="0088665B">
              <w:rPr>
                <w:rFonts w:eastAsia="Times New Roman"/>
                <w:sz w:val="24"/>
                <w:szCs w:val="24"/>
                <w:lang w:eastAsia="lv-LV"/>
              </w:rPr>
              <w:t>1</w:t>
            </w:r>
            <w:r>
              <w:rPr>
                <w:rFonts w:eastAsia="Times New Roman"/>
                <w:sz w:val="24"/>
                <w:szCs w:val="24"/>
                <w:lang w:eastAsia="lv-LV"/>
              </w:rPr>
              <w:t>) </w:t>
            </w:r>
            <w:r w:rsidRPr="0088665B">
              <w:rPr>
                <w:rFonts w:eastAsia="Times New Roman"/>
                <w:sz w:val="24"/>
                <w:szCs w:val="24"/>
                <w:lang w:eastAsia="lv-LV"/>
              </w:rPr>
              <w:t xml:space="preserve">valsts nodeva fiziskām personām par īpašuma tiesību nostiprināšanu zemesgrāmatā zemes īpašuma vai zemes un būvju īpašuma, vai būvju īpašuma, kura sastāvā ietilpst dzīvojamā māja (tajā skaitā ar to funkcionāli saistītās ēkas un būves) un zemes un būvju īpašuma vai būvju īpašuma, kura sastāvā ietilpst tikai nedzīvojamā ēka vai nedzīvojamās ēkas un ar tām saistītās inženierbūves, atsavināšana uz līguma vai tiesas lēmuma pamata par izsoles akta apstiprināšanu vai uz tiesas lēmuma pamata par nekustamā īpašuma nostiprināšanu </w:t>
            </w:r>
            <w:r w:rsidRPr="0088665B">
              <w:rPr>
                <w:rFonts w:eastAsia="Times New Roman"/>
                <w:sz w:val="24"/>
                <w:szCs w:val="24"/>
                <w:lang w:eastAsia="lv-LV"/>
              </w:rPr>
              <w:lastRenderedPageBreak/>
              <w:t>nosolītājam, līdzīpašniekam vai kreditoram tika aprēķināta 19 672 257</w:t>
            </w:r>
            <w:r>
              <w:rPr>
                <w:rFonts w:eastAsia="Times New Roman"/>
                <w:sz w:val="24"/>
                <w:szCs w:val="24"/>
                <w:lang w:eastAsia="lv-LV"/>
              </w:rPr>
              <w:t> </w:t>
            </w:r>
            <w:r w:rsidRPr="0088665B">
              <w:rPr>
                <w:rFonts w:eastAsia="Times New Roman"/>
                <w:i/>
                <w:iCs/>
                <w:sz w:val="24"/>
                <w:szCs w:val="24"/>
                <w:lang w:eastAsia="lv-LV"/>
              </w:rPr>
              <w:t>euro</w:t>
            </w:r>
            <w:r>
              <w:rPr>
                <w:rFonts w:eastAsia="Times New Roman"/>
                <w:sz w:val="24"/>
                <w:szCs w:val="24"/>
                <w:lang w:eastAsia="lv-LV"/>
              </w:rPr>
              <w:t xml:space="preserve"> </w:t>
            </w:r>
            <w:r w:rsidRPr="0088665B">
              <w:rPr>
                <w:rFonts w:eastAsia="Times New Roman"/>
                <w:sz w:val="24"/>
                <w:szCs w:val="24"/>
                <w:lang w:eastAsia="lv-LV"/>
              </w:rPr>
              <w:t>apmērā. Šajos gadījumos valsts nodeva tika aprēķināta 2</w:t>
            </w:r>
            <w:r>
              <w:rPr>
                <w:rFonts w:eastAsia="Times New Roman"/>
                <w:sz w:val="24"/>
                <w:szCs w:val="24"/>
                <w:lang w:eastAsia="lv-LV"/>
              </w:rPr>
              <w:t> </w:t>
            </w:r>
            <w:r w:rsidRPr="0088665B">
              <w:rPr>
                <w:rFonts w:eastAsia="Times New Roman"/>
                <w:sz w:val="24"/>
                <w:szCs w:val="24"/>
                <w:lang w:eastAsia="lv-LV"/>
              </w:rPr>
              <w:t>% apmērā</w:t>
            </w:r>
            <w:r>
              <w:rPr>
                <w:rFonts w:eastAsia="Times New Roman"/>
                <w:sz w:val="24"/>
                <w:szCs w:val="24"/>
                <w:lang w:eastAsia="lv-LV"/>
              </w:rPr>
              <w:t>,</w:t>
            </w:r>
            <w:r w:rsidRPr="0088665B">
              <w:rPr>
                <w:rFonts w:eastAsia="Times New Roman"/>
                <w:sz w:val="24"/>
                <w:szCs w:val="24"/>
                <w:lang w:eastAsia="lv-LV"/>
              </w:rPr>
              <w:t xml:space="preserve"> ņemot vērā noteikumu Nr.</w:t>
            </w:r>
            <w:r>
              <w:rPr>
                <w:rFonts w:eastAsia="Times New Roman"/>
                <w:sz w:val="24"/>
                <w:szCs w:val="24"/>
                <w:lang w:eastAsia="lv-LV"/>
              </w:rPr>
              <w:t> </w:t>
            </w:r>
            <w:r w:rsidRPr="0088665B">
              <w:rPr>
                <w:rFonts w:eastAsia="Times New Roman"/>
                <w:sz w:val="24"/>
                <w:szCs w:val="24"/>
                <w:lang w:eastAsia="lv-LV"/>
              </w:rPr>
              <w:t>1250 8.</w:t>
            </w:r>
            <w:r>
              <w:rPr>
                <w:rFonts w:eastAsia="Times New Roman"/>
                <w:sz w:val="24"/>
                <w:szCs w:val="24"/>
                <w:lang w:eastAsia="lv-LV"/>
              </w:rPr>
              <w:t> </w:t>
            </w:r>
            <w:r w:rsidRPr="0088665B">
              <w:rPr>
                <w:rFonts w:eastAsia="Times New Roman"/>
                <w:sz w:val="24"/>
                <w:szCs w:val="24"/>
                <w:lang w:eastAsia="lv-LV"/>
              </w:rPr>
              <w:t>punktā noteikto valsts nodevas aprēķina novērtējuma summu</w:t>
            </w:r>
            <w:r>
              <w:rPr>
                <w:rFonts w:eastAsia="Times New Roman"/>
                <w:sz w:val="24"/>
                <w:szCs w:val="24"/>
                <w:lang w:eastAsia="lv-LV"/>
              </w:rPr>
              <w:t>;</w:t>
            </w:r>
          </w:p>
          <w:p w14:paraId="0CA45A9F" w14:textId="7E3A56B0" w:rsidR="0088665B" w:rsidRPr="0088665B" w:rsidRDefault="0088665B" w:rsidP="0088665B">
            <w:pPr>
              <w:spacing w:after="0" w:line="240" w:lineRule="auto"/>
              <w:jc w:val="both"/>
              <w:rPr>
                <w:rFonts w:eastAsia="Times New Roman"/>
                <w:sz w:val="24"/>
                <w:szCs w:val="24"/>
                <w:lang w:eastAsia="lv-LV"/>
              </w:rPr>
            </w:pPr>
            <w:r w:rsidRPr="0088665B">
              <w:rPr>
                <w:rFonts w:eastAsia="Times New Roman"/>
                <w:sz w:val="24"/>
                <w:szCs w:val="24"/>
                <w:lang w:eastAsia="lv-LV"/>
              </w:rPr>
              <w:t>2</w:t>
            </w:r>
            <w:r>
              <w:rPr>
                <w:rFonts w:eastAsia="Times New Roman"/>
                <w:sz w:val="24"/>
                <w:szCs w:val="24"/>
                <w:lang w:eastAsia="lv-LV"/>
              </w:rPr>
              <w:t>) </w:t>
            </w:r>
            <w:r w:rsidRPr="0088665B">
              <w:rPr>
                <w:rFonts w:eastAsia="Times New Roman"/>
                <w:sz w:val="24"/>
                <w:szCs w:val="24"/>
                <w:lang w:eastAsia="lv-LV"/>
              </w:rPr>
              <w:t>valsts nodeva dzīvokļa īpašuma atsavināšanai juridiskai personai, kas veic komercdarbību, uz līguma vai tiesas lēmuma pamata par izsoles akta apstiprināšanu vai uz tiesas lēmuma pamata par nekustamā īpašuma nostiprināšanu nosolītājam, līdzīpašniekam vai kreditoram tika aprēķināta 1 792 425</w:t>
            </w:r>
            <w:r>
              <w:rPr>
                <w:rFonts w:eastAsia="Times New Roman"/>
                <w:sz w:val="24"/>
                <w:szCs w:val="24"/>
                <w:lang w:eastAsia="lv-LV"/>
              </w:rPr>
              <w:t> </w:t>
            </w:r>
            <w:r w:rsidRPr="0088665B">
              <w:rPr>
                <w:rFonts w:eastAsia="Times New Roman"/>
                <w:i/>
                <w:iCs/>
                <w:sz w:val="24"/>
                <w:szCs w:val="24"/>
                <w:lang w:eastAsia="lv-LV"/>
              </w:rPr>
              <w:t>euro</w:t>
            </w:r>
            <w:r>
              <w:rPr>
                <w:rFonts w:eastAsia="Times New Roman"/>
                <w:sz w:val="24"/>
                <w:szCs w:val="24"/>
                <w:lang w:eastAsia="lv-LV"/>
              </w:rPr>
              <w:t xml:space="preserve"> </w:t>
            </w:r>
            <w:r w:rsidRPr="0088665B">
              <w:rPr>
                <w:rFonts w:eastAsia="Times New Roman"/>
                <w:sz w:val="24"/>
                <w:szCs w:val="24"/>
                <w:lang w:eastAsia="lv-LV"/>
              </w:rPr>
              <w:t>apmērā. Šajos gadījumos valsts nodeva tika aprēķināta 6</w:t>
            </w:r>
            <w:r>
              <w:rPr>
                <w:rFonts w:eastAsia="Times New Roman"/>
                <w:sz w:val="24"/>
                <w:szCs w:val="24"/>
                <w:lang w:eastAsia="lv-LV"/>
              </w:rPr>
              <w:t> </w:t>
            </w:r>
            <w:r w:rsidRPr="0088665B">
              <w:rPr>
                <w:rFonts w:eastAsia="Times New Roman"/>
                <w:sz w:val="24"/>
                <w:szCs w:val="24"/>
                <w:lang w:eastAsia="lv-LV"/>
              </w:rPr>
              <w:t>% apmērā</w:t>
            </w:r>
            <w:r>
              <w:rPr>
                <w:rFonts w:eastAsia="Times New Roman"/>
                <w:sz w:val="24"/>
                <w:szCs w:val="24"/>
                <w:lang w:eastAsia="lv-LV"/>
              </w:rPr>
              <w:t>,</w:t>
            </w:r>
            <w:r w:rsidRPr="0088665B">
              <w:rPr>
                <w:rFonts w:eastAsia="Times New Roman"/>
                <w:sz w:val="24"/>
                <w:szCs w:val="24"/>
                <w:lang w:eastAsia="lv-LV"/>
              </w:rPr>
              <w:t xml:space="preserve"> ņemot vērā noteikum</w:t>
            </w:r>
            <w:r w:rsidR="00517C17">
              <w:rPr>
                <w:rFonts w:eastAsia="Times New Roman"/>
                <w:sz w:val="24"/>
                <w:szCs w:val="24"/>
                <w:lang w:eastAsia="lv-LV"/>
              </w:rPr>
              <w:t>os</w:t>
            </w:r>
            <w:r w:rsidRPr="0088665B">
              <w:rPr>
                <w:rFonts w:eastAsia="Times New Roman"/>
                <w:sz w:val="24"/>
                <w:szCs w:val="24"/>
                <w:lang w:eastAsia="lv-LV"/>
              </w:rPr>
              <w:t xml:space="preserve"> Nr.</w:t>
            </w:r>
            <w:r>
              <w:rPr>
                <w:rFonts w:eastAsia="Times New Roman"/>
                <w:sz w:val="24"/>
                <w:szCs w:val="24"/>
                <w:lang w:eastAsia="lv-LV"/>
              </w:rPr>
              <w:t> </w:t>
            </w:r>
            <w:r w:rsidRPr="0088665B">
              <w:rPr>
                <w:rFonts w:eastAsia="Times New Roman"/>
                <w:sz w:val="24"/>
                <w:szCs w:val="24"/>
                <w:lang w:eastAsia="lv-LV"/>
              </w:rPr>
              <w:t>1250</w:t>
            </w:r>
            <w:r w:rsidR="00517C17">
              <w:rPr>
                <w:rFonts w:eastAsia="Times New Roman"/>
                <w:sz w:val="24"/>
                <w:szCs w:val="24"/>
                <w:lang w:eastAsia="lv-LV"/>
              </w:rPr>
              <w:t xml:space="preserve"> noteikto.</w:t>
            </w:r>
          </w:p>
          <w:p w14:paraId="1835424E" w14:textId="0189000B" w:rsidR="0088665B" w:rsidRPr="0088665B" w:rsidRDefault="00517C17" w:rsidP="0088665B">
            <w:pPr>
              <w:spacing w:after="0" w:line="240" w:lineRule="auto"/>
              <w:jc w:val="both"/>
              <w:rPr>
                <w:rFonts w:eastAsia="Times New Roman"/>
                <w:sz w:val="24"/>
                <w:szCs w:val="24"/>
                <w:lang w:eastAsia="lv-LV"/>
              </w:rPr>
            </w:pPr>
            <w:r>
              <w:rPr>
                <w:rFonts w:eastAsia="Times New Roman"/>
                <w:sz w:val="24"/>
                <w:szCs w:val="24"/>
                <w:lang w:eastAsia="lv-LV"/>
              </w:rPr>
              <w:t>Noteikumu</w:t>
            </w:r>
            <w:r w:rsidR="0088665B" w:rsidRPr="0088665B">
              <w:rPr>
                <w:rFonts w:eastAsia="Times New Roman"/>
                <w:sz w:val="24"/>
                <w:szCs w:val="24"/>
                <w:lang w:eastAsia="lv-LV"/>
              </w:rPr>
              <w:t xml:space="preserve"> projekts paredz samazināt </w:t>
            </w:r>
            <w:r w:rsidR="001752F9">
              <w:rPr>
                <w:rFonts w:eastAsia="Times New Roman"/>
                <w:sz w:val="24"/>
                <w:szCs w:val="24"/>
                <w:lang w:eastAsia="lv-LV"/>
              </w:rPr>
              <w:t>minētajā</w:t>
            </w:r>
            <w:r w:rsidR="0088665B" w:rsidRPr="0088665B">
              <w:rPr>
                <w:rFonts w:eastAsia="Times New Roman"/>
                <w:sz w:val="24"/>
                <w:szCs w:val="24"/>
                <w:lang w:eastAsia="lv-LV"/>
              </w:rPr>
              <w:t xml:space="preserve"> pirmajā punktā piemēroto likmi no 2</w:t>
            </w:r>
            <w:r w:rsidR="001752F9">
              <w:rPr>
                <w:rFonts w:eastAsia="Times New Roman"/>
                <w:sz w:val="24"/>
                <w:szCs w:val="24"/>
                <w:lang w:eastAsia="lv-LV"/>
              </w:rPr>
              <w:t> </w:t>
            </w:r>
            <w:r w:rsidR="0088665B" w:rsidRPr="0088665B">
              <w:rPr>
                <w:rFonts w:eastAsia="Times New Roman"/>
                <w:sz w:val="24"/>
                <w:szCs w:val="24"/>
                <w:lang w:eastAsia="lv-LV"/>
              </w:rPr>
              <w:t xml:space="preserve">% </w:t>
            </w:r>
            <w:r w:rsidR="001752F9">
              <w:rPr>
                <w:rFonts w:eastAsia="Times New Roman"/>
                <w:sz w:val="24"/>
                <w:szCs w:val="24"/>
                <w:lang w:eastAsia="lv-LV"/>
              </w:rPr>
              <w:t>uz</w:t>
            </w:r>
            <w:r w:rsidR="0088665B" w:rsidRPr="0088665B">
              <w:rPr>
                <w:rFonts w:eastAsia="Times New Roman"/>
                <w:sz w:val="24"/>
                <w:szCs w:val="24"/>
                <w:lang w:eastAsia="lv-LV"/>
              </w:rPr>
              <w:t xml:space="preserve"> 1,5</w:t>
            </w:r>
            <w:r w:rsidR="001752F9">
              <w:rPr>
                <w:rFonts w:eastAsia="Times New Roman"/>
                <w:sz w:val="24"/>
                <w:szCs w:val="24"/>
                <w:lang w:eastAsia="lv-LV"/>
              </w:rPr>
              <w:t> </w:t>
            </w:r>
            <w:r w:rsidR="0088665B" w:rsidRPr="0088665B">
              <w:rPr>
                <w:rFonts w:eastAsia="Times New Roman"/>
                <w:sz w:val="24"/>
                <w:szCs w:val="24"/>
                <w:lang w:eastAsia="lv-LV"/>
              </w:rPr>
              <w:t>% un otr</w:t>
            </w:r>
            <w:r w:rsidR="001752F9">
              <w:rPr>
                <w:rFonts w:eastAsia="Times New Roman"/>
                <w:sz w:val="24"/>
                <w:szCs w:val="24"/>
                <w:lang w:eastAsia="lv-LV"/>
              </w:rPr>
              <w:t>aj</w:t>
            </w:r>
            <w:r w:rsidR="0088665B" w:rsidRPr="0088665B">
              <w:rPr>
                <w:rFonts w:eastAsia="Times New Roman"/>
                <w:sz w:val="24"/>
                <w:szCs w:val="24"/>
                <w:lang w:eastAsia="lv-LV"/>
              </w:rPr>
              <w:t>ā punktā piemēroto likmi no 6</w:t>
            </w:r>
            <w:r w:rsidR="001752F9">
              <w:rPr>
                <w:rFonts w:eastAsia="Times New Roman"/>
                <w:sz w:val="24"/>
                <w:szCs w:val="24"/>
                <w:lang w:eastAsia="lv-LV"/>
              </w:rPr>
              <w:t> </w:t>
            </w:r>
            <w:r w:rsidR="0088665B" w:rsidRPr="0088665B">
              <w:rPr>
                <w:rFonts w:eastAsia="Times New Roman"/>
                <w:sz w:val="24"/>
                <w:szCs w:val="24"/>
                <w:lang w:eastAsia="lv-LV"/>
              </w:rPr>
              <w:t>% uz 2</w:t>
            </w:r>
            <w:r w:rsidR="001752F9">
              <w:rPr>
                <w:rFonts w:eastAsia="Times New Roman"/>
                <w:sz w:val="24"/>
                <w:szCs w:val="24"/>
                <w:lang w:eastAsia="lv-LV"/>
              </w:rPr>
              <w:t> </w:t>
            </w:r>
            <w:r w:rsidR="0088665B" w:rsidRPr="0088665B">
              <w:rPr>
                <w:rFonts w:eastAsia="Times New Roman"/>
                <w:sz w:val="24"/>
                <w:szCs w:val="24"/>
                <w:lang w:eastAsia="lv-LV"/>
              </w:rPr>
              <w:t>%.</w:t>
            </w:r>
          </w:p>
          <w:p w14:paraId="4E3D7B2F" w14:textId="72B87674" w:rsidR="0088665B" w:rsidRPr="0088665B" w:rsidRDefault="0088665B" w:rsidP="0088665B">
            <w:pPr>
              <w:spacing w:after="0" w:line="240" w:lineRule="auto"/>
              <w:jc w:val="both"/>
              <w:rPr>
                <w:rFonts w:eastAsia="Times New Roman"/>
                <w:sz w:val="24"/>
                <w:szCs w:val="24"/>
                <w:lang w:eastAsia="lv-LV"/>
              </w:rPr>
            </w:pPr>
            <w:r w:rsidRPr="0088665B">
              <w:rPr>
                <w:rFonts w:eastAsia="Times New Roman"/>
                <w:sz w:val="24"/>
                <w:szCs w:val="24"/>
                <w:lang w:eastAsia="lv-LV"/>
              </w:rPr>
              <w:t>Ņemot vērā 2020.</w:t>
            </w:r>
            <w:r w:rsidR="001752F9">
              <w:rPr>
                <w:rFonts w:eastAsia="Times New Roman"/>
                <w:sz w:val="24"/>
                <w:szCs w:val="24"/>
                <w:lang w:eastAsia="lv-LV"/>
              </w:rPr>
              <w:t> </w:t>
            </w:r>
            <w:r w:rsidRPr="0088665B">
              <w:rPr>
                <w:rFonts w:eastAsia="Times New Roman"/>
                <w:sz w:val="24"/>
                <w:szCs w:val="24"/>
                <w:lang w:eastAsia="lv-LV"/>
              </w:rPr>
              <w:t>gada datus un to, ka plānotā valsts nodevas likme pirmajā gadījumā salīdzinājumā ar spēkā esošos saglabāsies 75</w:t>
            </w:r>
            <w:r w:rsidR="001752F9">
              <w:rPr>
                <w:rFonts w:eastAsia="Times New Roman"/>
                <w:sz w:val="24"/>
                <w:szCs w:val="24"/>
                <w:lang w:eastAsia="lv-LV"/>
              </w:rPr>
              <w:t> </w:t>
            </w:r>
            <w:r w:rsidRPr="0088665B">
              <w:rPr>
                <w:rFonts w:eastAsia="Times New Roman"/>
                <w:sz w:val="24"/>
                <w:szCs w:val="24"/>
                <w:lang w:eastAsia="lv-LV"/>
              </w:rPr>
              <w:t>% apmērā un otr</w:t>
            </w:r>
            <w:r w:rsidR="001752F9">
              <w:rPr>
                <w:rFonts w:eastAsia="Times New Roman"/>
                <w:sz w:val="24"/>
                <w:szCs w:val="24"/>
                <w:lang w:eastAsia="lv-LV"/>
              </w:rPr>
              <w:t>aj</w:t>
            </w:r>
            <w:r w:rsidRPr="0088665B">
              <w:rPr>
                <w:rFonts w:eastAsia="Times New Roman"/>
                <w:sz w:val="24"/>
                <w:szCs w:val="24"/>
                <w:lang w:eastAsia="lv-LV"/>
              </w:rPr>
              <w:t>ā gadījumā par 33.3</w:t>
            </w:r>
            <w:r w:rsidR="001752F9">
              <w:rPr>
                <w:rFonts w:eastAsia="Times New Roman"/>
                <w:sz w:val="24"/>
                <w:szCs w:val="24"/>
                <w:lang w:eastAsia="lv-LV"/>
              </w:rPr>
              <w:t> </w:t>
            </w:r>
            <w:r w:rsidRPr="0088665B">
              <w:rPr>
                <w:rFonts w:eastAsia="Times New Roman"/>
                <w:sz w:val="24"/>
                <w:szCs w:val="24"/>
                <w:lang w:eastAsia="lv-LV"/>
              </w:rPr>
              <w:t>% apmērā</w:t>
            </w:r>
            <w:r w:rsidR="00222099">
              <w:rPr>
                <w:rFonts w:eastAsia="Times New Roman"/>
                <w:sz w:val="24"/>
                <w:szCs w:val="24"/>
                <w:lang w:eastAsia="lv-LV"/>
              </w:rPr>
              <w:t>,</w:t>
            </w:r>
            <w:r w:rsidRPr="0088665B">
              <w:rPr>
                <w:rFonts w:eastAsia="Times New Roman"/>
                <w:sz w:val="24"/>
                <w:szCs w:val="24"/>
                <w:lang w:eastAsia="lv-LV"/>
              </w:rPr>
              <w:t xml:space="preserve"> secināms, ka attiecīgi samazināsies arī iespējamie ieņēmumi:</w:t>
            </w:r>
          </w:p>
          <w:p w14:paraId="27AB938A" w14:textId="1A92A0F8" w:rsidR="0088665B" w:rsidRPr="0088665B" w:rsidRDefault="0088665B" w:rsidP="0088665B">
            <w:pPr>
              <w:spacing w:after="0" w:line="240" w:lineRule="auto"/>
              <w:jc w:val="both"/>
              <w:rPr>
                <w:rFonts w:eastAsia="Times New Roman"/>
                <w:sz w:val="24"/>
                <w:szCs w:val="24"/>
                <w:lang w:eastAsia="lv-LV"/>
              </w:rPr>
            </w:pPr>
            <w:r w:rsidRPr="0088665B">
              <w:rPr>
                <w:rFonts w:eastAsia="Times New Roman"/>
                <w:sz w:val="24"/>
                <w:szCs w:val="24"/>
                <w:lang w:eastAsia="lv-LV"/>
              </w:rPr>
              <w:t>1.</w:t>
            </w:r>
            <w:r w:rsidR="00222099">
              <w:rPr>
                <w:rFonts w:eastAsia="Times New Roman"/>
                <w:sz w:val="24"/>
                <w:szCs w:val="24"/>
                <w:lang w:eastAsia="lv-LV"/>
              </w:rPr>
              <w:t> </w:t>
            </w:r>
            <w:r w:rsidRPr="0088665B">
              <w:rPr>
                <w:rFonts w:eastAsia="Times New Roman"/>
                <w:sz w:val="24"/>
                <w:szCs w:val="24"/>
                <w:lang w:eastAsia="lv-LV"/>
              </w:rPr>
              <w:t>19 672 257</w:t>
            </w:r>
            <w:r w:rsidR="00222099">
              <w:rPr>
                <w:rFonts w:eastAsia="Times New Roman"/>
                <w:sz w:val="24"/>
                <w:szCs w:val="24"/>
                <w:lang w:eastAsia="lv-LV"/>
              </w:rPr>
              <w:t> </w:t>
            </w:r>
            <w:r w:rsidR="00222099" w:rsidRPr="00222099">
              <w:rPr>
                <w:rFonts w:eastAsia="Times New Roman"/>
                <w:i/>
                <w:iCs/>
                <w:sz w:val="24"/>
                <w:szCs w:val="24"/>
                <w:lang w:eastAsia="lv-LV"/>
              </w:rPr>
              <w:t>euro</w:t>
            </w:r>
            <w:r w:rsidRPr="0088665B">
              <w:rPr>
                <w:rFonts w:eastAsia="Times New Roman"/>
                <w:sz w:val="24"/>
                <w:szCs w:val="24"/>
                <w:lang w:eastAsia="lv-LV"/>
              </w:rPr>
              <w:t xml:space="preserve"> * 75</w:t>
            </w:r>
            <w:r w:rsidR="00222099">
              <w:rPr>
                <w:rFonts w:eastAsia="Times New Roman"/>
                <w:sz w:val="24"/>
                <w:szCs w:val="24"/>
                <w:lang w:eastAsia="lv-LV"/>
              </w:rPr>
              <w:t> </w:t>
            </w:r>
            <w:r w:rsidRPr="0088665B">
              <w:rPr>
                <w:rFonts w:eastAsia="Times New Roman"/>
                <w:sz w:val="24"/>
                <w:szCs w:val="24"/>
                <w:lang w:eastAsia="lv-LV"/>
              </w:rPr>
              <w:t>%= 14 754 192</w:t>
            </w:r>
            <w:r w:rsidR="00222099">
              <w:rPr>
                <w:rFonts w:eastAsia="Times New Roman"/>
                <w:sz w:val="24"/>
                <w:szCs w:val="24"/>
                <w:lang w:eastAsia="lv-LV"/>
              </w:rPr>
              <w:t> </w:t>
            </w:r>
            <w:r w:rsidR="00222099" w:rsidRPr="00222099">
              <w:rPr>
                <w:rFonts w:eastAsia="Times New Roman"/>
                <w:i/>
                <w:iCs/>
                <w:sz w:val="24"/>
                <w:szCs w:val="24"/>
                <w:lang w:eastAsia="lv-LV"/>
              </w:rPr>
              <w:t>euro</w:t>
            </w:r>
            <w:r w:rsidRPr="0088665B">
              <w:rPr>
                <w:rFonts w:eastAsia="Times New Roman"/>
                <w:sz w:val="24"/>
                <w:szCs w:val="24"/>
                <w:lang w:eastAsia="lv-LV"/>
              </w:rPr>
              <w:t>, jeb samazinājums par 4 918 065</w:t>
            </w:r>
            <w:r w:rsidR="00222099">
              <w:rPr>
                <w:rFonts w:eastAsia="Times New Roman"/>
                <w:sz w:val="24"/>
                <w:szCs w:val="24"/>
                <w:lang w:eastAsia="lv-LV"/>
              </w:rPr>
              <w:t> </w:t>
            </w:r>
            <w:r w:rsidR="00222099" w:rsidRPr="00222099">
              <w:rPr>
                <w:rFonts w:eastAsia="Times New Roman"/>
                <w:i/>
                <w:iCs/>
                <w:sz w:val="24"/>
                <w:szCs w:val="24"/>
                <w:lang w:eastAsia="lv-LV"/>
              </w:rPr>
              <w:t>euro</w:t>
            </w:r>
            <w:r w:rsidRPr="0088665B">
              <w:rPr>
                <w:rFonts w:eastAsia="Times New Roman"/>
                <w:sz w:val="24"/>
                <w:szCs w:val="24"/>
                <w:lang w:eastAsia="lv-LV"/>
              </w:rPr>
              <w:t xml:space="preserve">; </w:t>
            </w:r>
          </w:p>
          <w:p w14:paraId="7C47EA53" w14:textId="2F6C4020" w:rsidR="0088665B" w:rsidRPr="0088665B" w:rsidRDefault="0088665B" w:rsidP="0088665B">
            <w:pPr>
              <w:spacing w:after="0" w:line="240" w:lineRule="auto"/>
              <w:jc w:val="both"/>
              <w:rPr>
                <w:rFonts w:eastAsia="Times New Roman"/>
                <w:sz w:val="24"/>
                <w:szCs w:val="24"/>
                <w:lang w:eastAsia="lv-LV"/>
              </w:rPr>
            </w:pPr>
            <w:r w:rsidRPr="0088665B">
              <w:rPr>
                <w:rFonts w:eastAsia="Times New Roman"/>
                <w:sz w:val="24"/>
                <w:szCs w:val="24"/>
                <w:lang w:eastAsia="lv-LV"/>
              </w:rPr>
              <w:t>2.</w:t>
            </w:r>
            <w:r w:rsidR="00222099">
              <w:rPr>
                <w:rFonts w:eastAsia="Times New Roman"/>
                <w:sz w:val="24"/>
                <w:szCs w:val="24"/>
                <w:lang w:eastAsia="lv-LV"/>
              </w:rPr>
              <w:t> </w:t>
            </w:r>
            <w:r w:rsidRPr="0088665B">
              <w:rPr>
                <w:rFonts w:eastAsia="Times New Roman"/>
                <w:sz w:val="24"/>
                <w:szCs w:val="24"/>
                <w:lang w:eastAsia="lv-LV"/>
              </w:rPr>
              <w:t>1 792 425</w:t>
            </w:r>
            <w:r w:rsidR="00222099">
              <w:rPr>
                <w:rFonts w:eastAsia="Times New Roman"/>
                <w:sz w:val="24"/>
                <w:szCs w:val="24"/>
                <w:lang w:eastAsia="lv-LV"/>
              </w:rPr>
              <w:t> </w:t>
            </w:r>
            <w:r w:rsidR="00222099" w:rsidRPr="00222099">
              <w:rPr>
                <w:rFonts w:eastAsia="Times New Roman"/>
                <w:i/>
                <w:iCs/>
                <w:sz w:val="24"/>
                <w:szCs w:val="24"/>
                <w:lang w:eastAsia="lv-LV"/>
              </w:rPr>
              <w:t>euro</w:t>
            </w:r>
            <w:r w:rsidRPr="0088665B">
              <w:rPr>
                <w:rFonts w:eastAsia="Times New Roman"/>
                <w:sz w:val="24"/>
                <w:szCs w:val="24"/>
                <w:lang w:eastAsia="lv-LV"/>
              </w:rPr>
              <w:t xml:space="preserve"> * 33,33</w:t>
            </w:r>
            <w:r w:rsidR="00222099">
              <w:rPr>
                <w:rFonts w:eastAsia="Times New Roman"/>
                <w:sz w:val="24"/>
                <w:szCs w:val="24"/>
                <w:lang w:eastAsia="lv-LV"/>
              </w:rPr>
              <w:t> </w:t>
            </w:r>
            <w:r w:rsidRPr="0088665B">
              <w:rPr>
                <w:rFonts w:eastAsia="Times New Roman"/>
                <w:sz w:val="24"/>
                <w:szCs w:val="24"/>
                <w:lang w:eastAsia="lv-LV"/>
              </w:rPr>
              <w:t>%=597 475</w:t>
            </w:r>
            <w:r w:rsidR="00222099">
              <w:rPr>
                <w:rFonts w:eastAsia="Times New Roman"/>
                <w:sz w:val="24"/>
                <w:szCs w:val="24"/>
                <w:lang w:eastAsia="lv-LV"/>
              </w:rPr>
              <w:t> </w:t>
            </w:r>
            <w:r w:rsidR="00222099" w:rsidRPr="00222099">
              <w:rPr>
                <w:rFonts w:eastAsia="Times New Roman"/>
                <w:i/>
                <w:iCs/>
                <w:sz w:val="24"/>
                <w:szCs w:val="24"/>
                <w:lang w:eastAsia="lv-LV"/>
              </w:rPr>
              <w:t>euro</w:t>
            </w:r>
            <w:r w:rsidRPr="0088665B">
              <w:rPr>
                <w:rFonts w:eastAsia="Times New Roman"/>
                <w:sz w:val="24"/>
                <w:szCs w:val="24"/>
                <w:lang w:eastAsia="lv-LV"/>
              </w:rPr>
              <w:t>, jeb samazinājums par 1 194 950</w:t>
            </w:r>
            <w:r w:rsidR="00222099">
              <w:rPr>
                <w:rFonts w:eastAsia="Times New Roman"/>
                <w:sz w:val="24"/>
                <w:szCs w:val="24"/>
                <w:lang w:eastAsia="lv-LV"/>
              </w:rPr>
              <w:t> </w:t>
            </w:r>
            <w:r w:rsidR="00222099" w:rsidRPr="00222099">
              <w:rPr>
                <w:rFonts w:eastAsia="Times New Roman"/>
                <w:i/>
                <w:iCs/>
                <w:sz w:val="24"/>
                <w:szCs w:val="24"/>
                <w:lang w:eastAsia="lv-LV"/>
              </w:rPr>
              <w:t>euro</w:t>
            </w:r>
            <w:r w:rsidR="00222099">
              <w:rPr>
                <w:rFonts w:eastAsia="Times New Roman"/>
                <w:i/>
                <w:iCs/>
                <w:sz w:val="24"/>
                <w:szCs w:val="24"/>
                <w:lang w:eastAsia="lv-LV"/>
              </w:rPr>
              <w:t>.</w:t>
            </w:r>
          </w:p>
          <w:p w14:paraId="6DF56025" w14:textId="7ACB68EB" w:rsidR="0088665B" w:rsidRPr="0088665B" w:rsidRDefault="0088665B" w:rsidP="0088665B">
            <w:pPr>
              <w:spacing w:after="0" w:line="240" w:lineRule="auto"/>
              <w:jc w:val="both"/>
              <w:rPr>
                <w:rFonts w:eastAsia="Times New Roman"/>
                <w:sz w:val="24"/>
                <w:szCs w:val="24"/>
                <w:lang w:eastAsia="lv-LV"/>
              </w:rPr>
            </w:pPr>
            <w:r w:rsidRPr="0088665B">
              <w:rPr>
                <w:rFonts w:eastAsia="Times New Roman"/>
                <w:sz w:val="24"/>
                <w:szCs w:val="24"/>
                <w:lang w:eastAsia="lv-LV"/>
              </w:rPr>
              <w:t>KOPĀ samazinājums gadā 4 918 065</w:t>
            </w:r>
            <w:r w:rsidR="00222099">
              <w:rPr>
                <w:rFonts w:eastAsia="Times New Roman"/>
                <w:sz w:val="24"/>
                <w:szCs w:val="24"/>
                <w:lang w:eastAsia="lv-LV"/>
              </w:rPr>
              <w:t> </w:t>
            </w:r>
            <w:r w:rsidR="00222099" w:rsidRPr="00222099">
              <w:rPr>
                <w:rFonts w:eastAsia="Times New Roman"/>
                <w:i/>
                <w:iCs/>
                <w:sz w:val="24"/>
                <w:szCs w:val="24"/>
                <w:lang w:eastAsia="lv-LV"/>
              </w:rPr>
              <w:t>euro</w:t>
            </w:r>
            <w:r w:rsidRPr="0088665B">
              <w:rPr>
                <w:rFonts w:eastAsia="Times New Roman"/>
                <w:sz w:val="24"/>
                <w:szCs w:val="24"/>
                <w:lang w:eastAsia="lv-LV"/>
              </w:rPr>
              <w:t xml:space="preserve"> (fiziskajām personām) + 1 194 950</w:t>
            </w:r>
            <w:r w:rsidR="00222099">
              <w:rPr>
                <w:rFonts w:eastAsia="Times New Roman"/>
                <w:sz w:val="24"/>
                <w:szCs w:val="24"/>
                <w:lang w:eastAsia="lv-LV"/>
              </w:rPr>
              <w:t> </w:t>
            </w:r>
            <w:r w:rsidR="00222099" w:rsidRPr="00222099">
              <w:rPr>
                <w:rFonts w:eastAsia="Times New Roman"/>
                <w:i/>
                <w:iCs/>
                <w:sz w:val="24"/>
                <w:szCs w:val="24"/>
                <w:lang w:eastAsia="lv-LV"/>
              </w:rPr>
              <w:t>euro</w:t>
            </w:r>
            <w:r w:rsidRPr="0088665B">
              <w:rPr>
                <w:rFonts w:eastAsia="Times New Roman"/>
                <w:sz w:val="24"/>
                <w:szCs w:val="24"/>
                <w:lang w:eastAsia="lv-LV"/>
              </w:rPr>
              <w:t xml:space="preserve"> (juridiskajām personām) = 6 113 015</w:t>
            </w:r>
            <w:r w:rsidR="00222099">
              <w:rPr>
                <w:rFonts w:eastAsia="Times New Roman"/>
                <w:sz w:val="24"/>
                <w:szCs w:val="24"/>
                <w:lang w:eastAsia="lv-LV"/>
              </w:rPr>
              <w:t> </w:t>
            </w:r>
            <w:r w:rsidR="00222099" w:rsidRPr="00222099">
              <w:rPr>
                <w:rFonts w:eastAsia="Times New Roman"/>
                <w:i/>
                <w:iCs/>
                <w:sz w:val="24"/>
                <w:szCs w:val="24"/>
                <w:lang w:eastAsia="lv-LV"/>
              </w:rPr>
              <w:t>euro</w:t>
            </w:r>
            <w:r w:rsidRPr="0088665B">
              <w:rPr>
                <w:rFonts w:eastAsia="Times New Roman"/>
                <w:sz w:val="24"/>
                <w:szCs w:val="24"/>
                <w:lang w:eastAsia="lv-LV"/>
              </w:rPr>
              <w:t>, jeb vidēji 509 418</w:t>
            </w:r>
            <w:r w:rsidR="00222099">
              <w:rPr>
                <w:rFonts w:eastAsia="Times New Roman"/>
                <w:sz w:val="24"/>
                <w:szCs w:val="24"/>
                <w:lang w:eastAsia="lv-LV"/>
              </w:rPr>
              <w:t> </w:t>
            </w:r>
            <w:r w:rsidR="00222099" w:rsidRPr="00222099">
              <w:rPr>
                <w:rFonts w:eastAsia="Times New Roman"/>
                <w:i/>
                <w:iCs/>
                <w:sz w:val="24"/>
                <w:szCs w:val="24"/>
                <w:lang w:eastAsia="lv-LV"/>
              </w:rPr>
              <w:t>euro</w:t>
            </w:r>
            <w:r w:rsidRPr="0088665B">
              <w:rPr>
                <w:rFonts w:eastAsia="Times New Roman"/>
                <w:sz w:val="24"/>
                <w:szCs w:val="24"/>
                <w:lang w:eastAsia="lv-LV"/>
              </w:rPr>
              <w:t xml:space="preserve"> mēnesī.</w:t>
            </w:r>
          </w:p>
          <w:p w14:paraId="3B6DAC99" w14:textId="5C4A0F4A" w:rsidR="00D573FB" w:rsidRPr="003643DC" w:rsidRDefault="0088665B" w:rsidP="0088665B">
            <w:pPr>
              <w:spacing w:after="0" w:line="240" w:lineRule="auto"/>
              <w:jc w:val="both"/>
              <w:rPr>
                <w:rFonts w:eastAsia="Times New Roman"/>
                <w:sz w:val="24"/>
                <w:szCs w:val="24"/>
                <w:lang w:eastAsia="lv-LV"/>
              </w:rPr>
            </w:pPr>
            <w:r w:rsidRPr="0088665B">
              <w:rPr>
                <w:rFonts w:eastAsia="Times New Roman"/>
                <w:sz w:val="24"/>
                <w:szCs w:val="24"/>
                <w:lang w:eastAsia="lv-LV"/>
              </w:rPr>
              <w:t xml:space="preserve">Ņemot vērā to, ka </w:t>
            </w:r>
            <w:r w:rsidR="00222099">
              <w:rPr>
                <w:rFonts w:eastAsia="Times New Roman"/>
                <w:sz w:val="24"/>
                <w:szCs w:val="24"/>
                <w:lang w:eastAsia="lv-LV"/>
              </w:rPr>
              <w:t>noteikumu</w:t>
            </w:r>
            <w:r w:rsidRPr="0088665B">
              <w:rPr>
                <w:rFonts w:eastAsia="Times New Roman"/>
                <w:sz w:val="24"/>
                <w:szCs w:val="24"/>
                <w:lang w:eastAsia="lv-LV"/>
              </w:rPr>
              <w:t xml:space="preserve"> projekta stāšanās spēkā paredzēta</w:t>
            </w:r>
            <w:r w:rsidR="00222099">
              <w:rPr>
                <w:rFonts w:eastAsia="Times New Roman"/>
                <w:sz w:val="24"/>
                <w:szCs w:val="24"/>
                <w:lang w:eastAsia="lv-LV"/>
              </w:rPr>
              <w:t xml:space="preserve"> </w:t>
            </w:r>
            <w:r w:rsidRPr="0088665B">
              <w:rPr>
                <w:rFonts w:eastAsia="Times New Roman"/>
                <w:sz w:val="24"/>
                <w:szCs w:val="24"/>
                <w:lang w:eastAsia="lv-LV"/>
              </w:rPr>
              <w:t>2021.</w:t>
            </w:r>
            <w:r w:rsidR="00222099">
              <w:rPr>
                <w:rFonts w:eastAsia="Times New Roman"/>
                <w:sz w:val="24"/>
                <w:szCs w:val="24"/>
                <w:lang w:eastAsia="lv-LV"/>
              </w:rPr>
              <w:t> </w:t>
            </w:r>
            <w:r w:rsidRPr="0088665B">
              <w:rPr>
                <w:rFonts w:eastAsia="Times New Roman"/>
                <w:sz w:val="24"/>
                <w:szCs w:val="24"/>
                <w:lang w:eastAsia="lv-LV"/>
              </w:rPr>
              <w:t>gada 1.</w:t>
            </w:r>
            <w:r w:rsidR="00222099">
              <w:rPr>
                <w:rFonts w:eastAsia="Times New Roman"/>
                <w:sz w:val="24"/>
                <w:szCs w:val="24"/>
                <w:lang w:eastAsia="lv-LV"/>
              </w:rPr>
              <w:t> </w:t>
            </w:r>
            <w:r w:rsidRPr="0088665B">
              <w:rPr>
                <w:rFonts w:eastAsia="Times New Roman"/>
                <w:sz w:val="24"/>
                <w:szCs w:val="24"/>
                <w:lang w:eastAsia="lv-LV"/>
              </w:rPr>
              <w:t>jūnij</w:t>
            </w:r>
            <w:r w:rsidR="00222099">
              <w:rPr>
                <w:rFonts w:eastAsia="Times New Roman"/>
                <w:sz w:val="24"/>
                <w:szCs w:val="24"/>
                <w:lang w:eastAsia="lv-LV"/>
              </w:rPr>
              <w:t>ā</w:t>
            </w:r>
            <w:r w:rsidRPr="0088665B">
              <w:rPr>
                <w:rFonts w:eastAsia="Times New Roman"/>
                <w:sz w:val="24"/>
                <w:szCs w:val="24"/>
                <w:lang w:eastAsia="lv-LV"/>
              </w:rPr>
              <w:t>, 2021.</w:t>
            </w:r>
            <w:r w:rsidR="00222099">
              <w:rPr>
                <w:rFonts w:eastAsia="Times New Roman"/>
                <w:sz w:val="24"/>
                <w:szCs w:val="24"/>
                <w:lang w:eastAsia="lv-LV"/>
              </w:rPr>
              <w:t> </w:t>
            </w:r>
            <w:r w:rsidRPr="0088665B">
              <w:rPr>
                <w:rFonts w:eastAsia="Times New Roman"/>
                <w:sz w:val="24"/>
                <w:szCs w:val="24"/>
                <w:lang w:eastAsia="lv-LV"/>
              </w:rPr>
              <w:t xml:space="preserve">gada ietekme ir nosakāma par </w:t>
            </w:r>
            <w:r w:rsidR="00222099">
              <w:rPr>
                <w:rFonts w:eastAsia="Times New Roman"/>
                <w:sz w:val="24"/>
                <w:szCs w:val="24"/>
                <w:lang w:eastAsia="lv-LV"/>
              </w:rPr>
              <w:t>septiņiem </w:t>
            </w:r>
            <w:r w:rsidRPr="0088665B">
              <w:rPr>
                <w:rFonts w:eastAsia="Times New Roman"/>
                <w:sz w:val="24"/>
                <w:szCs w:val="24"/>
                <w:lang w:eastAsia="lv-LV"/>
              </w:rPr>
              <w:t>mēnešiem, jeb 7*509 418</w:t>
            </w:r>
            <w:r w:rsidR="00222099">
              <w:rPr>
                <w:rFonts w:eastAsia="Times New Roman"/>
                <w:sz w:val="24"/>
                <w:szCs w:val="24"/>
                <w:lang w:eastAsia="lv-LV"/>
              </w:rPr>
              <w:t> </w:t>
            </w:r>
            <w:r w:rsidR="00222099" w:rsidRPr="00222099">
              <w:rPr>
                <w:rFonts w:eastAsia="Times New Roman"/>
                <w:i/>
                <w:iCs/>
                <w:sz w:val="24"/>
                <w:szCs w:val="24"/>
                <w:lang w:eastAsia="lv-LV"/>
              </w:rPr>
              <w:t>euro</w:t>
            </w:r>
            <w:r w:rsidRPr="0088665B">
              <w:rPr>
                <w:rFonts w:eastAsia="Times New Roman"/>
                <w:sz w:val="24"/>
                <w:szCs w:val="24"/>
                <w:lang w:eastAsia="lv-LV"/>
              </w:rPr>
              <w:t xml:space="preserve"> = 3 565 926</w:t>
            </w:r>
            <w:r w:rsidR="00222099">
              <w:rPr>
                <w:rFonts w:eastAsia="Times New Roman"/>
                <w:sz w:val="24"/>
                <w:szCs w:val="24"/>
                <w:lang w:eastAsia="lv-LV"/>
              </w:rPr>
              <w:t> </w:t>
            </w:r>
            <w:r w:rsidR="00222099" w:rsidRPr="00222099">
              <w:rPr>
                <w:rFonts w:eastAsia="Times New Roman"/>
                <w:i/>
                <w:iCs/>
                <w:sz w:val="24"/>
                <w:szCs w:val="24"/>
                <w:lang w:eastAsia="lv-LV"/>
              </w:rPr>
              <w:t>euro</w:t>
            </w:r>
            <w:r w:rsidRPr="0088665B">
              <w:rPr>
                <w:rFonts w:eastAsia="Times New Roman"/>
                <w:sz w:val="24"/>
                <w:szCs w:val="24"/>
                <w:lang w:eastAsia="lv-LV"/>
              </w:rPr>
              <w:t>.</w:t>
            </w:r>
          </w:p>
        </w:tc>
      </w:tr>
      <w:tr w:rsidR="003643DC" w:rsidRPr="003643DC" w14:paraId="129A4F8D" w14:textId="77777777" w:rsidTr="003643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3BE69619" w14:textId="77777777" w:rsidR="003643DC" w:rsidRPr="003643DC" w:rsidRDefault="003643DC" w:rsidP="003643DC">
            <w:pPr>
              <w:spacing w:after="0" w:line="240" w:lineRule="auto"/>
              <w:rPr>
                <w:rFonts w:eastAsia="Times New Roman"/>
                <w:sz w:val="24"/>
                <w:szCs w:val="24"/>
                <w:lang w:eastAsia="lv-LV"/>
              </w:rPr>
            </w:pPr>
            <w:r w:rsidRPr="003643DC">
              <w:rPr>
                <w:rFonts w:eastAsia="Times New Roman"/>
                <w:sz w:val="24"/>
                <w:szCs w:val="24"/>
                <w:lang w:eastAsia="lv-LV"/>
              </w:rPr>
              <w:t>6.1. detalizēts ieņēmumu aprēķins</w:t>
            </w:r>
          </w:p>
        </w:tc>
        <w:tc>
          <w:tcPr>
            <w:tcW w:w="3749" w:type="pct"/>
            <w:gridSpan w:val="8"/>
            <w:vMerge/>
            <w:shd w:val="clear" w:color="auto" w:fill="auto"/>
            <w:vAlign w:val="center"/>
          </w:tcPr>
          <w:p w14:paraId="18190325" w14:textId="77777777" w:rsidR="003643DC" w:rsidRPr="003643DC" w:rsidRDefault="003643DC" w:rsidP="003643DC">
            <w:pPr>
              <w:spacing w:after="0" w:line="240" w:lineRule="auto"/>
              <w:rPr>
                <w:rFonts w:eastAsia="Times New Roman"/>
                <w:sz w:val="24"/>
                <w:szCs w:val="24"/>
                <w:lang w:eastAsia="lv-LV"/>
              </w:rPr>
            </w:pPr>
          </w:p>
        </w:tc>
      </w:tr>
      <w:tr w:rsidR="003643DC" w:rsidRPr="003643DC" w14:paraId="02AADFF5" w14:textId="77777777" w:rsidTr="003643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44EA9509" w14:textId="77777777" w:rsidR="003643DC" w:rsidRPr="003643DC" w:rsidRDefault="003643DC" w:rsidP="003643DC">
            <w:pPr>
              <w:spacing w:after="0" w:line="240" w:lineRule="auto"/>
              <w:rPr>
                <w:rFonts w:eastAsia="Times New Roman"/>
                <w:sz w:val="24"/>
                <w:szCs w:val="24"/>
                <w:lang w:eastAsia="lv-LV"/>
              </w:rPr>
            </w:pPr>
            <w:r w:rsidRPr="003643DC">
              <w:rPr>
                <w:rFonts w:eastAsia="Times New Roman"/>
                <w:sz w:val="24"/>
                <w:szCs w:val="24"/>
                <w:lang w:eastAsia="lv-LV"/>
              </w:rPr>
              <w:lastRenderedPageBreak/>
              <w:t>6.2. detalizēts izdevumu aprēķins</w:t>
            </w:r>
          </w:p>
        </w:tc>
        <w:tc>
          <w:tcPr>
            <w:tcW w:w="3749" w:type="pct"/>
            <w:gridSpan w:val="8"/>
            <w:vMerge/>
            <w:shd w:val="clear" w:color="auto" w:fill="auto"/>
            <w:vAlign w:val="center"/>
          </w:tcPr>
          <w:p w14:paraId="766458AD" w14:textId="77777777" w:rsidR="003643DC" w:rsidRPr="003643DC" w:rsidRDefault="003643DC" w:rsidP="003643DC">
            <w:pPr>
              <w:spacing w:after="0" w:line="240" w:lineRule="auto"/>
              <w:rPr>
                <w:rFonts w:eastAsia="Times New Roman"/>
                <w:sz w:val="24"/>
                <w:szCs w:val="24"/>
                <w:lang w:eastAsia="lv-LV"/>
              </w:rPr>
            </w:pPr>
          </w:p>
        </w:tc>
      </w:tr>
      <w:tr w:rsidR="003643DC" w:rsidRPr="003643DC" w14:paraId="5A2E1009" w14:textId="77777777" w:rsidTr="003643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705E7E43" w14:textId="77777777" w:rsidR="003643DC" w:rsidRPr="003643DC" w:rsidRDefault="003643DC" w:rsidP="003643DC">
            <w:pPr>
              <w:spacing w:after="0" w:line="240" w:lineRule="auto"/>
              <w:rPr>
                <w:rFonts w:eastAsia="Times New Roman"/>
                <w:sz w:val="24"/>
                <w:szCs w:val="24"/>
                <w:lang w:eastAsia="lv-LV"/>
              </w:rPr>
            </w:pPr>
            <w:r w:rsidRPr="003643DC">
              <w:rPr>
                <w:rFonts w:eastAsia="Times New Roman"/>
                <w:sz w:val="24"/>
                <w:szCs w:val="24"/>
                <w:lang w:eastAsia="lv-LV"/>
              </w:rPr>
              <w:t>7. Amata vietu skaita izmaiņas</w:t>
            </w:r>
          </w:p>
        </w:tc>
        <w:tc>
          <w:tcPr>
            <w:tcW w:w="3749" w:type="pct"/>
            <w:gridSpan w:val="8"/>
            <w:shd w:val="clear" w:color="auto" w:fill="auto"/>
          </w:tcPr>
          <w:p w14:paraId="741EBC63" w14:textId="02F3A825" w:rsidR="003643DC" w:rsidRPr="003643DC" w:rsidRDefault="00D573FB" w:rsidP="003643DC">
            <w:pPr>
              <w:spacing w:after="0" w:line="240" w:lineRule="auto"/>
              <w:rPr>
                <w:rFonts w:eastAsia="Times New Roman"/>
                <w:sz w:val="24"/>
                <w:szCs w:val="24"/>
                <w:lang w:eastAsia="lv-LV"/>
              </w:rPr>
            </w:pPr>
            <w:r>
              <w:rPr>
                <w:rFonts w:eastAsia="Times New Roman"/>
                <w:sz w:val="24"/>
                <w:szCs w:val="24"/>
                <w:lang w:eastAsia="lv-LV"/>
              </w:rPr>
              <w:t>Nav.</w:t>
            </w:r>
          </w:p>
        </w:tc>
      </w:tr>
      <w:tr w:rsidR="003643DC" w:rsidRPr="003643DC" w14:paraId="21591743" w14:textId="77777777" w:rsidTr="003643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3429FCAA" w14:textId="77777777" w:rsidR="003643DC" w:rsidRPr="003643DC" w:rsidRDefault="003643DC" w:rsidP="003643DC">
            <w:pPr>
              <w:spacing w:after="0" w:line="240" w:lineRule="auto"/>
              <w:rPr>
                <w:rFonts w:eastAsia="Times New Roman"/>
                <w:sz w:val="24"/>
                <w:szCs w:val="24"/>
                <w:lang w:eastAsia="lv-LV"/>
              </w:rPr>
            </w:pPr>
            <w:r w:rsidRPr="003643DC">
              <w:rPr>
                <w:rFonts w:eastAsia="Times New Roman"/>
                <w:sz w:val="24"/>
                <w:szCs w:val="24"/>
                <w:lang w:eastAsia="lv-LV"/>
              </w:rPr>
              <w:t>8. Cita informācija</w:t>
            </w:r>
          </w:p>
        </w:tc>
        <w:tc>
          <w:tcPr>
            <w:tcW w:w="3749" w:type="pct"/>
            <w:gridSpan w:val="8"/>
            <w:shd w:val="clear" w:color="auto" w:fill="auto"/>
          </w:tcPr>
          <w:p w14:paraId="49CEE5F7" w14:textId="31616A6F" w:rsidR="003643DC" w:rsidRPr="003643DC" w:rsidRDefault="00D573FB" w:rsidP="003643DC">
            <w:pPr>
              <w:spacing w:after="0" w:line="240" w:lineRule="auto"/>
              <w:rPr>
                <w:rFonts w:eastAsia="Times New Roman"/>
                <w:sz w:val="24"/>
                <w:szCs w:val="24"/>
                <w:lang w:eastAsia="lv-LV"/>
              </w:rPr>
            </w:pPr>
            <w:r>
              <w:rPr>
                <w:rFonts w:eastAsia="Times New Roman"/>
                <w:sz w:val="24"/>
                <w:szCs w:val="24"/>
                <w:lang w:eastAsia="lv-LV"/>
              </w:rPr>
              <w:t>Nav.</w:t>
            </w:r>
          </w:p>
        </w:tc>
      </w:tr>
    </w:tbl>
    <w:p w14:paraId="2BA857CE" w14:textId="743D3507" w:rsidR="00B72D55" w:rsidRDefault="00B72D55" w:rsidP="00C26E82">
      <w:pPr>
        <w:spacing w:after="0" w:line="240" w:lineRule="auto"/>
        <w:rPr>
          <w:rFonts w:eastAsia="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5"/>
      </w:tblGrid>
      <w:tr w:rsidR="00F1085E" w:rsidRPr="00F1085E" w14:paraId="117514EC" w14:textId="77777777" w:rsidTr="00F255DD">
        <w:trPr>
          <w:trHeight w:val="450"/>
        </w:trPr>
        <w:tc>
          <w:tcPr>
            <w:tcW w:w="0" w:type="auto"/>
            <w:tcBorders>
              <w:top w:val="outset" w:sz="6" w:space="0" w:color="414142"/>
              <w:left w:val="outset" w:sz="6" w:space="0" w:color="414142"/>
              <w:bottom w:val="outset" w:sz="6" w:space="0" w:color="414142"/>
              <w:right w:val="outset" w:sz="6" w:space="0" w:color="414142"/>
            </w:tcBorders>
            <w:vAlign w:val="center"/>
            <w:hideMark/>
          </w:tcPr>
          <w:p w14:paraId="5DFEC269" w14:textId="77777777" w:rsidR="00F1085E" w:rsidRPr="00F1085E" w:rsidRDefault="00F1085E" w:rsidP="00F1085E">
            <w:pPr>
              <w:spacing w:after="0" w:line="240" w:lineRule="auto"/>
              <w:jc w:val="center"/>
              <w:rPr>
                <w:rFonts w:eastAsia="Times New Roman"/>
                <w:b/>
                <w:bCs/>
                <w:sz w:val="24"/>
                <w:szCs w:val="24"/>
                <w:lang w:eastAsia="lv-LV"/>
              </w:rPr>
            </w:pPr>
            <w:r w:rsidRPr="00F1085E">
              <w:rPr>
                <w:rFonts w:eastAsia="Times New Roman"/>
                <w:b/>
                <w:bCs/>
                <w:sz w:val="24"/>
                <w:szCs w:val="24"/>
                <w:lang w:eastAsia="lv-LV"/>
              </w:rPr>
              <w:t>IV. Tiesību akta projekta ietekme uz spēkā esošo tiesību normu sistēmu</w:t>
            </w:r>
          </w:p>
        </w:tc>
      </w:tr>
      <w:tr w:rsidR="00894B05" w:rsidRPr="00F1085E" w14:paraId="27871FC4" w14:textId="77777777" w:rsidTr="00F255DD">
        <w:trPr>
          <w:trHeight w:val="450"/>
        </w:trPr>
        <w:tc>
          <w:tcPr>
            <w:tcW w:w="0" w:type="auto"/>
            <w:tcBorders>
              <w:top w:val="outset" w:sz="6" w:space="0" w:color="414142"/>
              <w:left w:val="outset" w:sz="6" w:space="0" w:color="414142"/>
              <w:bottom w:val="outset" w:sz="6" w:space="0" w:color="414142"/>
              <w:right w:val="outset" w:sz="6" w:space="0" w:color="414142"/>
            </w:tcBorders>
            <w:vAlign w:val="center"/>
          </w:tcPr>
          <w:p w14:paraId="67FB1CA7" w14:textId="05DA67AA" w:rsidR="00894B05" w:rsidRPr="00894B05" w:rsidRDefault="00894B05" w:rsidP="00F1085E">
            <w:pPr>
              <w:spacing w:after="0" w:line="240" w:lineRule="auto"/>
              <w:jc w:val="center"/>
              <w:rPr>
                <w:rFonts w:eastAsia="Times New Roman"/>
                <w:sz w:val="24"/>
                <w:szCs w:val="24"/>
                <w:lang w:eastAsia="lv-LV"/>
              </w:rPr>
            </w:pPr>
            <w:r w:rsidRPr="00894B05">
              <w:rPr>
                <w:rFonts w:eastAsia="Times New Roman"/>
                <w:sz w:val="24"/>
                <w:szCs w:val="24"/>
                <w:lang w:eastAsia="lv-LV"/>
              </w:rPr>
              <w:t>Noteikumu projekts šo jomu neskar.</w:t>
            </w:r>
          </w:p>
        </w:tc>
      </w:tr>
    </w:tbl>
    <w:p w14:paraId="21033F54" w14:textId="77777777" w:rsidR="00F1085E" w:rsidRPr="00BC2633" w:rsidRDefault="00F1085E" w:rsidP="00C26E82">
      <w:pPr>
        <w:spacing w:after="0" w:line="240" w:lineRule="auto"/>
        <w:rPr>
          <w:rFonts w:eastAsia="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5"/>
      </w:tblGrid>
      <w:tr w:rsidR="00BC2633" w:rsidRPr="00BC2633" w14:paraId="5DED1206" w14:textId="77777777" w:rsidTr="00225405">
        <w:tc>
          <w:tcPr>
            <w:tcW w:w="5000" w:type="pct"/>
            <w:tcBorders>
              <w:top w:val="outset" w:sz="6" w:space="0" w:color="414142"/>
              <w:left w:val="outset" w:sz="6" w:space="0" w:color="414142"/>
              <w:bottom w:val="outset" w:sz="6" w:space="0" w:color="414142"/>
              <w:right w:val="outset" w:sz="6" w:space="0" w:color="414142"/>
            </w:tcBorders>
            <w:vAlign w:val="center"/>
            <w:hideMark/>
          </w:tcPr>
          <w:p w14:paraId="2C233676" w14:textId="77777777" w:rsidR="004D15A9" w:rsidRPr="00BC2633" w:rsidRDefault="004D15A9" w:rsidP="00C26E82">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V. Tiesību akta projekta atbilstība Latvijas Republikas starptautiskajām saistībām</w:t>
            </w:r>
          </w:p>
        </w:tc>
      </w:tr>
      <w:tr w:rsidR="00225405" w:rsidRPr="00225405" w14:paraId="3E811E86" w14:textId="77777777" w:rsidTr="00D66296">
        <w:trPr>
          <w:trHeight w:val="360"/>
        </w:trPr>
        <w:tc>
          <w:tcPr>
            <w:tcW w:w="5000" w:type="pct"/>
            <w:tcBorders>
              <w:top w:val="single" w:sz="4" w:space="0" w:color="auto"/>
              <w:left w:val="outset" w:sz="6" w:space="0" w:color="414142"/>
              <w:bottom w:val="outset" w:sz="6" w:space="0" w:color="414142"/>
              <w:right w:val="outset" w:sz="6" w:space="0" w:color="414142"/>
            </w:tcBorders>
            <w:vAlign w:val="center"/>
          </w:tcPr>
          <w:p w14:paraId="57A70BEB" w14:textId="5653DA18" w:rsidR="00225405" w:rsidRPr="00225405" w:rsidRDefault="00B64371" w:rsidP="00C26E82">
            <w:pPr>
              <w:spacing w:after="0" w:line="240" w:lineRule="auto"/>
              <w:ind w:firstLine="300"/>
              <w:jc w:val="center"/>
              <w:rPr>
                <w:rFonts w:eastAsia="Times New Roman"/>
                <w:bCs/>
                <w:sz w:val="24"/>
                <w:szCs w:val="24"/>
                <w:lang w:eastAsia="lv-LV"/>
              </w:rPr>
            </w:pPr>
            <w:r w:rsidRPr="00B64371">
              <w:rPr>
                <w:rFonts w:eastAsia="Times New Roman"/>
                <w:bCs/>
                <w:sz w:val="24"/>
                <w:szCs w:val="24"/>
                <w:lang w:eastAsia="lv-LV"/>
              </w:rPr>
              <w:t>Noteikumu projekts šo jomu neskar.</w:t>
            </w:r>
            <w:r w:rsidR="00225405">
              <w:rPr>
                <w:rFonts w:eastAsia="Times New Roman"/>
                <w:bCs/>
                <w:sz w:val="24"/>
                <w:szCs w:val="24"/>
                <w:lang w:eastAsia="lv-LV"/>
              </w:rPr>
              <w:t xml:space="preserve"> </w:t>
            </w:r>
          </w:p>
        </w:tc>
      </w:tr>
    </w:tbl>
    <w:p w14:paraId="63E4FCA9" w14:textId="77777777" w:rsidR="004D15A9" w:rsidRPr="00BC2633" w:rsidRDefault="004D15A9" w:rsidP="00C26E82">
      <w:pPr>
        <w:spacing w:after="0" w:line="240" w:lineRule="auto"/>
        <w:rPr>
          <w:rFonts w:eastAsia="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3"/>
        <w:gridCol w:w="2515"/>
        <w:gridCol w:w="6087"/>
      </w:tblGrid>
      <w:tr w:rsidR="00BC2633" w:rsidRPr="00BC2633" w14:paraId="28BF07B0" w14:textId="77777777" w:rsidTr="004D15A9">
        <w:trPr>
          <w:trHeight w:val="420"/>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2BDDC73" w14:textId="77777777" w:rsidR="004D15A9" w:rsidRPr="00BC2633" w:rsidRDefault="004D15A9" w:rsidP="00C26E82">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VI. Sabiedrības līdzdalība un komunikācijas aktivitātes</w:t>
            </w:r>
          </w:p>
        </w:tc>
      </w:tr>
      <w:tr w:rsidR="00BC2633" w:rsidRPr="00BC2633" w14:paraId="7B1FA7B2" w14:textId="77777777" w:rsidTr="004C3B12">
        <w:trPr>
          <w:trHeight w:val="540"/>
        </w:trPr>
        <w:tc>
          <w:tcPr>
            <w:tcW w:w="250" w:type="pct"/>
            <w:tcBorders>
              <w:top w:val="outset" w:sz="6" w:space="0" w:color="414142"/>
              <w:left w:val="outset" w:sz="6" w:space="0" w:color="414142"/>
              <w:bottom w:val="outset" w:sz="6" w:space="0" w:color="414142"/>
              <w:right w:val="outset" w:sz="6" w:space="0" w:color="414142"/>
            </w:tcBorders>
            <w:hideMark/>
          </w:tcPr>
          <w:p w14:paraId="4396B198"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1.</w:t>
            </w:r>
          </w:p>
        </w:tc>
        <w:tc>
          <w:tcPr>
            <w:tcW w:w="1389" w:type="pct"/>
            <w:tcBorders>
              <w:top w:val="outset" w:sz="6" w:space="0" w:color="414142"/>
              <w:left w:val="outset" w:sz="6" w:space="0" w:color="414142"/>
              <w:bottom w:val="outset" w:sz="6" w:space="0" w:color="414142"/>
              <w:right w:val="outset" w:sz="6" w:space="0" w:color="414142"/>
            </w:tcBorders>
            <w:hideMark/>
          </w:tcPr>
          <w:p w14:paraId="0727F913"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Plānotās sabiedrības līdzdalības un komunikācijas aktivitātes saistībā ar projektu</w:t>
            </w:r>
          </w:p>
        </w:tc>
        <w:tc>
          <w:tcPr>
            <w:tcW w:w="3361" w:type="pct"/>
            <w:tcBorders>
              <w:top w:val="outset" w:sz="6" w:space="0" w:color="414142"/>
              <w:left w:val="outset" w:sz="6" w:space="0" w:color="414142"/>
              <w:bottom w:val="outset" w:sz="6" w:space="0" w:color="414142"/>
              <w:right w:val="outset" w:sz="6" w:space="0" w:color="414142"/>
            </w:tcBorders>
            <w:hideMark/>
          </w:tcPr>
          <w:p w14:paraId="298F5795" w14:textId="1F559635" w:rsidR="001C5969" w:rsidRPr="00562BAE" w:rsidRDefault="005C488D" w:rsidP="0051773C">
            <w:pPr>
              <w:spacing w:after="0" w:line="240" w:lineRule="auto"/>
              <w:jc w:val="both"/>
              <w:rPr>
                <w:rFonts w:eastAsia="Times New Roman"/>
                <w:sz w:val="24"/>
                <w:szCs w:val="24"/>
                <w:lang w:eastAsia="lv-LV"/>
              </w:rPr>
            </w:pPr>
            <w:r w:rsidRPr="005C488D">
              <w:rPr>
                <w:rFonts w:eastAsia="Times New Roman"/>
                <w:sz w:val="24"/>
                <w:szCs w:val="24"/>
                <w:lang w:eastAsia="lv-LV"/>
              </w:rPr>
              <w:t>Lai informētu sabiedrību par noteikumu projektu un dotu iespēju izteikt viedokli, noteikumu projekts atbilstoši Ministru kabineta 2009.</w:t>
            </w:r>
            <w:r>
              <w:rPr>
                <w:rFonts w:eastAsia="Times New Roman"/>
                <w:sz w:val="24"/>
                <w:szCs w:val="24"/>
                <w:lang w:eastAsia="lv-LV"/>
              </w:rPr>
              <w:t> </w:t>
            </w:r>
            <w:r w:rsidRPr="005C488D">
              <w:rPr>
                <w:rFonts w:eastAsia="Times New Roman"/>
                <w:sz w:val="24"/>
                <w:szCs w:val="24"/>
                <w:lang w:eastAsia="lv-LV"/>
              </w:rPr>
              <w:t>gada 25.</w:t>
            </w:r>
            <w:r>
              <w:rPr>
                <w:rFonts w:eastAsia="Times New Roman"/>
                <w:sz w:val="24"/>
                <w:szCs w:val="24"/>
                <w:lang w:eastAsia="lv-LV"/>
              </w:rPr>
              <w:t> </w:t>
            </w:r>
            <w:r w:rsidRPr="005C488D">
              <w:rPr>
                <w:rFonts w:eastAsia="Times New Roman"/>
                <w:sz w:val="24"/>
                <w:szCs w:val="24"/>
                <w:lang w:eastAsia="lv-LV"/>
              </w:rPr>
              <w:t>augusta noteikumiem Nr.</w:t>
            </w:r>
            <w:r>
              <w:rPr>
                <w:rFonts w:eastAsia="Times New Roman"/>
                <w:sz w:val="24"/>
                <w:szCs w:val="24"/>
                <w:lang w:eastAsia="lv-LV"/>
              </w:rPr>
              <w:t> </w:t>
            </w:r>
            <w:r w:rsidRPr="005C488D">
              <w:rPr>
                <w:rFonts w:eastAsia="Times New Roman"/>
                <w:sz w:val="24"/>
                <w:szCs w:val="24"/>
                <w:lang w:eastAsia="lv-LV"/>
              </w:rPr>
              <w:t>970 "Sabiedrības līdzdalības kārtība attīstības plānošanas procesā" pirms tā iesniegšanas Valsts sekretāru sanāksmē ievietots Tieslietu ministrijas un Valsts kancelejas tīmekļvietnē.</w:t>
            </w:r>
          </w:p>
        </w:tc>
      </w:tr>
      <w:tr w:rsidR="00BC2633" w:rsidRPr="00BC2633" w14:paraId="27BA751E" w14:textId="77777777" w:rsidTr="004C3B12">
        <w:trPr>
          <w:trHeight w:val="330"/>
        </w:trPr>
        <w:tc>
          <w:tcPr>
            <w:tcW w:w="250" w:type="pct"/>
            <w:tcBorders>
              <w:top w:val="outset" w:sz="6" w:space="0" w:color="414142"/>
              <w:left w:val="outset" w:sz="6" w:space="0" w:color="414142"/>
              <w:bottom w:val="outset" w:sz="6" w:space="0" w:color="414142"/>
              <w:right w:val="outset" w:sz="6" w:space="0" w:color="414142"/>
            </w:tcBorders>
            <w:hideMark/>
          </w:tcPr>
          <w:p w14:paraId="08715D31"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2.</w:t>
            </w:r>
          </w:p>
        </w:tc>
        <w:tc>
          <w:tcPr>
            <w:tcW w:w="1389" w:type="pct"/>
            <w:tcBorders>
              <w:top w:val="outset" w:sz="6" w:space="0" w:color="414142"/>
              <w:left w:val="outset" w:sz="6" w:space="0" w:color="414142"/>
              <w:bottom w:val="outset" w:sz="6" w:space="0" w:color="414142"/>
              <w:right w:val="outset" w:sz="6" w:space="0" w:color="414142"/>
            </w:tcBorders>
            <w:hideMark/>
          </w:tcPr>
          <w:p w14:paraId="0010C84B"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Sabiedrības līdzdalība projekta izstrādē</w:t>
            </w:r>
          </w:p>
        </w:tc>
        <w:tc>
          <w:tcPr>
            <w:tcW w:w="3361" w:type="pct"/>
            <w:tcBorders>
              <w:top w:val="outset" w:sz="6" w:space="0" w:color="414142"/>
              <w:left w:val="outset" w:sz="6" w:space="0" w:color="414142"/>
              <w:bottom w:val="outset" w:sz="6" w:space="0" w:color="414142"/>
              <w:right w:val="outset" w:sz="6" w:space="0" w:color="414142"/>
            </w:tcBorders>
            <w:hideMark/>
          </w:tcPr>
          <w:p w14:paraId="1EE08E29" w14:textId="17D4D40B" w:rsidR="004D15A9" w:rsidRPr="00D933F5" w:rsidRDefault="00224976" w:rsidP="00FC0B4B">
            <w:pPr>
              <w:spacing w:after="0" w:line="240" w:lineRule="auto"/>
              <w:jc w:val="both"/>
              <w:rPr>
                <w:rFonts w:eastAsia="Times New Roman"/>
                <w:sz w:val="24"/>
                <w:szCs w:val="24"/>
                <w:lang w:eastAsia="lv-LV"/>
              </w:rPr>
            </w:pPr>
            <w:r w:rsidRPr="00224976">
              <w:rPr>
                <w:rFonts w:eastAsia="Times New Roman"/>
                <w:sz w:val="24"/>
                <w:szCs w:val="24"/>
                <w:lang w:eastAsia="lv-LV"/>
              </w:rPr>
              <w:t>Tieslietu ministrija 202</w:t>
            </w:r>
            <w:r>
              <w:rPr>
                <w:rFonts w:eastAsia="Times New Roman"/>
                <w:sz w:val="24"/>
                <w:szCs w:val="24"/>
                <w:lang w:eastAsia="lv-LV"/>
              </w:rPr>
              <w:t>1</w:t>
            </w:r>
            <w:r w:rsidRPr="00224976">
              <w:rPr>
                <w:rFonts w:eastAsia="Times New Roman"/>
                <w:sz w:val="24"/>
                <w:szCs w:val="24"/>
                <w:lang w:eastAsia="lv-LV"/>
              </w:rPr>
              <w:t>.</w:t>
            </w:r>
            <w:r>
              <w:rPr>
                <w:rFonts w:eastAsia="Times New Roman"/>
                <w:sz w:val="24"/>
                <w:szCs w:val="24"/>
                <w:lang w:eastAsia="lv-LV"/>
              </w:rPr>
              <w:t> </w:t>
            </w:r>
            <w:r w:rsidRPr="00224976">
              <w:rPr>
                <w:rFonts w:eastAsia="Times New Roman"/>
                <w:sz w:val="24"/>
                <w:szCs w:val="24"/>
                <w:lang w:eastAsia="lv-LV"/>
              </w:rPr>
              <w:t xml:space="preserve">gada </w:t>
            </w:r>
            <w:r w:rsidR="00A35AB6" w:rsidRPr="00514371">
              <w:rPr>
                <w:rFonts w:eastAsia="Times New Roman"/>
                <w:sz w:val="24"/>
                <w:szCs w:val="24"/>
                <w:lang w:eastAsia="lv-LV"/>
              </w:rPr>
              <w:t>21</w:t>
            </w:r>
            <w:r w:rsidRPr="00514371">
              <w:rPr>
                <w:rFonts w:eastAsia="Times New Roman"/>
                <w:sz w:val="24"/>
                <w:szCs w:val="24"/>
                <w:lang w:eastAsia="lv-LV"/>
              </w:rPr>
              <w:t>.</w:t>
            </w:r>
            <w:r w:rsidR="00A84832" w:rsidRPr="00514371">
              <w:rPr>
                <w:rFonts w:eastAsia="Times New Roman"/>
                <w:sz w:val="24"/>
                <w:szCs w:val="24"/>
                <w:lang w:eastAsia="lv-LV"/>
              </w:rPr>
              <w:t> </w:t>
            </w:r>
            <w:r w:rsidRPr="00514371">
              <w:rPr>
                <w:rFonts w:eastAsia="Times New Roman"/>
                <w:sz w:val="24"/>
                <w:szCs w:val="24"/>
                <w:lang w:eastAsia="lv-LV"/>
              </w:rPr>
              <w:t xml:space="preserve">aprīlī noteikumu projektu ievietoja savā tīmekļvietnē sadaļā "Sabiedrības līdzdalība" </w:t>
            </w:r>
            <w:r w:rsidRPr="00514371">
              <w:rPr>
                <w:rFonts w:eastAsia="Times New Roman"/>
                <w:sz w:val="24"/>
                <w:szCs w:val="24"/>
                <w:lang w:eastAsia="lv-LV"/>
              </w:rPr>
              <w:lastRenderedPageBreak/>
              <w:t xml:space="preserve">(pieejams: https://www.tm.gov.lv/lv/sabiedribas-lidzdaliba/diskusiju-dokumenti/tiesibu-akti), kā arī noteikumu projekts tika ievietots Valsts kancelejas tīmekļvietnē sadaļā "Ministru kabineta diskusiju dokumenti" (pieejams: https://mk.gov.lv/content/ministru-kabineta-diskusiju-dokumenti), tādējādi dodot iespēju sabiedrībai līdzdarboties tiesību akta izstrādes procesā. Sabiedrībai bija iespēja līdz 2021. gada </w:t>
            </w:r>
            <w:r w:rsidR="00A84832" w:rsidRPr="00514371">
              <w:rPr>
                <w:rFonts w:eastAsia="Times New Roman"/>
                <w:sz w:val="24"/>
                <w:szCs w:val="24"/>
                <w:lang w:eastAsia="lv-LV"/>
              </w:rPr>
              <w:t>2</w:t>
            </w:r>
            <w:r w:rsidR="00A864B5" w:rsidRPr="00514371">
              <w:rPr>
                <w:rFonts w:eastAsia="Times New Roman"/>
                <w:sz w:val="24"/>
                <w:szCs w:val="24"/>
                <w:lang w:eastAsia="lv-LV"/>
              </w:rPr>
              <w:t>8</w:t>
            </w:r>
            <w:r w:rsidRPr="00514371">
              <w:rPr>
                <w:rFonts w:eastAsia="Times New Roman"/>
                <w:sz w:val="24"/>
                <w:szCs w:val="24"/>
                <w:lang w:eastAsia="lv-LV"/>
              </w:rPr>
              <w:t>.</w:t>
            </w:r>
            <w:r w:rsidR="00A84832">
              <w:rPr>
                <w:rFonts w:eastAsia="Times New Roman"/>
                <w:sz w:val="24"/>
                <w:szCs w:val="24"/>
                <w:lang w:eastAsia="lv-LV"/>
              </w:rPr>
              <w:t> </w:t>
            </w:r>
            <w:r>
              <w:rPr>
                <w:rFonts w:eastAsia="Times New Roman"/>
                <w:sz w:val="24"/>
                <w:szCs w:val="24"/>
                <w:lang w:eastAsia="lv-LV"/>
              </w:rPr>
              <w:t>aprīlim</w:t>
            </w:r>
            <w:r w:rsidRPr="00224976">
              <w:rPr>
                <w:rFonts w:eastAsia="Times New Roman"/>
                <w:sz w:val="24"/>
                <w:szCs w:val="24"/>
                <w:lang w:eastAsia="lv-LV"/>
              </w:rPr>
              <w:t xml:space="preserve"> sniegt rakstisku viedokli Tieslietu ministrijai par izstrādāto noteikumu projektu.</w:t>
            </w:r>
          </w:p>
        </w:tc>
      </w:tr>
      <w:tr w:rsidR="00BC2633" w:rsidRPr="00BC2633" w14:paraId="221D5F5F" w14:textId="77777777" w:rsidTr="002D5AA7">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372BC62F"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lastRenderedPageBreak/>
              <w:t>3.</w:t>
            </w:r>
          </w:p>
        </w:tc>
        <w:tc>
          <w:tcPr>
            <w:tcW w:w="1389" w:type="pct"/>
            <w:tcBorders>
              <w:top w:val="outset" w:sz="6" w:space="0" w:color="414142"/>
              <w:left w:val="outset" w:sz="6" w:space="0" w:color="414142"/>
              <w:bottom w:val="outset" w:sz="6" w:space="0" w:color="414142"/>
              <w:right w:val="outset" w:sz="6" w:space="0" w:color="414142"/>
            </w:tcBorders>
            <w:hideMark/>
          </w:tcPr>
          <w:p w14:paraId="255EBB17"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Sabiedrības līdzdalības rezultāti</w:t>
            </w:r>
          </w:p>
        </w:tc>
        <w:tc>
          <w:tcPr>
            <w:tcW w:w="3361" w:type="pct"/>
            <w:tcBorders>
              <w:top w:val="outset" w:sz="6" w:space="0" w:color="414142"/>
              <w:left w:val="outset" w:sz="6" w:space="0" w:color="414142"/>
              <w:bottom w:val="outset" w:sz="6" w:space="0" w:color="414142"/>
              <w:right w:val="outset" w:sz="6" w:space="0" w:color="414142"/>
            </w:tcBorders>
          </w:tcPr>
          <w:p w14:paraId="3E3C15CE" w14:textId="4B0DBC4D" w:rsidR="004D15A9" w:rsidRPr="00D933F5" w:rsidRDefault="00082C64" w:rsidP="003333C4">
            <w:pPr>
              <w:spacing w:after="0" w:line="240" w:lineRule="auto"/>
              <w:jc w:val="both"/>
              <w:rPr>
                <w:rFonts w:eastAsia="Times New Roman"/>
                <w:sz w:val="24"/>
                <w:szCs w:val="24"/>
                <w:lang w:eastAsia="lv-LV"/>
              </w:rPr>
            </w:pPr>
            <w:r w:rsidRPr="00082C64">
              <w:rPr>
                <w:rFonts w:eastAsia="Times New Roman"/>
                <w:bCs/>
                <w:sz w:val="24"/>
                <w:szCs w:val="24"/>
                <w:lang w:eastAsia="lv-LV"/>
              </w:rPr>
              <w:t>Noteikumu projekts šo jomu neskar.</w:t>
            </w:r>
          </w:p>
        </w:tc>
      </w:tr>
      <w:tr w:rsidR="004D15A9" w:rsidRPr="00BC2633" w14:paraId="5F54E321" w14:textId="77777777" w:rsidTr="004C3B12">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5BE089B0"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4.</w:t>
            </w:r>
          </w:p>
        </w:tc>
        <w:tc>
          <w:tcPr>
            <w:tcW w:w="1389" w:type="pct"/>
            <w:tcBorders>
              <w:top w:val="outset" w:sz="6" w:space="0" w:color="414142"/>
              <w:left w:val="outset" w:sz="6" w:space="0" w:color="414142"/>
              <w:bottom w:val="outset" w:sz="6" w:space="0" w:color="414142"/>
              <w:right w:val="outset" w:sz="6" w:space="0" w:color="414142"/>
            </w:tcBorders>
            <w:hideMark/>
          </w:tcPr>
          <w:p w14:paraId="500F1E65"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Cita informācija</w:t>
            </w:r>
          </w:p>
        </w:tc>
        <w:tc>
          <w:tcPr>
            <w:tcW w:w="3361" w:type="pct"/>
            <w:tcBorders>
              <w:top w:val="outset" w:sz="6" w:space="0" w:color="414142"/>
              <w:left w:val="outset" w:sz="6" w:space="0" w:color="414142"/>
              <w:bottom w:val="outset" w:sz="6" w:space="0" w:color="414142"/>
              <w:right w:val="outset" w:sz="6" w:space="0" w:color="414142"/>
            </w:tcBorders>
            <w:hideMark/>
          </w:tcPr>
          <w:p w14:paraId="053F0FFC" w14:textId="797A686C" w:rsidR="004D15A9" w:rsidRPr="00CE3196" w:rsidRDefault="005B3873" w:rsidP="00C26E82">
            <w:pPr>
              <w:spacing w:after="0" w:line="240" w:lineRule="auto"/>
              <w:jc w:val="both"/>
              <w:rPr>
                <w:rFonts w:eastAsia="Times New Roman"/>
                <w:sz w:val="24"/>
                <w:szCs w:val="24"/>
                <w:lang w:eastAsia="lv-LV"/>
              </w:rPr>
            </w:pPr>
            <w:r w:rsidRPr="00CE3196">
              <w:rPr>
                <w:rFonts w:eastAsia="Calibri"/>
                <w:sz w:val="24"/>
                <w:szCs w:val="24"/>
                <w:lang w:eastAsia="lv-LV"/>
              </w:rPr>
              <w:t xml:space="preserve">Ministru kabineta noteikumus pēc to pieņemšanas Ministru kabinetā izsludina, publicējot </w:t>
            </w:r>
            <w:r w:rsidRPr="00CE3196">
              <w:rPr>
                <w:rFonts w:eastAsia="Calibri"/>
                <w:sz w:val="24"/>
                <w:szCs w:val="24"/>
              </w:rPr>
              <w:t>oficiālajā izdevumā "Latvijas Vēstnesis"</w:t>
            </w:r>
            <w:r w:rsidR="00CE3196">
              <w:rPr>
                <w:rFonts w:eastAsia="Calibri"/>
                <w:sz w:val="24"/>
                <w:szCs w:val="24"/>
              </w:rPr>
              <w:t xml:space="preserve"> (</w:t>
            </w:r>
            <w:hyperlink r:id="rId8" w:history="1">
              <w:r w:rsidR="00CE3196" w:rsidRPr="00257D20">
                <w:rPr>
                  <w:rStyle w:val="Hipersaite"/>
                  <w:rFonts w:eastAsia="Calibri"/>
                  <w:sz w:val="24"/>
                  <w:szCs w:val="24"/>
                </w:rPr>
                <w:t>www.vestnesis.lv</w:t>
              </w:r>
            </w:hyperlink>
            <w:r w:rsidRPr="00CE3196">
              <w:rPr>
                <w:rFonts w:eastAsia="Calibri"/>
                <w:sz w:val="24"/>
                <w:szCs w:val="24"/>
              </w:rPr>
              <w:t xml:space="preserve">), kā arī tie ir pieejami sistematizēti vortālā Likumi.lv </w:t>
            </w:r>
            <w:r w:rsidR="00433E9C">
              <w:rPr>
                <w:rFonts w:eastAsia="Calibri"/>
                <w:sz w:val="24"/>
                <w:szCs w:val="24"/>
              </w:rPr>
              <w:t>(</w:t>
            </w:r>
            <w:hyperlink r:id="rId9" w:history="1">
              <w:r w:rsidR="00433E9C" w:rsidRPr="00257D20">
                <w:rPr>
                  <w:rStyle w:val="Hipersaite"/>
                  <w:rFonts w:eastAsia="Calibri"/>
                  <w:sz w:val="24"/>
                  <w:szCs w:val="24"/>
                </w:rPr>
                <w:t>www.likumi.lv</w:t>
              </w:r>
            </w:hyperlink>
            <w:r w:rsidR="00CE3196">
              <w:rPr>
                <w:rFonts w:eastAsia="Calibri"/>
                <w:sz w:val="24"/>
                <w:szCs w:val="24"/>
              </w:rPr>
              <w:t>)</w:t>
            </w:r>
            <w:r w:rsidRPr="00CE3196">
              <w:rPr>
                <w:rFonts w:eastAsia="Calibri"/>
                <w:sz w:val="24"/>
                <w:szCs w:val="24"/>
              </w:rPr>
              <w:t>.</w:t>
            </w:r>
          </w:p>
        </w:tc>
      </w:tr>
    </w:tbl>
    <w:p w14:paraId="569A45C0" w14:textId="77777777" w:rsidR="004D15A9" w:rsidRPr="00BC2633" w:rsidRDefault="004D15A9" w:rsidP="00C26E82">
      <w:pPr>
        <w:spacing w:after="0" w:line="240" w:lineRule="auto"/>
        <w:rPr>
          <w:rFonts w:eastAsia="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2"/>
        <w:gridCol w:w="2659"/>
        <w:gridCol w:w="5944"/>
      </w:tblGrid>
      <w:tr w:rsidR="00BC2633" w:rsidRPr="00BC2633" w14:paraId="052FAB11" w14:textId="77777777" w:rsidTr="004D15A9">
        <w:trPr>
          <w:trHeight w:val="375"/>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7772ABA4" w14:textId="77777777" w:rsidR="004D15A9" w:rsidRPr="00BC2633" w:rsidRDefault="004D15A9" w:rsidP="00C26E82">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VII. Tiesību akta projekta izpildes nodrošināšana un tās ietekme uz institūcijām</w:t>
            </w:r>
          </w:p>
        </w:tc>
      </w:tr>
      <w:tr w:rsidR="00BC2633" w:rsidRPr="00BC2633" w14:paraId="5F7D14F9" w14:textId="77777777" w:rsidTr="003803BC">
        <w:trPr>
          <w:trHeight w:val="420"/>
        </w:trPr>
        <w:tc>
          <w:tcPr>
            <w:tcW w:w="250" w:type="pct"/>
            <w:tcBorders>
              <w:top w:val="outset" w:sz="6" w:space="0" w:color="414142"/>
              <w:left w:val="outset" w:sz="6" w:space="0" w:color="414142"/>
              <w:bottom w:val="outset" w:sz="6" w:space="0" w:color="414142"/>
              <w:right w:val="outset" w:sz="6" w:space="0" w:color="414142"/>
            </w:tcBorders>
            <w:hideMark/>
          </w:tcPr>
          <w:p w14:paraId="10C261A7"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1.</w:t>
            </w:r>
          </w:p>
        </w:tc>
        <w:tc>
          <w:tcPr>
            <w:tcW w:w="1468" w:type="pct"/>
            <w:tcBorders>
              <w:top w:val="outset" w:sz="6" w:space="0" w:color="414142"/>
              <w:left w:val="outset" w:sz="6" w:space="0" w:color="414142"/>
              <w:bottom w:val="outset" w:sz="6" w:space="0" w:color="414142"/>
              <w:right w:val="outset" w:sz="6" w:space="0" w:color="414142"/>
            </w:tcBorders>
            <w:hideMark/>
          </w:tcPr>
          <w:p w14:paraId="0C28F92C"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Projekta izpildē iesaistītās institūcijas</w:t>
            </w:r>
          </w:p>
        </w:tc>
        <w:tc>
          <w:tcPr>
            <w:tcW w:w="3282" w:type="pct"/>
            <w:tcBorders>
              <w:top w:val="outset" w:sz="6" w:space="0" w:color="414142"/>
              <w:left w:val="outset" w:sz="6" w:space="0" w:color="414142"/>
              <w:bottom w:val="outset" w:sz="6" w:space="0" w:color="414142"/>
              <w:right w:val="outset" w:sz="6" w:space="0" w:color="414142"/>
            </w:tcBorders>
            <w:hideMark/>
          </w:tcPr>
          <w:p w14:paraId="1AEBB4A0" w14:textId="666B6710" w:rsidR="000C3E92" w:rsidRPr="00DB49BA" w:rsidRDefault="000C3E92" w:rsidP="00C26E82">
            <w:pPr>
              <w:spacing w:after="0" w:line="240" w:lineRule="auto"/>
              <w:jc w:val="both"/>
              <w:rPr>
                <w:rFonts w:eastAsia="Times New Roman"/>
                <w:sz w:val="24"/>
                <w:szCs w:val="24"/>
                <w:highlight w:val="yellow"/>
                <w:lang w:eastAsia="lv-LV"/>
              </w:rPr>
            </w:pPr>
            <w:r w:rsidRPr="0026052B">
              <w:rPr>
                <w:rFonts w:eastAsia="Times New Roman"/>
                <w:sz w:val="24"/>
                <w:szCs w:val="24"/>
                <w:lang w:eastAsia="lv-LV"/>
              </w:rPr>
              <w:t>Tieslietu ministrija.</w:t>
            </w:r>
          </w:p>
        </w:tc>
      </w:tr>
      <w:tr w:rsidR="00BC2633" w:rsidRPr="00BC2633" w14:paraId="67B81B5D" w14:textId="77777777" w:rsidTr="003803BC">
        <w:trPr>
          <w:trHeight w:val="450"/>
        </w:trPr>
        <w:tc>
          <w:tcPr>
            <w:tcW w:w="250" w:type="pct"/>
            <w:tcBorders>
              <w:top w:val="outset" w:sz="6" w:space="0" w:color="414142"/>
              <w:left w:val="outset" w:sz="6" w:space="0" w:color="414142"/>
              <w:bottom w:val="outset" w:sz="6" w:space="0" w:color="414142"/>
              <w:right w:val="outset" w:sz="6" w:space="0" w:color="414142"/>
            </w:tcBorders>
            <w:hideMark/>
          </w:tcPr>
          <w:p w14:paraId="5C9A6CCC"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2.</w:t>
            </w:r>
          </w:p>
        </w:tc>
        <w:tc>
          <w:tcPr>
            <w:tcW w:w="1468" w:type="pct"/>
            <w:tcBorders>
              <w:top w:val="outset" w:sz="6" w:space="0" w:color="414142"/>
              <w:left w:val="outset" w:sz="6" w:space="0" w:color="414142"/>
              <w:bottom w:val="outset" w:sz="6" w:space="0" w:color="414142"/>
              <w:right w:val="outset" w:sz="6" w:space="0" w:color="414142"/>
            </w:tcBorders>
            <w:hideMark/>
          </w:tcPr>
          <w:p w14:paraId="2B4CADDF"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 xml:space="preserve">Projekta izpildes ietekme uz pārvaldes funkcijām un institucionālo struktūru. </w:t>
            </w:r>
          </w:p>
          <w:p w14:paraId="37B6FCBC"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Jaunu institūciju izveide, esošu institūciju likvidācija vai reorganizācija, to ietekme uz institūcijas cilvēkresursiem</w:t>
            </w:r>
          </w:p>
        </w:tc>
        <w:tc>
          <w:tcPr>
            <w:tcW w:w="3282" w:type="pct"/>
            <w:tcBorders>
              <w:top w:val="outset" w:sz="6" w:space="0" w:color="414142"/>
              <w:left w:val="outset" w:sz="6" w:space="0" w:color="414142"/>
              <w:bottom w:val="outset" w:sz="6" w:space="0" w:color="414142"/>
              <w:right w:val="outset" w:sz="6" w:space="0" w:color="414142"/>
            </w:tcBorders>
            <w:hideMark/>
          </w:tcPr>
          <w:p w14:paraId="020A7F09" w14:textId="134833E6" w:rsidR="004D15A9" w:rsidRPr="00BC2633" w:rsidRDefault="00B64371" w:rsidP="00416236">
            <w:pPr>
              <w:spacing w:after="0" w:line="240" w:lineRule="auto"/>
              <w:jc w:val="both"/>
              <w:rPr>
                <w:rFonts w:eastAsia="Times New Roman"/>
                <w:sz w:val="24"/>
                <w:szCs w:val="24"/>
                <w:lang w:eastAsia="lv-LV"/>
              </w:rPr>
            </w:pPr>
            <w:r w:rsidRPr="00B64371">
              <w:rPr>
                <w:rFonts w:eastAsia="Times New Roman"/>
                <w:bCs/>
                <w:sz w:val="24"/>
                <w:szCs w:val="24"/>
                <w:lang w:eastAsia="lv-LV"/>
              </w:rPr>
              <w:t>Noteikumu projekt</w:t>
            </w:r>
            <w:r>
              <w:rPr>
                <w:rFonts w:eastAsia="Times New Roman"/>
                <w:bCs/>
                <w:sz w:val="24"/>
                <w:szCs w:val="24"/>
                <w:lang w:eastAsia="lv-LV"/>
              </w:rPr>
              <w:t>a</w:t>
            </w:r>
            <w:r w:rsidR="00F51892">
              <w:rPr>
                <w:rFonts w:eastAsia="Times New Roman"/>
                <w:sz w:val="24"/>
                <w:szCs w:val="24"/>
                <w:lang w:eastAsia="lv-LV"/>
              </w:rPr>
              <w:t xml:space="preserve"> izpilde nerada ietekmi uz pārvaldes funkcijām un institucionālo struktūru. </w:t>
            </w:r>
            <w:r w:rsidR="00DB49BA">
              <w:rPr>
                <w:rFonts w:eastAsia="Times New Roman"/>
                <w:sz w:val="24"/>
                <w:szCs w:val="24"/>
                <w:lang w:eastAsia="lv-LV"/>
              </w:rPr>
              <w:t>Nav nepieciešama j</w:t>
            </w:r>
            <w:r w:rsidR="00F51892">
              <w:rPr>
                <w:rFonts w:eastAsia="Times New Roman"/>
                <w:sz w:val="24"/>
                <w:szCs w:val="24"/>
                <w:lang w:eastAsia="lv-LV"/>
              </w:rPr>
              <w:t>aunu institūciju izveide, e</w:t>
            </w:r>
            <w:r w:rsidR="00DB49BA">
              <w:rPr>
                <w:rFonts w:eastAsia="Times New Roman"/>
                <w:sz w:val="24"/>
                <w:szCs w:val="24"/>
                <w:lang w:eastAsia="lv-LV"/>
              </w:rPr>
              <w:t xml:space="preserve">sošu institūciju likvidācija vai reorganizācija. </w:t>
            </w:r>
          </w:p>
        </w:tc>
      </w:tr>
      <w:tr w:rsidR="004D15A9" w:rsidRPr="00BC2633" w14:paraId="20A26466" w14:textId="77777777" w:rsidTr="003803BC">
        <w:trPr>
          <w:trHeight w:val="390"/>
        </w:trPr>
        <w:tc>
          <w:tcPr>
            <w:tcW w:w="250" w:type="pct"/>
            <w:tcBorders>
              <w:top w:val="outset" w:sz="6" w:space="0" w:color="414142"/>
              <w:left w:val="outset" w:sz="6" w:space="0" w:color="414142"/>
              <w:bottom w:val="outset" w:sz="6" w:space="0" w:color="414142"/>
              <w:right w:val="outset" w:sz="6" w:space="0" w:color="414142"/>
            </w:tcBorders>
            <w:hideMark/>
          </w:tcPr>
          <w:p w14:paraId="1CFEA73D"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3.</w:t>
            </w:r>
          </w:p>
        </w:tc>
        <w:tc>
          <w:tcPr>
            <w:tcW w:w="1468" w:type="pct"/>
            <w:tcBorders>
              <w:top w:val="outset" w:sz="6" w:space="0" w:color="414142"/>
              <w:left w:val="outset" w:sz="6" w:space="0" w:color="414142"/>
              <w:bottom w:val="outset" w:sz="6" w:space="0" w:color="414142"/>
              <w:right w:val="outset" w:sz="6" w:space="0" w:color="414142"/>
            </w:tcBorders>
            <w:hideMark/>
          </w:tcPr>
          <w:p w14:paraId="7062A194"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Cita informācija</w:t>
            </w:r>
          </w:p>
        </w:tc>
        <w:tc>
          <w:tcPr>
            <w:tcW w:w="3282" w:type="pct"/>
            <w:tcBorders>
              <w:top w:val="outset" w:sz="6" w:space="0" w:color="414142"/>
              <w:left w:val="outset" w:sz="6" w:space="0" w:color="414142"/>
              <w:bottom w:val="outset" w:sz="6" w:space="0" w:color="414142"/>
              <w:right w:val="outset" w:sz="6" w:space="0" w:color="414142"/>
            </w:tcBorders>
            <w:hideMark/>
          </w:tcPr>
          <w:p w14:paraId="5BD54AC6" w14:textId="6CE7E31A" w:rsidR="004D15A9" w:rsidRPr="00BC2633" w:rsidRDefault="000C3E92" w:rsidP="00C26E82">
            <w:pPr>
              <w:spacing w:after="0" w:line="240" w:lineRule="auto"/>
              <w:jc w:val="both"/>
              <w:rPr>
                <w:rFonts w:eastAsia="Times New Roman"/>
                <w:sz w:val="24"/>
                <w:szCs w:val="24"/>
                <w:lang w:eastAsia="lv-LV"/>
              </w:rPr>
            </w:pPr>
            <w:r>
              <w:rPr>
                <w:rFonts w:eastAsia="Times New Roman"/>
                <w:sz w:val="24"/>
                <w:szCs w:val="24"/>
                <w:lang w:eastAsia="lv-LV"/>
              </w:rPr>
              <w:t>Nav.</w:t>
            </w:r>
          </w:p>
        </w:tc>
      </w:tr>
    </w:tbl>
    <w:p w14:paraId="4114A52B" w14:textId="16A80529" w:rsidR="003F0200" w:rsidRDefault="003F0200" w:rsidP="00C26E82">
      <w:pPr>
        <w:pStyle w:val="StyleRight"/>
        <w:spacing w:after="0"/>
        <w:ind w:firstLine="0"/>
        <w:jc w:val="both"/>
        <w:rPr>
          <w:sz w:val="24"/>
          <w:szCs w:val="24"/>
        </w:rPr>
      </w:pPr>
    </w:p>
    <w:p w14:paraId="46DAB489" w14:textId="77777777" w:rsidR="005D055B" w:rsidRDefault="005D055B" w:rsidP="00C26E82">
      <w:pPr>
        <w:pStyle w:val="StyleRight"/>
        <w:spacing w:after="0"/>
        <w:ind w:firstLine="0"/>
        <w:jc w:val="both"/>
        <w:rPr>
          <w:sz w:val="24"/>
          <w:szCs w:val="24"/>
        </w:rPr>
      </w:pPr>
    </w:p>
    <w:p w14:paraId="09601154" w14:textId="09ACB126" w:rsidR="004D15A9" w:rsidRPr="00BC2633" w:rsidRDefault="004D15A9" w:rsidP="00C26E82">
      <w:pPr>
        <w:pStyle w:val="StyleRight"/>
        <w:spacing w:after="0"/>
        <w:ind w:firstLine="0"/>
        <w:jc w:val="both"/>
        <w:rPr>
          <w:sz w:val="24"/>
          <w:szCs w:val="24"/>
        </w:rPr>
      </w:pPr>
      <w:r w:rsidRPr="00BC2633">
        <w:rPr>
          <w:sz w:val="24"/>
          <w:szCs w:val="24"/>
        </w:rPr>
        <w:t>Iesniedzējs:</w:t>
      </w:r>
    </w:p>
    <w:p w14:paraId="259CAE7B" w14:textId="77777777" w:rsidR="00C45B3E" w:rsidRPr="00C45B3E" w:rsidRDefault="00C45B3E" w:rsidP="00C45B3E">
      <w:pPr>
        <w:spacing w:after="0" w:line="240" w:lineRule="auto"/>
        <w:rPr>
          <w:rFonts w:eastAsia="Times New Roman"/>
          <w:sz w:val="24"/>
          <w:szCs w:val="24"/>
          <w:lang w:eastAsia="lv-LV"/>
        </w:rPr>
      </w:pPr>
      <w:r w:rsidRPr="00C45B3E">
        <w:rPr>
          <w:rFonts w:eastAsia="Times New Roman"/>
          <w:sz w:val="24"/>
          <w:szCs w:val="24"/>
          <w:lang w:eastAsia="lv-LV"/>
        </w:rPr>
        <w:t>Ministru prezidenta biedrs,</w:t>
      </w:r>
    </w:p>
    <w:p w14:paraId="06DE6F77" w14:textId="68833DB6" w:rsidR="00C45B3E" w:rsidRPr="00C45B3E" w:rsidRDefault="00C45B3E" w:rsidP="00C45B3E">
      <w:pPr>
        <w:spacing w:after="0" w:line="240" w:lineRule="auto"/>
        <w:rPr>
          <w:rFonts w:eastAsia="Times New Roman"/>
          <w:sz w:val="24"/>
          <w:szCs w:val="24"/>
          <w:lang w:eastAsia="lv-LV"/>
        </w:rPr>
      </w:pPr>
      <w:r w:rsidRPr="00C45B3E">
        <w:rPr>
          <w:rFonts w:eastAsia="Times New Roman"/>
          <w:sz w:val="24"/>
          <w:szCs w:val="24"/>
          <w:lang w:eastAsia="lv-LV"/>
        </w:rPr>
        <w:t>tieslietu ministrs</w:t>
      </w:r>
      <w:r>
        <w:rPr>
          <w:rFonts w:eastAsia="Times New Roman"/>
          <w:sz w:val="24"/>
          <w:szCs w:val="24"/>
          <w:lang w:eastAsia="lv-LV"/>
        </w:rPr>
        <w:t xml:space="preserve"> </w:t>
      </w:r>
      <w:r>
        <w:rPr>
          <w:rFonts w:eastAsia="Times New Roman"/>
          <w:sz w:val="24"/>
          <w:szCs w:val="24"/>
          <w:lang w:eastAsia="lv-LV"/>
        </w:rPr>
        <w:tab/>
      </w:r>
      <w:r>
        <w:rPr>
          <w:rFonts w:eastAsia="Times New Roman"/>
          <w:sz w:val="24"/>
          <w:szCs w:val="24"/>
          <w:lang w:eastAsia="lv-LV"/>
        </w:rPr>
        <w:tab/>
      </w:r>
      <w:r>
        <w:rPr>
          <w:rFonts w:eastAsia="Times New Roman"/>
          <w:sz w:val="24"/>
          <w:szCs w:val="24"/>
          <w:lang w:eastAsia="lv-LV"/>
        </w:rPr>
        <w:tab/>
      </w:r>
      <w:r>
        <w:rPr>
          <w:rFonts w:eastAsia="Times New Roman"/>
          <w:sz w:val="24"/>
          <w:szCs w:val="24"/>
          <w:lang w:eastAsia="lv-LV"/>
        </w:rPr>
        <w:tab/>
      </w:r>
      <w:r>
        <w:rPr>
          <w:rFonts w:eastAsia="Times New Roman"/>
          <w:sz w:val="24"/>
          <w:szCs w:val="24"/>
          <w:lang w:eastAsia="lv-LV"/>
        </w:rPr>
        <w:tab/>
      </w:r>
      <w:r>
        <w:rPr>
          <w:rFonts w:eastAsia="Times New Roman"/>
          <w:sz w:val="24"/>
          <w:szCs w:val="24"/>
          <w:lang w:eastAsia="lv-LV"/>
        </w:rPr>
        <w:tab/>
      </w:r>
      <w:r>
        <w:rPr>
          <w:rFonts w:eastAsia="Times New Roman"/>
          <w:sz w:val="24"/>
          <w:szCs w:val="24"/>
          <w:lang w:eastAsia="lv-LV"/>
        </w:rPr>
        <w:tab/>
      </w:r>
      <w:r>
        <w:rPr>
          <w:rFonts w:eastAsia="Times New Roman"/>
          <w:sz w:val="24"/>
          <w:szCs w:val="24"/>
          <w:lang w:eastAsia="lv-LV"/>
        </w:rPr>
        <w:tab/>
      </w:r>
      <w:r w:rsidRPr="00C45B3E">
        <w:rPr>
          <w:rFonts w:eastAsia="Times New Roman"/>
          <w:sz w:val="24"/>
          <w:szCs w:val="24"/>
          <w:lang w:eastAsia="lv-LV"/>
        </w:rPr>
        <w:t>Jānis Bordāns</w:t>
      </w:r>
    </w:p>
    <w:p w14:paraId="41F4504F" w14:textId="07DBAEC0" w:rsidR="008219C9" w:rsidRDefault="008219C9" w:rsidP="006D1CD9">
      <w:pPr>
        <w:spacing w:after="0" w:line="240" w:lineRule="auto"/>
        <w:rPr>
          <w:szCs w:val="22"/>
        </w:rPr>
      </w:pPr>
    </w:p>
    <w:p w14:paraId="11CBAFE7" w14:textId="77777777" w:rsidR="00630FB4" w:rsidRDefault="00630FB4" w:rsidP="006D1CD9">
      <w:pPr>
        <w:spacing w:after="0" w:line="240" w:lineRule="auto"/>
        <w:rPr>
          <w:szCs w:val="22"/>
        </w:rPr>
      </w:pPr>
    </w:p>
    <w:p w14:paraId="058DDE9A" w14:textId="39F332E5" w:rsidR="006D1CD9" w:rsidRPr="006D1CD9" w:rsidRDefault="006D1CD9" w:rsidP="006D1CD9">
      <w:pPr>
        <w:spacing w:after="0" w:line="240" w:lineRule="auto"/>
        <w:rPr>
          <w:szCs w:val="22"/>
        </w:rPr>
      </w:pPr>
      <w:r w:rsidRPr="006D1CD9">
        <w:rPr>
          <w:szCs w:val="22"/>
        </w:rPr>
        <w:t>Alberinga 67036835</w:t>
      </w:r>
    </w:p>
    <w:p w14:paraId="02451915" w14:textId="39C015DD" w:rsidR="00C34576" w:rsidRPr="006A1C25" w:rsidRDefault="00087AFA" w:rsidP="006D1CD9">
      <w:pPr>
        <w:spacing w:after="0" w:line="240" w:lineRule="auto"/>
        <w:rPr>
          <w:i/>
        </w:rPr>
      </w:pPr>
      <w:hyperlink r:id="rId10" w:history="1">
        <w:r w:rsidR="006D1CD9" w:rsidRPr="006D1CD9">
          <w:rPr>
            <w:color w:val="0000FF" w:themeColor="hyperlink"/>
            <w:szCs w:val="22"/>
            <w:u w:val="single"/>
          </w:rPr>
          <w:t>Kristine.Alberinga@tm.gov.lv</w:t>
        </w:r>
      </w:hyperlink>
      <w:r w:rsidR="006D1CD9" w:rsidRPr="006D1CD9">
        <w:rPr>
          <w:szCs w:val="22"/>
        </w:rPr>
        <w:t xml:space="preserve"> </w:t>
      </w:r>
    </w:p>
    <w:sectPr w:rsidR="00C34576" w:rsidRPr="006A1C25" w:rsidSect="004D15A9">
      <w:headerReference w:type="default" r:id="rId11"/>
      <w:footerReference w:type="default" r:id="rId12"/>
      <w:footerReference w:type="first" r:id="rId13"/>
      <w:pgSz w:w="11906" w:h="16838"/>
      <w:pgMar w:top="1418"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0747E" w14:textId="77777777" w:rsidR="00087AFA" w:rsidRDefault="00087AFA" w:rsidP="004D15A9">
      <w:pPr>
        <w:spacing w:after="0" w:line="240" w:lineRule="auto"/>
      </w:pPr>
      <w:r>
        <w:separator/>
      </w:r>
    </w:p>
  </w:endnote>
  <w:endnote w:type="continuationSeparator" w:id="0">
    <w:p w14:paraId="795360D2" w14:textId="77777777" w:rsidR="00087AFA" w:rsidRDefault="00087AFA" w:rsidP="004D1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745DF" w14:textId="77777777" w:rsidR="00C65605" w:rsidRPr="00C65605" w:rsidRDefault="00C65605" w:rsidP="00C65605">
    <w:pPr>
      <w:pStyle w:val="Kjene"/>
      <w:jc w:val="center"/>
      <w:rPr>
        <w:i/>
      </w:rPr>
    </w:pPr>
  </w:p>
  <w:p w14:paraId="6A190106" w14:textId="31CAD122" w:rsidR="004D15A9" w:rsidRPr="0042645D" w:rsidRDefault="005B31C7" w:rsidP="0042645D">
    <w:pPr>
      <w:pStyle w:val="Kjene"/>
    </w:pPr>
    <w:fldSimple w:instr=" FILENAME   \* MERGEFORMAT ">
      <w:r w:rsidR="007A4A34">
        <w:rPr>
          <w:noProof/>
        </w:rPr>
        <w:t>TMAnot_200421_nodevas</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0E123" w14:textId="77777777" w:rsidR="00C65605" w:rsidRPr="00C65605" w:rsidRDefault="00C65605" w:rsidP="00C65605">
    <w:pPr>
      <w:tabs>
        <w:tab w:val="center" w:pos="4153"/>
        <w:tab w:val="right" w:pos="8306"/>
      </w:tabs>
      <w:spacing w:after="0" w:line="240" w:lineRule="auto"/>
      <w:jc w:val="center"/>
      <w:rPr>
        <w:rFonts w:eastAsia="Calibri"/>
        <w:i/>
      </w:rPr>
    </w:pPr>
  </w:p>
  <w:p w14:paraId="0854F658" w14:textId="27809362" w:rsidR="004D15A9" w:rsidRPr="0042645D" w:rsidRDefault="005B31C7" w:rsidP="0042645D">
    <w:pPr>
      <w:pStyle w:val="Kjene"/>
    </w:pPr>
    <w:fldSimple w:instr=" FILENAME   \* MERGEFORMAT ">
      <w:r w:rsidR="007A4A34">
        <w:rPr>
          <w:noProof/>
        </w:rPr>
        <w:t>TMAnot_200421_nodevas</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7ACCC" w14:textId="77777777" w:rsidR="00087AFA" w:rsidRDefault="00087AFA" w:rsidP="004D15A9">
      <w:pPr>
        <w:spacing w:after="0" w:line="240" w:lineRule="auto"/>
      </w:pPr>
      <w:r>
        <w:separator/>
      </w:r>
    </w:p>
  </w:footnote>
  <w:footnote w:type="continuationSeparator" w:id="0">
    <w:p w14:paraId="6EF33FC7" w14:textId="77777777" w:rsidR="00087AFA" w:rsidRDefault="00087AFA" w:rsidP="004D15A9">
      <w:pPr>
        <w:spacing w:after="0" w:line="240" w:lineRule="auto"/>
      </w:pPr>
      <w:r>
        <w:continuationSeparator/>
      </w:r>
    </w:p>
  </w:footnote>
  <w:footnote w:id="1">
    <w:p w14:paraId="706C8996" w14:textId="6524AD17" w:rsidR="00F12F6E" w:rsidRDefault="00F12F6E">
      <w:pPr>
        <w:pStyle w:val="Vresteksts"/>
      </w:pPr>
      <w:r>
        <w:rPr>
          <w:rStyle w:val="Vresatsauce"/>
        </w:rPr>
        <w:footnoteRef/>
      </w:r>
      <w:r>
        <w:t xml:space="preserve"> </w:t>
      </w:r>
      <w:hyperlink r:id="rId1" w:history="1">
        <w:r w:rsidRPr="00F12F6E">
          <w:rPr>
            <w:rStyle w:val="Hipersaite"/>
          </w:rPr>
          <w:t>https://titania.saeima.lv/LIVS13/saeimalivs13.nsf/0/D5558B479928A713C225868E002EAAD0?OpenDocument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230928"/>
      <w:docPartObj>
        <w:docPartGallery w:val="Page Numbers (Top of Page)"/>
        <w:docPartUnique/>
      </w:docPartObj>
    </w:sdtPr>
    <w:sdtEndPr>
      <w:rPr>
        <w:sz w:val="24"/>
        <w:szCs w:val="24"/>
      </w:rPr>
    </w:sdtEndPr>
    <w:sdtContent>
      <w:p w14:paraId="3D63889F" w14:textId="7964063A" w:rsidR="004D15A9" w:rsidRPr="004D15A9" w:rsidRDefault="004D15A9">
        <w:pPr>
          <w:pStyle w:val="Galvene"/>
          <w:jc w:val="center"/>
          <w:rPr>
            <w:sz w:val="24"/>
            <w:szCs w:val="24"/>
          </w:rPr>
        </w:pPr>
        <w:r w:rsidRPr="004D15A9">
          <w:rPr>
            <w:sz w:val="24"/>
            <w:szCs w:val="24"/>
          </w:rPr>
          <w:fldChar w:fldCharType="begin"/>
        </w:r>
        <w:r w:rsidRPr="004D15A9">
          <w:rPr>
            <w:sz w:val="24"/>
            <w:szCs w:val="24"/>
          </w:rPr>
          <w:instrText>PAGE   \* MERGEFORMAT</w:instrText>
        </w:r>
        <w:r w:rsidRPr="004D15A9">
          <w:rPr>
            <w:sz w:val="24"/>
            <w:szCs w:val="24"/>
          </w:rPr>
          <w:fldChar w:fldCharType="separate"/>
        </w:r>
        <w:r w:rsidR="00B83C87">
          <w:rPr>
            <w:noProof/>
            <w:sz w:val="24"/>
            <w:szCs w:val="24"/>
          </w:rPr>
          <w:t>7</w:t>
        </w:r>
        <w:r w:rsidRPr="004D15A9">
          <w:rPr>
            <w:sz w:val="24"/>
            <w:szCs w:val="24"/>
          </w:rPr>
          <w:fldChar w:fldCharType="end"/>
        </w:r>
      </w:p>
    </w:sdtContent>
  </w:sdt>
  <w:p w14:paraId="2E7D154D" w14:textId="77777777" w:rsidR="004D15A9" w:rsidRDefault="004D15A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855F9"/>
    <w:multiLevelType w:val="hybridMultilevel"/>
    <w:tmpl w:val="5D6ECD88"/>
    <w:lvl w:ilvl="0" w:tplc="5A084E6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7992E80"/>
    <w:multiLevelType w:val="hybridMultilevel"/>
    <w:tmpl w:val="B5C8376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75E1EA3"/>
    <w:multiLevelType w:val="hybridMultilevel"/>
    <w:tmpl w:val="CCD6BA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22517F5"/>
    <w:multiLevelType w:val="hybridMultilevel"/>
    <w:tmpl w:val="8EB41B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6665077"/>
    <w:multiLevelType w:val="hybridMultilevel"/>
    <w:tmpl w:val="12800914"/>
    <w:lvl w:ilvl="0" w:tplc="0426000F">
      <w:start w:val="1"/>
      <w:numFmt w:val="decimal"/>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B6B6BF1"/>
    <w:multiLevelType w:val="multilevel"/>
    <w:tmpl w:val="B1688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D852B2"/>
    <w:multiLevelType w:val="hybridMultilevel"/>
    <w:tmpl w:val="3EC697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5FA7372"/>
    <w:multiLevelType w:val="hybridMultilevel"/>
    <w:tmpl w:val="603433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5A63B6C"/>
    <w:multiLevelType w:val="hybridMultilevel"/>
    <w:tmpl w:val="2DF0C1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4475FAF"/>
    <w:multiLevelType w:val="hybridMultilevel"/>
    <w:tmpl w:val="F68AAD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FA34554"/>
    <w:multiLevelType w:val="hybridMultilevel"/>
    <w:tmpl w:val="B238B2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CC2030C"/>
    <w:multiLevelType w:val="hybridMultilevel"/>
    <w:tmpl w:val="281AD7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2"/>
  </w:num>
  <w:num w:numId="4">
    <w:abstractNumId w:val="7"/>
  </w:num>
  <w:num w:numId="5">
    <w:abstractNumId w:val="0"/>
  </w:num>
  <w:num w:numId="6">
    <w:abstractNumId w:val="8"/>
  </w:num>
  <w:num w:numId="7">
    <w:abstractNumId w:val="9"/>
  </w:num>
  <w:num w:numId="8">
    <w:abstractNumId w:val="11"/>
  </w:num>
  <w:num w:numId="9">
    <w:abstractNumId w:val="3"/>
  </w:num>
  <w:num w:numId="10">
    <w:abstractNumId w:val="4"/>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5A9"/>
    <w:rsid w:val="00001421"/>
    <w:rsid w:val="000035B6"/>
    <w:rsid w:val="00005C22"/>
    <w:rsid w:val="000060E8"/>
    <w:rsid w:val="000151F4"/>
    <w:rsid w:val="00015E7B"/>
    <w:rsid w:val="000210B3"/>
    <w:rsid w:val="00025A34"/>
    <w:rsid w:val="000272B2"/>
    <w:rsid w:val="000303DF"/>
    <w:rsid w:val="00031256"/>
    <w:rsid w:val="0003254B"/>
    <w:rsid w:val="0004110C"/>
    <w:rsid w:val="00042AA0"/>
    <w:rsid w:val="00042D3A"/>
    <w:rsid w:val="000440D8"/>
    <w:rsid w:val="000501E8"/>
    <w:rsid w:val="0005188D"/>
    <w:rsid w:val="000572D2"/>
    <w:rsid w:val="00060A95"/>
    <w:rsid w:val="00062072"/>
    <w:rsid w:val="0006434B"/>
    <w:rsid w:val="00065F7D"/>
    <w:rsid w:val="000665EF"/>
    <w:rsid w:val="0007062D"/>
    <w:rsid w:val="00072DF8"/>
    <w:rsid w:val="00080A74"/>
    <w:rsid w:val="00082C64"/>
    <w:rsid w:val="00084207"/>
    <w:rsid w:val="00084E75"/>
    <w:rsid w:val="00087AFA"/>
    <w:rsid w:val="0009277A"/>
    <w:rsid w:val="00097BB0"/>
    <w:rsid w:val="000A33B6"/>
    <w:rsid w:val="000A5550"/>
    <w:rsid w:val="000A55E6"/>
    <w:rsid w:val="000A7A76"/>
    <w:rsid w:val="000B0238"/>
    <w:rsid w:val="000B115C"/>
    <w:rsid w:val="000B2630"/>
    <w:rsid w:val="000B31E1"/>
    <w:rsid w:val="000B576E"/>
    <w:rsid w:val="000B5A3E"/>
    <w:rsid w:val="000B6B03"/>
    <w:rsid w:val="000C19CF"/>
    <w:rsid w:val="000C3E92"/>
    <w:rsid w:val="000C405C"/>
    <w:rsid w:val="000C494C"/>
    <w:rsid w:val="000C5013"/>
    <w:rsid w:val="000C63DF"/>
    <w:rsid w:val="000C6B53"/>
    <w:rsid w:val="000C75B4"/>
    <w:rsid w:val="000D0C5C"/>
    <w:rsid w:val="000D18BF"/>
    <w:rsid w:val="000D1CB9"/>
    <w:rsid w:val="000D28B1"/>
    <w:rsid w:val="000D303B"/>
    <w:rsid w:val="000D3242"/>
    <w:rsid w:val="000E0FB0"/>
    <w:rsid w:val="000E3461"/>
    <w:rsid w:val="000E42FD"/>
    <w:rsid w:val="000E4390"/>
    <w:rsid w:val="000E4D50"/>
    <w:rsid w:val="000E67EB"/>
    <w:rsid w:val="000E7B1E"/>
    <w:rsid w:val="000F35A2"/>
    <w:rsid w:val="000F6B26"/>
    <w:rsid w:val="00101CD5"/>
    <w:rsid w:val="00107FC6"/>
    <w:rsid w:val="00116C74"/>
    <w:rsid w:val="00117B39"/>
    <w:rsid w:val="00120F7B"/>
    <w:rsid w:val="00127330"/>
    <w:rsid w:val="001379C1"/>
    <w:rsid w:val="00142E23"/>
    <w:rsid w:val="00144C01"/>
    <w:rsid w:val="001507F5"/>
    <w:rsid w:val="00151371"/>
    <w:rsid w:val="00153790"/>
    <w:rsid w:val="001605E3"/>
    <w:rsid w:val="00160DBA"/>
    <w:rsid w:val="00161A44"/>
    <w:rsid w:val="00172923"/>
    <w:rsid w:val="00173B4D"/>
    <w:rsid w:val="001751D0"/>
    <w:rsid w:val="001752F9"/>
    <w:rsid w:val="0018103F"/>
    <w:rsid w:val="0018118E"/>
    <w:rsid w:val="00184A60"/>
    <w:rsid w:val="00197F8F"/>
    <w:rsid w:val="001A1157"/>
    <w:rsid w:val="001A5855"/>
    <w:rsid w:val="001A7149"/>
    <w:rsid w:val="001B1829"/>
    <w:rsid w:val="001B1E02"/>
    <w:rsid w:val="001B38FC"/>
    <w:rsid w:val="001B59E1"/>
    <w:rsid w:val="001B5A85"/>
    <w:rsid w:val="001B7B1B"/>
    <w:rsid w:val="001B7D38"/>
    <w:rsid w:val="001C0553"/>
    <w:rsid w:val="001C1482"/>
    <w:rsid w:val="001C5969"/>
    <w:rsid w:val="001C7839"/>
    <w:rsid w:val="001D0AE7"/>
    <w:rsid w:val="001D0EFC"/>
    <w:rsid w:val="001D19DF"/>
    <w:rsid w:val="001D50C6"/>
    <w:rsid w:val="001D50D8"/>
    <w:rsid w:val="001E4903"/>
    <w:rsid w:val="001E4BC8"/>
    <w:rsid w:val="001F68D7"/>
    <w:rsid w:val="001F7D46"/>
    <w:rsid w:val="00200468"/>
    <w:rsid w:val="00201B6E"/>
    <w:rsid w:val="00203E87"/>
    <w:rsid w:val="00206EEC"/>
    <w:rsid w:val="00217349"/>
    <w:rsid w:val="00217F09"/>
    <w:rsid w:val="00220682"/>
    <w:rsid w:val="002219FE"/>
    <w:rsid w:val="00221D78"/>
    <w:rsid w:val="00222099"/>
    <w:rsid w:val="0022314A"/>
    <w:rsid w:val="00224976"/>
    <w:rsid w:val="00224FC8"/>
    <w:rsid w:val="00225405"/>
    <w:rsid w:val="00225A65"/>
    <w:rsid w:val="0022661D"/>
    <w:rsid w:val="00230251"/>
    <w:rsid w:val="00233568"/>
    <w:rsid w:val="002352E3"/>
    <w:rsid w:val="0025108C"/>
    <w:rsid w:val="0025379E"/>
    <w:rsid w:val="00256715"/>
    <w:rsid w:val="00256C4F"/>
    <w:rsid w:val="002578A5"/>
    <w:rsid w:val="0026052B"/>
    <w:rsid w:val="002677F9"/>
    <w:rsid w:val="00270BD8"/>
    <w:rsid w:val="00272799"/>
    <w:rsid w:val="00277D1C"/>
    <w:rsid w:val="00280C10"/>
    <w:rsid w:val="002814D2"/>
    <w:rsid w:val="002851A9"/>
    <w:rsid w:val="00285791"/>
    <w:rsid w:val="00286C5F"/>
    <w:rsid w:val="00287B5E"/>
    <w:rsid w:val="00293C91"/>
    <w:rsid w:val="002A3A8A"/>
    <w:rsid w:val="002A69C1"/>
    <w:rsid w:val="002A7B59"/>
    <w:rsid w:val="002B00ED"/>
    <w:rsid w:val="002C43AF"/>
    <w:rsid w:val="002C50B4"/>
    <w:rsid w:val="002C544B"/>
    <w:rsid w:val="002C570A"/>
    <w:rsid w:val="002C6AE9"/>
    <w:rsid w:val="002D1E43"/>
    <w:rsid w:val="002D3BE2"/>
    <w:rsid w:val="002D430F"/>
    <w:rsid w:val="002D4D7E"/>
    <w:rsid w:val="002D5AA7"/>
    <w:rsid w:val="002D6770"/>
    <w:rsid w:val="002D74F8"/>
    <w:rsid w:val="002E36BC"/>
    <w:rsid w:val="002E602A"/>
    <w:rsid w:val="002E6E03"/>
    <w:rsid w:val="002F3CE4"/>
    <w:rsid w:val="002F4F22"/>
    <w:rsid w:val="002F54F0"/>
    <w:rsid w:val="00310C24"/>
    <w:rsid w:val="00312A70"/>
    <w:rsid w:val="003146B5"/>
    <w:rsid w:val="00316E46"/>
    <w:rsid w:val="00321E43"/>
    <w:rsid w:val="0032356B"/>
    <w:rsid w:val="0032459B"/>
    <w:rsid w:val="00332D50"/>
    <w:rsid w:val="003333C4"/>
    <w:rsid w:val="0034062D"/>
    <w:rsid w:val="00340A9E"/>
    <w:rsid w:val="00340C98"/>
    <w:rsid w:val="003417F9"/>
    <w:rsid w:val="0034391E"/>
    <w:rsid w:val="00345CC1"/>
    <w:rsid w:val="00347C74"/>
    <w:rsid w:val="00347D11"/>
    <w:rsid w:val="00352445"/>
    <w:rsid w:val="00354948"/>
    <w:rsid w:val="003615CF"/>
    <w:rsid w:val="003643DC"/>
    <w:rsid w:val="00370500"/>
    <w:rsid w:val="00371F7E"/>
    <w:rsid w:val="00374648"/>
    <w:rsid w:val="00375343"/>
    <w:rsid w:val="003773BE"/>
    <w:rsid w:val="003803BC"/>
    <w:rsid w:val="00381011"/>
    <w:rsid w:val="00382AC5"/>
    <w:rsid w:val="00383658"/>
    <w:rsid w:val="0038378D"/>
    <w:rsid w:val="00385ADC"/>
    <w:rsid w:val="00391BB9"/>
    <w:rsid w:val="003922B0"/>
    <w:rsid w:val="00392BCA"/>
    <w:rsid w:val="0039577E"/>
    <w:rsid w:val="00397D36"/>
    <w:rsid w:val="003A003C"/>
    <w:rsid w:val="003A07B9"/>
    <w:rsid w:val="003A1D52"/>
    <w:rsid w:val="003A2A0B"/>
    <w:rsid w:val="003A50E0"/>
    <w:rsid w:val="003A6668"/>
    <w:rsid w:val="003B2BDA"/>
    <w:rsid w:val="003B4242"/>
    <w:rsid w:val="003B5F87"/>
    <w:rsid w:val="003B68AF"/>
    <w:rsid w:val="003B6A30"/>
    <w:rsid w:val="003B6BF2"/>
    <w:rsid w:val="003B6C2A"/>
    <w:rsid w:val="003B74D3"/>
    <w:rsid w:val="003C25C0"/>
    <w:rsid w:val="003C5739"/>
    <w:rsid w:val="003C649D"/>
    <w:rsid w:val="003C6D41"/>
    <w:rsid w:val="003C6EE7"/>
    <w:rsid w:val="003D0A44"/>
    <w:rsid w:val="003D17BF"/>
    <w:rsid w:val="003D1C22"/>
    <w:rsid w:val="003D2599"/>
    <w:rsid w:val="003D3693"/>
    <w:rsid w:val="003D5534"/>
    <w:rsid w:val="003D5E88"/>
    <w:rsid w:val="003D64AA"/>
    <w:rsid w:val="003D692D"/>
    <w:rsid w:val="003E2B52"/>
    <w:rsid w:val="003E7CDD"/>
    <w:rsid w:val="003F0200"/>
    <w:rsid w:val="003F27B3"/>
    <w:rsid w:val="003F4C55"/>
    <w:rsid w:val="003F538C"/>
    <w:rsid w:val="003F5AA5"/>
    <w:rsid w:val="00400ADC"/>
    <w:rsid w:val="00400EDB"/>
    <w:rsid w:val="00404142"/>
    <w:rsid w:val="00406909"/>
    <w:rsid w:val="00407285"/>
    <w:rsid w:val="00407580"/>
    <w:rsid w:val="0041023D"/>
    <w:rsid w:val="00411C30"/>
    <w:rsid w:val="00413E1B"/>
    <w:rsid w:val="004142F1"/>
    <w:rsid w:val="00416236"/>
    <w:rsid w:val="00416D4C"/>
    <w:rsid w:val="00417AFC"/>
    <w:rsid w:val="0042395F"/>
    <w:rsid w:val="0042645D"/>
    <w:rsid w:val="00430411"/>
    <w:rsid w:val="00433E9C"/>
    <w:rsid w:val="0043541A"/>
    <w:rsid w:val="00436343"/>
    <w:rsid w:val="00440546"/>
    <w:rsid w:val="00446E73"/>
    <w:rsid w:val="00454B1A"/>
    <w:rsid w:val="00461275"/>
    <w:rsid w:val="004615D7"/>
    <w:rsid w:val="00462CC7"/>
    <w:rsid w:val="004659D4"/>
    <w:rsid w:val="00467EE6"/>
    <w:rsid w:val="004802C3"/>
    <w:rsid w:val="00481EF5"/>
    <w:rsid w:val="00484136"/>
    <w:rsid w:val="00485500"/>
    <w:rsid w:val="004879F4"/>
    <w:rsid w:val="00487C6D"/>
    <w:rsid w:val="004906DF"/>
    <w:rsid w:val="00490B0E"/>
    <w:rsid w:val="004917FA"/>
    <w:rsid w:val="00496636"/>
    <w:rsid w:val="004A265E"/>
    <w:rsid w:val="004A2AD9"/>
    <w:rsid w:val="004A345D"/>
    <w:rsid w:val="004B05C7"/>
    <w:rsid w:val="004B18E3"/>
    <w:rsid w:val="004B4378"/>
    <w:rsid w:val="004B4E92"/>
    <w:rsid w:val="004B7263"/>
    <w:rsid w:val="004C012B"/>
    <w:rsid w:val="004C262C"/>
    <w:rsid w:val="004C3B12"/>
    <w:rsid w:val="004C3C6E"/>
    <w:rsid w:val="004C3FD0"/>
    <w:rsid w:val="004C443E"/>
    <w:rsid w:val="004C52CB"/>
    <w:rsid w:val="004C59EA"/>
    <w:rsid w:val="004D15A9"/>
    <w:rsid w:val="004D1623"/>
    <w:rsid w:val="004D26B1"/>
    <w:rsid w:val="004D444D"/>
    <w:rsid w:val="004D5B3D"/>
    <w:rsid w:val="004E4E5F"/>
    <w:rsid w:val="004E7B46"/>
    <w:rsid w:val="004F2959"/>
    <w:rsid w:val="004F4554"/>
    <w:rsid w:val="005024B3"/>
    <w:rsid w:val="00506459"/>
    <w:rsid w:val="00507063"/>
    <w:rsid w:val="005073A8"/>
    <w:rsid w:val="005079D1"/>
    <w:rsid w:val="00514371"/>
    <w:rsid w:val="00515CEE"/>
    <w:rsid w:val="0051773C"/>
    <w:rsid w:val="00517C17"/>
    <w:rsid w:val="005200C8"/>
    <w:rsid w:val="00523A3E"/>
    <w:rsid w:val="00532038"/>
    <w:rsid w:val="00532859"/>
    <w:rsid w:val="00534060"/>
    <w:rsid w:val="00534244"/>
    <w:rsid w:val="00544A6A"/>
    <w:rsid w:val="00544C05"/>
    <w:rsid w:val="00544F52"/>
    <w:rsid w:val="0054510F"/>
    <w:rsid w:val="00552FBE"/>
    <w:rsid w:val="0055458F"/>
    <w:rsid w:val="00555D57"/>
    <w:rsid w:val="00562BAE"/>
    <w:rsid w:val="005635CD"/>
    <w:rsid w:val="00563C81"/>
    <w:rsid w:val="0056459F"/>
    <w:rsid w:val="0056778E"/>
    <w:rsid w:val="0057165A"/>
    <w:rsid w:val="00573F9E"/>
    <w:rsid w:val="005760B3"/>
    <w:rsid w:val="005843F3"/>
    <w:rsid w:val="005843FE"/>
    <w:rsid w:val="00584ECF"/>
    <w:rsid w:val="0059057E"/>
    <w:rsid w:val="00594904"/>
    <w:rsid w:val="005953B6"/>
    <w:rsid w:val="005A1E89"/>
    <w:rsid w:val="005A3A2C"/>
    <w:rsid w:val="005B31C7"/>
    <w:rsid w:val="005B36BA"/>
    <w:rsid w:val="005B3873"/>
    <w:rsid w:val="005B5216"/>
    <w:rsid w:val="005C0266"/>
    <w:rsid w:val="005C1BAA"/>
    <w:rsid w:val="005C488D"/>
    <w:rsid w:val="005C7D9F"/>
    <w:rsid w:val="005D055B"/>
    <w:rsid w:val="005D0DC8"/>
    <w:rsid w:val="005D409E"/>
    <w:rsid w:val="005D4E8A"/>
    <w:rsid w:val="005E4D38"/>
    <w:rsid w:val="005E6473"/>
    <w:rsid w:val="005F0CB1"/>
    <w:rsid w:val="005F3FF0"/>
    <w:rsid w:val="005F6598"/>
    <w:rsid w:val="00600BC2"/>
    <w:rsid w:val="00604140"/>
    <w:rsid w:val="00604312"/>
    <w:rsid w:val="00604A72"/>
    <w:rsid w:val="00604C73"/>
    <w:rsid w:val="006058D6"/>
    <w:rsid w:val="00612A92"/>
    <w:rsid w:val="0063092F"/>
    <w:rsid w:val="00630EB3"/>
    <w:rsid w:val="00630FB4"/>
    <w:rsid w:val="00636CD2"/>
    <w:rsid w:val="00641814"/>
    <w:rsid w:val="0064197D"/>
    <w:rsid w:val="00642A12"/>
    <w:rsid w:val="0064321F"/>
    <w:rsid w:val="00644AAB"/>
    <w:rsid w:val="00644E2D"/>
    <w:rsid w:val="00646084"/>
    <w:rsid w:val="006475B3"/>
    <w:rsid w:val="00647838"/>
    <w:rsid w:val="00654407"/>
    <w:rsid w:val="00656456"/>
    <w:rsid w:val="006564BC"/>
    <w:rsid w:val="00657682"/>
    <w:rsid w:val="0066241B"/>
    <w:rsid w:val="006633C1"/>
    <w:rsid w:val="006641E1"/>
    <w:rsid w:val="00666315"/>
    <w:rsid w:val="00666EE4"/>
    <w:rsid w:val="00670233"/>
    <w:rsid w:val="00682AE7"/>
    <w:rsid w:val="0068318A"/>
    <w:rsid w:val="006836C7"/>
    <w:rsid w:val="00685434"/>
    <w:rsid w:val="00691725"/>
    <w:rsid w:val="00692227"/>
    <w:rsid w:val="00695EF7"/>
    <w:rsid w:val="006A1C25"/>
    <w:rsid w:val="006A22C6"/>
    <w:rsid w:val="006A5092"/>
    <w:rsid w:val="006A5352"/>
    <w:rsid w:val="006A79D8"/>
    <w:rsid w:val="006B1470"/>
    <w:rsid w:val="006B20EE"/>
    <w:rsid w:val="006B4BEE"/>
    <w:rsid w:val="006B55C0"/>
    <w:rsid w:val="006B627C"/>
    <w:rsid w:val="006B770F"/>
    <w:rsid w:val="006D066C"/>
    <w:rsid w:val="006D1CD9"/>
    <w:rsid w:val="006D1F9C"/>
    <w:rsid w:val="006D24C1"/>
    <w:rsid w:val="006D3DD0"/>
    <w:rsid w:val="006D4B44"/>
    <w:rsid w:val="006D4EB2"/>
    <w:rsid w:val="006D4F28"/>
    <w:rsid w:val="006D7913"/>
    <w:rsid w:val="006E1281"/>
    <w:rsid w:val="006E3411"/>
    <w:rsid w:val="006E4AAE"/>
    <w:rsid w:val="006E75F6"/>
    <w:rsid w:val="006F0856"/>
    <w:rsid w:val="006F1D1E"/>
    <w:rsid w:val="006F3CD6"/>
    <w:rsid w:val="0070223D"/>
    <w:rsid w:val="00703120"/>
    <w:rsid w:val="007047F3"/>
    <w:rsid w:val="00704CBF"/>
    <w:rsid w:val="007102E3"/>
    <w:rsid w:val="00710817"/>
    <w:rsid w:val="00711E0E"/>
    <w:rsid w:val="007136A0"/>
    <w:rsid w:val="00714FA3"/>
    <w:rsid w:val="00726C75"/>
    <w:rsid w:val="007334B5"/>
    <w:rsid w:val="00734566"/>
    <w:rsid w:val="00736BAB"/>
    <w:rsid w:val="0073730D"/>
    <w:rsid w:val="0074000E"/>
    <w:rsid w:val="007459FE"/>
    <w:rsid w:val="00750968"/>
    <w:rsid w:val="00751C29"/>
    <w:rsid w:val="00752426"/>
    <w:rsid w:val="00752A4E"/>
    <w:rsid w:val="007608F8"/>
    <w:rsid w:val="00762FF5"/>
    <w:rsid w:val="00763CCD"/>
    <w:rsid w:val="007720A6"/>
    <w:rsid w:val="007724B7"/>
    <w:rsid w:val="00773ACF"/>
    <w:rsid w:val="007740AF"/>
    <w:rsid w:val="00774A53"/>
    <w:rsid w:val="007755C1"/>
    <w:rsid w:val="0077763B"/>
    <w:rsid w:val="0078241F"/>
    <w:rsid w:val="00782FA9"/>
    <w:rsid w:val="00785724"/>
    <w:rsid w:val="00787E5A"/>
    <w:rsid w:val="00790490"/>
    <w:rsid w:val="007907E1"/>
    <w:rsid w:val="00795710"/>
    <w:rsid w:val="007965B5"/>
    <w:rsid w:val="007A0E67"/>
    <w:rsid w:val="007A1836"/>
    <w:rsid w:val="007A4A34"/>
    <w:rsid w:val="007A7E12"/>
    <w:rsid w:val="007B37E0"/>
    <w:rsid w:val="007B52E5"/>
    <w:rsid w:val="007B64ED"/>
    <w:rsid w:val="007B7291"/>
    <w:rsid w:val="007C0D12"/>
    <w:rsid w:val="007C11FB"/>
    <w:rsid w:val="007C3CEC"/>
    <w:rsid w:val="007C4F80"/>
    <w:rsid w:val="007C6421"/>
    <w:rsid w:val="007C66CC"/>
    <w:rsid w:val="007C6844"/>
    <w:rsid w:val="007C76FD"/>
    <w:rsid w:val="007C7FA3"/>
    <w:rsid w:val="007D1066"/>
    <w:rsid w:val="007D1487"/>
    <w:rsid w:val="007D29A7"/>
    <w:rsid w:val="007D3045"/>
    <w:rsid w:val="007D789E"/>
    <w:rsid w:val="007E540D"/>
    <w:rsid w:val="007E667A"/>
    <w:rsid w:val="007E7599"/>
    <w:rsid w:val="007F35CE"/>
    <w:rsid w:val="007F38CD"/>
    <w:rsid w:val="00800270"/>
    <w:rsid w:val="00803B13"/>
    <w:rsid w:val="0081203F"/>
    <w:rsid w:val="00813DD7"/>
    <w:rsid w:val="00814E10"/>
    <w:rsid w:val="008158D3"/>
    <w:rsid w:val="00820797"/>
    <w:rsid w:val="008208A7"/>
    <w:rsid w:val="008219C9"/>
    <w:rsid w:val="00826344"/>
    <w:rsid w:val="00836373"/>
    <w:rsid w:val="00837483"/>
    <w:rsid w:val="0084036F"/>
    <w:rsid w:val="00841836"/>
    <w:rsid w:val="00842FDC"/>
    <w:rsid w:val="00843242"/>
    <w:rsid w:val="008460D7"/>
    <w:rsid w:val="00865CEC"/>
    <w:rsid w:val="00874714"/>
    <w:rsid w:val="00874CBA"/>
    <w:rsid w:val="00877A5C"/>
    <w:rsid w:val="008826E9"/>
    <w:rsid w:val="00882BAD"/>
    <w:rsid w:val="0088665B"/>
    <w:rsid w:val="00890331"/>
    <w:rsid w:val="0089183D"/>
    <w:rsid w:val="00892F60"/>
    <w:rsid w:val="008934E5"/>
    <w:rsid w:val="00894B05"/>
    <w:rsid w:val="008957E2"/>
    <w:rsid w:val="00895EED"/>
    <w:rsid w:val="008963C1"/>
    <w:rsid w:val="008A329C"/>
    <w:rsid w:val="008A6806"/>
    <w:rsid w:val="008A7964"/>
    <w:rsid w:val="008B052C"/>
    <w:rsid w:val="008B14CE"/>
    <w:rsid w:val="008B271B"/>
    <w:rsid w:val="008B3CFE"/>
    <w:rsid w:val="008B4D14"/>
    <w:rsid w:val="008C1D9E"/>
    <w:rsid w:val="008C3084"/>
    <w:rsid w:val="008C339C"/>
    <w:rsid w:val="008C55B4"/>
    <w:rsid w:val="008C5C39"/>
    <w:rsid w:val="008C5C84"/>
    <w:rsid w:val="008C657E"/>
    <w:rsid w:val="008C66F7"/>
    <w:rsid w:val="008D2DB6"/>
    <w:rsid w:val="008D3982"/>
    <w:rsid w:val="008D6632"/>
    <w:rsid w:val="008E0C5B"/>
    <w:rsid w:val="008E4E93"/>
    <w:rsid w:val="008E5994"/>
    <w:rsid w:val="008E78B2"/>
    <w:rsid w:val="008F3349"/>
    <w:rsid w:val="008F58C5"/>
    <w:rsid w:val="008F7461"/>
    <w:rsid w:val="008F7801"/>
    <w:rsid w:val="00900FA8"/>
    <w:rsid w:val="00902750"/>
    <w:rsid w:val="009038DF"/>
    <w:rsid w:val="00906E89"/>
    <w:rsid w:val="00913717"/>
    <w:rsid w:val="00917DE0"/>
    <w:rsid w:val="00921F6A"/>
    <w:rsid w:val="009249EA"/>
    <w:rsid w:val="00927BE1"/>
    <w:rsid w:val="00936471"/>
    <w:rsid w:val="009371EB"/>
    <w:rsid w:val="00940816"/>
    <w:rsid w:val="00942D8C"/>
    <w:rsid w:val="00947336"/>
    <w:rsid w:val="0095238D"/>
    <w:rsid w:val="009528FD"/>
    <w:rsid w:val="00955135"/>
    <w:rsid w:val="00955CA6"/>
    <w:rsid w:val="009565B2"/>
    <w:rsid w:val="0095668A"/>
    <w:rsid w:val="009572C2"/>
    <w:rsid w:val="00957E1F"/>
    <w:rsid w:val="0096139B"/>
    <w:rsid w:val="00962440"/>
    <w:rsid w:val="009625A5"/>
    <w:rsid w:val="00963169"/>
    <w:rsid w:val="009636DF"/>
    <w:rsid w:val="00964EA7"/>
    <w:rsid w:val="00967A9C"/>
    <w:rsid w:val="00973243"/>
    <w:rsid w:val="00973695"/>
    <w:rsid w:val="0097613E"/>
    <w:rsid w:val="0097690A"/>
    <w:rsid w:val="009816B8"/>
    <w:rsid w:val="00990EC3"/>
    <w:rsid w:val="0099131E"/>
    <w:rsid w:val="00992F3A"/>
    <w:rsid w:val="00994022"/>
    <w:rsid w:val="00994A7D"/>
    <w:rsid w:val="009963FD"/>
    <w:rsid w:val="00997954"/>
    <w:rsid w:val="009A2848"/>
    <w:rsid w:val="009A4C6E"/>
    <w:rsid w:val="009A61BC"/>
    <w:rsid w:val="009B312B"/>
    <w:rsid w:val="009B40B4"/>
    <w:rsid w:val="009B5593"/>
    <w:rsid w:val="009B7777"/>
    <w:rsid w:val="009C0183"/>
    <w:rsid w:val="009C15D4"/>
    <w:rsid w:val="009C291D"/>
    <w:rsid w:val="009C7352"/>
    <w:rsid w:val="009D3A25"/>
    <w:rsid w:val="009E7F0F"/>
    <w:rsid w:val="009F277F"/>
    <w:rsid w:val="00A06851"/>
    <w:rsid w:val="00A148E0"/>
    <w:rsid w:val="00A14DC6"/>
    <w:rsid w:val="00A1552F"/>
    <w:rsid w:val="00A15F94"/>
    <w:rsid w:val="00A16F36"/>
    <w:rsid w:val="00A17315"/>
    <w:rsid w:val="00A20CA3"/>
    <w:rsid w:val="00A22B78"/>
    <w:rsid w:val="00A23984"/>
    <w:rsid w:val="00A24459"/>
    <w:rsid w:val="00A25A10"/>
    <w:rsid w:val="00A26BE9"/>
    <w:rsid w:val="00A27901"/>
    <w:rsid w:val="00A32BC9"/>
    <w:rsid w:val="00A32FB1"/>
    <w:rsid w:val="00A35A64"/>
    <w:rsid w:val="00A35AB6"/>
    <w:rsid w:val="00A40A13"/>
    <w:rsid w:val="00A41D2C"/>
    <w:rsid w:val="00A455F9"/>
    <w:rsid w:val="00A47ED4"/>
    <w:rsid w:val="00A526AB"/>
    <w:rsid w:val="00A52E16"/>
    <w:rsid w:val="00A53820"/>
    <w:rsid w:val="00A55065"/>
    <w:rsid w:val="00A61AA9"/>
    <w:rsid w:val="00A63068"/>
    <w:rsid w:val="00A65EED"/>
    <w:rsid w:val="00A66831"/>
    <w:rsid w:val="00A716E1"/>
    <w:rsid w:val="00A756EA"/>
    <w:rsid w:val="00A7614E"/>
    <w:rsid w:val="00A77E38"/>
    <w:rsid w:val="00A84832"/>
    <w:rsid w:val="00A857DD"/>
    <w:rsid w:val="00A864B5"/>
    <w:rsid w:val="00A907F2"/>
    <w:rsid w:val="00A9257A"/>
    <w:rsid w:val="00A94315"/>
    <w:rsid w:val="00A94AF8"/>
    <w:rsid w:val="00A957CD"/>
    <w:rsid w:val="00A959D2"/>
    <w:rsid w:val="00A978F1"/>
    <w:rsid w:val="00AA14A2"/>
    <w:rsid w:val="00AA1D8C"/>
    <w:rsid w:val="00AA2C39"/>
    <w:rsid w:val="00AA3932"/>
    <w:rsid w:val="00AA5DFB"/>
    <w:rsid w:val="00AA6581"/>
    <w:rsid w:val="00AA7184"/>
    <w:rsid w:val="00AA79B0"/>
    <w:rsid w:val="00AB6562"/>
    <w:rsid w:val="00AB6C07"/>
    <w:rsid w:val="00AB7F03"/>
    <w:rsid w:val="00AC0032"/>
    <w:rsid w:val="00AC62D5"/>
    <w:rsid w:val="00AC6B25"/>
    <w:rsid w:val="00AD215D"/>
    <w:rsid w:val="00AD2422"/>
    <w:rsid w:val="00AD31D7"/>
    <w:rsid w:val="00AD324B"/>
    <w:rsid w:val="00AE55D2"/>
    <w:rsid w:val="00AE6E9C"/>
    <w:rsid w:val="00AF2398"/>
    <w:rsid w:val="00AF4363"/>
    <w:rsid w:val="00AF6C9E"/>
    <w:rsid w:val="00AF7AEA"/>
    <w:rsid w:val="00B003C9"/>
    <w:rsid w:val="00B07603"/>
    <w:rsid w:val="00B11522"/>
    <w:rsid w:val="00B11C92"/>
    <w:rsid w:val="00B14FD3"/>
    <w:rsid w:val="00B155C5"/>
    <w:rsid w:val="00B206A7"/>
    <w:rsid w:val="00B21488"/>
    <w:rsid w:val="00B21C77"/>
    <w:rsid w:val="00B21F64"/>
    <w:rsid w:val="00B250AF"/>
    <w:rsid w:val="00B3089E"/>
    <w:rsid w:val="00B31948"/>
    <w:rsid w:val="00B338CA"/>
    <w:rsid w:val="00B34803"/>
    <w:rsid w:val="00B40231"/>
    <w:rsid w:val="00B432E8"/>
    <w:rsid w:val="00B44750"/>
    <w:rsid w:val="00B448D0"/>
    <w:rsid w:val="00B457ED"/>
    <w:rsid w:val="00B50488"/>
    <w:rsid w:val="00B5103E"/>
    <w:rsid w:val="00B5611F"/>
    <w:rsid w:val="00B605C3"/>
    <w:rsid w:val="00B62D3C"/>
    <w:rsid w:val="00B64371"/>
    <w:rsid w:val="00B70233"/>
    <w:rsid w:val="00B72D55"/>
    <w:rsid w:val="00B76265"/>
    <w:rsid w:val="00B80CED"/>
    <w:rsid w:val="00B80E8F"/>
    <w:rsid w:val="00B81C6E"/>
    <w:rsid w:val="00B831ED"/>
    <w:rsid w:val="00B83C87"/>
    <w:rsid w:val="00B92C25"/>
    <w:rsid w:val="00B946ED"/>
    <w:rsid w:val="00BA09BC"/>
    <w:rsid w:val="00BA1591"/>
    <w:rsid w:val="00BA2466"/>
    <w:rsid w:val="00BA3437"/>
    <w:rsid w:val="00BA3E50"/>
    <w:rsid w:val="00BA6B3C"/>
    <w:rsid w:val="00BA75AC"/>
    <w:rsid w:val="00BB1F46"/>
    <w:rsid w:val="00BB5BD8"/>
    <w:rsid w:val="00BC2633"/>
    <w:rsid w:val="00BC5551"/>
    <w:rsid w:val="00BC623C"/>
    <w:rsid w:val="00BC6C2F"/>
    <w:rsid w:val="00BD419D"/>
    <w:rsid w:val="00BD494E"/>
    <w:rsid w:val="00BD5746"/>
    <w:rsid w:val="00BE058E"/>
    <w:rsid w:val="00BE357A"/>
    <w:rsid w:val="00BE624F"/>
    <w:rsid w:val="00BE6584"/>
    <w:rsid w:val="00BF0442"/>
    <w:rsid w:val="00BF0D20"/>
    <w:rsid w:val="00BF1AE7"/>
    <w:rsid w:val="00BF327D"/>
    <w:rsid w:val="00BF3A34"/>
    <w:rsid w:val="00C00759"/>
    <w:rsid w:val="00C02448"/>
    <w:rsid w:val="00C056E0"/>
    <w:rsid w:val="00C07796"/>
    <w:rsid w:val="00C12A66"/>
    <w:rsid w:val="00C13559"/>
    <w:rsid w:val="00C1673D"/>
    <w:rsid w:val="00C22596"/>
    <w:rsid w:val="00C238FC"/>
    <w:rsid w:val="00C255AE"/>
    <w:rsid w:val="00C260D2"/>
    <w:rsid w:val="00C26E82"/>
    <w:rsid w:val="00C312D0"/>
    <w:rsid w:val="00C3213A"/>
    <w:rsid w:val="00C32D29"/>
    <w:rsid w:val="00C33F11"/>
    <w:rsid w:val="00C34576"/>
    <w:rsid w:val="00C408D9"/>
    <w:rsid w:val="00C441B2"/>
    <w:rsid w:val="00C45B3E"/>
    <w:rsid w:val="00C52EAD"/>
    <w:rsid w:val="00C53DC7"/>
    <w:rsid w:val="00C53ECA"/>
    <w:rsid w:val="00C578F1"/>
    <w:rsid w:val="00C65605"/>
    <w:rsid w:val="00C65B41"/>
    <w:rsid w:val="00C75E1E"/>
    <w:rsid w:val="00C7678F"/>
    <w:rsid w:val="00C77348"/>
    <w:rsid w:val="00C809E7"/>
    <w:rsid w:val="00C85239"/>
    <w:rsid w:val="00C86B12"/>
    <w:rsid w:val="00C920BF"/>
    <w:rsid w:val="00C9294D"/>
    <w:rsid w:val="00CA4E95"/>
    <w:rsid w:val="00CA5164"/>
    <w:rsid w:val="00CA6F65"/>
    <w:rsid w:val="00CA720D"/>
    <w:rsid w:val="00CB0FAA"/>
    <w:rsid w:val="00CB2D77"/>
    <w:rsid w:val="00CB5563"/>
    <w:rsid w:val="00CB6292"/>
    <w:rsid w:val="00CB739B"/>
    <w:rsid w:val="00CC2358"/>
    <w:rsid w:val="00CC3FA4"/>
    <w:rsid w:val="00CD0BAB"/>
    <w:rsid w:val="00CD1F86"/>
    <w:rsid w:val="00CD37C5"/>
    <w:rsid w:val="00CD6BA0"/>
    <w:rsid w:val="00CD6BC8"/>
    <w:rsid w:val="00CE0917"/>
    <w:rsid w:val="00CE2E8B"/>
    <w:rsid w:val="00CE3196"/>
    <w:rsid w:val="00CE4D88"/>
    <w:rsid w:val="00CE694B"/>
    <w:rsid w:val="00CE70D0"/>
    <w:rsid w:val="00CF1639"/>
    <w:rsid w:val="00CF1EAB"/>
    <w:rsid w:val="00CF2E0F"/>
    <w:rsid w:val="00CF3796"/>
    <w:rsid w:val="00CF4541"/>
    <w:rsid w:val="00CF4ECA"/>
    <w:rsid w:val="00D00677"/>
    <w:rsid w:val="00D012FF"/>
    <w:rsid w:val="00D033CD"/>
    <w:rsid w:val="00D03BF3"/>
    <w:rsid w:val="00D07093"/>
    <w:rsid w:val="00D07F87"/>
    <w:rsid w:val="00D109E3"/>
    <w:rsid w:val="00D1107A"/>
    <w:rsid w:val="00D23195"/>
    <w:rsid w:val="00D23C2F"/>
    <w:rsid w:val="00D25E02"/>
    <w:rsid w:val="00D313D5"/>
    <w:rsid w:val="00D322EE"/>
    <w:rsid w:val="00D33E57"/>
    <w:rsid w:val="00D34782"/>
    <w:rsid w:val="00D36F7E"/>
    <w:rsid w:val="00D376BD"/>
    <w:rsid w:val="00D404F0"/>
    <w:rsid w:val="00D44203"/>
    <w:rsid w:val="00D44D0F"/>
    <w:rsid w:val="00D46A5A"/>
    <w:rsid w:val="00D473C5"/>
    <w:rsid w:val="00D50DDA"/>
    <w:rsid w:val="00D513DF"/>
    <w:rsid w:val="00D5176A"/>
    <w:rsid w:val="00D5202F"/>
    <w:rsid w:val="00D529D6"/>
    <w:rsid w:val="00D573FB"/>
    <w:rsid w:val="00D60140"/>
    <w:rsid w:val="00D64E41"/>
    <w:rsid w:val="00D747EC"/>
    <w:rsid w:val="00D75CF5"/>
    <w:rsid w:val="00D75DAF"/>
    <w:rsid w:val="00D81F81"/>
    <w:rsid w:val="00D83C24"/>
    <w:rsid w:val="00D86010"/>
    <w:rsid w:val="00D86CD6"/>
    <w:rsid w:val="00D90B48"/>
    <w:rsid w:val="00D933F5"/>
    <w:rsid w:val="00D94E4C"/>
    <w:rsid w:val="00D97BF1"/>
    <w:rsid w:val="00DA326E"/>
    <w:rsid w:val="00DA3AE4"/>
    <w:rsid w:val="00DA52AC"/>
    <w:rsid w:val="00DA596D"/>
    <w:rsid w:val="00DA764F"/>
    <w:rsid w:val="00DB01BA"/>
    <w:rsid w:val="00DB27AF"/>
    <w:rsid w:val="00DB3352"/>
    <w:rsid w:val="00DB49BA"/>
    <w:rsid w:val="00DB7CB6"/>
    <w:rsid w:val="00DC01E0"/>
    <w:rsid w:val="00DC08A8"/>
    <w:rsid w:val="00DC1429"/>
    <w:rsid w:val="00DC3241"/>
    <w:rsid w:val="00DC59ED"/>
    <w:rsid w:val="00DC5E64"/>
    <w:rsid w:val="00DC6AD4"/>
    <w:rsid w:val="00DD3054"/>
    <w:rsid w:val="00DD4217"/>
    <w:rsid w:val="00DD5173"/>
    <w:rsid w:val="00DD7534"/>
    <w:rsid w:val="00DE09DF"/>
    <w:rsid w:val="00DE32A0"/>
    <w:rsid w:val="00DE59F6"/>
    <w:rsid w:val="00DE78C6"/>
    <w:rsid w:val="00E00754"/>
    <w:rsid w:val="00E01AE3"/>
    <w:rsid w:val="00E032A2"/>
    <w:rsid w:val="00E04A78"/>
    <w:rsid w:val="00E075A8"/>
    <w:rsid w:val="00E11644"/>
    <w:rsid w:val="00E14C65"/>
    <w:rsid w:val="00E156D3"/>
    <w:rsid w:val="00E1614F"/>
    <w:rsid w:val="00E16550"/>
    <w:rsid w:val="00E174FB"/>
    <w:rsid w:val="00E214EF"/>
    <w:rsid w:val="00E21A6E"/>
    <w:rsid w:val="00E2357E"/>
    <w:rsid w:val="00E252A2"/>
    <w:rsid w:val="00E31FAE"/>
    <w:rsid w:val="00E3340A"/>
    <w:rsid w:val="00E339E9"/>
    <w:rsid w:val="00E37A6F"/>
    <w:rsid w:val="00E44C94"/>
    <w:rsid w:val="00E47A2B"/>
    <w:rsid w:val="00E520A7"/>
    <w:rsid w:val="00E5305A"/>
    <w:rsid w:val="00E557CC"/>
    <w:rsid w:val="00E5586E"/>
    <w:rsid w:val="00E56F68"/>
    <w:rsid w:val="00E61B49"/>
    <w:rsid w:val="00E64C86"/>
    <w:rsid w:val="00E6521E"/>
    <w:rsid w:val="00E701A3"/>
    <w:rsid w:val="00E70DC8"/>
    <w:rsid w:val="00E74FCF"/>
    <w:rsid w:val="00E776DA"/>
    <w:rsid w:val="00E86641"/>
    <w:rsid w:val="00E86EBB"/>
    <w:rsid w:val="00E87BC2"/>
    <w:rsid w:val="00E90901"/>
    <w:rsid w:val="00E90EFC"/>
    <w:rsid w:val="00E9181C"/>
    <w:rsid w:val="00E91F6C"/>
    <w:rsid w:val="00E93B0E"/>
    <w:rsid w:val="00E95BFC"/>
    <w:rsid w:val="00E97D16"/>
    <w:rsid w:val="00EA1254"/>
    <w:rsid w:val="00EA1A83"/>
    <w:rsid w:val="00EA3095"/>
    <w:rsid w:val="00EA6B1F"/>
    <w:rsid w:val="00EA7DF9"/>
    <w:rsid w:val="00EB051C"/>
    <w:rsid w:val="00EB2904"/>
    <w:rsid w:val="00EB3EC8"/>
    <w:rsid w:val="00EB4463"/>
    <w:rsid w:val="00EC12F9"/>
    <w:rsid w:val="00EC57A0"/>
    <w:rsid w:val="00ED0888"/>
    <w:rsid w:val="00ED1416"/>
    <w:rsid w:val="00ED4F0F"/>
    <w:rsid w:val="00ED5196"/>
    <w:rsid w:val="00ED545F"/>
    <w:rsid w:val="00ED573E"/>
    <w:rsid w:val="00ED5FF9"/>
    <w:rsid w:val="00EE3F2D"/>
    <w:rsid w:val="00EE46B0"/>
    <w:rsid w:val="00EE5C88"/>
    <w:rsid w:val="00EF3C85"/>
    <w:rsid w:val="00EF4C4D"/>
    <w:rsid w:val="00EF5F54"/>
    <w:rsid w:val="00EF6108"/>
    <w:rsid w:val="00F00A72"/>
    <w:rsid w:val="00F00B7C"/>
    <w:rsid w:val="00F016FE"/>
    <w:rsid w:val="00F0343F"/>
    <w:rsid w:val="00F03A1C"/>
    <w:rsid w:val="00F1085E"/>
    <w:rsid w:val="00F12586"/>
    <w:rsid w:val="00F12F6E"/>
    <w:rsid w:val="00F13224"/>
    <w:rsid w:val="00F13415"/>
    <w:rsid w:val="00F137B1"/>
    <w:rsid w:val="00F13E43"/>
    <w:rsid w:val="00F13EAD"/>
    <w:rsid w:val="00F179B2"/>
    <w:rsid w:val="00F17A6D"/>
    <w:rsid w:val="00F20B61"/>
    <w:rsid w:val="00F20CC1"/>
    <w:rsid w:val="00F210B6"/>
    <w:rsid w:val="00F213C9"/>
    <w:rsid w:val="00F22D94"/>
    <w:rsid w:val="00F2465D"/>
    <w:rsid w:val="00F27540"/>
    <w:rsid w:val="00F27EF6"/>
    <w:rsid w:val="00F31F43"/>
    <w:rsid w:val="00F32495"/>
    <w:rsid w:val="00F33C9F"/>
    <w:rsid w:val="00F35A42"/>
    <w:rsid w:val="00F431A8"/>
    <w:rsid w:val="00F4331C"/>
    <w:rsid w:val="00F46BD6"/>
    <w:rsid w:val="00F509FE"/>
    <w:rsid w:val="00F51892"/>
    <w:rsid w:val="00F56BFC"/>
    <w:rsid w:val="00F57E02"/>
    <w:rsid w:val="00F60FDD"/>
    <w:rsid w:val="00F70EBB"/>
    <w:rsid w:val="00F71551"/>
    <w:rsid w:val="00F72D70"/>
    <w:rsid w:val="00F73A52"/>
    <w:rsid w:val="00F744F5"/>
    <w:rsid w:val="00F762EC"/>
    <w:rsid w:val="00F80DFF"/>
    <w:rsid w:val="00F829A2"/>
    <w:rsid w:val="00F86E5C"/>
    <w:rsid w:val="00F91583"/>
    <w:rsid w:val="00F92923"/>
    <w:rsid w:val="00FA4DD0"/>
    <w:rsid w:val="00FB0FDE"/>
    <w:rsid w:val="00FB1AA0"/>
    <w:rsid w:val="00FB2959"/>
    <w:rsid w:val="00FB7B51"/>
    <w:rsid w:val="00FC0B4B"/>
    <w:rsid w:val="00FC0CC3"/>
    <w:rsid w:val="00FC2D84"/>
    <w:rsid w:val="00FC32BA"/>
    <w:rsid w:val="00FC4A54"/>
    <w:rsid w:val="00FC5BD1"/>
    <w:rsid w:val="00FC662F"/>
    <w:rsid w:val="00FC6B0C"/>
    <w:rsid w:val="00FC7C1B"/>
    <w:rsid w:val="00FD0991"/>
    <w:rsid w:val="00FD1D37"/>
    <w:rsid w:val="00FD5E36"/>
    <w:rsid w:val="00FD7578"/>
    <w:rsid w:val="00FE0025"/>
    <w:rsid w:val="00FE1816"/>
    <w:rsid w:val="00FE2070"/>
    <w:rsid w:val="00FE40F8"/>
    <w:rsid w:val="00FE6577"/>
    <w:rsid w:val="00FF46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42E54"/>
  <w15:docId w15:val="{6AD91CD8-A681-4F46-A661-4A1A3AD79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Right">
    <w:name w:val="Style Right"/>
    <w:basedOn w:val="Parasts"/>
    <w:rsid w:val="004D15A9"/>
    <w:pPr>
      <w:spacing w:after="120" w:line="240" w:lineRule="auto"/>
      <w:ind w:firstLine="720"/>
      <w:jc w:val="right"/>
    </w:pPr>
    <w:rPr>
      <w:rFonts w:eastAsia="Times New Roman"/>
      <w:sz w:val="28"/>
      <w:szCs w:val="28"/>
    </w:rPr>
  </w:style>
  <w:style w:type="paragraph" w:styleId="Galvene">
    <w:name w:val="header"/>
    <w:basedOn w:val="Parasts"/>
    <w:link w:val="GalveneRakstz"/>
    <w:uiPriority w:val="99"/>
    <w:unhideWhenUsed/>
    <w:rsid w:val="004D15A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D15A9"/>
  </w:style>
  <w:style w:type="paragraph" w:styleId="Kjene">
    <w:name w:val="footer"/>
    <w:basedOn w:val="Parasts"/>
    <w:link w:val="KjeneRakstz"/>
    <w:uiPriority w:val="99"/>
    <w:unhideWhenUsed/>
    <w:rsid w:val="004D15A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D15A9"/>
  </w:style>
  <w:style w:type="paragraph" w:styleId="Balonteksts">
    <w:name w:val="Balloon Text"/>
    <w:basedOn w:val="Parasts"/>
    <w:link w:val="BalontekstsRakstz"/>
    <w:uiPriority w:val="99"/>
    <w:semiHidden/>
    <w:unhideWhenUsed/>
    <w:rsid w:val="003A2A0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A2A0B"/>
    <w:rPr>
      <w:rFonts w:ascii="Tahoma" w:hAnsi="Tahoma" w:cs="Tahoma"/>
      <w:sz w:val="16"/>
      <w:szCs w:val="16"/>
    </w:rPr>
  </w:style>
  <w:style w:type="paragraph" w:customStyle="1" w:styleId="labojumupamats1">
    <w:name w:val="labojumu_pamats1"/>
    <w:basedOn w:val="Parasts"/>
    <w:rsid w:val="00515CEE"/>
    <w:pPr>
      <w:spacing w:before="45" w:after="0" w:line="312" w:lineRule="auto"/>
      <w:ind w:firstLine="300"/>
    </w:pPr>
    <w:rPr>
      <w:rFonts w:eastAsia="Times New Roman"/>
      <w:i/>
      <w:iCs/>
      <w:color w:val="414142"/>
      <w:lang w:eastAsia="lv-LV"/>
    </w:rPr>
  </w:style>
  <w:style w:type="paragraph" w:customStyle="1" w:styleId="tvhtml1">
    <w:name w:val="tv_html1"/>
    <w:basedOn w:val="Parasts"/>
    <w:rsid w:val="00515CEE"/>
    <w:pPr>
      <w:spacing w:after="0" w:line="312" w:lineRule="auto"/>
      <w:ind w:firstLine="300"/>
    </w:pPr>
    <w:rPr>
      <w:rFonts w:eastAsia="Times New Roman"/>
      <w:color w:val="414142"/>
      <w:lang w:eastAsia="lv-LV"/>
    </w:rPr>
  </w:style>
  <w:style w:type="paragraph" w:styleId="Sarakstarindkopa">
    <w:name w:val="List Paragraph"/>
    <w:basedOn w:val="Parasts"/>
    <w:uiPriority w:val="34"/>
    <w:qFormat/>
    <w:rsid w:val="00AB6562"/>
    <w:pPr>
      <w:ind w:left="720"/>
      <w:contextualSpacing/>
    </w:pPr>
  </w:style>
  <w:style w:type="character" w:styleId="Hipersaite">
    <w:name w:val="Hyperlink"/>
    <w:basedOn w:val="Noklusjumarindkopasfonts"/>
    <w:uiPriority w:val="99"/>
    <w:unhideWhenUsed/>
    <w:rsid w:val="008E4E93"/>
    <w:rPr>
      <w:color w:val="0000FF" w:themeColor="hyperlink"/>
      <w:u w:val="single"/>
    </w:rPr>
  </w:style>
  <w:style w:type="character" w:styleId="Izmantotahipersaite">
    <w:name w:val="FollowedHyperlink"/>
    <w:basedOn w:val="Noklusjumarindkopasfonts"/>
    <w:uiPriority w:val="99"/>
    <w:semiHidden/>
    <w:unhideWhenUsed/>
    <w:rsid w:val="00BF3A34"/>
    <w:rPr>
      <w:color w:val="800080" w:themeColor="followedHyperlink"/>
      <w:u w:val="single"/>
    </w:rPr>
  </w:style>
  <w:style w:type="character" w:styleId="Komentraatsauce">
    <w:name w:val="annotation reference"/>
    <w:basedOn w:val="Noklusjumarindkopasfonts"/>
    <w:uiPriority w:val="99"/>
    <w:semiHidden/>
    <w:unhideWhenUsed/>
    <w:rsid w:val="008E78B2"/>
    <w:rPr>
      <w:sz w:val="16"/>
      <w:szCs w:val="16"/>
    </w:rPr>
  </w:style>
  <w:style w:type="paragraph" w:styleId="Komentrateksts">
    <w:name w:val="annotation text"/>
    <w:basedOn w:val="Parasts"/>
    <w:link w:val="KomentratekstsRakstz"/>
    <w:uiPriority w:val="99"/>
    <w:semiHidden/>
    <w:unhideWhenUsed/>
    <w:rsid w:val="008E78B2"/>
    <w:pPr>
      <w:spacing w:line="240" w:lineRule="auto"/>
    </w:pPr>
  </w:style>
  <w:style w:type="character" w:customStyle="1" w:styleId="KomentratekstsRakstz">
    <w:name w:val="Komentāra teksts Rakstz."/>
    <w:basedOn w:val="Noklusjumarindkopasfonts"/>
    <w:link w:val="Komentrateksts"/>
    <w:uiPriority w:val="99"/>
    <w:semiHidden/>
    <w:rsid w:val="008E78B2"/>
    <w:rPr>
      <w:sz w:val="20"/>
      <w:szCs w:val="20"/>
    </w:rPr>
  </w:style>
  <w:style w:type="paragraph" w:styleId="Komentratma">
    <w:name w:val="annotation subject"/>
    <w:basedOn w:val="Komentrateksts"/>
    <w:next w:val="Komentrateksts"/>
    <w:link w:val="KomentratmaRakstz"/>
    <w:uiPriority w:val="99"/>
    <w:semiHidden/>
    <w:unhideWhenUsed/>
    <w:rsid w:val="008E78B2"/>
    <w:rPr>
      <w:b/>
      <w:bCs/>
    </w:rPr>
  </w:style>
  <w:style w:type="character" w:customStyle="1" w:styleId="KomentratmaRakstz">
    <w:name w:val="Komentāra tēma Rakstz."/>
    <w:basedOn w:val="KomentratekstsRakstz"/>
    <w:link w:val="Komentratma"/>
    <w:uiPriority w:val="99"/>
    <w:semiHidden/>
    <w:rsid w:val="008E78B2"/>
    <w:rPr>
      <w:b/>
      <w:bCs/>
      <w:sz w:val="20"/>
      <w:szCs w:val="20"/>
    </w:rPr>
  </w:style>
  <w:style w:type="character" w:styleId="Neatrisintapieminana">
    <w:name w:val="Unresolved Mention"/>
    <w:basedOn w:val="Noklusjumarindkopasfonts"/>
    <w:uiPriority w:val="99"/>
    <w:semiHidden/>
    <w:unhideWhenUsed/>
    <w:rsid w:val="00C34576"/>
    <w:rPr>
      <w:color w:val="605E5C"/>
      <w:shd w:val="clear" w:color="auto" w:fill="E1DFDD"/>
    </w:rPr>
  </w:style>
  <w:style w:type="paragraph" w:styleId="Vresteksts">
    <w:name w:val="footnote text"/>
    <w:basedOn w:val="Parasts"/>
    <w:link w:val="VrestekstsRakstz"/>
    <w:uiPriority w:val="99"/>
    <w:semiHidden/>
    <w:unhideWhenUsed/>
    <w:rsid w:val="00D747EC"/>
    <w:pPr>
      <w:spacing w:after="0" w:line="240" w:lineRule="auto"/>
    </w:pPr>
  </w:style>
  <w:style w:type="character" w:customStyle="1" w:styleId="VrestekstsRakstz">
    <w:name w:val="Vēres teksts Rakstz."/>
    <w:basedOn w:val="Noklusjumarindkopasfonts"/>
    <w:link w:val="Vresteksts"/>
    <w:uiPriority w:val="99"/>
    <w:semiHidden/>
    <w:rsid w:val="00D747EC"/>
    <w:rPr>
      <w:sz w:val="20"/>
      <w:szCs w:val="20"/>
    </w:rPr>
  </w:style>
  <w:style w:type="character" w:styleId="Vresatsauce">
    <w:name w:val="footnote reference"/>
    <w:basedOn w:val="Noklusjumarindkopasfonts"/>
    <w:unhideWhenUsed/>
    <w:rsid w:val="00D747EC"/>
    <w:rPr>
      <w:vertAlign w:val="superscript"/>
    </w:rPr>
  </w:style>
  <w:style w:type="paragraph" w:customStyle="1" w:styleId="tv2132">
    <w:name w:val="tv2132"/>
    <w:basedOn w:val="Parasts"/>
    <w:rsid w:val="0066241B"/>
    <w:pPr>
      <w:spacing w:after="0" w:line="360" w:lineRule="auto"/>
      <w:ind w:firstLine="300"/>
    </w:pPr>
    <w:rPr>
      <w:rFonts w:eastAsia="Times New Roman"/>
      <w:color w:val="414142"/>
      <w:lang w:eastAsia="lv-LV"/>
    </w:rPr>
  </w:style>
  <w:style w:type="paragraph" w:customStyle="1" w:styleId="liknoteik1">
    <w:name w:val="lik_noteik1"/>
    <w:basedOn w:val="Parasts"/>
    <w:rsid w:val="002B00ED"/>
    <w:pPr>
      <w:spacing w:before="100" w:beforeAutospacing="1" w:after="100" w:afterAutospacing="1" w:line="360" w:lineRule="auto"/>
      <w:ind w:firstLine="300"/>
      <w:jc w:val="right"/>
    </w:pPr>
    <w:rPr>
      <w:rFonts w:eastAsia="Times New Roman"/>
      <w:b/>
      <w:bCs/>
      <w:color w:val="414142"/>
      <w:lang w:eastAsia="lv-LV"/>
    </w:rPr>
  </w:style>
  <w:style w:type="paragraph" w:customStyle="1" w:styleId="likdat1">
    <w:name w:val="lik_dat1"/>
    <w:basedOn w:val="Parasts"/>
    <w:rsid w:val="002B00ED"/>
    <w:pPr>
      <w:spacing w:before="100" w:beforeAutospacing="1" w:after="100" w:afterAutospacing="1" w:line="360" w:lineRule="auto"/>
      <w:ind w:firstLine="300"/>
      <w:jc w:val="right"/>
    </w:pPr>
    <w:rPr>
      <w:rFonts w:eastAsia="Times New Roman"/>
      <w:color w:val="41414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58718">
      <w:bodyDiv w:val="1"/>
      <w:marLeft w:val="0"/>
      <w:marRight w:val="0"/>
      <w:marTop w:val="0"/>
      <w:marBottom w:val="0"/>
      <w:divBdr>
        <w:top w:val="none" w:sz="0" w:space="0" w:color="auto"/>
        <w:left w:val="none" w:sz="0" w:space="0" w:color="auto"/>
        <w:bottom w:val="none" w:sz="0" w:space="0" w:color="auto"/>
        <w:right w:val="none" w:sz="0" w:space="0" w:color="auto"/>
      </w:divBdr>
    </w:div>
    <w:div w:id="344985411">
      <w:bodyDiv w:val="1"/>
      <w:marLeft w:val="0"/>
      <w:marRight w:val="0"/>
      <w:marTop w:val="0"/>
      <w:marBottom w:val="0"/>
      <w:divBdr>
        <w:top w:val="none" w:sz="0" w:space="0" w:color="auto"/>
        <w:left w:val="none" w:sz="0" w:space="0" w:color="auto"/>
        <w:bottom w:val="none" w:sz="0" w:space="0" w:color="auto"/>
        <w:right w:val="none" w:sz="0" w:space="0" w:color="auto"/>
      </w:divBdr>
      <w:divsChild>
        <w:div w:id="1329559614">
          <w:marLeft w:val="0"/>
          <w:marRight w:val="0"/>
          <w:marTop w:val="0"/>
          <w:marBottom w:val="0"/>
          <w:divBdr>
            <w:top w:val="none" w:sz="0" w:space="0" w:color="auto"/>
            <w:left w:val="none" w:sz="0" w:space="0" w:color="auto"/>
            <w:bottom w:val="none" w:sz="0" w:space="0" w:color="auto"/>
            <w:right w:val="none" w:sz="0" w:space="0" w:color="auto"/>
          </w:divBdr>
          <w:divsChild>
            <w:div w:id="945650905">
              <w:marLeft w:val="0"/>
              <w:marRight w:val="0"/>
              <w:marTop w:val="975"/>
              <w:marBottom w:val="0"/>
              <w:divBdr>
                <w:top w:val="none" w:sz="0" w:space="0" w:color="auto"/>
                <w:left w:val="none" w:sz="0" w:space="0" w:color="auto"/>
                <w:bottom w:val="none" w:sz="0" w:space="0" w:color="auto"/>
                <w:right w:val="none" w:sz="0" w:space="0" w:color="auto"/>
              </w:divBdr>
              <w:divsChild>
                <w:div w:id="57436629">
                  <w:marLeft w:val="0"/>
                  <w:marRight w:val="0"/>
                  <w:marTop w:val="0"/>
                  <w:marBottom w:val="0"/>
                  <w:divBdr>
                    <w:top w:val="none" w:sz="0" w:space="0" w:color="auto"/>
                    <w:left w:val="none" w:sz="0" w:space="0" w:color="auto"/>
                    <w:bottom w:val="none" w:sz="0" w:space="0" w:color="auto"/>
                    <w:right w:val="none" w:sz="0" w:space="0" w:color="auto"/>
                  </w:divBdr>
                  <w:divsChild>
                    <w:div w:id="1071998771">
                      <w:marLeft w:val="0"/>
                      <w:marRight w:val="0"/>
                      <w:marTop w:val="400"/>
                      <w:marBottom w:val="0"/>
                      <w:divBdr>
                        <w:top w:val="none" w:sz="0" w:space="0" w:color="auto"/>
                        <w:left w:val="none" w:sz="0" w:space="0" w:color="auto"/>
                        <w:bottom w:val="none" w:sz="0" w:space="0" w:color="auto"/>
                        <w:right w:val="none" w:sz="0" w:space="0" w:color="auto"/>
                      </w:divBdr>
                    </w:div>
                    <w:div w:id="58511366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441458654">
      <w:bodyDiv w:val="1"/>
      <w:marLeft w:val="0"/>
      <w:marRight w:val="0"/>
      <w:marTop w:val="0"/>
      <w:marBottom w:val="0"/>
      <w:divBdr>
        <w:top w:val="none" w:sz="0" w:space="0" w:color="auto"/>
        <w:left w:val="none" w:sz="0" w:space="0" w:color="auto"/>
        <w:bottom w:val="none" w:sz="0" w:space="0" w:color="auto"/>
        <w:right w:val="none" w:sz="0" w:space="0" w:color="auto"/>
      </w:divBdr>
      <w:divsChild>
        <w:div w:id="2111703465">
          <w:marLeft w:val="0"/>
          <w:marRight w:val="0"/>
          <w:marTop w:val="0"/>
          <w:marBottom w:val="0"/>
          <w:divBdr>
            <w:top w:val="none" w:sz="0" w:space="0" w:color="auto"/>
            <w:left w:val="none" w:sz="0" w:space="0" w:color="auto"/>
            <w:bottom w:val="none" w:sz="0" w:space="0" w:color="auto"/>
            <w:right w:val="none" w:sz="0" w:space="0" w:color="auto"/>
          </w:divBdr>
          <w:divsChild>
            <w:div w:id="1448086295">
              <w:marLeft w:val="0"/>
              <w:marRight w:val="0"/>
              <w:marTop w:val="0"/>
              <w:marBottom w:val="0"/>
              <w:divBdr>
                <w:top w:val="none" w:sz="0" w:space="0" w:color="auto"/>
                <w:left w:val="none" w:sz="0" w:space="0" w:color="auto"/>
                <w:bottom w:val="none" w:sz="0" w:space="0" w:color="auto"/>
                <w:right w:val="none" w:sz="0" w:space="0" w:color="auto"/>
              </w:divBdr>
              <w:divsChild>
                <w:div w:id="1910262835">
                  <w:marLeft w:val="0"/>
                  <w:marRight w:val="0"/>
                  <w:marTop w:val="0"/>
                  <w:marBottom w:val="0"/>
                  <w:divBdr>
                    <w:top w:val="none" w:sz="0" w:space="0" w:color="auto"/>
                    <w:left w:val="none" w:sz="0" w:space="0" w:color="auto"/>
                    <w:bottom w:val="none" w:sz="0" w:space="0" w:color="auto"/>
                    <w:right w:val="none" w:sz="0" w:space="0" w:color="auto"/>
                  </w:divBdr>
                  <w:divsChild>
                    <w:div w:id="764888649">
                      <w:marLeft w:val="0"/>
                      <w:marRight w:val="0"/>
                      <w:marTop w:val="0"/>
                      <w:marBottom w:val="0"/>
                      <w:divBdr>
                        <w:top w:val="none" w:sz="0" w:space="0" w:color="auto"/>
                        <w:left w:val="none" w:sz="0" w:space="0" w:color="auto"/>
                        <w:bottom w:val="none" w:sz="0" w:space="0" w:color="auto"/>
                        <w:right w:val="none" w:sz="0" w:space="0" w:color="auto"/>
                      </w:divBdr>
                      <w:divsChild>
                        <w:div w:id="1320690213">
                          <w:marLeft w:val="0"/>
                          <w:marRight w:val="0"/>
                          <w:marTop w:val="0"/>
                          <w:marBottom w:val="0"/>
                          <w:divBdr>
                            <w:top w:val="none" w:sz="0" w:space="0" w:color="auto"/>
                            <w:left w:val="none" w:sz="0" w:space="0" w:color="auto"/>
                            <w:bottom w:val="none" w:sz="0" w:space="0" w:color="auto"/>
                            <w:right w:val="none" w:sz="0" w:space="0" w:color="auto"/>
                          </w:divBdr>
                          <w:divsChild>
                            <w:div w:id="61934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514505">
      <w:bodyDiv w:val="1"/>
      <w:marLeft w:val="0"/>
      <w:marRight w:val="0"/>
      <w:marTop w:val="0"/>
      <w:marBottom w:val="0"/>
      <w:divBdr>
        <w:top w:val="none" w:sz="0" w:space="0" w:color="auto"/>
        <w:left w:val="none" w:sz="0" w:space="0" w:color="auto"/>
        <w:bottom w:val="none" w:sz="0" w:space="0" w:color="auto"/>
        <w:right w:val="none" w:sz="0" w:space="0" w:color="auto"/>
      </w:divBdr>
    </w:div>
    <w:div w:id="874732760">
      <w:bodyDiv w:val="1"/>
      <w:marLeft w:val="0"/>
      <w:marRight w:val="0"/>
      <w:marTop w:val="0"/>
      <w:marBottom w:val="0"/>
      <w:divBdr>
        <w:top w:val="none" w:sz="0" w:space="0" w:color="auto"/>
        <w:left w:val="none" w:sz="0" w:space="0" w:color="auto"/>
        <w:bottom w:val="none" w:sz="0" w:space="0" w:color="auto"/>
        <w:right w:val="none" w:sz="0" w:space="0" w:color="auto"/>
      </w:divBdr>
      <w:divsChild>
        <w:div w:id="1582333425">
          <w:marLeft w:val="0"/>
          <w:marRight w:val="0"/>
          <w:marTop w:val="0"/>
          <w:marBottom w:val="0"/>
          <w:divBdr>
            <w:top w:val="none" w:sz="0" w:space="0" w:color="auto"/>
            <w:left w:val="none" w:sz="0" w:space="0" w:color="auto"/>
            <w:bottom w:val="none" w:sz="0" w:space="0" w:color="auto"/>
            <w:right w:val="none" w:sz="0" w:space="0" w:color="auto"/>
          </w:divBdr>
          <w:divsChild>
            <w:div w:id="461045939">
              <w:marLeft w:val="0"/>
              <w:marRight w:val="0"/>
              <w:marTop w:val="0"/>
              <w:marBottom w:val="0"/>
              <w:divBdr>
                <w:top w:val="none" w:sz="0" w:space="0" w:color="auto"/>
                <w:left w:val="none" w:sz="0" w:space="0" w:color="auto"/>
                <w:bottom w:val="none" w:sz="0" w:space="0" w:color="auto"/>
                <w:right w:val="none" w:sz="0" w:space="0" w:color="auto"/>
              </w:divBdr>
              <w:divsChild>
                <w:div w:id="1774668656">
                  <w:marLeft w:val="0"/>
                  <w:marRight w:val="0"/>
                  <w:marTop w:val="0"/>
                  <w:marBottom w:val="0"/>
                  <w:divBdr>
                    <w:top w:val="none" w:sz="0" w:space="0" w:color="auto"/>
                    <w:left w:val="none" w:sz="0" w:space="0" w:color="auto"/>
                    <w:bottom w:val="none" w:sz="0" w:space="0" w:color="auto"/>
                    <w:right w:val="none" w:sz="0" w:space="0" w:color="auto"/>
                  </w:divBdr>
                  <w:divsChild>
                    <w:div w:id="1360543321">
                      <w:marLeft w:val="0"/>
                      <w:marRight w:val="0"/>
                      <w:marTop w:val="0"/>
                      <w:marBottom w:val="0"/>
                      <w:divBdr>
                        <w:top w:val="none" w:sz="0" w:space="0" w:color="auto"/>
                        <w:left w:val="none" w:sz="0" w:space="0" w:color="auto"/>
                        <w:bottom w:val="none" w:sz="0" w:space="0" w:color="auto"/>
                        <w:right w:val="none" w:sz="0" w:space="0" w:color="auto"/>
                      </w:divBdr>
                      <w:divsChild>
                        <w:div w:id="1142162902">
                          <w:marLeft w:val="0"/>
                          <w:marRight w:val="0"/>
                          <w:marTop w:val="0"/>
                          <w:marBottom w:val="0"/>
                          <w:divBdr>
                            <w:top w:val="none" w:sz="0" w:space="0" w:color="auto"/>
                            <w:left w:val="none" w:sz="0" w:space="0" w:color="auto"/>
                            <w:bottom w:val="none" w:sz="0" w:space="0" w:color="auto"/>
                            <w:right w:val="none" w:sz="0" w:space="0" w:color="auto"/>
                          </w:divBdr>
                          <w:divsChild>
                            <w:div w:id="74129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016846">
      <w:bodyDiv w:val="1"/>
      <w:marLeft w:val="0"/>
      <w:marRight w:val="0"/>
      <w:marTop w:val="0"/>
      <w:marBottom w:val="0"/>
      <w:divBdr>
        <w:top w:val="none" w:sz="0" w:space="0" w:color="auto"/>
        <w:left w:val="none" w:sz="0" w:space="0" w:color="auto"/>
        <w:bottom w:val="none" w:sz="0" w:space="0" w:color="auto"/>
        <w:right w:val="none" w:sz="0" w:space="0" w:color="auto"/>
      </w:divBdr>
      <w:divsChild>
        <w:div w:id="1194343106">
          <w:marLeft w:val="0"/>
          <w:marRight w:val="0"/>
          <w:marTop w:val="0"/>
          <w:marBottom w:val="0"/>
          <w:divBdr>
            <w:top w:val="none" w:sz="0" w:space="0" w:color="auto"/>
            <w:left w:val="none" w:sz="0" w:space="0" w:color="auto"/>
            <w:bottom w:val="none" w:sz="0" w:space="0" w:color="auto"/>
            <w:right w:val="none" w:sz="0" w:space="0" w:color="auto"/>
          </w:divBdr>
          <w:divsChild>
            <w:div w:id="137191452">
              <w:marLeft w:val="0"/>
              <w:marRight w:val="0"/>
              <w:marTop w:val="0"/>
              <w:marBottom w:val="0"/>
              <w:divBdr>
                <w:top w:val="none" w:sz="0" w:space="0" w:color="auto"/>
                <w:left w:val="none" w:sz="0" w:space="0" w:color="auto"/>
                <w:bottom w:val="none" w:sz="0" w:space="0" w:color="auto"/>
                <w:right w:val="none" w:sz="0" w:space="0" w:color="auto"/>
              </w:divBdr>
              <w:divsChild>
                <w:div w:id="647787124">
                  <w:marLeft w:val="0"/>
                  <w:marRight w:val="0"/>
                  <w:marTop w:val="0"/>
                  <w:marBottom w:val="0"/>
                  <w:divBdr>
                    <w:top w:val="none" w:sz="0" w:space="0" w:color="auto"/>
                    <w:left w:val="none" w:sz="0" w:space="0" w:color="auto"/>
                    <w:bottom w:val="none" w:sz="0" w:space="0" w:color="auto"/>
                    <w:right w:val="none" w:sz="0" w:space="0" w:color="auto"/>
                  </w:divBdr>
                  <w:divsChild>
                    <w:div w:id="1975060064">
                      <w:marLeft w:val="0"/>
                      <w:marRight w:val="0"/>
                      <w:marTop w:val="0"/>
                      <w:marBottom w:val="0"/>
                      <w:divBdr>
                        <w:top w:val="none" w:sz="0" w:space="0" w:color="auto"/>
                        <w:left w:val="none" w:sz="0" w:space="0" w:color="auto"/>
                        <w:bottom w:val="none" w:sz="0" w:space="0" w:color="auto"/>
                        <w:right w:val="none" w:sz="0" w:space="0" w:color="auto"/>
                      </w:divBdr>
                      <w:divsChild>
                        <w:div w:id="1406495819">
                          <w:marLeft w:val="0"/>
                          <w:marRight w:val="0"/>
                          <w:marTop w:val="15"/>
                          <w:marBottom w:val="0"/>
                          <w:divBdr>
                            <w:top w:val="none" w:sz="0" w:space="0" w:color="auto"/>
                            <w:left w:val="none" w:sz="0" w:space="0" w:color="auto"/>
                            <w:bottom w:val="none" w:sz="0" w:space="0" w:color="auto"/>
                            <w:right w:val="none" w:sz="0" w:space="0" w:color="auto"/>
                          </w:divBdr>
                          <w:divsChild>
                            <w:div w:id="1619409356">
                              <w:marLeft w:val="0"/>
                              <w:marRight w:val="0"/>
                              <w:marTop w:val="0"/>
                              <w:marBottom w:val="0"/>
                              <w:divBdr>
                                <w:top w:val="none" w:sz="0" w:space="0" w:color="auto"/>
                                <w:left w:val="none" w:sz="0" w:space="0" w:color="auto"/>
                                <w:bottom w:val="none" w:sz="0" w:space="0" w:color="auto"/>
                                <w:right w:val="none" w:sz="0" w:space="0" w:color="auto"/>
                              </w:divBdr>
                            </w:div>
                          </w:divsChild>
                        </w:div>
                        <w:div w:id="2134051250">
                          <w:marLeft w:val="0"/>
                          <w:marRight w:val="0"/>
                          <w:marTop w:val="15"/>
                          <w:marBottom w:val="0"/>
                          <w:divBdr>
                            <w:top w:val="none" w:sz="0" w:space="0" w:color="auto"/>
                            <w:left w:val="none" w:sz="0" w:space="0" w:color="auto"/>
                            <w:bottom w:val="none" w:sz="0" w:space="0" w:color="auto"/>
                            <w:right w:val="none" w:sz="0" w:space="0" w:color="auto"/>
                          </w:divBdr>
                          <w:divsChild>
                            <w:div w:id="6528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480621">
      <w:bodyDiv w:val="1"/>
      <w:marLeft w:val="0"/>
      <w:marRight w:val="0"/>
      <w:marTop w:val="0"/>
      <w:marBottom w:val="0"/>
      <w:divBdr>
        <w:top w:val="none" w:sz="0" w:space="0" w:color="auto"/>
        <w:left w:val="none" w:sz="0" w:space="0" w:color="auto"/>
        <w:bottom w:val="none" w:sz="0" w:space="0" w:color="auto"/>
        <w:right w:val="none" w:sz="0" w:space="0" w:color="auto"/>
      </w:divBdr>
      <w:divsChild>
        <w:div w:id="1102408644">
          <w:marLeft w:val="0"/>
          <w:marRight w:val="0"/>
          <w:marTop w:val="0"/>
          <w:marBottom w:val="0"/>
          <w:divBdr>
            <w:top w:val="none" w:sz="0" w:space="0" w:color="auto"/>
            <w:left w:val="none" w:sz="0" w:space="0" w:color="auto"/>
            <w:bottom w:val="none" w:sz="0" w:space="0" w:color="auto"/>
            <w:right w:val="none" w:sz="0" w:space="0" w:color="auto"/>
          </w:divBdr>
          <w:divsChild>
            <w:div w:id="746608024">
              <w:marLeft w:val="0"/>
              <w:marRight w:val="0"/>
              <w:marTop w:val="0"/>
              <w:marBottom w:val="0"/>
              <w:divBdr>
                <w:top w:val="none" w:sz="0" w:space="0" w:color="auto"/>
                <w:left w:val="none" w:sz="0" w:space="0" w:color="auto"/>
                <w:bottom w:val="none" w:sz="0" w:space="0" w:color="auto"/>
                <w:right w:val="none" w:sz="0" w:space="0" w:color="auto"/>
              </w:divBdr>
              <w:divsChild>
                <w:div w:id="1478183205">
                  <w:marLeft w:val="0"/>
                  <w:marRight w:val="0"/>
                  <w:marTop w:val="0"/>
                  <w:marBottom w:val="0"/>
                  <w:divBdr>
                    <w:top w:val="none" w:sz="0" w:space="0" w:color="auto"/>
                    <w:left w:val="none" w:sz="0" w:space="0" w:color="auto"/>
                    <w:bottom w:val="none" w:sz="0" w:space="0" w:color="auto"/>
                    <w:right w:val="none" w:sz="0" w:space="0" w:color="auto"/>
                  </w:divBdr>
                  <w:divsChild>
                    <w:div w:id="558444299">
                      <w:marLeft w:val="0"/>
                      <w:marRight w:val="0"/>
                      <w:marTop w:val="0"/>
                      <w:marBottom w:val="0"/>
                      <w:divBdr>
                        <w:top w:val="none" w:sz="0" w:space="0" w:color="auto"/>
                        <w:left w:val="none" w:sz="0" w:space="0" w:color="auto"/>
                        <w:bottom w:val="none" w:sz="0" w:space="0" w:color="auto"/>
                        <w:right w:val="none" w:sz="0" w:space="0" w:color="auto"/>
                      </w:divBdr>
                      <w:divsChild>
                        <w:div w:id="1089541216">
                          <w:marLeft w:val="0"/>
                          <w:marRight w:val="0"/>
                          <w:marTop w:val="15"/>
                          <w:marBottom w:val="0"/>
                          <w:divBdr>
                            <w:top w:val="none" w:sz="0" w:space="0" w:color="auto"/>
                            <w:left w:val="none" w:sz="0" w:space="0" w:color="auto"/>
                            <w:bottom w:val="none" w:sz="0" w:space="0" w:color="auto"/>
                            <w:right w:val="none" w:sz="0" w:space="0" w:color="auto"/>
                          </w:divBdr>
                          <w:divsChild>
                            <w:div w:id="1659771007">
                              <w:marLeft w:val="0"/>
                              <w:marRight w:val="0"/>
                              <w:marTop w:val="0"/>
                              <w:marBottom w:val="0"/>
                              <w:divBdr>
                                <w:top w:val="none" w:sz="0" w:space="0" w:color="auto"/>
                                <w:left w:val="none" w:sz="0" w:space="0" w:color="auto"/>
                                <w:bottom w:val="none" w:sz="0" w:space="0" w:color="auto"/>
                                <w:right w:val="none" w:sz="0" w:space="0" w:color="auto"/>
                              </w:divBdr>
                            </w:div>
                          </w:divsChild>
                        </w:div>
                        <w:div w:id="1866824944">
                          <w:marLeft w:val="0"/>
                          <w:marRight w:val="0"/>
                          <w:marTop w:val="15"/>
                          <w:marBottom w:val="0"/>
                          <w:divBdr>
                            <w:top w:val="none" w:sz="0" w:space="0" w:color="auto"/>
                            <w:left w:val="none" w:sz="0" w:space="0" w:color="auto"/>
                            <w:bottom w:val="none" w:sz="0" w:space="0" w:color="auto"/>
                            <w:right w:val="none" w:sz="0" w:space="0" w:color="auto"/>
                          </w:divBdr>
                          <w:divsChild>
                            <w:div w:id="9135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043730">
      <w:bodyDiv w:val="1"/>
      <w:marLeft w:val="0"/>
      <w:marRight w:val="0"/>
      <w:marTop w:val="0"/>
      <w:marBottom w:val="0"/>
      <w:divBdr>
        <w:top w:val="none" w:sz="0" w:space="0" w:color="auto"/>
        <w:left w:val="none" w:sz="0" w:space="0" w:color="auto"/>
        <w:bottom w:val="none" w:sz="0" w:space="0" w:color="auto"/>
        <w:right w:val="none" w:sz="0" w:space="0" w:color="auto"/>
      </w:divBdr>
      <w:divsChild>
        <w:div w:id="437262060">
          <w:marLeft w:val="0"/>
          <w:marRight w:val="0"/>
          <w:marTop w:val="0"/>
          <w:marBottom w:val="0"/>
          <w:divBdr>
            <w:top w:val="none" w:sz="0" w:space="0" w:color="auto"/>
            <w:left w:val="none" w:sz="0" w:space="0" w:color="auto"/>
            <w:bottom w:val="none" w:sz="0" w:space="0" w:color="auto"/>
            <w:right w:val="none" w:sz="0" w:space="0" w:color="auto"/>
          </w:divBdr>
          <w:divsChild>
            <w:div w:id="1930430945">
              <w:marLeft w:val="0"/>
              <w:marRight w:val="0"/>
              <w:marTop w:val="0"/>
              <w:marBottom w:val="0"/>
              <w:divBdr>
                <w:top w:val="none" w:sz="0" w:space="0" w:color="auto"/>
                <w:left w:val="none" w:sz="0" w:space="0" w:color="auto"/>
                <w:bottom w:val="none" w:sz="0" w:space="0" w:color="auto"/>
                <w:right w:val="none" w:sz="0" w:space="0" w:color="auto"/>
              </w:divBdr>
              <w:divsChild>
                <w:div w:id="1142650961">
                  <w:marLeft w:val="0"/>
                  <w:marRight w:val="0"/>
                  <w:marTop w:val="0"/>
                  <w:marBottom w:val="0"/>
                  <w:divBdr>
                    <w:top w:val="none" w:sz="0" w:space="0" w:color="auto"/>
                    <w:left w:val="none" w:sz="0" w:space="0" w:color="auto"/>
                    <w:bottom w:val="none" w:sz="0" w:space="0" w:color="auto"/>
                    <w:right w:val="none" w:sz="0" w:space="0" w:color="auto"/>
                  </w:divBdr>
                  <w:divsChild>
                    <w:div w:id="1887256515">
                      <w:marLeft w:val="0"/>
                      <w:marRight w:val="0"/>
                      <w:marTop w:val="0"/>
                      <w:marBottom w:val="0"/>
                      <w:divBdr>
                        <w:top w:val="none" w:sz="0" w:space="0" w:color="auto"/>
                        <w:left w:val="none" w:sz="0" w:space="0" w:color="auto"/>
                        <w:bottom w:val="none" w:sz="0" w:space="0" w:color="auto"/>
                        <w:right w:val="none" w:sz="0" w:space="0" w:color="auto"/>
                      </w:divBdr>
                      <w:divsChild>
                        <w:div w:id="665863153">
                          <w:marLeft w:val="0"/>
                          <w:marRight w:val="0"/>
                          <w:marTop w:val="0"/>
                          <w:marBottom w:val="0"/>
                          <w:divBdr>
                            <w:top w:val="none" w:sz="0" w:space="0" w:color="auto"/>
                            <w:left w:val="none" w:sz="0" w:space="0" w:color="auto"/>
                            <w:bottom w:val="none" w:sz="0" w:space="0" w:color="auto"/>
                            <w:right w:val="none" w:sz="0" w:space="0" w:color="auto"/>
                          </w:divBdr>
                          <w:divsChild>
                            <w:div w:id="5894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509831">
      <w:bodyDiv w:val="1"/>
      <w:marLeft w:val="0"/>
      <w:marRight w:val="0"/>
      <w:marTop w:val="0"/>
      <w:marBottom w:val="0"/>
      <w:divBdr>
        <w:top w:val="none" w:sz="0" w:space="0" w:color="auto"/>
        <w:left w:val="none" w:sz="0" w:space="0" w:color="auto"/>
        <w:bottom w:val="none" w:sz="0" w:space="0" w:color="auto"/>
        <w:right w:val="none" w:sz="0" w:space="0" w:color="auto"/>
      </w:divBdr>
      <w:divsChild>
        <w:div w:id="1079401661">
          <w:marLeft w:val="0"/>
          <w:marRight w:val="0"/>
          <w:marTop w:val="0"/>
          <w:marBottom w:val="0"/>
          <w:divBdr>
            <w:top w:val="none" w:sz="0" w:space="0" w:color="auto"/>
            <w:left w:val="none" w:sz="0" w:space="0" w:color="auto"/>
            <w:bottom w:val="none" w:sz="0" w:space="0" w:color="auto"/>
            <w:right w:val="none" w:sz="0" w:space="0" w:color="auto"/>
          </w:divBdr>
          <w:divsChild>
            <w:div w:id="1947538051">
              <w:marLeft w:val="0"/>
              <w:marRight w:val="0"/>
              <w:marTop w:val="0"/>
              <w:marBottom w:val="0"/>
              <w:divBdr>
                <w:top w:val="none" w:sz="0" w:space="0" w:color="auto"/>
                <w:left w:val="none" w:sz="0" w:space="0" w:color="auto"/>
                <w:bottom w:val="none" w:sz="0" w:space="0" w:color="auto"/>
                <w:right w:val="none" w:sz="0" w:space="0" w:color="auto"/>
              </w:divBdr>
              <w:divsChild>
                <w:div w:id="1349023985">
                  <w:marLeft w:val="0"/>
                  <w:marRight w:val="0"/>
                  <w:marTop w:val="0"/>
                  <w:marBottom w:val="0"/>
                  <w:divBdr>
                    <w:top w:val="none" w:sz="0" w:space="0" w:color="auto"/>
                    <w:left w:val="none" w:sz="0" w:space="0" w:color="auto"/>
                    <w:bottom w:val="none" w:sz="0" w:space="0" w:color="auto"/>
                    <w:right w:val="none" w:sz="0" w:space="0" w:color="auto"/>
                  </w:divBdr>
                  <w:divsChild>
                    <w:div w:id="1317418724">
                      <w:marLeft w:val="0"/>
                      <w:marRight w:val="0"/>
                      <w:marTop w:val="0"/>
                      <w:marBottom w:val="0"/>
                      <w:divBdr>
                        <w:top w:val="none" w:sz="0" w:space="0" w:color="auto"/>
                        <w:left w:val="none" w:sz="0" w:space="0" w:color="auto"/>
                        <w:bottom w:val="none" w:sz="0" w:space="0" w:color="auto"/>
                        <w:right w:val="none" w:sz="0" w:space="0" w:color="auto"/>
                      </w:divBdr>
                      <w:divsChild>
                        <w:div w:id="301077014">
                          <w:marLeft w:val="0"/>
                          <w:marRight w:val="0"/>
                          <w:marTop w:val="0"/>
                          <w:marBottom w:val="0"/>
                          <w:divBdr>
                            <w:top w:val="none" w:sz="0" w:space="0" w:color="auto"/>
                            <w:left w:val="none" w:sz="0" w:space="0" w:color="auto"/>
                            <w:bottom w:val="none" w:sz="0" w:space="0" w:color="auto"/>
                            <w:right w:val="none" w:sz="0" w:space="0" w:color="auto"/>
                          </w:divBdr>
                          <w:divsChild>
                            <w:div w:id="1949852942">
                              <w:marLeft w:val="0"/>
                              <w:marRight w:val="0"/>
                              <w:marTop w:val="0"/>
                              <w:marBottom w:val="0"/>
                              <w:divBdr>
                                <w:top w:val="none" w:sz="0" w:space="0" w:color="auto"/>
                                <w:left w:val="none" w:sz="0" w:space="0" w:color="auto"/>
                                <w:bottom w:val="none" w:sz="0" w:space="0" w:color="auto"/>
                                <w:right w:val="none" w:sz="0" w:space="0" w:color="auto"/>
                              </w:divBdr>
                              <w:divsChild>
                                <w:div w:id="1945645239">
                                  <w:marLeft w:val="0"/>
                                  <w:marRight w:val="0"/>
                                  <w:marTop w:val="0"/>
                                  <w:marBottom w:val="0"/>
                                  <w:divBdr>
                                    <w:top w:val="none" w:sz="0" w:space="0" w:color="auto"/>
                                    <w:left w:val="none" w:sz="0" w:space="0" w:color="auto"/>
                                    <w:bottom w:val="none" w:sz="0" w:space="0" w:color="auto"/>
                                    <w:right w:val="none" w:sz="0" w:space="0" w:color="auto"/>
                                  </w:divBdr>
                                </w:div>
                                <w:div w:id="348609679">
                                  <w:marLeft w:val="0"/>
                                  <w:marRight w:val="0"/>
                                  <w:marTop w:val="0"/>
                                  <w:marBottom w:val="0"/>
                                  <w:divBdr>
                                    <w:top w:val="none" w:sz="0" w:space="0" w:color="auto"/>
                                    <w:left w:val="none" w:sz="0" w:space="0" w:color="auto"/>
                                    <w:bottom w:val="none" w:sz="0" w:space="0" w:color="auto"/>
                                    <w:right w:val="none" w:sz="0" w:space="0" w:color="auto"/>
                                  </w:divBdr>
                                  <w:divsChild>
                                    <w:div w:id="1328902316">
                                      <w:marLeft w:val="0"/>
                                      <w:marRight w:val="0"/>
                                      <w:marTop w:val="0"/>
                                      <w:marBottom w:val="0"/>
                                      <w:divBdr>
                                        <w:top w:val="none" w:sz="0" w:space="0" w:color="auto"/>
                                        <w:left w:val="none" w:sz="0" w:space="0" w:color="auto"/>
                                        <w:bottom w:val="none" w:sz="0" w:space="0" w:color="auto"/>
                                        <w:right w:val="none" w:sz="0" w:space="0" w:color="auto"/>
                                      </w:divBdr>
                                      <w:divsChild>
                                        <w:div w:id="1901748992">
                                          <w:marLeft w:val="0"/>
                                          <w:marRight w:val="0"/>
                                          <w:marTop w:val="0"/>
                                          <w:marBottom w:val="0"/>
                                          <w:divBdr>
                                            <w:top w:val="none" w:sz="0" w:space="0" w:color="auto"/>
                                            <w:left w:val="none" w:sz="0" w:space="0" w:color="auto"/>
                                            <w:bottom w:val="none" w:sz="0" w:space="0" w:color="auto"/>
                                            <w:right w:val="none" w:sz="0" w:space="0" w:color="auto"/>
                                          </w:divBdr>
                                        </w:div>
                                        <w:div w:id="51946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2957114">
      <w:bodyDiv w:val="1"/>
      <w:marLeft w:val="0"/>
      <w:marRight w:val="0"/>
      <w:marTop w:val="0"/>
      <w:marBottom w:val="0"/>
      <w:divBdr>
        <w:top w:val="none" w:sz="0" w:space="0" w:color="auto"/>
        <w:left w:val="none" w:sz="0" w:space="0" w:color="auto"/>
        <w:bottom w:val="none" w:sz="0" w:space="0" w:color="auto"/>
        <w:right w:val="none" w:sz="0" w:space="0" w:color="auto"/>
      </w:divBdr>
    </w:div>
    <w:div w:id="1940289544">
      <w:bodyDiv w:val="1"/>
      <w:marLeft w:val="0"/>
      <w:marRight w:val="0"/>
      <w:marTop w:val="0"/>
      <w:marBottom w:val="0"/>
      <w:divBdr>
        <w:top w:val="none" w:sz="0" w:space="0" w:color="auto"/>
        <w:left w:val="none" w:sz="0" w:space="0" w:color="auto"/>
        <w:bottom w:val="none" w:sz="0" w:space="0" w:color="auto"/>
        <w:right w:val="none" w:sz="0" w:space="0" w:color="auto"/>
      </w:divBdr>
    </w:div>
    <w:div w:id="2081904157">
      <w:bodyDiv w:val="1"/>
      <w:marLeft w:val="0"/>
      <w:marRight w:val="0"/>
      <w:marTop w:val="0"/>
      <w:marBottom w:val="0"/>
      <w:divBdr>
        <w:top w:val="none" w:sz="0" w:space="0" w:color="auto"/>
        <w:left w:val="none" w:sz="0" w:space="0" w:color="auto"/>
        <w:bottom w:val="none" w:sz="0" w:space="0" w:color="auto"/>
        <w:right w:val="none" w:sz="0" w:space="0" w:color="auto"/>
      </w:divBdr>
    </w:div>
    <w:div w:id="2127235346">
      <w:bodyDiv w:val="1"/>
      <w:marLeft w:val="0"/>
      <w:marRight w:val="0"/>
      <w:marTop w:val="0"/>
      <w:marBottom w:val="0"/>
      <w:divBdr>
        <w:top w:val="none" w:sz="0" w:space="0" w:color="auto"/>
        <w:left w:val="none" w:sz="0" w:space="0" w:color="auto"/>
        <w:bottom w:val="none" w:sz="0" w:space="0" w:color="auto"/>
        <w:right w:val="none" w:sz="0" w:space="0" w:color="auto"/>
      </w:divBdr>
      <w:divsChild>
        <w:div w:id="1369258245">
          <w:marLeft w:val="0"/>
          <w:marRight w:val="0"/>
          <w:marTop w:val="0"/>
          <w:marBottom w:val="0"/>
          <w:divBdr>
            <w:top w:val="none" w:sz="0" w:space="0" w:color="auto"/>
            <w:left w:val="none" w:sz="0" w:space="0" w:color="auto"/>
            <w:bottom w:val="none" w:sz="0" w:space="0" w:color="auto"/>
            <w:right w:val="none" w:sz="0" w:space="0" w:color="auto"/>
          </w:divBdr>
          <w:divsChild>
            <w:div w:id="1546916133">
              <w:marLeft w:val="0"/>
              <w:marRight w:val="0"/>
              <w:marTop w:val="0"/>
              <w:marBottom w:val="0"/>
              <w:divBdr>
                <w:top w:val="none" w:sz="0" w:space="0" w:color="auto"/>
                <w:left w:val="none" w:sz="0" w:space="0" w:color="auto"/>
                <w:bottom w:val="none" w:sz="0" w:space="0" w:color="auto"/>
                <w:right w:val="none" w:sz="0" w:space="0" w:color="auto"/>
              </w:divBdr>
              <w:divsChild>
                <w:div w:id="2006744272">
                  <w:marLeft w:val="0"/>
                  <w:marRight w:val="0"/>
                  <w:marTop w:val="0"/>
                  <w:marBottom w:val="0"/>
                  <w:divBdr>
                    <w:top w:val="none" w:sz="0" w:space="0" w:color="auto"/>
                    <w:left w:val="none" w:sz="0" w:space="0" w:color="auto"/>
                    <w:bottom w:val="none" w:sz="0" w:space="0" w:color="auto"/>
                    <w:right w:val="none" w:sz="0" w:space="0" w:color="auto"/>
                  </w:divBdr>
                  <w:divsChild>
                    <w:div w:id="1171069456">
                      <w:marLeft w:val="0"/>
                      <w:marRight w:val="0"/>
                      <w:marTop w:val="0"/>
                      <w:marBottom w:val="0"/>
                      <w:divBdr>
                        <w:top w:val="none" w:sz="0" w:space="0" w:color="auto"/>
                        <w:left w:val="none" w:sz="0" w:space="0" w:color="auto"/>
                        <w:bottom w:val="none" w:sz="0" w:space="0" w:color="auto"/>
                        <w:right w:val="none" w:sz="0" w:space="0" w:color="auto"/>
                      </w:divBdr>
                      <w:divsChild>
                        <w:div w:id="121927622">
                          <w:marLeft w:val="0"/>
                          <w:marRight w:val="0"/>
                          <w:marTop w:val="0"/>
                          <w:marBottom w:val="0"/>
                          <w:divBdr>
                            <w:top w:val="none" w:sz="0" w:space="0" w:color="auto"/>
                            <w:left w:val="none" w:sz="0" w:space="0" w:color="auto"/>
                            <w:bottom w:val="none" w:sz="0" w:space="0" w:color="auto"/>
                            <w:right w:val="none" w:sz="0" w:space="0" w:color="auto"/>
                          </w:divBdr>
                          <w:divsChild>
                            <w:div w:id="72091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stnesis.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ristine.Alberinga@tm.gov.lv" TargetMode="External"/><Relationship Id="rId4" Type="http://schemas.openxmlformats.org/officeDocument/2006/relationships/settings" Target="settings.xml"/><Relationship Id="rId9" Type="http://schemas.openxmlformats.org/officeDocument/2006/relationships/hyperlink" Target="http://www.likumi.l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titania.saeima.lv/LIVS13/saeimalivs13.nsf/0/D5558B479928A713C225868E002EAAD0?OpenDocument"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F0EF0-F927-442F-B167-106FDA5AF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11242</Words>
  <Characters>6409</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Ministru kabineta noteikumu projekta "Grozījumi Ministru kabineta 2009. gada 27. oktobra noteikumos Nr. 1250 "Noteikumi par valsts nodevu par īpašuma tiesību un ķīlas tiesību nostiprināšanu zemesgrāmatā"" sākotnējās ietekmes novērtējuma ziņojums (anotācij</vt:lpstr>
      <vt:lpstr>Likumprojekta "Grozījumi Notariāta likumā" sākotnējās ietekmes novērtējuma ziņojums (anotācija)</vt:lpstr>
    </vt:vector>
  </TitlesOfParts>
  <Manager/>
  <Company>Tieslietu ministrija</Company>
  <LinksUpToDate>false</LinksUpToDate>
  <CharactersWithSpaces>17616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"Grozījumi Ministru kabineta 2009. gada 27. oktobra noteikumos Nr. 1250 "Noteikumi par valsts nodevu par īpašuma tiesību un ķīlas tiesību nostiprināšanu zemesgrāmatā"" sākotnējās ietekmes novērtējuma ziņojums (anotācija)</dc:title>
  <dc:subject>Anotācija</dc:subject>
  <dc:creator>Kristīne Alberinga</dc:creator>
  <cp:keywords/>
  <dc:description>67036835, Kristine.Alberinga@tm.gov.lv</dc:description>
  <cp:lastModifiedBy>Kristīne Alberinga</cp:lastModifiedBy>
  <cp:revision>3</cp:revision>
  <cp:lastPrinted>2021-04-21T07:36:00Z</cp:lastPrinted>
  <dcterms:created xsi:type="dcterms:W3CDTF">2021-04-21T07:42:00Z</dcterms:created>
  <dcterms:modified xsi:type="dcterms:W3CDTF">2021-04-21T07:42:00Z</dcterms:modified>
  <cp:category/>
</cp:coreProperties>
</file>