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13" w:rsidRDefault="009B7713" w:rsidP="009B7713">
      <w:pPr>
        <w:jc w:val="both"/>
        <w:rPr>
          <w:rFonts w:ascii="Tahoma" w:hAnsi="Tahoma" w:cs="Tahoma"/>
          <w:b/>
          <w:bCs/>
          <w:i/>
          <w:sz w:val="20"/>
          <w:szCs w:val="20"/>
        </w:rPr>
      </w:pPr>
      <w:r>
        <w:rPr>
          <w:i/>
          <w:sz w:val="22"/>
        </w:rPr>
        <w:t>Noslēguma konference</w:t>
      </w:r>
      <w:r w:rsidR="009F604E">
        <w:rPr>
          <w:i/>
          <w:sz w:val="22"/>
        </w:rPr>
        <w:t>s</w:t>
      </w:r>
      <w:bookmarkStart w:id="0" w:name="_GoBack"/>
      <w:bookmarkEnd w:id="0"/>
      <w:r>
        <w:rPr>
          <w:i/>
          <w:sz w:val="22"/>
        </w:rPr>
        <w:t xml:space="preserve"> izdales materiāli ir sagatavoti ar </w:t>
      </w:r>
      <w:r w:rsidRPr="00AF054E">
        <w:rPr>
          <w:i/>
          <w:sz w:val="22"/>
        </w:rPr>
        <w:t>Eiropas Komisijas īpašās pro</w:t>
      </w:r>
      <w:r>
        <w:rPr>
          <w:i/>
          <w:sz w:val="22"/>
        </w:rPr>
        <w:t>grammas „Civiltiesības” finansiālu atbalstu projekta</w:t>
      </w:r>
      <w:r w:rsidRPr="00AF054E">
        <w:rPr>
          <w:i/>
          <w:sz w:val="22"/>
        </w:rPr>
        <w:t xml:space="preserve"> Nr.</w:t>
      </w:r>
      <w:r>
        <w:rPr>
          <w:i/>
          <w:sz w:val="22"/>
        </w:rPr>
        <w:t> </w:t>
      </w:r>
      <w:r w:rsidRPr="00AF054E">
        <w:rPr>
          <w:i/>
          <w:sz w:val="22"/>
        </w:rPr>
        <w:t>JUST/201</w:t>
      </w:r>
      <w:r>
        <w:rPr>
          <w:i/>
          <w:sz w:val="22"/>
        </w:rPr>
        <w:t>3/JCIV/AG/4691</w:t>
      </w:r>
      <w:r w:rsidRPr="00AF054E">
        <w:rPr>
          <w:i/>
          <w:sz w:val="22"/>
        </w:rPr>
        <w:t>„Eiropas Savienības Tiesa un tās judikatūra pārrobežu tiesiskās sadarbības jomā civillietās”</w:t>
      </w:r>
      <w:r>
        <w:rPr>
          <w:i/>
          <w:sz w:val="22"/>
        </w:rPr>
        <w:t xml:space="preserve"> ietvaros.</w:t>
      </w:r>
      <w:r>
        <w:rPr>
          <w:rFonts w:ascii="ZapfCalligr TL" w:hAnsi="ZapfCalligr TL"/>
          <w:b/>
          <w:noProof/>
        </w:rPr>
        <w:drawing>
          <wp:anchor distT="0" distB="0" distL="114300" distR="114300" simplePos="0" relativeHeight="251661312" behindDoc="1" locked="0" layoutInCell="1" allowOverlap="1" wp14:anchorId="27534B44" wp14:editId="417B334A">
            <wp:simplePos x="0" y="0"/>
            <wp:positionH relativeFrom="column">
              <wp:posOffset>-208280</wp:posOffset>
            </wp:positionH>
            <wp:positionV relativeFrom="paragraph">
              <wp:posOffset>-14605</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p>
    <w:p w:rsidR="009B7713" w:rsidRDefault="009B7713" w:rsidP="00115755">
      <w:pPr>
        <w:jc w:val="right"/>
        <w:rPr>
          <w:rFonts w:ascii="Tahoma" w:hAnsi="Tahoma" w:cs="Tahoma"/>
          <w:b/>
          <w:bCs/>
          <w:i/>
          <w:sz w:val="20"/>
          <w:szCs w:val="20"/>
        </w:rPr>
      </w:pPr>
    </w:p>
    <w:p w:rsidR="009B7713" w:rsidRDefault="009B7713" w:rsidP="00115755">
      <w:pPr>
        <w:jc w:val="right"/>
        <w:rPr>
          <w:rFonts w:ascii="Tahoma" w:hAnsi="Tahoma" w:cs="Tahoma"/>
          <w:b/>
          <w:bCs/>
          <w:i/>
          <w:sz w:val="20"/>
          <w:szCs w:val="20"/>
        </w:rPr>
      </w:pPr>
    </w:p>
    <w:p w:rsidR="0014245A" w:rsidRDefault="00BB2B62" w:rsidP="00115755">
      <w:pPr>
        <w:jc w:val="right"/>
        <w:rPr>
          <w:rFonts w:ascii="Tahoma" w:hAnsi="Tahoma" w:cs="Tahoma"/>
          <w:b/>
          <w:bCs/>
          <w:i/>
          <w:sz w:val="20"/>
          <w:szCs w:val="20"/>
        </w:rPr>
      </w:pPr>
      <w:r w:rsidRPr="00BB2B62">
        <w:rPr>
          <w:rFonts w:ascii="Tahoma" w:hAnsi="Tahoma" w:cs="Tahoma"/>
          <w:b/>
          <w:bCs/>
          <w:i/>
          <w:sz w:val="20"/>
          <w:szCs w:val="20"/>
        </w:rPr>
        <w:t>Diskusija „Ģimenes tiesības, jurisdikcija, piemērojamais likums, spriedumu atzīšana un izpilde, kā arī bērnu pārrobežu nolaupīšanas civiltiesiskie aspekti” – regulu Nr. 2201/2003, Nr. 1259/2010 un atbilstošo starptautisko konvenciju piemērošanas prakse</w:t>
      </w:r>
    </w:p>
    <w:p w:rsidR="00BB2B62" w:rsidRDefault="00BB2B62" w:rsidP="0014245A">
      <w:pPr>
        <w:rPr>
          <w:rFonts w:ascii="Tahoma" w:hAnsi="Tahoma" w:cs="Tahoma"/>
          <w:b/>
          <w:bCs/>
          <w:i/>
          <w:sz w:val="20"/>
          <w:szCs w:val="20"/>
        </w:rPr>
      </w:pPr>
    </w:p>
    <w:p w:rsidR="0014245A" w:rsidRPr="00B91732" w:rsidRDefault="0014245A" w:rsidP="0014245A">
      <w:pPr>
        <w:jc w:val="center"/>
        <w:rPr>
          <w:rFonts w:ascii="Tahoma" w:hAnsi="Tahoma" w:cs="Tahoma"/>
          <w:bCs/>
          <w:sz w:val="20"/>
          <w:szCs w:val="20"/>
        </w:rPr>
      </w:pPr>
    </w:p>
    <w:p w:rsidR="0014245A" w:rsidRDefault="00BC014F" w:rsidP="0014245A">
      <w:pPr>
        <w:jc w:val="center"/>
        <w:rPr>
          <w:rFonts w:ascii="Tahoma" w:hAnsi="Tahoma" w:cs="Tahoma"/>
          <w:b/>
          <w:bCs/>
          <w:i/>
          <w:sz w:val="20"/>
          <w:szCs w:val="20"/>
        </w:rPr>
      </w:pPr>
      <w:r>
        <w:rPr>
          <w:rFonts w:ascii="Tahoma" w:hAnsi="Tahoma" w:cs="Tahoma"/>
          <w:b/>
          <w:bCs/>
          <w:i/>
          <w:sz w:val="20"/>
          <w:szCs w:val="20"/>
        </w:rPr>
        <w:t>4</w:t>
      </w:r>
      <w:r w:rsidR="0014245A" w:rsidRPr="00396DB7">
        <w:rPr>
          <w:rFonts w:ascii="Tahoma" w:hAnsi="Tahoma" w:cs="Tahoma"/>
          <w:b/>
          <w:bCs/>
          <w:i/>
          <w:sz w:val="20"/>
          <w:szCs w:val="20"/>
        </w:rPr>
        <w:t xml:space="preserve">. </w:t>
      </w:r>
      <w:r w:rsidR="00396DB7" w:rsidRPr="00396DB7">
        <w:rPr>
          <w:rFonts w:ascii="Tahoma" w:hAnsi="Tahoma" w:cs="Tahoma"/>
          <w:b/>
          <w:bCs/>
          <w:i/>
          <w:sz w:val="20"/>
          <w:szCs w:val="20"/>
        </w:rPr>
        <w:t xml:space="preserve">kāzuss </w:t>
      </w:r>
    </w:p>
    <w:p w:rsidR="00396DB7" w:rsidRPr="00396DB7" w:rsidRDefault="00396DB7" w:rsidP="0014245A">
      <w:pPr>
        <w:jc w:val="center"/>
        <w:rPr>
          <w:rFonts w:ascii="Tahoma" w:hAnsi="Tahoma" w:cs="Tahoma"/>
          <w:b/>
          <w:i/>
          <w:sz w:val="20"/>
          <w:szCs w:val="20"/>
        </w:rPr>
      </w:pPr>
      <w:r w:rsidRPr="00B91732">
        <w:rPr>
          <w:rFonts w:ascii="Tahoma" w:hAnsi="Tahoma" w:cs="Tahoma"/>
          <w:bCs/>
          <w:sz w:val="20"/>
          <w:szCs w:val="20"/>
        </w:rPr>
        <w:t>Dr.iur. Kucina Irēna</w:t>
      </w:r>
    </w:p>
    <w:p w:rsidR="00EA05CC" w:rsidRPr="003761F1" w:rsidRDefault="008D13AE" w:rsidP="00141BB3">
      <w:pPr>
        <w:autoSpaceDE w:val="0"/>
        <w:autoSpaceDN w:val="0"/>
        <w:adjustRightInd w:val="0"/>
        <w:ind w:right="-1"/>
        <w:jc w:val="both"/>
        <w:rPr>
          <w:rFonts w:ascii="Tahoma" w:hAnsi="Tahoma" w:cs="Tahoma"/>
          <w:sz w:val="20"/>
          <w:szCs w:val="20"/>
        </w:rPr>
      </w:pPr>
      <w:r w:rsidRPr="003761F1">
        <w:rPr>
          <w:rFonts w:ascii="Tahoma" w:hAnsi="Tahoma" w:cs="Tahoma"/>
          <w:sz w:val="20"/>
          <w:szCs w:val="20"/>
        </w:rPr>
        <w:t xml:space="preserve">      </w:t>
      </w:r>
    </w:p>
    <w:p w:rsidR="0014245A" w:rsidRDefault="00A02653" w:rsidP="0014245A">
      <w:pPr>
        <w:rPr>
          <w:rFonts w:ascii="Tahoma" w:hAnsi="Tahoma" w:cs="Tahoma"/>
          <w:b/>
          <w:i/>
          <w:sz w:val="20"/>
          <w:szCs w:val="20"/>
        </w:rPr>
      </w:pPr>
      <w:r w:rsidRPr="00DB1C27">
        <w:rPr>
          <w:noProof/>
        </w:rPr>
        <mc:AlternateContent>
          <mc:Choice Requires="wps">
            <w:drawing>
              <wp:anchor distT="0" distB="0" distL="114300" distR="114300" simplePos="0" relativeHeight="251659264" behindDoc="0" locked="0" layoutInCell="1" allowOverlap="1" wp14:anchorId="5AAC5E01" wp14:editId="219F302C">
                <wp:simplePos x="0" y="0"/>
                <wp:positionH relativeFrom="column">
                  <wp:posOffset>-491490</wp:posOffset>
                </wp:positionH>
                <wp:positionV relativeFrom="paragraph">
                  <wp:posOffset>56515</wp:posOffset>
                </wp:positionV>
                <wp:extent cx="6455410" cy="1932305"/>
                <wp:effectExtent l="57150" t="19050" r="78740" b="106680"/>
                <wp:wrapNone/>
                <wp:docPr id="8" name="TextBox 7"/>
                <wp:cNvGraphicFramePr/>
                <a:graphic xmlns:a="http://schemas.openxmlformats.org/drawingml/2006/main">
                  <a:graphicData uri="http://schemas.microsoft.com/office/word/2010/wordprocessingShape">
                    <wps:wsp>
                      <wps:cNvSpPr txBox="1"/>
                      <wps:spPr>
                        <a:xfrm>
                          <a:off x="0" y="0"/>
                          <a:ext cx="6455410" cy="1932305"/>
                        </a:xfrm>
                        <a:prstGeom prst="rect">
                          <a:avLst/>
                        </a:prstGeom>
                        <a:gradFill rotWithShape="1">
                          <a:gsLst>
                            <a:gs pos="0">
                              <a:srgbClr val="009DD9">
                                <a:tint val="70000"/>
                                <a:satMod val="130000"/>
                              </a:srgbClr>
                            </a:gs>
                            <a:gs pos="43000">
                              <a:srgbClr val="009DD9">
                                <a:tint val="44000"/>
                                <a:satMod val="165000"/>
                              </a:srgbClr>
                            </a:gs>
                            <a:gs pos="93000">
                              <a:srgbClr val="009DD9">
                                <a:tint val="15000"/>
                                <a:satMod val="165000"/>
                              </a:srgbClr>
                            </a:gs>
                            <a:gs pos="100000">
                              <a:srgbClr val="009DD9">
                                <a:tint val="5000"/>
                                <a:satMod val="250000"/>
                              </a:srgbClr>
                            </a:gs>
                          </a:gsLst>
                          <a:path path="circle">
                            <a:fillToRect l="50000" t="130000" r="50000" b="-30000"/>
                          </a:path>
                        </a:gradFill>
                        <a:ln w="9525" cap="flat" cmpd="sng" algn="ctr">
                          <a:solidFill>
                            <a:srgbClr val="009DD9">
                              <a:shade val="50000"/>
                              <a:satMod val="103000"/>
                            </a:srgbClr>
                          </a:solidFill>
                          <a:prstDash val="solid"/>
                        </a:ln>
                        <a:effectLst>
                          <a:outerShdw blurRad="57150" dist="38100" dir="5400000" algn="ctr" rotWithShape="0">
                            <a:srgbClr val="009DD9">
                              <a:shade val="9000"/>
                              <a:satMod val="105000"/>
                              <a:alpha val="48000"/>
                            </a:srgbClr>
                          </a:outerShdw>
                        </a:effectLst>
                      </wps:spPr>
                      <wps:txbx>
                        <w:txbxContent>
                          <w:p w:rsidR="00DB1C27" w:rsidRDefault="00DB1C27" w:rsidP="00DB1C27">
                            <w:pPr>
                              <w:pStyle w:val="Paraststmeklis"/>
                              <w:spacing w:before="62" w:after="0"/>
                              <w:jc w:val="both"/>
                              <w:textAlignment w:val="baseline"/>
                            </w:pPr>
                            <w:r>
                              <w:rPr>
                                <w:rFonts w:ascii="Arail" w:eastAsia="+mn-ea" w:hAnsi="Arail" w:cs="Arial"/>
                                <w:b/>
                                <w:bCs/>
                                <w:color w:val="000000"/>
                                <w:kern w:val="24"/>
                                <w:sz w:val="26"/>
                                <w:szCs w:val="26"/>
                              </w:rPr>
                              <w:t>Lietas apstākļi:</w:t>
                            </w:r>
                          </w:p>
                          <w:p w:rsidR="00DB1C27" w:rsidRPr="003761F1" w:rsidRDefault="00DB1C27" w:rsidP="00DB1C27">
                            <w:pPr>
                              <w:rPr>
                                <w:rFonts w:ascii="Tahoma" w:hAnsi="Tahoma" w:cs="Tahoma"/>
                                <w:b/>
                                <w:i/>
                                <w:sz w:val="20"/>
                                <w:szCs w:val="20"/>
                              </w:rPr>
                            </w:pPr>
                          </w:p>
                          <w:p w:rsidR="00BC014F" w:rsidRPr="00BC014F" w:rsidRDefault="00DB1C27"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Latvijas p</w:t>
                            </w:r>
                            <w:r w:rsidR="00115755" w:rsidRPr="00BC014F">
                              <w:rPr>
                                <w:rFonts w:ascii="Tahoma" w:hAnsi="Tahoma" w:cs="Tahoma"/>
                                <w:bCs/>
                                <w:sz w:val="20"/>
                                <w:szCs w:val="20"/>
                              </w:rPr>
                              <w:t>ilsone bija precējusies ar Turcijas</w:t>
                            </w:r>
                            <w:r w:rsidRPr="00BC014F">
                              <w:rPr>
                                <w:rFonts w:ascii="Tahoma" w:hAnsi="Tahoma" w:cs="Tahoma"/>
                                <w:bCs/>
                                <w:sz w:val="20"/>
                                <w:szCs w:val="20"/>
                              </w:rPr>
                              <w:t xml:space="preserve"> pilsoni. </w:t>
                            </w:r>
                          </w:p>
                          <w:p w:rsidR="00BC014F" w:rsidRPr="00BC014F" w:rsidRDefault="00BC014F" w:rsidP="00BC014F">
                            <w:pPr>
                              <w:pStyle w:val="Sarakstarindkopa"/>
                              <w:autoSpaceDE w:val="0"/>
                              <w:autoSpaceDN w:val="0"/>
                              <w:adjustRightInd w:val="0"/>
                              <w:ind w:right="-1"/>
                              <w:jc w:val="both"/>
                              <w:rPr>
                                <w:rFonts w:ascii="Tahoma" w:hAnsi="Tahoma" w:cs="Tahoma"/>
                                <w:sz w:val="20"/>
                                <w:szCs w:val="20"/>
                              </w:rPr>
                            </w:pPr>
                          </w:p>
                          <w:p w:rsidR="00BC014F" w:rsidRPr="00BC014F" w:rsidRDefault="00115755"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 xml:space="preserve">Piecus gadus </w:t>
                            </w:r>
                            <w:r w:rsidR="00DB1C27" w:rsidRPr="00BC014F">
                              <w:rPr>
                                <w:rFonts w:ascii="Tahoma" w:hAnsi="Tahoma" w:cs="Tahoma"/>
                                <w:bCs/>
                                <w:sz w:val="20"/>
                                <w:szCs w:val="20"/>
                              </w:rPr>
                              <w:t xml:space="preserve">laulāto dzīvesvieta bija </w:t>
                            </w:r>
                            <w:r w:rsidR="00A02653" w:rsidRPr="00BC014F">
                              <w:rPr>
                                <w:rFonts w:ascii="Tahoma" w:hAnsi="Tahoma" w:cs="Tahoma"/>
                                <w:bCs/>
                                <w:sz w:val="20"/>
                                <w:szCs w:val="20"/>
                              </w:rPr>
                              <w:t>Vācijā</w:t>
                            </w:r>
                            <w:r w:rsidR="00DB1C27" w:rsidRPr="00BC014F">
                              <w:rPr>
                                <w:rFonts w:ascii="Tahoma" w:hAnsi="Tahoma" w:cs="Tahoma"/>
                                <w:bCs/>
                                <w:sz w:val="20"/>
                                <w:szCs w:val="20"/>
                              </w:rPr>
                              <w:t xml:space="preserve">. Taču pēc attiecību iziršanas sieva palika dzīvot </w:t>
                            </w:r>
                            <w:r w:rsidR="00A02653" w:rsidRPr="00BC014F">
                              <w:rPr>
                                <w:rFonts w:ascii="Tahoma" w:hAnsi="Tahoma" w:cs="Tahoma"/>
                                <w:bCs/>
                                <w:sz w:val="20"/>
                                <w:szCs w:val="20"/>
                              </w:rPr>
                              <w:t>Vācijā</w:t>
                            </w:r>
                            <w:r w:rsidR="00DB1C27" w:rsidRPr="00BC014F">
                              <w:rPr>
                                <w:rFonts w:ascii="Tahoma" w:hAnsi="Tahoma" w:cs="Tahoma"/>
                                <w:bCs/>
                                <w:sz w:val="20"/>
                                <w:szCs w:val="20"/>
                              </w:rPr>
                              <w:t xml:space="preserve">, </w:t>
                            </w:r>
                            <w:r w:rsidRPr="00BC014F">
                              <w:rPr>
                                <w:rFonts w:ascii="Tahoma" w:hAnsi="Tahoma" w:cs="Tahoma"/>
                                <w:bCs/>
                                <w:sz w:val="20"/>
                                <w:szCs w:val="20"/>
                              </w:rPr>
                              <w:t>bet vīrs atgriezās uz dzīvi Turcijā</w:t>
                            </w:r>
                            <w:r w:rsidR="00DB1C27" w:rsidRPr="00BC014F">
                              <w:rPr>
                                <w:rFonts w:ascii="Tahoma" w:hAnsi="Tahoma" w:cs="Tahoma"/>
                                <w:bCs/>
                                <w:sz w:val="20"/>
                                <w:szCs w:val="20"/>
                              </w:rPr>
                              <w:t xml:space="preserve">, un jau pēc 2 mēnešiem sieva cēla prasību Latvijas tiesā, pamatojoties uz Latvijas nacionālajiem tiesību aktiem (CPL </w:t>
                            </w:r>
                            <w:proofErr w:type="gramStart"/>
                            <w:r w:rsidR="00DB1C27" w:rsidRPr="00BC014F">
                              <w:rPr>
                                <w:rFonts w:ascii="Tahoma" w:hAnsi="Tahoma" w:cs="Tahoma"/>
                                <w:bCs/>
                                <w:sz w:val="20"/>
                                <w:szCs w:val="20"/>
                              </w:rPr>
                              <w:t>27.pants</w:t>
                            </w:r>
                            <w:proofErr w:type="gramEnd"/>
                            <w:r w:rsidR="00DB1C27" w:rsidRPr="00BC014F">
                              <w:rPr>
                                <w:rFonts w:ascii="Tahoma" w:hAnsi="Tahoma" w:cs="Tahoma"/>
                                <w:bCs/>
                                <w:sz w:val="20"/>
                                <w:szCs w:val="20"/>
                              </w:rPr>
                              <w:t xml:space="preserve"> – pēc atbildētāja nekustamā īpašuma atrašanās vietas), nevis uz </w:t>
                            </w:r>
                            <w:r w:rsidR="00A02653" w:rsidRPr="00BC014F">
                              <w:rPr>
                                <w:rFonts w:ascii="Tahoma" w:hAnsi="Tahoma" w:cs="Tahoma"/>
                                <w:bCs/>
                                <w:sz w:val="20"/>
                                <w:szCs w:val="20"/>
                              </w:rPr>
                              <w:t xml:space="preserve">Briseles </w:t>
                            </w:r>
                            <w:proofErr w:type="spellStart"/>
                            <w:r w:rsidR="00A02653" w:rsidRPr="00BC014F">
                              <w:rPr>
                                <w:rFonts w:ascii="Tahoma" w:hAnsi="Tahoma" w:cs="Tahoma"/>
                                <w:bCs/>
                                <w:sz w:val="20"/>
                                <w:szCs w:val="20"/>
                              </w:rPr>
                              <w:t>IIbis</w:t>
                            </w:r>
                            <w:proofErr w:type="spellEnd"/>
                            <w:r w:rsidR="00A02653" w:rsidRPr="00BC014F">
                              <w:rPr>
                                <w:rFonts w:ascii="Tahoma" w:hAnsi="Tahoma" w:cs="Tahoma"/>
                                <w:bCs/>
                                <w:sz w:val="20"/>
                                <w:szCs w:val="20"/>
                              </w:rPr>
                              <w:t xml:space="preserve"> </w:t>
                            </w:r>
                            <w:r w:rsidR="00DB1C27" w:rsidRPr="00BC014F">
                              <w:rPr>
                                <w:rFonts w:ascii="Tahoma" w:hAnsi="Tahoma" w:cs="Tahoma"/>
                                <w:bCs/>
                                <w:sz w:val="20"/>
                                <w:szCs w:val="20"/>
                              </w:rPr>
                              <w:t xml:space="preserve">regulā paredzētajiem pārrobežu lietu piekritības noteikumiem. </w:t>
                            </w:r>
                          </w:p>
                          <w:p w:rsidR="00BC014F" w:rsidRPr="00BC014F" w:rsidRDefault="00BC014F" w:rsidP="00BC014F">
                            <w:pPr>
                              <w:pStyle w:val="Sarakstarindkopa"/>
                              <w:rPr>
                                <w:rFonts w:ascii="Tahoma" w:hAnsi="Tahoma" w:cs="Tahoma"/>
                                <w:bCs/>
                                <w:sz w:val="20"/>
                                <w:szCs w:val="20"/>
                              </w:rPr>
                            </w:pPr>
                          </w:p>
                          <w:p w:rsidR="00BC014F" w:rsidRPr="00BC014F" w:rsidRDefault="00BC014F" w:rsidP="00BC014F">
                            <w:pPr>
                              <w:pStyle w:val="Sarakstarindkopa"/>
                              <w:rPr>
                                <w:rFonts w:ascii="Tahoma" w:hAnsi="Tahoma" w:cs="Tahoma"/>
                                <w:sz w:val="20"/>
                                <w:szCs w:val="20"/>
                              </w:rPr>
                            </w:pPr>
                          </w:p>
                          <w:p w:rsidR="00DB1C27" w:rsidRDefault="00DB1C27" w:rsidP="00DB1C27">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sz w:val="20"/>
                                <w:szCs w:val="20"/>
                              </w:rPr>
                              <w:t xml:space="preserve">Sieva uzskatīja, ka regulas </w:t>
                            </w:r>
                            <w:proofErr w:type="gramStart"/>
                            <w:r w:rsidRPr="00BC014F">
                              <w:rPr>
                                <w:rFonts w:ascii="Tahoma" w:hAnsi="Tahoma" w:cs="Tahoma"/>
                                <w:sz w:val="20"/>
                                <w:szCs w:val="20"/>
                              </w:rPr>
                              <w:t>6.pantā</w:t>
                            </w:r>
                            <w:proofErr w:type="gramEnd"/>
                            <w:r w:rsidRPr="00BC014F">
                              <w:rPr>
                                <w:rFonts w:ascii="Tahoma" w:hAnsi="Tahoma" w:cs="Tahoma"/>
                                <w:sz w:val="20"/>
                                <w:szCs w:val="20"/>
                              </w:rPr>
                              <w:t xml:space="preserve"> paredzētais jurisdikcijas izņēmuma raksturs, proti, ka pret laulāto, kuram ir pastāvīgā dzīvesvieta dalībvalstī vai kuram ir kādas dalībvalsts piederība, var celt prasību kādā dalībvalstī saskaņā ar šiem regulā paredzētajiem pārrobežu lietu piekritības pamatiem, ir piemērojams tikai tad, ja atbildētāja pastāvīgā dzīvesvieta ir dalībvalstī vai viņš ir dalībvalsts piederīgais. Taču tas nav piemērojams šajā g</w:t>
                            </w:r>
                            <w:r w:rsidR="00BC014F">
                              <w:rPr>
                                <w:rFonts w:ascii="Tahoma" w:hAnsi="Tahoma" w:cs="Tahoma"/>
                                <w:sz w:val="20"/>
                                <w:szCs w:val="20"/>
                              </w:rPr>
                              <w:t>adījumā, jo atbildētājs ir Turcijas pilsonis un dzīvo Turcijā</w:t>
                            </w:r>
                            <w:r w:rsidRPr="00BC014F">
                              <w:rPr>
                                <w:rFonts w:ascii="Tahoma" w:hAnsi="Tahoma" w:cs="Tahoma"/>
                                <w:sz w:val="20"/>
                                <w:szCs w:val="20"/>
                              </w:rPr>
                              <w:t xml:space="preserve">, kā rezultātā netiek izpildīts neviens no jurisdikcijas izņēmuma rakstura nosacījumiem. </w:t>
                            </w:r>
                          </w:p>
                          <w:p w:rsidR="00BC014F" w:rsidRDefault="00BC014F" w:rsidP="00BC014F">
                            <w:pPr>
                              <w:pStyle w:val="Sarakstarindkopa"/>
                              <w:autoSpaceDE w:val="0"/>
                              <w:autoSpaceDN w:val="0"/>
                              <w:adjustRightInd w:val="0"/>
                              <w:ind w:right="-1"/>
                              <w:jc w:val="both"/>
                              <w:rPr>
                                <w:rFonts w:ascii="Tahoma" w:hAnsi="Tahoma" w:cs="Tahoma"/>
                                <w:sz w:val="20"/>
                                <w:szCs w:val="20"/>
                              </w:rPr>
                            </w:pPr>
                          </w:p>
                          <w:p w:rsidR="00BC014F" w:rsidRPr="00BC014F" w:rsidRDefault="00BC014F"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 xml:space="preserve">Vienošanās par piemērojamo likumu laulības šķiršanas gadījumā netika noslēgta. </w:t>
                            </w:r>
                          </w:p>
                          <w:p w:rsidR="00BC014F" w:rsidRPr="00BC014F" w:rsidRDefault="00BC014F" w:rsidP="00BC014F">
                            <w:pPr>
                              <w:pStyle w:val="Sarakstarindkopa"/>
                              <w:autoSpaceDE w:val="0"/>
                              <w:autoSpaceDN w:val="0"/>
                              <w:adjustRightInd w:val="0"/>
                              <w:ind w:right="-1"/>
                              <w:jc w:val="both"/>
                              <w:rPr>
                                <w:rFonts w:ascii="Tahoma" w:hAnsi="Tahoma" w:cs="Tahoma"/>
                                <w:sz w:val="20"/>
                                <w:szCs w:val="20"/>
                              </w:rPr>
                            </w:pPr>
                          </w:p>
                          <w:p w:rsidR="00A02653" w:rsidRDefault="00A02653" w:rsidP="00DB1C27">
                            <w:pPr>
                              <w:autoSpaceDE w:val="0"/>
                              <w:autoSpaceDN w:val="0"/>
                              <w:adjustRightInd w:val="0"/>
                              <w:ind w:right="-1"/>
                              <w:jc w:val="both"/>
                              <w:rPr>
                                <w:rFonts w:ascii="Tahoma" w:hAnsi="Tahoma" w:cs="Tahoma"/>
                                <w:sz w:val="20"/>
                                <w:szCs w:val="20"/>
                              </w:rPr>
                            </w:pPr>
                          </w:p>
                          <w:p w:rsidR="00A02653" w:rsidRDefault="00A02653" w:rsidP="00DB1C27">
                            <w:pPr>
                              <w:autoSpaceDE w:val="0"/>
                              <w:autoSpaceDN w:val="0"/>
                              <w:adjustRightInd w:val="0"/>
                              <w:ind w:right="-1"/>
                              <w:jc w:val="both"/>
                              <w:rPr>
                                <w:rFonts w:ascii="Tahoma" w:hAnsi="Tahoma" w:cs="Tahoma"/>
                                <w:b/>
                                <w:sz w:val="20"/>
                                <w:szCs w:val="20"/>
                              </w:rPr>
                            </w:pPr>
                            <w:r>
                              <w:rPr>
                                <w:rFonts w:ascii="Tahoma" w:hAnsi="Tahoma" w:cs="Tahoma"/>
                                <w:sz w:val="20"/>
                                <w:szCs w:val="20"/>
                              </w:rPr>
                              <w:tab/>
                            </w:r>
                            <w:r w:rsidRPr="00A02653">
                              <w:rPr>
                                <w:rFonts w:ascii="Tahoma" w:hAnsi="Tahoma" w:cs="Tahoma"/>
                                <w:b/>
                                <w:sz w:val="20"/>
                                <w:szCs w:val="20"/>
                              </w:rPr>
                              <w:t xml:space="preserve">Jautājumi diskusijai: </w:t>
                            </w:r>
                          </w:p>
                          <w:p w:rsidR="005A5FCB" w:rsidRDefault="005A5FCB" w:rsidP="00A70F1D">
                            <w:pPr>
                              <w:autoSpaceDE w:val="0"/>
                              <w:autoSpaceDN w:val="0"/>
                              <w:adjustRightInd w:val="0"/>
                              <w:ind w:right="-1"/>
                              <w:jc w:val="both"/>
                              <w:rPr>
                                <w:rFonts w:ascii="Tahoma" w:hAnsi="Tahoma" w:cs="Tahoma"/>
                                <w:b/>
                                <w:sz w:val="20"/>
                                <w:szCs w:val="20"/>
                              </w:rPr>
                            </w:pPr>
                          </w:p>
                          <w:p w:rsidR="00A02653" w:rsidRPr="00A02653" w:rsidRDefault="005A5FCB" w:rsidP="00A70F1D">
                            <w:pPr>
                              <w:autoSpaceDE w:val="0"/>
                              <w:autoSpaceDN w:val="0"/>
                              <w:adjustRightInd w:val="0"/>
                              <w:ind w:right="-1"/>
                              <w:jc w:val="both"/>
                              <w:rPr>
                                <w:rFonts w:ascii="Tahoma" w:hAnsi="Tahoma" w:cs="Tahoma"/>
                                <w:b/>
                                <w:sz w:val="20"/>
                                <w:szCs w:val="20"/>
                              </w:rPr>
                            </w:pPr>
                            <w:r>
                              <w:rPr>
                                <w:rFonts w:ascii="Tahoma" w:hAnsi="Tahoma" w:cs="Tahoma"/>
                                <w:b/>
                                <w:sz w:val="20"/>
                                <w:szCs w:val="20"/>
                              </w:rPr>
                              <w:t>Jurisdikcija:</w:t>
                            </w:r>
                          </w:p>
                          <w:p w:rsidR="00DB1C27" w:rsidRPr="00A70F1D" w:rsidRDefault="00A02653"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V</w:t>
                            </w:r>
                            <w:r w:rsidR="00DB1C27" w:rsidRPr="00A70F1D">
                              <w:rPr>
                                <w:rFonts w:ascii="Tahoma" w:hAnsi="Tahoma" w:cs="Tahoma"/>
                                <w:b/>
                                <w:bCs/>
                                <w:sz w:val="20"/>
                                <w:szCs w:val="20"/>
                              </w:rPr>
                              <w:t>ai Latvijas tiesa ir kompetenta izskatīt laulības šķiršanas lietu?</w:t>
                            </w:r>
                          </w:p>
                          <w:p w:rsidR="00A70F1D" w:rsidRDefault="00A70F1D" w:rsidP="00A70F1D">
                            <w:pPr>
                              <w:autoSpaceDE w:val="0"/>
                              <w:autoSpaceDN w:val="0"/>
                              <w:adjustRightInd w:val="0"/>
                              <w:ind w:right="-1"/>
                              <w:jc w:val="both"/>
                              <w:rPr>
                                <w:rFonts w:ascii="Tahoma" w:hAnsi="Tahoma" w:cs="Tahoma"/>
                                <w:b/>
                                <w:bCs/>
                                <w:sz w:val="20"/>
                                <w:szCs w:val="20"/>
                              </w:rPr>
                            </w:pPr>
                          </w:p>
                          <w:p w:rsidR="00A70F1D" w:rsidRDefault="00A70F1D"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Ja tiesai rodas šaubas par savu jurisdikciju skatīt attiecīgo laulības šķiršanas lietu pēc prasības pieteikuma saņemšanas</w:t>
                            </w:r>
                            <w:r>
                              <w:rPr>
                                <w:rFonts w:ascii="Tahoma" w:hAnsi="Tahoma" w:cs="Tahoma"/>
                                <w:b/>
                                <w:bCs/>
                                <w:sz w:val="20"/>
                                <w:szCs w:val="20"/>
                              </w:rPr>
                              <w:t>, - tiesas rīcība?</w:t>
                            </w:r>
                          </w:p>
                          <w:p w:rsidR="00A70F1D" w:rsidRPr="00A70F1D" w:rsidRDefault="00A70F1D" w:rsidP="00A70F1D">
                            <w:pPr>
                              <w:pStyle w:val="Sarakstarindkopa"/>
                              <w:rPr>
                                <w:rFonts w:ascii="Tahoma" w:hAnsi="Tahoma" w:cs="Tahoma"/>
                                <w:b/>
                                <w:bCs/>
                                <w:sz w:val="20"/>
                                <w:szCs w:val="20"/>
                              </w:rPr>
                            </w:pPr>
                          </w:p>
                          <w:p w:rsidR="00A70F1D" w:rsidRPr="005A5FCB" w:rsidRDefault="00A70F1D"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 xml:space="preserve">Ja pieņemts lēmums par prasības pieteikuma pieņemšanu un lietas ierosināšanu, bet tiesa konstatē, ka personas pastāvīgā dzīvesvieta ir ārvalstī un tai saskaņā ar </w:t>
                            </w:r>
                            <w:r w:rsidRPr="005A5FCB">
                              <w:rPr>
                                <w:rFonts w:ascii="Tahoma" w:hAnsi="Tahoma" w:cs="Tahoma"/>
                                <w:b/>
                                <w:bCs/>
                                <w:sz w:val="20"/>
                                <w:szCs w:val="20"/>
                              </w:rPr>
                              <w:t xml:space="preserve">Briseles </w:t>
                            </w:r>
                            <w:proofErr w:type="spellStart"/>
                            <w:r w:rsidRPr="005A5FCB">
                              <w:rPr>
                                <w:rFonts w:ascii="Tahoma" w:hAnsi="Tahoma" w:cs="Tahoma"/>
                                <w:b/>
                                <w:bCs/>
                                <w:sz w:val="20"/>
                                <w:szCs w:val="20"/>
                              </w:rPr>
                              <w:t>IIbis</w:t>
                            </w:r>
                            <w:proofErr w:type="spellEnd"/>
                            <w:r w:rsidRPr="005A5FCB">
                              <w:rPr>
                                <w:rFonts w:ascii="Tahoma" w:hAnsi="Tahoma" w:cs="Tahoma"/>
                                <w:b/>
                                <w:bCs/>
                                <w:sz w:val="20"/>
                                <w:szCs w:val="20"/>
                              </w:rPr>
                              <w:t xml:space="preserve"> Regulas noteikumiem nav jurisdikcijas skatīt šo lietu, - tiesas rīcība?</w:t>
                            </w:r>
                          </w:p>
                          <w:p w:rsidR="005A5FCB" w:rsidRPr="005A5FCB" w:rsidRDefault="005A5FCB" w:rsidP="005A5FCB">
                            <w:pPr>
                              <w:autoSpaceDE w:val="0"/>
                              <w:autoSpaceDN w:val="0"/>
                              <w:adjustRightInd w:val="0"/>
                              <w:ind w:right="-1"/>
                              <w:rPr>
                                <w:rFonts w:ascii="Tahoma" w:hAnsi="Tahoma" w:cs="Tahoma"/>
                                <w:b/>
                                <w:bCs/>
                                <w:sz w:val="20"/>
                                <w:szCs w:val="20"/>
                              </w:rPr>
                            </w:pPr>
                          </w:p>
                          <w:p w:rsidR="00A70F1D" w:rsidRPr="005A5FCB" w:rsidRDefault="005A5FCB" w:rsidP="005A5FCB">
                            <w:pPr>
                              <w:autoSpaceDE w:val="0"/>
                              <w:autoSpaceDN w:val="0"/>
                              <w:adjustRightInd w:val="0"/>
                              <w:ind w:right="-1"/>
                              <w:rPr>
                                <w:rFonts w:ascii="Tahoma" w:hAnsi="Tahoma" w:cs="Tahoma"/>
                                <w:b/>
                                <w:bCs/>
                                <w:sz w:val="20"/>
                                <w:szCs w:val="20"/>
                              </w:rPr>
                            </w:pPr>
                            <w:r w:rsidRPr="005A5FCB">
                              <w:rPr>
                                <w:rFonts w:ascii="Tahoma" w:hAnsi="Tahoma" w:cs="Tahoma"/>
                                <w:b/>
                                <w:bCs/>
                                <w:sz w:val="20"/>
                                <w:szCs w:val="20"/>
                              </w:rPr>
                              <w:t>Piemērojamais likums:</w:t>
                            </w:r>
                          </w:p>
                          <w:p w:rsidR="00DB1C27" w:rsidRPr="00E6537E" w:rsidRDefault="00A02653" w:rsidP="00A70F1D">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bCs/>
                                <w:sz w:val="20"/>
                                <w:szCs w:val="20"/>
                              </w:rPr>
                              <w:t>K</w:t>
                            </w:r>
                            <w:r w:rsidR="00DB1C27" w:rsidRPr="005A5FCB">
                              <w:rPr>
                                <w:rFonts w:ascii="Tahoma" w:hAnsi="Tahoma" w:cs="Tahoma"/>
                                <w:b/>
                                <w:bCs/>
                                <w:sz w:val="20"/>
                                <w:szCs w:val="20"/>
                              </w:rPr>
                              <w:t xml:space="preserve">uras valsts likums ir piemērojams laulības šķiršanas lietā? </w:t>
                            </w:r>
                          </w:p>
                          <w:p w:rsidR="00E6537E" w:rsidRPr="00E6537E" w:rsidRDefault="00E6537E" w:rsidP="00E6537E">
                            <w:pPr>
                              <w:pStyle w:val="Sarakstarindkopa"/>
                              <w:autoSpaceDE w:val="0"/>
                              <w:autoSpaceDN w:val="0"/>
                              <w:adjustRightInd w:val="0"/>
                              <w:ind w:left="1446" w:right="-1"/>
                              <w:jc w:val="both"/>
                              <w:rPr>
                                <w:rFonts w:ascii="Tahoma" w:hAnsi="Tahoma" w:cs="Tahoma"/>
                                <w:b/>
                                <w:sz w:val="20"/>
                                <w:szCs w:val="20"/>
                              </w:rPr>
                            </w:pPr>
                          </w:p>
                          <w:p w:rsidR="00E6537E" w:rsidRPr="005A5FCB" w:rsidRDefault="00E6537E" w:rsidP="00A70F1D">
                            <w:pPr>
                              <w:pStyle w:val="Sarakstarindkopa"/>
                              <w:numPr>
                                <w:ilvl w:val="0"/>
                                <w:numId w:val="6"/>
                              </w:numPr>
                              <w:autoSpaceDE w:val="0"/>
                              <w:autoSpaceDN w:val="0"/>
                              <w:adjustRightInd w:val="0"/>
                              <w:ind w:right="-1"/>
                              <w:jc w:val="both"/>
                              <w:rPr>
                                <w:rFonts w:ascii="Tahoma" w:hAnsi="Tahoma" w:cs="Tahoma"/>
                                <w:b/>
                                <w:sz w:val="20"/>
                                <w:szCs w:val="20"/>
                              </w:rPr>
                            </w:pPr>
                            <w:r>
                              <w:rPr>
                                <w:rFonts w:ascii="Tahoma" w:hAnsi="Tahoma" w:cs="Tahoma"/>
                                <w:b/>
                                <w:bCs/>
                                <w:sz w:val="20"/>
                                <w:szCs w:val="20"/>
                              </w:rPr>
                              <w:t xml:space="preserve">Kuram ir pienākums atsaukties uz ārvalsts likuma piemērošanu? </w:t>
                            </w:r>
                          </w:p>
                          <w:p w:rsidR="005A5FCB" w:rsidRPr="005A5FCB" w:rsidRDefault="005A5FCB" w:rsidP="005A5FCB">
                            <w:pPr>
                              <w:pStyle w:val="Sarakstarindkopa"/>
                              <w:rPr>
                                <w:rFonts w:ascii="Tahoma" w:hAnsi="Tahoma" w:cs="Tahoma"/>
                                <w:b/>
                                <w:sz w:val="20"/>
                                <w:szCs w:val="20"/>
                              </w:rPr>
                            </w:pPr>
                          </w:p>
                          <w:p w:rsidR="005A5FCB" w:rsidRPr="005A5FCB" w:rsidRDefault="006E4684" w:rsidP="005A5FCB">
                            <w:pPr>
                              <w:pStyle w:val="Sarakstarindkopa"/>
                              <w:numPr>
                                <w:ilvl w:val="0"/>
                                <w:numId w:val="6"/>
                              </w:numPr>
                              <w:autoSpaceDE w:val="0"/>
                              <w:autoSpaceDN w:val="0"/>
                              <w:adjustRightInd w:val="0"/>
                              <w:ind w:right="-1"/>
                              <w:jc w:val="both"/>
                              <w:rPr>
                                <w:rFonts w:ascii="Tahoma" w:hAnsi="Tahoma" w:cs="Tahoma"/>
                                <w:b/>
                                <w:sz w:val="20"/>
                                <w:szCs w:val="20"/>
                              </w:rPr>
                            </w:pPr>
                            <w:r>
                              <w:rPr>
                                <w:rFonts w:ascii="Tahoma" w:hAnsi="Tahoma" w:cs="Tahoma"/>
                                <w:b/>
                                <w:sz w:val="20"/>
                                <w:szCs w:val="20"/>
                              </w:rPr>
                              <w:t>T</w:t>
                            </w:r>
                            <w:r w:rsidR="005A5FCB" w:rsidRPr="005A5FCB">
                              <w:rPr>
                                <w:rFonts w:ascii="Tahoma" w:hAnsi="Tahoma" w:cs="Tahoma"/>
                                <w:b/>
                                <w:sz w:val="20"/>
                                <w:szCs w:val="20"/>
                              </w:rPr>
                              <w:t xml:space="preserve">iesa vai lietas dalībnieks noskaidro ārvalsts </w:t>
                            </w:r>
                            <w:r>
                              <w:rPr>
                                <w:rFonts w:ascii="Tahoma" w:hAnsi="Tahoma" w:cs="Tahoma"/>
                                <w:b/>
                                <w:sz w:val="20"/>
                                <w:szCs w:val="20"/>
                              </w:rPr>
                              <w:t>likuma saturu</w:t>
                            </w:r>
                            <w:r w:rsidR="00D951F2">
                              <w:rPr>
                                <w:rFonts w:ascii="Tahoma" w:hAnsi="Tahoma" w:cs="Tahoma"/>
                                <w:b/>
                                <w:sz w:val="20"/>
                                <w:szCs w:val="20"/>
                              </w:rPr>
                              <w:t>?</w:t>
                            </w:r>
                          </w:p>
                          <w:p w:rsidR="005A5FCB" w:rsidRPr="005A5FCB" w:rsidRDefault="005A5FCB" w:rsidP="005A5FCB">
                            <w:pPr>
                              <w:pStyle w:val="Sarakstarindkopa"/>
                              <w:rPr>
                                <w:rFonts w:ascii="Tahoma" w:hAnsi="Tahoma" w:cs="Tahoma"/>
                                <w:b/>
                                <w:sz w:val="20"/>
                                <w:szCs w:val="20"/>
                              </w:rPr>
                            </w:pPr>
                          </w:p>
                          <w:p w:rsidR="005A5FCB" w:rsidRPr="005A5FCB" w:rsidRDefault="005A5FCB" w:rsidP="005A5FCB">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sz w:val="20"/>
                                <w:szCs w:val="20"/>
                              </w:rPr>
                              <w:t>Vai tiesas pienākums ir iesaistīties tikai tad, kad ārvalsts likuma saturu puses</w:t>
                            </w:r>
                            <w:r w:rsidR="000D2B4C">
                              <w:rPr>
                                <w:rFonts w:ascii="Tahoma" w:hAnsi="Tahoma" w:cs="Tahoma"/>
                                <w:b/>
                                <w:sz w:val="20"/>
                                <w:szCs w:val="20"/>
                              </w:rPr>
                              <w:t xml:space="preserve"> nespēj noskaidrot vai tiesai rodas</w:t>
                            </w:r>
                            <w:r w:rsidRPr="005A5FCB">
                              <w:rPr>
                                <w:rFonts w:ascii="Tahoma" w:hAnsi="Tahoma" w:cs="Tahoma"/>
                                <w:b/>
                                <w:sz w:val="20"/>
                                <w:szCs w:val="20"/>
                              </w:rPr>
                              <w:t xml:space="preserve"> šaubas par tā saturu?</w:t>
                            </w:r>
                          </w:p>
                          <w:p w:rsidR="005A5FCB" w:rsidRPr="005A5FCB" w:rsidRDefault="005A5FCB" w:rsidP="005A5FCB">
                            <w:pPr>
                              <w:pStyle w:val="Sarakstarindkopa"/>
                              <w:rPr>
                                <w:rFonts w:ascii="Tahoma" w:hAnsi="Tahoma" w:cs="Tahoma"/>
                                <w:b/>
                                <w:sz w:val="20"/>
                                <w:szCs w:val="20"/>
                              </w:rPr>
                            </w:pPr>
                          </w:p>
                          <w:p w:rsidR="005A5FCB" w:rsidRPr="005A5FCB" w:rsidRDefault="005A5FCB" w:rsidP="005A5FCB">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sz w:val="20"/>
                                <w:szCs w:val="20"/>
                              </w:rPr>
                              <w:t>Vai tiek noskaidrots tikai ārvalsts likums vai arī tiesu nolēmumi, judikatūra, zinātniskā literatūra par piemērojamo ārvalsts tiesību normu</w:t>
                            </w:r>
                            <w:r w:rsidR="00D951F2">
                              <w:rPr>
                                <w:rFonts w:ascii="Tahoma" w:hAnsi="Tahoma" w:cs="Tahoma"/>
                                <w:b/>
                                <w:sz w:val="20"/>
                                <w:szCs w:val="20"/>
                              </w:rPr>
                              <w:t>?</w:t>
                            </w:r>
                          </w:p>
                          <w:p w:rsidR="00DB1C27" w:rsidRPr="005A5FCB" w:rsidRDefault="00DB1C27" w:rsidP="005A5FCB">
                            <w:pPr>
                              <w:autoSpaceDE w:val="0"/>
                              <w:autoSpaceDN w:val="0"/>
                              <w:adjustRightInd w:val="0"/>
                              <w:ind w:right="-1"/>
                              <w:jc w:val="both"/>
                              <w:rPr>
                                <w:rFonts w:ascii="Tahoma" w:hAnsi="Tahoma" w:cs="Tahoma"/>
                                <w:b/>
                                <w:sz w:val="20"/>
                                <w:szCs w:val="20"/>
                              </w:rPr>
                            </w:pPr>
                          </w:p>
                          <w:p w:rsidR="005A5FCB" w:rsidRDefault="005A5FCB"/>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8.7pt;margin-top:4.45pt;width:508.3pt;height:15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" fillcolor="#89c3f1" strokecolor="#0073a1">
                <v:fill color2="#f6fbff" rotate="t" focusposition=".5,85197f" focussize="" colors="0 #89c3f1;28180f #b8dbfd;60948f #e9f3fe;1 #f6fbff" focus="100%" type="gradientRadial"/>
                <v:shadow on="t" color="#003148" opacity="31457f" offset="0,3pt"/>
                <v:textbox style="mso-fit-shape-to-text:t">
                  <w:txbxContent>
                    <w:p w:rsidR="00DB1C27" w:rsidRDefault="00DB1C27" w:rsidP="00DB1C27">
                      <w:pPr>
                        <w:pStyle w:val="Paraststmeklis"/>
                        <w:spacing w:before="62" w:after="0"/>
                        <w:jc w:val="both"/>
                        <w:textAlignment w:val="baseline"/>
                      </w:pPr>
                      <w:r>
                        <w:rPr>
                          <w:rFonts w:ascii="Arail" w:eastAsia="+mn-ea" w:hAnsi="Arail" w:cs="Arial"/>
                          <w:b/>
                          <w:bCs/>
                          <w:color w:val="000000"/>
                          <w:kern w:val="24"/>
                          <w:sz w:val="26"/>
                          <w:szCs w:val="26"/>
                        </w:rPr>
                        <w:t>Lietas apstākļi:</w:t>
                      </w:r>
                    </w:p>
                    <w:p w:rsidR="00DB1C27" w:rsidRPr="003761F1" w:rsidRDefault="00DB1C27" w:rsidP="00DB1C27">
                      <w:pPr>
                        <w:rPr>
                          <w:rFonts w:ascii="Tahoma" w:hAnsi="Tahoma" w:cs="Tahoma"/>
                          <w:b/>
                          <w:i/>
                          <w:sz w:val="20"/>
                          <w:szCs w:val="20"/>
                        </w:rPr>
                      </w:pPr>
                    </w:p>
                    <w:p w:rsidR="00BC014F" w:rsidRPr="00BC014F" w:rsidRDefault="00DB1C27"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Latvijas p</w:t>
                      </w:r>
                      <w:r w:rsidR="00115755" w:rsidRPr="00BC014F">
                        <w:rPr>
                          <w:rFonts w:ascii="Tahoma" w:hAnsi="Tahoma" w:cs="Tahoma"/>
                          <w:bCs/>
                          <w:sz w:val="20"/>
                          <w:szCs w:val="20"/>
                        </w:rPr>
                        <w:t>ilsone bija precējusies ar Turcijas</w:t>
                      </w:r>
                      <w:r w:rsidRPr="00BC014F">
                        <w:rPr>
                          <w:rFonts w:ascii="Tahoma" w:hAnsi="Tahoma" w:cs="Tahoma"/>
                          <w:bCs/>
                          <w:sz w:val="20"/>
                          <w:szCs w:val="20"/>
                        </w:rPr>
                        <w:t xml:space="preserve"> pilsoni. </w:t>
                      </w:r>
                    </w:p>
                    <w:p w:rsidR="00BC014F" w:rsidRPr="00BC014F" w:rsidRDefault="00BC014F" w:rsidP="00BC014F">
                      <w:pPr>
                        <w:pStyle w:val="Sarakstarindkopa"/>
                        <w:autoSpaceDE w:val="0"/>
                        <w:autoSpaceDN w:val="0"/>
                        <w:adjustRightInd w:val="0"/>
                        <w:ind w:right="-1"/>
                        <w:jc w:val="both"/>
                        <w:rPr>
                          <w:rFonts w:ascii="Tahoma" w:hAnsi="Tahoma" w:cs="Tahoma"/>
                          <w:sz w:val="20"/>
                          <w:szCs w:val="20"/>
                        </w:rPr>
                      </w:pPr>
                    </w:p>
                    <w:p w:rsidR="00BC014F" w:rsidRPr="00BC014F" w:rsidRDefault="00115755"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 xml:space="preserve">Piecus gadus </w:t>
                      </w:r>
                      <w:r w:rsidR="00DB1C27" w:rsidRPr="00BC014F">
                        <w:rPr>
                          <w:rFonts w:ascii="Tahoma" w:hAnsi="Tahoma" w:cs="Tahoma"/>
                          <w:bCs/>
                          <w:sz w:val="20"/>
                          <w:szCs w:val="20"/>
                        </w:rPr>
                        <w:t xml:space="preserve">laulāto dzīvesvieta bija </w:t>
                      </w:r>
                      <w:r w:rsidR="00A02653" w:rsidRPr="00BC014F">
                        <w:rPr>
                          <w:rFonts w:ascii="Tahoma" w:hAnsi="Tahoma" w:cs="Tahoma"/>
                          <w:bCs/>
                          <w:sz w:val="20"/>
                          <w:szCs w:val="20"/>
                        </w:rPr>
                        <w:t>Vācijā</w:t>
                      </w:r>
                      <w:r w:rsidR="00DB1C27" w:rsidRPr="00BC014F">
                        <w:rPr>
                          <w:rFonts w:ascii="Tahoma" w:hAnsi="Tahoma" w:cs="Tahoma"/>
                          <w:bCs/>
                          <w:sz w:val="20"/>
                          <w:szCs w:val="20"/>
                        </w:rPr>
                        <w:t xml:space="preserve">. Taču pēc attiecību iziršanas sieva palika dzīvot </w:t>
                      </w:r>
                      <w:r w:rsidR="00A02653" w:rsidRPr="00BC014F">
                        <w:rPr>
                          <w:rFonts w:ascii="Tahoma" w:hAnsi="Tahoma" w:cs="Tahoma"/>
                          <w:bCs/>
                          <w:sz w:val="20"/>
                          <w:szCs w:val="20"/>
                        </w:rPr>
                        <w:t>Vācijā</w:t>
                      </w:r>
                      <w:r w:rsidR="00DB1C27" w:rsidRPr="00BC014F">
                        <w:rPr>
                          <w:rFonts w:ascii="Tahoma" w:hAnsi="Tahoma" w:cs="Tahoma"/>
                          <w:bCs/>
                          <w:sz w:val="20"/>
                          <w:szCs w:val="20"/>
                        </w:rPr>
                        <w:t xml:space="preserve">, </w:t>
                      </w:r>
                      <w:r w:rsidRPr="00BC014F">
                        <w:rPr>
                          <w:rFonts w:ascii="Tahoma" w:hAnsi="Tahoma" w:cs="Tahoma"/>
                          <w:bCs/>
                          <w:sz w:val="20"/>
                          <w:szCs w:val="20"/>
                        </w:rPr>
                        <w:t>bet vīrs atgriezās uz dzīvi Turcijā</w:t>
                      </w:r>
                      <w:r w:rsidR="00DB1C27" w:rsidRPr="00BC014F">
                        <w:rPr>
                          <w:rFonts w:ascii="Tahoma" w:hAnsi="Tahoma" w:cs="Tahoma"/>
                          <w:bCs/>
                          <w:sz w:val="20"/>
                          <w:szCs w:val="20"/>
                        </w:rPr>
                        <w:t xml:space="preserve">, un jau pēc 2 mēnešiem sieva cēla prasību Latvijas tiesā, pamatojoties uz Latvijas nacionālajiem tiesību aktiem (CPL </w:t>
                      </w:r>
                      <w:proofErr w:type="gramStart"/>
                      <w:r w:rsidR="00DB1C27" w:rsidRPr="00BC014F">
                        <w:rPr>
                          <w:rFonts w:ascii="Tahoma" w:hAnsi="Tahoma" w:cs="Tahoma"/>
                          <w:bCs/>
                          <w:sz w:val="20"/>
                          <w:szCs w:val="20"/>
                        </w:rPr>
                        <w:t>27.pants</w:t>
                      </w:r>
                      <w:proofErr w:type="gramEnd"/>
                      <w:r w:rsidR="00DB1C27" w:rsidRPr="00BC014F">
                        <w:rPr>
                          <w:rFonts w:ascii="Tahoma" w:hAnsi="Tahoma" w:cs="Tahoma"/>
                          <w:bCs/>
                          <w:sz w:val="20"/>
                          <w:szCs w:val="20"/>
                        </w:rPr>
                        <w:t xml:space="preserve"> – pēc atbildētāja nekustamā īpašuma atrašanās vietas), nevis uz </w:t>
                      </w:r>
                      <w:r w:rsidR="00A02653" w:rsidRPr="00BC014F">
                        <w:rPr>
                          <w:rFonts w:ascii="Tahoma" w:hAnsi="Tahoma" w:cs="Tahoma"/>
                          <w:bCs/>
                          <w:sz w:val="20"/>
                          <w:szCs w:val="20"/>
                        </w:rPr>
                        <w:t xml:space="preserve">Briseles </w:t>
                      </w:r>
                      <w:proofErr w:type="spellStart"/>
                      <w:r w:rsidR="00A02653" w:rsidRPr="00BC014F">
                        <w:rPr>
                          <w:rFonts w:ascii="Tahoma" w:hAnsi="Tahoma" w:cs="Tahoma"/>
                          <w:bCs/>
                          <w:sz w:val="20"/>
                          <w:szCs w:val="20"/>
                        </w:rPr>
                        <w:t>IIbis</w:t>
                      </w:r>
                      <w:proofErr w:type="spellEnd"/>
                      <w:r w:rsidR="00A02653" w:rsidRPr="00BC014F">
                        <w:rPr>
                          <w:rFonts w:ascii="Tahoma" w:hAnsi="Tahoma" w:cs="Tahoma"/>
                          <w:bCs/>
                          <w:sz w:val="20"/>
                          <w:szCs w:val="20"/>
                        </w:rPr>
                        <w:t xml:space="preserve"> </w:t>
                      </w:r>
                      <w:r w:rsidR="00DB1C27" w:rsidRPr="00BC014F">
                        <w:rPr>
                          <w:rFonts w:ascii="Tahoma" w:hAnsi="Tahoma" w:cs="Tahoma"/>
                          <w:bCs/>
                          <w:sz w:val="20"/>
                          <w:szCs w:val="20"/>
                        </w:rPr>
                        <w:t xml:space="preserve">regulā paredzētajiem pārrobežu lietu piekritības noteikumiem. </w:t>
                      </w:r>
                    </w:p>
                    <w:p w:rsidR="00BC014F" w:rsidRPr="00BC014F" w:rsidRDefault="00BC014F" w:rsidP="00BC014F">
                      <w:pPr>
                        <w:pStyle w:val="Sarakstarindkopa"/>
                        <w:rPr>
                          <w:rFonts w:ascii="Tahoma" w:hAnsi="Tahoma" w:cs="Tahoma"/>
                          <w:bCs/>
                          <w:sz w:val="20"/>
                          <w:szCs w:val="20"/>
                        </w:rPr>
                      </w:pPr>
                    </w:p>
                    <w:p w:rsidR="00BC014F" w:rsidRPr="00BC014F" w:rsidRDefault="00BC014F" w:rsidP="00BC014F">
                      <w:pPr>
                        <w:pStyle w:val="Sarakstarindkopa"/>
                        <w:rPr>
                          <w:rFonts w:ascii="Tahoma" w:hAnsi="Tahoma" w:cs="Tahoma"/>
                          <w:sz w:val="20"/>
                          <w:szCs w:val="20"/>
                        </w:rPr>
                      </w:pPr>
                    </w:p>
                    <w:p w:rsidR="00DB1C27" w:rsidRDefault="00DB1C27" w:rsidP="00DB1C27">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sz w:val="20"/>
                          <w:szCs w:val="20"/>
                        </w:rPr>
                        <w:t xml:space="preserve">Sieva uzskatīja, ka regulas </w:t>
                      </w:r>
                      <w:proofErr w:type="gramStart"/>
                      <w:r w:rsidRPr="00BC014F">
                        <w:rPr>
                          <w:rFonts w:ascii="Tahoma" w:hAnsi="Tahoma" w:cs="Tahoma"/>
                          <w:sz w:val="20"/>
                          <w:szCs w:val="20"/>
                        </w:rPr>
                        <w:t>6.pantā</w:t>
                      </w:r>
                      <w:proofErr w:type="gramEnd"/>
                      <w:r w:rsidRPr="00BC014F">
                        <w:rPr>
                          <w:rFonts w:ascii="Tahoma" w:hAnsi="Tahoma" w:cs="Tahoma"/>
                          <w:sz w:val="20"/>
                          <w:szCs w:val="20"/>
                        </w:rPr>
                        <w:t xml:space="preserve"> paredzētais jurisdikcijas izņēmuma raksturs, proti, ka pret laulāto, kuram ir pastāvīgā dzīvesvieta dalībvalstī vai kuram ir kādas dalībvalsts piederība, var celt prasību kādā dalībvalstī saskaņā ar šiem regulā paredzētajiem pārrobežu lietu piekritības pamatiem, ir piemērojams tikai tad, ja atbildētāja pastāvīgā dzīvesvieta ir dalībvalstī vai viņš ir dalībvalsts piederīgais. Taču tas nav piemērojams šajā g</w:t>
                      </w:r>
                      <w:r w:rsidR="00BC014F">
                        <w:rPr>
                          <w:rFonts w:ascii="Tahoma" w:hAnsi="Tahoma" w:cs="Tahoma"/>
                          <w:sz w:val="20"/>
                          <w:szCs w:val="20"/>
                        </w:rPr>
                        <w:t>adījumā, jo atbildētājs ir Turcijas pilsonis un dzīvo Turcijā</w:t>
                      </w:r>
                      <w:r w:rsidRPr="00BC014F">
                        <w:rPr>
                          <w:rFonts w:ascii="Tahoma" w:hAnsi="Tahoma" w:cs="Tahoma"/>
                          <w:sz w:val="20"/>
                          <w:szCs w:val="20"/>
                        </w:rPr>
                        <w:t xml:space="preserve">, kā rezultātā netiek izpildīts neviens no jurisdikcijas izņēmuma rakstura nosacījumiem. </w:t>
                      </w:r>
                    </w:p>
                    <w:p w:rsidR="00BC014F" w:rsidRDefault="00BC014F" w:rsidP="00BC014F">
                      <w:pPr>
                        <w:pStyle w:val="Sarakstarindkopa"/>
                        <w:autoSpaceDE w:val="0"/>
                        <w:autoSpaceDN w:val="0"/>
                        <w:adjustRightInd w:val="0"/>
                        <w:ind w:right="-1"/>
                        <w:jc w:val="both"/>
                        <w:rPr>
                          <w:rFonts w:ascii="Tahoma" w:hAnsi="Tahoma" w:cs="Tahoma"/>
                          <w:sz w:val="20"/>
                          <w:szCs w:val="20"/>
                        </w:rPr>
                      </w:pPr>
                    </w:p>
                    <w:p w:rsidR="00BC014F" w:rsidRPr="00BC014F" w:rsidRDefault="00BC014F" w:rsidP="00BC014F">
                      <w:pPr>
                        <w:pStyle w:val="Sarakstarindkopa"/>
                        <w:numPr>
                          <w:ilvl w:val="0"/>
                          <w:numId w:val="8"/>
                        </w:numPr>
                        <w:autoSpaceDE w:val="0"/>
                        <w:autoSpaceDN w:val="0"/>
                        <w:adjustRightInd w:val="0"/>
                        <w:ind w:right="-1"/>
                        <w:jc w:val="both"/>
                        <w:rPr>
                          <w:rFonts w:ascii="Tahoma" w:hAnsi="Tahoma" w:cs="Tahoma"/>
                          <w:sz w:val="20"/>
                          <w:szCs w:val="20"/>
                        </w:rPr>
                      </w:pPr>
                      <w:r w:rsidRPr="00BC014F">
                        <w:rPr>
                          <w:rFonts w:ascii="Tahoma" w:hAnsi="Tahoma" w:cs="Tahoma"/>
                          <w:bCs/>
                          <w:sz w:val="20"/>
                          <w:szCs w:val="20"/>
                        </w:rPr>
                        <w:t xml:space="preserve">Vienošanās par piemērojamo likumu laulības šķiršanas gadījumā netika noslēgta. </w:t>
                      </w:r>
                    </w:p>
                    <w:p w:rsidR="00BC014F" w:rsidRPr="00BC014F" w:rsidRDefault="00BC014F" w:rsidP="00BC014F">
                      <w:pPr>
                        <w:pStyle w:val="Sarakstarindkopa"/>
                        <w:autoSpaceDE w:val="0"/>
                        <w:autoSpaceDN w:val="0"/>
                        <w:adjustRightInd w:val="0"/>
                        <w:ind w:right="-1"/>
                        <w:jc w:val="both"/>
                        <w:rPr>
                          <w:rFonts w:ascii="Tahoma" w:hAnsi="Tahoma" w:cs="Tahoma"/>
                          <w:sz w:val="20"/>
                          <w:szCs w:val="20"/>
                        </w:rPr>
                      </w:pPr>
                    </w:p>
                    <w:p w:rsidR="00A02653" w:rsidRDefault="00A02653" w:rsidP="00DB1C27">
                      <w:pPr>
                        <w:autoSpaceDE w:val="0"/>
                        <w:autoSpaceDN w:val="0"/>
                        <w:adjustRightInd w:val="0"/>
                        <w:ind w:right="-1"/>
                        <w:jc w:val="both"/>
                        <w:rPr>
                          <w:rFonts w:ascii="Tahoma" w:hAnsi="Tahoma" w:cs="Tahoma"/>
                          <w:sz w:val="20"/>
                          <w:szCs w:val="20"/>
                        </w:rPr>
                      </w:pPr>
                    </w:p>
                    <w:p w:rsidR="00A02653" w:rsidRDefault="00A02653" w:rsidP="00DB1C27">
                      <w:pPr>
                        <w:autoSpaceDE w:val="0"/>
                        <w:autoSpaceDN w:val="0"/>
                        <w:adjustRightInd w:val="0"/>
                        <w:ind w:right="-1"/>
                        <w:jc w:val="both"/>
                        <w:rPr>
                          <w:rFonts w:ascii="Tahoma" w:hAnsi="Tahoma" w:cs="Tahoma"/>
                          <w:b/>
                          <w:sz w:val="20"/>
                          <w:szCs w:val="20"/>
                        </w:rPr>
                      </w:pPr>
                      <w:r>
                        <w:rPr>
                          <w:rFonts w:ascii="Tahoma" w:hAnsi="Tahoma" w:cs="Tahoma"/>
                          <w:sz w:val="20"/>
                          <w:szCs w:val="20"/>
                        </w:rPr>
                        <w:tab/>
                      </w:r>
                      <w:r w:rsidRPr="00A02653">
                        <w:rPr>
                          <w:rFonts w:ascii="Tahoma" w:hAnsi="Tahoma" w:cs="Tahoma"/>
                          <w:b/>
                          <w:sz w:val="20"/>
                          <w:szCs w:val="20"/>
                        </w:rPr>
                        <w:t xml:space="preserve">Jautājumi diskusijai: </w:t>
                      </w:r>
                    </w:p>
                    <w:p w:rsidR="005A5FCB" w:rsidRDefault="005A5FCB" w:rsidP="00A70F1D">
                      <w:pPr>
                        <w:autoSpaceDE w:val="0"/>
                        <w:autoSpaceDN w:val="0"/>
                        <w:adjustRightInd w:val="0"/>
                        <w:ind w:right="-1"/>
                        <w:jc w:val="both"/>
                        <w:rPr>
                          <w:rFonts w:ascii="Tahoma" w:hAnsi="Tahoma" w:cs="Tahoma"/>
                          <w:b/>
                          <w:sz w:val="20"/>
                          <w:szCs w:val="20"/>
                        </w:rPr>
                      </w:pPr>
                    </w:p>
                    <w:p w:rsidR="00A02653" w:rsidRPr="00A02653" w:rsidRDefault="005A5FCB" w:rsidP="00A70F1D">
                      <w:pPr>
                        <w:autoSpaceDE w:val="0"/>
                        <w:autoSpaceDN w:val="0"/>
                        <w:adjustRightInd w:val="0"/>
                        <w:ind w:right="-1"/>
                        <w:jc w:val="both"/>
                        <w:rPr>
                          <w:rFonts w:ascii="Tahoma" w:hAnsi="Tahoma" w:cs="Tahoma"/>
                          <w:b/>
                          <w:sz w:val="20"/>
                          <w:szCs w:val="20"/>
                        </w:rPr>
                      </w:pPr>
                      <w:r>
                        <w:rPr>
                          <w:rFonts w:ascii="Tahoma" w:hAnsi="Tahoma" w:cs="Tahoma"/>
                          <w:b/>
                          <w:sz w:val="20"/>
                          <w:szCs w:val="20"/>
                        </w:rPr>
                        <w:t>Jurisdikcija:</w:t>
                      </w:r>
                    </w:p>
                    <w:p w:rsidR="00DB1C27" w:rsidRPr="00A70F1D" w:rsidRDefault="00A02653"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V</w:t>
                      </w:r>
                      <w:r w:rsidR="00DB1C27" w:rsidRPr="00A70F1D">
                        <w:rPr>
                          <w:rFonts w:ascii="Tahoma" w:hAnsi="Tahoma" w:cs="Tahoma"/>
                          <w:b/>
                          <w:bCs/>
                          <w:sz w:val="20"/>
                          <w:szCs w:val="20"/>
                        </w:rPr>
                        <w:t>ai Latvijas tiesa ir kompetenta izskatīt laulības šķiršanas lietu?</w:t>
                      </w:r>
                    </w:p>
                    <w:p w:rsidR="00A70F1D" w:rsidRDefault="00A70F1D" w:rsidP="00A70F1D">
                      <w:pPr>
                        <w:autoSpaceDE w:val="0"/>
                        <w:autoSpaceDN w:val="0"/>
                        <w:adjustRightInd w:val="0"/>
                        <w:ind w:right="-1"/>
                        <w:jc w:val="both"/>
                        <w:rPr>
                          <w:rFonts w:ascii="Tahoma" w:hAnsi="Tahoma" w:cs="Tahoma"/>
                          <w:b/>
                          <w:bCs/>
                          <w:sz w:val="20"/>
                          <w:szCs w:val="20"/>
                        </w:rPr>
                      </w:pPr>
                    </w:p>
                    <w:p w:rsidR="00A70F1D" w:rsidRDefault="00A70F1D"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Ja tiesai rodas šaubas par savu jurisdikciju skatīt attiecīgo laulības šķiršanas lietu pēc prasības pieteikuma saņemšanas</w:t>
                      </w:r>
                      <w:r>
                        <w:rPr>
                          <w:rFonts w:ascii="Tahoma" w:hAnsi="Tahoma" w:cs="Tahoma"/>
                          <w:b/>
                          <w:bCs/>
                          <w:sz w:val="20"/>
                          <w:szCs w:val="20"/>
                        </w:rPr>
                        <w:t>, - tiesas rīcība?</w:t>
                      </w:r>
                    </w:p>
                    <w:p w:rsidR="00A70F1D" w:rsidRPr="00A70F1D" w:rsidRDefault="00A70F1D" w:rsidP="00A70F1D">
                      <w:pPr>
                        <w:pStyle w:val="Sarakstarindkopa"/>
                        <w:rPr>
                          <w:rFonts w:ascii="Tahoma" w:hAnsi="Tahoma" w:cs="Tahoma"/>
                          <w:b/>
                          <w:bCs/>
                          <w:sz w:val="20"/>
                          <w:szCs w:val="20"/>
                        </w:rPr>
                      </w:pPr>
                    </w:p>
                    <w:p w:rsidR="00A70F1D" w:rsidRPr="005A5FCB" w:rsidRDefault="00A70F1D" w:rsidP="00A70F1D">
                      <w:pPr>
                        <w:pStyle w:val="Sarakstarindkopa"/>
                        <w:numPr>
                          <w:ilvl w:val="0"/>
                          <w:numId w:val="6"/>
                        </w:numPr>
                        <w:autoSpaceDE w:val="0"/>
                        <w:autoSpaceDN w:val="0"/>
                        <w:adjustRightInd w:val="0"/>
                        <w:ind w:right="-1"/>
                        <w:jc w:val="both"/>
                        <w:rPr>
                          <w:rFonts w:ascii="Tahoma" w:hAnsi="Tahoma" w:cs="Tahoma"/>
                          <w:b/>
                          <w:bCs/>
                          <w:sz w:val="20"/>
                          <w:szCs w:val="20"/>
                        </w:rPr>
                      </w:pPr>
                      <w:r w:rsidRPr="00A70F1D">
                        <w:rPr>
                          <w:rFonts w:ascii="Tahoma" w:hAnsi="Tahoma" w:cs="Tahoma"/>
                          <w:b/>
                          <w:bCs/>
                          <w:sz w:val="20"/>
                          <w:szCs w:val="20"/>
                        </w:rPr>
                        <w:t xml:space="preserve">Ja pieņemts lēmums par prasības pieteikuma pieņemšanu un lietas ierosināšanu, bet tiesa konstatē, ka personas pastāvīgā dzīvesvieta ir ārvalstī un tai saskaņā ar </w:t>
                      </w:r>
                      <w:r w:rsidRPr="005A5FCB">
                        <w:rPr>
                          <w:rFonts w:ascii="Tahoma" w:hAnsi="Tahoma" w:cs="Tahoma"/>
                          <w:b/>
                          <w:bCs/>
                          <w:sz w:val="20"/>
                          <w:szCs w:val="20"/>
                        </w:rPr>
                        <w:t xml:space="preserve">Briseles </w:t>
                      </w:r>
                      <w:proofErr w:type="spellStart"/>
                      <w:r w:rsidRPr="005A5FCB">
                        <w:rPr>
                          <w:rFonts w:ascii="Tahoma" w:hAnsi="Tahoma" w:cs="Tahoma"/>
                          <w:b/>
                          <w:bCs/>
                          <w:sz w:val="20"/>
                          <w:szCs w:val="20"/>
                        </w:rPr>
                        <w:t>IIbis</w:t>
                      </w:r>
                      <w:proofErr w:type="spellEnd"/>
                      <w:r w:rsidRPr="005A5FCB">
                        <w:rPr>
                          <w:rFonts w:ascii="Tahoma" w:hAnsi="Tahoma" w:cs="Tahoma"/>
                          <w:b/>
                          <w:bCs/>
                          <w:sz w:val="20"/>
                          <w:szCs w:val="20"/>
                        </w:rPr>
                        <w:t xml:space="preserve"> Regulas noteikumiem nav jurisdikcijas skatīt šo lietu, - tiesas rīcība?</w:t>
                      </w:r>
                    </w:p>
                    <w:p w:rsidR="005A5FCB" w:rsidRPr="005A5FCB" w:rsidRDefault="005A5FCB" w:rsidP="005A5FCB">
                      <w:pPr>
                        <w:autoSpaceDE w:val="0"/>
                        <w:autoSpaceDN w:val="0"/>
                        <w:adjustRightInd w:val="0"/>
                        <w:ind w:right="-1"/>
                        <w:rPr>
                          <w:rFonts w:ascii="Tahoma" w:hAnsi="Tahoma" w:cs="Tahoma"/>
                          <w:b/>
                          <w:bCs/>
                          <w:sz w:val="20"/>
                          <w:szCs w:val="20"/>
                        </w:rPr>
                      </w:pPr>
                    </w:p>
                    <w:p w:rsidR="00A70F1D" w:rsidRPr="005A5FCB" w:rsidRDefault="005A5FCB" w:rsidP="005A5FCB">
                      <w:pPr>
                        <w:autoSpaceDE w:val="0"/>
                        <w:autoSpaceDN w:val="0"/>
                        <w:adjustRightInd w:val="0"/>
                        <w:ind w:right="-1"/>
                        <w:rPr>
                          <w:rFonts w:ascii="Tahoma" w:hAnsi="Tahoma" w:cs="Tahoma"/>
                          <w:b/>
                          <w:bCs/>
                          <w:sz w:val="20"/>
                          <w:szCs w:val="20"/>
                        </w:rPr>
                      </w:pPr>
                      <w:r w:rsidRPr="005A5FCB">
                        <w:rPr>
                          <w:rFonts w:ascii="Tahoma" w:hAnsi="Tahoma" w:cs="Tahoma"/>
                          <w:b/>
                          <w:bCs/>
                          <w:sz w:val="20"/>
                          <w:szCs w:val="20"/>
                        </w:rPr>
                        <w:t>Piemērojamais likums:</w:t>
                      </w:r>
                    </w:p>
                    <w:p w:rsidR="00DB1C27" w:rsidRPr="00E6537E" w:rsidRDefault="00A02653" w:rsidP="00A70F1D">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bCs/>
                          <w:sz w:val="20"/>
                          <w:szCs w:val="20"/>
                        </w:rPr>
                        <w:t>K</w:t>
                      </w:r>
                      <w:r w:rsidR="00DB1C27" w:rsidRPr="005A5FCB">
                        <w:rPr>
                          <w:rFonts w:ascii="Tahoma" w:hAnsi="Tahoma" w:cs="Tahoma"/>
                          <w:b/>
                          <w:bCs/>
                          <w:sz w:val="20"/>
                          <w:szCs w:val="20"/>
                        </w:rPr>
                        <w:t xml:space="preserve">uras valsts likums ir piemērojams laulības šķiršanas lietā? </w:t>
                      </w:r>
                    </w:p>
                    <w:p w:rsidR="00E6537E" w:rsidRPr="00E6537E" w:rsidRDefault="00E6537E" w:rsidP="00E6537E">
                      <w:pPr>
                        <w:pStyle w:val="Sarakstarindkopa"/>
                        <w:autoSpaceDE w:val="0"/>
                        <w:autoSpaceDN w:val="0"/>
                        <w:adjustRightInd w:val="0"/>
                        <w:ind w:left="1446" w:right="-1"/>
                        <w:jc w:val="both"/>
                        <w:rPr>
                          <w:rFonts w:ascii="Tahoma" w:hAnsi="Tahoma" w:cs="Tahoma"/>
                          <w:b/>
                          <w:sz w:val="20"/>
                          <w:szCs w:val="20"/>
                        </w:rPr>
                      </w:pPr>
                    </w:p>
                    <w:p w:rsidR="00E6537E" w:rsidRPr="005A5FCB" w:rsidRDefault="00E6537E" w:rsidP="00A70F1D">
                      <w:pPr>
                        <w:pStyle w:val="Sarakstarindkopa"/>
                        <w:numPr>
                          <w:ilvl w:val="0"/>
                          <w:numId w:val="6"/>
                        </w:numPr>
                        <w:autoSpaceDE w:val="0"/>
                        <w:autoSpaceDN w:val="0"/>
                        <w:adjustRightInd w:val="0"/>
                        <w:ind w:right="-1"/>
                        <w:jc w:val="both"/>
                        <w:rPr>
                          <w:rFonts w:ascii="Tahoma" w:hAnsi="Tahoma" w:cs="Tahoma"/>
                          <w:b/>
                          <w:sz w:val="20"/>
                          <w:szCs w:val="20"/>
                        </w:rPr>
                      </w:pPr>
                      <w:r>
                        <w:rPr>
                          <w:rFonts w:ascii="Tahoma" w:hAnsi="Tahoma" w:cs="Tahoma"/>
                          <w:b/>
                          <w:bCs/>
                          <w:sz w:val="20"/>
                          <w:szCs w:val="20"/>
                        </w:rPr>
                        <w:t xml:space="preserve">Kuram ir pienākums atsaukties uz ārvalsts likuma piemērošanu? </w:t>
                      </w:r>
                    </w:p>
                    <w:p w:rsidR="005A5FCB" w:rsidRPr="005A5FCB" w:rsidRDefault="005A5FCB" w:rsidP="005A5FCB">
                      <w:pPr>
                        <w:pStyle w:val="Sarakstarindkopa"/>
                        <w:rPr>
                          <w:rFonts w:ascii="Tahoma" w:hAnsi="Tahoma" w:cs="Tahoma"/>
                          <w:b/>
                          <w:sz w:val="20"/>
                          <w:szCs w:val="20"/>
                        </w:rPr>
                      </w:pPr>
                    </w:p>
                    <w:p w:rsidR="005A5FCB" w:rsidRPr="005A5FCB" w:rsidRDefault="006E4684" w:rsidP="005A5FCB">
                      <w:pPr>
                        <w:pStyle w:val="Sarakstarindkopa"/>
                        <w:numPr>
                          <w:ilvl w:val="0"/>
                          <w:numId w:val="6"/>
                        </w:numPr>
                        <w:autoSpaceDE w:val="0"/>
                        <w:autoSpaceDN w:val="0"/>
                        <w:adjustRightInd w:val="0"/>
                        <w:ind w:right="-1"/>
                        <w:jc w:val="both"/>
                        <w:rPr>
                          <w:rFonts w:ascii="Tahoma" w:hAnsi="Tahoma" w:cs="Tahoma"/>
                          <w:b/>
                          <w:sz w:val="20"/>
                          <w:szCs w:val="20"/>
                        </w:rPr>
                      </w:pPr>
                      <w:r>
                        <w:rPr>
                          <w:rFonts w:ascii="Tahoma" w:hAnsi="Tahoma" w:cs="Tahoma"/>
                          <w:b/>
                          <w:sz w:val="20"/>
                          <w:szCs w:val="20"/>
                        </w:rPr>
                        <w:t>T</w:t>
                      </w:r>
                      <w:r w:rsidR="005A5FCB" w:rsidRPr="005A5FCB">
                        <w:rPr>
                          <w:rFonts w:ascii="Tahoma" w:hAnsi="Tahoma" w:cs="Tahoma"/>
                          <w:b/>
                          <w:sz w:val="20"/>
                          <w:szCs w:val="20"/>
                        </w:rPr>
                        <w:t xml:space="preserve">iesa vai lietas dalībnieks noskaidro ārvalsts </w:t>
                      </w:r>
                      <w:r>
                        <w:rPr>
                          <w:rFonts w:ascii="Tahoma" w:hAnsi="Tahoma" w:cs="Tahoma"/>
                          <w:b/>
                          <w:sz w:val="20"/>
                          <w:szCs w:val="20"/>
                        </w:rPr>
                        <w:t>likuma saturu</w:t>
                      </w:r>
                      <w:r w:rsidR="00D951F2">
                        <w:rPr>
                          <w:rFonts w:ascii="Tahoma" w:hAnsi="Tahoma" w:cs="Tahoma"/>
                          <w:b/>
                          <w:sz w:val="20"/>
                          <w:szCs w:val="20"/>
                        </w:rPr>
                        <w:t>?</w:t>
                      </w:r>
                    </w:p>
                    <w:p w:rsidR="005A5FCB" w:rsidRPr="005A5FCB" w:rsidRDefault="005A5FCB" w:rsidP="005A5FCB">
                      <w:pPr>
                        <w:pStyle w:val="Sarakstarindkopa"/>
                        <w:rPr>
                          <w:rFonts w:ascii="Tahoma" w:hAnsi="Tahoma" w:cs="Tahoma"/>
                          <w:b/>
                          <w:sz w:val="20"/>
                          <w:szCs w:val="20"/>
                        </w:rPr>
                      </w:pPr>
                    </w:p>
                    <w:p w:rsidR="005A5FCB" w:rsidRPr="005A5FCB" w:rsidRDefault="005A5FCB" w:rsidP="005A5FCB">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sz w:val="20"/>
                          <w:szCs w:val="20"/>
                        </w:rPr>
                        <w:t>Vai tiesas pienākums ir iesaistīties tikai tad, kad ārvalsts likuma saturu puses</w:t>
                      </w:r>
                      <w:r w:rsidR="000D2B4C">
                        <w:rPr>
                          <w:rFonts w:ascii="Tahoma" w:hAnsi="Tahoma" w:cs="Tahoma"/>
                          <w:b/>
                          <w:sz w:val="20"/>
                          <w:szCs w:val="20"/>
                        </w:rPr>
                        <w:t xml:space="preserve"> nespēj noskaidrot vai tiesai rodas</w:t>
                      </w:r>
                      <w:bookmarkStart w:id="1" w:name="_GoBack"/>
                      <w:bookmarkEnd w:id="1"/>
                      <w:r w:rsidRPr="005A5FCB">
                        <w:rPr>
                          <w:rFonts w:ascii="Tahoma" w:hAnsi="Tahoma" w:cs="Tahoma"/>
                          <w:b/>
                          <w:sz w:val="20"/>
                          <w:szCs w:val="20"/>
                        </w:rPr>
                        <w:t xml:space="preserve"> šaubas par tā saturu?</w:t>
                      </w:r>
                    </w:p>
                    <w:p w:rsidR="005A5FCB" w:rsidRPr="005A5FCB" w:rsidRDefault="005A5FCB" w:rsidP="005A5FCB">
                      <w:pPr>
                        <w:pStyle w:val="Sarakstarindkopa"/>
                        <w:rPr>
                          <w:rFonts w:ascii="Tahoma" w:hAnsi="Tahoma" w:cs="Tahoma"/>
                          <w:b/>
                          <w:sz w:val="20"/>
                          <w:szCs w:val="20"/>
                        </w:rPr>
                      </w:pPr>
                    </w:p>
                    <w:p w:rsidR="005A5FCB" w:rsidRPr="005A5FCB" w:rsidRDefault="005A5FCB" w:rsidP="005A5FCB">
                      <w:pPr>
                        <w:pStyle w:val="Sarakstarindkopa"/>
                        <w:numPr>
                          <w:ilvl w:val="0"/>
                          <w:numId w:val="6"/>
                        </w:numPr>
                        <w:autoSpaceDE w:val="0"/>
                        <w:autoSpaceDN w:val="0"/>
                        <w:adjustRightInd w:val="0"/>
                        <w:ind w:right="-1"/>
                        <w:jc w:val="both"/>
                        <w:rPr>
                          <w:rFonts w:ascii="Tahoma" w:hAnsi="Tahoma" w:cs="Tahoma"/>
                          <w:b/>
                          <w:sz w:val="20"/>
                          <w:szCs w:val="20"/>
                        </w:rPr>
                      </w:pPr>
                      <w:r w:rsidRPr="005A5FCB">
                        <w:rPr>
                          <w:rFonts w:ascii="Tahoma" w:hAnsi="Tahoma" w:cs="Tahoma"/>
                          <w:b/>
                          <w:sz w:val="20"/>
                          <w:szCs w:val="20"/>
                        </w:rPr>
                        <w:t>Vai tiek noskaidrots tikai ārvalsts likums vai arī tiesu nolēmumi, judikatūra, zinātniskā literatūra par piemērojamo ārvalsts tiesību normu</w:t>
                      </w:r>
                      <w:r w:rsidR="00D951F2">
                        <w:rPr>
                          <w:rFonts w:ascii="Tahoma" w:hAnsi="Tahoma" w:cs="Tahoma"/>
                          <w:b/>
                          <w:sz w:val="20"/>
                          <w:szCs w:val="20"/>
                        </w:rPr>
                        <w:t>?</w:t>
                      </w:r>
                    </w:p>
                    <w:p w:rsidR="00DB1C27" w:rsidRPr="005A5FCB" w:rsidRDefault="00DB1C27" w:rsidP="005A5FCB">
                      <w:pPr>
                        <w:autoSpaceDE w:val="0"/>
                        <w:autoSpaceDN w:val="0"/>
                        <w:adjustRightInd w:val="0"/>
                        <w:ind w:right="-1"/>
                        <w:jc w:val="both"/>
                        <w:rPr>
                          <w:rFonts w:ascii="Tahoma" w:hAnsi="Tahoma" w:cs="Tahoma"/>
                          <w:b/>
                          <w:sz w:val="20"/>
                          <w:szCs w:val="20"/>
                        </w:rPr>
                      </w:pPr>
                    </w:p>
                    <w:p w:rsidR="005A5FCB" w:rsidRDefault="005A5FCB"/>
                  </w:txbxContent>
                </v:textbox>
              </v:shape>
            </w:pict>
          </mc:Fallback>
        </mc:AlternateContent>
      </w:r>
    </w:p>
    <w:p w:rsidR="00BB2B62" w:rsidRDefault="00BB2B62"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DB1C27" w:rsidRDefault="00DB1C27" w:rsidP="0014245A">
      <w:pPr>
        <w:rPr>
          <w:rFonts w:ascii="Tahoma" w:hAnsi="Tahoma" w:cs="Tahoma"/>
          <w:b/>
          <w:i/>
          <w:sz w:val="20"/>
          <w:szCs w:val="20"/>
        </w:rPr>
      </w:pPr>
    </w:p>
    <w:p w:rsidR="00EA05CC" w:rsidRPr="003761F1" w:rsidRDefault="00EA05CC"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DB1C27" w:rsidRDefault="00DB1C27" w:rsidP="00141BB3">
      <w:pPr>
        <w:autoSpaceDE w:val="0"/>
        <w:autoSpaceDN w:val="0"/>
        <w:adjustRightInd w:val="0"/>
        <w:ind w:right="-1"/>
        <w:jc w:val="both"/>
        <w:rPr>
          <w:rFonts w:ascii="Tahoma" w:hAnsi="Tahoma" w:cs="Tahoma"/>
          <w:b/>
          <w:sz w:val="20"/>
          <w:szCs w:val="20"/>
        </w:rPr>
      </w:pPr>
    </w:p>
    <w:p w:rsidR="00EA05CC" w:rsidRPr="003761F1" w:rsidRDefault="00EA05CC" w:rsidP="00BB2105">
      <w:pPr>
        <w:autoSpaceDE w:val="0"/>
        <w:autoSpaceDN w:val="0"/>
        <w:adjustRightInd w:val="0"/>
        <w:ind w:right="-1"/>
        <w:jc w:val="both"/>
        <w:rPr>
          <w:rFonts w:ascii="Tahoma" w:hAnsi="Tahoma" w:cs="Tahoma"/>
          <w:sz w:val="20"/>
          <w:szCs w:val="20"/>
        </w:rPr>
      </w:pPr>
    </w:p>
    <w:p w:rsidR="00EA05CC" w:rsidRPr="003761F1" w:rsidRDefault="00EA05CC" w:rsidP="00BB2105">
      <w:pPr>
        <w:autoSpaceDE w:val="0"/>
        <w:autoSpaceDN w:val="0"/>
        <w:adjustRightInd w:val="0"/>
        <w:ind w:right="-1"/>
        <w:jc w:val="both"/>
        <w:rPr>
          <w:rFonts w:ascii="Tahoma" w:hAnsi="Tahoma" w:cs="Tahoma"/>
          <w:sz w:val="20"/>
          <w:szCs w:val="20"/>
        </w:rPr>
      </w:pPr>
    </w:p>
    <w:sectPr w:rsidR="00EA05CC" w:rsidRPr="003761F1" w:rsidSect="004736FE">
      <w:headerReference w:type="even" r:id="rId10"/>
      <w:headerReference w:type="default" r:id="rId11"/>
      <w:pgSz w:w="11906" w:h="16838" w:code="9"/>
      <w:pgMar w:top="1418"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2F" w:rsidRDefault="00F7632F">
      <w:r>
        <w:separator/>
      </w:r>
    </w:p>
  </w:endnote>
  <w:endnote w:type="continuationSeparator" w:id="0">
    <w:p w:rsidR="00F7632F" w:rsidRDefault="00F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ail">
    <w:altName w:val="Times New Roman"/>
    <w:panose1 w:val="00000000000000000000"/>
    <w:charset w:val="00"/>
    <w:family w:val="roman"/>
    <w:notTrueType/>
    <w:pitch w:val="default"/>
  </w:font>
  <w:font w:name="+mn-ea">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2F" w:rsidRDefault="00F7632F">
      <w:r>
        <w:separator/>
      </w:r>
    </w:p>
  </w:footnote>
  <w:footnote w:type="continuationSeparator" w:id="0">
    <w:p w:rsidR="00F7632F" w:rsidRDefault="00F7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2F" w:rsidRDefault="00F7632F" w:rsidP="00CA766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7632F" w:rsidRDefault="00F7632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2F" w:rsidRPr="006E445D" w:rsidRDefault="00F7632F" w:rsidP="00CA7666">
    <w:pPr>
      <w:pStyle w:val="Galvene"/>
      <w:framePr w:wrap="around" w:vAnchor="text" w:hAnchor="margin" w:xAlign="center" w:y="1"/>
      <w:rPr>
        <w:rStyle w:val="Lappusesnumurs"/>
        <w:sz w:val="24"/>
        <w:szCs w:val="24"/>
      </w:rPr>
    </w:pPr>
    <w:r w:rsidRPr="006E445D">
      <w:rPr>
        <w:rStyle w:val="Lappusesnumurs"/>
        <w:sz w:val="24"/>
        <w:szCs w:val="24"/>
      </w:rPr>
      <w:fldChar w:fldCharType="begin"/>
    </w:r>
    <w:r w:rsidRPr="006E445D">
      <w:rPr>
        <w:rStyle w:val="Lappusesnumurs"/>
        <w:sz w:val="24"/>
        <w:szCs w:val="24"/>
      </w:rPr>
      <w:instrText xml:space="preserve">PAGE  </w:instrText>
    </w:r>
    <w:r w:rsidRPr="006E445D">
      <w:rPr>
        <w:rStyle w:val="Lappusesnumurs"/>
        <w:sz w:val="24"/>
        <w:szCs w:val="24"/>
      </w:rPr>
      <w:fldChar w:fldCharType="separate"/>
    </w:r>
    <w:r w:rsidR="003761F1">
      <w:rPr>
        <w:rStyle w:val="Lappusesnumurs"/>
        <w:noProof/>
        <w:sz w:val="24"/>
        <w:szCs w:val="24"/>
      </w:rPr>
      <w:t>2</w:t>
    </w:r>
    <w:r w:rsidRPr="006E445D">
      <w:rPr>
        <w:rStyle w:val="Lappusesnumurs"/>
        <w:sz w:val="24"/>
        <w:szCs w:val="24"/>
      </w:rPr>
      <w:fldChar w:fldCharType="end"/>
    </w:r>
  </w:p>
  <w:p w:rsidR="00F7632F" w:rsidRDefault="00F7632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1849"/>
    <w:multiLevelType w:val="hybridMultilevel"/>
    <w:tmpl w:val="5356A2FA"/>
    <w:lvl w:ilvl="0" w:tplc="7C38CDA8">
      <w:start w:val="2"/>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19F44B4E"/>
    <w:multiLevelType w:val="hybridMultilevel"/>
    <w:tmpl w:val="4B36D936"/>
    <w:lvl w:ilvl="0" w:tplc="CAFA69B8">
      <w:start w:val="2"/>
      <w:numFmt w:val="bullet"/>
      <w:lvlText w:val="-"/>
      <w:lvlJc w:val="left"/>
      <w:pPr>
        <w:ind w:left="1140" w:hanging="360"/>
      </w:pPr>
      <w:rPr>
        <w:rFonts w:ascii="Cambria" w:eastAsia="Times New Roman" w:hAnsi="Cambria" w:cs="Aria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nsid w:val="1A3C1419"/>
    <w:multiLevelType w:val="hybridMultilevel"/>
    <w:tmpl w:val="70169EA8"/>
    <w:lvl w:ilvl="0" w:tplc="0DB2C33C">
      <w:start w:val="1"/>
      <w:numFmt w:val="bullet"/>
      <w:lvlText w:val=""/>
      <w:lvlJc w:val="left"/>
      <w:pPr>
        <w:tabs>
          <w:tab w:val="num" w:pos="720"/>
        </w:tabs>
        <w:ind w:left="720" w:hanging="360"/>
      </w:pPr>
      <w:rPr>
        <w:rFonts w:ascii="Wingdings" w:hAnsi="Wingdings" w:hint="default"/>
      </w:rPr>
    </w:lvl>
    <w:lvl w:ilvl="1" w:tplc="75886DB6" w:tentative="1">
      <w:start w:val="1"/>
      <w:numFmt w:val="bullet"/>
      <w:lvlText w:val=""/>
      <w:lvlJc w:val="left"/>
      <w:pPr>
        <w:tabs>
          <w:tab w:val="num" w:pos="1440"/>
        </w:tabs>
        <w:ind w:left="1440" w:hanging="360"/>
      </w:pPr>
      <w:rPr>
        <w:rFonts w:ascii="Wingdings" w:hAnsi="Wingdings" w:hint="default"/>
      </w:rPr>
    </w:lvl>
    <w:lvl w:ilvl="2" w:tplc="7BB67630" w:tentative="1">
      <w:start w:val="1"/>
      <w:numFmt w:val="bullet"/>
      <w:lvlText w:val=""/>
      <w:lvlJc w:val="left"/>
      <w:pPr>
        <w:tabs>
          <w:tab w:val="num" w:pos="2160"/>
        </w:tabs>
        <w:ind w:left="2160" w:hanging="360"/>
      </w:pPr>
      <w:rPr>
        <w:rFonts w:ascii="Wingdings" w:hAnsi="Wingdings" w:hint="default"/>
      </w:rPr>
    </w:lvl>
    <w:lvl w:ilvl="3" w:tplc="99723C84" w:tentative="1">
      <w:start w:val="1"/>
      <w:numFmt w:val="bullet"/>
      <w:lvlText w:val=""/>
      <w:lvlJc w:val="left"/>
      <w:pPr>
        <w:tabs>
          <w:tab w:val="num" w:pos="2880"/>
        </w:tabs>
        <w:ind w:left="2880" w:hanging="360"/>
      </w:pPr>
      <w:rPr>
        <w:rFonts w:ascii="Wingdings" w:hAnsi="Wingdings" w:hint="default"/>
      </w:rPr>
    </w:lvl>
    <w:lvl w:ilvl="4" w:tplc="F85A2124" w:tentative="1">
      <w:start w:val="1"/>
      <w:numFmt w:val="bullet"/>
      <w:lvlText w:val=""/>
      <w:lvlJc w:val="left"/>
      <w:pPr>
        <w:tabs>
          <w:tab w:val="num" w:pos="3600"/>
        </w:tabs>
        <w:ind w:left="3600" w:hanging="360"/>
      </w:pPr>
      <w:rPr>
        <w:rFonts w:ascii="Wingdings" w:hAnsi="Wingdings" w:hint="default"/>
      </w:rPr>
    </w:lvl>
    <w:lvl w:ilvl="5" w:tplc="B8922D3E" w:tentative="1">
      <w:start w:val="1"/>
      <w:numFmt w:val="bullet"/>
      <w:lvlText w:val=""/>
      <w:lvlJc w:val="left"/>
      <w:pPr>
        <w:tabs>
          <w:tab w:val="num" w:pos="4320"/>
        </w:tabs>
        <w:ind w:left="4320" w:hanging="360"/>
      </w:pPr>
      <w:rPr>
        <w:rFonts w:ascii="Wingdings" w:hAnsi="Wingdings" w:hint="default"/>
      </w:rPr>
    </w:lvl>
    <w:lvl w:ilvl="6" w:tplc="1256CBA4" w:tentative="1">
      <w:start w:val="1"/>
      <w:numFmt w:val="bullet"/>
      <w:lvlText w:val=""/>
      <w:lvlJc w:val="left"/>
      <w:pPr>
        <w:tabs>
          <w:tab w:val="num" w:pos="5040"/>
        </w:tabs>
        <w:ind w:left="5040" w:hanging="360"/>
      </w:pPr>
      <w:rPr>
        <w:rFonts w:ascii="Wingdings" w:hAnsi="Wingdings" w:hint="default"/>
      </w:rPr>
    </w:lvl>
    <w:lvl w:ilvl="7" w:tplc="D20A583E" w:tentative="1">
      <w:start w:val="1"/>
      <w:numFmt w:val="bullet"/>
      <w:lvlText w:val=""/>
      <w:lvlJc w:val="left"/>
      <w:pPr>
        <w:tabs>
          <w:tab w:val="num" w:pos="5760"/>
        </w:tabs>
        <w:ind w:left="5760" w:hanging="360"/>
      </w:pPr>
      <w:rPr>
        <w:rFonts w:ascii="Wingdings" w:hAnsi="Wingdings" w:hint="default"/>
      </w:rPr>
    </w:lvl>
    <w:lvl w:ilvl="8" w:tplc="A0F45C16" w:tentative="1">
      <w:start w:val="1"/>
      <w:numFmt w:val="bullet"/>
      <w:lvlText w:val=""/>
      <w:lvlJc w:val="left"/>
      <w:pPr>
        <w:tabs>
          <w:tab w:val="num" w:pos="6480"/>
        </w:tabs>
        <w:ind w:left="6480" w:hanging="360"/>
      </w:pPr>
      <w:rPr>
        <w:rFonts w:ascii="Wingdings" w:hAnsi="Wingdings" w:hint="default"/>
      </w:rPr>
    </w:lvl>
  </w:abstractNum>
  <w:abstractNum w:abstractNumId="3">
    <w:nsid w:val="46A72C13"/>
    <w:multiLevelType w:val="hybridMultilevel"/>
    <w:tmpl w:val="8206A3BE"/>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4">
    <w:nsid w:val="4A0744CF"/>
    <w:multiLevelType w:val="hybridMultilevel"/>
    <w:tmpl w:val="EA602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97259F1"/>
    <w:multiLevelType w:val="hybridMultilevel"/>
    <w:tmpl w:val="DFE25AA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79B72C50"/>
    <w:multiLevelType w:val="hybridMultilevel"/>
    <w:tmpl w:val="7AF478CC"/>
    <w:lvl w:ilvl="0" w:tplc="8D3EE72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9BE3247"/>
    <w:multiLevelType w:val="hybridMultilevel"/>
    <w:tmpl w:val="B0809598"/>
    <w:lvl w:ilvl="0" w:tplc="298E78DA">
      <w:start w:val="1"/>
      <w:numFmt w:val="decimal"/>
      <w:lvlText w:val="%1)"/>
      <w:lvlJc w:val="left"/>
      <w:pPr>
        <w:tabs>
          <w:tab w:val="num" w:pos="435"/>
        </w:tabs>
        <w:ind w:left="435" w:hanging="360"/>
      </w:pPr>
      <w:rPr>
        <w:rFonts w:hint="default"/>
      </w:rPr>
    </w:lvl>
    <w:lvl w:ilvl="1" w:tplc="04260019" w:tentative="1">
      <w:start w:val="1"/>
      <w:numFmt w:val="lowerLetter"/>
      <w:lvlText w:val="%2."/>
      <w:lvlJc w:val="left"/>
      <w:pPr>
        <w:tabs>
          <w:tab w:val="num" w:pos="1155"/>
        </w:tabs>
        <w:ind w:left="1155" w:hanging="360"/>
      </w:pPr>
    </w:lvl>
    <w:lvl w:ilvl="2" w:tplc="0426001B" w:tentative="1">
      <w:start w:val="1"/>
      <w:numFmt w:val="lowerRoman"/>
      <w:lvlText w:val="%3."/>
      <w:lvlJc w:val="right"/>
      <w:pPr>
        <w:tabs>
          <w:tab w:val="num" w:pos="1875"/>
        </w:tabs>
        <w:ind w:left="1875" w:hanging="180"/>
      </w:pPr>
    </w:lvl>
    <w:lvl w:ilvl="3" w:tplc="0426000F" w:tentative="1">
      <w:start w:val="1"/>
      <w:numFmt w:val="decimal"/>
      <w:lvlText w:val="%4."/>
      <w:lvlJc w:val="left"/>
      <w:pPr>
        <w:tabs>
          <w:tab w:val="num" w:pos="2595"/>
        </w:tabs>
        <w:ind w:left="2595" w:hanging="360"/>
      </w:pPr>
    </w:lvl>
    <w:lvl w:ilvl="4" w:tplc="04260019" w:tentative="1">
      <w:start w:val="1"/>
      <w:numFmt w:val="lowerLetter"/>
      <w:lvlText w:val="%5."/>
      <w:lvlJc w:val="left"/>
      <w:pPr>
        <w:tabs>
          <w:tab w:val="num" w:pos="3315"/>
        </w:tabs>
        <w:ind w:left="3315" w:hanging="360"/>
      </w:pPr>
    </w:lvl>
    <w:lvl w:ilvl="5" w:tplc="0426001B" w:tentative="1">
      <w:start w:val="1"/>
      <w:numFmt w:val="lowerRoman"/>
      <w:lvlText w:val="%6."/>
      <w:lvlJc w:val="right"/>
      <w:pPr>
        <w:tabs>
          <w:tab w:val="num" w:pos="4035"/>
        </w:tabs>
        <w:ind w:left="4035" w:hanging="180"/>
      </w:pPr>
    </w:lvl>
    <w:lvl w:ilvl="6" w:tplc="0426000F" w:tentative="1">
      <w:start w:val="1"/>
      <w:numFmt w:val="decimal"/>
      <w:lvlText w:val="%7."/>
      <w:lvlJc w:val="left"/>
      <w:pPr>
        <w:tabs>
          <w:tab w:val="num" w:pos="4755"/>
        </w:tabs>
        <w:ind w:left="4755" w:hanging="360"/>
      </w:pPr>
    </w:lvl>
    <w:lvl w:ilvl="7" w:tplc="04260019" w:tentative="1">
      <w:start w:val="1"/>
      <w:numFmt w:val="lowerLetter"/>
      <w:lvlText w:val="%8."/>
      <w:lvlJc w:val="left"/>
      <w:pPr>
        <w:tabs>
          <w:tab w:val="num" w:pos="5475"/>
        </w:tabs>
        <w:ind w:left="5475" w:hanging="360"/>
      </w:pPr>
    </w:lvl>
    <w:lvl w:ilvl="8" w:tplc="0426001B" w:tentative="1">
      <w:start w:val="1"/>
      <w:numFmt w:val="lowerRoman"/>
      <w:lvlText w:val="%9."/>
      <w:lvlJc w:val="right"/>
      <w:pPr>
        <w:tabs>
          <w:tab w:val="num" w:pos="6195"/>
        </w:tabs>
        <w:ind w:left="6195" w:hanging="180"/>
      </w:pPr>
    </w:lvl>
  </w:abstractNum>
  <w:num w:numId="1">
    <w:abstractNumId w:val="7"/>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8C"/>
    <w:rsid w:val="000041AD"/>
    <w:rsid w:val="00017580"/>
    <w:rsid w:val="00017E4B"/>
    <w:rsid w:val="00033E3E"/>
    <w:rsid w:val="00044336"/>
    <w:rsid w:val="00061892"/>
    <w:rsid w:val="00070B26"/>
    <w:rsid w:val="000768CE"/>
    <w:rsid w:val="000A1048"/>
    <w:rsid w:val="000A4C0E"/>
    <w:rsid w:val="000B0EAE"/>
    <w:rsid w:val="000B66F5"/>
    <w:rsid w:val="000C6868"/>
    <w:rsid w:val="000D0595"/>
    <w:rsid w:val="000D2B4C"/>
    <w:rsid w:val="000E1A2B"/>
    <w:rsid w:val="000E6229"/>
    <w:rsid w:val="000E74CC"/>
    <w:rsid w:val="000F0EB8"/>
    <w:rsid w:val="00101099"/>
    <w:rsid w:val="00103E6A"/>
    <w:rsid w:val="00104441"/>
    <w:rsid w:val="00115755"/>
    <w:rsid w:val="001277ED"/>
    <w:rsid w:val="00141BB3"/>
    <w:rsid w:val="0014245A"/>
    <w:rsid w:val="001440BB"/>
    <w:rsid w:val="00163655"/>
    <w:rsid w:val="0018187F"/>
    <w:rsid w:val="00183067"/>
    <w:rsid w:val="00185A0F"/>
    <w:rsid w:val="00186BCA"/>
    <w:rsid w:val="001923C3"/>
    <w:rsid w:val="001940CD"/>
    <w:rsid w:val="001B43CF"/>
    <w:rsid w:val="001B5A6B"/>
    <w:rsid w:val="001B735B"/>
    <w:rsid w:val="001B7EFF"/>
    <w:rsid w:val="001C0320"/>
    <w:rsid w:val="001C65CB"/>
    <w:rsid w:val="001C79DE"/>
    <w:rsid w:val="001D78C5"/>
    <w:rsid w:val="001E305B"/>
    <w:rsid w:val="001E50AA"/>
    <w:rsid w:val="001E662E"/>
    <w:rsid w:val="001F3308"/>
    <w:rsid w:val="001F4AF8"/>
    <w:rsid w:val="00213132"/>
    <w:rsid w:val="00215A8A"/>
    <w:rsid w:val="002177B1"/>
    <w:rsid w:val="002244AA"/>
    <w:rsid w:val="0022577A"/>
    <w:rsid w:val="002365B5"/>
    <w:rsid w:val="00237186"/>
    <w:rsid w:val="00243DC5"/>
    <w:rsid w:val="00261900"/>
    <w:rsid w:val="00264FDE"/>
    <w:rsid w:val="00283CD7"/>
    <w:rsid w:val="0028627A"/>
    <w:rsid w:val="00286332"/>
    <w:rsid w:val="00287033"/>
    <w:rsid w:val="0028748D"/>
    <w:rsid w:val="00297FE8"/>
    <w:rsid w:val="002A7CB8"/>
    <w:rsid w:val="002C1299"/>
    <w:rsid w:val="002C1857"/>
    <w:rsid w:val="002D59D2"/>
    <w:rsid w:val="002D609A"/>
    <w:rsid w:val="002E273A"/>
    <w:rsid w:val="002E3753"/>
    <w:rsid w:val="002E427D"/>
    <w:rsid w:val="002F6898"/>
    <w:rsid w:val="003105DB"/>
    <w:rsid w:val="00313950"/>
    <w:rsid w:val="00316502"/>
    <w:rsid w:val="003171C7"/>
    <w:rsid w:val="00320B08"/>
    <w:rsid w:val="00321FB0"/>
    <w:rsid w:val="00326A19"/>
    <w:rsid w:val="00331138"/>
    <w:rsid w:val="00332C38"/>
    <w:rsid w:val="00334156"/>
    <w:rsid w:val="00346063"/>
    <w:rsid w:val="0034721E"/>
    <w:rsid w:val="00350526"/>
    <w:rsid w:val="0035189D"/>
    <w:rsid w:val="00364E3A"/>
    <w:rsid w:val="00373DD1"/>
    <w:rsid w:val="003761F1"/>
    <w:rsid w:val="00380C22"/>
    <w:rsid w:val="00396DB7"/>
    <w:rsid w:val="00396E4C"/>
    <w:rsid w:val="003A63CF"/>
    <w:rsid w:val="003B5259"/>
    <w:rsid w:val="003B5D1E"/>
    <w:rsid w:val="003B5DE6"/>
    <w:rsid w:val="003C3B44"/>
    <w:rsid w:val="003D4D11"/>
    <w:rsid w:val="003E2BCB"/>
    <w:rsid w:val="003E4B72"/>
    <w:rsid w:val="003E4E66"/>
    <w:rsid w:val="003E657A"/>
    <w:rsid w:val="003F72FF"/>
    <w:rsid w:val="004015BD"/>
    <w:rsid w:val="004057C1"/>
    <w:rsid w:val="0041270D"/>
    <w:rsid w:val="004258D7"/>
    <w:rsid w:val="00427A3E"/>
    <w:rsid w:val="00432631"/>
    <w:rsid w:val="004351C1"/>
    <w:rsid w:val="00442968"/>
    <w:rsid w:val="00443F45"/>
    <w:rsid w:val="00445D10"/>
    <w:rsid w:val="00447C0C"/>
    <w:rsid w:val="00470B4F"/>
    <w:rsid w:val="004736FE"/>
    <w:rsid w:val="004758AA"/>
    <w:rsid w:val="00487CC2"/>
    <w:rsid w:val="00495C98"/>
    <w:rsid w:val="004C08EE"/>
    <w:rsid w:val="004D2DB2"/>
    <w:rsid w:val="004D42EE"/>
    <w:rsid w:val="004E7984"/>
    <w:rsid w:val="004F436D"/>
    <w:rsid w:val="004F6A15"/>
    <w:rsid w:val="00504F90"/>
    <w:rsid w:val="00520BDA"/>
    <w:rsid w:val="00527A1D"/>
    <w:rsid w:val="005322CB"/>
    <w:rsid w:val="00534133"/>
    <w:rsid w:val="005353B3"/>
    <w:rsid w:val="00535AE7"/>
    <w:rsid w:val="00553FC8"/>
    <w:rsid w:val="00577846"/>
    <w:rsid w:val="00591549"/>
    <w:rsid w:val="00597201"/>
    <w:rsid w:val="005A302F"/>
    <w:rsid w:val="005A399A"/>
    <w:rsid w:val="005A5FCB"/>
    <w:rsid w:val="005B1D36"/>
    <w:rsid w:val="005B4325"/>
    <w:rsid w:val="005B4376"/>
    <w:rsid w:val="005B56D0"/>
    <w:rsid w:val="005B584A"/>
    <w:rsid w:val="005B67C7"/>
    <w:rsid w:val="005C1473"/>
    <w:rsid w:val="005D0F92"/>
    <w:rsid w:val="005E7A9D"/>
    <w:rsid w:val="0060287A"/>
    <w:rsid w:val="00611E67"/>
    <w:rsid w:val="006155A9"/>
    <w:rsid w:val="00615BAB"/>
    <w:rsid w:val="00625F0C"/>
    <w:rsid w:val="0063398C"/>
    <w:rsid w:val="006439E9"/>
    <w:rsid w:val="00650A52"/>
    <w:rsid w:val="00660066"/>
    <w:rsid w:val="006A47FE"/>
    <w:rsid w:val="006B5CD5"/>
    <w:rsid w:val="006E12D1"/>
    <w:rsid w:val="006E2842"/>
    <w:rsid w:val="006E3D63"/>
    <w:rsid w:val="006E445D"/>
    <w:rsid w:val="006E4684"/>
    <w:rsid w:val="006E4EDF"/>
    <w:rsid w:val="006F4D12"/>
    <w:rsid w:val="006F6023"/>
    <w:rsid w:val="006F7EFE"/>
    <w:rsid w:val="00700F8F"/>
    <w:rsid w:val="00703F81"/>
    <w:rsid w:val="0072138A"/>
    <w:rsid w:val="00727000"/>
    <w:rsid w:val="00727952"/>
    <w:rsid w:val="007429EC"/>
    <w:rsid w:val="00744235"/>
    <w:rsid w:val="007535C3"/>
    <w:rsid w:val="0075425A"/>
    <w:rsid w:val="00754CE3"/>
    <w:rsid w:val="00771AA3"/>
    <w:rsid w:val="00773E77"/>
    <w:rsid w:val="00777DD3"/>
    <w:rsid w:val="00792AB2"/>
    <w:rsid w:val="0079585B"/>
    <w:rsid w:val="007B1AFC"/>
    <w:rsid w:val="007B23DC"/>
    <w:rsid w:val="007B2418"/>
    <w:rsid w:val="007B4521"/>
    <w:rsid w:val="007B6DD5"/>
    <w:rsid w:val="007D7CCF"/>
    <w:rsid w:val="007E0FB4"/>
    <w:rsid w:val="008015E2"/>
    <w:rsid w:val="00811151"/>
    <w:rsid w:val="00821FAE"/>
    <w:rsid w:val="0083151C"/>
    <w:rsid w:val="008346C2"/>
    <w:rsid w:val="00834EBC"/>
    <w:rsid w:val="00837E92"/>
    <w:rsid w:val="00856EA5"/>
    <w:rsid w:val="00894633"/>
    <w:rsid w:val="008948C4"/>
    <w:rsid w:val="00897E01"/>
    <w:rsid w:val="008A6091"/>
    <w:rsid w:val="008A751A"/>
    <w:rsid w:val="008B7CB6"/>
    <w:rsid w:val="008C15D1"/>
    <w:rsid w:val="008C6437"/>
    <w:rsid w:val="008D13AE"/>
    <w:rsid w:val="008E24F2"/>
    <w:rsid w:val="008F1967"/>
    <w:rsid w:val="008F2696"/>
    <w:rsid w:val="00907766"/>
    <w:rsid w:val="009232D8"/>
    <w:rsid w:val="00935903"/>
    <w:rsid w:val="00945757"/>
    <w:rsid w:val="00951925"/>
    <w:rsid w:val="00997880"/>
    <w:rsid w:val="0099791C"/>
    <w:rsid w:val="009B7713"/>
    <w:rsid w:val="009C3B60"/>
    <w:rsid w:val="009C68AA"/>
    <w:rsid w:val="009E63C3"/>
    <w:rsid w:val="009F604E"/>
    <w:rsid w:val="009F6C52"/>
    <w:rsid w:val="00A02653"/>
    <w:rsid w:val="00A131E3"/>
    <w:rsid w:val="00A30288"/>
    <w:rsid w:val="00A32007"/>
    <w:rsid w:val="00A33066"/>
    <w:rsid w:val="00A40465"/>
    <w:rsid w:val="00A624A7"/>
    <w:rsid w:val="00A70F1D"/>
    <w:rsid w:val="00A74DE3"/>
    <w:rsid w:val="00A766D2"/>
    <w:rsid w:val="00A80533"/>
    <w:rsid w:val="00A8217C"/>
    <w:rsid w:val="00A84E42"/>
    <w:rsid w:val="00A90A2F"/>
    <w:rsid w:val="00AA1A78"/>
    <w:rsid w:val="00AB1544"/>
    <w:rsid w:val="00AC0A99"/>
    <w:rsid w:val="00AD6448"/>
    <w:rsid w:val="00B00A20"/>
    <w:rsid w:val="00B107E7"/>
    <w:rsid w:val="00B17379"/>
    <w:rsid w:val="00B24CDA"/>
    <w:rsid w:val="00B27F82"/>
    <w:rsid w:val="00B31A1C"/>
    <w:rsid w:val="00B33873"/>
    <w:rsid w:val="00B41070"/>
    <w:rsid w:val="00B428A2"/>
    <w:rsid w:val="00B42BF7"/>
    <w:rsid w:val="00B5511F"/>
    <w:rsid w:val="00B65879"/>
    <w:rsid w:val="00B80D7C"/>
    <w:rsid w:val="00B91732"/>
    <w:rsid w:val="00B92230"/>
    <w:rsid w:val="00B941A2"/>
    <w:rsid w:val="00B949B0"/>
    <w:rsid w:val="00BA0628"/>
    <w:rsid w:val="00BA15CF"/>
    <w:rsid w:val="00BA3DEA"/>
    <w:rsid w:val="00BA5650"/>
    <w:rsid w:val="00BA60F1"/>
    <w:rsid w:val="00BB2105"/>
    <w:rsid w:val="00BB2B62"/>
    <w:rsid w:val="00BC014F"/>
    <w:rsid w:val="00BD4283"/>
    <w:rsid w:val="00C1051C"/>
    <w:rsid w:val="00C33456"/>
    <w:rsid w:val="00C336D2"/>
    <w:rsid w:val="00C503B6"/>
    <w:rsid w:val="00C66E86"/>
    <w:rsid w:val="00C91940"/>
    <w:rsid w:val="00C92D3E"/>
    <w:rsid w:val="00C96473"/>
    <w:rsid w:val="00CA5C12"/>
    <w:rsid w:val="00CA7666"/>
    <w:rsid w:val="00CB1E11"/>
    <w:rsid w:val="00CC42DB"/>
    <w:rsid w:val="00CD0B79"/>
    <w:rsid w:val="00CD2F87"/>
    <w:rsid w:val="00CE0965"/>
    <w:rsid w:val="00CE633D"/>
    <w:rsid w:val="00CE7811"/>
    <w:rsid w:val="00D207F7"/>
    <w:rsid w:val="00D25639"/>
    <w:rsid w:val="00D25C9C"/>
    <w:rsid w:val="00D56E63"/>
    <w:rsid w:val="00D710B3"/>
    <w:rsid w:val="00D76895"/>
    <w:rsid w:val="00D951F2"/>
    <w:rsid w:val="00D96EC8"/>
    <w:rsid w:val="00DA4B0E"/>
    <w:rsid w:val="00DB0A31"/>
    <w:rsid w:val="00DB1164"/>
    <w:rsid w:val="00DB1C27"/>
    <w:rsid w:val="00DB1D37"/>
    <w:rsid w:val="00DB20D8"/>
    <w:rsid w:val="00DB2A74"/>
    <w:rsid w:val="00DB391D"/>
    <w:rsid w:val="00DB4F1A"/>
    <w:rsid w:val="00DB529D"/>
    <w:rsid w:val="00DB54B0"/>
    <w:rsid w:val="00DB6D4F"/>
    <w:rsid w:val="00DC3EDE"/>
    <w:rsid w:val="00DC7EAD"/>
    <w:rsid w:val="00DD50F6"/>
    <w:rsid w:val="00DE69E7"/>
    <w:rsid w:val="00DF0042"/>
    <w:rsid w:val="00E028D9"/>
    <w:rsid w:val="00E07ADA"/>
    <w:rsid w:val="00E12ECA"/>
    <w:rsid w:val="00E15D94"/>
    <w:rsid w:val="00E21D5E"/>
    <w:rsid w:val="00E27C62"/>
    <w:rsid w:val="00E31A63"/>
    <w:rsid w:val="00E36D11"/>
    <w:rsid w:val="00E402BB"/>
    <w:rsid w:val="00E54B5B"/>
    <w:rsid w:val="00E61249"/>
    <w:rsid w:val="00E623D6"/>
    <w:rsid w:val="00E62B5E"/>
    <w:rsid w:val="00E64D93"/>
    <w:rsid w:val="00E6537E"/>
    <w:rsid w:val="00E82A11"/>
    <w:rsid w:val="00E86049"/>
    <w:rsid w:val="00E95F67"/>
    <w:rsid w:val="00EA035D"/>
    <w:rsid w:val="00EA05CC"/>
    <w:rsid w:val="00EA0EAB"/>
    <w:rsid w:val="00EA1114"/>
    <w:rsid w:val="00EA4CEA"/>
    <w:rsid w:val="00EB2363"/>
    <w:rsid w:val="00EB28EB"/>
    <w:rsid w:val="00EC1524"/>
    <w:rsid w:val="00EC7EB4"/>
    <w:rsid w:val="00ED0A77"/>
    <w:rsid w:val="00ED4B06"/>
    <w:rsid w:val="00EE47F3"/>
    <w:rsid w:val="00EE77D2"/>
    <w:rsid w:val="00EF28EB"/>
    <w:rsid w:val="00EF3EBF"/>
    <w:rsid w:val="00F10C05"/>
    <w:rsid w:val="00F11566"/>
    <w:rsid w:val="00F1629B"/>
    <w:rsid w:val="00F213F4"/>
    <w:rsid w:val="00F4258A"/>
    <w:rsid w:val="00F53F7F"/>
    <w:rsid w:val="00F64F91"/>
    <w:rsid w:val="00F66FE5"/>
    <w:rsid w:val="00F67D9B"/>
    <w:rsid w:val="00F72D3A"/>
    <w:rsid w:val="00F73D30"/>
    <w:rsid w:val="00F74149"/>
    <w:rsid w:val="00F7632F"/>
    <w:rsid w:val="00FA6E2E"/>
    <w:rsid w:val="00FB1847"/>
    <w:rsid w:val="00FB57DA"/>
    <w:rsid w:val="00FC20AF"/>
    <w:rsid w:val="00FC774A"/>
    <w:rsid w:val="00FE6ABD"/>
    <w:rsid w:val="00FF21AC"/>
    <w:rsid w:val="00FF3431"/>
    <w:rsid w:val="00FF5963"/>
    <w:rsid w:val="00FF7D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D25639"/>
    <w:rPr>
      <w:sz w:val="28"/>
      <w:szCs w:val="28"/>
    </w:rPr>
  </w:style>
  <w:style w:type="paragraph" w:styleId="Virsraksts1">
    <w:name w:val="heading 1"/>
    <w:basedOn w:val="Parasts"/>
    <w:next w:val="Parasts"/>
    <w:link w:val="Virsraksts1Rakstz"/>
    <w:qFormat/>
    <w:rsid w:val="001C65CB"/>
    <w:pPr>
      <w:keepNext/>
      <w:keepLines/>
      <w:spacing w:before="480"/>
      <w:outlineLvl w:val="0"/>
    </w:pPr>
    <w:rPr>
      <w:rFonts w:asciiTheme="majorHAnsi" w:eastAsiaTheme="majorEastAsia" w:hAnsiTheme="majorHAnsi" w:cstheme="majorBidi"/>
      <w:b/>
      <w:bCs/>
      <w:color w:val="365F91" w:themeColor="accent1" w:themeShade="BF"/>
    </w:rPr>
  </w:style>
  <w:style w:type="paragraph" w:styleId="Virsraksts2">
    <w:name w:val="heading 2"/>
    <w:basedOn w:val="Parasts"/>
    <w:next w:val="Parasts"/>
    <w:qFormat/>
    <w:rsid w:val="00B41070"/>
    <w:pPr>
      <w:keepNext/>
      <w:jc w:val="center"/>
      <w:outlineLvl w:val="1"/>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BD4283"/>
    <w:pPr>
      <w:spacing w:before="150" w:after="150"/>
      <w:ind w:left="675" w:right="525"/>
    </w:pPr>
    <w:rPr>
      <w:sz w:val="19"/>
      <w:szCs w:val="19"/>
    </w:rPr>
  </w:style>
  <w:style w:type="paragraph" w:styleId="Balonteksts">
    <w:name w:val="Balloon Text"/>
    <w:basedOn w:val="Parasts"/>
    <w:semiHidden/>
    <w:rsid w:val="00DB529D"/>
    <w:rPr>
      <w:rFonts w:ascii="Tahoma" w:hAnsi="Tahoma" w:cs="Tahoma"/>
      <w:sz w:val="16"/>
      <w:szCs w:val="16"/>
    </w:rPr>
  </w:style>
  <w:style w:type="paragraph" w:styleId="Galvene">
    <w:name w:val="header"/>
    <w:basedOn w:val="Parasts"/>
    <w:rsid w:val="00B41070"/>
    <w:pPr>
      <w:tabs>
        <w:tab w:val="center" w:pos="4153"/>
        <w:tab w:val="right" w:pos="8306"/>
      </w:tabs>
    </w:pPr>
  </w:style>
  <w:style w:type="paragraph" w:styleId="Kjene">
    <w:name w:val="footer"/>
    <w:basedOn w:val="Parasts"/>
    <w:rsid w:val="00B41070"/>
    <w:pPr>
      <w:tabs>
        <w:tab w:val="center" w:pos="4153"/>
        <w:tab w:val="right" w:pos="8306"/>
      </w:tabs>
    </w:pPr>
  </w:style>
  <w:style w:type="character" w:styleId="Lappusesnumurs">
    <w:name w:val="page number"/>
    <w:basedOn w:val="Noklusjumarindkopasfonts"/>
    <w:rsid w:val="006E445D"/>
  </w:style>
  <w:style w:type="character" w:customStyle="1" w:styleId="Virsraksts1Rakstz">
    <w:name w:val="Virsraksts 1 Rakstz."/>
    <w:basedOn w:val="Noklusjumarindkopasfonts"/>
    <w:link w:val="Virsraksts1"/>
    <w:rsid w:val="001C65CB"/>
    <w:rPr>
      <w:rFonts w:asciiTheme="majorHAnsi" w:eastAsiaTheme="majorEastAsia" w:hAnsiTheme="majorHAnsi" w:cstheme="majorBidi"/>
      <w:b/>
      <w:bCs/>
      <w:color w:val="365F91" w:themeColor="accent1" w:themeShade="BF"/>
      <w:sz w:val="28"/>
      <w:szCs w:val="28"/>
    </w:rPr>
  </w:style>
  <w:style w:type="paragraph" w:styleId="Vresteksts">
    <w:name w:val="footnote text"/>
    <w:basedOn w:val="Parasts"/>
    <w:link w:val="VrestekstsRakstz"/>
    <w:rsid w:val="004C08EE"/>
    <w:rPr>
      <w:sz w:val="20"/>
      <w:szCs w:val="20"/>
    </w:rPr>
  </w:style>
  <w:style w:type="character" w:customStyle="1" w:styleId="VrestekstsRakstz">
    <w:name w:val="Vēres teksts Rakstz."/>
    <w:basedOn w:val="Noklusjumarindkopasfonts"/>
    <w:link w:val="Vresteksts"/>
    <w:rsid w:val="004C08EE"/>
  </w:style>
  <w:style w:type="character" w:styleId="Vresatsauce">
    <w:name w:val="footnote reference"/>
    <w:basedOn w:val="Noklusjumarindkopasfonts"/>
    <w:rsid w:val="004C08EE"/>
    <w:rPr>
      <w:vertAlign w:val="superscript"/>
    </w:rPr>
  </w:style>
  <w:style w:type="paragraph" w:styleId="Sarakstarindkopa">
    <w:name w:val="List Paragraph"/>
    <w:basedOn w:val="Parasts"/>
    <w:uiPriority w:val="34"/>
    <w:qFormat/>
    <w:rsid w:val="00EA0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D25639"/>
    <w:rPr>
      <w:sz w:val="28"/>
      <w:szCs w:val="28"/>
    </w:rPr>
  </w:style>
  <w:style w:type="paragraph" w:styleId="Virsraksts1">
    <w:name w:val="heading 1"/>
    <w:basedOn w:val="Parasts"/>
    <w:next w:val="Parasts"/>
    <w:link w:val="Virsraksts1Rakstz"/>
    <w:qFormat/>
    <w:rsid w:val="001C65CB"/>
    <w:pPr>
      <w:keepNext/>
      <w:keepLines/>
      <w:spacing w:before="480"/>
      <w:outlineLvl w:val="0"/>
    </w:pPr>
    <w:rPr>
      <w:rFonts w:asciiTheme="majorHAnsi" w:eastAsiaTheme="majorEastAsia" w:hAnsiTheme="majorHAnsi" w:cstheme="majorBidi"/>
      <w:b/>
      <w:bCs/>
      <w:color w:val="365F91" w:themeColor="accent1" w:themeShade="BF"/>
    </w:rPr>
  </w:style>
  <w:style w:type="paragraph" w:styleId="Virsraksts2">
    <w:name w:val="heading 2"/>
    <w:basedOn w:val="Parasts"/>
    <w:next w:val="Parasts"/>
    <w:qFormat/>
    <w:rsid w:val="00B41070"/>
    <w:pPr>
      <w:keepNext/>
      <w:jc w:val="center"/>
      <w:outlineLvl w:val="1"/>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BD4283"/>
    <w:pPr>
      <w:spacing w:before="150" w:after="150"/>
      <w:ind w:left="675" w:right="525"/>
    </w:pPr>
    <w:rPr>
      <w:sz w:val="19"/>
      <w:szCs w:val="19"/>
    </w:rPr>
  </w:style>
  <w:style w:type="paragraph" w:styleId="Balonteksts">
    <w:name w:val="Balloon Text"/>
    <w:basedOn w:val="Parasts"/>
    <w:semiHidden/>
    <w:rsid w:val="00DB529D"/>
    <w:rPr>
      <w:rFonts w:ascii="Tahoma" w:hAnsi="Tahoma" w:cs="Tahoma"/>
      <w:sz w:val="16"/>
      <w:szCs w:val="16"/>
    </w:rPr>
  </w:style>
  <w:style w:type="paragraph" w:styleId="Galvene">
    <w:name w:val="header"/>
    <w:basedOn w:val="Parasts"/>
    <w:rsid w:val="00B41070"/>
    <w:pPr>
      <w:tabs>
        <w:tab w:val="center" w:pos="4153"/>
        <w:tab w:val="right" w:pos="8306"/>
      </w:tabs>
    </w:pPr>
  </w:style>
  <w:style w:type="paragraph" w:styleId="Kjene">
    <w:name w:val="footer"/>
    <w:basedOn w:val="Parasts"/>
    <w:rsid w:val="00B41070"/>
    <w:pPr>
      <w:tabs>
        <w:tab w:val="center" w:pos="4153"/>
        <w:tab w:val="right" w:pos="8306"/>
      </w:tabs>
    </w:pPr>
  </w:style>
  <w:style w:type="character" w:styleId="Lappusesnumurs">
    <w:name w:val="page number"/>
    <w:basedOn w:val="Noklusjumarindkopasfonts"/>
    <w:rsid w:val="006E445D"/>
  </w:style>
  <w:style w:type="character" w:customStyle="1" w:styleId="Virsraksts1Rakstz">
    <w:name w:val="Virsraksts 1 Rakstz."/>
    <w:basedOn w:val="Noklusjumarindkopasfonts"/>
    <w:link w:val="Virsraksts1"/>
    <w:rsid w:val="001C65CB"/>
    <w:rPr>
      <w:rFonts w:asciiTheme="majorHAnsi" w:eastAsiaTheme="majorEastAsia" w:hAnsiTheme="majorHAnsi" w:cstheme="majorBidi"/>
      <w:b/>
      <w:bCs/>
      <w:color w:val="365F91" w:themeColor="accent1" w:themeShade="BF"/>
      <w:sz w:val="28"/>
      <w:szCs w:val="28"/>
    </w:rPr>
  </w:style>
  <w:style w:type="paragraph" w:styleId="Vresteksts">
    <w:name w:val="footnote text"/>
    <w:basedOn w:val="Parasts"/>
    <w:link w:val="VrestekstsRakstz"/>
    <w:rsid w:val="004C08EE"/>
    <w:rPr>
      <w:sz w:val="20"/>
      <w:szCs w:val="20"/>
    </w:rPr>
  </w:style>
  <w:style w:type="character" w:customStyle="1" w:styleId="VrestekstsRakstz">
    <w:name w:val="Vēres teksts Rakstz."/>
    <w:basedOn w:val="Noklusjumarindkopasfonts"/>
    <w:link w:val="Vresteksts"/>
    <w:rsid w:val="004C08EE"/>
  </w:style>
  <w:style w:type="character" w:styleId="Vresatsauce">
    <w:name w:val="footnote reference"/>
    <w:basedOn w:val="Noklusjumarindkopasfonts"/>
    <w:rsid w:val="004C08EE"/>
    <w:rPr>
      <w:vertAlign w:val="superscript"/>
    </w:rPr>
  </w:style>
  <w:style w:type="paragraph" w:styleId="Sarakstarindkopa">
    <w:name w:val="List Paragraph"/>
    <w:basedOn w:val="Parasts"/>
    <w:uiPriority w:val="34"/>
    <w:qFormat/>
    <w:rsid w:val="00EA0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448">
      <w:bodyDiv w:val="1"/>
      <w:marLeft w:val="0"/>
      <w:marRight w:val="0"/>
      <w:marTop w:val="0"/>
      <w:marBottom w:val="0"/>
      <w:divBdr>
        <w:top w:val="none" w:sz="0" w:space="0" w:color="auto"/>
        <w:left w:val="none" w:sz="0" w:space="0" w:color="auto"/>
        <w:bottom w:val="none" w:sz="0" w:space="0" w:color="auto"/>
        <w:right w:val="none" w:sz="0" w:space="0" w:color="auto"/>
      </w:divBdr>
      <w:divsChild>
        <w:div w:id="905265667">
          <w:marLeft w:val="432"/>
          <w:marRight w:val="0"/>
          <w:marTop w:val="0"/>
          <w:marBottom w:val="0"/>
          <w:divBdr>
            <w:top w:val="none" w:sz="0" w:space="0" w:color="auto"/>
            <w:left w:val="none" w:sz="0" w:space="0" w:color="auto"/>
            <w:bottom w:val="none" w:sz="0" w:space="0" w:color="auto"/>
            <w:right w:val="none" w:sz="0" w:space="0" w:color="auto"/>
          </w:divBdr>
        </w:div>
      </w:divsChild>
    </w:div>
    <w:div w:id="100224518">
      <w:bodyDiv w:val="1"/>
      <w:marLeft w:val="0"/>
      <w:marRight w:val="0"/>
      <w:marTop w:val="0"/>
      <w:marBottom w:val="0"/>
      <w:divBdr>
        <w:top w:val="none" w:sz="0" w:space="0" w:color="auto"/>
        <w:left w:val="none" w:sz="0" w:space="0" w:color="auto"/>
        <w:bottom w:val="none" w:sz="0" w:space="0" w:color="auto"/>
        <w:right w:val="none" w:sz="0" w:space="0" w:color="auto"/>
      </w:divBdr>
    </w:div>
    <w:div w:id="186870686">
      <w:bodyDiv w:val="1"/>
      <w:marLeft w:val="0"/>
      <w:marRight w:val="0"/>
      <w:marTop w:val="0"/>
      <w:marBottom w:val="0"/>
      <w:divBdr>
        <w:top w:val="none" w:sz="0" w:space="0" w:color="auto"/>
        <w:left w:val="none" w:sz="0" w:space="0" w:color="auto"/>
        <w:bottom w:val="none" w:sz="0" w:space="0" w:color="auto"/>
        <w:right w:val="none" w:sz="0" w:space="0" w:color="auto"/>
      </w:divBdr>
      <w:divsChild>
        <w:div w:id="1065027655">
          <w:marLeft w:val="3"/>
          <w:marRight w:val="3"/>
          <w:marTop w:val="0"/>
          <w:marBottom w:val="0"/>
          <w:divBdr>
            <w:top w:val="single" w:sz="4" w:space="0" w:color="112449"/>
            <w:left w:val="single" w:sz="4" w:space="0" w:color="112449"/>
            <w:bottom w:val="single" w:sz="4" w:space="0" w:color="112449"/>
            <w:right w:val="single" w:sz="4" w:space="0" w:color="112449"/>
          </w:divBdr>
          <w:divsChild>
            <w:div w:id="1784222579">
              <w:marLeft w:val="3"/>
              <w:marRight w:val="3"/>
              <w:marTop w:val="0"/>
              <w:marBottom w:val="0"/>
              <w:divBdr>
                <w:top w:val="single" w:sz="4" w:space="0" w:color="112449"/>
                <w:left w:val="single" w:sz="4" w:space="0" w:color="112449"/>
                <w:bottom w:val="single" w:sz="4" w:space="0" w:color="112449"/>
                <w:right w:val="single" w:sz="4" w:space="0" w:color="112449"/>
              </w:divBdr>
              <w:divsChild>
                <w:div w:id="21150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9675">
      <w:bodyDiv w:val="1"/>
      <w:marLeft w:val="0"/>
      <w:marRight w:val="0"/>
      <w:marTop w:val="0"/>
      <w:marBottom w:val="0"/>
      <w:divBdr>
        <w:top w:val="none" w:sz="0" w:space="0" w:color="auto"/>
        <w:left w:val="none" w:sz="0" w:space="0" w:color="auto"/>
        <w:bottom w:val="none" w:sz="0" w:space="0" w:color="auto"/>
        <w:right w:val="none" w:sz="0" w:space="0" w:color="auto"/>
      </w:divBdr>
    </w:div>
    <w:div w:id="402220086">
      <w:bodyDiv w:val="1"/>
      <w:marLeft w:val="0"/>
      <w:marRight w:val="0"/>
      <w:marTop w:val="0"/>
      <w:marBottom w:val="0"/>
      <w:divBdr>
        <w:top w:val="none" w:sz="0" w:space="0" w:color="auto"/>
        <w:left w:val="none" w:sz="0" w:space="0" w:color="auto"/>
        <w:bottom w:val="none" w:sz="0" w:space="0" w:color="auto"/>
        <w:right w:val="none" w:sz="0" w:space="0" w:color="auto"/>
      </w:divBdr>
      <w:divsChild>
        <w:div w:id="173225144">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419982359">
      <w:bodyDiv w:val="1"/>
      <w:marLeft w:val="0"/>
      <w:marRight w:val="0"/>
      <w:marTop w:val="0"/>
      <w:marBottom w:val="0"/>
      <w:divBdr>
        <w:top w:val="none" w:sz="0" w:space="0" w:color="auto"/>
        <w:left w:val="none" w:sz="0" w:space="0" w:color="auto"/>
        <w:bottom w:val="none" w:sz="0" w:space="0" w:color="auto"/>
        <w:right w:val="none" w:sz="0" w:space="0" w:color="auto"/>
      </w:divBdr>
      <w:divsChild>
        <w:div w:id="1539703468">
          <w:marLeft w:val="3"/>
          <w:marRight w:val="3"/>
          <w:marTop w:val="0"/>
          <w:marBottom w:val="0"/>
          <w:divBdr>
            <w:top w:val="single" w:sz="4" w:space="0" w:color="112449"/>
            <w:left w:val="single" w:sz="4" w:space="0" w:color="112449"/>
            <w:bottom w:val="single" w:sz="4" w:space="0" w:color="112449"/>
            <w:right w:val="single" w:sz="4" w:space="0" w:color="112449"/>
          </w:divBdr>
          <w:divsChild>
            <w:div w:id="1755516614">
              <w:marLeft w:val="3"/>
              <w:marRight w:val="3"/>
              <w:marTop w:val="0"/>
              <w:marBottom w:val="0"/>
              <w:divBdr>
                <w:top w:val="single" w:sz="4" w:space="0" w:color="112449"/>
                <w:left w:val="single" w:sz="4" w:space="0" w:color="112449"/>
                <w:bottom w:val="single" w:sz="4" w:space="0" w:color="112449"/>
                <w:right w:val="single" w:sz="4" w:space="0" w:color="112449"/>
              </w:divBdr>
              <w:divsChild>
                <w:div w:id="11626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27915">
      <w:bodyDiv w:val="1"/>
      <w:marLeft w:val="0"/>
      <w:marRight w:val="0"/>
      <w:marTop w:val="0"/>
      <w:marBottom w:val="0"/>
      <w:divBdr>
        <w:top w:val="none" w:sz="0" w:space="0" w:color="auto"/>
        <w:left w:val="none" w:sz="0" w:space="0" w:color="auto"/>
        <w:bottom w:val="none" w:sz="0" w:space="0" w:color="auto"/>
        <w:right w:val="none" w:sz="0" w:space="0" w:color="auto"/>
      </w:divBdr>
    </w:div>
    <w:div w:id="699741298">
      <w:bodyDiv w:val="1"/>
      <w:marLeft w:val="0"/>
      <w:marRight w:val="0"/>
      <w:marTop w:val="0"/>
      <w:marBottom w:val="0"/>
      <w:divBdr>
        <w:top w:val="none" w:sz="0" w:space="0" w:color="auto"/>
        <w:left w:val="none" w:sz="0" w:space="0" w:color="auto"/>
        <w:bottom w:val="none" w:sz="0" w:space="0" w:color="auto"/>
        <w:right w:val="none" w:sz="0" w:space="0" w:color="auto"/>
      </w:divBdr>
    </w:div>
    <w:div w:id="1015963537">
      <w:bodyDiv w:val="1"/>
      <w:marLeft w:val="0"/>
      <w:marRight w:val="0"/>
      <w:marTop w:val="0"/>
      <w:marBottom w:val="0"/>
      <w:divBdr>
        <w:top w:val="none" w:sz="0" w:space="0" w:color="auto"/>
        <w:left w:val="none" w:sz="0" w:space="0" w:color="auto"/>
        <w:bottom w:val="none" w:sz="0" w:space="0" w:color="auto"/>
        <w:right w:val="none" w:sz="0" w:space="0" w:color="auto"/>
      </w:divBdr>
      <w:divsChild>
        <w:div w:id="918758367">
          <w:marLeft w:val="3"/>
          <w:marRight w:val="3"/>
          <w:marTop w:val="0"/>
          <w:marBottom w:val="0"/>
          <w:divBdr>
            <w:top w:val="single" w:sz="6" w:space="0" w:color="112449"/>
            <w:left w:val="single" w:sz="6" w:space="0" w:color="112449"/>
            <w:bottom w:val="single" w:sz="6" w:space="0" w:color="112449"/>
            <w:right w:val="single" w:sz="6" w:space="0" w:color="112449"/>
          </w:divBdr>
          <w:divsChild>
            <w:div w:id="330761294">
              <w:marLeft w:val="3"/>
              <w:marRight w:val="3"/>
              <w:marTop w:val="0"/>
              <w:marBottom w:val="0"/>
              <w:divBdr>
                <w:top w:val="single" w:sz="6" w:space="0" w:color="112449"/>
                <w:left w:val="single" w:sz="6" w:space="0" w:color="112449"/>
                <w:bottom w:val="single" w:sz="6" w:space="0" w:color="112449"/>
                <w:right w:val="single" w:sz="6" w:space="0" w:color="112449"/>
              </w:divBdr>
              <w:divsChild>
                <w:div w:id="1620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1506">
      <w:bodyDiv w:val="1"/>
      <w:marLeft w:val="0"/>
      <w:marRight w:val="0"/>
      <w:marTop w:val="0"/>
      <w:marBottom w:val="0"/>
      <w:divBdr>
        <w:top w:val="none" w:sz="0" w:space="0" w:color="auto"/>
        <w:left w:val="none" w:sz="0" w:space="0" w:color="auto"/>
        <w:bottom w:val="none" w:sz="0" w:space="0" w:color="auto"/>
        <w:right w:val="none" w:sz="0" w:space="0" w:color="auto"/>
      </w:divBdr>
      <w:divsChild>
        <w:div w:id="1233664876">
          <w:marLeft w:val="3"/>
          <w:marRight w:val="3"/>
          <w:marTop w:val="0"/>
          <w:marBottom w:val="0"/>
          <w:divBdr>
            <w:top w:val="single" w:sz="4" w:space="0" w:color="112449"/>
            <w:left w:val="single" w:sz="4" w:space="0" w:color="112449"/>
            <w:bottom w:val="single" w:sz="4" w:space="0" w:color="112449"/>
            <w:right w:val="single" w:sz="4" w:space="0" w:color="112449"/>
          </w:divBdr>
          <w:divsChild>
            <w:div w:id="1985498389">
              <w:marLeft w:val="3"/>
              <w:marRight w:val="3"/>
              <w:marTop w:val="0"/>
              <w:marBottom w:val="0"/>
              <w:divBdr>
                <w:top w:val="single" w:sz="4" w:space="0" w:color="112449"/>
                <w:left w:val="single" w:sz="4" w:space="0" w:color="112449"/>
                <w:bottom w:val="single" w:sz="4" w:space="0" w:color="112449"/>
                <w:right w:val="single" w:sz="4" w:space="0" w:color="112449"/>
              </w:divBdr>
              <w:divsChild>
                <w:div w:id="294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219">
      <w:bodyDiv w:val="1"/>
      <w:marLeft w:val="0"/>
      <w:marRight w:val="0"/>
      <w:marTop w:val="0"/>
      <w:marBottom w:val="0"/>
      <w:divBdr>
        <w:top w:val="none" w:sz="0" w:space="0" w:color="auto"/>
        <w:left w:val="none" w:sz="0" w:space="0" w:color="auto"/>
        <w:bottom w:val="none" w:sz="0" w:space="0" w:color="auto"/>
        <w:right w:val="none" w:sz="0" w:space="0" w:color="auto"/>
      </w:divBdr>
    </w:div>
    <w:div w:id="1350991037">
      <w:bodyDiv w:val="1"/>
      <w:marLeft w:val="0"/>
      <w:marRight w:val="0"/>
      <w:marTop w:val="0"/>
      <w:marBottom w:val="0"/>
      <w:divBdr>
        <w:top w:val="none" w:sz="0" w:space="0" w:color="auto"/>
        <w:left w:val="none" w:sz="0" w:space="0" w:color="auto"/>
        <w:bottom w:val="none" w:sz="0" w:space="0" w:color="auto"/>
        <w:right w:val="none" w:sz="0" w:space="0" w:color="auto"/>
      </w:divBdr>
      <w:divsChild>
        <w:div w:id="1823544273">
          <w:marLeft w:val="3"/>
          <w:marRight w:val="3"/>
          <w:marTop w:val="0"/>
          <w:marBottom w:val="0"/>
          <w:divBdr>
            <w:top w:val="single" w:sz="4" w:space="0" w:color="112449"/>
            <w:left w:val="single" w:sz="4" w:space="0" w:color="112449"/>
            <w:bottom w:val="single" w:sz="4" w:space="0" w:color="112449"/>
            <w:right w:val="single" w:sz="4" w:space="0" w:color="112449"/>
          </w:divBdr>
          <w:divsChild>
            <w:div w:id="939216571">
              <w:marLeft w:val="3"/>
              <w:marRight w:val="3"/>
              <w:marTop w:val="0"/>
              <w:marBottom w:val="0"/>
              <w:divBdr>
                <w:top w:val="single" w:sz="4" w:space="0" w:color="112449"/>
                <w:left w:val="single" w:sz="4" w:space="0" w:color="112449"/>
                <w:bottom w:val="single" w:sz="4" w:space="0" w:color="112449"/>
                <w:right w:val="single" w:sz="4" w:space="0" w:color="112449"/>
              </w:divBdr>
              <w:divsChild>
                <w:div w:id="18134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729">
      <w:bodyDiv w:val="1"/>
      <w:marLeft w:val="0"/>
      <w:marRight w:val="0"/>
      <w:marTop w:val="0"/>
      <w:marBottom w:val="0"/>
      <w:divBdr>
        <w:top w:val="none" w:sz="0" w:space="0" w:color="auto"/>
        <w:left w:val="none" w:sz="0" w:space="0" w:color="auto"/>
        <w:bottom w:val="none" w:sz="0" w:space="0" w:color="auto"/>
        <w:right w:val="none" w:sz="0" w:space="0" w:color="auto"/>
      </w:divBdr>
      <w:divsChild>
        <w:div w:id="1884629585">
          <w:marLeft w:val="3"/>
          <w:marRight w:val="3"/>
          <w:marTop w:val="0"/>
          <w:marBottom w:val="0"/>
          <w:divBdr>
            <w:top w:val="single" w:sz="4" w:space="0" w:color="112449"/>
            <w:left w:val="single" w:sz="4" w:space="0" w:color="112449"/>
            <w:bottom w:val="single" w:sz="4" w:space="0" w:color="112449"/>
            <w:right w:val="single" w:sz="4" w:space="0" w:color="112449"/>
          </w:divBdr>
          <w:divsChild>
            <w:div w:id="1950622615">
              <w:marLeft w:val="3"/>
              <w:marRight w:val="3"/>
              <w:marTop w:val="0"/>
              <w:marBottom w:val="0"/>
              <w:divBdr>
                <w:top w:val="single" w:sz="4" w:space="0" w:color="112449"/>
                <w:left w:val="single" w:sz="4" w:space="0" w:color="112449"/>
                <w:bottom w:val="single" w:sz="4" w:space="0" w:color="112449"/>
                <w:right w:val="single" w:sz="4" w:space="0" w:color="112449"/>
              </w:divBdr>
              <w:divsChild>
                <w:div w:id="31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46CE-E472-406D-82F7-793E3827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61</Words>
  <Characters>526</Characters>
  <Application>Microsoft Office Word</Application>
  <DocSecurity>0</DocSecurity>
  <Lines>4</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Eiropas Kopienu Tiesas departamentam</vt:lpstr>
      <vt:lpstr>Eiropas Kopienu Tiesas departamentam</vt:lpstr>
    </vt:vector>
  </TitlesOfParts>
  <Company>LR Tieslietu Ministrija</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Kopienu Tiesas departamentam</dc:title>
  <dc:creator>dp1801</dc:creator>
  <cp:lastModifiedBy>Valdis Pusvacietis</cp:lastModifiedBy>
  <cp:revision>18</cp:revision>
  <cp:lastPrinted>2008-06-17T09:19:00Z</cp:lastPrinted>
  <dcterms:created xsi:type="dcterms:W3CDTF">2015-06-04T08:50:00Z</dcterms:created>
  <dcterms:modified xsi:type="dcterms:W3CDTF">2015-07-16T06:36:00Z</dcterms:modified>
</cp:coreProperties>
</file>