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275A9" w14:textId="28A24D44" w:rsidR="00B963D2" w:rsidRPr="00F566C3" w:rsidRDefault="00E9310C" w:rsidP="00B963D2">
      <w:pPr>
        <w:shd w:val="clear" w:color="auto" w:fill="FFFFFF"/>
        <w:spacing w:before="130" w:line="260" w:lineRule="exact"/>
        <w:jc w:val="center"/>
        <w:rPr>
          <w:b/>
          <w:bCs/>
        </w:rPr>
      </w:pPr>
      <w:r>
        <w:rPr>
          <w:b/>
          <w:bCs/>
        </w:rPr>
        <w:t xml:space="preserve">  </w:t>
      </w:r>
      <w:r w:rsidR="00B963D2" w:rsidRPr="00F566C3">
        <w:rPr>
          <w:b/>
          <w:bCs/>
        </w:rPr>
        <w:t xml:space="preserve">Likumprojekta “Grozījumi </w:t>
      </w:r>
      <w:r w:rsidR="00AA34BD">
        <w:rPr>
          <w:b/>
          <w:bCs/>
        </w:rPr>
        <w:t>Civilstāvokļa aktu reģistrācijas</w:t>
      </w:r>
      <w:r w:rsidR="00B963D2" w:rsidRPr="00F566C3">
        <w:rPr>
          <w:b/>
          <w:bCs/>
        </w:rPr>
        <w:t xml:space="preserve"> likumā” sākotnējās ietekmes novērtējuma ziņojums (anotācija)</w:t>
      </w:r>
    </w:p>
    <w:p w14:paraId="27889BCE" w14:textId="77777777" w:rsidR="008841F5" w:rsidRPr="00F566C3" w:rsidRDefault="008841F5" w:rsidP="00B963D2">
      <w:pPr>
        <w:pStyle w:val="Title"/>
        <w:spacing w:before="130" w:line="260" w:lineRule="exact"/>
        <w:ind w:firstLine="53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3256"/>
        <w:gridCol w:w="5805"/>
      </w:tblGrid>
      <w:tr w:rsidR="00B963D2" w:rsidRPr="00F566C3" w14:paraId="7BE1E4E0" w14:textId="77777777" w:rsidTr="00602C74">
        <w:trPr>
          <w:cantSplit/>
        </w:trPr>
        <w:tc>
          <w:tcPr>
            <w:tcW w:w="9581" w:type="dxa"/>
            <w:gridSpan w:val="2"/>
            <w:shd w:val="clear" w:color="auto" w:fill="FFFFFF"/>
            <w:vAlign w:val="center"/>
            <w:hideMark/>
          </w:tcPr>
          <w:p w14:paraId="3ECDE549" w14:textId="77777777" w:rsidR="00B963D2" w:rsidRPr="00F566C3" w:rsidRDefault="00B963D2" w:rsidP="00602C74">
            <w:pPr>
              <w:jc w:val="center"/>
              <w:rPr>
                <w:b/>
                <w:iCs/>
                <w:lang w:eastAsia="en-US"/>
              </w:rPr>
            </w:pPr>
            <w:r w:rsidRPr="00F566C3">
              <w:rPr>
                <w:b/>
                <w:iCs/>
                <w:lang w:eastAsia="en-US"/>
              </w:rPr>
              <w:t>Tiesību akta projekta anotācijas kopsavilkums</w:t>
            </w:r>
          </w:p>
        </w:tc>
      </w:tr>
      <w:tr w:rsidR="00B963D2" w:rsidRPr="00F566C3" w14:paraId="0184F9E5" w14:textId="77777777" w:rsidTr="00602C74">
        <w:trPr>
          <w:cantSplit/>
        </w:trPr>
        <w:tc>
          <w:tcPr>
            <w:tcW w:w="3430" w:type="dxa"/>
            <w:shd w:val="clear" w:color="auto" w:fill="FFFFFF"/>
            <w:hideMark/>
          </w:tcPr>
          <w:p w14:paraId="241670E5" w14:textId="77777777" w:rsidR="00B963D2" w:rsidRPr="00F566C3" w:rsidRDefault="00B963D2" w:rsidP="00602C74">
            <w:pPr>
              <w:rPr>
                <w:iCs/>
                <w:lang w:eastAsia="en-US"/>
              </w:rPr>
            </w:pPr>
            <w:r w:rsidRPr="00F566C3">
              <w:rPr>
                <w:iCs/>
                <w:lang w:eastAsia="en-US"/>
              </w:rPr>
              <w:t>Mērķis, risinājums un projekta spēkā stāšanās laiks (500 zīmes bez atstarpēm)</w:t>
            </w:r>
          </w:p>
        </w:tc>
        <w:tc>
          <w:tcPr>
            <w:tcW w:w="6151" w:type="dxa"/>
            <w:shd w:val="clear" w:color="auto" w:fill="FFFFFF"/>
            <w:hideMark/>
          </w:tcPr>
          <w:p w14:paraId="0BF5BD10" w14:textId="198BAC95" w:rsidR="00CC5C07" w:rsidRDefault="00CC5C07" w:rsidP="00CC5C07">
            <w:pPr>
              <w:jc w:val="both"/>
            </w:pPr>
            <w:r w:rsidRPr="00F566C3">
              <w:t>Likumprojekt</w:t>
            </w:r>
            <w:r w:rsidR="00A1129C">
              <w:t>s</w:t>
            </w:r>
            <w:r w:rsidRPr="00F566C3">
              <w:t xml:space="preserve"> </w:t>
            </w:r>
            <w:r w:rsidR="00A1129C">
              <w:t>paredz, ka civilstāvokļa aktu reģistri</w:t>
            </w:r>
            <w:r w:rsidR="007F7955">
              <w:t xml:space="preserve"> turpmāk</w:t>
            </w:r>
            <w:r w:rsidR="00A1129C">
              <w:t xml:space="preserve"> tiks iekļauti, aktualizēti un atjaunoti Fizisko personu reģistrā, nevis Civilstāvokļa aktu reģistrācijas informācijas sistēmā.</w:t>
            </w:r>
            <w:r w:rsidR="00B72727">
              <w:t xml:space="preserve">  </w:t>
            </w:r>
          </w:p>
          <w:p w14:paraId="3C35568B" w14:textId="172C602F" w:rsidR="00A60622" w:rsidRPr="00F566C3" w:rsidRDefault="00A60622" w:rsidP="00CC5C07">
            <w:pPr>
              <w:jc w:val="both"/>
            </w:pPr>
            <w:r>
              <w:t xml:space="preserve">Tāpat likumprojekts paredz precizēt esošo regulējumu atbilstoši faktiskajai situācijai. </w:t>
            </w:r>
          </w:p>
          <w:p w14:paraId="6D62C74E" w14:textId="3626F431" w:rsidR="00B963D2" w:rsidRPr="00F566C3" w:rsidRDefault="00CC5C07" w:rsidP="00A1129C">
            <w:pPr>
              <w:jc w:val="both"/>
            </w:pPr>
            <w:r>
              <w:t>Likump</w:t>
            </w:r>
            <w:r w:rsidRPr="00F566C3">
              <w:t xml:space="preserve">rojekts stāsies spēkā </w:t>
            </w:r>
            <w:r w:rsidR="00A1129C">
              <w:t>vienlaikus</w:t>
            </w:r>
            <w:r w:rsidR="00A1129C" w:rsidRPr="00F566C3">
              <w:t xml:space="preserve"> </w:t>
            </w:r>
            <w:r w:rsidRPr="00F566C3">
              <w:t xml:space="preserve">ar </w:t>
            </w:r>
            <w:r w:rsidR="004A2D97">
              <w:t>Fizisko personu reģistra</w:t>
            </w:r>
            <w:r w:rsidRPr="00F566C3">
              <w:t xml:space="preserve"> </w:t>
            </w:r>
            <w:r w:rsidR="00A1129C" w:rsidRPr="00F566C3">
              <w:t>likum</w:t>
            </w:r>
            <w:r w:rsidR="00A1129C">
              <w:t>u.</w:t>
            </w:r>
          </w:p>
        </w:tc>
      </w:tr>
    </w:tbl>
    <w:p w14:paraId="657371B9" w14:textId="77777777" w:rsidR="008841F5" w:rsidRPr="00F566C3" w:rsidRDefault="008841F5" w:rsidP="00B963D2">
      <w:pPr>
        <w:pStyle w:val="Title"/>
        <w:spacing w:before="130" w:line="260" w:lineRule="exact"/>
        <w:ind w:firstLine="53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4"/>
        <w:gridCol w:w="2680"/>
        <w:gridCol w:w="5817"/>
      </w:tblGrid>
      <w:tr w:rsidR="00B963D2" w:rsidRPr="00F566C3" w14:paraId="32BF8631" w14:textId="77777777" w:rsidTr="0064589D">
        <w:tc>
          <w:tcPr>
            <w:tcW w:w="5000" w:type="pct"/>
            <w:gridSpan w:val="3"/>
            <w:vAlign w:val="center"/>
            <w:hideMark/>
          </w:tcPr>
          <w:p w14:paraId="18DEB481" w14:textId="77777777" w:rsidR="00B963D2" w:rsidRPr="00F566C3" w:rsidRDefault="00B963D2" w:rsidP="00602C74">
            <w:pPr>
              <w:jc w:val="center"/>
              <w:rPr>
                <w:b/>
                <w:bCs/>
              </w:rPr>
            </w:pPr>
            <w:r w:rsidRPr="00F566C3">
              <w:rPr>
                <w:b/>
                <w:bCs/>
              </w:rPr>
              <w:t>I. Tiesību akta projekta izstrādes nepieciešamība</w:t>
            </w:r>
          </w:p>
        </w:tc>
      </w:tr>
      <w:tr w:rsidR="00B963D2" w:rsidRPr="00F566C3" w14:paraId="605AC0C5" w14:textId="77777777" w:rsidTr="0064589D">
        <w:tc>
          <w:tcPr>
            <w:tcW w:w="311" w:type="pct"/>
            <w:hideMark/>
          </w:tcPr>
          <w:p w14:paraId="788BCAA8" w14:textId="77777777" w:rsidR="00B963D2" w:rsidRPr="00F566C3" w:rsidRDefault="00B963D2" w:rsidP="00602C74">
            <w:pPr>
              <w:jc w:val="center"/>
            </w:pPr>
            <w:r w:rsidRPr="00F566C3">
              <w:t>1.</w:t>
            </w:r>
          </w:p>
        </w:tc>
        <w:tc>
          <w:tcPr>
            <w:tcW w:w="1479" w:type="pct"/>
            <w:hideMark/>
          </w:tcPr>
          <w:p w14:paraId="25EA8C77" w14:textId="77777777" w:rsidR="00B963D2" w:rsidRPr="00F566C3" w:rsidRDefault="00B963D2" w:rsidP="00602C74">
            <w:r w:rsidRPr="00F566C3">
              <w:t>Pamatojums</w:t>
            </w:r>
          </w:p>
        </w:tc>
        <w:tc>
          <w:tcPr>
            <w:tcW w:w="3210" w:type="pct"/>
            <w:hideMark/>
          </w:tcPr>
          <w:p w14:paraId="321B6768" w14:textId="22DE8052" w:rsidR="00B963D2" w:rsidRPr="00F566C3" w:rsidRDefault="00141961">
            <w:pPr>
              <w:jc w:val="both"/>
            </w:pPr>
            <w:r>
              <w:t>Ministru kabineta 2018.</w:t>
            </w:r>
            <w:r w:rsidR="00127273">
              <w:t xml:space="preserve"> </w:t>
            </w:r>
            <w:r>
              <w:t>gada 6.</w:t>
            </w:r>
            <w:r w:rsidR="00127273">
              <w:t xml:space="preserve"> </w:t>
            </w:r>
            <w:r>
              <w:t>jūlija rīkojum</w:t>
            </w:r>
            <w:r w:rsidR="00A1129C">
              <w:t>a</w:t>
            </w:r>
            <w:r>
              <w:t xml:space="preserve"> Nr.</w:t>
            </w:r>
            <w:r w:rsidR="00127273">
              <w:t xml:space="preserve"> </w:t>
            </w:r>
            <w:r>
              <w:t>303</w:t>
            </w:r>
            <w:r w:rsidR="00763E69">
              <w:t xml:space="preserve"> </w:t>
            </w:r>
            <w:r w:rsidR="00A1129C">
              <w:t>“Par k</w:t>
            </w:r>
            <w:r w:rsidR="00A1129C">
              <w:rPr>
                <w:color w:val="000000"/>
                <w:shd w:val="clear" w:color="auto" w:fill="FFFFFF"/>
              </w:rPr>
              <w:t>onceptuālo ziņojumu “Par efektīvo institucionālās pārvaldības modeli vārda, uzvārda un tautības ieraksta maiņas un civilstāvokļa aktu reģistrācijas jomā” 3.</w:t>
            </w:r>
            <w:r w:rsidR="00127273">
              <w:rPr>
                <w:color w:val="000000"/>
                <w:shd w:val="clear" w:color="auto" w:fill="FFFFFF"/>
              </w:rPr>
              <w:t xml:space="preserve"> </w:t>
            </w:r>
            <w:r w:rsidR="00A1129C">
              <w:rPr>
                <w:color w:val="000000"/>
                <w:shd w:val="clear" w:color="auto" w:fill="FFFFFF"/>
              </w:rPr>
              <w:t>punkts.</w:t>
            </w:r>
          </w:p>
        </w:tc>
      </w:tr>
      <w:tr w:rsidR="00B963D2" w:rsidRPr="00F566C3" w14:paraId="7E23E2AD" w14:textId="77777777" w:rsidTr="0064589D">
        <w:tc>
          <w:tcPr>
            <w:tcW w:w="311" w:type="pct"/>
            <w:hideMark/>
          </w:tcPr>
          <w:p w14:paraId="14A2240E" w14:textId="77777777" w:rsidR="00B963D2" w:rsidRPr="00F566C3" w:rsidRDefault="00B963D2" w:rsidP="00602C74">
            <w:pPr>
              <w:jc w:val="center"/>
            </w:pPr>
            <w:bookmarkStart w:id="0" w:name="_GoBack"/>
            <w:bookmarkEnd w:id="0"/>
            <w:r w:rsidRPr="00F566C3">
              <w:t>2.</w:t>
            </w:r>
          </w:p>
        </w:tc>
        <w:tc>
          <w:tcPr>
            <w:tcW w:w="1479" w:type="pct"/>
            <w:hideMark/>
          </w:tcPr>
          <w:p w14:paraId="2B4DE270" w14:textId="77777777" w:rsidR="00B963D2" w:rsidRPr="00F566C3" w:rsidRDefault="00B963D2" w:rsidP="00602C74">
            <w:r w:rsidRPr="00F566C3">
              <w:t>Pašreizējā situācija un problēmas, kuru risināšanai tiesību akta projekts izstrādāts, tiesiskā regulējuma mērķis un būtība</w:t>
            </w:r>
          </w:p>
          <w:p w14:paraId="65F4A2C0" w14:textId="77777777" w:rsidR="00B963D2" w:rsidRPr="00F566C3" w:rsidRDefault="00B963D2" w:rsidP="00602C74"/>
          <w:p w14:paraId="75148533" w14:textId="77777777" w:rsidR="00B963D2" w:rsidRPr="00F566C3" w:rsidRDefault="00B963D2" w:rsidP="00602C74"/>
          <w:p w14:paraId="2F46F37C" w14:textId="77777777" w:rsidR="00B963D2" w:rsidRPr="00F566C3" w:rsidRDefault="00B963D2" w:rsidP="00602C74"/>
          <w:p w14:paraId="4FF79C8F" w14:textId="77777777" w:rsidR="00B963D2" w:rsidRPr="00F566C3" w:rsidRDefault="00B963D2" w:rsidP="00602C74"/>
          <w:p w14:paraId="693E02D9" w14:textId="77777777" w:rsidR="00B963D2" w:rsidRPr="00F566C3" w:rsidRDefault="00B963D2" w:rsidP="00602C74"/>
          <w:p w14:paraId="0B002410" w14:textId="77777777" w:rsidR="00B963D2" w:rsidRPr="00F566C3" w:rsidRDefault="00B963D2" w:rsidP="00602C74"/>
          <w:p w14:paraId="1F743C80" w14:textId="77777777" w:rsidR="00B963D2" w:rsidRPr="00F566C3" w:rsidRDefault="00B963D2" w:rsidP="00602C74"/>
          <w:p w14:paraId="4941C74D" w14:textId="77777777" w:rsidR="00B963D2" w:rsidRPr="00F566C3" w:rsidRDefault="00B963D2" w:rsidP="00602C74"/>
          <w:p w14:paraId="7B87B5C7" w14:textId="77777777" w:rsidR="00B963D2" w:rsidRPr="00F566C3" w:rsidRDefault="00B963D2" w:rsidP="00602C74"/>
          <w:p w14:paraId="20558736" w14:textId="77777777" w:rsidR="00B963D2" w:rsidRPr="00F566C3" w:rsidRDefault="00B963D2" w:rsidP="00602C74"/>
          <w:p w14:paraId="0C30D619" w14:textId="77777777" w:rsidR="00B963D2" w:rsidRPr="00F566C3" w:rsidRDefault="00B963D2" w:rsidP="00602C74"/>
          <w:p w14:paraId="48922864" w14:textId="77777777" w:rsidR="00B963D2" w:rsidRPr="00F566C3" w:rsidRDefault="00B963D2" w:rsidP="00D63223"/>
        </w:tc>
        <w:tc>
          <w:tcPr>
            <w:tcW w:w="3210" w:type="pct"/>
            <w:hideMark/>
          </w:tcPr>
          <w:p w14:paraId="5B4F95AC" w14:textId="4F63FA6F" w:rsidR="00A55631" w:rsidRPr="00A55631" w:rsidRDefault="00A55631">
            <w:pPr>
              <w:jc w:val="both"/>
            </w:pPr>
            <w:r w:rsidRPr="00A55631">
              <w:t>Civilstāvokļa aktu reģistrācijas likuma 7.</w:t>
            </w:r>
            <w:r w:rsidR="00127273">
              <w:t xml:space="preserve"> </w:t>
            </w:r>
            <w:r w:rsidRPr="00A55631">
              <w:t xml:space="preserve">panta pirmajā un otrajā daļā noteikts, ka </w:t>
            </w:r>
            <w:r>
              <w:t>d</w:t>
            </w:r>
            <w:r w:rsidRPr="009704CC">
              <w:t xml:space="preserve">zimtsarakstu iestāde, ievērojot šā likuma </w:t>
            </w:r>
            <w:hyperlink r:id="rId7" w:anchor="p3" w:history="1">
              <w:r w:rsidRPr="009704CC">
                <w:t>3.</w:t>
              </w:r>
              <w:r w:rsidR="00127273">
                <w:t xml:space="preserve"> </w:t>
              </w:r>
              <w:r w:rsidRPr="009704CC">
                <w:t>panta</w:t>
              </w:r>
            </w:hyperlink>
            <w:r w:rsidRPr="009704CC">
              <w:t xml:space="preserve"> trešo un ceturto daļu, ziņas par noslēgtajām laulībām, reģistrētajiem dzimšanas un miršanas faktiem iekļauj, aktualizē un atjauno Civilstāvokļa aktu reģistrācijas informācijas sistēmā (vienotais civilstāvokļa aktu reģistrs), kas ir valsts informācijas sistēma, kuras pārzinis un turētājs ir Pilsonības un migrācijas lietu pārvalde.</w:t>
            </w:r>
          </w:p>
          <w:p w14:paraId="64D70696" w14:textId="64C397DC" w:rsidR="00E9310C" w:rsidRDefault="00FA4226">
            <w:pPr>
              <w:jc w:val="both"/>
              <w:rPr>
                <w:color w:val="000000"/>
                <w:shd w:val="clear" w:color="auto" w:fill="FFFFFF"/>
              </w:rPr>
            </w:pPr>
            <w:r>
              <w:t>Ministru kabineta 2018.</w:t>
            </w:r>
            <w:r w:rsidR="00127273">
              <w:t xml:space="preserve"> </w:t>
            </w:r>
            <w:r>
              <w:t>gada 6.</w:t>
            </w:r>
            <w:r w:rsidR="00127273">
              <w:t xml:space="preserve"> </w:t>
            </w:r>
            <w:r>
              <w:t>jūlija rīkojuma Nr.</w:t>
            </w:r>
            <w:r w:rsidR="00127273">
              <w:t xml:space="preserve"> </w:t>
            </w:r>
            <w:r>
              <w:t>303 “Par k</w:t>
            </w:r>
            <w:r>
              <w:rPr>
                <w:color w:val="000000"/>
                <w:shd w:val="clear" w:color="auto" w:fill="FFFFFF"/>
              </w:rPr>
              <w:t>onceptuālo ziņojumu “Par efektīvo institucionālās pārvaldības modeli vārda, uzvārda un tautības ieraksta maiņas un civilstāvokļa aktu reģistrācijas jomā” 1.</w:t>
            </w:r>
            <w:r w:rsidR="00127273">
              <w:rPr>
                <w:color w:val="000000"/>
                <w:shd w:val="clear" w:color="auto" w:fill="FFFFFF"/>
              </w:rPr>
              <w:t xml:space="preserve"> </w:t>
            </w:r>
            <w:r>
              <w:rPr>
                <w:color w:val="000000"/>
                <w:shd w:val="clear" w:color="auto" w:fill="FFFFFF"/>
              </w:rPr>
              <w:t>punkts paredz atbalstīt konceptuālajā ziņojumā “Par efektīvo institucionālās pārvaldības modeli vārda, uzvārda un tautības ieraksta maiņas un civilstāvokļa aktu reģistrācijas jomā”</w:t>
            </w:r>
            <w:r w:rsidR="004810C9">
              <w:rPr>
                <w:color w:val="000000"/>
                <w:shd w:val="clear" w:color="auto" w:fill="FFFFFF"/>
              </w:rPr>
              <w:t xml:space="preserve"> (turpmāk – Ziņojums)</w:t>
            </w:r>
            <w:r>
              <w:rPr>
                <w:color w:val="000000"/>
                <w:shd w:val="clear" w:color="auto" w:fill="FFFFFF"/>
              </w:rPr>
              <w:t xml:space="preserve"> ietverto trešo risinājumu.</w:t>
            </w:r>
          </w:p>
          <w:p w14:paraId="1C6FDEDE" w14:textId="71C319D9" w:rsidR="004810C9" w:rsidRPr="009704CC" w:rsidRDefault="004810C9" w:rsidP="009704CC">
            <w:pPr>
              <w:jc w:val="both"/>
            </w:pPr>
            <w:r w:rsidRPr="004810C9">
              <w:t>Ziņojuma 3.</w:t>
            </w:r>
            <w:r w:rsidR="00127273">
              <w:t xml:space="preserve"> </w:t>
            </w:r>
            <w:r w:rsidRPr="004810C9">
              <w:t>risin</w:t>
            </w:r>
            <w:r>
              <w:t>ājums paredz p</w:t>
            </w:r>
            <w:r w:rsidRPr="009704CC">
              <w:t xml:space="preserve">ārveidot </w:t>
            </w:r>
            <w:r>
              <w:t>Civilstāvokļa aktu reģistrācijas informācijas sistēmas</w:t>
            </w:r>
            <w:r w:rsidRPr="009704CC">
              <w:t xml:space="preserve"> un </w:t>
            </w:r>
            <w:r>
              <w:t>Iedzīvotāju reģistra</w:t>
            </w:r>
            <w:r w:rsidRPr="009704CC">
              <w:t xml:space="preserve"> darbības procesu funkcionalitāti, izveidojot vienotu Fizisko personu reģistru. Tādējādi Fizisko personu reģistrs ietvers gan civilstāvokļa aktu reģistrācijas procesus</w:t>
            </w:r>
            <w:r w:rsidR="00F151D7">
              <w:t>, gan</w:t>
            </w:r>
            <w:r w:rsidRPr="009704CC">
              <w:t xml:space="preserve"> iedzīvotāju reģistrācijas procesus. </w:t>
            </w:r>
            <w:r>
              <w:t>Kā rezultātā,</w:t>
            </w:r>
            <w:r w:rsidRPr="009704CC">
              <w:t xml:space="preserve"> tiks ieviests moderns </w:t>
            </w:r>
            <w:r w:rsidR="008819D8">
              <w:t xml:space="preserve">informācijas komunikācijas tehnoloģijas </w:t>
            </w:r>
            <w:r w:rsidRPr="009704CC">
              <w:t>risinājums, nodrošināti vienkāršāki, ērtāki un efektīvāki iedzīvotāju uzskaites un civilstāvokļa aktu reģistrācijas, vārda, uzvārda un tautības ieraksta maiņas biznesa procesi.</w:t>
            </w:r>
          </w:p>
          <w:p w14:paraId="6A8352E3" w14:textId="17F749C1" w:rsidR="008819D8" w:rsidRDefault="005D2B53">
            <w:pPr>
              <w:jc w:val="both"/>
            </w:pPr>
            <w:r>
              <w:t>Tādējādi</w:t>
            </w:r>
            <w:r w:rsidR="008819D8">
              <w:t xml:space="preserve"> līdz ar Fizisko personu reģistra likuma spēkā stāšanos ziņas par noslēgtajām laulībām, reģistrētajiem dzimšanas un miršanas faktiem iekļaus, aktualizēs un atjaunos Fizisko personu reģistrā, nevis Civilstāvokļa aktu reģistrācijas informācijas sistēmā.</w:t>
            </w:r>
          </w:p>
          <w:p w14:paraId="6C4CB6BB" w14:textId="55090181" w:rsidR="00FA4226" w:rsidRDefault="004810C9">
            <w:pPr>
              <w:jc w:val="both"/>
            </w:pPr>
            <w:r w:rsidRPr="009704CC">
              <w:lastRenderedPageBreak/>
              <w:t xml:space="preserve">Informācijas sistēmas tehniskajā risinājumā tiks paredzēts, ka informācijas sistēmas lietotājam tiks nodrošināta iespēja vienas informācijas sistēmas ietvaros veikt nepieciešamās darbības attiecīgā civilstāvokļa akta reģistrēšanai, tādējādi minimizējot pieejamos datus tādā apjomā, kāds tas ir nepieciešams attiecīgajā procesā, kas </w:t>
            </w:r>
            <w:r w:rsidR="00127273">
              <w:t xml:space="preserve">ir </w:t>
            </w:r>
            <w:r w:rsidRPr="009704CC">
              <w:t xml:space="preserve">pretēji pašreizējai situācijai, kad lietotājam, veicot civilstāvokļa akta reģistrāciju, ir nepieciešama piekļuve divām sistēmām, tādējādi radot papildu laika resursu patēriņu un dubultu personas datu apstrādi. </w:t>
            </w:r>
          </w:p>
          <w:p w14:paraId="27A9CA8E" w14:textId="168F08AC" w:rsidR="00F774FD" w:rsidRDefault="00F774FD" w:rsidP="00F774FD">
            <w:pPr>
              <w:jc w:val="both"/>
            </w:pPr>
            <w:r>
              <w:t>Ievērojot minēto, likumprojekts paredz, ka vienlaikus ar Fizisko personu reģistra likuma (</w:t>
            </w:r>
            <w:r w:rsidR="00127273">
              <w:t xml:space="preserve">2017. gada 14. decembrī </w:t>
            </w:r>
            <w:r>
              <w:t xml:space="preserve">pieņemts Saeimā) spēkā stāšanos Civilstāvokļa aktu reģistrācijas likumā tiks precizēta lietotā terminoloģija, proti, “vienotais civilstāvokļa aktu reģistrs” tiks aizstāts ar “Fizisko personu reģistrs”, kā arī “Iedzīvotāju reģistrs” ar “Fizisko personu reģistrs”. </w:t>
            </w:r>
          </w:p>
          <w:p w14:paraId="1B6FB61A" w14:textId="743778F8" w:rsidR="00F774FD" w:rsidRDefault="00F774FD" w:rsidP="00F774FD">
            <w:pPr>
              <w:jc w:val="both"/>
            </w:pPr>
            <w:r>
              <w:t>Paredzams, ka Fizisko personu reģistra likums stāsies spēkā 2020.</w:t>
            </w:r>
            <w:r w:rsidR="00127273">
              <w:t xml:space="preserve"> </w:t>
            </w:r>
            <w:r>
              <w:t>gada 1.</w:t>
            </w:r>
            <w:r w:rsidR="00127273">
              <w:t xml:space="preserve"> </w:t>
            </w:r>
            <w:r>
              <w:t>jūlijā.</w:t>
            </w:r>
          </w:p>
          <w:p w14:paraId="38961237" w14:textId="45298679" w:rsidR="00983B72" w:rsidRPr="00E06D82" w:rsidRDefault="008431C8" w:rsidP="00983B72">
            <w:pPr>
              <w:jc w:val="both"/>
            </w:pPr>
            <w:r w:rsidRPr="00E06D82">
              <w:t xml:space="preserve">Papildus likumprojekts paredz pilnveidot esošo </w:t>
            </w:r>
            <w:r w:rsidR="0064589D" w:rsidRPr="00E06D82">
              <w:t>Civilstāvokļa aktu reģistrācijas likuma regulējumu, novēršot  konstatētās neatbilstības pašreizējai faktiskajai situācijai.</w:t>
            </w:r>
            <w:r w:rsidR="00983B72" w:rsidRPr="00E06D82">
              <w:t xml:space="preserve"> </w:t>
            </w:r>
            <w:r w:rsidR="00C50661" w:rsidRPr="00E06D82">
              <w:t>L</w:t>
            </w:r>
            <w:r w:rsidR="00983B72" w:rsidRPr="00E06D82">
              <w:t>ikumprojekts paredz grozīt Civilstāvokļa aktu reģistrācijas likuma 23.</w:t>
            </w:r>
            <w:r w:rsidR="00E06D82" w:rsidRPr="00E06D82">
              <w:t xml:space="preserve"> </w:t>
            </w:r>
            <w:r w:rsidR="00983B72" w:rsidRPr="00E06D82">
              <w:t>panta</w:t>
            </w:r>
            <w:r w:rsidR="00E06D82" w:rsidRPr="00E06D82">
              <w:t xml:space="preserve"> pirmo daļu, nosakot, ka</w:t>
            </w:r>
            <w:r w:rsidR="00983B72" w:rsidRPr="00E06D82">
              <w:t xml:space="preserve"> laulības reģistra ierakstu papildina ar ziņām par laulības šķiršanu, laulības atzīšanu par neesošu, tautības ieraksta, personas koda vai valstiskās piederības maiņu.  Šīs tiesību normas mērķis ir uzskaitīt gadījumus, kuros tiek veikta </w:t>
            </w:r>
            <w:r w:rsidR="00C50661" w:rsidRPr="00E06D82">
              <w:t xml:space="preserve">laulības reģistra papildināšana, jo Ministru kabineta 2013. gada 3. septembra noteikumu Nr. 761 </w:t>
            </w:r>
            <w:r w:rsidR="00A60622" w:rsidRPr="00E06D82">
              <w:t>“</w:t>
            </w:r>
            <w:r w:rsidR="00C50661" w:rsidRPr="00E06D82">
              <w:t>Noteikumi par civilstāvokļa aktu reģistriem</w:t>
            </w:r>
            <w:r w:rsidR="00A60622" w:rsidRPr="00E06D82">
              <w:t>”</w:t>
            </w:r>
            <w:r w:rsidR="00C50661" w:rsidRPr="00E06D82">
              <w:t xml:space="preserve"> (turpmāk - Noteikumi) VIII. nodaļā </w:t>
            </w:r>
            <w:r w:rsidR="00A60622" w:rsidRPr="00E06D82">
              <w:t>“</w:t>
            </w:r>
            <w:r w:rsidR="00C50661" w:rsidRPr="00E06D82">
              <w:t>Reģistra ieraksta papildināšana</w:t>
            </w:r>
            <w:r w:rsidR="00A60622" w:rsidRPr="00E06D82">
              <w:t>”</w:t>
            </w:r>
            <w:r w:rsidR="00C50661" w:rsidRPr="00E06D82">
              <w:t xml:space="preserve"> detalizēti </w:t>
            </w:r>
            <w:r w:rsidR="00D23C81" w:rsidRPr="00E06D82">
              <w:t xml:space="preserve">tiek </w:t>
            </w:r>
            <w:r w:rsidR="00C50661" w:rsidRPr="00E06D82">
              <w:t>uzskaitīti priekšnosacījumi civilstāvokļa aktu reģistra ieraksta papildināšanai. Saskaņā ar norādīto uzskaitījumu, laulības reģistra ieraksts netiek papildināts ar ziņām par laulātā vārda, uzvārda vai dzimuma maiņu.</w:t>
            </w:r>
          </w:p>
          <w:p w14:paraId="2FBAE50D" w14:textId="28260134" w:rsidR="00207375" w:rsidRPr="00127273" w:rsidRDefault="00127273" w:rsidP="005F11AE">
            <w:pPr>
              <w:jc w:val="both"/>
            </w:pPr>
            <w:r w:rsidRPr="00127273">
              <w:t>L</w:t>
            </w:r>
            <w:r w:rsidR="005F11AE" w:rsidRPr="00127273">
              <w:t xml:space="preserve">ikumprojekts paredz grozīt Civilstāvokļa aktu reģistrācijas likuma 25. </w:t>
            </w:r>
            <w:r w:rsidR="00D23C81" w:rsidRPr="00127273">
              <w:t>panta ceturto daļu, izslēdzot</w:t>
            </w:r>
            <w:r w:rsidR="005F11AE" w:rsidRPr="00127273">
              <w:t xml:space="preserve"> vārdu “rakstveidā”. Lai reģistrētu bērna dzimšanas faktu, dzimšanas reģistra ierakstā norādāms dzimšanas fakta paziņotājs – fiziska persona. Ievērojot norādīto, nosacījums, paziņot par bērna dzimšanas faktu rakstveidā, izslēdzams no normatīvā regulējuma. </w:t>
            </w:r>
            <w:r w:rsidR="00207375" w:rsidRPr="00127273">
              <w:t>Turklāt praksē konstatēts, ka pašvaldības, kurai kļuvis zināms par bērna piedzimšanu vai ārstniecības iestādes, ja bērns ievietots glābējsilītē, pārstāvji dzimtsarakstu nodaļā ierodas klātienē.</w:t>
            </w:r>
          </w:p>
          <w:p w14:paraId="180EA25D" w14:textId="5504418B" w:rsidR="00207375" w:rsidRPr="00127273" w:rsidRDefault="00E06D82" w:rsidP="005F11AE">
            <w:pPr>
              <w:jc w:val="both"/>
            </w:pPr>
            <w:r w:rsidRPr="00127273">
              <w:t xml:space="preserve">Papildus likumprojekts paredz grozīt arī Civilstāvokļa aktu reģistrācijas likuma 39. pantu, izslēdzot otrajā un trešajā daļā vārdu “rakstveidā”. Norādāms, lai reģistrētu personas miršanas faktu, miršanas reģistra ierakstā norādāms miršanas fakta paziņotājs – fiziska persona. Ievērojot norādīto, nosacījums, paziņot par miršanas faktu rakstveidā, </w:t>
            </w:r>
            <w:r w:rsidRPr="00127273">
              <w:lastRenderedPageBreak/>
              <w:t xml:space="preserve">izslēdzams no normatīvā regulējuma. Turklāt praksē konstatēts, ka iestādes, kurai kļuvis zināms par personas miršanas faktu, pārstāvji dzimtsarakstu nodaļā ierodas klātienē. </w:t>
            </w:r>
          </w:p>
          <w:p w14:paraId="2D56F6CE" w14:textId="66DFBA06" w:rsidR="00207375" w:rsidRPr="00127273" w:rsidRDefault="00207375" w:rsidP="005F11AE">
            <w:pPr>
              <w:jc w:val="both"/>
            </w:pPr>
            <w:r w:rsidRPr="00127273">
              <w:t xml:space="preserve">Pamatojoties uz likumprojektā paredzētajiem grozījumiem Civilstāvokļa aktu reģistrācijas likuma </w:t>
            </w:r>
            <w:r w:rsidR="005D4898" w:rsidRPr="00127273">
              <w:t xml:space="preserve">25. panta ceturtajā daļā un 39. panta otrajā un trešajā daļā, </w:t>
            </w:r>
            <w:r w:rsidRPr="00127273">
              <w:t xml:space="preserve">likumprojekts </w:t>
            </w:r>
            <w:r w:rsidR="00127273" w:rsidRPr="00127273">
              <w:t xml:space="preserve">attiecīgi </w:t>
            </w:r>
            <w:r w:rsidRPr="00127273">
              <w:t>paredz grozīt 31. panta otro daļu un 41. panta otro daļu, izslēdzot vārdus “Ja saņemts iestādes rakstveida paziņojums, norāda, ka dzimšanas reģistra ieraksts izdarīts, pamatojoties uz attiecīgo paziņojumu.”.</w:t>
            </w:r>
          </w:p>
          <w:p w14:paraId="3E1D1E65" w14:textId="2E6FC7CC" w:rsidR="00A55631" w:rsidRPr="005D4898" w:rsidRDefault="005A78A0" w:rsidP="005D4898">
            <w:pPr>
              <w:jc w:val="both"/>
              <w:rPr>
                <w:highlight w:val="yellow"/>
              </w:rPr>
            </w:pPr>
            <w:r w:rsidRPr="00127273">
              <w:t xml:space="preserve">Savukārt Civilstāvokļa aktu reģistrācijas likuma 37. panta pirmo daļu, likumprojekts paredz izteikt </w:t>
            </w:r>
            <w:r w:rsidR="00A60622" w:rsidRPr="00127273">
              <w:t>jaunā redakcijā, lai precizētu gad</w:t>
            </w:r>
            <w:r w:rsidR="00087B83" w:rsidRPr="00127273">
              <w:t>ījumus, kad tiek veikta dzimšanas reģistra ieraksta papildināšana.</w:t>
            </w:r>
            <w:r w:rsidR="00A60622" w:rsidRPr="00127273">
              <w:t xml:space="preserve">  Noteikumu VIII. nodaļā “</w:t>
            </w:r>
            <w:r w:rsidRPr="00127273">
              <w:t>Reģi</w:t>
            </w:r>
            <w:r w:rsidR="00A60622" w:rsidRPr="00127273">
              <w:t>stra ieraksta papildināšana”</w:t>
            </w:r>
            <w:r w:rsidRPr="00127273">
              <w:t xml:space="preserve"> detalizēti uzskaitīti priekšnosacījumi civilstāvokļa aktu reģistra ieraksta papildināšanai. Saskaņā ar sniegto uzskaitījumu, </w:t>
            </w:r>
            <w:r w:rsidR="006F6748" w:rsidRPr="00127273">
              <w:t xml:space="preserve">dzimšanas </w:t>
            </w:r>
            <w:r w:rsidRPr="00127273">
              <w:t xml:space="preserve">reģistra ieraksts netiek papildināts par vecāka vārda vai uzvārda maiņu. </w:t>
            </w:r>
            <w:r w:rsidR="00087B83" w:rsidRPr="00127273">
              <w:t>Tādējādi</w:t>
            </w:r>
            <w:r w:rsidRPr="00127273">
              <w:t>, lai nerastos situācija, ka bērnam ir viena dzimuma vecāki, papildinājumu par dzimuma maiņu var piemērot tikai attiecībā uz pašas personas dzimuma maiņu, ne personas vecākiem.</w:t>
            </w:r>
          </w:p>
        </w:tc>
      </w:tr>
      <w:tr w:rsidR="00B963D2" w:rsidRPr="00F566C3" w14:paraId="6E06A677" w14:textId="77777777" w:rsidTr="0064589D">
        <w:tc>
          <w:tcPr>
            <w:tcW w:w="311" w:type="pct"/>
            <w:hideMark/>
          </w:tcPr>
          <w:p w14:paraId="41BC0CD2" w14:textId="28248B2D" w:rsidR="00B963D2" w:rsidRPr="00F566C3" w:rsidRDefault="00B963D2" w:rsidP="00602C74">
            <w:pPr>
              <w:jc w:val="center"/>
            </w:pPr>
            <w:r w:rsidRPr="00F566C3">
              <w:lastRenderedPageBreak/>
              <w:t>3.</w:t>
            </w:r>
          </w:p>
        </w:tc>
        <w:tc>
          <w:tcPr>
            <w:tcW w:w="1479" w:type="pct"/>
            <w:hideMark/>
          </w:tcPr>
          <w:p w14:paraId="6644A56F" w14:textId="77777777" w:rsidR="00B963D2" w:rsidRPr="00F566C3" w:rsidRDefault="00B963D2" w:rsidP="00602C74">
            <w:r w:rsidRPr="00F566C3">
              <w:t>Projekta izstrādē iesaistītās institūcijas un publiskas personas kapitālsabiedrības</w:t>
            </w:r>
          </w:p>
        </w:tc>
        <w:tc>
          <w:tcPr>
            <w:tcW w:w="3210" w:type="pct"/>
            <w:hideMark/>
          </w:tcPr>
          <w:p w14:paraId="728B88A9" w14:textId="3DE38A69" w:rsidR="00B963D2" w:rsidRPr="00F566C3" w:rsidRDefault="00A1129C">
            <w:r>
              <w:t xml:space="preserve">Iekšlietu ministrija, </w:t>
            </w:r>
            <w:r w:rsidR="00B963D2" w:rsidRPr="00F566C3">
              <w:t xml:space="preserve">Pilsonības un migrācijas lietu pārvalde, </w:t>
            </w:r>
            <w:r w:rsidR="00F151D7">
              <w:t>Tieslietu ministrija.</w:t>
            </w:r>
          </w:p>
        </w:tc>
      </w:tr>
      <w:tr w:rsidR="00B963D2" w:rsidRPr="00F566C3" w14:paraId="655381A5" w14:textId="77777777" w:rsidTr="0064589D">
        <w:tc>
          <w:tcPr>
            <w:tcW w:w="311" w:type="pct"/>
            <w:hideMark/>
          </w:tcPr>
          <w:p w14:paraId="102D12CD" w14:textId="77777777" w:rsidR="00B963D2" w:rsidRPr="00F566C3" w:rsidRDefault="00B963D2" w:rsidP="00602C74">
            <w:pPr>
              <w:jc w:val="center"/>
            </w:pPr>
            <w:r w:rsidRPr="00F566C3">
              <w:t>4.</w:t>
            </w:r>
          </w:p>
        </w:tc>
        <w:tc>
          <w:tcPr>
            <w:tcW w:w="1479" w:type="pct"/>
            <w:hideMark/>
          </w:tcPr>
          <w:p w14:paraId="2C3707C8" w14:textId="77777777" w:rsidR="00B963D2" w:rsidRPr="00F566C3" w:rsidRDefault="00B963D2" w:rsidP="00602C74">
            <w:r w:rsidRPr="00F566C3">
              <w:t>Cita informācija</w:t>
            </w:r>
          </w:p>
        </w:tc>
        <w:tc>
          <w:tcPr>
            <w:tcW w:w="3210" w:type="pct"/>
            <w:hideMark/>
          </w:tcPr>
          <w:p w14:paraId="56325E2B" w14:textId="77777777" w:rsidR="00B963D2" w:rsidRPr="00F566C3" w:rsidRDefault="00B963D2" w:rsidP="00602C74">
            <w:r w:rsidRPr="00F566C3">
              <w:t>Nav.</w:t>
            </w:r>
          </w:p>
        </w:tc>
      </w:tr>
    </w:tbl>
    <w:p w14:paraId="4FA1719B" w14:textId="77777777" w:rsidR="008841F5" w:rsidRPr="00AE4A68" w:rsidRDefault="008841F5" w:rsidP="00B963D2">
      <w:pPr>
        <w:pStyle w:val="Title"/>
        <w:spacing w:before="130" w:line="260" w:lineRule="exact"/>
        <w:ind w:firstLine="539"/>
        <w:jc w:val="both"/>
        <w:rPr>
          <w:sz w:val="1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4"/>
        <w:gridCol w:w="2680"/>
        <w:gridCol w:w="5817"/>
      </w:tblGrid>
      <w:tr w:rsidR="00B963D2" w:rsidRPr="00F566C3" w14:paraId="56184EB4" w14:textId="77777777" w:rsidTr="00212F0D">
        <w:tc>
          <w:tcPr>
            <w:tcW w:w="5000" w:type="pct"/>
            <w:gridSpan w:val="3"/>
            <w:vAlign w:val="center"/>
            <w:hideMark/>
          </w:tcPr>
          <w:p w14:paraId="7F9018E7" w14:textId="77777777" w:rsidR="00B963D2" w:rsidRPr="00F566C3" w:rsidRDefault="00B963D2" w:rsidP="00602C74">
            <w:pPr>
              <w:jc w:val="center"/>
              <w:rPr>
                <w:b/>
                <w:bCs/>
              </w:rPr>
            </w:pPr>
            <w:r w:rsidRPr="00F566C3">
              <w:rPr>
                <w:b/>
                <w:bCs/>
              </w:rPr>
              <w:t>II. Tiesību akta projekta ietekme uz sabiedrību, tautsaimniecības attīstību un administratīvo slogu</w:t>
            </w:r>
          </w:p>
        </w:tc>
      </w:tr>
      <w:tr w:rsidR="00B963D2" w:rsidRPr="00F566C3" w14:paraId="79349E4C" w14:textId="77777777" w:rsidTr="00212F0D">
        <w:tc>
          <w:tcPr>
            <w:tcW w:w="311" w:type="pct"/>
            <w:hideMark/>
          </w:tcPr>
          <w:p w14:paraId="7D9021BC" w14:textId="77777777" w:rsidR="00B963D2" w:rsidRPr="00F566C3" w:rsidRDefault="00B963D2" w:rsidP="00602C74">
            <w:pPr>
              <w:jc w:val="center"/>
            </w:pPr>
            <w:r w:rsidRPr="00F566C3">
              <w:t>1.</w:t>
            </w:r>
          </w:p>
        </w:tc>
        <w:tc>
          <w:tcPr>
            <w:tcW w:w="1479" w:type="pct"/>
            <w:hideMark/>
          </w:tcPr>
          <w:p w14:paraId="1D6B1B0A" w14:textId="77777777" w:rsidR="00B963D2" w:rsidRPr="00F566C3" w:rsidRDefault="00B963D2" w:rsidP="00602C74">
            <w:r w:rsidRPr="00F566C3">
              <w:t>Sabiedrības mērķgrupas, kuras tiesiskais regulējums ietekmē vai varētu ietekmēt</w:t>
            </w:r>
          </w:p>
        </w:tc>
        <w:tc>
          <w:tcPr>
            <w:tcW w:w="3210" w:type="pct"/>
            <w:hideMark/>
          </w:tcPr>
          <w:p w14:paraId="30F91E48" w14:textId="77777777" w:rsidR="001D73C2" w:rsidRDefault="00B963D2" w:rsidP="00606575">
            <w:pPr>
              <w:ind w:right="105"/>
              <w:jc w:val="both"/>
            </w:pPr>
            <w:r w:rsidRPr="00F566C3">
              <w:t>Pilsonības un migrācijas lietu pārvalde,</w:t>
            </w:r>
            <w:r w:rsidR="00FF22D2" w:rsidRPr="00F566C3">
              <w:t xml:space="preserve"> </w:t>
            </w:r>
            <w:r w:rsidR="009A2DB9">
              <w:t xml:space="preserve">Tieslietu ministrijas Dzimtsarakstu departaments, pašvaldību dzimtsarakstu nodaļas, </w:t>
            </w:r>
            <w:r w:rsidR="009A2DB9" w:rsidRPr="000160F7">
              <w:t>Latvijas Republikas diplomātiskā</w:t>
            </w:r>
            <w:r w:rsidR="009A2DB9">
              <w:t>s</w:t>
            </w:r>
            <w:r w:rsidR="009A2DB9" w:rsidRPr="000160F7">
              <w:t xml:space="preserve"> un konsulārā</w:t>
            </w:r>
            <w:r w:rsidR="009A2DB9">
              <w:t>s</w:t>
            </w:r>
            <w:r w:rsidR="009A2DB9" w:rsidRPr="000160F7">
              <w:t xml:space="preserve"> pārstāvniecība</w:t>
            </w:r>
            <w:r w:rsidR="009A2DB9">
              <w:t>s</w:t>
            </w:r>
            <w:r w:rsidR="009A2DB9" w:rsidRPr="000160F7">
              <w:t xml:space="preserve"> ārvalstī</w:t>
            </w:r>
            <w:r w:rsidR="00A1129C">
              <w:t>.</w:t>
            </w:r>
          </w:p>
          <w:p w14:paraId="39D9F263" w14:textId="749F7793" w:rsidR="00EA3FB0" w:rsidRPr="00F566C3" w:rsidRDefault="00A1129C" w:rsidP="00606575">
            <w:pPr>
              <w:ind w:right="105"/>
              <w:jc w:val="both"/>
            </w:pPr>
            <w:r>
              <w:t>Personas, kuras reģistrē civilstāvokļa aktus (dzimšanu, miršanu, laulības), maina vārdu, uzvārdu vai tautību. Mērķgrupas aptuveno skaitlisko lielumu nevar noteikt.</w:t>
            </w:r>
          </w:p>
        </w:tc>
      </w:tr>
      <w:tr w:rsidR="00B963D2" w:rsidRPr="00F566C3" w14:paraId="1929EFBF" w14:textId="77777777" w:rsidTr="00212F0D">
        <w:tc>
          <w:tcPr>
            <w:tcW w:w="311" w:type="pct"/>
            <w:hideMark/>
          </w:tcPr>
          <w:p w14:paraId="72A9BDBF" w14:textId="77777777" w:rsidR="00B963D2" w:rsidRPr="00F566C3" w:rsidRDefault="00B963D2" w:rsidP="00602C74">
            <w:pPr>
              <w:jc w:val="center"/>
            </w:pPr>
            <w:r w:rsidRPr="00F566C3">
              <w:t>2.</w:t>
            </w:r>
          </w:p>
        </w:tc>
        <w:tc>
          <w:tcPr>
            <w:tcW w:w="1479" w:type="pct"/>
            <w:hideMark/>
          </w:tcPr>
          <w:p w14:paraId="74E13734" w14:textId="77777777" w:rsidR="00B963D2" w:rsidRPr="00F566C3" w:rsidRDefault="00B963D2" w:rsidP="00602C74">
            <w:r w:rsidRPr="00F566C3">
              <w:t>Tiesiskā regulējuma ietekme uz tautsaimniecību un administratīvo slogu</w:t>
            </w:r>
          </w:p>
        </w:tc>
        <w:tc>
          <w:tcPr>
            <w:tcW w:w="3210" w:type="pct"/>
            <w:hideMark/>
          </w:tcPr>
          <w:p w14:paraId="5EE3ACFC" w14:textId="24BB2EE7" w:rsidR="00B963D2" w:rsidRDefault="00A1129C" w:rsidP="00606575">
            <w:pPr>
              <w:ind w:right="105"/>
              <w:jc w:val="both"/>
              <w:rPr>
                <w:rFonts w:eastAsia="Calibri"/>
              </w:rPr>
            </w:pPr>
            <w:r>
              <w:rPr>
                <w:rFonts w:eastAsia="Calibri"/>
              </w:rPr>
              <w:t>Administratīvais slogs</w:t>
            </w:r>
            <w:r w:rsidR="00D25024">
              <w:rPr>
                <w:rFonts w:eastAsia="Calibri"/>
              </w:rPr>
              <w:t xml:space="preserve"> personām</w:t>
            </w:r>
            <w:r>
              <w:rPr>
                <w:rFonts w:eastAsia="Calibri"/>
              </w:rPr>
              <w:t xml:space="preserve"> nemainās, jo tiek precizēts, mainīts sistēmas nosaukums, kurā iekļaus, aktualizēs un atjaunos civilstāvokļa aktu reģistra ierakstus.</w:t>
            </w:r>
          </w:p>
          <w:p w14:paraId="7F0FB89A" w14:textId="6B088DCD" w:rsidR="00D25024" w:rsidRPr="00D25024" w:rsidRDefault="00D25024" w:rsidP="00606575">
            <w:pPr>
              <w:ind w:right="105"/>
              <w:jc w:val="both"/>
            </w:pPr>
            <w:r w:rsidRPr="009704CC">
              <w:t xml:space="preserve">Aktualizējot datus tikai Fizisko personu reģistrā, nevis atsevišķos gadījumos (piemēram, veicot dzimšanas akta ieraksta labojumus) </w:t>
            </w:r>
            <w:r>
              <w:t>Civilstāvokļa aktu reģistrācijas informācijas sistēmā</w:t>
            </w:r>
            <w:r w:rsidRPr="009704CC">
              <w:t xml:space="preserve"> un </w:t>
            </w:r>
            <w:r>
              <w:t>Iedzīvotāju reģistrā</w:t>
            </w:r>
            <w:r w:rsidRPr="009704CC">
              <w:t xml:space="preserve"> pašvaldību dzimtsarakstu nodaļām samazināsies slogs, tas ir, patērētais laiks datu apstrādei.</w:t>
            </w:r>
          </w:p>
        </w:tc>
      </w:tr>
      <w:tr w:rsidR="00B963D2" w:rsidRPr="00F566C3" w14:paraId="72CBD560" w14:textId="77777777" w:rsidTr="00212F0D">
        <w:tc>
          <w:tcPr>
            <w:tcW w:w="311" w:type="pct"/>
            <w:hideMark/>
          </w:tcPr>
          <w:p w14:paraId="78DF3957" w14:textId="77777777" w:rsidR="00B963D2" w:rsidRPr="00F566C3" w:rsidRDefault="00B963D2" w:rsidP="00602C74">
            <w:pPr>
              <w:jc w:val="center"/>
            </w:pPr>
            <w:r w:rsidRPr="00F566C3">
              <w:t>3.</w:t>
            </w:r>
          </w:p>
        </w:tc>
        <w:tc>
          <w:tcPr>
            <w:tcW w:w="1479" w:type="pct"/>
            <w:hideMark/>
          </w:tcPr>
          <w:p w14:paraId="26A7BF56" w14:textId="77777777" w:rsidR="00B963D2" w:rsidRPr="00F566C3" w:rsidRDefault="00B963D2" w:rsidP="00602C74">
            <w:r w:rsidRPr="00F566C3">
              <w:t>Administratīvo izmaksu monetārs novērtējums</w:t>
            </w:r>
          </w:p>
        </w:tc>
        <w:tc>
          <w:tcPr>
            <w:tcW w:w="3210" w:type="pct"/>
            <w:hideMark/>
          </w:tcPr>
          <w:p w14:paraId="2E9A4837" w14:textId="641BE84F" w:rsidR="00B963D2" w:rsidRPr="00E27F1C" w:rsidRDefault="00D25024">
            <w:pPr>
              <w:jc w:val="both"/>
              <w:rPr>
                <w:rFonts w:eastAsia="Calibri"/>
              </w:rPr>
            </w:pPr>
            <w:r>
              <w:rPr>
                <w:rFonts w:eastAsia="Calibri"/>
              </w:rPr>
              <w:t xml:space="preserve">Aptuvenais mērķgrupas </w:t>
            </w:r>
            <w:r w:rsidR="00E27F1C">
              <w:rPr>
                <w:rFonts w:eastAsia="Calibri"/>
              </w:rPr>
              <w:t>lielums, kam būtu</w:t>
            </w:r>
            <w:r w:rsidR="00F151D7">
              <w:rPr>
                <w:rFonts w:eastAsia="Calibri"/>
              </w:rPr>
              <w:t xml:space="preserve"> jāveic</w:t>
            </w:r>
            <w:r w:rsidR="00E27F1C">
              <w:rPr>
                <w:rFonts w:eastAsia="Calibri"/>
              </w:rPr>
              <w:t xml:space="preserve"> </w:t>
            </w:r>
            <w:r w:rsidR="00F151D7">
              <w:rPr>
                <w:rFonts w:eastAsia="Calibri"/>
              </w:rPr>
              <w:t>datu apstrāde veinlaikus</w:t>
            </w:r>
            <w:r w:rsidR="00606575">
              <w:rPr>
                <w:rFonts w:eastAsia="Calibri"/>
              </w:rPr>
              <w:t xml:space="preserve"> Civilstāvokļa aktu reģistrācijas </w:t>
            </w:r>
            <w:r w:rsidR="00606575">
              <w:rPr>
                <w:rFonts w:eastAsia="Calibri"/>
              </w:rPr>
              <w:lastRenderedPageBreak/>
              <w:t>informācijas sistēmā un Iedzīvotāju reģistrā</w:t>
            </w:r>
            <w:r w:rsidR="00E27F1C" w:rsidRPr="00E27F1C">
              <w:rPr>
                <w:rFonts w:eastAsia="Calibri"/>
              </w:rPr>
              <w:t xml:space="preserve"> – 3 000 gadījumi gadā.</w:t>
            </w:r>
          </w:p>
          <w:p w14:paraId="5D4D346E" w14:textId="77777777" w:rsidR="00E27F1C" w:rsidRPr="009704CC" w:rsidRDefault="00E27F1C" w:rsidP="009704CC">
            <w:pPr>
              <w:ind w:firstLine="300"/>
            </w:pPr>
            <w:r w:rsidRPr="009704CC">
              <w:rPr>
                <w:u w:val="single"/>
              </w:rPr>
              <w:t>Līdz šim</w:t>
            </w:r>
            <w:r w:rsidRPr="009704CC">
              <w:t>:</w:t>
            </w:r>
          </w:p>
          <w:p w14:paraId="75E1511A" w14:textId="77777777" w:rsidR="00E27F1C" w:rsidRPr="009704CC" w:rsidRDefault="00E27F1C" w:rsidP="009704CC">
            <w:pPr>
              <w:ind w:firstLine="300"/>
            </w:pPr>
            <w:r w:rsidRPr="009704CC">
              <w:t xml:space="preserve">Iestādei: C (pašvaldība) = atalgojums 5,09 </w:t>
            </w:r>
            <w:r w:rsidRPr="009704CC">
              <w:rPr>
                <w:i/>
                <w:iCs/>
              </w:rPr>
              <w:t>euro</w:t>
            </w:r>
            <w:r w:rsidRPr="009704CC">
              <w:t xml:space="preserve">/h x 0,08h (5 min) x 3 000 gadījumu gadā = 1 222 </w:t>
            </w:r>
            <w:r w:rsidRPr="009704CC">
              <w:rPr>
                <w:i/>
                <w:iCs/>
              </w:rPr>
              <w:t>euro</w:t>
            </w:r>
          </w:p>
          <w:p w14:paraId="5FF136EC" w14:textId="77777777" w:rsidR="00E27F1C" w:rsidRPr="009704CC" w:rsidRDefault="00E27F1C" w:rsidP="009704CC">
            <w:pPr>
              <w:ind w:firstLine="300"/>
              <w:rPr>
                <w:u w:val="single"/>
              </w:rPr>
            </w:pPr>
            <w:r w:rsidRPr="009704CC">
              <w:rPr>
                <w:u w:val="single"/>
              </w:rPr>
              <w:t>Pēc risinājuma īstenošanas:</w:t>
            </w:r>
          </w:p>
          <w:p w14:paraId="0C63FC1E" w14:textId="43D4EBE7" w:rsidR="00E27F1C" w:rsidRPr="00F566C3" w:rsidRDefault="00E27F1C" w:rsidP="00E27F1C">
            <w:pPr>
              <w:jc w:val="both"/>
            </w:pPr>
            <w:r w:rsidRPr="009704CC">
              <w:t>Iestādei: C = 0</w:t>
            </w:r>
          </w:p>
        </w:tc>
      </w:tr>
      <w:tr w:rsidR="00B963D2" w:rsidRPr="00F566C3" w14:paraId="2F6C0B3F" w14:textId="77777777" w:rsidTr="00212F0D">
        <w:tc>
          <w:tcPr>
            <w:tcW w:w="311" w:type="pct"/>
            <w:hideMark/>
          </w:tcPr>
          <w:p w14:paraId="10C5B2D9" w14:textId="6FD13507" w:rsidR="00B963D2" w:rsidRPr="00F566C3" w:rsidRDefault="00B963D2" w:rsidP="00602C74">
            <w:pPr>
              <w:jc w:val="center"/>
            </w:pPr>
            <w:r w:rsidRPr="00F566C3">
              <w:lastRenderedPageBreak/>
              <w:t>4.</w:t>
            </w:r>
          </w:p>
        </w:tc>
        <w:tc>
          <w:tcPr>
            <w:tcW w:w="1479" w:type="pct"/>
            <w:hideMark/>
          </w:tcPr>
          <w:p w14:paraId="0B6AE2C3" w14:textId="77777777" w:rsidR="00B963D2" w:rsidRPr="00F566C3" w:rsidRDefault="00B963D2" w:rsidP="00602C74">
            <w:r w:rsidRPr="00F566C3">
              <w:t>Atbilstības izmaksu monetārs novērtējums</w:t>
            </w:r>
          </w:p>
        </w:tc>
        <w:tc>
          <w:tcPr>
            <w:tcW w:w="3210" w:type="pct"/>
            <w:hideMark/>
          </w:tcPr>
          <w:p w14:paraId="1E8A0199" w14:textId="77777777" w:rsidR="00B963D2" w:rsidRPr="00F566C3" w:rsidRDefault="00B963D2" w:rsidP="00602C74">
            <w:r w:rsidRPr="00F566C3">
              <w:t>Projekts šo jomu neskar.</w:t>
            </w:r>
          </w:p>
        </w:tc>
      </w:tr>
      <w:tr w:rsidR="00B963D2" w:rsidRPr="00F566C3" w14:paraId="0AAAD2E4" w14:textId="77777777" w:rsidTr="00212F0D">
        <w:tc>
          <w:tcPr>
            <w:tcW w:w="311" w:type="pct"/>
            <w:hideMark/>
          </w:tcPr>
          <w:p w14:paraId="5EF8405C" w14:textId="77777777" w:rsidR="00B963D2" w:rsidRPr="00F566C3" w:rsidRDefault="00B963D2" w:rsidP="00602C74">
            <w:pPr>
              <w:jc w:val="center"/>
            </w:pPr>
            <w:r w:rsidRPr="00F566C3">
              <w:t>5.</w:t>
            </w:r>
          </w:p>
        </w:tc>
        <w:tc>
          <w:tcPr>
            <w:tcW w:w="1479" w:type="pct"/>
            <w:hideMark/>
          </w:tcPr>
          <w:p w14:paraId="74C9E668" w14:textId="77777777" w:rsidR="00B963D2" w:rsidRPr="00F566C3" w:rsidRDefault="00B963D2" w:rsidP="00602C74">
            <w:r w:rsidRPr="00F566C3">
              <w:t>Cita informācija</w:t>
            </w:r>
          </w:p>
        </w:tc>
        <w:tc>
          <w:tcPr>
            <w:tcW w:w="3210" w:type="pct"/>
            <w:hideMark/>
          </w:tcPr>
          <w:p w14:paraId="00990D96" w14:textId="77777777" w:rsidR="00B963D2" w:rsidRPr="00F566C3" w:rsidRDefault="00B963D2" w:rsidP="00602C74">
            <w:r w:rsidRPr="00F566C3">
              <w:t>Nav.</w:t>
            </w:r>
          </w:p>
        </w:tc>
      </w:tr>
    </w:tbl>
    <w:p w14:paraId="56692C6D" w14:textId="77777777" w:rsidR="00B963D2" w:rsidRDefault="00B963D2" w:rsidP="00B963D2"/>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9061"/>
      </w:tblGrid>
      <w:tr w:rsidR="00E27F1C" w:rsidRPr="00F06093" w14:paraId="1A56E58E" w14:textId="77777777" w:rsidTr="00606575">
        <w:tc>
          <w:tcPr>
            <w:tcW w:w="9061" w:type="dxa"/>
            <w:shd w:val="clear" w:color="auto" w:fill="auto"/>
            <w:vAlign w:val="center"/>
            <w:hideMark/>
          </w:tcPr>
          <w:p w14:paraId="52296D67" w14:textId="77777777" w:rsidR="00E27F1C" w:rsidRPr="00F06093" w:rsidRDefault="00E27F1C" w:rsidP="004810C9">
            <w:pPr>
              <w:jc w:val="center"/>
              <w:rPr>
                <w:b/>
                <w:bCs/>
                <w:lang w:eastAsia="en-US"/>
              </w:rPr>
            </w:pPr>
            <w:r w:rsidRPr="00F06093">
              <w:rPr>
                <w:b/>
                <w:bCs/>
                <w:lang w:eastAsia="en-US"/>
              </w:rPr>
              <w:t>III. Tiesību akta projekta ietekme uz valsts budžetu un pašvaldību budžetiem</w:t>
            </w:r>
          </w:p>
        </w:tc>
      </w:tr>
      <w:tr w:rsidR="00606575" w:rsidRPr="00F06093" w14:paraId="3B852620" w14:textId="77777777" w:rsidTr="00314BA1">
        <w:tc>
          <w:tcPr>
            <w:tcW w:w="9061" w:type="dxa"/>
            <w:shd w:val="clear" w:color="auto" w:fill="auto"/>
          </w:tcPr>
          <w:p w14:paraId="5DA26EE5" w14:textId="6006426C" w:rsidR="00606575" w:rsidRPr="00E32454" w:rsidRDefault="00606575" w:rsidP="00606575">
            <w:pPr>
              <w:jc w:val="center"/>
              <w:rPr>
                <w:highlight w:val="yellow"/>
              </w:rPr>
            </w:pPr>
            <w:r w:rsidRPr="00F566C3">
              <w:t>Projekts šo jomu neskar.</w:t>
            </w:r>
          </w:p>
        </w:tc>
      </w:tr>
    </w:tbl>
    <w:p w14:paraId="12633851" w14:textId="77777777" w:rsidR="00B963D2" w:rsidRPr="00F566C3" w:rsidRDefault="00B963D2" w:rsidP="00B963D2"/>
    <w:tbl>
      <w:tblPr>
        <w:tblW w:w="4987" w:type="pct"/>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282"/>
        <w:gridCol w:w="2392"/>
        <w:gridCol w:w="6363"/>
      </w:tblGrid>
      <w:tr w:rsidR="007B212D" w:rsidRPr="00F06093" w14:paraId="32D33F76" w14:textId="77777777" w:rsidTr="00606575">
        <w:trPr>
          <w:cantSplit/>
          <w:trHeight w:val="290"/>
        </w:trPr>
        <w:tc>
          <w:tcPr>
            <w:tcW w:w="9037" w:type="dxa"/>
            <w:gridSpan w:val="3"/>
            <w:tcBorders>
              <w:top w:val="single" w:sz="4" w:space="0" w:color="auto"/>
              <w:left w:val="single" w:sz="4" w:space="0" w:color="auto"/>
              <w:bottom w:val="single" w:sz="4" w:space="0" w:color="auto"/>
              <w:right w:val="single" w:sz="4" w:space="0" w:color="auto"/>
            </w:tcBorders>
          </w:tcPr>
          <w:p w14:paraId="4413488E" w14:textId="77777777" w:rsidR="007B212D" w:rsidRPr="009704CC" w:rsidRDefault="007B212D" w:rsidP="004810C9">
            <w:pPr>
              <w:jc w:val="center"/>
              <w:rPr>
                <w:rFonts w:eastAsia="Calibri"/>
                <w:b/>
              </w:rPr>
            </w:pPr>
            <w:r w:rsidRPr="009704CC">
              <w:rPr>
                <w:rFonts w:eastAsia="Calibri"/>
                <w:b/>
              </w:rPr>
              <w:t>IV. Tiesību akta projekta ietekme uz spēkā esošo tiesību normu sistēmu</w:t>
            </w:r>
          </w:p>
        </w:tc>
      </w:tr>
      <w:tr w:rsidR="007B212D" w:rsidRPr="00F06093" w14:paraId="3C8186DD" w14:textId="77777777" w:rsidTr="00606575">
        <w:trPr>
          <w:trHeight w:val="250"/>
        </w:trPr>
        <w:tc>
          <w:tcPr>
            <w:tcW w:w="282" w:type="dxa"/>
          </w:tcPr>
          <w:p w14:paraId="6D365D78" w14:textId="77777777" w:rsidR="007B212D" w:rsidRPr="00F06093" w:rsidRDefault="007B212D" w:rsidP="004810C9">
            <w:r>
              <w:t>1.</w:t>
            </w:r>
          </w:p>
        </w:tc>
        <w:tc>
          <w:tcPr>
            <w:tcW w:w="2392" w:type="dxa"/>
          </w:tcPr>
          <w:p w14:paraId="59ACA8FF" w14:textId="77777777" w:rsidR="007B212D" w:rsidRPr="00F06093" w:rsidRDefault="007B212D" w:rsidP="004810C9">
            <w:pPr>
              <w:pStyle w:val="ListParagraph"/>
              <w:ind w:left="0"/>
            </w:pPr>
            <w:r w:rsidRPr="00F06093">
              <w:t>Saistītie tiesību aktu projekti</w:t>
            </w:r>
          </w:p>
        </w:tc>
        <w:tc>
          <w:tcPr>
            <w:tcW w:w="6363" w:type="dxa"/>
          </w:tcPr>
          <w:p w14:paraId="6548FF93" w14:textId="781708A3" w:rsidR="007B212D" w:rsidRPr="009704CC" w:rsidRDefault="007B212D" w:rsidP="00606575">
            <w:pPr>
              <w:ind w:right="73"/>
              <w:jc w:val="both"/>
              <w:rPr>
                <w:bCs/>
              </w:rPr>
            </w:pPr>
            <w:r w:rsidRPr="00F06093">
              <w:t xml:space="preserve">Pēc likumprojekta pieņemšanas otrajā lasījumā ir </w:t>
            </w:r>
            <w:r>
              <w:t>jāgroza</w:t>
            </w:r>
            <w:r w:rsidRPr="00F06093">
              <w:t xml:space="preserve"> </w:t>
            </w:r>
            <w:r w:rsidRPr="00F06093">
              <w:rPr>
                <w:bCs/>
              </w:rPr>
              <w:t xml:space="preserve">Ministru kabineta </w:t>
            </w:r>
            <w:r w:rsidRPr="00F06093">
              <w:t>20</w:t>
            </w:r>
            <w:r>
              <w:t>13</w:t>
            </w:r>
            <w:r w:rsidRPr="00F06093">
              <w:t>.</w:t>
            </w:r>
            <w:r w:rsidR="00127273">
              <w:t xml:space="preserve"> </w:t>
            </w:r>
            <w:r w:rsidRPr="00F06093">
              <w:t xml:space="preserve">gada </w:t>
            </w:r>
            <w:r>
              <w:t>3.</w:t>
            </w:r>
            <w:r w:rsidR="00127273">
              <w:t xml:space="preserve"> </w:t>
            </w:r>
            <w:r>
              <w:t>septembra</w:t>
            </w:r>
            <w:r w:rsidRPr="00F06093">
              <w:t xml:space="preserve"> </w:t>
            </w:r>
            <w:r w:rsidRPr="00F06093">
              <w:rPr>
                <w:bCs/>
              </w:rPr>
              <w:t>noteikum</w:t>
            </w:r>
            <w:r>
              <w:rPr>
                <w:bCs/>
              </w:rPr>
              <w:t>i</w:t>
            </w:r>
            <w:r w:rsidRPr="00F06093">
              <w:rPr>
                <w:bCs/>
              </w:rPr>
              <w:t xml:space="preserve"> Nr.</w:t>
            </w:r>
            <w:r>
              <w:rPr>
                <w:bCs/>
              </w:rPr>
              <w:t>761</w:t>
            </w:r>
            <w:r w:rsidRPr="00F06093">
              <w:t> “</w:t>
            </w:r>
            <w:r w:rsidRPr="00F06093">
              <w:rPr>
                <w:bCs/>
              </w:rPr>
              <w:t xml:space="preserve">Noteikumi par </w:t>
            </w:r>
            <w:r>
              <w:rPr>
                <w:bCs/>
              </w:rPr>
              <w:t>civilstāvokļa aktu reģistriem</w:t>
            </w:r>
            <w:r w:rsidRPr="00F06093">
              <w:rPr>
                <w:bCs/>
              </w:rPr>
              <w:t xml:space="preserve">”, </w:t>
            </w:r>
            <w:r>
              <w:rPr>
                <w:bCs/>
              </w:rPr>
              <w:t>precizējot lietoto terminoloģiju un paredzot, ka turpmāk ziņas par noslēgtajām laulībām, reģistrētajiem dzimšanas un miršanas faktiem iekļa</w:t>
            </w:r>
            <w:r w:rsidR="00606575">
              <w:rPr>
                <w:bCs/>
              </w:rPr>
              <w:t>us</w:t>
            </w:r>
            <w:r>
              <w:rPr>
                <w:bCs/>
              </w:rPr>
              <w:t>, aktualizē</w:t>
            </w:r>
            <w:r w:rsidR="00606575">
              <w:rPr>
                <w:bCs/>
              </w:rPr>
              <w:t>s</w:t>
            </w:r>
            <w:r>
              <w:rPr>
                <w:bCs/>
              </w:rPr>
              <w:t xml:space="preserve"> un atjauno</w:t>
            </w:r>
            <w:r w:rsidR="00606575">
              <w:rPr>
                <w:bCs/>
              </w:rPr>
              <w:t>s</w:t>
            </w:r>
            <w:r>
              <w:rPr>
                <w:bCs/>
              </w:rPr>
              <w:t xml:space="preserve"> Fizisko personu reģistrā, nevis Civilstāvokļa aktu reģistrācijas informācijas sistēmā</w:t>
            </w:r>
            <w:r w:rsidRPr="00BD5E2B">
              <w:rPr>
                <w:bCs/>
              </w:rPr>
              <w:t xml:space="preserve">. </w:t>
            </w:r>
          </w:p>
        </w:tc>
      </w:tr>
      <w:tr w:rsidR="007B212D" w:rsidRPr="00F06093" w14:paraId="0103A93C" w14:textId="77777777" w:rsidTr="00606575">
        <w:trPr>
          <w:trHeight w:val="338"/>
        </w:trPr>
        <w:tc>
          <w:tcPr>
            <w:tcW w:w="282" w:type="dxa"/>
          </w:tcPr>
          <w:p w14:paraId="501FABAB" w14:textId="77777777" w:rsidR="007B212D" w:rsidRPr="00F06093" w:rsidRDefault="007B212D" w:rsidP="004810C9">
            <w:pPr>
              <w:jc w:val="center"/>
            </w:pPr>
            <w:r w:rsidRPr="00F06093">
              <w:t>2.</w:t>
            </w:r>
          </w:p>
        </w:tc>
        <w:tc>
          <w:tcPr>
            <w:tcW w:w="2392" w:type="dxa"/>
          </w:tcPr>
          <w:p w14:paraId="6A09A1B9" w14:textId="77777777" w:rsidR="007B212D" w:rsidRPr="00F06093" w:rsidRDefault="007B212D" w:rsidP="004810C9">
            <w:pPr>
              <w:pStyle w:val="ListParagraph"/>
              <w:ind w:left="0"/>
            </w:pPr>
            <w:r w:rsidRPr="00F06093">
              <w:t>Atbildīgā institūcija</w:t>
            </w:r>
          </w:p>
        </w:tc>
        <w:tc>
          <w:tcPr>
            <w:tcW w:w="6363" w:type="dxa"/>
          </w:tcPr>
          <w:p w14:paraId="0E8E37E9" w14:textId="77777777" w:rsidR="007B212D" w:rsidRPr="00F06093" w:rsidRDefault="007B212D" w:rsidP="004810C9">
            <w:r w:rsidRPr="00F06093">
              <w:t>Iekšlietu ministrija.</w:t>
            </w:r>
          </w:p>
        </w:tc>
      </w:tr>
      <w:tr w:rsidR="007B212D" w:rsidRPr="00F06093" w14:paraId="150DB886" w14:textId="77777777" w:rsidTr="00606575">
        <w:trPr>
          <w:trHeight w:val="576"/>
        </w:trPr>
        <w:tc>
          <w:tcPr>
            <w:tcW w:w="282" w:type="dxa"/>
          </w:tcPr>
          <w:p w14:paraId="04801022" w14:textId="77777777" w:rsidR="007B212D" w:rsidRPr="00F06093" w:rsidRDefault="007B212D" w:rsidP="004810C9">
            <w:pPr>
              <w:jc w:val="center"/>
            </w:pPr>
            <w:r w:rsidRPr="00F06093">
              <w:t>3.</w:t>
            </w:r>
          </w:p>
        </w:tc>
        <w:tc>
          <w:tcPr>
            <w:tcW w:w="2392" w:type="dxa"/>
          </w:tcPr>
          <w:p w14:paraId="3FF797B5" w14:textId="77777777" w:rsidR="007B212D" w:rsidRPr="00F06093" w:rsidRDefault="007B212D" w:rsidP="004810C9">
            <w:r w:rsidRPr="00F06093">
              <w:t>Cita informācija</w:t>
            </w:r>
          </w:p>
        </w:tc>
        <w:tc>
          <w:tcPr>
            <w:tcW w:w="6363" w:type="dxa"/>
          </w:tcPr>
          <w:p w14:paraId="1883D84D" w14:textId="77777777" w:rsidR="007B212D" w:rsidRPr="00F06093" w:rsidRDefault="007B212D" w:rsidP="004810C9">
            <w:pPr>
              <w:jc w:val="both"/>
            </w:pPr>
            <w:r w:rsidRPr="00F06093">
              <w:t>Nav.</w:t>
            </w:r>
          </w:p>
        </w:tc>
      </w:tr>
    </w:tbl>
    <w:p w14:paraId="28A459BC" w14:textId="77777777" w:rsidR="007B212D" w:rsidRPr="00F566C3" w:rsidRDefault="007B212D" w:rsidP="00B963D2">
      <w:pPr>
        <w:pStyle w:val="Title"/>
        <w:spacing w:before="130" w:line="260" w:lineRule="exact"/>
        <w:ind w:firstLine="53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9061"/>
      </w:tblGrid>
      <w:tr w:rsidR="00B963D2" w:rsidRPr="00F566C3" w14:paraId="102F0314" w14:textId="77777777" w:rsidTr="00602C74">
        <w:trPr>
          <w:cantSplit/>
        </w:trPr>
        <w:tc>
          <w:tcPr>
            <w:tcW w:w="5000" w:type="pct"/>
            <w:vAlign w:val="center"/>
            <w:hideMark/>
          </w:tcPr>
          <w:p w14:paraId="19348DC2" w14:textId="77777777" w:rsidR="00B963D2" w:rsidRPr="00F566C3" w:rsidRDefault="00B963D2" w:rsidP="00602C74">
            <w:pPr>
              <w:jc w:val="center"/>
              <w:rPr>
                <w:b/>
                <w:bCs/>
              </w:rPr>
            </w:pPr>
            <w:r w:rsidRPr="00F566C3">
              <w:rPr>
                <w:b/>
                <w:bCs/>
              </w:rPr>
              <w:t>V. Tiesību akta projekta atbilstība Latvijas Republikas starptautiskajām saistībām</w:t>
            </w:r>
          </w:p>
        </w:tc>
      </w:tr>
      <w:tr w:rsidR="00B963D2" w:rsidRPr="00F566C3" w14:paraId="6A219E70" w14:textId="77777777" w:rsidTr="00602C74">
        <w:trPr>
          <w:cantSplit/>
          <w:trHeight w:val="162"/>
        </w:trPr>
        <w:tc>
          <w:tcPr>
            <w:tcW w:w="5000" w:type="pct"/>
          </w:tcPr>
          <w:p w14:paraId="7695C132" w14:textId="77777777" w:rsidR="00B963D2" w:rsidRPr="00F566C3" w:rsidRDefault="00B963D2" w:rsidP="00602C74">
            <w:pPr>
              <w:jc w:val="center"/>
            </w:pPr>
            <w:r w:rsidRPr="00F566C3">
              <w:t>Projekts šo jomu neskar.</w:t>
            </w:r>
          </w:p>
        </w:tc>
      </w:tr>
    </w:tbl>
    <w:p w14:paraId="26C81185" w14:textId="77777777" w:rsidR="00B963D2" w:rsidRPr="00F566C3" w:rsidRDefault="00B963D2" w:rsidP="00B963D2">
      <w:pPr>
        <w:pStyle w:val="Title"/>
        <w:spacing w:before="130" w:line="260" w:lineRule="exact"/>
        <w:ind w:firstLine="53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240"/>
        <w:gridCol w:w="2355"/>
        <w:gridCol w:w="6466"/>
      </w:tblGrid>
      <w:tr w:rsidR="00B963D2" w:rsidRPr="00F566C3" w14:paraId="27E98CC0" w14:textId="77777777" w:rsidTr="00B20B29">
        <w:tc>
          <w:tcPr>
            <w:tcW w:w="5000" w:type="pct"/>
            <w:gridSpan w:val="3"/>
            <w:vAlign w:val="center"/>
            <w:hideMark/>
          </w:tcPr>
          <w:p w14:paraId="6454E532" w14:textId="77777777" w:rsidR="00B963D2" w:rsidRPr="00F566C3" w:rsidRDefault="00B963D2" w:rsidP="00602C74">
            <w:pPr>
              <w:jc w:val="center"/>
              <w:rPr>
                <w:b/>
                <w:bCs/>
              </w:rPr>
            </w:pPr>
            <w:r w:rsidRPr="00F566C3">
              <w:rPr>
                <w:b/>
                <w:bCs/>
              </w:rPr>
              <w:t>VI. Sabiedrības līdzdalība un komunikācijas aktivitātes</w:t>
            </w:r>
          </w:p>
        </w:tc>
      </w:tr>
      <w:tr w:rsidR="00B963D2" w:rsidRPr="00F566C3" w14:paraId="30269FF7" w14:textId="77777777" w:rsidTr="00B20B29">
        <w:tc>
          <w:tcPr>
            <w:tcW w:w="311" w:type="pct"/>
            <w:hideMark/>
          </w:tcPr>
          <w:p w14:paraId="45C97692" w14:textId="77777777" w:rsidR="00B963D2" w:rsidRPr="00F566C3" w:rsidRDefault="00B963D2" w:rsidP="00602C74">
            <w:pPr>
              <w:jc w:val="center"/>
            </w:pPr>
            <w:r w:rsidRPr="00F566C3">
              <w:t>1.</w:t>
            </w:r>
          </w:p>
        </w:tc>
        <w:tc>
          <w:tcPr>
            <w:tcW w:w="1479" w:type="pct"/>
            <w:hideMark/>
          </w:tcPr>
          <w:p w14:paraId="5CD68A31" w14:textId="77777777" w:rsidR="00B963D2" w:rsidRPr="00F566C3" w:rsidRDefault="00B963D2" w:rsidP="00602C74">
            <w:r w:rsidRPr="00F566C3">
              <w:t>Plānotās sabiedrības līdzdalības un komunikācijas aktivitātes saistībā ar projektu</w:t>
            </w:r>
          </w:p>
        </w:tc>
        <w:tc>
          <w:tcPr>
            <w:tcW w:w="3210" w:type="pct"/>
            <w:hideMark/>
          </w:tcPr>
          <w:p w14:paraId="2D805AC2" w14:textId="77777777" w:rsidR="00B963D2" w:rsidRPr="00F566C3" w:rsidRDefault="001D73C2" w:rsidP="00D63223">
            <w:pPr>
              <w:jc w:val="both"/>
              <w:rPr>
                <w:color w:val="000000" w:themeColor="text1"/>
              </w:rPr>
            </w:pPr>
            <w:r w:rsidRPr="00F566C3">
              <w:rPr>
                <w:color w:val="000000" w:themeColor="text1"/>
              </w:rPr>
              <w:t>Par projektu informēta sabiedrība, informāciju publicējot Iekšlietu ministrijas, Pilsonības un migrācijas lietu pārvaldes, Ministru kabineta tīmekļvietnēs.</w:t>
            </w:r>
          </w:p>
        </w:tc>
      </w:tr>
      <w:tr w:rsidR="00B963D2" w:rsidRPr="00F566C3" w14:paraId="47184CAF" w14:textId="77777777" w:rsidTr="00B20B29">
        <w:tc>
          <w:tcPr>
            <w:tcW w:w="311" w:type="pct"/>
            <w:hideMark/>
          </w:tcPr>
          <w:p w14:paraId="54D39840" w14:textId="77777777" w:rsidR="00B963D2" w:rsidRPr="00F566C3" w:rsidRDefault="00B963D2" w:rsidP="00602C74">
            <w:pPr>
              <w:jc w:val="center"/>
            </w:pPr>
            <w:r w:rsidRPr="00F566C3">
              <w:t>2.</w:t>
            </w:r>
          </w:p>
        </w:tc>
        <w:tc>
          <w:tcPr>
            <w:tcW w:w="1479" w:type="pct"/>
            <w:hideMark/>
          </w:tcPr>
          <w:p w14:paraId="5484C111" w14:textId="77777777" w:rsidR="00B963D2" w:rsidRPr="00F566C3" w:rsidRDefault="00B963D2" w:rsidP="00602C74">
            <w:r w:rsidRPr="00F566C3">
              <w:t>Sabiedrības līdzdalība projekta izstrādē</w:t>
            </w:r>
          </w:p>
        </w:tc>
        <w:tc>
          <w:tcPr>
            <w:tcW w:w="3210" w:type="pct"/>
            <w:hideMark/>
          </w:tcPr>
          <w:p w14:paraId="03EF7FA6" w14:textId="4C601C41" w:rsidR="001D73C2" w:rsidRPr="00F566C3" w:rsidRDefault="001D73C2" w:rsidP="001D73C2">
            <w:pPr>
              <w:jc w:val="both"/>
              <w:rPr>
                <w:rFonts w:eastAsia="Calibri"/>
              </w:rPr>
            </w:pPr>
            <w:r w:rsidRPr="00F566C3">
              <w:rPr>
                <w:rFonts w:eastAsia="Calibri"/>
              </w:rPr>
              <w:t>Projekts publicēts</w:t>
            </w:r>
            <w:r w:rsidR="005D4898">
              <w:rPr>
                <w:rFonts w:eastAsia="Calibri"/>
              </w:rPr>
              <w:t xml:space="preserve"> 2019. gada 20. jūnijā</w:t>
            </w:r>
            <w:r w:rsidRPr="00F566C3">
              <w:rPr>
                <w:rFonts w:eastAsia="Calibri"/>
              </w:rPr>
              <w:t>:</w:t>
            </w:r>
          </w:p>
          <w:p w14:paraId="1600A7F3" w14:textId="77777777" w:rsidR="001D73C2" w:rsidRPr="00F566C3" w:rsidRDefault="001D73C2" w:rsidP="001D73C2">
            <w:pPr>
              <w:jc w:val="both"/>
              <w:rPr>
                <w:rFonts w:eastAsia="Calibri"/>
              </w:rPr>
            </w:pPr>
            <w:r w:rsidRPr="00F566C3">
              <w:rPr>
                <w:rFonts w:eastAsia="Calibri"/>
              </w:rPr>
              <w:t>1) Pilsonības un migrācijas lietu pārvalde</w:t>
            </w:r>
            <w:r w:rsidR="00275FFA" w:rsidRPr="00F566C3">
              <w:rPr>
                <w:rFonts w:eastAsia="Calibri"/>
              </w:rPr>
              <w:t>s</w:t>
            </w:r>
            <w:r w:rsidRPr="00F566C3">
              <w:rPr>
                <w:rFonts w:eastAsia="Calibri"/>
              </w:rPr>
              <w:t xml:space="preserve"> tīmekļvietnē, adrese: </w:t>
            </w:r>
            <w:hyperlink r:id="rId8" w:history="1">
              <w:r w:rsidR="009A2DB9">
                <w:rPr>
                  <w:rStyle w:val="Hyperlink"/>
                </w:rPr>
                <w:t>https://www.pmlp.gov.lv/lv/sakums/tiesibu-akti/tiesibu-aktu-projekti/</w:t>
              </w:r>
            </w:hyperlink>
          </w:p>
          <w:p w14:paraId="3237C1F0" w14:textId="77777777" w:rsidR="001D73C2" w:rsidRPr="00F566C3" w:rsidRDefault="001D73C2" w:rsidP="001D73C2">
            <w:pPr>
              <w:jc w:val="both"/>
              <w:rPr>
                <w:rFonts w:eastAsia="Calibri"/>
              </w:rPr>
            </w:pPr>
            <w:r w:rsidRPr="00F566C3">
              <w:rPr>
                <w:rFonts w:eastAsia="Calibri"/>
              </w:rPr>
              <w:t xml:space="preserve">2) Iekšlietu ministrijas tīmekļvietnē, adrese: </w:t>
            </w:r>
            <w:hyperlink r:id="rId9" w:history="1">
              <w:r w:rsidRPr="00F566C3">
                <w:rPr>
                  <w:rStyle w:val="Hyperlink"/>
                  <w:rFonts w:eastAsia="Calibri"/>
                  <w:u w:val="none"/>
                </w:rPr>
                <w:t>http://www.iem.gov.lv/lat/sadarbiba_ar_nvo/diskusiju_dokumenti/</w:t>
              </w:r>
            </w:hyperlink>
          </w:p>
          <w:p w14:paraId="2017D18E" w14:textId="77777777" w:rsidR="001D73C2" w:rsidRPr="00F566C3" w:rsidRDefault="001D73C2" w:rsidP="001D73C2">
            <w:pPr>
              <w:jc w:val="both"/>
              <w:rPr>
                <w:rFonts w:eastAsia="Calibri"/>
              </w:rPr>
            </w:pPr>
            <w:r w:rsidRPr="00F566C3">
              <w:rPr>
                <w:rFonts w:eastAsia="Calibri"/>
              </w:rPr>
              <w:t xml:space="preserve">3) Ministru kabineta tīmekļvietnē, adrese: </w:t>
            </w:r>
            <w:hyperlink r:id="rId10" w:history="1">
              <w:r w:rsidRPr="00F566C3">
                <w:rPr>
                  <w:rStyle w:val="Hyperlink"/>
                  <w:rFonts w:eastAsia="Calibri"/>
                  <w:u w:val="none"/>
                </w:rPr>
                <w:t>http://www.mk.gov.lv/content/ministru-kabineta-diskusiju-dokumenti</w:t>
              </w:r>
            </w:hyperlink>
          </w:p>
          <w:p w14:paraId="3D0D6CEB" w14:textId="20F30A4D" w:rsidR="005D4898" w:rsidRPr="00F566C3" w:rsidRDefault="001D73C2" w:rsidP="005D4898">
            <w:pPr>
              <w:jc w:val="both"/>
            </w:pPr>
            <w:r w:rsidRPr="00F566C3">
              <w:rPr>
                <w:rFonts w:eastAsia="Calibri"/>
                <w:color w:val="000000" w:themeColor="text1"/>
              </w:rPr>
              <w:t xml:space="preserve">Sabiedrības </w:t>
            </w:r>
            <w:r w:rsidRPr="00F566C3">
              <w:rPr>
                <w:rFonts w:eastAsia="Calibri"/>
              </w:rPr>
              <w:t xml:space="preserve">pārstāvjiem tika dota iespēja līdzdarboties projekta izstrādē, rakstveidā sniedzot viedokli par projektu līdz </w:t>
            </w:r>
            <w:r w:rsidR="005D4898">
              <w:rPr>
                <w:rFonts w:eastAsia="Calibri"/>
              </w:rPr>
              <w:t>2019</w:t>
            </w:r>
            <w:r w:rsidRPr="00F566C3">
              <w:rPr>
                <w:rFonts w:eastAsia="Calibri"/>
              </w:rPr>
              <w:t>.</w:t>
            </w:r>
            <w:r w:rsidR="005D4898">
              <w:rPr>
                <w:rFonts w:eastAsia="Calibri"/>
              </w:rPr>
              <w:t xml:space="preserve"> </w:t>
            </w:r>
            <w:r w:rsidRPr="00F566C3">
              <w:rPr>
                <w:rFonts w:eastAsia="Calibri"/>
              </w:rPr>
              <w:t>gada</w:t>
            </w:r>
            <w:r w:rsidR="005D4898">
              <w:rPr>
                <w:rFonts w:eastAsia="Calibri"/>
              </w:rPr>
              <w:t xml:space="preserve"> 5. jūlijam.</w:t>
            </w:r>
            <w:r w:rsidR="005D4898" w:rsidRPr="00F566C3">
              <w:t xml:space="preserve"> </w:t>
            </w:r>
          </w:p>
        </w:tc>
      </w:tr>
      <w:tr w:rsidR="00B963D2" w:rsidRPr="00F566C3" w14:paraId="15962E34" w14:textId="77777777" w:rsidTr="00B20B29">
        <w:tc>
          <w:tcPr>
            <w:tcW w:w="311" w:type="pct"/>
            <w:hideMark/>
          </w:tcPr>
          <w:p w14:paraId="0A42C333" w14:textId="77777777" w:rsidR="00B963D2" w:rsidRPr="00F566C3" w:rsidRDefault="00B963D2" w:rsidP="00602C74">
            <w:pPr>
              <w:jc w:val="center"/>
            </w:pPr>
            <w:r w:rsidRPr="00F566C3">
              <w:lastRenderedPageBreak/>
              <w:t>3.</w:t>
            </w:r>
          </w:p>
        </w:tc>
        <w:tc>
          <w:tcPr>
            <w:tcW w:w="1479" w:type="pct"/>
            <w:hideMark/>
          </w:tcPr>
          <w:p w14:paraId="3E47250A" w14:textId="77777777" w:rsidR="00B963D2" w:rsidRPr="00F566C3" w:rsidRDefault="00B963D2" w:rsidP="00602C74">
            <w:r w:rsidRPr="00F566C3">
              <w:t>Sabiedrības līdzdalības rezultāti</w:t>
            </w:r>
          </w:p>
        </w:tc>
        <w:tc>
          <w:tcPr>
            <w:tcW w:w="3210" w:type="pct"/>
            <w:hideMark/>
          </w:tcPr>
          <w:p w14:paraId="4A64BC3C" w14:textId="73EFF89B" w:rsidR="00B963D2" w:rsidRPr="00F566C3" w:rsidRDefault="005D4898" w:rsidP="00602C74">
            <w:pPr>
              <w:jc w:val="both"/>
            </w:pPr>
            <w:r>
              <w:rPr>
                <w:rFonts w:eastAsia="Calibri"/>
              </w:rPr>
              <w:t>Komentāri par projektu nav saņemti.</w:t>
            </w:r>
          </w:p>
        </w:tc>
      </w:tr>
      <w:tr w:rsidR="00B963D2" w:rsidRPr="00F566C3" w14:paraId="5CB49ACD" w14:textId="77777777" w:rsidTr="00B20B29">
        <w:tc>
          <w:tcPr>
            <w:tcW w:w="311" w:type="pct"/>
            <w:hideMark/>
          </w:tcPr>
          <w:p w14:paraId="3D7743A7" w14:textId="77777777" w:rsidR="00B963D2" w:rsidRPr="00F566C3" w:rsidRDefault="00B963D2" w:rsidP="00602C74">
            <w:pPr>
              <w:jc w:val="center"/>
            </w:pPr>
            <w:r w:rsidRPr="00F566C3">
              <w:t>4.</w:t>
            </w:r>
          </w:p>
        </w:tc>
        <w:tc>
          <w:tcPr>
            <w:tcW w:w="1479" w:type="pct"/>
            <w:hideMark/>
          </w:tcPr>
          <w:p w14:paraId="236B3171" w14:textId="77777777" w:rsidR="00B963D2" w:rsidRPr="00F566C3" w:rsidRDefault="00B963D2" w:rsidP="00602C74">
            <w:r w:rsidRPr="00F566C3">
              <w:t>Cita informācija</w:t>
            </w:r>
          </w:p>
        </w:tc>
        <w:tc>
          <w:tcPr>
            <w:tcW w:w="3210" w:type="pct"/>
            <w:hideMark/>
          </w:tcPr>
          <w:p w14:paraId="6254725F" w14:textId="77777777" w:rsidR="00B963D2" w:rsidRPr="00F566C3" w:rsidRDefault="00B963D2" w:rsidP="00602C74">
            <w:r w:rsidRPr="00F566C3">
              <w:t>Nav.</w:t>
            </w:r>
          </w:p>
        </w:tc>
      </w:tr>
    </w:tbl>
    <w:p w14:paraId="17A380B8" w14:textId="77777777" w:rsidR="00B963D2" w:rsidRPr="00F566C3" w:rsidRDefault="00B963D2" w:rsidP="00B963D2">
      <w:pPr>
        <w:pStyle w:val="Title"/>
        <w:spacing w:before="130" w:line="260" w:lineRule="exact"/>
        <w:ind w:firstLine="53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4"/>
        <w:gridCol w:w="2680"/>
        <w:gridCol w:w="5817"/>
      </w:tblGrid>
      <w:tr w:rsidR="00B963D2" w:rsidRPr="00F566C3" w14:paraId="2AEA022C" w14:textId="77777777" w:rsidTr="00602C74">
        <w:trPr>
          <w:cantSplit/>
        </w:trPr>
        <w:tc>
          <w:tcPr>
            <w:tcW w:w="5000" w:type="pct"/>
            <w:gridSpan w:val="3"/>
            <w:vAlign w:val="center"/>
            <w:hideMark/>
          </w:tcPr>
          <w:p w14:paraId="768DC8F0" w14:textId="77777777" w:rsidR="00B963D2" w:rsidRPr="00F566C3" w:rsidRDefault="00B963D2" w:rsidP="00602C74">
            <w:pPr>
              <w:jc w:val="center"/>
              <w:rPr>
                <w:b/>
                <w:bCs/>
              </w:rPr>
            </w:pPr>
            <w:r w:rsidRPr="00F566C3">
              <w:rPr>
                <w:b/>
                <w:bCs/>
              </w:rPr>
              <w:t>VII. Tiesību akta projekta izpildes nodrošināšana un tās ietekme uz institūcijām</w:t>
            </w:r>
          </w:p>
          <w:p w14:paraId="3862A4EF" w14:textId="77777777" w:rsidR="00B963D2" w:rsidRPr="00F566C3" w:rsidRDefault="00B963D2" w:rsidP="00602C74"/>
          <w:p w14:paraId="3B5E4781" w14:textId="77777777" w:rsidR="00B963D2" w:rsidRPr="00F566C3" w:rsidRDefault="00B963D2" w:rsidP="00602C74"/>
        </w:tc>
      </w:tr>
      <w:tr w:rsidR="00B963D2" w:rsidRPr="00F566C3" w14:paraId="2A556717" w14:textId="77777777" w:rsidTr="00602C74">
        <w:trPr>
          <w:cantSplit/>
        </w:trPr>
        <w:tc>
          <w:tcPr>
            <w:tcW w:w="311" w:type="pct"/>
            <w:hideMark/>
          </w:tcPr>
          <w:p w14:paraId="6E621172" w14:textId="77777777" w:rsidR="00B963D2" w:rsidRPr="00F566C3" w:rsidRDefault="00B963D2" w:rsidP="00602C74">
            <w:pPr>
              <w:jc w:val="center"/>
            </w:pPr>
            <w:r w:rsidRPr="00F566C3">
              <w:t>1.</w:t>
            </w:r>
          </w:p>
        </w:tc>
        <w:tc>
          <w:tcPr>
            <w:tcW w:w="1479" w:type="pct"/>
            <w:hideMark/>
          </w:tcPr>
          <w:p w14:paraId="43443CD9" w14:textId="77777777" w:rsidR="00B963D2" w:rsidRPr="00F566C3" w:rsidRDefault="00B963D2" w:rsidP="00602C74">
            <w:r w:rsidRPr="00F566C3">
              <w:t>Projekta izpildē iesaistītās institūcijas</w:t>
            </w:r>
          </w:p>
        </w:tc>
        <w:tc>
          <w:tcPr>
            <w:tcW w:w="3210" w:type="pct"/>
            <w:hideMark/>
          </w:tcPr>
          <w:p w14:paraId="2BDF232E" w14:textId="1903137F" w:rsidR="00B963D2" w:rsidRPr="00F566C3" w:rsidRDefault="00B963D2" w:rsidP="00606575">
            <w:pPr>
              <w:jc w:val="both"/>
            </w:pPr>
            <w:r w:rsidRPr="00F566C3">
              <w:t>Pilsonības un migrāci</w:t>
            </w:r>
            <w:r w:rsidR="009A2DB9">
              <w:t>jas lietu pārvalde, Tieslietu ministrija</w:t>
            </w:r>
            <w:r w:rsidR="002362C0">
              <w:t>s Dzimtsarakstu departaments, pašvaldību dzimtsarakstu nodaļas</w:t>
            </w:r>
            <w:r w:rsidR="00AE4A68">
              <w:t xml:space="preserve">, </w:t>
            </w:r>
            <w:r w:rsidR="00AE4A68" w:rsidRPr="00AE4A68">
              <w:t>Latvijas Republikas diplomātiskā</w:t>
            </w:r>
            <w:r w:rsidR="00AE4A68">
              <w:t>s</w:t>
            </w:r>
            <w:r w:rsidR="00AE4A68" w:rsidRPr="00AE4A68">
              <w:t xml:space="preserve"> un konsulārā</w:t>
            </w:r>
            <w:r w:rsidR="00AE4A68">
              <w:t>s</w:t>
            </w:r>
            <w:r w:rsidR="00AE4A68" w:rsidRPr="00AE4A68">
              <w:t xml:space="preserve"> pārstāvniecība</w:t>
            </w:r>
            <w:r w:rsidR="00AE4A68">
              <w:t>s</w:t>
            </w:r>
            <w:r w:rsidR="00AE4A68" w:rsidRPr="00AE4A68">
              <w:t xml:space="preserve"> ārvalstīs</w:t>
            </w:r>
            <w:r w:rsidR="00AE4A68">
              <w:t>.</w:t>
            </w:r>
          </w:p>
        </w:tc>
      </w:tr>
      <w:tr w:rsidR="00B963D2" w:rsidRPr="00F566C3" w14:paraId="4342A3AC" w14:textId="77777777" w:rsidTr="00602C74">
        <w:trPr>
          <w:cantSplit/>
        </w:trPr>
        <w:tc>
          <w:tcPr>
            <w:tcW w:w="311" w:type="pct"/>
            <w:hideMark/>
          </w:tcPr>
          <w:p w14:paraId="2960ACDB" w14:textId="77777777" w:rsidR="00B963D2" w:rsidRPr="00F566C3" w:rsidRDefault="00B963D2" w:rsidP="00602C74">
            <w:pPr>
              <w:jc w:val="center"/>
            </w:pPr>
            <w:r w:rsidRPr="00F566C3">
              <w:t>2.</w:t>
            </w:r>
          </w:p>
        </w:tc>
        <w:tc>
          <w:tcPr>
            <w:tcW w:w="1479" w:type="pct"/>
            <w:hideMark/>
          </w:tcPr>
          <w:p w14:paraId="7CD41CAE" w14:textId="77777777" w:rsidR="00B963D2" w:rsidRPr="00F566C3" w:rsidRDefault="00B963D2" w:rsidP="00602C74">
            <w:r w:rsidRPr="00F566C3">
              <w:t>Projekta izpildes ietekme uz pārvaldes funkcijām un institucionālo struktūru.</w:t>
            </w:r>
            <w:r w:rsidRPr="00F566C3">
              <w:br/>
              <w:t>Jaunu institūciju izveide, esošu institūciju likvidācija vai reorganizācija, to ietekme uz institūcijas cilvēkresursiem</w:t>
            </w:r>
          </w:p>
        </w:tc>
        <w:tc>
          <w:tcPr>
            <w:tcW w:w="3210" w:type="pct"/>
            <w:hideMark/>
          </w:tcPr>
          <w:p w14:paraId="705D3838" w14:textId="77777777" w:rsidR="00B963D2" w:rsidRPr="00F566C3" w:rsidRDefault="00B963D2" w:rsidP="00602C74">
            <w:pPr>
              <w:jc w:val="both"/>
            </w:pPr>
            <w:r w:rsidRPr="00F566C3">
              <w:t>Projekta izpildes rezultātā nav paredzēta esošu institūciju likvidācija vai reorganizācija. Iestāžu institucionālā struktūra netiek ietekmēta, papildus cilvēkresursi nav nepieciešami.</w:t>
            </w:r>
          </w:p>
        </w:tc>
      </w:tr>
      <w:tr w:rsidR="00B963D2" w:rsidRPr="00F566C3" w14:paraId="45E7526F" w14:textId="77777777" w:rsidTr="00602C74">
        <w:trPr>
          <w:cantSplit/>
        </w:trPr>
        <w:tc>
          <w:tcPr>
            <w:tcW w:w="311" w:type="pct"/>
            <w:hideMark/>
          </w:tcPr>
          <w:p w14:paraId="6E8DC38A" w14:textId="77777777" w:rsidR="00B963D2" w:rsidRPr="00F566C3" w:rsidRDefault="00B963D2" w:rsidP="00602C74">
            <w:pPr>
              <w:jc w:val="center"/>
            </w:pPr>
            <w:r w:rsidRPr="00F566C3">
              <w:t>3.</w:t>
            </w:r>
          </w:p>
        </w:tc>
        <w:tc>
          <w:tcPr>
            <w:tcW w:w="1479" w:type="pct"/>
            <w:hideMark/>
          </w:tcPr>
          <w:p w14:paraId="4F937EF7" w14:textId="77777777" w:rsidR="00B963D2" w:rsidRPr="00F566C3" w:rsidRDefault="00B963D2" w:rsidP="00602C74">
            <w:r w:rsidRPr="00F566C3">
              <w:t>Cita informācija</w:t>
            </w:r>
          </w:p>
        </w:tc>
        <w:tc>
          <w:tcPr>
            <w:tcW w:w="3210" w:type="pct"/>
            <w:hideMark/>
          </w:tcPr>
          <w:p w14:paraId="687AB10E" w14:textId="77777777" w:rsidR="00B963D2" w:rsidRPr="00F566C3" w:rsidRDefault="00B963D2" w:rsidP="00602C74">
            <w:r w:rsidRPr="00F566C3">
              <w:t>Nav.</w:t>
            </w:r>
          </w:p>
        </w:tc>
      </w:tr>
    </w:tbl>
    <w:p w14:paraId="565238D3" w14:textId="77777777" w:rsidR="00B963D2" w:rsidRPr="00F566C3" w:rsidRDefault="00B963D2" w:rsidP="00B963D2">
      <w:pPr>
        <w:tabs>
          <w:tab w:val="left" w:pos="6521"/>
        </w:tabs>
        <w:jc w:val="both"/>
      </w:pPr>
    </w:p>
    <w:p w14:paraId="2B5AE1F4" w14:textId="77777777" w:rsidR="00B963D2" w:rsidRPr="00F566C3" w:rsidRDefault="00B963D2" w:rsidP="00B963D2">
      <w:pPr>
        <w:tabs>
          <w:tab w:val="left" w:pos="6521"/>
        </w:tabs>
        <w:jc w:val="both"/>
      </w:pPr>
    </w:p>
    <w:p w14:paraId="589B0550" w14:textId="77777777" w:rsidR="00B963D2" w:rsidRPr="00F566C3" w:rsidRDefault="00B963D2" w:rsidP="00B963D2">
      <w:pPr>
        <w:tabs>
          <w:tab w:val="left" w:pos="6521"/>
        </w:tabs>
        <w:jc w:val="both"/>
      </w:pPr>
      <w:r w:rsidRPr="00F566C3">
        <w:t>Iekšlietu ministrs</w:t>
      </w:r>
      <w:r w:rsidRPr="00F566C3">
        <w:tab/>
      </w:r>
      <w:r w:rsidRPr="00F566C3">
        <w:tab/>
      </w:r>
      <w:r w:rsidR="00F566C3">
        <w:t>S.Ģirģens</w:t>
      </w:r>
    </w:p>
    <w:p w14:paraId="4E27A654" w14:textId="77777777" w:rsidR="00B963D2" w:rsidRPr="00F566C3" w:rsidRDefault="00B963D2" w:rsidP="00B963D2">
      <w:pPr>
        <w:tabs>
          <w:tab w:val="left" w:pos="6521"/>
        </w:tabs>
        <w:jc w:val="both"/>
      </w:pPr>
    </w:p>
    <w:p w14:paraId="6224BD4E" w14:textId="77777777" w:rsidR="00B963D2" w:rsidRPr="00F566C3" w:rsidRDefault="00B963D2" w:rsidP="00B963D2">
      <w:pPr>
        <w:pStyle w:val="naisf"/>
        <w:spacing w:before="0" w:after="0"/>
        <w:rPr>
          <w:szCs w:val="24"/>
        </w:rPr>
      </w:pPr>
    </w:p>
    <w:p w14:paraId="367F3C8B" w14:textId="77777777" w:rsidR="00B963D2" w:rsidRPr="00F566C3" w:rsidRDefault="00B963D2" w:rsidP="00B963D2">
      <w:pPr>
        <w:pStyle w:val="naisf"/>
        <w:spacing w:before="0" w:after="0"/>
        <w:rPr>
          <w:szCs w:val="24"/>
        </w:rPr>
      </w:pPr>
      <w:r w:rsidRPr="00F566C3">
        <w:rPr>
          <w:szCs w:val="24"/>
        </w:rPr>
        <w:t>Vīza: valsts sekretārs</w:t>
      </w:r>
      <w:r w:rsidRPr="00F566C3">
        <w:rPr>
          <w:szCs w:val="24"/>
        </w:rPr>
        <w:tab/>
      </w:r>
      <w:r w:rsidRPr="00F566C3">
        <w:rPr>
          <w:szCs w:val="24"/>
        </w:rPr>
        <w:tab/>
      </w:r>
      <w:r w:rsidRPr="00F566C3">
        <w:rPr>
          <w:szCs w:val="24"/>
        </w:rPr>
        <w:tab/>
      </w:r>
      <w:r w:rsidRPr="00F566C3">
        <w:rPr>
          <w:szCs w:val="24"/>
        </w:rPr>
        <w:tab/>
      </w:r>
      <w:r w:rsidRPr="00F566C3">
        <w:rPr>
          <w:szCs w:val="24"/>
        </w:rPr>
        <w:tab/>
      </w:r>
      <w:r w:rsidRPr="00F566C3">
        <w:rPr>
          <w:szCs w:val="24"/>
        </w:rPr>
        <w:tab/>
      </w:r>
      <w:r w:rsidRPr="00F566C3">
        <w:rPr>
          <w:szCs w:val="24"/>
        </w:rPr>
        <w:tab/>
      </w:r>
      <w:r w:rsidRPr="00F566C3">
        <w:rPr>
          <w:szCs w:val="24"/>
        </w:rPr>
        <w:tab/>
        <w:t>D.Trofimovs</w:t>
      </w:r>
    </w:p>
    <w:p w14:paraId="4A4266DA" w14:textId="77777777" w:rsidR="00B963D2" w:rsidRPr="00F566C3" w:rsidRDefault="00B963D2" w:rsidP="00B963D2">
      <w:pPr>
        <w:pStyle w:val="naisf"/>
        <w:spacing w:before="0" w:after="0"/>
        <w:rPr>
          <w:szCs w:val="24"/>
        </w:rPr>
      </w:pPr>
    </w:p>
    <w:p w14:paraId="7070A889" w14:textId="77777777" w:rsidR="00B963D2" w:rsidRPr="00F566C3" w:rsidRDefault="00B963D2" w:rsidP="00B963D2">
      <w:pPr>
        <w:pStyle w:val="naisf"/>
        <w:spacing w:before="0" w:after="0"/>
        <w:rPr>
          <w:szCs w:val="24"/>
        </w:rPr>
      </w:pPr>
    </w:p>
    <w:p w14:paraId="2CFE8CD4" w14:textId="77777777" w:rsidR="00212F0D" w:rsidRPr="00F566C3" w:rsidRDefault="00212F0D" w:rsidP="00B963D2">
      <w:pPr>
        <w:pStyle w:val="naisf"/>
        <w:spacing w:before="0" w:after="0"/>
        <w:rPr>
          <w:szCs w:val="24"/>
        </w:rPr>
      </w:pPr>
    </w:p>
    <w:p w14:paraId="3C6D5AA3" w14:textId="77777777" w:rsidR="00212F0D" w:rsidRPr="00F566C3" w:rsidRDefault="00212F0D" w:rsidP="00B963D2">
      <w:pPr>
        <w:pStyle w:val="naisf"/>
        <w:spacing w:before="0" w:after="0"/>
        <w:rPr>
          <w:szCs w:val="24"/>
        </w:rPr>
      </w:pPr>
    </w:p>
    <w:p w14:paraId="4A3AECD7" w14:textId="447BC910" w:rsidR="00B963D2" w:rsidRPr="00F566C3" w:rsidRDefault="009A2DB9" w:rsidP="00B963D2">
      <w:pPr>
        <w:jc w:val="both"/>
        <w:rPr>
          <w:sz w:val="20"/>
          <w:szCs w:val="20"/>
        </w:rPr>
      </w:pPr>
      <w:r>
        <w:rPr>
          <w:sz w:val="20"/>
          <w:szCs w:val="20"/>
        </w:rPr>
        <w:t>Semenjuka</w:t>
      </w:r>
      <w:r w:rsidR="00B963D2" w:rsidRPr="00F566C3">
        <w:rPr>
          <w:sz w:val="20"/>
          <w:szCs w:val="20"/>
        </w:rPr>
        <w:t>, 67</w:t>
      </w:r>
      <w:r w:rsidR="00AE4A68">
        <w:rPr>
          <w:sz w:val="20"/>
          <w:szCs w:val="20"/>
        </w:rPr>
        <w:t xml:space="preserve">8 </w:t>
      </w:r>
      <w:r>
        <w:rPr>
          <w:sz w:val="20"/>
          <w:szCs w:val="20"/>
        </w:rPr>
        <w:t>29</w:t>
      </w:r>
      <w:r w:rsidR="00AE4A68">
        <w:rPr>
          <w:sz w:val="20"/>
          <w:szCs w:val="20"/>
        </w:rPr>
        <w:t xml:space="preserve"> </w:t>
      </w:r>
      <w:r>
        <w:rPr>
          <w:sz w:val="20"/>
          <w:szCs w:val="20"/>
        </w:rPr>
        <w:t>730</w:t>
      </w:r>
    </w:p>
    <w:p w14:paraId="519CD4D6" w14:textId="77777777" w:rsidR="00B963D2" w:rsidRPr="0030469F" w:rsidRDefault="00E04A82" w:rsidP="00B963D2">
      <w:pPr>
        <w:jc w:val="both"/>
        <w:rPr>
          <w:sz w:val="20"/>
          <w:szCs w:val="20"/>
        </w:rPr>
      </w:pPr>
      <w:hyperlink r:id="rId11" w:history="1">
        <w:r w:rsidR="009A2DB9" w:rsidRPr="009C1FFC">
          <w:rPr>
            <w:rStyle w:val="Hyperlink"/>
            <w:sz w:val="20"/>
            <w:szCs w:val="20"/>
          </w:rPr>
          <w:t>zanna.semenjuka@pmlp.gov.lv</w:t>
        </w:r>
      </w:hyperlink>
      <w:r w:rsidR="009A2DB9">
        <w:rPr>
          <w:sz w:val="20"/>
          <w:szCs w:val="20"/>
        </w:rPr>
        <w:t xml:space="preserve"> </w:t>
      </w:r>
    </w:p>
    <w:sectPr w:rsidR="00B963D2" w:rsidRPr="0030469F" w:rsidSect="00212F0D">
      <w:headerReference w:type="default" r:id="rId12"/>
      <w:footerReference w:type="default" r:id="rId13"/>
      <w:footerReference w:type="first" r:id="rId14"/>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144870" w14:textId="77777777" w:rsidR="00E04A82" w:rsidRDefault="00E04A82" w:rsidP="00C558A8">
      <w:r>
        <w:separator/>
      </w:r>
    </w:p>
  </w:endnote>
  <w:endnote w:type="continuationSeparator" w:id="0">
    <w:p w14:paraId="7FEC3DEA" w14:textId="77777777" w:rsidR="00E04A82" w:rsidRDefault="00E04A82" w:rsidP="00C55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24341" w14:textId="1F386494" w:rsidR="004810C9" w:rsidRPr="001F1803" w:rsidRDefault="004810C9" w:rsidP="00602C74">
    <w:pPr>
      <w:pStyle w:val="Footer"/>
      <w:jc w:val="both"/>
      <w:rPr>
        <w:color w:val="000000"/>
        <w:sz w:val="20"/>
        <w:szCs w:val="20"/>
      </w:rPr>
    </w:pPr>
    <w:r>
      <w:rPr>
        <w:color w:val="000000"/>
        <w:sz w:val="20"/>
        <w:szCs w:val="20"/>
      </w:rPr>
      <w:t>IEMAnot_</w:t>
    </w:r>
    <w:r w:rsidR="00A60622">
      <w:rPr>
        <w:color w:val="000000"/>
        <w:sz w:val="20"/>
        <w:szCs w:val="20"/>
      </w:rPr>
      <w:t>200619</w:t>
    </w:r>
    <w:r>
      <w:rPr>
        <w:color w:val="000000"/>
        <w:sz w:val="20"/>
        <w:szCs w:val="20"/>
      </w:rPr>
      <w:t>_CAR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5EF22" w14:textId="7D302783" w:rsidR="004810C9" w:rsidRPr="009704CC" w:rsidRDefault="004810C9" w:rsidP="00602C74">
    <w:pPr>
      <w:pStyle w:val="Footer"/>
      <w:jc w:val="both"/>
      <w:rPr>
        <w:color w:val="000000"/>
        <w:sz w:val="20"/>
        <w:szCs w:val="20"/>
      </w:rPr>
    </w:pPr>
    <w:r>
      <w:rPr>
        <w:color w:val="000000"/>
        <w:sz w:val="20"/>
        <w:szCs w:val="20"/>
      </w:rPr>
      <w:t>IEMAnot_</w:t>
    </w:r>
    <w:r w:rsidR="00883E3C">
      <w:rPr>
        <w:color w:val="000000"/>
        <w:sz w:val="20"/>
        <w:szCs w:val="20"/>
      </w:rPr>
      <w:t>2006</w:t>
    </w:r>
    <w:r>
      <w:rPr>
        <w:color w:val="000000"/>
        <w:sz w:val="20"/>
        <w:szCs w:val="20"/>
      </w:rPr>
      <w:t>19_CAR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B14EC0" w14:textId="77777777" w:rsidR="00E04A82" w:rsidRDefault="00E04A82" w:rsidP="00C558A8">
      <w:r>
        <w:separator/>
      </w:r>
    </w:p>
  </w:footnote>
  <w:footnote w:type="continuationSeparator" w:id="0">
    <w:p w14:paraId="78D46B22" w14:textId="77777777" w:rsidR="00E04A82" w:rsidRDefault="00E04A82" w:rsidP="00C558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3753383"/>
      <w:docPartObj>
        <w:docPartGallery w:val="Page Numbers (Top of Page)"/>
        <w:docPartUnique/>
      </w:docPartObj>
    </w:sdtPr>
    <w:sdtEndPr>
      <w:rPr>
        <w:noProof/>
      </w:rPr>
    </w:sdtEndPr>
    <w:sdtContent>
      <w:p w14:paraId="2F4548F8" w14:textId="77777777" w:rsidR="004810C9" w:rsidRDefault="004810C9">
        <w:pPr>
          <w:pStyle w:val="Header"/>
          <w:jc w:val="center"/>
        </w:pPr>
        <w:r>
          <w:fldChar w:fldCharType="begin"/>
        </w:r>
        <w:r>
          <w:instrText xml:space="preserve"> PAGE   \* MERGEFORMAT </w:instrText>
        </w:r>
        <w:r>
          <w:fldChar w:fldCharType="separate"/>
        </w:r>
        <w:r w:rsidR="00883E3C">
          <w:rPr>
            <w:noProof/>
          </w:rPr>
          <w:t>4</w:t>
        </w:r>
        <w:r>
          <w:rPr>
            <w:noProof/>
          </w:rPr>
          <w:fldChar w:fldCharType="end"/>
        </w:r>
      </w:p>
    </w:sdtContent>
  </w:sdt>
  <w:p w14:paraId="100D16E2" w14:textId="77777777" w:rsidR="004810C9" w:rsidRDefault="004810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703DA"/>
    <w:multiLevelType w:val="hybridMultilevel"/>
    <w:tmpl w:val="8C8EA5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E341429"/>
    <w:multiLevelType w:val="hybridMultilevel"/>
    <w:tmpl w:val="8C8EA5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3D2"/>
    <w:rsid w:val="000047FD"/>
    <w:rsid w:val="000160F7"/>
    <w:rsid w:val="00067A3A"/>
    <w:rsid w:val="0008174A"/>
    <w:rsid w:val="00087B83"/>
    <w:rsid w:val="000E2210"/>
    <w:rsid w:val="000E2D37"/>
    <w:rsid w:val="000F0822"/>
    <w:rsid w:val="0012616D"/>
    <w:rsid w:val="00127273"/>
    <w:rsid w:val="00131E72"/>
    <w:rsid w:val="00135485"/>
    <w:rsid w:val="00141016"/>
    <w:rsid w:val="00141961"/>
    <w:rsid w:val="00143608"/>
    <w:rsid w:val="00172CC8"/>
    <w:rsid w:val="00184E82"/>
    <w:rsid w:val="001D73C2"/>
    <w:rsid w:val="001D7613"/>
    <w:rsid w:val="001F3B8A"/>
    <w:rsid w:val="00207375"/>
    <w:rsid w:val="00212F0D"/>
    <w:rsid w:val="00217225"/>
    <w:rsid w:val="002208D5"/>
    <w:rsid w:val="00222D4E"/>
    <w:rsid w:val="00226288"/>
    <w:rsid w:val="002362C0"/>
    <w:rsid w:val="00262C5A"/>
    <w:rsid w:val="00270316"/>
    <w:rsid w:val="00275FFA"/>
    <w:rsid w:val="00290C09"/>
    <w:rsid w:val="002C3EDC"/>
    <w:rsid w:val="002D34C2"/>
    <w:rsid w:val="002D64A4"/>
    <w:rsid w:val="003028DC"/>
    <w:rsid w:val="0030469F"/>
    <w:rsid w:val="0037352C"/>
    <w:rsid w:val="003A43F3"/>
    <w:rsid w:val="003A71AD"/>
    <w:rsid w:val="003D2B53"/>
    <w:rsid w:val="00411C29"/>
    <w:rsid w:val="00477026"/>
    <w:rsid w:val="004810C9"/>
    <w:rsid w:val="004864D5"/>
    <w:rsid w:val="00487611"/>
    <w:rsid w:val="004943DE"/>
    <w:rsid w:val="004A2D97"/>
    <w:rsid w:val="004C05D6"/>
    <w:rsid w:val="004C1609"/>
    <w:rsid w:val="004D1001"/>
    <w:rsid w:val="004D325D"/>
    <w:rsid w:val="00537CB1"/>
    <w:rsid w:val="005467FE"/>
    <w:rsid w:val="00581927"/>
    <w:rsid w:val="00590730"/>
    <w:rsid w:val="00591E1D"/>
    <w:rsid w:val="005A78A0"/>
    <w:rsid w:val="005B5789"/>
    <w:rsid w:val="005C1FD3"/>
    <w:rsid w:val="005D2B53"/>
    <w:rsid w:val="005D4898"/>
    <w:rsid w:val="005F11AE"/>
    <w:rsid w:val="005F2B57"/>
    <w:rsid w:val="00602C74"/>
    <w:rsid w:val="00605967"/>
    <w:rsid w:val="00606575"/>
    <w:rsid w:val="00617066"/>
    <w:rsid w:val="0064589D"/>
    <w:rsid w:val="006775AF"/>
    <w:rsid w:val="0068162C"/>
    <w:rsid w:val="006931B7"/>
    <w:rsid w:val="006B01E4"/>
    <w:rsid w:val="006B5562"/>
    <w:rsid w:val="006C1DF6"/>
    <w:rsid w:val="006E4DA9"/>
    <w:rsid w:val="006F6748"/>
    <w:rsid w:val="007342CB"/>
    <w:rsid w:val="00763E69"/>
    <w:rsid w:val="00774B4B"/>
    <w:rsid w:val="007B212D"/>
    <w:rsid w:val="007B5712"/>
    <w:rsid w:val="007F7955"/>
    <w:rsid w:val="00804025"/>
    <w:rsid w:val="00812050"/>
    <w:rsid w:val="008431C8"/>
    <w:rsid w:val="0085083F"/>
    <w:rsid w:val="008517CE"/>
    <w:rsid w:val="008819D8"/>
    <w:rsid w:val="00883E3C"/>
    <w:rsid w:val="008841F5"/>
    <w:rsid w:val="00891ED7"/>
    <w:rsid w:val="008A4920"/>
    <w:rsid w:val="008B4126"/>
    <w:rsid w:val="008E1505"/>
    <w:rsid w:val="008E608E"/>
    <w:rsid w:val="00907EE3"/>
    <w:rsid w:val="009133C8"/>
    <w:rsid w:val="009264BB"/>
    <w:rsid w:val="009671B4"/>
    <w:rsid w:val="009704CC"/>
    <w:rsid w:val="00972F5E"/>
    <w:rsid w:val="009809D7"/>
    <w:rsid w:val="00983B72"/>
    <w:rsid w:val="009A2DB9"/>
    <w:rsid w:val="009D32E2"/>
    <w:rsid w:val="009E622B"/>
    <w:rsid w:val="00A1129C"/>
    <w:rsid w:val="00A55631"/>
    <w:rsid w:val="00A60622"/>
    <w:rsid w:val="00AA34BD"/>
    <w:rsid w:val="00AB1A21"/>
    <w:rsid w:val="00AC22AA"/>
    <w:rsid w:val="00AD1D7C"/>
    <w:rsid w:val="00AE4A68"/>
    <w:rsid w:val="00B02877"/>
    <w:rsid w:val="00B20B29"/>
    <w:rsid w:val="00B31C56"/>
    <w:rsid w:val="00B675AA"/>
    <w:rsid w:val="00B72727"/>
    <w:rsid w:val="00B93757"/>
    <w:rsid w:val="00B963D2"/>
    <w:rsid w:val="00BA60F7"/>
    <w:rsid w:val="00BA7CE6"/>
    <w:rsid w:val="00BB725F"/>
    <w:rsid w:val="00BC2F29"/>
    <w:rsid w:val="00BD03B6"/>
    <w:rsid w:val="00BE4080"/>
    <w:rsid w:val="00C11706"/>
    <w:rsid w:val="00C22743"/>
    <w:rsid w:val="00C45DD8"/>
    <w:rsid w:val="00C473A1"/>
    <w:rsid w:val="00C50661"/>
    <w:rsid w:val="00C558A8"/>
    <w:rsid w:val="00CA6B2F"/>
    <w:rsid w:val="00CC5C07"/>
    <w:rsid w:val="00D079F8"/>
    <w:rsid w:val="00D23C81"/>
    <w:rsid w:val="00D25024"/>
    <w:rsid w:val="00D51C1D"/>
    <w:rsid w:val="00D54B4A"/>
    <w:rsid w:val="00D63223"/>
    <w:rsid w:val="00D96CBD"/>
    <w:rsid w:val="00DC0AF2"/>
    <w:rsid w:val="00DC48D5"/>
    <w:rsid w:val="00DC709B"/>
    <w:rsid w:val="00DF5024"/>
    <w:rsid w:val="00E04A82"/>
    <w:rsid w:val="00E06D82"/>
    <w:rsid w:val="00E27F1C"/>
    <w:rsid w:val="00E60D98"/>
    <w:rsid w:val="00E717AA"/>
    <w:rsid w:val="00E811C9"/>
    <w:rsid w:val="00E9310C"/>
    <w:rsid w:val="00EA3FB0"/>
    <w:rsid w:val="00EB0B57"/>
    <w:rsid w:val="00EE2B3E"/>
    <w:rsid w:val="00F04E27"/>
    <w:rsid w:val="00F151D7"/>
    <w:rsid w:val="00F45F41"/>
    <w:rsid w:val="00F52443"/>
    <w:rsid w:val="00F566C3"/>
    <w:rsid w:val="00F774FD"/>
    <w:rsid w:val="00FA4226"/>
    <w:rsid w:val="00FB2F59"/>
    <w:rsid w:val="00FF22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83D08C"/>
  <w15:docId w15:val="{D9D16573-C143-4476-9E20-C65543F07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3D2"/>
    <w:pPr>
      <w:spacing w:after="0" w:line="240" w:lineRule="auto"/>
    </w:pPr>
    <w:rPr>
      <w:rFonts w:eastAsia="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963D2"/>
    <w:pPr>
      <w:jc w:val="center"/>
    </w:pPr>
    <w:rPr>
      <w:sz w:val="28"/>
      <w:szCs w:val="20"/>
      <w:lang w:eastAsia="en-US"/>
    </w:rPr>
  </w:style>
  <w:style w:type="character" w:customStyle="1" w:styleId="TitleChar">
    <w:name w:val="Title Char"/>
    <w:basedOn w:val="DefaultParagraphFont"/>
    <w:link w:val="Title"/>
    <w:rsid w:val="00B963D2"/>
    <w:rPr>
      <w:rFonts w:eastAsia="Times New Roman"/>
      <w:szCs w:val="20"/>
    </w:rPr>
  </w:style>
  <w:style w:type="character" w:styleId="Hyperlink">
    <w:name w:val="Hyperlink"/>
    <w:basedOn w:val="DefaultParagraphFont"/>
    <w:uiPriority w:val="99"/>
    <w:unhideWhenUsed/>
    <w:rsid w:val="00B963D2"/>
    <w:rPr>
      <w:color w:val="0000FF"/>
      <w:u w:val="single"/>
    </w:rPr>
  </w:style>
  <w:style w:type="paragraph" w:styleId="Header">
    <w:name w:val="header"/>
    <w:basedOn w:val="Normal"/>
    <w:link w:val="HeaderChar"/>
    <w:uiPriority w:val="99"/>
    <w:unhideWhenUsed/>
    <w:rsid w:val="00B963D2"/>
    <w:pPr>
      <w:tabs>
        <w:tab w:val="center" w:pos="4153"/>
        <w:tab w:val="right" w:pos="8306"/>
      </w:tabs>
    </w:pPr>
  </w:style>
  <w:style w:type="character" w:customStyle="1" w:styleId="HeaderChar">
    <w:name w:val="Header Char"/>
    <w:basedOn w:val="DefaultParagraphFont"/>
    <w:link w:val="Header"/>
    <w:uiPriority w:val="99"/>
    <w:rsid w:val="00B963D2"/>
    <w:rPr>
      <w:rFonts w:eastAsia="Times New Roman"/>
      <w:sz w:val="24"/>
      <w:szCs w:val="24"/>
      <w:lang w:eastAsia="lv-LV"/>
    </w:rPr>
  </w:style>
  <w:style w:type="paragraph" w:styleId="Footer">
    <w:name w:val="footer"/>
    <w:basedOn w:val="Normal"/>
    <w:link w:val="FooterChar"/>
    <w:unhideWhenUsed/>
    <w:rsid w:val="00B963D2"/>
    <w:pPr>
      <w:tabs>
        <w:tab w:val="center" w:pos="4153"/>
        <w:tab w:val="right" w:pos="8306"/>
      </w:tabs>
    </w:pPr>
  </w:style>
  <w:style w:type="character" w:customStyle="1" w:styleId="FooterChar">
    <w:name w:val="Footer Char"/>
    <w:basedOn w:val="DefaultParagraphFont"/>
    <w:link w:val="Footer"/>
    <w:rsid w:val="00B963D2"/>
    <w:rPr>
      <w:rFonts w:eastAsia="Times New Roman"/>
      <w:sz w:val="24"/>
      <w:szCs w:val="24"/>
      <w:lang w:eastAsia="lv-LV"/>
    </w:rPr>
  </w:style>
  <w:style w:type="paragraph" w:customStyle="1" w:styleId="naisf">
    <w:name w:val="naisf"/>
    <w:basedOn w:val="Normal"/>
    <w:rsid w:val="00B963D2"/>
    <w:pPr>
      <w:spacing w:before="100" w:after="100"/>
    </w:pPr>
    <w:rPr>
      <w:szCs w:val="20"/>
    </w:rPr>
  </w:style>
  <w:style w:type="paragraph" w:styleId="ListParagraph">
    <w:name w:val="List Paragraph"/>
    <w:basedOn w:val="Normal"/>
    <w:link w:val="ListParagraphChar"/>
    <w:uiPriority w:val="34"/>
    <w:qFormat/>
    <w:rsid w:val="00B963D2"/>
    <w:pPr>
      <w:ind w:left="720"/>
      <w:contextualSpacing/>
    </w:pPr>
  </w:style>
  <w:style w:type="paragraph" w:customStyle="1" w:styleId="NormalWebCharChar">
    <w:name w:val="Normal (Web) Char Char"/>
    <w:basedOn w:val="Normal"/>
    <w:rsid w:val="00B963D2"/>
    <w:pPr>
      <w:widowControl w:val="0"/>
      <w:suppressAutoHyphens/>
      <w:spacing w:before="280" w:after="280"/>
    </w:pPr>
    <w:rPr>
      <w:color w:val="000000"/>
      <w:sz w:val="20"/>
      <w:szCs w:val="20"/>
      <w:lang w:eastAsia="zh-CN"/>
    </w:rPr>
  </w:style>
  <w:style w:type="paragraph" w:customStyle="1" w:styleId="tv213">
    <w:name w:val="tv213"/>
    <w:basedOn w:val="Normal"/>
    <w:rsid w:val="00B963D2"/>
    <w:pPr>
      <w:spacing w:before="100" w:beforeAutospacing="1" w:after="100" w:afterAutospacing="1"/>
    </w:pPr>
  </w:style>
  <w:style w:type="paragraph" w:styleId="NormalWeb">
    <w:name w:val="Normal (Web)"/>
    <w:basedOn w:val="Normal"/>
    <w:uiPriority w:val="99"/>
    <w:semiHidden/>
    <w:unhideWhenUsed/>
    <w:rsid w:val="00B963D2"/>
    <w:pPr>
      <w:spacing w:before="100" w:beforeAutospacing="1" w:after="100" w:afterAutospacing="1"/>
    </w:pPr>
  </w:style>
  <w:style w:type="paragraph" w:styleId="BalloonText">
    <w:name w:val="Balloon Text"/>
    <w:basedOn w:val="Normal"/>
    <w:link w:val="BalloonTextChar"/>
    <w:uiPriority w:val="99"/>
    <w:semiHidden/>
    <w:unhideWhenUsed/>
    <w:rsid w:val="00C558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8A8"/>
    <w:rPr>
      <w:rFonts w:ascii="Segoe UI" w:eastAsia="Times New Roman" w:hAnsi="Segoe UI" w:cs="Segoe UI"/>
      <w:sz w:val="18"/>
      <w:szCs w:val="18"/>
      <w:lang w:eastAsia="lv-LV"/>
    </w:rPr>
  </w:style>
  <w:style w:type="table" w:styleId="TableGrid">
    <w:name w:val="Table Grid"/>
    <w:basedOn w:val="TableNormal"/>
    <w:uiPriority w:val="39"/>
    <w:rsid w:val="001D73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1129C"/>
    <w:rPr>
      <w:sz w:val="16"/>
      <w:szCs w:val="16"/>
    </w:rPr>
  </w:style>
  <w:style w:type="paragraph" w:styleId="CommentText">
    <w:name w:val="annotation text"/>
    <w:basedOn w:val="Normal"/>
    <w:link w:val="CommentTextChar"/>
    <w:uiPriority w:val="99"/>
    <w:semiHidden/>
    <w:unhideWhenUsed/>
    <w:rsid w:val="00A1129C"/>
    <w:rPr>
      <w:sz w:val="20"/>
      <w:szCs w:val="20"/>
    </w:rPr>
  </w:style>
  <w:style w:type="character" w:customStyle="1" w:styleId="CommentTextChar">
    <w:name w:val="Comment Text Char"/>
    <w:basedOn w:val="DefaultParagraphFont"/>
    <w:link w:val="CommentText"/>
    <w:uiPriority w:val="99"/>
    <w:semiHidden/>
    <w:rsid w:val="00A1129C"/>
    <w:rPr>
      <w:rFonts w:eastAsia="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A1129C"/>
    <w:rPr>
      <w:b/>
      <w:bCs/>
    </w:rPr>
  </w:style>
  <w:style w:type="character" w:customStyle="1" w:styleId="CommentSubjectChar">
    <w:name w:val="Comment Subject Char"/>
    <w:basedOn w:val="CommentTextChar"/>
    <w:link w:val="CommentSubject"/>
    <w:uiPriority w:val="99"/>
    <w:semiHidden/>
    <w:rsid w:val="00A1129C"/>
    <w:rPr>
      <w:rFonts w:eastAsia="Times New Roman"/>
      <w:b/>
      <w:bCs/>
      <w:sz w:val="20"/>
      <w:szCs w:val="20"/>
      <w:lang w:eastAsia="lv-LV"/>
    </w:rPr>
  </w:style>
  <w:style w:type="character" w:customStyle="1" w:styleId="ListParagraphChar">
    <w:name w:val="List Paragraph Char"/>
    <w:link w:val="ListParagraph"/>
    <w:uiPriority w:val="34"/>
    <w:rsid w:val="007B212D"/>
    <w:rPr>
      <w:rFonts w:eastAsia="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467440">
      <w:bodyDiv w:val="1"/>
      <w:marLeft w:val="0"/>
      <w:marRight w:val="0"/>
      <w:marTop w:val="0"/>
      <w:marBottom w:val="0"/>
      <w:divBdr>
        <w:top w:val="none" w:sz="0" w:space="0" w:color="auto"/>
        <w:left w:val="none" w:sz="0" w:space="0" w:color="auto"/>
        <w:bottom w:val="none" w:sz="0" w:space="0" w:color="auto"/>
        <w:right w:val="none" w:sz="0" w:space="0" w:color="auto"/>
      </w:divBdr>
    </w:div>
    <w:div w:id="1088690557">
      <w:bodyDiv w:val="1"/>
      <w:marLeft w:val="0"/>
      <w:marRight w:val="0"/>
      <w:marTop w:val="0"/>
      <w:marBottom w:val="0"/>
      <w:divBdr>
        <w:top w:val="none" w:sz="0" w:space="0" w:color="auto"/>
        <w:left w:val="none" w:sz="0" w:space="0" w:color="auto"/>
        <w:bottom w:val="none" w:sz="0" w:space="0" w:color="auto"/>
        <w:right w:val="none" w:sz="0" w:space="0" w:color="auto"/>
      </w:divBdr>
      <w:divsChild>
        <w:div w:id="1551575051">
          <w:marLeft w:val="0"/>
          <w:marRight w:val="0"/>
          <w:marTop w:val="0"/>
          <w:marBottom w:val="0"/>
          <w:divBdr>
            <w:top w:val="none" w:sz="0" w:space="0" w:color="auto"/>
            <w:left w:val="none" w:sz="0" w:space="0" w:color="auto"/>
            <w:bottom w:val="none" w:sz="0" w:space="0" w:color="auto"/>
            <w:right w:val="none" w:sz="0" w:space="0" w:color="auto"/>
          </w:divBdr>
          <w:divsChild>
            <w:div w:id="1280183246">
              <w:marLeft w:val="0"/>
              <w:marRight w:val="0"/>
              <w:marTop w:val="0"/>
              <w:marBottom w:val="0"/>
              <w:divBdr>
                <w:top w:val="none" w:sz="0" w:space="0" w:color="auto"/>
                <w:left w:val="none" w:sz="0" w:space="0" w:color="auto"/>
                <w:bottom w:val="none" w:sz="0" w:space="0" w:color="auto"/>
                <w:right w:val="none" w:sz="0" w:space="0" w:color="auto"/>
              </w:divBdr>
              <w:divsChild>
                <w:div w:id="2096513391">
                  <w:marLeft w:val="0"/>
                  <w:marRight w:val="0"/>
                  <w:marTop w:val="0"/>
                  <w:marBottom w:val="0"/>
                  <w:divBdr>
                    <w:top w:val="none" w:sz="0" w:space="0" w:color="auto"/>
                    <w:left w:val="none" w:sz="0" w:space="0" w:color="auto"/>
                    <w:bottom w:val="none" w:sz="0" w:space="0" w:color="auto"/>
                    <w:right w:val="none" w:sz="0" w:space="0" w:color="auto"/>
                  </w:divBdr>
                  <w:divsChild>
                    <w:div w:id="724525940">
                      <w:marLeft w:val="0"/>
                      <w:marRight w:val="0"/>
                      <w:marTop w:val="0"/>
                      <w:marBottom w:val="0"/>
                      <w:divBdr>
                        <w:top w:val="none" w:sz="0" w:space="0" w:color="auto"/>
                        <w:left w:val="none" w:sz="0" w:space="0" w:color="auto"/>
                        <w:bottom w:val="none" w:sz="0" w:space="0" w:color="auto"/>
                        <w:right w:val="none" w:sz="0" w:space="0" w:color="auto"/>
                      </w:divBdr>
                      <w:divsChild>
                        <w:div w:id="475924627">
                          <w:marLeft w:val="0"/>
                          <w:marRight w:val="0"/>
                          <w:marTop w:val="0"/>
                          <w:marBottom w:val="0"/>
                          <w:divBdr>
                            <w:top w:val="none" w:sz="0" w:space="0" w:color="auto"/>
                            <w:left w:val="none" w:sz="0" w:space="0" w:color="auto"/>
                            <w:bottom w:val="none" w:sz="0" w:space="0" w:color="auto"/>
                            <w:right w:val="none" w:sz="0" w:space="0" w:color="auto"/>
                          </w:divBdr>
                          <w:divsChild>
                            <w:div w:id="7106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mlp.gov.lv/lv/sakums/tiesibu-akti/tiesibu-aktu-projekti/"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ikumi.lv/ta/id/253442"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nna.semenjuka@pmlp.gov.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k.gov.lv/content/ministru-kabineta-diskusiju-dokumenti" TargetMode="External"/><Relationship Id="rId4" Type="http://schemas.openxmlformats.org/officeDocument/2006/relationships/webSettings" Target="webSettings.xml"/><Relationship Id="rId9" Type="http://schemas.openxmlformats.org/officeDocument/2006/relationships/hyperlink" Target="http://www.iem.gov.lv/lat/sadarbiba_ar_nvo/diskusiju_dokumenti/"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7428</Words>
  <Characters>4235</Characters>
  <Application>Microsoft Office Word</Application>
  <DocSecurity>0</DocSecurity>
  <Lines>35</Lines>
  <Paragraphs>23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Stone</dc:creator>
  <cp:keywords/>
  <dc:description/>
  <cp:lastModifiedBy>Kristine Stone</cp:lastModifiedBy>
  <cp:revision>3</cp:revision>
  <cp:lastPrinted>2019-06-20T07:56:00Z</cp:lastPrinted>
  <dcterms:created xsi:type="dcterms:W3CDTF">2019-06-20T09:21:00Z</dcterms:created>
  <dcterms:modified xsi:type="dcterms:W3CDTF">2019-06-20T09:21:00Z</dcterms:modified>
</cp:coreProperties>
</file>