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01B" w:rsidRPr="00D12107" w:rsidRDefault="00F5501B" w:rsidP="00F5501B">
      <w:pPr>
        <w:jc w:val="center"/>
        <w:rPr>
          <w:b/>
          <w:szCs w:val="26"/>
        </w:rPr>
      </w:pPr>
      <w:r w:rsidRPr="00D12107">
        <w:rPr>
          <w:b/>
          <w:szCs w:val="26"/>
        </w:rPr>
        <w:t>Paziņojums par līdzdalības iespējām tiesību akta izstrādes procesā</w:t>
      </w:r>
    </w:p>
    <w:p w:rsidR="00F5501B" w:rsidRDefault="00F5501B"/>
    <w:tbl>
      <w:tblPr>
        <w:tblStyle w:val="TableGrid"/>
        <w:tblW w:w="0" w:type="auto"/>
        <w:tblLook w:val="04A0"/>
      </w:tblPr>
      <w:tblGrid>
        <w:gridCol w:w="675"/>
        <w:gridCol w:w="2977"/>
        <w:gridCol w:w="5635"/>
      </w:tblGrid>
      <w:tr w:rsidR="00F5501B" w:rsidTr="000E54EE">
        <w:tc>
          <w:tcPr>
            <w:tcW w:w="675" w:type="dxa"/>
          </w:tcPr>
          <w:p w:rsidR="00F5501B" w:rsidRPr="00D12107" w:rsidRDefault="00B159FE">
            <w:pPr>
              <w:rPr>
                <w:sz w:val="24"/>
                <w:szCs w:val="24"/>
              </w:rPr>
            </w:pPr>
            <w:r w:rsidRPr="00D12107">
              <w:rPr>
                <w:sz w:val="24"/>
                <w:szCs w:val="24"/>
              </w:rPr>
              <w:t xml:space="preserve"> 1.</w:t>
            </w:r>
          </w:p>
        </w:tc>
        <w:tc>
          <w:tcPr>
            <w:tcW w:w="2977" w:type="dxa"/>
          </w:tcPr>
          <w:p w:rsidR="00F5501B" w:rsidRPr="00D12107" w:rsidRDefault="00B159FE">
            <w:pPr>
              <w:rPr>
                <w:sz w:val="24"/>
                <w:szCs w:val="24"/>
              </w:rPr>
            </w:pPr>
            <w:r w:rsidRPr="00D12107">
              <w:rPr>
                <w:sz w:val="24"/>
                <w:szCs w:val="24"/>
              </w:rPr>
              <w:t>Dokumenta veids</w:t>
            </w:r>
          </w:p>
        </w:tc>
        <w:tc>
          <w:tcPr>
            <w:tcW w:w="5635" w:type="dxa"/>
          </w:tcPr>
          <w:p w:rsidR="00F5501B" w:rsidRPr="00D12107" w:rsidRDefault="00E30E4A" w:rsidP="009E6E69">
            <w:pPr>
              <w:rPr>
                <w:sz w:val="24"/>
                <w:szCs w:val="24"/>
              </w:rPr>
            </w:pPr>
            <w:r w:rsidRPr="00D12107">
              <w:rPr>
                <w:sz w:val="24"/>
                <w:szCs w:val="24"/>
              </w:rPr>
              <w:t>Noteikumu projekts</w:t>
            </w:r>
          </w:p>
        </w:tc>
      </w:tr>
      <w:tr w:rsidR="00F5501B" w:rsidTr="000E54EE">
        <w:tc>
          <w:tcPr>
            <w:tcW w:w="675" w:type="dxa"/>
          </w:tcPr>
          <w:p w:rsidR="00F5501B" w:rsidRPr="00D12107" w:rsidRDefault="00B159FE">
            <w:pPr>
              <w:rPr>
                <w:sz w:val="24"/>
                <w:szCs w:val="24"/>
              </w:rPr>
            </w:pPr>
            <w:r w:rsidRPr="00D12107">
              <w:rPr>
                <w:sz w:val="24"/>
                <w:szCs w:val="24"/>
              </w:rPr>
              <w:t xml:space="preserve"> 2.</w:t>
            </w:r>
          </w:p>
          <w:p w:rsidR="00F5501B" w:rsidRPr="00D12107" w:rsidRDefault="00F5501B">
            <w:pPr>
              <w:rPr>
                <w:sz w:val="24"/>
                <w:szCs w:val="24"/>
              </w:rPr>
            </w:pPr>
          </w:p>
          <w:p w:rsidR="00F5501B" w:rsidRPr="00D12107" w:rsidRDefault="00F5501B">
            <w:pPr>
              <w:rPr>
                <w:sz w:val="24"/>
                <w:szCs w:val="24"/>
              </w:rPr>
            </w:pPr>
          </w:p>
        </w:tc>
        <w:tc>
          <w:tcPr>
            <w:tcW w:w="2977" w:type="dxa"/>
          </w:tcPr>
          <w:p w:rsidR="00F5501B" w:rsidRPr="00D12107" w:rsidRDefault="00B159FE">
            <w:pPr>
              <w:rPr>
                <w:sz w:val="24"/>
                <w:szCs w:val="24"/>
              </w:rPr>
            </w:pPr>
            <w:r w:rsidRPr="00D12107">
              <w:rPr>
                <w:sz w:val="24"/>
                <w:szCs w:val="24"/>
              </w:rPr>
              <w:t>Dokumenta nosaukums</w:t>
            </w:r>
          </w:p>
        </w:tc>
        <w:tc>
          <w:tcPr>
            <w:tcW w:w="5635" w:type="dxa"/>
          </w:tcPr>
          <w:p w:rsidR="00021B11" w:rsidRPr="002C558E" w:rsidRDefault="002C558E" w:rsidP="002C558E">
            <w:pPr>
              <w:jc w:val="both"/>
              <w:rPr>
                <w:sz w:val="24"/>
                <w:szCs w:val="24"/>
              </w:rPr>
            </w:pPr>
            <w:r w:rsidRPr="002C558E">
              <w:rPr>
                <w:sz w:val="24"/>
                <w:szCs w:val="24"/>
              </w:rPr>
              <w:t>Ministru kabineta noteikumu „Kārtība, kādā Ieslodzījuma vietu pārvaldes amatpersonas lieto speciālos līdzekļus” projektu</w:t>
            </w:r>
          </w:p>
        </w:tc>
      </w:tr>
      <w:tr w:rsidR="00F5501B" w:rsidTr="000E54EE">
        <w:tc>
          <w:tcPr>
            <w:tcW w:w="675" w:type="dxa"/>
          </w:tcPr>
          <w:p w:rsidR="00F5501B" w:rsidRPr="00D12107" w:rsidRDefault="00B159FE">
            <w:pPr>
              <w:rPr>
                <w:sz w:val="24"/>
                <w:szCs w:val="24"/>
              </w:rPr>
            </w:pPr>
            <w:r w:rsidRPr="00D12107">
              <w:rPr>
                <w:sz w:val="24"/>
                <w:szCs w:val="24"/>
              </w:rPr>
              <w:t xml:space="preserve"> 3.</w:t>
            </w:r>
          </w:p>
          <w:p w:rsidR="00F5501B" w:rsidRPr="00D12107" w:rsidRDefault="00F5501B">
            <w:pPr>
              <w:rPr>
                <w:sz w:val="24"/>
                <w:szCs w:val="24"/>
              </w:rPr>
            </w:pPr>
          </w:p>
        </w:tc>
        <w:tc>
          <w:tcPr>
            <w:tcW w:w="2977" w:type="dxa"/>
          </w:tcPr>
          <w:p w:rsidR="00F5501B" w:rsidRPr="00D12107" w:rsidRDefault="00B159FE">
            <w:pPr>
              <w:rPr>
                <w:sz w:val="24"/>
                <w:szCs w:val="24"/>
              </w:rPr>
            </w:pPr>
            <w:r w:rsidRPr="00D12107">
              <w:rPr>
                <w:sz w:val="24"/>
                <w:szCs w:val="24"/>
              </w:rPr>
              <w:t>Politikas joma un nozare vai teritorija</w:t>
            </w:r>
          </w:p>
        </w:tc>
        <w:tc>
          <w:tcPr>
            <w:tcW w:w="5635" w:type="dxa"/>
          </w:tcPr>
          <w:p w:rsidR="00F5501B" w:rsidRPr="00D12107" w:rsidRDefault="00E30E4A" w:rsidP="009E6E69">
            <w:pPr>
              <w:rPr>
                <w:sz w:val="24"/>
                <w:szCs w:val="24"/>
              </w:rPr>
            </w:pPr>
            <w:r w:rsidRPr="00D12107">
              <w:rPr>
                <w:sz w:val="24"/>
                <w:szCs w:val="24"/>
              </w:rPr>
              <w:t>Tieslietu politika</w:t>
            </w:r>
          </w:p>
        </w:tc>
      </w:tr>
      <w:tr w:rsidR="00F5501B" w:rsidTr="000E54EE">
        <w:tc>
          <w:tcPr>
            <w:tcW w:w="675" w:type="dxa"/>
          </w:tcPr>
          <w:p w:rsidR="00F5501B" w:rsidRPr="00D12107" w:rsidRDefault="00B159FE">
            <w:pPr>
              <w:rPr>
                <w:sz w:val="24"/>
                <w:szCs w:val="24"/>
              </w:rPr>
            </w:pPr>
            <w:r w:rsidRPr="00D12107">
              <w:rPr>
                <w:sz w:val="24"/>
                <w:szCs w:val="24"/>
              </w:rPr>
              <w:t xml:space="preserve"> 4.</w:t>
            </w:r>
          </w:p>
          <w:p w:rsidR="00F5501B" w:rsidRPr="00D12107" w:rsidRDefault="00F5501B">
            <w:pPr>
              <w:rPr>
                <w:sz w:val="24"/>
                <w:szCs w:val="24"/>
              </w:rPr>
            </w:pPr>
          </w:p>
        </w:tc>
        <w:tc>
          <w:tcPr>
            <w:tcW w:w="2977" w:type="dxa"/>
          </w:tcPr>
          <w:p w:rsidR="00F5501B" w:rsidRPr="00D12107" w:rsidRDefault="00B159FE">
            <w:pPr>
              <w:rPr>
                <w:sz w:val="24"/>
                <w:szCs w:val="24"/>
              </w:rPr>
            </w:pPr>
            <w:r w:rsidRPr="00D12107">
              <w:rPr>
                <w:sz w:val="24"/>
                <w:szCs w:val="24"/>
              </w:rPr>
              <w:t>Dokumenta mērķgrupas</w:t>
            </w:r>
          </w:p>
        </w:tc>
        <w:tc>
          <w:tcPr>
            <w:tcW w:w="5635" w:type="dxa"/>
          </w:tcPr>
          <w:p w:rsidR="00F5501B" w:rsidRPr="002C558E" w:rsidRDefault="002C558E" w:rsidP="009E6E69">
            <w:pPr>
              <w:rPr>
                <w:sz w:val="24"/>
                <w:szCs w:val="24"/>
              </w:rPr>
            </w:pPr>
            <w:r w:rsidRPr="002C558E">
              <w:rPr>
                <w:sz w:val="24"/>
                <w:szCs w:val="24"/>
              </w:rPr>
              <w:t>Ieslodzījuma vietu pārvaldes amatpersonas, ieslodzītie un</w:t>
            </w:r>
            <w:r w:rsidRPr="002C558E">
              <w:rPr>
                <w:iCs/>
                <w:sz w:val="24"/>
                <w:szCs w:val="24"/>
              </w:rPr>
              <w:t xml:space="preserve"> personas, pret kurām ir pamats lietot speciālos līdzekļus</w:t>
            </w:r>
          </w:p>
        </w:tc>
      </w:tr>
      <w:tr w:rsidR="00F5501B" w:rsidTr="000E54EE">
        <w:tc>
          <w:tcPr>
            <w:tcW w:w="675" w:type="dxa"/>
          </w:tcPr>
          <w:p w:rsidR="00F5501B" w:rsidRPr="00D12107" w:rsidRDefault="00B159FE">
            <w:pPr>
              <w:rPr>
                <w:sz w:val="24"/>
                <w:szCs w:val="24"/>
              </w:rPr>
            </w:pPr>
            <w:r w:rsidRPr="00D12107">
              <w:rPr>
                <w:sz w:val="24"/>
                <w:szCs w:val="24"/>
              </w:rPr>
              <w:t xml:space="preserve"> 5.</w:t>
            </w:r>
          </w:p>
          <w:p w:rsidR="00F5501B" w:rsidRPr="00D12107" w:rsidRDefault="00F5501B">
            <w:pPr>
              <w:rPr>
                <w:sz w:val="24"/>
                <w:szCs w:val="24"/>
              </w:rPr>
            </w:pPr>
          </w:p>
          <w:p w:rsidR="00F5501B" w:rsidRPr="00D12107" w:rsidRDefault="00F5501B">
            <w:pPr>
              <w:rPr>
                <w:sz w:val="24"/>
                <w:szCs w:val="24"/>
              </w:rPr>
            </w:pPr>
          </w:p>
          <w:p w:rsidR="00F5501B" w:rsidRPr="00D12107" w:rsidRDefault="00F5501B">
            <w:pPr>
              <w:rPr>
                <w:sz w:val="24"/>
                <w:szCs w:val="24"/>
              </w:rPr>
            </w:pPr>
          </w:p>
        </w:tc>
        <w:tc>
          <w:tcPr>
            <w:tcW w:w="2977" w:type="dxa"/>
          </w:tcPr>
          <w:p w:rsidR="00F5501B" w:rsidRPr="00D12107" w:rsidRDefault="00B159FE" w:rsidP="000E54EE">
            <w:pPr>
              <w:rPr>
                <w:sz w:val="24"/>
                <w:szCs w:val="24"/>
              </w:rPr>
            </w:pPr>
            <w:r w:rsidRPr="00D12107">
              <w:rPr>
                <w:sz w:val="24"/>
                <w:szCs w:val="24"/>
              </w:rPr>
              <w:t>Dokumenta mērķis un sākotnēji identificētās problēmas būtība</w:t>
            </w:r>
          </w:p>
        </w:tc>
        <w:tc>
          <w:tcPr>
            <w:tcW w:w="5635" w:type="dxa"/>
          </w:tcPr>
          <w:p w:rsidR="004A31F1" w:rsidRPr="006F3EEE" w:rsidRDefault="003F3129" w:rsidP="004A31F1">
            <w:pPr>
              <w:tabs>
                <w:tab w:val="left" w:pos="471"/>
              </w:tabs>
              <w:jc w:val="both"/>
              <w:rPr>
                <w:sz w:val="24"/>
                <w:szCs w:val="24"/>
              </w:rPr>
            </w:pPr>
            <w:r w:rsidRPr="006F3EEE">
              <w:rPr>
                <w:sz w:val="24"/>
                <w:szCs w:val="24"/>
              </w:rPr>
              <w:t>2015.gada 1.janvārī stājās spēkā likums „Grozījumi Ieslodzījuma vietu pārvades likumā”. Ar minētā likuma 3.pantu Likuma 23.pants papildināts ar piekto daļu, kas noteic, ka speciālo līdzekļu veidus un kārtību, kādā tos lieto ieslodzījuma vietu amatpersonas, nosaka Ministru kabinets.</w:t>
            </w:r>
          </w:p>
          <w:p w:rsidR="008E0782" w:rsidRPr="006F3EEE" w:rsidRDefault="004A31F1" w:rsidP="008E0782">
            <w:pPr>
              <w:tabs>
                <w:tab w:val="left" w:pos="471"/>
              </w:tabs>
              <w:jc w:val="both"/>
              <w:rPr>
                <w:sz w:val="24"/>
                <w:szCs w:val="24"/>
              </w:rPr>
            </w:pPr>
            <w:r w:rsidRPr="006F3EEE">
              <w:rPr>
                <w:sz w:val="24"/>
                <w:szCs w:val="24"/>
              </w:rPr>
              <w:t xml:space="preserve">Ņemot vērā iepriekš minēto un </w:t>
            </w:r>
            <w:r w:rsidRPr="006F3EEE">
              <w:rPr>
                <w:iCs/>
                <w:sz w:val="24"/>
                <w:szCs w:val="24"/>
              </w:rPr>
              <w:t xml:space="preserve">izpildot </w:t>
            </w:r>
            <w:r w:rsidRPr="006F3EEE">
              <w:rPr>
                <w:sz w:val="24"/>
                <w:szCs w:val="24"/>
              </w:rPr>
              <w:t xml:space="preserve">Likuma 23.panta piektajā daļā Ministru kabinetam doto deleģējumu, ir izstrādāts Ministru kabineta noteikumu projekts </w:t>
            </w:r>
            <w:r w:rsidRPr="006F3EEE">
              <w:rPr>
                <w:bCs/>
                <w:sz w:val="24"/>
                <w:szCs w:val="24"/>
              </w:rPr>
              <w:t>„</w:t>
            </w:r>
            <w:r w:rsidRPr="006F3EEE">
              <w:rPr>
                <w:color w:val="000000"/>
                <w:sz w:val="24"/>
                <w:szCs w:val="24"/>
              </w:rPr>
              <w:t>Kārtība, kādā Ieslodzījuma vietu pārvaldes amatpersonas lieto speciālos līdzekļus”</w:t>
            </w:r>
            <w:r w:rsidRPr="006F3EEE">
              <w:rPr>
                <w:sz w:val="24"/>
                <w:szCs w:val="24"/>
              </w:rPr>
              <w:t xml:space="preserve"> (turpmāk – noteikumu projekts).</w:t>
            </w:r>
          </w:p>
          <w:p w:rsidR="008E0782" w:rsidRPr="006F3EEE" w:rsidRDefault="008E0782" w:rsidP="008E0782">
            <w:pPr>
              <w:tabs>
                <w:tab w:val="left" w:pos="471"/>
              </w:tabs>
              <w:jc w:val="both"/>
              <w:rPr>
                <w:sz w:val="24"/>
                <w:szCs w:val="24"/>
              </w:rPr>
            </w:pPr>
            <w:r w:rsidRPr="006F3EEE">
              <w:rPr>
                <w:rFonts w:eastAsia="Calibri"/>
                <w:sz w:val="24"/>
                <w:szCs w:val="24"/>
              </w:rPr>
              <w:t xml:space="preserve">Noteikumu projektā paredzēts noteikt, ka </w:t>
            </w:r>
            <w:r w:rsidRPr="006F3EEE">
              <w:rPr>
                <w:sz w:val="24"/>
                <w:szCs w:val="24"/>
              </w:rPr>
              <w:t>Ieslodzījuma vietu pārvaldes amatpersonai ir tiesības lietot speciālo līdzekli ne tikai pret ieslodzīto, bet arī pret citu personu, kā arī atsevišķos gadījumos pret dzīvnieku. Šāds regulējums nepieciešams, jo ieslodzījuma vietu var apmeklēt persona</w:t>
            </w:r>
            <w:r w:rsidRPr="006F3EEE">
              <w:rPr>
                <w:color w:val="000000"/>
                <w:sz w:val="24"/>
                <w:szCs w:val="24"/>
              </w:rPr>
              <w:t>, kura ir agresīvi noskaņota, atrodas alkohola vai narkotisko vielu ietekmē. Un šādā situācijā</w:t>
            </w:r>
            <w:r w:rsidRPr="006F3EEE">
              <w:rPr>
                <w:sz w:val="24"/>
                <w:szCs w:val="24"/>
              </w:rPr>
              <w:t xml:space="preserve">, lai atvairītu uzbrukumu un novērstu iespējamos draudus amatpersonas dzīvībai vai veselībai, var būt nepieciešamība lietot kādu no speciālajiem līdzekļiem. </w:t>
            </w:r>
          </w:p>
          <w:p w:rsidR="00495E14" w:rsidRPr="006F3EEE" w:rsidRDefault="008E0782" w:rsidP="00495E14">
            <w:pPr>
              <w:tabs>
                <w:tab w:val="left" w:pos="471"/>
              </w:tabs>
              <w:jc w:val="both"/>
              <w:rPr>
                <w:sz w:val="24"/>
                <w:szCs w:val="24"/>
              </w:rPr>
            </w:pPr>
            <w:r w:rsidRPr="006F3EEE">
              <w:rPr>
                <w:sz w:val="24"/>
                <w:szCs w:val="24"/>
              </w:rPr>
              <w:t xml:space="preserve">Noteikumu projektā ir noteikts, ka speciālā līdzekļa veidu un tā lietošanas intensitāti nosaka amatpersona, izvērtējot konkrētās situācijas raksturu, apdraudējumu, sekas, ieslodzītā vai citas personas individuālās pazīmes, ierobežojot speciālā līdzekļa nodarīto iespējamo kaitējumu. </w:t>
            </w:r>
          </w:p>
          <w:p w:rsidR="005301C4" w:rsidRPr="006F3EEE" w:rsidRDefault="00495E14" w:rsidP="005301C4">
            <w:pPr>
              <w:tabs>
                <w:tab w:val="left" w:pos="471"/>
              </w:tabs>
              <w:jc w:val="both"/>
              <w:rPr>
                <w:sz w:val="24"/>
                <w:szCs w:val="24"/>
              </w:rPr>
            </w:pPr>
            <w:r w:rsidRPr="006F3EEE">
              <w:rPr>
                <w:bCs/>
                <w:sz w:val="24"/>
                <w:szCs w:val="24"/>
              </w:rPr>
              <w:t xml:space="preserve">Ieslodzītie pārvešanas laikā uz </w:t>
            </w:r>
            <w:r w:rsidRPr="006F3EEE">
              <w:rPr>
                <w:sz w:val="24"/>
                <w:szCs w:val="24"/>
              </w:rPr>
              <w:t xml:space="preserve">ārstniecības iestādi ārpus ieslodzījuma vietas veselības aprūpes pakalpojumu saņemšanai </w:t>
            </w:r>
            <w:r w:rsidRPr="006F3EEE">
              <w:rPr>
                <w:bCs/>
                <w:sz w:val="24"/>
                <w:szCs w:val="24"/>
              </w:rPr>
              <w:t xml:space="preserve">ir jāapsargā visā laika periodā, ko tie pavada ārpus ieslodzījuma vietas ārstniecības iestādē potenciālā apdraudējuma dēļ, ko viņi var radīt. </w:t>
            </w:r>
          </w:p>
          <w:p w:rsidR="002A7AE2" w:rsidRPr="006F3EEE" w:rsidRDefault="00FE4638" w:rsidP="002A7AE2">
            <w:pPr>
              <w:tabs>
                <w:tab w:val="left" w:pos="471"/>
              </w:tabs>
              <w:jc w:val="both"/>
              <w:rPr>
                <w:sz w:val="24"/>
                <w:szCs w:val="24"/>
              </w:rPr>
            </w:pPr>
            <w:r>
              <w:rPr>
                <w:sz w:val="24"/>
                <w:szCs w:val="24"/>
              </w:rPr>
              <w:t>N</w:t>
            </w:r>
            <w:r w:rsidR="005301C4" w:rsidRPr="006F3EEE">
              <w:rPr>
                <w:sz w:val="24"/>
                <w:szCs w:val="24"/>
              </w:rPr>
              <w:t xml:space="preserve">oteikumu projektā paredzēts noteikt, ka apsargājot ieslodzīto ārstniecības iestādē ārpus ieslodzījuma vietas veselības aprūpes pakalpojuma saņemšanas laikā, amatpersona ieslodzītā rokas saslēdz rokudzelžos ķermeņa priekšpusē vai mugurpusē, vai pieslēdz ieslodzītā roku ar roku dzelžiem pie gultas. Šāds regulējums nepieciešams tāpēc, ka ārstniecības iestādē </w:t>
            </w:r>
            <w:r w:rsidR="005301C4" w:rsidRPr="006F3EEE">
              <w:rPr>
                <w:sz w:val="24"/>
                <w:szCs w:val="24"/>
              </w:rPr>
              <w:lastRenderedPageBreak/>
              <w:t>ieslodzīto ievieto palātā, kur atrodas vairāki pacienti, palāta nav speciāli aprīkota ar restēm uz logiem un citiem drošības aspektiem, kas dod iespēju ieslodzītajam mēģināt bēgt.</w:t>
            </w:r>
          </w:p>
          <w:p w:rsidR="00F5501B" w:rsidRPr="00321C17" w:rsidRDefault="002A7AE2" w:rsidP="00371592">
            <w:pPr>
              <w:tabs>
                <w:tab w:val="left" w:pos="471"/>
              </w:tabs>
              <w:jc w:val="both"/>
              <w:rPr>
                <w:sz w:val="22"/>
                <w:szCs w:val="22"/>
              </w:rPr>
            </w:pPr>
            <w:r w:rsidRPr="006F3EEE">
              <w:rPr>
                <w:sz w:val="24"/>
                <w:szCs w:val="24"/>
              </w:rPr>
              <w:t xml:space="preserve">Noteikumu projektā paredzēts noteikt, ka par katra speciālā līdzekļa lietošanas gadījumu, amatpersona, kas lietoja speciālo līdzekli, </w:t>
            </w:r>
            <w:r w:rsidR="000D3AC2">
              <w:rPr>
                <w:sz w:val="24"/>
                <w:szCs w:val="24"/>
              </w:rPr>
              <w:t>sagatavo</w:t>
            </w:r>
            <w:r w:rsidRPr="006F3EEE">
              <w:rPr>
                <w:sz w:val="24"/>
                <w:szCs w:val="24"/>
              </w:rPr>
              <w:t xml:space="preserve"> speciālu protokolu. </w:t>
            </w:r>
          </w:p>
        </w:tc>
      </w:tr>
      <w:tr w:rsidR="00F5501B" w:rsidTr="000E54EE">
        <w:tc>
          <w:tcPr>
            <w:tcW w:w="675" w:type="dxa"/>
          </w:tcPr>
          <w:p w:rsidR="00F5501B" w:rsidRPr="00D12107" w:rsidRDefault="00B159FE">
            <w:pPr>
              <w:rPr>
                <w:sz w:val="24"/>
                <w:szCs w:val="24"/>
              </w:rPr>
            </w:pPr>
            <w:r w:rsidRPr="00D12107">
              <w:rPr>
                <w:sz w:val="24"/>
                <w:szCs w:val="24"/>
              </w:rPr>
              <w:lastRenderedPageBreak/>
              <w:t xml:space="preserve"> 6.</w:t>
            </w:r>
          </w:p>
          <w:p w:rsidR="00F5501B" w:rsidRPr="00D12107" w:rsidRDefault="00F5501B">
            <w:pPr>
              <w:rPr>
                <w:sz w:val="24"/>
                <w:szCs w:val="24"/>
              </w:rPr>
            </w:pPr>
          </w:p>
        </w:tc>
        <w:tc>
          <w:tcPr>
            <w:tcW w:w="2977" w:type="dxa"/>
          </w:tcPr>
          <w:p w:rsidR="00F5501B" w:rsidRPr="00D12107" w:rsidRDefault="00B159FE">
            <w:pPr>
              <w:rPr>
                <w:sz w:val="24"/>
                <w:szCs w:val="24"/>
              </w:rPr>
            </w:pPr>
            <w:r w:rsidRPr="00D12107">
              <w:rPr>
                <w:sz w:val="24"/>
                <w:szCs w:val="24"/>
              </w:rPr>
              <w:t>Dokumenta izstrādes laiks un plānotā virzība</w:t>
            </w:r>
          </w:p>
        </w:tc>
        <w:tc>
          <w:tcPr>
            <w:tcW w:w="5635" w:type="dxa"/>
          </w:tcPr>
          <w:p w:rsidR="002E45A7" w:rsidRPr="00D12107" w:rsidRDefault="00E30E4A" w:rsidP="00F131CD">
            <w:pPr>
              <w:rPr>
                <w:sz w:val="24"/>
                <w:szCs w:val="24"/>
              </w:rPr>
            </w:pPr>
            <w:r w:rsidRPr="00D12107">
              <w:rPr>
                <w:sz w:val="24"/>
                <w:szCs w:val="24"/>
              </w:rPr>
              <w:t>Noteikumu projektu plānots izsludināt Valsts sekretāru sanāksmē</w:t>
            </w:r>
            <w:r w:rsidR="002C5A52" w:rsidRPr="00D12107">
              <w:rPr>
                <w:sz w:val="24"/>
                <w:szCs w:val="24"/>
              </w:rPr>
              <w:t xml:space="preserve"> š</w:t>
            </w:r>
            <w:r w:rsidRPr="00D12107">
              <w:rPr>
                <w:sz w:val="24"/>
                <w:szCs w:val="24"/>
              </w:rPr>
              <w:t>.</w:t>
            </w:r>
            <w:r w:rsidR="002C5A52" w:rsidRPr="00D12107">
              <w:rPr>
                <w:sz w:val="24"/>
                <w:szCs w:val="24"/>
              </w:rPr>
              <w:t xml:space="preserve">g. </w:t>
            </w:r>
            <w:r w:rsidR="002E45A7">
              <w:rPr>
                <w:sz w:val="24"/>
                <w:szCs w:val="24"/>
              </w:rPr>
              <w:t>aprīlī</w:t>
            </w:r>
            <w:r w:rsidR="00751A13">
              <w:rPr>
                <w:sz w:val="24"/>
                <w:szCs w:val="24"/>
              </w:rPr>
              <w:t xml:space="preserve"> – maijā</w:t>
            </w:r>
            <w:r w:rsidR="002C5A52" w:rsidRPr="00D12107">
              <w:rPr>
                <w:sz w:val="24"/>
                <w:szCs w:val="24"/>
              </w:rPr>
              <w:t>.</w:t>
            </w:r>
          </w:p>
        </w:tc>
      </w:tr>
      <w:tr w:rsidR="00F5501B" w:rsidTr="00751B76">
        <w:trPr>
          <w:trHeight w:val="2516"/>
        </w:trPr>
        <w:tc>
          <w:tcPr>
            <w:tcW w:w="675" w:type="dxa"/>
          </w:tcPr>
          <w:p w:rsidR="00F5501B" w:rsidRPr="00D12107" w:rsidRDefault="00B159FE">
            <w:pPr>
              <w:rPr>
                <w:sz w:val="24"/>
                <w:szCs w:val="24"/>
              </w:rPr>
            </w:pPr>
            <w:r w:rsidRPr="00D12107">
              <w:rPr>
                <w:sz w:val="24"/>
                <w:szCs w:val="24"/>
              </w:rPr>
              <w:t xml:space="preserve"> 7.</w:t>
            </w:r>
          </w:p>
        </w:tc>
        <w:tc>
          <w:tcPr>
            <w:tcW w:w="2977" w:type="dxa"/>
          </w:tcPr>
          <w:p w:rsidR="00F5501B" w:rsidRPr="00D12107" w:rsidRDefault="00B159FE">
            <w:pPr>
              <w:rPr>
                <w:sz w:val="24"/>
                <w:szCs w:val="24"/>
              </w:rPr>
            </w:pPr>
            <w:r w:rsidRPr="00D12107">
              <w:rPr>
                <w:sz w:val="24"/>
                <w:szCs w:val="24"/>
              </w:rPr>
              <w:t>Dokumenti</w:t>
            </w:r>
          </w:p>
        </w:tc>
        <w:tc>
          <w:tcPr>
            <w:tcW w:w="5635" w:type="dxa"/>
          </w:tcPr>
          <w:p w:rsidR="006028FB" w:rsidRPr="00DD5762" w:rsidRDefault="006028FB" w:rsidP="00DD5762">
            <w:pPr>
              <w:pStyle w:val="NormalWeb"/>
              <w:numPr>
                <w:ilvl w:val="0"/>
                <w:numId w:val="3"/>
              </w:numPr>
              <w:jc w:val="both"/>
            </w:pPr>
            <w:r w:rsidRPr="00DD5762">
              <w:t>Ministru kabineta noteikumu „Kārtība, kādā Ieslodzījuma vietu pārvaldes amatpersonas lieto speciālos līdzekļus” projekts uz astoņām lapām;</w:t>
            </w:r>
          </w:p>
          <w:p w:rsidR="00DD5762" w:rsidRPr="00DD5762" w:rsidRDefault="00DD5762" w:rsidP="00DD5762">
            <w:pPr>
              <w:pStyle w:val="NormalWeb"/>
              <w:numPr>
                <w:ilvl w:val="0"/>
                <w:numId w:val="3"/>
              </w:numPr>
              <w:jc w:val="both"/>
            </w:pPr>
            <w:r w:rsidRPr="00DD5762">
              <w:t>Pielikums „</w:t>
            </w:r>
            <w:r w:rsidRPr="00DD5762">
              <w:rPr>
                <w:szCs w:val="28"/>
              </w:rPr>
              <w:t>Speciālā līdzekļa lietošanas protokols” uz trīs lapām;</w:t>
            </w:r>
          </w:p>
          <w:p w:rsidR="002E45A7" w:rsidRPr="00D12107" w:rsidRDefault="006028FB" w:rsidP="00DD5762">
            <w:pPr>
              <w:pStyle w:val="NormalWeb"/>
              <w:numPr>
                <w:ilvl w:val="0"/>
                <w:numId w:val="3"/>
              </w:numPr>
              <w:jc w:val="both"/>
            </w:pPr>
            <w:r w:rsidRPr="00DD5762">
              <w:t>Ministru kabineta noteikumu projekta „Kārtība, kādā Ieslodzījuma vietu pārvaldes amatpersonas lieto speciālos līdzekļus” sākotnējās ietekmes novērtējuma ziņojums (anotācija) uz sešām lapām</w:t>
            </w:r>
            <w:r w:rsidR="00751B76" w:rsidRPr="00DD5762">
              <w:t>.</w:t>
            </w:r>
          </w:p>
        </w:tc>
      </w:tr>
      <w:tr w:rsidR="00F5501B" w:rsidTr="000E54EE">
        <w:tc>
          <w:tcPr>
            <w:tcW w:w="675" w:type="dxa"/>
          </w:tcPr>
          <w:p w:rsidR="00F5501B" w:rsidRPr="00D12107" w:rsidRDefault="00B159FE">
            <w:pPr>
              <w:rPr>
                <w:sz w:val="24"/>
                <w:szCs w:val="24"/>
              </w:rPr>
            </w:pPr>
            <w:r w:rsidRPr="00D12107">
              <w:rPr>
                <w:sz w:val="24"/>
                <w:szCs w:val="24"/>
              </w:rPr>
              <w:t xml:space="preserve"> 8.</w:t>
            </w:r>
          </w:p>
          <w:p w:rsidR="00F5501B" w:rsidRPr="00D12107" w:rsidRDefault="00F5501B">
            <w:pPr>
              <w:rPr>
                <w:sz w:val="24"/>
                <w:szCs w:val="24"/>
              </w:rPr>
            </w:pPr>
          </w:p>
          <w:p w:rsidR="00F5501B" w:rsidRPr="00D12107" w:rsidRDefault="00F5501B">
            <w:pPr>
              <w:rPr>
                <w:sz w:val="24"/>
                <w:szCs w:val="24"/>
              </w:rPr>
            </w:pPr>
          </w:p>
        </w:tc>
        <w:tc>
          <w:tcPr>
            <w:tcW w:w="2977" w:type="dxa"/>
          </w:tcPr>
          <w:p w:rsidR="00F5501B" w:rsidRPr="00D12107" w:rsidRDefault="00B159FE">
            <w:pPr>
              <w:rPr>
                <w:sz w:val="24"/>
                <w:szCs w:val="24"/>
              </w:rPr>
            </w:pPr>
            <w:r w:rsidRPr="00D12107">
              <w:rPr>
                <w:sz w:val="24"/>
                <w:szCs w:val="24"/>
              </w:rPr>
              <w:t>Sabiedrības pārstāvju iespējas līdzdarboties</w:t>
            </w:r>
          </w:p>
        </w:tc>
        <w:tc>
          <w:tcPr>
            <w:tcW w:w="5635" w:type="dxa"/>
          </w:tcPr>
          <w:p w:rsidR="002E45A7" w:rsidRPr="00D12107" w:rsidRDefault="00067506" w:rsidP="0052019A">
            <w:pPr>
              <w:rPr>
                <w:sz w:val="24"/>
                <w:szCs w:val="24"/>
              </w:rPr>
            </w:pPr>
            <w:r w:rsidRPr="00D12107">
              <w:rPr>
                <w:sz w:val="24"/>
                <w:szCs w:val="24"/>
              </w:rPr>
              <w:t xml:space="preserve">Lai informētu sabiedrību par noteikumu projektu un dotu iespēju izteikt par to viedokļus, noteikumu projekts saskaņā ar Ministru kabineta 2009.gada 25.augusta noteikumu Nr.970 „Sabiedrības līdzdalības kārtība attīstības plānošanas procesā” </w:t>
            </w:r>
            <w:r w:rsidR="002E45A7">
              <w:rPr>
                <w:sz w:val="24"/>
                <w:szCs w:val="24"/>
              </w:rPr>
              <w:t xml:space="preserve">13.punktu </w:t>
            </w:r>
            <w:r w:rsidRPr="00D12107">
              <w:rPr>
                <w:sz w:val="24"/>
                <w:szCs w:val="24"/>
              </w:rPr>
              <w:t xml:space="preserve">ievietots Ieslodzījuma vietu pārvaldes interneta mājas lapā. </w:t>
            </w:r>
            <w:r w:rsidR="002C5A52" w:rsidRPr="00D12107">
              <w:rPr>
                <w:sz w:val="24"/>
                <w:szCs w:val="24"/>
              </w:rPr>
              <w:t xml:space="preserve">Sabiedrības pārstāvjiem ir iespēja līdzdarboties Ministru kabineta noteikumu projekta izstrādē, sniedzot rakstiski viedokli līdz </w:t>
            </w:r>
            <w:r w:rsidR="002C5A52" w:rsidRPr="00D12107">
              <w:rPr>
                <w:rStyle w:val="Strong"/>
                <w:sz w:val="24"/>
                <w:szCs w:val="24"/>
              </w:rPr>
              <w:t>2015.g</w:t>
            </w:r>
            <w:r w:rsidR="007B401D">
              <w:rPr>
                <w:rStyle w:val="Strong"/>
                <w:sz w:val="24"/>
                <w:szCs w:val="24"/>
              </w:rPr>
              <w:t xml:space="preserve">ada </w:t>
            </w:r>
            <w:r w:rsidR="0052019A">
              <w:rPr>
                <w:rStyle w:val="Strong"/>
                <w:sz w:val="24"/>
                <w:szCs w:val="24"/>
              </w:rPr>
              <w:t>2</w:t>
            </w:r>
            <w:r w:rsidR="00751B76">
              <w:rPr>
                <w:rStyle w:val="Strong"/>
                <w:sz w:val="24"/>
                <w:szCs w:val="24"/>
              </w:rPr>
              <w:t>0</w:t>
            </w:r>
            <w:r w:rsidR="002C5A52" w:rsidRPr="00D12107">
              <w:rPr>
                <w:rStyle w:val="Strong"/>
                <w:sz w:val="24"/>
                <w:szCs w:val="24"/>
              </w:rPr>
              <w:t>.</w:t>
            </w:r>
            <w:r w:rsidR="0052019A">
              <w:rPr>
                <w:rStyle w:val="Strong"/>
                <w:sz w:val="24"/>
                <w:szCs w:val="24"/>
              </w:rPr>
              <w:t>aprīlim</w:t>
            </w:r>
            <w:r w:rsidR="002C5A52" w:rsidRPr="00D12107">
              <w:rPr>
                <w:sz w:val="24"/>
                <w:szCs w:val="24"/>
              </w:rPr>
              <w:t xml:space="preserve"> atbilstoši minēto noteikumu 7.4.</w:t>
            </w:r>
            <w:r w:rsidR="002C5A52" w:rsidRPr="00D12107">
              <w:rPr>
                <w:sz w:val="24"/>
                <w:szCs w:val="24"/>
                <w:vertAlign w:val="superscript"/>
              </w:rPr>
              <w:t>1</w:t>
            </w:r>
            <w:r w:rsidR="002C5A52" w:rsidRPr="00D12107">
              <w:rPr>
                <w:sz w:val="24"/>
                <w:szCs w:val="24"/>
              </w:rPr>
              <w:t xml:space="preserve"> apakšpunktam.</w:t>
            </w:r>
          </w:p>
        </w:tc>
      </w:tr>
      <w:tr w:rsidR="00F5501B" w:rsidTr="000E54EE">
        <w:tc>
          <w:tcPr>
            <w:tcW w:w="675" w:type="dxa"/>
          </w:tcPr>
          <w:p w:rsidR="00F5501B" w:rsidRPr="00D12107" w:rsidRDefault="00B159FE">
            <w:pPr>
              <w:rPr>
                <w:sz w:val="24"/>
                <w:szCs w:val="24"/>
              </w:rPr>
            </w:pPr>
            <w:r w:rsidRPr="00D12107">
              <w:rPr>
                <w:sz w:val="24"/>
                <w:szCs w:val="24"/>
              </w:rPr>
              <w:t xml:space="preserve"> 9.</w:t>
            </w:r>
          </w:p>
          <w:p w:rsidR="00F5501B" w:rsidRPr="00D12107" w:rsidRDefault="00F5501B">
            <w:pPr>
              <w:rPr>
                <w:sz w:val="24"/>
                <w:szCs w:val="24"/>
              </w:rPr>
            </w:pPr>
          </w:p>
          <w:p w:rsidR="00F5501B" w:rsidRPr="00D12107" w:rsidRDefault="00F5501B">
            <w:pPr>
              <w:rPr>
                <w:sz w:val="24"/>
                <w:szCs w:val="24"/>
              </w:rPr>
            </w:pPr>
          </w:p>
        </w:tc>
        <w:tc>
          <w:tcPr>
            <w:tcW w:w="2977" w:type="dxa"/>
          </w:tcPr>
          <w:p w:rsidR="00F5501B" w:rsidRPr="00D12107" w:rsidRDefault="00B159FE">
            <w:pPr>
              <w:rPr>
                <w:sz w:val="24"/>
                <w:szCs w:val="24"/>
              </w:rPr>
            </w:pPr>
            <w:r w:rsidRPr="00D12107">
              <w:rPr>
                <w:sz w:val="24"/>
                <w:szCs w:val="24"/>
              </w:rPr>
              <w:t>Pieteikšanās līdzdalībai</w:t>
            </w:r>
          </w:p>
        </w:tc>
        <w:tc>
          <w:tcPr>
            <w:tcW w:w="5635" w:type="dxa"/>
          </w:tcPr>
          <w:p w:rsidR="002E45A7" w:rsidRPr="00D12107" w:rsidRDefault="00067506" w:rsidP="0052019A">
            <w:pPr>
              <w:rPr>
                <w:sz w:val="24"/>
                <w:szCs w:val="24"/>
              </w:rPr>
            </w:pPr>
            <w:r w:rsidRPr="00D12107">
              <w:rPr>
                <w:sz w:val="24"/>
                <w:szCs w:val="24"/>
              </w:rPr>
              <w:t>Viedokļus par izstrādāto noteikumu projektu lūdzam iesnie</w:t>
            </w:r>
            <w:r w:rsidR="009B23C0">
              <w:rPr>
                <w:sz w:val="24"/>
                <w:szCs w:val="24"/>
              </w:rPr>
              <w:t xml:space="preserve">gt rakstveidā </w:t>
            </w:r>
            <w:r w:rsidRPr="00D12107">
              <w:rPr>
                <w:sz w:val="24"/>
                <w:szCs w:val="24"/>
              </w:rPr>
              <w:t>no noteikumu projekta publicēšanas dienas</w:t>
            </w:r>
            <w:r w:rsidR="009B23C0">
              <w:rPr>
                <w:sz w:val="24"/>
                <w:szCs w:val="24"/>
              </w:rPr>
              <w:t xml:space="preserve"> </w:t>
            </w:r>
            <w:r w:rsidR="007B401D">
              <w:rPr>
                <w:sz w:val="24"/>
                <w:szCs w:val="24"/>
              </w:rPr>
              <w:t xml:space="preserve">līdz 2015.gada </w:t>
            </w:r>
            <w:r w:rsidR="0052019A">
              <w:rPr>
                <w:sz w:val="24"/>
                <w:szCs w:val="24"/>
              </w:rPr>
              <w:t>2</w:t>
            </w:r>
            <w:r w:rsidR="00751B76">
              <w:rPr>
                <w:sz w:val="24"/>
                <w:szCs w:val="24"/>
              </w:rPr>
              <w:t>0</w:t>
            </w:r>
            <w:r w:rsidR="0018285D">
              <w:rPr>
                <w:sz w:val="24"/>
                <w:szCs w:val="24"/>
              </w:rPr>
              <w:t>.</w:t>
            </w:r>
            <w:r w:rsidR="0052019A">
              <w:rPr>
                <w:sz w:val="24"/>
                <w:szCs w:val="24"/>
              </w:rPr>
              <w:t>aprīlim</w:t>
            </w:r>
            <w:r w:rsidR="00831FB5" w:rsidRPr="00D12107">
              <w:rPr>
                <w:sz w:val="24"/>
                <w:szCs w:val="24"/>
              </w:rPr>
              <w:t>, nosū</w:t>
            </w:r>
            <w:r w:rsidR="002C5A52" w:rsidRPr="00D12107">
              <w:rPr>
                <w:sz w:val="24"/>
                <w:szCs w:val="24"/>
              </w:rPr>
              <w:t xml:space="preserve">tot tos uz e-pasta adresi: </w:t>
            </w:r>
            <w:hyperlink r:id="rId8" w:history="1">
              <w:r w:rsidR="00751B76" w:rsidRPr="00751B76">
                <w:rPr>
                  <w:rStyle w:val="Hyperlink"/>
                  <w:sz w:val="24"/>
                  <w:szCs w:val="24"/>
                  <w:u w:val="none"/>
                </w:rPr>
                <w:t>aldis.somka@ievp.gov.lv</w:t>
              </w:r>
            </w:hyperlink>
            <w:r w:rsidR="002C5A52" w:rsidRPr="00751B76">
              <w:rPr>
                <w:sz w:val="24"/>
                <w:szCs w:val="24"/>
              </w:rPr>
              <w:t xml:space="preserve"> </w:t>
            </w:r>
          </w:p>
        </w:tc>
      </w:tr>
      <w:tr w:rsidR="00F5501B" w:rsidTr="000E54EE">
        <w:tc>
          <w:tcPr>
            <w:tcW w:w="675" w:type="dxa"/>
          </w:tcPr>
          <w:p w:rsidR="00F5501B" w:rsidRPr="00D12107" w:rsidRDefault="00B159FE">
            <w:pPr>
              <w:rPr>
                <w:sz w:val="24"/>
                <w:szCs w:val="24"/>
              </w:rPr>
            </w:pPr>
            <w:r w:rsidRPr="00D12107">
              <w:rPr>
                <w:sz w:val="24"/>
                <w:szCs w:val="24"/>
              </w:rPr>
              <w:t xml:space="preserve"> 10.</w:t>
            </w:r>
          </w:p>
        </w:tc>
        <w:tc>
          <w:tcPr>
            <w:tcW w:w="2977" w:type="dxa"/>
          </w:tcPr>
          <w:p w:rsidR="00F5501B" w:rsidRPr="00D12107" w:rsidRDefault="00B159FE">
            <w:pPr>
              <w:rPr>
                <w:sz w:val="24"/>
                <w:szCs w:val="24"/>
              </w:rPr>
            </w:pPr>
            <w:r w:rsidRPr="00D12107">
              <w:rPr>
                <w:sz w:val="24"/>
                <w:szCs w:val="24"/>
              </w:rPr>
              <w:t>Cita informācija</w:t>
            </w:r>
          </w:p>
        </w:tc>
        <w:tc>
          <w:tcPr>
            <w:tcW w:w="5635" w:type="dxa"/>
          </w:tcPr>
          <w:p w:rsidR="00F5501B" w:rsidRPr="00D12107" w:rsidRDefault="00831FB5" w:rsidP="0010471B">
            <w:pPr>
              <w:rPr>
                <w:sz w:val="24"/>
                <w:szCs w:val="24"/>
              </w:rPr>
            </w:pPr>
            <w:r w:rsidRPr="00D12107">
              <w:rPr>
                <w:sz w:val="24"/>
                <w:szCs w:val="24"/>
              </w:rPr>
              <w:t>Nav</w:t>
            </w:r>
          </w:p>
        </w:tc>
      </w:tr>
      <w:tr w:rsidR="00F5501B" w:rsidTr="000E54EE">
        <w:tc>
          <w:tcPr>
            <w:tcW w:w="675" w:type="dxa"/>
          </w:tcPr>
          <w:p w:rsidR="00F5501B" w:rsidRPr="00D12107" w:rsidRDefault="00B159FE">
            <w:pPr>
              <w:rPr>
                <w:sz w:val="24"/>
                <w:szCs w:val="24"/>
              </w:rPr>
            </w:pPr>
            <w:r w:rsidRPr="00D12107">
              <w:rPr>
                <w:sz w:val="24"/>
                <w:szCs w:val="24"/>
              </w:rPr>
              <w:t xml:space="preserve"> 11.</w:t>
            </w:r>
          </w:p>
          <w:p w:rsidR="00F5501B" w:rsidRPr="00D12107" w:rsidRDefault="00F5501B">
            <w:pPr>
              <w:rPr>
                <w:sz w:val="24"/>
                <w:szCs w:val="24"/>
              </w:rPr>
            </w:pPr>
          </w:p>
          <w:p w:rsidR="00F5501B" w:rsidRPr="00D12107" w:rsidRDefault="00F5501B">
            <w:pPr>
              <w:rPr>
                <w:sz w:val="24"/>
                <w:szCs w:val="24"/>
              </w:rPr>
            </w:pPr>
          </w:p>
        </w:tc>
        <w:tc>
          <w:tcPr>
            <w:tcW w:w="2977" w:type="dxa"/>
          </w:tcPr>
          <w:p w:rsidR="00F5501B" w:rsidRPr="00D12107" w:rsidRDefault="00B159FE">
            <w:pPr>
              <w:rPr>
                <w:sz w:val="24"/>
                <w:szCs w:val="24"/>
              </w:rPr>
            </w:pPr>
            <w:r w:rsidRPr="00D12107">
              <w:rPr>
                <w:sz w:val="24"/>
                <w:szCs w:val="24"/>
              </w:rPr>
              <w:t>Atbildīgā amatpersona</w:t>
            </w:r>
          </w:p>
        </w:tc>
        <w:tc>
          <w:tcPr>
            <w:tcW w:w="5635" w:type="dxa"/>
          </w:tcPr>
          <w:p w:rsidR="00FF287B" w:rsidRDefault="00831FB5" w:rsidP="002E45A7">
            <w:pPr>
              <w:rPr>
                <w:sz w:val="24"/>
                <w:szCs w:val="24"/>
              </w:rPr>
            </w:pPr>
            <w:r w:rsidRPr="00D12107">
              <w:rPr>
                <w:sz w:val="24"/>
                <w:szCs w:val="24"/>
              </w:rPr>
              <w:t xml:space="preserve">Ieslodzījuma vietu pārvaldes </w:t>
            </w:r>
            <w:r w:rsidR="009826F2" w:rsidRPr="00D12107">
              <w:rPr>
                <w:sz w:val="24"/>
                <w:szCs w:val="24"/>
              </w:rPr>
              <w:t xml:space="preserve">centrālā aparāta </w:t>
            </w:r>
          </w:p>
          <w:p w:rsidR="00531344" w:rsidRDefault="00751B76" w:rsidP="002E45A7">
            <w:pPr>
              <w:rPr>
                <w:sz w:val="24"/>
                <w:szCs w:val="24"/>
              </w:rPr>
            </w:pPr>
            <w:r>
              <w:rPr>
                <w:sz w:val="24"/>
                <w:szCs w:val="24"/>
              </w:rPr>
              <w:t>Apsardzes daļas priekšnieks</w:t>
            </w:r>
            <w:r w:rsidR="00831FB5" w:rsidRPr="00D12107">
              <w:rPr>
                <w:sz w:val="24"/>
                <w:szCs w:val="24"/>
              </w:rPr>
              <w:t xml:space="preserve"> </w:t>
            </w:r>
          </w:p>
          <w:p w:rsidR="009826F2" w:rsidRPr="00D12107" w:rsidRDefault="00751B76" w:rsidP="002E45A7">
            <w:pPr>
              <w:rPr>
                <w:sz w:val="24"/>
                <w:szCs w:val="24"/>
              </w:rPr>
            </w:pPr>
            <w:r>
              <w:rPr>
                <w:sz w:val="24"/>
                <w:szCs w:val="24"/>
              </w:rPr>
              <w:t>Aldis Šomka</w:t>
            </w:r>
            <w:r w:rsidR="00831FB5" w:rsidRPr="00D12107">
              <w:rPr>
                <w:sz w:val="24"/>
                <w:szCs w:val="24"/>
              </w:rPr>
              <w:t>, tālr.67290</w:t>
            </w:r>
            <w:r>
              <w:rPr>
                <w:sz w:val="24"/>
                <w:szCs w:val="24"/>
              </w:rPr>
              <w:t>206</w:t>
            </w:r>
            <w:r w:rsidR="00831FB5" w:rsidRPr="00D12107">
              <w:rPr>
                <w:sz w:val="24"/>
                <w:szCs w:val="24"/>
              </w:rPr>
              <w:t xml:space="preserve">, </w:t>
            </w:r>
          </w:p>
          <w:p w:rsidR="00831FB5" w:rsidRPr="00D12107" w:rsidRDefault="00831FB5" w:rsidP="002E45A7">
            <w:pPr>
              <w:rPr>
                <w:sz w:val="24"/>
                <w:szCs w:val="24"/>
              </w:rPr>
            </w:pPr>
            <w:r w:rsidRPr="00D12107">
              <w:rPr>
                <w:sz w:val="24"/>
                <w:szCs w:val="24"/>
              </w:rPr>
              <w:t>e-past</w:t>
            </w:r>
            <w:r w:rsidR="009826F2" w:rsidRPr="00D12107">
              <w:rPr>
                <w:sz w:val="24"/>
                <w:szCs w:val="24"/>
              </w:rPr>
              <w:t>a adrese</w:t>
            </w:r>
            <w:r w:rsidRPr="00D12107">
              <w:rPr>
                <w:sz w:val="24"/>
                <w:szCs w:val="24"/>
              </w:rPr>
              <w:t>:</w:t>
            </w:r>
            <w:r w:rsidR="009826F2" w:rsidRPr="00D12107">
              <w:rPr>
                <w:sz w:val="24"/>
                <w:szCs w:val="24"/>
              </w:rPr>
              <w:t xml:space="preserve"> </w:t>
            </w:r>
            <w:hyperlink r:id="rId9" w:history="1">
              <w:r w:rsidR="00751B76" w:rsidRPr="00751B76">
                <w:rPr>
                  <w:rStyle w:val="Hyperlink"/>
                  <w:sz w:val="24"/>
                  <w:szCs w:val="24"/>
                  <w:u w:val="none"/>
                </w:rPr>
                <w:t>aldis.somka@ievp.gov.lv</w:t>
              </w:r>
            </w:hyperlink>
          </w:p>
        </w:tc>
      </w:tr>
    </w:tbl>
    <w:p w:rsidR="00E634C7" w:rsidRDefault="00E634C7"/>
    <w:sectPr w:rsidR="00E634C7" w:rsidSect="00FF1FFD">
      <w:headerReference w:type="default" r:id="rId10"/>
      <w:pgSz w:w="11906" w:h="16838"/>
      <w:pgMar w:top="1134"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13EE" w:rsidRDefault="006B13EE" w:rsidP="00003D81">
      <w:r>
        <w:separator/>
      </w:r>
    </w:p>
  </w:endnote>
  <w:endnote w:type="continuationSeparator" w:id="0">
    <w:p w:rsidR="006B13EE" w:rsidRDefault="006B13EE" w:rsidP="00003D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13EE" w:rsidRDefault="006B13EE" w:rsidP="00003D81">
      <w:r>
        <w:separator/>
      </w:r>
    </w:p>
  </w:footnote>
  <w:footnote w:type="continuationSeparator" w:id="0">
    <w:p w:rsidR="006B13EE" w:rsidRDefault="006B13EE" w:rsidP="00003D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232557"/>
      <w:docPartObj>
        <w:docPartGallery w:val="Page Numbers (Top of Page)"/>
        <w:docPartUnique/>
      </w:docPartObj>
    </w:sdtPr>
    <w:sdtContent>
      <w:p w:rsidR="00003D81" w:rsidRDefault="001E479E">
        <w:pPr>
          <w:pStyle w:val="Header"/>
          <w:jc w:val="center"/>
        </w:pPr>
        <w:fldSimple w:instr=" PAGE   \* MERGEFORMAT ">
          <w:r w:rsidR="0052019A">
            <w:rPr>
              <w:noProof/>
            </w:rPr>
            <w:t>2</w:t>
          </w:r>
        </w:fldSimple>
      </w:p>
    </w:sdtContent>
  </w:sdt>
  <w:p w:rsidR="00003D81" w:rsidRDefault="00003D8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F35432"/>
    <w:multiLevelType w:val="hybridMultilevel"/>
    <w:tmpl w:val="7CDCA750"/>
    <w:lvl w:ilvl="0" w:tplc="0426000F">
      <w:start w:val="1"/>
      <w:numFmt w:val="decimal"/>
      <w:lvlText w:val="%1."/>
      <w:lvlJc w:val="left"/>
      <w:pPr>
        <w:ind w:left="927"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
    <w:nsid w:val="3AA509A2"/>
    <w:multiLevelType w:val="hybridMultilevel"/>
    <w:tmpl w:val="78D28AF2"/>
    <w:lvl w:ilvl="0" w:tplc="0426000F">
      <w:start w:val="1"/>
      <w:numFmt w:val="decimal"/>
      <w:lvlText w:val="%1."/>
      <w:lvlJc w:val="left"/>
      <w:pPr>
        <w:ind w:left="36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416C0039"/>
    <w:multiLevelType w:val="hybridMultilevel"/>
    <w:tmpl w:val="5B9242B8"/>
    <w:lvl w:ilvl="0" w:tplc="0426000F">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
    <w:nsid w:val="76527988"/>
    <w:multiLevelType w:val="hybridMultilevel"/>
    <w:tmpl w:val="3F34FF08"/>
    <w:lvl w:ilvl="0" w:tplc="0426000F">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30"/>
  <w:displayHorizontalDrawingGridEvery w:val="2"/>
  <w:characterSpacingControl w:val="doNotCompress"/>
  <w:footnotePr>
    <w:footnote w:id="-1"/>
    <w:footnote w:id="0"/>
  </w:footnotePr>
  <w:endnotePr>
    <w:endnote w:id="-1"/>
    <w:endnote w:id="0"/>
  </w:endnotePr>
  <w:compat/>
  <w:rsids>
    <w:rsidRoot w:val="00154DED"/>
    <w:rsid w:val="000024E4"/>
    <w:rsid w:val="00003D81"/>
    <w:rsid w:val="00003E3F"/>
    <w:rsid w:val="00021B11"/>
    <w:rsid w:val="000402FC"/>
    <w:rsid w:val="00060BEA"/>
    <w:rsid w:val="00064371"/>
    <w:rsid w:val="00067506"/>
    <w:rsid w:val="00071594"/>
    <w:rsid w:val="00074984"/>
    <w:rsid w:val="000B73C0"/>
    <w:rsid w:val="000C0776"/>
    <w:rsid w:val="000C70A5"/>
    <w:rsid w:val="000D3AC2"/>
    <w:rsid w:val="000D40CC"/>
    <w:rsid w:val="000E54EE"/>
    <w:rsid w:val="000E7B7C"/>
    <w:rsid w:val="000F7242"/>
    <w:rsid w:val="0010471B"/>
    <w:rsid w:val="00113F87"/>
    <w:rsid w:val="00117C4A"/>
    <w:rsid w:val="00132524"/>
    <w:rsid w:val="00143F43"/>
    <w:rsid w:val="00154DED"/>
    <w:rsid w:val="0018285D"/>
    <w:rsid w:val="001C2F9A"/>
    <w:rsid w:val="001E479E"/>
    <w:rsid w:val="0022163B"/>
    <w:rsid w:val="00285815"/>
    <w:rsid w:val="00286C89"/>
    <w:rsid w:val="00287809"/>
    <w:rsid w:val="00294E73"/>
    <w:rsid w:val="002A7AE2"/>
    <w:rsid w:val="002C2CE7"/>
    <w:rsid w:val="002C558E"/>
    <w:rsid w:val="002C5A52"/>
    <w:rsid w:val="002D0278"/>
    <w:rsid w:val="002E45A7"/>
    <w:rsid w:val="002F3F57"/>
    <w:rsid w:val="002F40D8"/>
    <w:rsid w:val="00315A27"/>
    <w:rsid w:val="00321C17"/>
    <w:rsid w:val="003400D1"/>
    <w:rsid w:val="00341022"/>
    <w:rsid w:val="003708FF"/>
    <w:rsid w:val="00371592"/>
    <w:rsid w:val="003B3834"/>
    <w:rsid w:val="003C718A"/>
    <w:rsid w:val="003D67F1"/>
    <w:rsid w:val="003E6FAD"/>
    <w:rsid w:val="003F3129"/>
    <w:rsid w:val="003F67B6"/>
    <w:rsid w:val="0044102D"/>
    <w:rsid w:val="00445459"/>
    <w:rsid w:val="00466D6E"/>
    <w:rsid w:val="0047071A"/>
    <w:rsid w:val="004901A5"/>
    <w:rsid w:val="00495E14"/>
    <w:rsid w:val="004A31F1"/>
    <w:rsid w:val="004B369C"/>
    <w:rsid w:val="004C4CA1"/>
    <w:rsid w:val="004D35BA"/>
    <w:rsid w:val="004E380A"/>
    <w:rsid w:val="0052019A"/>
    <w:rsid w:val="005301C4"/>
    <w:rsid w:val="00531344"/>
    <w:rsid w:val="005429AA"/>
    <w:rsid w:val="00587F0E"/>
    <w:rsid w:val="005B26AF"/>
    <w:rsid w:val="006028FB"/>
    <w:rsid w:val="00603628"/>
    <w:rsid w:val="00657786"/>
    <w:rsid w:val="00675CEF"/>
    <w:rsid w:val="006A31A9"/>
    <w:rsid w:val="006B13EE"/>
    <w:rsid w:val="006D13AA"/>
    <w:rsid w:val="006F3EEE"/>
    <w:rsid w:val="006F7454"/>
    <w:rsid w:val="007320B0"/>
    <w:rsid w:val="0074321A"/>
    <w:rsid w:val="00743620"/>
    <w:rsid w:val="007447D8"/>
    <w:rsid w:val="00750FDF"/>
    <w:rsid w:val="00751A13"/>
    <w:rsid w:val="00751B76"/>
    <w:rsid w:val="00786069"/>
    <w:rsid w:val="007A17FA"/>
    <w:rsid w:val="007B1FF8"/>
    <w:rsid w:val="007B401D"/>
    <w:rsid w:val="007F56F1"/>
    <w:rsid w:val="00831FB5"/>
    <w:rsid w:val="00840C72"/>
    <w:rsid w:val="008438A6"/>
    <w:rsid w:val="00856ADE"/>
    <w:rsid w:val="00861ABC"/>
    <w:rsid w:val="008901F3"/>
    <w:rsid w:val="008A2518"/>
    <w:rsid w:val="008C06E0"/>
    <w:rsid w:val="008C1D5B"/>
    <w:rsid w:val="008D41F0"/>
    <w:rsid w:val="008D7FEC"/>
    <w:rsid w:val="008E0782"/>
    <w:rsid w:val="008F5CAE"/>
    <w:rsid w:val="00901FB0"/>
    <w:rsid w:val="009216CD"/>
    <w:rsid w:val="009248F8"/>
    <w:rsid w:val="00930865"/>
    <w:rsid w:val="0096051D"/>
    <w:rsid w:val="009608BB"/>
    <w:rsid w:val="009818DB"/>
    <w:rsid w:val="009826F2"/>
    <w:rsid w:val="00984671"/>
    <w:rsid w:val="00986EC5"/>
    <w:rsid w:val="00987D50"/>
    <w:rsid w:val="009A3C1D"/>
    <w:rsid w:val="009B23C0"/>
    <w:rsid w:val="009B4D5D"/>
    <w:rsid w:val="009B4FFA"/>
    <w:rsid w:val="009B5618"/>
    <w:rsid w:val="009D198E"/>
    <w:rsid w:val="009D6594"/>
    <w:rsid w:val="009E389C"/>
    <w:rsid w:val="009E6E69"/>
    <w:rsid w:val="009F6FCC"/>
    <w:rsid w:val="00A1686B"/>
    <w:rsid w:val="00A21840"/>
    <w:rsid w:val="00A2785D"/>
    <w:rsid w:val="00A513E2"/>
    <w:rsid w:val="00AC6E67"/>
    <w:rsid w:val="00AD428A"/>
    <w:rsid w:val="00AE6787"/>
    <w:rsid w:val="00AF207F"/>
    <w:rsid w:val="00B159FE"/>
    <w:rsid w:val="00B4029E"/>
    <w:rsid w:val="00B45326"/>
    <w:rsid w:val="00B92146"/>
    <w:rsid w:val="00BA28DE"/>
    <w:rsid w:val="00BC70B6"/>
    <w:rsid w:val="00BD4DE8"/>
    <w:rsid w:val="00C218FC"/>
    <w:rsid w:val="00C51DA9"/>
    <w:rsid w:val="00C551D3"/>
    <w:rsid w:val="00C6491E"/>
    <w:rsid w:val="00C70049"/>
    <w:rsid w:val="00CA7A35"/>
    <w:rsid w:val="00CC0A21"/>
    <w:rsid w:val="00CD2C01"/>
    <w:rsid w:val="00D12107"/>
    <w:rsid w:val="00D37482"/>
    <w:rsid w:val="00D65BC3"/>
    <w:rsid w:val="00D842E7"/>
    <w:rsid w:val="00D9593F"/>
    <w:rsid w:val="00DD5762"/>
    <w:rsid w:val="00E02294"/>
    <w:rsid w:val="00E11E5F"/>
    <w:rsid w:val="00E30E4A"/>
    <w:rsid w:val="00E634C7"/>
    <w:rsid w:val="00E65B1A"/>
    <w:rsid w:val="00E72604"/>
    <w:rsid w:val="00E73BB0"/>
    <w:rsid w:val="00E757A0"/>
    <w:rsid w:val="00E75A8E"/>
    <w:rsid w:val="00E83A0C"/>
    <w:rsid w:val="00E8685D"/>
    <w:rsid w:val="00ED653F"/>
    <w:rsid w:val="00EE2D9E"/>
    <w:rsid w:val="00EF21A2"/>
    <w:rsid w:val="00F019AD"/>
    <w:rsid w:val="00F131CD"/>
    <w:rsid w:val="00F132BA"/>
    <w:rsid w:val="00F4154B"/>
    <w:rsid w:val="00F5501B"/>
    <w:rsid w:val="00F60F4B"/>
    <w:rsid w:val="00F647AF"/>
    <w:rsid w:val="00F77925"/>
    <w:rsid w:val="00FB0B28"/>
    <w:rsid w:val="00FE4638"/>
    <w:rsid w:val="00FF1FFD"/>
    <w:rsid w:val="00FF287B"/>
    <w:rsid w:val="00FF35E8"/>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DED"/>
    <w:pPr>
      <w:ind w:firstLine="0"/>
      <w:jc w:val="left"/>
    </w:pPr>
    <w:rPr>
      <w:rFonts w:ascii="Times New Roman" w:eastAsia="Times New Roman" w:hAnsi="Times New Roman" w:cs="Times New Roman"/>
      <w:sz w:val="26"/>
      <w:szCs w:val="20"/>
    </w:rPr>
  </w:style>
  <w:style w:type="paragraph" w:styleId="Heading6">
    <w:name w:val="heading 6"/>
    <w:basedOn w:val="Normal"/>
    <w:next w:val="Normal"/>
    <w:link w:val="Heading6Char"/>
    <w:qFormat/>
    <w:rsid w:val="00154DED"/>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154DED"/>
    <w:rPr>
      <w:rFonts w:ascii="Times New Roman" w:eastAsia="Times New Roman" w:hAnsi="Times New Roman" w:cs="Times New Roman"/>
      <w:b/>
      <w:bCs/>
    </w:rPr>
  </w:style>
  <w:style w:type="character" w:styleId="Hyperlink">
    <w:name w:val="Hyperlink"/>
    <w:basedOn w:val="DefaultParagraphFont"/>
    <w:rsid w:val="00154DED"/>
    <w:rPr>
      <w:color w:val="0000FF"/>
      <w:u w:val="single"/>
    </w:rPr>
  </w:style>
  <w:style w:type="paragraph" w:styleId="BalloonText">
    <w:name w:val="Balloon Text"/>
    <w:basedOn w:val="Normal"/>
    <w:link w:val="BalloonTextChar"/>
    <w:uiPriority w:val="99"/>
    <w:semiHidden/>
    <w:unhideWhenUsed/>
    <w:rsid w:val="00154DED"/>
    <w:rPr>
      <w:rFonts w:ascii="Tahoma" w:hAnsi="Tahoma" w:cs="Tahoma"/>
      <w:sz w:val="16"/>
      <w:szCs w:val="16"/>
    </w:rPr>
  </w:style>
  <w:style w:type="character" w:customStyle="1" w:styleId="BalloonTextChar">
    <w:name w:val="Balloon Text Char"/>
    <w:basedOn w:val="DefaultParagraphFont"/>
    <w:link w:val="BalloonText"/>
    <w:uiPriority w:val="99"/>
    <w:semiHidden/>
    <w:rsid w:val="00154DED"/>
    <w:rPr>
      <w:rFonts w:ascii="Tahoma" w:eastAsia="Times New Roman" w:hAnsi="Tahoma" w:cs="Tahoma"/>
      <w:sz w:val="16"/>
      <w:szCs w:val="16"/>
    </w:rPr>
  </w:style>
  <w:style w:type="paragraph" w:styleId="DocumentMap">
    <w:name w:val="Document Map"/>
    <w:basedOn w:val="Normal"/>
    <w:link w:val="DocumentMapChar"/>
    <w:uiPriority w:val="99"/>
    <w:semiHidden/>
    <w:unhideWhenUsed/>
    <w:rsid w:val="00154DED"/>
    <w:rPr>
      <w:rFonts w:ascii="Tahoma" w:hAnsi="Tahoma" w:cs="Tahoma"/>
      <w:sz w:val="16"/>
      <w:szCs w:val="16"/>
    </w:rPr>
  </w:style>
  <w:style w:type="character" w:customStyle="1" w:styleId="DocumentMapChar">
    <w:name w:val="Document Map Char"/>
    <w:basedOn w:val="DefaultParagraphFont"/>
    <w:link w:val="DocumentMap"/>
    <w:uiPriority w:val="99"/>
    <w:semiHidden/>
    <w:rsid w:val="00154DED"/>
    <w:rPr>
      <w:rFonts w:ascii="Tahoma" w:eastAsia="Times New Roman" w:hAnsi="Tahoma" w:cs="Tahoma"/>
      <w:sz w:val="16"/>
      <w:szCs w:val="16"/>
    </w:rPr>
  </w:style>
  <w:style w:type="paragraph" w:styleId="Header">
    <w:name w:val="header"/>
    <w:basedOn w:val="Normal"/>
    <w:link w:val="HeaderChar"/>
    <w:rsid w:val="005429AA"/>
    <w:pPr>
      <w:tabs>
        <w:tab w:val="center" w:pos="4320"/>
        <w:tab w:val="right" w:pos="8640"/>
      </w:tabs>
    </w:pPr>
    <w:rPr>
      <w:lang w:eastAsia="lv-LV"/>
    </w:rPr>
  </w:style>
  <w:style w:type="character" w:customStyle="1" w:styleId="HeaderChar">
    <w:name w:val="Header Char"/>
    <w:basedOn w:val="DefaultParagraphFont"/>
    <w:link w:val="Header"/>
    <w:rsid w:val="005429AA"/>
    <w:rPr>
      <w:rFonts w:ascii="Times New Roman" w:eastAsia="Times New Roman" w:hAnsi="Times New Roman" w:cs="Times New Roman"/>
      <w:sz w:val="26"/>
      <w:szCs w:val="20"/>
      <w:lang w:eastAsia="lv-LV"/>
    </w:rPr>
  </w:style>
  <w:style w:type="paragraph" w:styleId="Footer">
    <w:name w:val="footer"/>
    <w:basedOn w:val="Normal"/>
    <w:link w:val="FooterChar"/>
    <w:uiPriority w:val="99"/>
    <w:semiHidden/>
    <w:unhideWhenUsed/>
    <w:rsid w:val="00003D81"/>
    <w:pPr>
      <w:tabs>
        <w:tab w:val="center" w:pos="4153"/>
        <w:tab w:val="right" w:pos="8306"/>
      </w:tabs>
    </w:pPr>
  </w:style>
  <w:style w:type="character" w:customStyle="1" w:styleId="FooterChar">
    <w:name w:val="Footer Char"/>
    <w:basedOn w:val="DefaultParagraphFont"/>
    <w:link w:val="Footer"/>
    <w:uiPriority w:val="99"/>
    <w:semiHidden/>
    <w:rsid w:val="00003D81"/>
    <w:rPr>
      <w:rFonts w:ascii="Times New Roman" w:eastAsia="Times New Roman" w:hAnsi="Times New Roman" w:cs="Times New Roman"/>
      <w:sz w:val="26"/>
      <w:szCs w:val="20"/>
    </w:rPr>
  </w:style>
  <w:style w:type="table" w:styleId="TableGrid">
    <w:name w:val="Table Grid"/>
    <w:basedOn w:val="TableNormal"/>
    <w:uiPriority w:val="59"/>
    <w:rsid w:val="00F550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72604"/>
    <w:pPr>
      <w:spacing w:before="100" w:beforeAutospacing="1" w:after="100" w:afterAutospacing="1"/>
    </w:pPr>
    <w:rPr>
      <w:sz w:val="24"/>
      <w:szCs w:val="24"/>
      <w:lang w:eastAsia="lv-LV"/>
    </w:rPr>
  </w:style>
  <w:style w:type="character" w:styleId="Strong">
    <w:name w:val="Strong"/>
    <w:basedOn w:val="DefaultParagraphFont"/>
    <w:uiPriority w:val="22"/>
    <w:qFormat/>
    <w:rsid w:val="002C5A52"/>
    <w:rPr>
      <w:b/>
      <w:bCs/>
    </w:rPr>
  </w:style>
  <w:style w:type="paragraph" w:customStyle="1" w:styleId="naisf">
    <w:name w:val="naisf"/>
    <w:basedOn w:val="Normal"/>
    <w:uiPriority w:val="99"/>
    <w:rsid w:val="00071594"/>
    <w:pPr>
      <w:spacing w:before="75" w:after="75"/>
      <w:ind w:firstLine="375"/>
      <w:jc w:val="both"/>
    </w:pPr>
    <w:rPr>
      <w:rFonts w:eastAsia="SimSun"/>
      <w:sz w:val="24"/>
      <w:szCs w:val="24"/>
      <w:lang w:eastAsia="lv-LV"/>
    </w:rPr>
  </w:style>
  <w:style w:type="paragraph" w:styleId="ListParagraph">
    <w:name w:val="List Paragraph"/>
    <w:basedOn w:val="Normal"/>
    <w:uiPriority w:val="34"/>
    <w:qFormat/>
    <w:rsid w:val="00751B76"/>
    <w:pPr>
      <w:ind w:left="720"/>
    </w:pPr>
    <w:rPr>
      <w:rFonts w:ascii="Calibri" w:eastAsiaTheme="minorHAnsi" w:hAnsi="Calibri"/>
      <w:sz w:val="22"/>
      <w:szCs w:val="22"/>
      <w:lang w:eastAsia="lv-LV"/>
    </w:rPr>
  </w:style>
  <w:style w:type="paragraph" w:customStyle="1" w:styleId="naiskr">
    <w:name w:val="naiskr"/>
    <w:basedOn w:val="Normal"/>
    <w:rsid w:val="004A31F1"/>
    <w:pPr>
      <w:spacing w:before="75" w:after="75"/>
    </w:pPr>
    <w:rPr>
      <w:sz w:val="24"/>
      <w:szCs w:val="24"/>
      <w:lang w:eastAsia="lv-LV"/>
    </w:rPr>
  </w:style>
</w:styles>
</file>

<file path=word/webSettings.xml><?xml version="1.0" encoding="utf-8"?>
<w:webSettings xmlns:r="http://schemas.openxmlformats.org/officeDocument/2006/relationships" xmlns:w="http://schemas.openxmlformats.org/wordprocessingml/2006/main">
  <w:divs>
    <w:div w:id="374814283">
      <w:bodyDiv w:val="1"/>
      <w:marLeft w:val="0"/>
      <w:marRight w:val="0"/>
      <w:marTop w:val="0"/>
      <w:marBottom w:val="0"/>
      <w:divBdr>
        <w:top w:val="none" w:sz="0" w:space="0" w:color="auto"/>
        <w:left w:val="none" w:sz="0" w:space="0" w:color="auto"/>
        <w:bottom w:val="none" w:sz="0" w:space="0" w:color="auto"/>
        <w:right w:val="none" w:sz="0" w:space="0" w:color="auto"/>
      </w:divBdr>
    </w:div>
    <w:div w:id="1284455750">
      <w:bodyDiv w:val="1"/>
      <w:marLeft w:val="0"/>
      <w:marRight w:val="0"/>
      <w:marTop w:val="0"/>
      <w:marBottom w:val="0"/>
      <w:divBdr>
        <w:top w:val="none" w:sz="0" w:space="0" w:color="auto"/>
        <w:left w:val="none" w:sz="0" w:space="0" w:color="auto"/>
        <w:bottom w:val="none" w:sz="0" w:space="0" w:color="auto"/>
        <w:right w:val="none" w:sz="0" w:space="0" w:color="auto"/>
      </w:divBdr>
    </w:div>
    <w:div w:id="158749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dis.somka@ievp.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ldis.somka@ievp.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020E2B-FCE5-4236-9DA7-47C84774F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2870</Words>
  <Characters>1637</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vineta.konstanta</dc:creator>
  <cp:lastModifiedBy>aldis.somka</cp:lastModifiedBy>
  <cp:revision>19</cp:revision>
  <cp:lastPrinted>2015-01-15T09:46:00Z</cp:lastPrinted>
  <dcterms:created xsi:type="dcterms:W3CDTF">2015-04-02T08:10:00Z</dcterms:created>
  <dcterms:modified xsi:type="dcterms:W3CDTF">2015-04-02T08:33:00Z</dcterms:modified>
</cp:coreProperties>
</file>