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A9BE7" w14:textId="77777777" w:rsidR="00B76B04" w:rsidRPr="00647904" w:rsidRDefault="00B76B04" w:rsidP="00B76B04">
      <w:pPr>
        <w:spacing w:after="0" w:line="240" w:lineRule="auto"/>
        <w:jc w:val="center"/>
        <w:rPr>
          <w:rFonts w:ascii="Times New Roman" w:hAnsi="Times New Roman"/>
          <w:b/>
          <w:color w:val="000000"/>
          <w:sz w:val="24"/>
          <w:szCs w:val="24"/>
        </w:rPr>
      </w:pPr>
      <w:r w:rsidRPr="00647904">
        <w:rPr>
          <w:rFonts w:ascii="Times New Roman" w:hAnsi="Times New Roman"/>
          <w:b/>
          <w:color w:val="000000"/>
          <w:sz w:val="24"/>
          <w:szCs w:val="24"/>
        </w:rPr>
        <w:t>Likumprojekta</w:t>
      </w:r>
      <w:r w:rsidR="0070445E" w:rsidRPr="00647904">
        <w:rPr>
          <w:rFonts w:ascii="Times New Roman" w:hAnsi="Times New Roman"/>
          <w:b/>
          <w:color w:val="000000"/>
          <w:sz w:val="24"/>
          <w:szCs w:val="24"/>
        </w:rPr>
        <w:t xml:space="preserve"> </w:t>
      </w:r>
      <w:r w:rsidRPr="00647904">
        <w:rPr>
          <w:rFonts w:ascii="Times New Roman" w:hAnsi="Times New Roman"/>
          <w:b/>
          <w:color w:val="000000"/>
          <w:sz w:val="24"/>
          <w:szCs w:val="24"/>
        </w:rPr>
        <w:t xml:space="preserve">„Grozījumi </w:t>
      </w:r>
      <w:r w:rsidR="00BE79A0">
        <w:rPr>
          <w:rFonts w:ascii="Times New Roman" w:hAnsi="Times New Roman"/>
          <w:b/>
          <w:color w:val="000000"/>
          <w:sz w:val="24"/>
          <w:szCs w:val="24"/>
        </w:rPr>
        <w:t>Kriminālprocesa</w:t>
      </w:r>
      <w:r w:rsidR="002F3678" w:rsidRPr="00647904">
        <w:rPr>
          <w:rFonts w:ascii="Times New Roman" w:hAnsi="Times New Roman"/>
          <w:b/>
          <w:color w:val="000000"/>
          <w:sz w:val="24"/>
          <w:szCs w:val="24"/>
        </w:rPr>
        <w:t xml:space="preserve"> likumā</w:t>
      </w:r>
      <w:r w:rsidRPr="00647904">
        <w:rPr>
          <w:rFonts w:ascii="Times New Roman" w:hAnsi="Times New Roman"/>
          <w:b/>
          <w:color w:val="000000"/>
          <w:sz w:val="24"/>
          <w:szCs w:val="24"/>
        </w:rPr>
        <w:t>”</w:t>
      </w:r>
    </w:p>
    <w:p w14:paraId="696BDE0F" w14:textId="77777777" w:rsidR="005703E1" w:rsidRPr="00647904" w:rsidRDefault="00B76B04" w:rsidP="009E73B9">
      <w:pPr>
        <w:spacing w:after="0" w:line="240" w:lineRule="auto"/>
        <w:jc w:val="center"/>
        <w:rPr>
          <w:rFonts w:ascii="Times New Roman" w:hAnsi="Times New Roman"/>
          <w:b/>
          <w:color w:val="000000"/>
          <w:sz w:val="24"/>
          <w:szCs w:val="24"/>
        </w:rPr>
      </w:pPr>
      <w:r w:rsidRPr="00647904">
        <w:rPr>
          <w:rFonts w:ascii="Times New Roman" w:hAnsi="Times New Roman"/>
          <w:b/>
          <w:color w:val="000000"/>
          <w:sz w:val="24"/>
          <w:szCs w:val="24"/>
        </w:rPr>
        <w:t>sākotnējās ietekmes n</w:t>
      </w:r>
      <w:r w:rsidR="009E73B9" w:rsidRPr="00647904">
        <w:rPr>
          <w:rFonts w:ascii="Times New Roman" w:hAnsi="Times New Roman"/>
          <w:b/>
          <w:color w:val="000000"/>
          <w:sz w:val="24"/>
          <w:szCs w:val="24"/>
        </w:rPr>
        <w:t>ovērtējuma ziņojums (anotācija)</w:t>
      </w:r>
    </w:p>
    <w:p w14:paraId="6A32C9ED" w14:textId="77777777" w:rsidR="009E73B9" w:rsidRPr="00647904" w:rsidRDefault="009E73B9" w:rsidP="009E73B9">
      <w:pPr>
        <w:spacing w:after="0" w:line="240" w:lineRule="auto"/>
        <w:jc w:val="center"/>
        <w:rPr>
          <w:rFonts w:ascii="Times New Roman" w:hAnsi="Times New Roman"/>
          <w:b/>
          <w:color w:val="000000"/>
          <w:sz w:val="24"/>
          <w:szCs w:val="24"/>
        </w:rPr>
      </w:pPr>
    </w:p>
    <w:p w14:paraId="39797931" w14:textId="77777777" w:rsidR="00DE00FD" w:rsidRPr="00647904" w:rsidRDefault="00DE00FD" w:rsidP="009E73B9">
      <w:pPr>
        <w:spacing w:after="0" w:line="240" w:lineRule="auto"/>
        <w:jc w:val="center"/>
        <w:rPr>
          <w:rFonts w:ascii="Times New Roman" w:hAnsi="Times New Roman"/>
          <w:b/>
          <w:color w:val="000000"/>
          <w:sz w:val="24"/>
          <w:szCs w:val="24"/>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957"/>
      </w:tblGrid>
      <w:tr w:rsidR="008752D4" w:rsidRPr="00647904" w14:paraId="04EF44D8" w14:textId="77777777" w:rsidTr="002601DD">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042B1C74" w14:textId="77777777" w:rsidR="008752D4" w:rsidRPr="00647904"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647904">
              <w:rPr>
                <w:rFonts w:ascii="Times New Roman" w:eastAsia="Times New Roman" w:hAnsi="Times New Roman"/>
                <w:b/>
                <w:bCs/>
                <w:color w:val="000000"/>
                <w:sz w:val="24"/>
                <w:szCs w:val="24"/>
                <w:lang w:eastAsia="lv-LV"/>
              </w:rPr>
              <w:t>I. Tiesību akta projekta izstrādes nepieciešamība</w:t>
            </w:r>
          </w:p>
        </w:tc>
      </w:tr>
      <w:tr w:rsidR="008752D4" w:rsidRPr="007C2D5F" w14:paraId="38131751" w14:textId="77777777" w:rsidTr="002601DD">
        <w:trPr>
          <w:trHeight w:val="74"/>
        </w:trPr>
        <w:tc>
          <w:tcPr>
            <w:tcW w:w="247" w:type="pct"/>
            <w:tcBorders>
              <w:top w:val="outset" w:sz="6" w:space="0" w:color="414142"/>
              <w:left w:val="outset" w:sz="6" w:space="0" w:color="414142"/>
              <w:bottom w:val="outset" w:sz="6" w:space="0" w:color="414142"/>
              <w:right w:val="outset" w:sz="6" w:space="0" w:color="414142"/>
            </w:tcBorders>
          </w:tcPr>
          <w:p w14:paraId="6A30B682"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1.</w:t>
            </w:r>
          </w:p>
        </w:tc>
        <w:tc>
          <w:tcPr>
            <w:tcW w:w="1531" w:type="pct"/>
            <w:tcBorders>
              <w:top w:val="outset" w:sz="6" w:space="0" w:color="414142"/>
              <w:left w:val="outset" w:sz="6" w:space="0" w:color="414142"/>
              <w:bottom w:val="outset" w:sz="6" w:space="0" w:color="414142"/>
              <w:right w:val="outset" w:sz="6" w:space="0" w:color="414142"/>
            </w:tcBorders>
          </w:tcPr>
          <w:p w14:paraId="69D6813A"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Pamatojums</w:t>
            </w:r>
          </w:p>
        </w:tc>
        <w:tc>
          <w:tcPr>
            <w:tcW w:w="3222" w:type="pct"/>
            <w:tcBorders>
              <w:top w:val="outset" w:sz="6" w:space="0" w:color="414142"/>
              <w:left w:val="outset" w:sz="6" w:space="0" w:color="414142"/>
              <w:bottom w:val="outset" w:sz="6" w:space="0" w:color="414142"/>
              <w:right w:val="outset" w:sz="6" w:space="0" w:color="414142"/>
            </w:tcBorders>
          </w:tcPr>
          <w:p w14:paraId="65286C67" w14:textId="77777777" w:rsidR="008752D4" w:rsidRPr="007C2D5F" w:rsidRDefault="008B66F9" w:rsidP="00F63FA1">
            <w:pPr>
              <w:spacing w:after="0" w:line="240" w:lineRule="auto"/>
              <w:ind w:firstLine="682"/>
              <w:jc w:val="both"/>
              <w:rPr>
                <w:rFonts w:ascii="Times New Roman" w:hAnsi="Times New Roman"/>
                <w:bCs/>
                <w:color w:val="000000"/>
                <w:sz w:val="24"/>
                <w:szCs w:val="24"/>
              </w:rPr>
            </w:pPr>
            <w:r w:rsidRPr="007C2D5F">
              <w:rPr>
                <w:rFonts w:ascii="Times New Roman" w:hAnsi="Times New Roman"/>
                <w:bCs/>
                <w:color w:val="000000"/>
                <w:sz w:val="24"/>
                <w:szCs w:val="24"/>
              </w:rPr>
              <w:t>Tieslietu ministrijas iniciatīva.</w:t>
            </w:r>
          </w:p>
          <w:p w14:paraId="5AD39F8E" w14:textId="77777777" w:rsidR="00A357C8" w:rsidRPr="007C2D5F" w:rsidRDefault="00A357C8" w:rsidP="00A357C8">
            <w:pPr>
              <w:spacing w:after="0" w:line="240" w:lineRule="auto"/>
              <w:ind w:firstLine="682"/>
              <w:jc w:val="both"/>
              <w:rPr>
                <w:rFonts w:ascii="Times New Roman" w:hAnsi="Times New Roman"/>
                <w:bCs/>
                <w:color w:val="000000"/>
                <w:sz w:val="24"/>
                <w:szCs w:val="24"/>
              </w:rPr>
            </w:pPr>
            <w:r w:rsidRPr="007C2D5F">
              <w:rPr>
                <w:rFonts w:ascii="Times New Roman" w:hAnsi="Times New Roman"/>
                <w:bCs/>
                <w:color w:val="000000"/>
                <w:sz w:val="24"/>
                <w:szCs w:val="24"/>
              </w:rPr>
              <w:t>Ministru prezidenta 2012. gada 21. decembra rezolūcija Nr. 90/SAN-2313 (Valsts kancelejas uzdevums Nr. 2012-UZD-4409), kas paredz sagatavot un noteiktā kārtībā iesniegt Ministru kabinetā attiecīgus grozījumus procesuālajos normatīvajos aktos, lai sekmētu plašākas elektroniskās aprites iespējas.</w:t>
            </w:r>
          </w:p>
          <w:p w14:paraId="039CF942" w14:textId="77777777" w:rsidR="00A357C8" w:rsidRPr="007C2D5F" w:rsidRDefault="00A357C8" w:rsidP="00A357C8">
            <w:pPr>
              <w:spacing w:after="0" w:line="240" w:lineRule="auto"/>
              <w:ind w:firstLine="682"/>
              <w:jc w:val="both"/>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Ministru kabineta 2016. gada 31. maija sēdes protokollēmuma Nr. 26 39.§</w:t>
            </w:r>
            <w:r w:rsidRPr="007C2D5F">
              <w:rPr>
                <w:rFonts w:ascii="Tahoma" w:hAnsi="Tahoma" w:cs="Tahoma"/>
                <w:color w:val="2A2A2A"/>
                <w:sz w:val="24"/>
                <w:szCs w:val="24"/>
              </w:rPr>
              <w:t xml:space="preserve"> </w:t>
            </w:r>
            <w:r w:rsidRPr="007C2D5F">
              <w:rPr>
                <w:rFonts w:ascii="Times New Roman" w:eastAsia="Times New Roman" w:hAnsi="Times New Roman"/>
                <w:color w:val="000000"/>
                <w:sz w:val="24"/>
                <w:szCs w:val="24"/>
                <w:lang w:eastAsia="lv-LV"/>
              </w:rPr>
              <w:t>6.17. punkts, kas uzdod Tieslietu ministrijai izvērtēt procesuālajos likumos paredzēto dokumentu piegādāšanas un izsniegšanas kārtību ar mērķi to vienkāršot un samazināt saziņas ar procesa dalībniekiem nodrošināšanai nepieciešamos resursus, un atbilstoši vidēja termiņa budžeta ietvara likuma projekta un gadskārtējā valsts budžeta likuma projekta izstrādes un iesniegšanas grafikam iesniegt izskatīšanai Ministru kabinetā priekšlikumus par veicamajiem pasākumiem šo risinājumu ieviešanai. Šajā apakšpunktā noteiktā uzdevuma izpildei nepieciešamos likumprojektus iekļaut valsts budžeta 2017.gada likumprojektu paketē.</w:t>
            </w:r>
          </w:p>
        </w:tc>
      </w:tr>
      <w:tr w:rsidR="00420852" w:rsidRPr="007C2D5F" w14:paraId="19139B6F" w14:textId="77777777" w:rsidTr="002601DD">
        <w:trPr>
          <w:trHeight w:val="465"/>
        </w:trPr>
        <w:tc>
          <w:tcPr>
            <w:tcW w:w="247" w:type="pct"/>
            <w:tcBorders>
              <w:top w:val="outset" w:sz="6" w:space="0" w:color="414142"/>
              <w:left w:val="outset" w:sz="6" w:space="0" w:color="414142"/>
              <w:bottom w:val="outset" w:sz="6" w:space="0" w:color="414142"/>
              <w:right w:val="outset" w:sz="6" w:space="0" w:color="414142"/>
            </w:tcBorders>
          </w:tcPr>
          <w:p w14:paraId="4F725D0F"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2.</w:t>
            </w:r>
          </w:p>
        </w:tc>
        <w:tc>
          <w:tcPr>
            <w:tcW w:w="1531" w:type="pct"/>
            <w:tcBorders>
              <w:top w:val="outset" w:sz="6" w:space="0" w:color="414142"/>
              <w:left w:val="outset" w:sz="6" w:space="0" w:color="414142"/>
              <w:bottom w:val="outset" w:sz="6" w:space="0" w:color="414142"/>
              <w:right w:val="outset" w:sz="6" w:space="0" w:color="414142"/>
            </w:tcBorders>
          </w:tcPr>
          <w:p w14:paraId="7168F218"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Pašreizējā situācija un problēmas, kuru risināšanai tiesību akta projekts izstrādāts, tiesiskā regulējuma mērķis un būtība</w:t>
            </w:r>
          </w:p>
        </w:tc>
        <w:tc>
          <w:tcPr>
            <w:tcW w:w="3222" w:type="pct"/>
            <w:tcBorders>
              <w:top w:val="outset" w:sz="6" w:space="0" w:color="414142"/>
              <w:left w:val="outset" w:sz="6" w:space="0" w:color="414142"/>
              <w:bottom w:val="outset" w:sz="6" w:space="0" w:color="414142"/>
              <w:right w:val="outset" w:sz="6" w:space="0" w:color="414142"/>
            </w:tcBorders>
          </w:tcPr>
          <w:p w14:paraId="621C8744" w14:textId="77777777" w:rsidR="003A1148" w:rsidRPr="007C2D5F" w:rsidRDefault="000D7617" w:rsidP="003A1148">
            <w:pPr>
              <w:spacing w:after="0" w:line="240" w:lineRule="auto"/>
              <w:ind w:firstLine="680"/>
              <w:jc w:val="both"/>
              <w:rPr>
                <w:rFonts w:ascii="Times New Roman" w:hAnsi="Times New Roman"/>
                <w:sz w:val="24"/>
                <w:szCs w:val="24"/>
              </w:rPr>
            </w:pPr>
            <w:r w:rsidRPr="007C2D5F">
              <w:rPr>
                <w:rFonts w:ascii="Times New Roman" w:eastAsia="Times New Roman" w:hAnsi="Times New Roman"/>
                <w:color w:val="000000"/>
                <w:sz w:val="24"/>
                <w:szCs w:val="24"/>
                <w:lang w:eastAsia="lv-LV"/>
              </w:rPr>
              <w:t xml:space="preserve">Valsts un pašvaldību institūciju amatpersonu un darbinieku atlīdzības likuma </w:t>
            </w:r>
            <w:r w:rsidR="003A1148" w:rsidRPr="007C2D5F">
              <w:rPr>
                <w:rFonts w:ascii="Times New Roman" w:hAnsi="Times New Roman"/>
                <w:bCs/>
                <w:sz w:val="24"/>
                <w:szCs w:val="24"/>
              </w:rPr>
              <w:t>7.</w:t>
            </w:r>
            <w:r w:rsidR="003A1148" w:rsidRPr="007C2D5F">
              <w:rPr>
                <w:rFonts w:ascii="Times New Roman" w:hAnsi="Times New Roman"/>
                <w:bCs/>
                <w:sz w:val="24"/>
                <w:szCs w:val="24"/>
                <w:vertAlign w:val="superscript"/>
              </w:rPr>
              <w:t>1</w:t>
            </w:r>
            <w:r w:rsidR="003A1148" w:rsidRPr="007C2D5F">
              <w:rPr>
                <w:rFonts w:ascii="Times New Roman" w:hAnsi="Times New Roman"/>
                <w:bCs/>
                <w:sz w:val="24"/>
                <w:szCs w:val="24"/>
              </w:rPr>
              <w:t xml:space="preserve"> </w:t>
            </w:r>
            <w:r w:rsidR="00F647A5" w:rsidRPr="007C2D5F">
              <w:rPr>
                <w:rFonts w:ascii="Times New Roman" w:hAnsi="Times New Roman"/>
                <w:bCs/>
                <w:sz w:val="24"/>
                <w:szCs w:val="24"/>
              </w:rPr>
              <w:t>pants</w:t>
            </w:r>
            <w:r w:rsidR="00560CE4" w:rsidRPr="007C2D5F">
              <w:rPr>
                <w:rFonts w:ascii="Times New Roman" w:hAnsi="Times New Roman"/>
                <w:bCs/>
                <w:sz w:val="24"/>
                <w:szCs w:val="24"/>
              </w:rPr>
              <w:t xml:space="preserve"> noteic, ka </w:t>
            </w:r>
            <w:r w:rsidR="003A1148" w:rsidRPr="007C2D5F">
              <w:rPr>
                <w:rFonts w:ascii="Times New Roman" w:hAnsi="Times New Roman"/>
                <w:sz w:val="24"/>
                <w:szCs w:val="24"/>
              </w:rPr>
              <w:t>valsts tiešās pārvaldes iestāžu amatpersonu (darbinieku) mēnešalgas apmēru un tās noteikšanas kārtību, ņemot vērā amatam atbilstošo mēnešalgu grupu, reglamentē Ministru kabinets. Amatam atbilstošo mēnešalgu grupu nosaka, pamatojoties uz amatu saimi un līmeni. Amatu saimi un līmeni nosaka atbilstoši Ministru kabineta noteiktajam valsts un pašvaldību institūciju amatu katalogam.</w:t>
            </w:r>
          </w:p>
          <w:p w14:paraId="7B7E21FA" w14:textId="332422CF" w:rsidR="00CF3F37" w:rsidRPr="007C2D5F" w:rsidRDefault="00CF3F37" w:rsidP="005E48B4">
            <w:pPr>
              <w:spacing w:after="0" w:line="240" w:lineRule="auto"/>
              <w:ind w:firstLine="680"/>
              <w:jc w:val="both"/>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Norādāms, ka pašreizējā tiesu darbinieku mēnešalga Latvijā ir ļoti zema</w:t>
            </w:r>
            <w:r w:rsidR="00361B9F" w:rsidRPr="007C2D5F">
              <w:rPr>
                <w:rFonts w:ascii="Times New Roman" w:eastAsia="Times New Roman" w:hAnsi="Times New Roman"/>
                <w:color w:val="000000"/>
                <w:sz w:val="24"/>
                <w:szCs w:val="24"/>
                <w:lang w:eastAsia="lv-LV"/>
              </w:rPr>
              <w:t xml:space="preserve">, </w:t>
            </w:r>
            <w:r w:rsidRPr="007C2D5F">
              <w:rPr>
                <w:rFonts w:ascii="Times New Roman" w:eastAsia="Times New Roman" w:hAnsi="Times New Roman"/>
                <w:color w:val="000000"/>
                <w:sz w:val="24"/>
                <w:szCs w:val="24"/>
                <w:lang w:eastAsia="lv-LV"/>
              </w:rPr>
              <w:t xml:space="preserve">atalgojuma līmenis nav samērojams ar tiesas darbinieka veicamajiem amata pienākumiem, piemēram, tiesas nolēmumu projektu sagatavošana, tiesas dokumentu sagatavošana, tiesas sēžu un tiesvedības (juridisko) dokumentu tulkošana, tiesu prakses un judikatūras apkopojumu sagatavošanu u.c. pienākumiem. Ņemot vērā, ka tiesu darbinieku pienākumos ietilpst nozīmīgs tiesas kopēja darba apjoms, piemēram, sagatavojot tiesu nolēmumu un citu procesuālo dokumentu projektus, pašreizējā tiesu darbinieku mēnešalga nav samērojama ar veicamajiem pienākumiem un atbildību, līdz ar to nepieciešams risināt jautājumu par atalgojuma palielināšanu tiesu darbiniekiem. Turklāt tiesas darbinieki, kuri pilda izmeklēšanas tiesneša palīga vai tiesas sēžu sekretāra </w:t>
            </w:r>
            <w:r w:rsidRPr="007C2D5F">
              <w:rPr>
                <w:rFonts w:ascii="Times New Roman" w:eastAsia="Times New Roman" w:hAnsi="Times New Roman"/>
                <w:color w:val="000000"/>
                <w:sz w:val="24"/>
                <w:szCs w:val="24"/>
                <w:lang w:eastAsia="lv-LV"/>
              </w:rPr>
              <w:lastRenderedPageBreak/>
              <w:t xml:space="preserve">pienākumus, strādā kopā ar izmeklēšanas tiesnesi arī brīvdienās un svētku dienās, pildot amata pienākumus sabiedrības kopējās drošības nodrošināšanai. </w:t>
            </w:r>
          </w:p>
          <w:p w14:paraId="30EA71B3" w14:textId="6086128F" w:rsidR="00E9494D" w:rsidRPr="007C2D5F" w:rsidRDefault="00E9494D" w:rsidP="005E48B4">
            <w:pPr>
              <w:spacing w:after="0" w:line="240" w:lineRule="auto"/>
              <w:ind w:firstLine="680"/>
              <w:jc w:val="both"/>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 xml:space="preserve">Lai ieekonomētu valsts budžeta līdzekļus, kas paredzēti tiesu sistēmas darbībai, un nodrošinātu tiesas </w:t>
            </w:r>
            <w:r w:rsidR="00D17CC1" w:rsidRPr="007C2D5F">
              <w:rPr>
                <w:rFonts w:ascii="Times New Roman" w:eastAsia="Times New Roman" w:hAnsi="Times New Roman"/>
                <w:color w:val="000000"/>
                <w:sz w:val="24"/>
                <w:szCs w:val="24"/>
                <w:lang w:eastAsia="lv-LV"/>
              </w:rPr>
              <w:t>darbiniekiem</w:t>
            </w:r>
            <w:r w:rsidRPr="007C2D5F">
              <w:rPr>
                <w:rFonts w:ascii="Times New Roman" w:eastAsia="Times New Roman" w:hAnsi="Times New Roman"/>
                <w:color w:val="000000"/>
                <w:sz w:val="24"/>
                <w:szCs w:val="24"/>
                <w:lang w:eastAsia="lv-LV"/>
              </w:rPr>
              <w:t xml:space="preserve"> samērīgu un darba pienākumiem atbilstošu atalgojumu, </w:t>
            </w:r>
            <w:r w:rsidR="00EE14CE" w:rsidRPr="007C2D5F">
              <w:rPr>
                <w:rFonts w:ascii="Times New Roman" w:eastAsia="Times New Roman" w:hAnsi="Times New Roman"/>
                <w:color w:val="000000"/>
                <w:sz w:val="24"/>
                <w:szCs w:val="24"/>
                <w:lang w:eastAsia="lv-LV"/>
              </w:rPr>
              <w:t xml:space="preserve">Tieslietu ministrija ir izstrādājusi grozījumus Kriminālprocesa likumā (turpmāk – KPL), kas </w:t>
            </w:r>
            <w:r w:rsidR="00F647A5" w:rsidRPr="007C2D5F">
              <w:rPr>
                <w:rFonts w:ascii="Times New Roman" w:eastAsia="Times New Roman" w:hAnsi="Times New Roman"/>
                <w:color w:val="000000"/>
                <w:sz w:val="24"/>
                <w:szCs w:val="24"/>
                <w:lang w:eastAsia="lv-LV"/>
              </w:rPr>
              <w:t xml:space="preserve">paredz </w:t>
            </w:r>
            <w:r w:rsidR="00EE14CE" w:rsidRPr="007C2D5F">
              <w:rPr>
                <w:rFonts w:ascii="Times New Roman" w:eastAsia="Times New Roman" w:hAnsi="Times New Roman"/>
                <w:color w:val="000000"/>
                <w:sz w:val="24"/>
                <w:szCs w:val="24"/>
                <w:lang w:eastAsia="lv-LV"/>
              </w:rPr>
              <w:t>atteikšanos no ierakstītiem pasta sūtījumiem</w:t>
            </w:r>
            <w:r w:rsidR="00384606" w:rsidRPr="007C2D5F">
              <w:rPr>
                <w:rFonts w:ascii="Times New Roman" w:eastAsia="Times New Roman" w:hAnsi="Times New Roman"/>
                <w:color w:val="000000"/>
                <w:sz w:val="24"/>
                <w:szCs w:val="24"/>
                <w:lang w:eastAsia="lv-LV"/>
              </w:rPr>
              <w:t xml:space="preserve"> ar paziņojumu par sūtījuma saņemšanu</w:t>
            </w:r>
            <w:r w:rsidR="00EE14CE" w:rsidRPr="007C2D5F">
              <w:rPr>
                <w:rFonts w:ascii="Times New Roman" w:eastAsia="Times New Roman" w:hAnsi="Times New Roman"/>
                <w:color w:val="000000"/>
                <w:sz w:val="24"/>
                <w:szCs w:val="24"/>
                <w:lang w:eastAsia="lv-LV"/>
              </w:rPr>
              <w:t xml:space="preserve"> </w:t>
            </w:r>
            <w:r w:rsidR="00F647A5" w:rsidRPr="007C2D5F">
              <w:rPr>
                <w:rFonts w:ascii="Times New Roman" w:eastAsia="Times New Roman" w:hAnsi="Times New Roman"/>
                <w:color w:val="000000"/>
                <w:sz w:val="24"/>
                <w:szCs w:val="24"/>
                <w:lang w:eastAsia="lv-LV"/>
              </w:rPr>
              <w:t xml:space="preserve">tiesas procesā </w:t>
            </w:r>
            <w:r w:rsidR="005D0FDD" w:rsidRPr="007C2D5F">
              <w:rPr>
                <w:rFonts w:ascii="Times New Roman" w:eastAsia="Times New Roman" w:hAnsi="Times New Roman"/>
                <w:color w:val="000000"/>
                <w:sz w:val="24"/>
                <w:szCs w:val="24"/>
                <w:lang w:eastAsia="lv-LV"/>
              </w:rPr>
              <w:t>(pirmstiesas kriminālprocesā joprojām tiek saglabāta iespēja pasta sūtījumu nosūtīt gan paras</w:t>
            </w:r>
            <w:r w:rsidR="00384606" w:rsidRPr="007C2D5F">
              <w:rPr>
                <w:rFonts w:ascii="Times New Roman" w:eastAsia="Times New Roman" w:hAnsi="Times New Roman"/>
                <w:color w:val="000000"/>
                <w:sz w:val="24"/>
                <w:szCs w:val="24"/>
                <w:lang w:eastAsia="lv-LV"/>
              </w:rPr>
              <w:t xml:space="preserve">tā sūtījumā, gan ierakstītā sūtījumā ar paziņojumu par sūtījuma saņemšanu). </w:t>
            </w:r>
          </w:p>
          <w:p w14:paraId="2D18BFDD" w14:textId="77777777" w:rsidR="00384606" w:rsidRPr="007C2D5F" w:rsidRDefault="00384606" w:rsidP="005E48B4">
            <w:pPr>
              <w:spacing w:after="0" w:line="240" w:lineRule="auto"/>
              <w:ind w:firstLine="680"/>
              <w:jc w:val="both"/>
              <w:rPr>
                <w:rFonts w:ascii="Times New Roman" w:hAnsi="Times New Roman"/>
                <w:sz w:val="24"/>
                <w:szCs w:val="24"/>
              </w:rPr>
            </w:pPr>
            <w:r w:rsidRPr="007C2D5F">
              <w:rPr>
                <w:rFonts w:ascii="Times New Roman" w:eastAsia="Times New Roman" w:hAnsi="Times New Roman"/>
                <w:color w:val="000000"/>
                <w:sz w:val="24"/>
                <w:szCs w:val="24"/>
                <w:lang w:eastAsia="lv-LV"/>
              </w:rPr>
              <w:t xml:space="preserve">KPL 330. panta pirmā daļa </w:t>
            </w:r>
            <w:r w:rsidR="00D17CC1" w:rsidRPr="007C2D5F">
              <w:rPr>
                <w:rFonts w:ascii="Times New Roman" w:eastAsia="Times New Roman" w:hAnsi="Times New Roman"/>
                <w:color w:val="000000"/>
                <w:sz w:val="24"/>
                <w:szCs w:val="24"/>
                <w:lang w:eastAsia="lv-LV"/>
              </w:rPr>
              <w:t>noteic</w:t>
            </w:r>
            <w:r w:rsidRPr="007C2D5F">
              <w:rPr>
                <w:rFonts w:ascii="Times New Roman" w:eastAsia="Times New Roman" w:hAnsi="Times New Roman"/>
                <w:color w:val="000000"/>
                <w:sz w:val="24"/>
                <w:szCs w:val="24"/>
                <w:lang w:eastAsia="lv-LV"/>
              </w:rPr>
              <w:t xml:space="preserve">, ka </w:t>
            </w:r>
            <w:r w:rsidRPr="007C2D5F">
              <w:rPr>
                <w:rFonts w:ascii="Times New Roman" w:hAnsi="Times New Roman"/>
                <w:sz w:val="24"/>
                <w:szCs w:val="24"/>
              </w:rPr>
              <w:t xml:space="preserve">pavēsti izsniedz ne vēlāk kā divas dienas pirms tajā norādītā ierašanās laika. Ja procesuālā darbība ir neplānota vai nav atliekama, pavēsti var izsniegt tieši pirms ierašanās. KPL 330. panta otrā daļa noteic, ka pavēsti parasti nogādā pa pastu vai ziņnesis (kurjers) uz aicināmās personas norādīto adresi, bet personai, kuru aicina pirmo reizi, — uz dzīvesvietu vai juridisko adresi. Pavēsti var nosūtīt arī uz personas norādīto elektroniskā pasta adresi. </w:t>
            </w:r>
          </w:p>
          <w:p w14:paraId="298540FA" w14:textId="77777777" w:rsidR="005E48B4" w:rsidRPr="007C2D5F" w:rsidRDefault="004155CE" w:rsidP="005E48B4">
            <w:pPr>
              <w:spacing w:after="0" w:line="240" w:lineRule="auto"/>
              <w:ind w:firstLine="720"/>
              <w:jc w:val="both"/>
              <w:rPr>
                <w:rFonts w:ascii="Times New Roman" w:hAnsi="Times New Roman"/>
                <w:color w:val="000000"/>
                <w:sz w:val="24"/>
                <w:szCs w:val="24"/>
              </w:rPr>
            </w:pPr>
            <w:r w:rsidRPr="007C2D5F">
              <w:rPr>
                <w:rFonts w:ascii="Times New Roman" w:hAnsi="Times New Roman"/>
                <w:sz w:val="24"/>
                <w:szCs w:val="24"/>
              </w:rPr>
              <w:t xml:space="preserve">Ņemot vērā, ka ar grozījumiem KPL tiesas no ierakstītiem pasta sūtījumiem ar paziņojumu par sūtījuma saņemšanu, atteiksies, KPL 330. pants izteikts jaunā redakcijā, panta pirmo un otro daļu attiecinot uz pirmstiesas kriminālprocesu, </w:t>
            </w:r>
            <w:r w:rsidR="00F647A5" w:rsidRPr="007C2D5F">
              <w:rPr>
                <w:rFonts w:ascii="Times New Roman" w:hAnsi="Times New Roman"/>
                <w:sz w:val="24"/>
                <w:szCs w:val="24"/>
              </w:rPr>
              <w:t xml:space="preserve">tāpat </w:t>
            </w:r>
            <w:r w:rsidRPr="007C2D5F">
              <w:rPr>
                <w:rFonts w:ascii="Times New Roman" w:hAnsi="Times New Roman"/>
                <w:sz w:val="24"/>
                <w:szCs w:val="24"/>
              </w:rPr>
              <w:t xml:space="preserve">arī panta trešā daļa būs attiecināma uz pirmstiesas procesu. </w:t>
            </w:r>
            <w:r w:rsidR="00F647A5" w:rsidRPr="007C2D5F">
              <w:rPr>
                <w:rFonts w:ascii="Times New Roman" w:hAnsi="Times New Roman"/>
                <w:sz w:val="24"/>
                <w:szCs w:val="24"/>
              </w:rPr>
              <w:t>Vienlaikus</w:t>
            </w:r>
            <w:r w:rsidRPr="007C2D5F">
              <w:rPr>
                <w:rFonts w:ascii="Times New Roman" w:hAnsi="Times New Roman"/>
                <w:sz w:val="24"/>
                <w:szCs w:val="24"/>
              </w:rPr>
              <w:t xml:space="preserve"> KPL 330. pants papildināts, paredzot, ka t</w:t>
            </w:r>
            <w:r w:rsidRPr="007C2D5F">
              <w:rPr>
                <w:rFonts w:ascii="Times New Roman" w:hAnsi="Times New Roman"/>
                <w:color w:val="000000"/>
                <w:sz w:val="24"/>
                <w:szCs w:val="24"/>
              </w:rPr>
              <w:t xml:space="preserve">iesa pavēstes nosūta vienkāršā pasta sūtījumā vai izsniedz personiski pret parakstu (tajos gadījumos, kad persona ieradusies tiesā, lai uzzinātu informāciju par tiesas procesa gaitu, vai gadījumos, kad ir bijusi tiesas sēde, lieta vēl nav izskatīta un nozīmēta nākošā tiesas sēde). Tāpat grozījumi paredz, ka pavēsti var nosūtīt arī uz personas norādīto elektroniskā pasta adresi, gadījumos, kad persona </w:t>
            </w:r>
            <w:r w:rsidR="00A36B66" w:rsidRPr="007C2D5F">
              <w:rPr>
                <w:rFonts w:ascii="Times New Roman" w:hAnsi="Times New Roman"/>
                <w:color w:val="000000"/>
                <w:sz w:val="24"/>
                <w:szCs w:val="24"/>
              </w:rPr>
              <w:t xml:space="preserve">tādu ir norādījusi, kā arī norādījusi, ka tiesas pavēstes vēlas saņemt elektroniski. </w:t>
            </w:r>
          </w:p>
          <w:p w14:paraId="781A796E" w14:textId="77777777" w:rsidR="00110794" w:rsidRPr="007C2D5F" w:rsidRDefault="005E48B4" w:rsidP="00120CC9">
            <w:pPr>
              <w:spacing w:after="0" w:line="240" w:lineRule="auto"/>
              <w:ind w:firstLine="720"/>
              <w:jc w:val="both"/>
              <w:rPr>
                <w:rFonts w:ascii="Times New Roman" w:hAnsi="Times New Roman"/>
                <w:sz w:val="24"/>
                <w:szCs w:val="24"/>
              </w:rPr>
            </w:pPr>
            <w:r w:rsidRPr="007C2D5F">
              <w:rPr>
                <w:rFonts w:ascii="Times New Roman" w:hAnsi="Times New Roman"/>
                <w:color w:val="000000"/>
                <w:sz w:val="24"/>
                <w:szCs w:val="24"/>
              </w:rPr>
              <w:t xml:space="preserve">Norādām, ka KPL 333. pants noteic, ka personai, kura konkrētajā kriminālprocesā norādījusi procesuālās darbības veicējam savu adresi, ir pienākums būt sasniedzamai šajā adresē. Ja pavēste nogādāta KPL noteiktajā kārtībā, uzskatāms, ka aicināmajai personai ir paziņots par kriminālprocesa norises laiku un vietu. Ja pavēste aicināmajai personai nogādāta </w:t>
            </w:r>
            <w:hyperlink r:id="rId13" w:anchor="p330" w:tgtFrame="_blank" w:history="1">
              <w:r w:rsidRPr="007C2D5F">
                <w:rPr>
                  <w:rFonts w:ascii="Times New Roman" w:hAnsi="Times New Roman"/>
                  <w:color w:val="000000"/>
                  <w:sz w:val="24"/>
                  <w:szCs w:val="24"/>
                </w:rPr>
                <w:t>330.</w:t>
              </w:r>
              <w:r w:rsidR="00F647A5" w:rsidRPr="007C2D5F">
                <w:rPr>
                  <w:rFonts w:ascii="Times New Roman" w:hAnsi="Times New Roman"/>
                  <w:color w:val="000000"/>
                  <w:sz w:val="24"/>
                  <w:szCs w:val="24"/>
                </w:rPr>
                <w:t> </w:t>
              </w:r>
              <w:r w:rsidRPr="007C2D5F">
                <w:rPr>
                  <w:rFonts w:ascii="Times New Roman" w:hAnsi="Times New Roman"/>
                  <w:color w:val="000000"/>
                  <w:sz w:val="24"/>
                  <w:szCs w:val="24"/>
                </w:rPr>
                <w:t>pantā</w:t>
              </w:r>
            </w:hyperlink>
            <w:r w:rsidRPr="007C2D5F">
              <w:rPr>
                <w:rFonts w:ascii="Times New Roman" w:hAnsi="Times New Roman"/>
                <w:color w:val="000000"/>
                <w:sz w:val="24"/>
                <w:szCs w:val="24"/>
              </w:rPr>
              <w:t xml:space="preserve"> noteiktajā kārtībā pa pastu, uzskatāms, ka aicināmajai personai ir paziņots par procesa norises laiku un vietu septītajā dienā pēc pavēstes nodošanas pastā. Savukārt, ja pavēste aicināmajai personai nogādāta šā likuma </w:t>
            </w:r>
            <w:hyperlink r:id="rId14" w:anchor="p330" w:tgtFrame="_blank" w:history="1">
              <w:r w:rsidRPr="007C2D5F">
                <w:rPr>
                  <w:rFonts w:ascii="Times New Roman" w:hAnsi="Times New Roman"/>
                  <w:color w:val="000000"/>
                  <w:sz w:val="24"/>
                  <w:szCs w:val="24"/>
                </w:rPr>
                <w:t>330.</w:t>
              </w:r>
              <w:r w:rsidR="00F647A5" w:rsidRPr="007C2D5F">
                <w:rPr>
                  <w:rFonts w:ascii="Times New Roman" w:hAnsi="Times New Roman"/>
                  <w:color w:val="000000"/>
                  <w:sz w:val="24"/>
                  <w:szCs w:val="24"/>
                </w:rPr>
                <w:t> </w:t>
              </w:r>
              <w:r w:rsidRPr="007C2D5F">
                <w:rPr>
                  <w:rFonts w:ascii="Times New Roman" w:hAnsi="Times New Roman"/>
                  <w:color w:val="000000"/>
                  <w:sz w:val="24"/>
                  <w:szCs w:val="24"/>
                </w:rPr>
                <w:t>pantā</w:t>
              </w:r>
            </w:hyperlink>
            <w:r w:rsidRPr="007C2D5F">
              <w:rPr>
                <w:rFonts w:ascii="Times New Roman" w:hAnsi="Times New Roman"/>
                <w:color w:val="000000"/>
                <w:sz w:val="24"/>
                <w:szCs w:val="24"/>
              </w:rPr>
              <w:t xml:space="preserve"> noteiktajā kārtībā pa elektronisko pastu, uzskatāms, ka aicināmajai personai ir paziņots par procesa norises laiku un </w:t>
            </w:r>
            <w:r w:rsidRPr="007C2D5F">
              <w:rPr>
                <w:rFonts w:ascii="Times New Roman" w:hAnsi="Times New Roman"/>
                <w:color w:val="000000"/>
                <w:sz w:val="24"/>
                <w:szCs w:val="24"/>
              </w:rPr>
              <w:lastRenderedPageBreak/>
              <w:t>vietu otrajā darbdienā pēc pavēstes nosūtīšanas. Tāpat KPL 60.</w:t>
            </w:r>
            <w:r w:rsidRPr="007C2D5F">
              <w:rPr>
                <w:rFonts w:ascii="Times New Roman" w:hAnsi="Times New Roman"/>
                <w:color w:val="000000"/>
                <w:sz w:val="24"/>
                <w:szCs w:val="24"/>
                <w:vertAlign w:val="superscript"/>
              </w:rPr>
              <w:t>1</w:t>
            </w:r>
            <w:r w:rsidR="00BA6765" w:rsidRPr="007C2D5F">
              <w:rPr>
                <w:rFonts w:ascii="Times New Roman" w:hAnsi="Times New Roman"/>
                <w:color w:val="000000"/>
                <w:sz w:val="24"/>
                <w:szCs w:val="24"/>
              </w:rPr>
              <w:t xml:space="preserve"> pantā</w:t>
            </w:r>
            <w:r w:rsidRPr="007C2D5F">
              <w:rPr>
                <w:rFonts w:ascii="Times New Roman" w:hAnsi="Times New Roman"/>
                <w:color w:val="000000"/>
                <w:sz w:val="24"/>
                <w:szCs w:val="24"/>
              </w:rPr>
              <w:t xml:space="preserve"> ir ietverta prezumpcija, ka, ja sūtījums ir nosūtīts pienācīgā veidā (ievērota procesuālā kārtība nosūtīšanai), uzskat</w:t>
            </w:r>
            <w:r w:rsidR="00F647A5" w:rsidRPr="007C2D5F">
              <w:rPr>
                <w:rFonts w:ascii="Times New Roman" w:hAnsi="Times New Roman"/>
                <w:color w:val="000000"/>
                <w:sz w:val="24"/>
                <w:szCs w:val="24"/>
              </w:rPr>
              <w:t>āms, ka persona to ir saņēmusi. Vienlaikus</w:t>
            </w:r>
            <w:r w:rsidR="00BF44A3" w:rsidRPr="007C2D5F">
              <w:rPr>
                <w:rFonts w:ascii="Times New Roman" w:hAnsi="Times New Roman"/>
                <w:color w:val="000000"/>
                <w:sz w:val="24"/>
                <w:szCs w:val="24"/>
              </w:rPr>
              <w:t xml:space="preserve"> 60.</w:t>
            </w:r>
            <w:r w:rsidR="00BF44A3" w:rsidRPr="007C2D5F">
              <w:rPr>
                <w:rFonts w:ascii="Times New Roman" w:hAnsi="Times New Roman"/>
                <w:color w:val="000000"/>
                <w:sz w:val="24"/>
                <w:szCs w:val="24"/>
                <w:vertAlign w:val="superscript"/>
              </w:rPr>
              <w:t>1</w:t>
            </w:r>
            <w:r w:rsidR="00BF44A3" w:rsidRPr="007C2D5F">
              <w:rPr>
                <w:rFonts w:ascii="Times New Roman" w:hAnsi="Times New Roman"/>
                <w:color w:val="000000"/>
                <w:sz w:val="24"/>
                <w:szCs w:val="24"/>
              </w:rPr>
              <w:t xml:space="preserve"> pantā noteikts personas pienākums </w:t>
            </w:r>
            <w:r w:rsidR="00BF44A3" w:rsidRPr="007C2D5F">
              <w:rPr>
                <w:rFonts w:ascii="Times New Roman" w:hAnsi="Times New Roman"/>
                <w:sz w:val="24"/>
                <w:szCs w:val="24"/>
              </w:rPr>
              <w:t>nekavējoties, bet ne vēlāk kā darba dienas laikā rakstveidā informēt procesa virzītāju par sūtījumu saņemšanas adreses maiņu, norādot jauno adresi.</w:t>
            </w:r>
          </w:p>
          <w:p w14:paraId="07B01AB6" w14:textId="1282E75F" w:rsidR="00361B9F" w:rsidRPr="007C2D5F" w:rsidRDefault="00361B9F" w:rsidP="00120CC9">
            <w:pPr>
              <w:spacing w:after="0" w:line="240" w:lineRule="auto"/>
              <w:ind w:firstLine="682"/>
              <w:jc w:val="both"/>
              <w:rPr>
                <w:rFonts w:ascii="Times New Roman" w:hAnsi="Times New Roman"/>
                <w:sz w:val="24"/>
                <w:szCs w:val="24"/>
              </w:rPr>
            </w:pPr>
            <w:r w:rsidRPr="007C2D5F">
              <w:rPr>
                <w:rFonts w:ascii="Times New Roman" w:hAnsi="Times New Roman"/>
                <w:sz w:val="24"/>
                <w:szCs w:val="24"/>
              </w:rPr>
              <w:t>Saskaņā ar Tiesu informatīvās sistēmas datiem krimināllietās prognozējam</w:t>
            </w:r>
            <w:r w:rsidR="00120CC9" w:rsidRPr="007C2D5F">
              <w:rPr>
                <w:rFonts w:ascii="Times New Roman" w:hAnsi="Times New Roman"/>
                <w:sz w:val="24"/>
                <w:szCs w:val="24"/>
              </w:rPr>
              <w:t>s</w:t>
            </w:r>
            <w:r w:rsidRPr="007C2D5F">
              <w:rPr>
                <w:rFonts w:ascii="Times New Roman" w:hAnsi="Times New Roman"/>
                <w:sz w:val="24"/>
                <w:szCs w:val="24"/>
              </w:rPr>
              <w:t xml:space="preserve">, ka gadā vidēji 120 000 ierakstītu sūtījumu tiks aizstāti ar vienkāršu pasta sūtījumu. Attiecībā uz aizstāvjiem jau šobrīd tiek nodrošināta saziņa tiešsaistes sistēmā un ietaupījums netiek plānots, savukārt attiecībā uz valsts </w:t>
            </w:r>
            <w:r w:rsidR="00120CC9" w:rsidRPr="007C2D5F">
              <w:rPr>
                <w:rFonts w:ascii="Times New Roman" w:hAnsi="Times New Roman"/>
                <w:sz w:val="24"/>
                <w:szCs w:val="24"/>
              </w:rPr>
              <w:t xml:space="preserve">iestādēm prognozējams, ka aptuveni 19 287 gadījumos pavēstes iestādēm tiks sūtītas tikai elektroniski (precīzi aprēķini anotācijas III sadaļas 6.2. apakšpunktā). </w:t>
            </w:r>
            <w:r w:rsidRPr="007C2D5F">
              <w:rPr>
                <w:rFonts w:ascii="Times New Roman" w:eastAsia="Times New Roman" w:hAnsi="Times New Roman"/>
                <w:color w:val="000000"/>
                <w:sz w:val="24"/>
                <w:szCs w:val="24"/>
                <w:lang w:eastAsia="lv-LV"/>
              </w:rPr>
              <w:t>Ņemot vērā minēto, veicinot ekonomiju valsts budžeta līdzekļiem, kas paredzēti t</w:t>
            </w:r>
            <w:r w:rsidR="00120CC9" w:rsidRPr="007C2D5F">
              <w:rPr>
                <w:rFonts w:ascii="Times New Roman" w:eastAsia="Times New Roman" w:hAnsi="Times New Roman"/>
                <w:color w:val="000000"/>
                <w:sz w:val="24"/>
                <w:szCs w:val="24"/>
                <w:lang w:eastAsia="lv-LV"/>
              </w:rPr>
              <w:t>iesu sistēmas darbībai, tos būs</w:t>
            </w:r>
            <w:r w:rsidRPr="007C2D5F">
              <w:rPr>
                <w:rFonts w:ascii="Times New Roman" w:eastAsia="Times New Roman" w:hAnsi="Times New Roman"/>
                <w:color w:val="000000"/>
                <w:sz w:val="24"/>
                <w:szCs w:val="24"/>
                <w:lang w:eastAsia="lv-LV"/>
              </w:rPr>
              <w:t xml:space="preserve"> iespējams novirzīt, lai nodrošinātu tiesas darbiniekiem samērīgu un darba pienākumiem atbilstošu atalgojumu.</w:t>
            </w:r>
          </w:p>
          <w:p w14:paraId="2AB15D29" w14:textId="445BFA71" w:rsidR="004617C9" w:rsidRPr="007C2D5F" w:rsidRDefault="00312CBC" w:rsidP="00120CC9">
            <w:pPr>
              <w:spacing w:after="0" w:line="240" w:lineRule="auto"/>
              <w:ind w:firstLine="720"/>
              <w:jc w:val="both"/>
              <w:rPr>
                <w:rFonts w:ascii="Times New Roman" w:hAnsi="Times New Roman"/>
                <w:sz w:val="24"/>
                <w:szCs w:val="24"/>
              </w:rPr>
            </w:pPr>
            <w:r>
              <w:rPr>
                <w:rFonts w:ascii="Times New Roman" w:hAnsi="Times New Roman"/>
                <w:sz w:val="24"/>
                <w:szCs w:val="24"/>
              </w:rPr>
              <w:t>Prakse liecina, ka s</w:t>
            </w:r>
            <w:r w:rsidR="004617C9" w:rsidRPr="007C2D5F">
              <w:rPr>
                <w:rFonts w:ascii="Times New Roman" w:hAnsi="Times New Roman"/>
                <w:sz w:val="24"/>
                <w:szCs w:val="24"/>
              </w:rPr>
              <w:t>ūtot ierakstītu pasta sūtījumu ar paziņojumu par tā saņem</w:t>
            </w:r>
            <w:r w:rsidR="00F647A5" w:rsidRPr="007C2D5F">
              <w:rPr>
                <w:rFonts w:ascii="Times New Roman" w:hAnsi="Times New Roman"/>
                <w:sz w:val="24"/>
                <w:szCs w:val="24"/>
              </w:rPr>
              <w:t>šanu, tiesai tika</w:t>
            </w:r>
            <w:r w:rsidR="004617C9" w:rsidRPr="007C2D5F">
              <w:rPr>
                <w:rFonts w:ascii="Times New Roman" w:hAnsi="Times New Roman"/>
                <w:sz w:val="24"/>
                <w:szCs w:val="24"/>
              </w:rPr>
              <w:t xml:space="preserve"> atgriezts paziņojums ar kriminālprocesā iesaistīt</w:t>
            </w:r>
            <w:r w:rsidR="00F647A5" w:rsidRPr="007C2D5F">
              <w:rPr>
                <w:rFonts w:ascii="Times New Roman" w:hAnsi="Times New Roman"/>
                <w:sz w:val="24"/>
                <w:szCs w:val="24"/>
              </w:rPr>
              <w:t xml:space="preserve">ās personas </w:t>
            </w:r>
            <w:r w:rsidR="004617C9" w:rsidRPr="007C2D5F">
              <w:rPr>
                <w:rFonts w:ascii="Times New Roman" w:hAnsi="Times New Roman"/>
                <w:sz w:val="24"/>
                <w:szCs w:val="24"/>
              </w:rPr>
              <w:t>p</w:t>
            </w:r>
            <w:r w:rsidR="00F647A5" w:rsidRPr="007C2D5F">
              <w:rPr>
                <w:rFonts w:ascii="Times New Roman" w:hAnsi="Times New Roman"/>
                <w:sz w:val="24"/>
                <w:szCs w:val="24"/>
              </w:rPr>
              <w:t>a</w:t>
            </w:r>
            <w:r w:rsidR="004617C9" w:rsidRPr="007C2D5F">
              <w:rPr>
                <w:rFonts w:ascii="Times New Roman" w:hAnsi="Times New Roman"/>
                <w:sz w:val="24"/>
                <w:szCs w:val="24"/>
              </w:rPr>
              <w:t xml:space="preserve">rakstu, ka viņa sūtījumu ir saņēmusi, vai </w:t>
            </w:r>
            <w:r>
              <w:rPr>
                <w:rFonts w:ascii="Times New Roman" w:hAnsi="Times New Roman"/>
                <w:sz w:val="24"/>
                <w:szCs w:val="24"/>
              </w:rPr>
              <w:t xml:space="preserve">atgriezts </w:t>
            </w:r>
            <w:r w:rsidR="004617C9" w:rsidRPr="007C2D5F">
              <w:rPr>
                <w:rFonts w:ascii="Times New Roman" w:hAnsi="Times New Roman"/>
                <w:sz w:val="24"/>
                <w:szCs w:val="24"/>
              </w:rPr>
              <w:t xml:space="preserve">sūtījums, uz kura norādīts iemesls, kāpēc to nevarēja izsniegt adresātam. </w:t>
            </w:r>
            <w:r>
              <w:rPr>
                <w:rFonts w:ascii="Times New Roman" w:hAnsi="Times New Roman"/>
                <w:sz w:val="24"/>
                <w:szCs w:val="24"/>
              </w:rPr>
              <w:t>Tāpat n</w:t>
            </w:r>
            <w:r w:rsidR="004617C9" w:rsidRPr="007C2D5F">
              <w:rPr>
                <w:rFonts w:ascii="Times New Roman" w:hAnsi="Times New Roman"/>
                <w:sz w:val="24"/>
                <w:szCs w:val="24"/>
              </w:rPr>
              <w:t>o prakses secināms, ka bieži vien, lai gan tiesai tika atgriezts paziņojums par sūtījuma saņemšanu</w:t>
            </w:r>
            <w:r w:rsidR="00F647A5" w:rsidRPr="007C2D5F">
              <w:rPr>
                <w:rFonts w:ascii="Times New Roman" w:hAnsi="Times New Roman"/>
                <w:sz w:val="24"/>
                <w:szCs w:val="24"/>
              </w:rPr>
              <w:t xml:space="preserve"> ar personas parakstu, kas apliecina sūtījuma saņemšanu</w:t>
            </w:r>
            <w:r w:rsidR="00D52B2E" w:rsidRPr="007C2D5F">
              <w:rPr>
                <w:rFonts w:ascii="Times New Roman" w:hAnsi="Times New Roman"/>
                <w:sz w:val="24"/>
                <w:szCs w:val="24"/>
              </w:rPr>
              <w:t>, persona uz tiesas sēdi neierodas, līdz ar to tiesa pieņem</w:t>
            </w:r>
            <w:r w:rsidR="004617C9" w:rsidRPr="007C2D5F">
              <w:rPr>
                <w:rFonts w:ascii="Times New Roman" w:hAnsi="Times New Roman"/>
                <w:sz w:val="24"/>
                <w:szCs w:val="24"/>
              </w:rPr>
              <w:t xml:space="preserve"> lēmumu par personas nogādāšanu uz tiesas sēdi piespiedu kārtā.  </w:t>
            </w:r>
            <w:r w:rsidR="00110794" w:rsidRPr="007C2D5F">
              <w:rPr>
                <w:rFonts w:ascii="Times New Roman" w:hAnsi="Times New Roman"/>
                <w:sz w:val="24"/>
                <w:szCs w:val="24"/>
              </w:rPr>
              <w:t>Kā jau iepriekš tika norādīts</w:t>
            </w:r>
            <w:r w:rsidR="004617C9" w:rsidRPr="007C2D5F">
              <w:rPr>
                <w:rFonts w:ascii="Times New Roman" w:hAnsi="Times New Roman"/>
                <w:sz w:val="24"/>
                <w:szCs w:val="24"/>
              </w:rPr>
              <w:t xml:space="preserve">, KPL ir </w:t>
            </w:r>
            <w:r w:rsidR="00F647A5" w:rsidRPr="007C2D5F">
              <w:rPr>
                <w:rFonts w:ascii="Times New Roman" w:hAnsi="Times New Roman"/>
                <w:sz w:val="24"/>
                <w:szCs w:val="24"/>
              </w:rPr>
              <w:t xml:space="preserve">noteikts pienākums kriminālprocesā iesaistītajai personai saņemt sūtījumus, </w:t>
            </w:r>
            <w:r w:rsidR="004617C9" w:rsidRPr="007C2D5F">
              <w:rPr>
                <w:rFonts w:ascii="Times New Roman" w:hAnsi="Times New Roman"/>
                <w:sz w:val="24"/>
                <w:szCs w:val="24"/>
              </w:rPr>
              <w:t>noteikts termiņš, kad sūtījums uzskatāms par sa</w:t>
            </w:r>
            <w:r w:rsidR="00F647A5" w:rsidRPr="007C2D5F">
              <w:rPr>
                <w:rFonts w:ascii="Times New Roman" w:hAnsi="Times New Roman"/>
                <w:sz w:val="24"/>
                <w:szCs w:val="24"/>
              </w:rPr>
              <w:t>ņemtu,</w:t>
            </w:r>
            <w:r w:rsidR="00110794" w:rsidRPr="007C2D5F">
              <w:rPr>
                <w:rFonts w:ascii="Times New Roman" w:hAnsi="Times New Roman"/>
                <w:sz w:val="24"/>
                <w:szCs w:val="24"/>
              </w:rPr>
              <w:t xml:space="preserve"> ietverta prezumpcija, ka sūtījumi uzskatāmi par piegādātiem, ja tie nosūtīt</w:t>
            </w:r>
            <w:r w:rsidR="00F647A5" w:rsidRPr="007C2D5F">
              <w:rPr>
                <w:rFonts w:ascii="Times New Roman" w:hAnsi="Times New Roman"/>
                <w:sz w:val="24"/>
                <w:szCs w:val="24"/>
              </w:rPr>
              <w:t>i KPL</w:t>
            </w:r>
            <w:r w:rsidR="00110794" w:rsidRPr="007C2D5F">
              <w:rPr>
                <w:rFonts w:ascii="Times New Roman" w:hAnsi="Times New Roman"/>
                <w:sz w:val="24"/>
                <w:szCs w:val="24"/>
              </w:rPr>
              <w:t xml:space="preserve"> noteiktajā kārtībā, </w:t>
            </w:r>
            <w:r w:rsidR="00F647A5" w:rsidRPr="007C2D5F">
              <w:rPr>
                <w:rFonts w:ascii="Times New Roman" w:hAnsi="Times New Roman"/>
                <w:sz w:val="24"/>
                <w:szCs w:val="24"/>
              </w:rPr>
              <w:t xml:space="preserve">tāpat </w:t>
            </w:r>
            <w:r w:rsidR="00110794" w:rsidRPr="007C2D5F">
              <w:rPr>
                <w:rFonts w:ascii="Times New Roman" w:hAnsi="Times New Roman"/>
                <w:sz w:val="24"/>
                <w:szCs w:val="24"/>
              </w:rPr>
              <w:t xml:space="preserve">kriminālprocesā iesaistītajai personai uzlikts pienākums paziņot par adreses maiņu. </w:t>
            </w:r>
          </w:p>
          <w:p w14:paraId="714FAC75" w14:textId="77777777" w:rsidR="00D17CC1" w:rsidRPr="007C2D5F" w:rsidRDefault="00110794" w:rsidP="00110794">
            <w:pPr>
              <w:spacing w:after="0" w:line="240" w:lineRule="auto"/>
              <w:ind w:firstLine="720"/>
              <w:jc w:val="both"/>
              <w:rPr>
                <w:rFonts w:ascii="Times New Roman" w:hAnsi="Times New Roman"/>
                <w:sz w:val="24"/>
                <w:szCs w:val="24"/>
              </w:rPr>
            </w:pPr>
            <w:r w:rsidRPr="007C2D5F">
              <w:rPr>
                <w:rFonts w:ascii="Times New Roman" w:hAnsi="Times New Roman"/>
                <w:sz w:val="24"/>
                <w:szCs w:val="24"/>
              </w:rPr>
              <w:t xml:space="preserve">Ņemot vērā iepriekš minēto, nav pamata uzskatīt, ka atteikšanās no ierakstītiem pasta sūtījumiem ar paziņojumu par sūtījumu saņemšanu varētu kādā veidā kavēt lietas izskatīšanu. Tāpat grozījumos paredzētais regulējums nekādā veidā neskars tiesnešiem ar likumu piešķirtās tiesības nogādāt kriminālprocesā iesaistīto personu uz tiesas sēdi piespiedu kārtā gadījumos, kad persona uz tiesas sēdēm neierodas labprātīgi. </w:t>
            </w:r>
          </w:p>
          <w:p w14:paraId="17A39499" w14:textId="77777777" w:rsidR="00312CBC" w:rsidRDefault="00F647A5" w:rsidP="00110794">
            <w:pPr>
              <w:spacing w:after="0" w:line="240" w:lineRule="auto"/>
              <w:ind w:firstLine="680"/>
              <w:jc w:val="both"/>
              <w:rPr>
                <w:rFonts w:ascii="Times New Roman" w:hAnsi="Times New Roman"/>
                <w:sz w:val="24"/>
                <w:szCs w:val="24"/>
              </w:rPr>
            </w:pPr>
            <w:r w:rsidRPr="007C2D5F">
              <w:rPr>
                <w:rFonts w:ascii="Times New Roman" w:hAnsi="Times New Roman"/>
                <w:color w:val="000000"/>
                <w:sz w:val="24"/>
                <w:szCs w:val="24"/>
              </w:rPr>
              <w:t>G</w:t>
            </w:r>
            <w:r w:rsidR="00A36B66" w:rsidRPr="007C2D5F">
              <w:rPr>
                <w:rFonts w:ascii="Times New Roman" w:hAnsi="Times New Roman"/>
                <w:color w:val="000000"/>
                <w:sz w:val="24"/>
                <w:szCs w:val="24"/>
              </w:rPr>
              <w:t>rozījumi paredz, ka a</w:t>
            </w:r>
            <w:r w:rsidR="004155CE" w:rsidRPr="007C2D5F">
              <w:rPr>
                <w:rFonts w:ascii="Times New Roman" w:hAnsi="Times New Roman"/>
                <w:color w:val="000000"/>
                <w:sz w:val="24"/>
                <w:szCs w:val="24"/>
              </w:rPr>
              <w:t>izstāvim, valsts un pašvaldību iestādei tiesa pavēsti nosūta elektroniskā pasta sūtījumā.</w:t>
            </w:r>
            <w:r w:rsidR="00A36B66" w:rsidRPr="007C2D5F">
              <w:rPr>
                <w:rFonts w:ascii="Times New Roman" w:hAnsi="Times New Roman"/>
                <w:color w:val="000000"/>
                <w:sz w:val="24"/>
                <w:szCs w:val="24"/>
              </w:rPr>
              <w:t xml:space="preserve"> Norādāms, ka aizstāvim tiesas pavēsti būs iespējams elektroniski nosūtīt</w:t>
            </w:r>
            <w:r w:rsidR="003F3670" w:rsidRPr="007C2D5F">
              <w:rPr>
                <w:rFonts w:ascii="Times New Roman" w:hAnsi="Times New Roman"/>
                <w:color w:val="000000"/>
                <w:sz w:val="24"/>
                <w:szCs w:val="24"/>
              </w:rPr>
              <w:t xml:space="preserve"> uz elektroniskā pasta adresi, automatizēti to sagatavojot </w:t>
            </w:r>
            <w:r w:rsidR="00A36B66" w:rsidRPr="007C2D5F">
              <w:rPr>
                <w:rFonts w:ascii="Times New Roman" w:hAnsi="Times New Roman"/>
                <w:color w:val="000000"/>
                <w:sz w:val="24"/>
                <w:szCs w:val="24"/>
              </w:rPr>
              <w:t xml:space="preserve">Tiesu </w:t>
            </w:r>
            <w:r w:rsidR="00A36B66" w:rsidRPr="007C2D5F">
              <w:rPr>
                <w:rFonts w:ascii="Times New Roman" w:hAnsi="Times New Roman"/>
                <w:sz w:val="24"/>
                <w:szCs w:val="24"/>
              </w:rPr>
              <w:t>informatīvajā sistēmā</w:t>
            </w:r>
            <w:r w:rsidR="003F3670" w:rsidRPr="007C2D5F">
              <w:rPr>
                <w:rFonts w:ascii="Times New Roman" w:hAnsi="Times New Roman"/>
                <w:sz w:val="24"/>
                <w:szCs w:val="24"/>
              </w:rPr>
              <w:t>.</w:t>
            </w:r>
            <w:r w:rsidR="00A36B66" w:rsidRPr="007C2D5F">
              <w:rPr>
                <w:rFonts w:ascii="Times New Roman" w:hAnsi="Times New Roman"/>
                <w:sz w:val="24"/>
                <w:szCs w:val="24"/>
              </w:rPr>
              <w:t xml:space="preserve"> </w:t>
            </w:r>
          </w:p>
          <w:p w14:paraId="1897F80C" w14:textId="7988795C" w:rsidR="00363477" w:rsidRPr="007C2D5F" w:rsidRDefault="00D17CC1" w:rsidP="00110794">
            <w:pPr>
              <w:spacing w:after="0" w:line="240" w:lineRule="auto"/>
              <w:ind w:firstLine="680"/>
              <w:jc w:val="both"/>
              <w:rPr>
                <w:rFonts w:ascii="Times New Roman" w:hAnsi="Times New Roman"/>
                <w:sz w:val="24"/>
                <w:szCs w:val="24"/>
              </w:rPr>
            </w:pPr>
            <w:r w:rsidRPr="007C2D5F">
              <w:rPr>
                <w:rFonts w:ascii="Times New Roman" w:hAnsi="Times New Roman"/>
                <w:sz w:val="24"/>
                <w:szCs w:val="24"/>
              </w:rPr>
              <w:lastRenderedPageBreak/>
              <w:t>KPL 331. pan</w:t>
            </w:r>
            <w:r w:rsidR="00D52B2E" w:rsidRPr="007C2D5F">
              <w:rPr>
                <w:rFonts w:ascii="Times New Roman" w:hAnsi="Times New Roman"/>
                <w:sz w:val="24"/>
                <w:szCs w:val="24"/>
              </w:rPr>
              <w:t>t</w:t>
            </w:r>
            <w:r w:rsidRPr="007C2D5F">
              <w:rPr>
                <w:rFonts w:ascii="Times New Roman" w:hAnsi="Times New Roman"/>
                <w:sz w:val="24"/>
                <w:szCs w:val="24"/>
              </w:rPr>
              <w:t xml:space="preserve">s noteic kārtību, kā izsniedzams ierakstīts sūtījums ar paziņojumu par sūtījuma saņemšanu. </w:t>
            </w:r>
            <w:r w:rsidR="0098563A" w:rsidRPr="007C2D5F">
              <w:rPr>
                <w:rFonts w:ascii="Times New Roman" w:hAnsi="Times New Roman"/>
                <w:sz w:val="24"/>
                <w:szCs w:val="24"/>
              </w:rPr>
              <w:t xml:space="preserve">Ņemot vērā, ka tiesas procesā ierakstīti pasta sūtījumi ar paziņojumu par sūtījumu saņemšanu vairs netiks sūtīti, savukārt pirmstiesas kriminālprocesā šī iespēja joprojām tiks saglabāta, mainīts KPL 331. panta nosaukums, izsakot to šādā redakcijā – pavēstes izsniegšana pirmstiesas kriminālprocesā. </w:t>
            </w:r>
          </w:p>
        </w:tc>
      </w:tr>
      <w:tr w:rsidR="008752D4" w:rsidRPr="007C2D5F" w14:paraId="2F52C01F" w14:textId="77777777" w:rsidTr="002601DD">
        <w:trPr>
          <w:trHeight w:val="465"/>
        </w:trPr>
        <w:tc>
          <w:tcPr>
            <w:tcW w:w="247" w:type="pct"/>
            <w:tcBorders>
              <w:top w:val="outset" w:sz="6" w:space="0" w:color="414142"/>
              <w:left w:val="outset" w:sz="6" w:space="0" w:color="414142"/>
              <w:bottom w:val="outset" w:sz="6" w:space="0" w:color="414142"/>
              <w:right w:val="outset" w:sz="6" w:space="0" w:color="414142"/>
            </w:tcBorders>
          </w:tcPr>
          <w:p w14:paraId="203EB835" w14:textId="77777777" w:rsidR="008752D4" w:rsidRPr="007C2D5F" w:rsidRDefault="00F63FA1"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lastRenderedPageBreak/>
              <w:t xml:space="preserve">3. </w:t>
            </w:r>
          </w:p>
        </w:tc>
        <w:tc>
          <w:tcPr>
            <w:tcW w:w="1531" w:type="pct"/>
            <w:tcBorders>
              <w:top w:val="outset" w:sz="6" w:space="0" w:color="414142"/>
              <w:left w:val="outset" w:sz="6" w:space="0" w:color="414142"/>
              <w:bottom w:val="outset" w:sz="6" w:space="0" w:color="414142"/>
              <w:right w:val="outset" w:sz="6" w:space="0" w:color="414142"/>
            </w:tcBorders>
          </w:tcPr>
          <w:p w14:paraId="212D9CA7"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Projekta izstrādē iesaistītās institūcijas</w:t>
            </w:r>
          </w:p>
        </w:tc>
        <w:tc>
          <w:tcPr>
            <w:tcW w:w="3222" w:type="pct"/>
            <w:tcBorders>
              <w:top w:val="outset" w:sz="6" w:space="0" w:color="414142"/>
              <w:left w:val="outset" w:sz="6" w:space="0" w:color="414142"/>
              <w:bottom w:val="outset" w:sz="6" w:space="0" w:color="414142"/>
              <w:right w:val="outset" w:sz="6" w:space="0" w:color="414142"/>
            </w:tcBorders>
          </w:tcPr>
          <w:p w14:paraId="6DDF6C83" w14:textId="57475673" w:rsidR="008752D4" w:rsidRPr="007C2D5F" w:rsidRDefault="0098563A" w:rsidP="00D52B2E">
            <w:pPr>
              <w:spacing w:after="0" w:line="240" w:lineRule="auto"/>
              <w:ind w:firstLine="541"/>
              <w:jc w:val="both"/>
              <w:rPr>
                <w:rFonts w:ascii="Times New Roman" w:eastAsia="Times New Roman" w:hAnsi="Times New Roman"/>
                <w:color w:val="000000"/>
                <w:sz w:val="24"/>
                <w:szCs w:val="24"/>
                <w:lang w:eastAsia="lv-LV"/>
              </w:rPr>
            </w:pPr>
            <w:r w:rsidRPr="007C2D5F">
              <w:rPr>
                <w:rFonts w:ascii="Times New Roman" w:hAnsi="Times New Roman"/>
                <w:color w:val="000000"/>
                <w:sz w:val="24"/>
                <w:szCs w:val="24"/>
              </w:rPr>
              <w:t xml:space="preserve">Rajona (pilsētu) </w:t>
            </w:r>
            <w:r w:rsidR="00D52B2E" w:rsidRPr="007C2D5F">
              <w:rPr>
                <w:rFonts w:ascii="Times New Roman" w:hAnsi="Times New Roman"/>
                <w:color w:val="000000"/>
                <w:sz w:val="24"/>
                <w:szCs w:val="24"/>
              </w:rPr>
              <w:t>tiesu un apgabaltiesu pārstāvji. Tieslietu ministrijas pastāvīgā darba grupa Kriminālprocesa likuma grozījumu izstrādei.</w:t>
            </w:r>
          </w:p>
        </w:tc>
      </w:tr>
      <w:tr w:rsidR="008752D4" w:rsidRPr="007C2D5F" w14:paraId="03973883" w14:textId="77777777" w:rsidTr="002601DD">
        <w:tc>
          <w:tcPr>
            <w:tcW w:w="247" w:type="pct"/>
            <w:tcBorders>
              <w:top w:val="outset" w:sz="6" w:space="0" w:color="414142"/>
              <w:left w:val="outset" w:sz="6" w:space="0" w:color="414142"/>
              <w:bottom w:val="outset" w:sz="6" w:space="0" w:color="414142"/>
              <w:right w:val="outset" w:sz="6" w:space="0" w:color="414142"/>
            </w:tcBorders>
          </w:tcPr>
          <w:p w14:paraId="14A139B5"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4.</w:t>
            </w:r>
          </w:p>
        </w:tc>
        <w:tc>
          <w:tcPr>
            <w:tcW w:w="1531" w:type="pct"/>
            <w:tcBorders>
              <w:top w:val="outset" w:sz="6" w:space="0" w:color="414142"/>
              <w:left w:val="outset" w:sz="6" w:space="0" w:color="414142"/>
              <w:bottom w:val="outset" w:sz="6" w:space="0" w:color="414142"/>
              <w:right w:val="outset" w:sz="6" w:space="0" w:color="414142"/>
            </w:tcBorders>
          </w:tcPr>
          <w:p w14:paraId="082FA36F"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Cita informācija</w:t>
            </w:r>
          </w:p>
        </w:tc>
        <w:tc>
          <w:tcPr>
            <w:tcW w:w="3222" w:type="pct"/>
            <w:tcBorders>
              <w:top w:val="outset" w:sz="6" w:space="0" w:color="414142"/>
              <w:left w:val="outset" w:sz="6" w:space="0" w:color="414142"/>
              <w:bottom w:val="outset" w:sz="6" w:space="0" w:color="414142"/>
              <w:right w:val="outset" w:sz="6" w:space="0" w:color="414142"/>
            </w:tcBorders>
          </w:tcPr>
          <w:p w14:paraId="269D8229"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 xml:space="preserve">Nav </w:t>
            </w:r>
          </w:p>
        </w:tc>
      </w:tr>
      <w:tr w:rsidR="008752D4" w:rsidRPr="007C2D5F" w14:paraId="01E3A6D1" w14:textId="77777777" w:rsidTr="002601DD">
        <w:trPr>
          <w:trHeight w:val="128"/>
        </w:trPr>
        <w:tc>
          <w:tcPr>
            <w:tcW w:w="5000" w:type="pct"/>
            <w:gridSpan w:val="3"/>
            <w:tcBorders>
              <w:top w:val="outset" w:sz="6" w:space="0" w:color="414142"/>
              <w:left w:val="nil"/>
              <w:bottom w:val="single" w:sz="4" w:space="0" w:color="auto"/>
              <w:right w:val="nil"/>
            </w:tcBorders>
          </w:tcPr>
          <w:p w14:paraId="5B5FB65B" w14:textId="77777777" w:rsidR="008752D4" w:rsidRPr="007C2D5F" w:rsidRDefault="008752D4" w:rsidP="005B430B">
            <w:pPr>
              <w:tabs>
                <w:tab w:val="left" w:pos="990"/>
              </w:tabs>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ab/>
            </w:r>
          </w:p>
        </w:tc>
      </w:tr>
    </w:tbl>
    <w:p w14:paraId="158346AB" w14:textId="77777777" w:rsidR="008752D4" w:rsidRPr="007C2D5F" w:rsidRDefault="008752D4" w:rsidP="008752D4">
      <w:pPr>
        <w:spacing w:after="0" w:line="240" w:lineRule="auto"/>
        <w:rPr>
          <w:rFonts w:ascii="Times New Roman" w:eastAsia="Times New Roman" w:hAnsi="Times New Roman"/>
          <w:vanish/>
          <w:color w:val="000000"/>
          <w:sz w:val="24"/>
          <w:szCs w:val="24"/>
          <w:lang w:eastAsia="lv-LV"/>
        </w:rPr>
      </w:pPr>
    </w:p>
    <w:tbl>
      <w:tblPr>
        <w:tblW w:w="5188" w:type="pct"/>
        <w:tblInd w:w="-11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3"/>
        <w:gridCol w:w="369"/>
        <w:gridCol w:w="1461"/>
        <w:gridCol w:w="1370"/>
        <w:gridCol w:w="27"/>
        <w:gridCol w:w="1561"/>
        <w:gridCol w:w="1558"/>
        <w:gridCol w:w="1715"/>
        <w:gridCol w:w="1400"/>
      </w:tblGrid>
      <w:tr w:rsidR="008752D4" w:rsidRPr="007C2D5F" w14:paraId="309AD956" w14:textId="77777777" w:rsidTr="008B146E">
        <w:trPr>
          <w:trHeight w:val="555"/>
        </w:trPr>
        <w:tc>
          <w:tcPr>
            <w:tcW w:w="5000" w:type="pct"/>
            <w:gridSpan w:val="9"/>
            <w:tcBorders>
              <w:top w:val="nil"/>
              <w:left w:val="single" w:sz="4" w:space="0" w:color="auto"/>
              <w:bottom w:val="outset" w:sz="6" w:space="0" w:color="414142"/>
              <w:right w:val="outset" w:sz="6" w:space="0" w:color="414142"/>
            </w:tcBorders>
            <w:vAlign w:val="center"/>
          </w:tcPr>
          <w:p w14:paraId="683ABE13" w14:textId="77777777" w:rsidR="008752D4" w:rsidRPr="007C2D5F"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7C2D5F">
              <w:rPr>
                <w:rFonts w:ascii="Times New Roman" w:eastAsia="Times New Roman" w:hAnsi="Times New Roman"/>
                <w:b/>
                <w:bCs/>
                <w:color w:val="000000"/>
                <w:sz w:val="24"/>
                <w:szCs w:val="24"/>
                <w:lang w:eastAsia="lv-LV"/>
              </w:rPr>
              <w:t>II. Tiesību akta projekta ietekme uz sabiedrību, tautsaimniecības attīstību un administratīvo slogu</w:t>
            </w:r>
          </w:p>
        </w:tc>
      </w:tr>
      <w:tr w:rsidR="008752D4" w:rsidRPr="007C2D5F" w14:paraId="19078955" w14:textId="77777777" w:rsidTr="008B146E">
        <w:trPr>
          <w:trHeight w:val="465"/>
        </w:trPr>
        <w:tc>
          <w:tcPr>
            <w:tcW w:w="202" w:type="pct"/>
            <w:gridSpan w:val="2"/>
            <w:tcBorders>
              <w:top w:val="outset" w:sz="6" w:space="0" w:color="414142"/>
              <w:left w:val="outset" w:sz="6" w:space="0" w:color="414142"/>
              <w:bottom w:val="outset" w:sz="6" w:space="0" w:color="414142"/>
              <w:right w:val="outset" w:sz="6" w:space="0" w:color="414142"/>
            </w:tcBorders>
          </w:tcPr>
          <w:p w14:paraId="3F908A70"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1.</w:t>
            </w:r>
          </w:p>
        </w:tc>
        <w:tc>
          <w:tcPr>
            <w:tcW w:w="1508" w:type="pct"/>
            <w:gridSpan w:val="3"/>
            <w:tcBorders>
              <w:top w:val="outset" w:sz="6" w:space="0" w:color="414142"/>
              <w:left w:val="outset" w:sz="6" w:space="0" w:color="414142"/>
              <w:bottom w:val="outset" w:sz="6" w:space="0" w:color="414142"/>
              <w:right w:val="outset" w:sz="6" w:space="0" w:color="414142"/>
            </w:tcBorders>
          </w:tcPr>
          <w:p w14:paraId="271BCE7E"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Sabiedrības mērķgrupas, kuras tiesiskais regulējums ietekmē vai varētu ietekmēt</w:t>
            </w:r>
          </w:p>
        </w:tc>
        <w:tc>
          <w:tcPr>
            <w:tcW w:w="3290" w:type="pct"/>
            <w:gridSpan w:val="4"/>
            <w:tcBorders>
              <w:top w:val="outset" w:sz="6" w:space="0" w:color="414142"/>
              <w:left w:val="outset" w:sz="6" w:space="0" w:color="414142"/>
              <w:bottom w:val="outset" w:sz="6" w:space="0" w:color="414142"/>
              <w:right w:val="outset" w:sz="6" w:space="0" w:color="414142"/>
            </w:tcBorders>
          </w:tcPr>
          <w:p w14:paraId="25499EDD" w14:textId="77777777" w:rsidR="00120CC9" w:rsidRPr="00312CBC" w:rsidRDefault="003454A1" w:rsidP="00120CC9">
            <w:pPr>
              <w:spacing w:after="0" w:line="240" w:lineRule="auto"/>
              <w:ind w:firstLine="510"/>
              <w:jc w:val="both"/>
              <w:rPr>
                <w:rFonts w:ascii="Times New Roman" w:hAnsi="Times New Roman"/>
                <w:sz w:val="24"/>
                <w:szCs w:val="24"/>
              </w:rPr>
            </w:pPr>
            <w:r w:rsidRPr="00312CBC">
              <w:rPr>
                <w:rFonts w:ascii="Times New Roman" w:eastAsia="Times New Roman" w:hAnsi="Times New Roman"/>
                <w:color w:val="000000"/>
                <w:sz w:val="24"/>
                <w:szCs w:val="24"/>
                <w:lang w:eastAsia="lv-LV"/>
              </w:rPr>
              <w:t>Tiesas, kriminālprocesa dalībnieki</w:t>
            </w:r>
            <w:r w:rsidR="00120CC9" w:rsidRPr="00312CBC">
              <w:rPr>
                <w:rFonts w:ascii="Times New Roman" w:eastAsia="Times New Roman" w:hAnsi="Times New Roman"/>
                <w:color w:val="000000"/>
                <w:sz w:val="24"/>
                <w:szCs w:val="24"/>
                <w:lang w:eastAsia="lv-LV"/>
              </w:rPr>
              <w:t xml:space="preserve">. Norādāms, ka administratīvais </w:t>
            </w:r>
            <w:r w:rsidR="00120CC9" w:rsidRPr="00312CBC">
              <w:rPr>
                <w:rFonts w:ascii="Times New Roman" w:hAnsi="Times New Roman"/>
                <w:sz w:val="24"/>
                <w:szCs w:val="24"/>
              </w:rPr>
              <w:t xml:space="preserve">slogs mazināsies, jo ar likumprojektu paredzēta ērtāka saziņa ar lietas dalībniekam. </w:t>
            </w:r>
          </w:p>
          <w:p w14:paraId="70CD8F83" w14:textId="0412A7AD" w:rsidR="008752D4" w:rsidRPr="007C2D5F" w:rsidRDefault="00120CC9" w:rsidP="00120CC9">
            <w:pPr>
              <w:spacing w:after="0" w:line="240" w:lineRule="auto"/>
              <w:ind w:firstLine="510"/>
              <w:jc w:val="both"/>
              <w:rPr>
                <w:sz w:val="24"/>
                <w:szCs w:val="24"/>
              </w:rPr>
            </w:pPr>
            <w:r w:rsidRPr="00312CBC">
              <w:rPr>
                <w:rFonts w:ascii="Times New Roman" w:hAnsi="Times New Roman"/>
                <w:sz w:val="24"/>
                <w:szCs w:val="24"/>
              </w:rPr>
              <w:t xml:space="preserve">Attiecībā uz advokātiem norādāms, ka lielākā daļa advokātu jau šobrīd izmanto </w:t>
            </w:r>
            <w:r w:rsidRPr="00312CBC">
              <w:rPr>
                <w:rFonts w:ascii="Times New Roman" w:eastAsia="Times New Roman" w:hAnsi="Times New Roman"/>
                <w:color w:val="000000"/>
                <w:sz w:val="24"/>
                <w:szCs w:val="24"/>
                <w:lang w:eastAsia="lv-LV"/>
              </w:rPr>
              <w:t>Datu izplatīšanas sistēmu, līdz ar to attiecībā uz viņiem administratīvā sloga izmaiņas nav paredzētas.</w:t>
            </w:r>
            <w:r w:rsidRPr="007C2D5F">
              <w:rPr>
                <w:rFonts w:ascii="Times New Roman" w:eastAsia="Times New Roman" w:hAnsi="Times New Roman"/>
                <w:color w:val="000000"/>
                <w:sz w:val="24"/>
                <w:szCs w:val="24"/>
                <w:lang w:eastAsia="lv-LV"/>
              </w:rPr>
              <w:t xml:space="preserve"> </w:t>
            </w:r>
          </w:p>
        </w:tc>
      </w:tr>
      <w:tr w:rsidR="008752D4" w:rsidRPr="007C2D5F" w14:paraId="33BA5E61" w14:textId="77777777" w:rsidTr="008B146E">
        <w:trPr>
          <w:trHeight w:val="510"/>
        </w:trPr>
        <w:tc>
          <w:tcPr>
            <w:tcW w:w="202" w:type="pct"/>
            <w:gridSpan w:val="2"/>
            <w:tcBorders>
              <w:top w:val="outset" w:sz="6" w:space="0" w:color="414142"/>
              <w:left w:val="outset" w:sz="6" w:space="0" w:color="414142"/>
              <w:bottom w:val="outset" w:sz="6" w:space="0" w:color="414142"/>
              <w:right w:val="outset" w:sz="6" w:space="0" w:color="414142"/>
            </w:tcBorders>
          </w:tcPr>
          <w:p w14:paraId="512C355B"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2.</w:t>
            </w:r>
          </w:p>
        </w:tc>
        <w:tc>
          <w:tcPr>
            <w:tcW w:w="1508" w:type="pct"/>
            <w:gridSpan w:val="3"/>
            <w:tcBorders>
              <w:top w:val="outset" w:sz="6" w:space="0" w:color="414142"/>
              <w:left w:val="outset" w:sz="6" w:space="0" w:color="414142"/>
              <w:bottom w:val="outset" w:sz="6" w:space="0" w:color="414142"/>
              <w:right w:val="outset" w:sz="6" w:space="0" w:color="414142"/>
            </w:tcBorders>
          </w:tcPr>
          <w:p w14:paraId="2807B5BB"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Tiesiskā regulējuma ietekme uz tautsaimniecību un administratīvo slogu</w:t>
            </w:r>
          </w:p>
        </w:tc>
        <w:tc>
          <w:tcPr>
            <w:tcW w:w="3290" w:type="pct"/>
            <w:gridSpan w:val="4"/>
            <w:tcBorders>
              <w:top w:val="outset" w:sz="6" w:space="0" w:color="414142"/>
              <w:left w:val="outset" w:sz="6" w:space="0" w:color="414142"/>
              <w:bottom w:val="outset" w:sz="6" w:space="0" w:color="414142"/>
              <w:right w:val="outset" w:sz="6" w:space="0" w:color="414142"/>
            </w:tcBorders>
          </w:tcPr>
          <w:p w14:paraId="4AD3A053" w14:textId="77777777" w:rsidR="0001180A" w:rsidRPr="007C2D5F" w:rsidRDefault="0098563A" w:rsidP="002601DD">
            <w:pPr>
              <w:spacing w:after="0" w:line="240" w:lineRule="auto"/>
              <w:ind w:firstLine="510"/>
              <w:jc w:val="both"/>
              <w:rPr>
                <w:rFonts w:ascii="Times New Roman" w:eastAsia="Times New Roman" w:hAnsi="Times New Roman"/>
                <w:color w:val="000000"/>
                <w:sz w:val="24"/>
                <w:szCs w:val="24"/>
                <w:highlight w:val="yellow"/>
                <w:lang w:eastAsia="lv-LV"/>
              </w:rPr>
            </w:pPr>
            <w:r w:rsidRPr="007C2D5F">
              <w:rPr>
                <w:rFonts w:ascii="Times New Roman" w:eastAsia="Times New Roman" w:hAnsi="Times New Roman"/>
                <w:color w:val="000000"/>
                <w:sz w:val="24"/>
                <w:szCs w:val="24"/>
                <w:lang w:eastAsia="lv-LV"/>
              </w:rPr>
              <w:t>Tiesu administrācija</w:t>
            </w:r>
          </w:p>
        </w:tc>
      </w:tr>
      <w:tr w:rsidR="008752D4" w:rsidRPr="007C2D5F" w14:paraId="6787A2DE" w14:textId="77777777" w:rsidTr="008B146E">
        <w:trPr>
          <w:trHeight w:val="510"/>
        </w:trPr>
        <w:tc>
          <w:tcPr>
            <w:tcW w:w="202" w:type="pct"/>
            <w:gridSpan w:val="2"/>
            <w:tcBorders>
              <w:top w:val="outset" w:sz="6" w:space="0" w:color="414142"/>
              <w:left w:val="outset" w:sz="6" w:space="0" w:color="414142"/>
              <w:bottom w:val="outset" w:sz="6" w:space="0" w:color="414142"/>
              <w:right w:val="outset" w:sz="6" w:space="0" w:color="414142"/>
            </w:tcBorders>
          </w:tcPr>
          <w:p w14:paraId="0FC37AFE"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3.</w:t>
            </w:r>
          </w:p>
        </w:tc>
        <w:tc>
          <w:tcPr>
            <w:tcW w:w="1508" w:type="pct"/>
            <w:gridSpan w:val="3"/>
            <w:tcBorders>
              <w:top w:val="outset" w:sz="6" w:space="0" w:color="414142"/>
              <w:left w:val="outset" w:sz="6" w:space="0" w:color="414142"/>
              <w:bottom w:val="outset" w:sz="6" w:space="0" w:color="414142"/>
              <w:right w:val="outset" w:sz="6" w:space="0" w:color="414142"/>
            </w:tcBorders>
          </w:tcPr>
          <w:p w14:paraId="59522E40"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Administratīvo izmaksu monetārs novērtējums</w:t>
            </w:r>
          </w:p>
        </w:tc>
        <w:tc>
          <w:tcPr>
            <w:tcW w:w="3290" w:type="pct"/>
            <w:gridSpan w:val="4"/>
            <w:tcBorders>
              <w:top w:val="outset" w:sz="6" w:space="0" w:color="414142"/>
              <w:left w:val="outset" w:sz="6" w:space="0" w:color="414142"/>
              <w:bottom w:val="outset" w:sz="6" w:space="0" w:color="414142"/>
              <w:right w:val="outset" w:sz="6" w:space="0" w:color="414142"/>
            </w:tcBorders>
          </w:tcPr>
          <w:p w14:paraId="40C52E22" w14:textId="1C08A5F4" w:rsidR="008752D4" w:rsidRPr="007C2D5F" w:rsidRDefault="00910BF0" w:rsidP="002601DD">
            <w:pPr>
              <w:spacing w:after="0" w:line="240" w:lineRule="auto"/>
              <w:ind w:firstLine="510"/>
              <w:jc w:val="both"/>
              <w:rPr>
                <w:rFonts w:ascii="Times New Roman" w:eastAsia="Times New Roman" w:hAnsi="Times New Roman"/>
                <w:color w:val="000000"/>
                <w:sz w:val="24"/>
                <w:szCs w:val="24"/>
                <w:highlight w:val="yellow"/>
                <w:lang w:eastAsia="lv-LV"/>
              </w:rPr>
            </w:pPr>
            <w:r w:rsidRPr="007C2D5F">
              <w:rPr>
                <w:rFonts w:ascii="Times New Roman" w:eastAsia="Times New Roman" w:hAnsi="Times New Roman"/>
                <w:color w:val="000000"/>
                <w:sz w:val="24"/>
                <w:szCs w:val="24"/>
                <w:lang w:eastAsia="lv-LV"/>
              </w:rPr>
              <w:t>Nav</w:t>
            </w:r>
          </w:p>
        </w:tc>
      </w:tr>
      <w:tr w:rsidR="008752D4" w:rsidRPr="007C2D5F" w14:paraId="1AC49A81" w14:textId="77777777" w:rsidTr="008B146E">
        <w:trPr>
          <w:trHeight w:val="345"/>
        </w:trPr>
        <w:tc>
          <w:tcPr>
            <w:tcW w:w="202" w:type="pct"/>
            <w:gridSpan w:val="2"/>
            <w:tcBorders>
              <w:top w:val="outset" w:sz="6" w:space="0" w:color="414142"/>
              <w:left w:val="outset" w:sz="6" w:space="0" w:color="414142"/>
              <w:bottom w:val="outset" w:sz="6" w:space="0" w:color="414142"/>
              <w:right w:val="outset" w:sz="6" w:space="0" w:color="414142"/>
            </w:tcBorders>
          </w:tcPr>
          <w:p w14:paraId="59801AA7"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4.</w:t>
            </w:r>
          </w:p>
        </w:tc>
        <w:tc>
          <w:tcPr>
            <w:tcW w:w="1508" w:type="pct"/>
            <w:gridSpan w:val="3"/>
            <w:tcBorders>
              <w:top w:val="outset" w:sz="6" w:space="0" w:color="414142"/>
              <w:left w:val="outset" w:sz="6" w:space="0" w:color="414142"/>
              <w:bottom w:val="outset" w:sz="6" w:space="0" w:color="414142"/>
              <w:right w:val="outset" w:sz="6" w:space="0" w:color="414142"/>
            </w:tcBorders>
          </w:tcPr>
          <w:p w14:paraId="228B6A1D"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Cita informācija</w:t>
            </w:r>
          </w:p>
        </w:tc>
        <w:tc>
          <w:tcPr>
            <w:tcW w:w="3290" w:type="pct"/>
            <w:gridSpan w:val="4"/>
            <w:tcBorders>
              <w:top w:val="outset" w:sz="6" w:space="0" w:color="414142"/>
              <w:left w:val="outset" w:sz="6" w:space="0" w:color="414142"/>
              <w:bottom w:val="outset" w:sz="6" w:space="0" w:color="414142"/>
              <w:right w:val="single" w:sz="4" w:space="0" w:color="auto"/>
            </w:tcBorders>
          </w:tcPr>
          <w:p w14:paraId="59728E29" w14:textId="77777777" w:rsidR="008752D4" w:rsidRPr="007C2D5F" w:rsidRDefault="008752D4" w:rsidP="009D3716">
            <w:pPr>
              <w:spacing w:after="0" w:line="240" w:lineRule="auto"/>
              <w:ind w:firstLine="510"/>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Nav</w:t>
            </w:r>
          </w:p>
        </w:tc>
      </w:tr>
      <w:tr w:rsidR="007B6E01" w:rsidRPr="009319DC" w14:paraId="1877FC3A" w14:textId="77777777" w:rsidTr="008B146E">
        <w:trPr>
          <w:trHeight w:val="345"/>
        </w:trPr>
        <w:tc>
          <w:tcPr>
            <w:tcW w:w="5000" w:type="pct"/>
            <w:gridSpan w:val="9"/>
            <w:tcBorders>
              <w:top w:val="dotted" w:sz="2" w:space="0" w:color="auto"/>
              <w:left w:val="nil"/>
              <w:bottom w:val="nil"/>
              <w:right w:val="nil"/>
            </w:tcBorders>
          </w:tcPr>
          <w:p w14:paraId="449614FB" w14:textId="77777777" w:rsidR="007B6E01" w:rsidRDefault="007B6E01" w:rsidP="007B6E01">
            <w:pPr>
              <w:rPr>
                <w:rFonts w:ascii="Times New Roman" w:eastAsia="Times New Roman" w:hAnsi="Times New Roman"/>
                <w:b/>
                <w:color w:val="000000"/>
                <w:sz w:val="24"/>
                <w:szCs w:val="24"/>
                <w:lang w:eastAsia="lv-LV"/>
              </w:rPr>
            </w:pPr>
          </w:p>
          <w:p w14:paraId="5DA4DB25" w14:textId="786E8FF8" w:rsidR="007B6E01" w:rsidRPr="007B6E01" w:rsidRDefault="007B6E01" w:rsidP="00A32F3E">
            <w:pPr>
              <w:jc w:val="center"/>
              <w:rPr>
                <w:rFonts w:ascii="Times New Roman" w:eastAsia="Times New Roman" w:hAnsi="Times New Roman"/>
                <w:color w:val="000000"/>
                <w:sz w:val="24"/>
                <w:szCs w:val="24"/>
                <w:lang w:eastAsia="lv-LV"/>
              </w:rPr>
            </w:pPr>
            <w:r w:rsidRPr="007B6E01">
              <w:rPr>
                <w:rFonts w:ascii="Times New Roman" w:eastAsia="Times New Roman" w:hAnsi="Times New Roman"/>
                <w:b/>
                <w:color w:val="000000"/>
                <w:sz w:val="24"/>
                <w:szCs w:val="24"/>
                <w:lang w:eastAsia="lv-LV"/>
              </w:rPr>
              <w:t>III. Tiesību akta projekta ietekme uz valsts budžetu un pašvaldību budžetiem</w:t>
            </w:r>
          </w:p>
        </w:tc>
      </w:tr>
      <w:tr w:rsidR="007B6E01" w:rsidRPr="009319DC" w14:paraId="0924E299"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
        </w:trPr>
        <w:tc>
          <w:tcPr>
            <w:tcW w:w="966" w:type="pct"/>
            <w:gridSpan w:val="2"/>
            <w:vMerge w:val="restart"/>
            <w:vAlign w:val="center"/>
          </w:tcPr>
          <w:p w14:paraId="4E13F21E" w14:textId="77777777" w:rsidR="007B6E01" w:rsidRPr="007B6E01" w:rsidRDefault="007B6E01" w:rsidP="00771CA5">
            <w:pPr>
              <w:pStyle w:val="naisf"/>
              <w:spacing w:before="0" w:after="0"/>
              <w:ind w:firstLine="0"/>
              <w:jc w:val="center"/>
              <w:rPr>
                <w:b/>
              </w:rPr>
            </w:pPr>
            <w:r w:rsidRPr="007B6E01">
              <w:rPr>
                <w:b/>
              </w:rPr>
              <w:t>Rādītāji</w:t>
            </w:r>
          </w:p>
        </w:tc>
        <w:tc>
          <w:tcPr>
            <w:tcW w:w="1561" w:type="pct"/>
            <w:gridSpan w:val="3"/>
            <w:vMerge w:val="restart"/>
            <w:vAlign w:val="center"/>
          </w:tcPr>
          <w:p w14:paraId="6E3C59D0" w14:textId="77777777" w:rsidR="007B6E01" w:rsidRPr="007B6E01" w:rsidRDefault="007B6E01" w:rsidP="008B146E">
            <w:pPr>
              <w:pStyle w:val="naisf"/>
              <w:spacing w:before="0" w:after="0"/>
              <w:ind w:firstLine="0"/>
              <w:jc w:val="center"/>
              <w:rPr>
                <w:b/>
              </w:rPr>
            </w:pPr>
            <w:r w:rsidRPr="007B6E01">
              <w:rPr>
                <w:b/>
              </w:rPr>
              <w:t>2016</w:t>
            </w:r>
          </w:p>
        </w:tc>
        <w:tc>
          <w:tcPr>
            <w:tcW w:w="2467" w:type="pct"/>
            <w:gridSpan w:val="3"/>
            <w:vAlign w:val="center"/>
          </w:tcPr>
          <w:p w14:paraId="1C4E7681" w14:textId="77777777" w:rsidR="007B6E01" w:rsidRPr="007B6E01" w:rsidRDefault="007B6E01" w:rsidP="008B146E">
            <w:pPr>
              <w:pStyle w:val="naisf"/>
              <w:spacing w:before="0" w:after="0"/>
              <w:ind w:firstLine="0"/>
              <w:jc w:val="center"/>
              <w:rPr>
                <w:b/>
                <w:i/>
              </w:rPr>
            </w:pPr>
            <w:r w:rsidRPr="007B6E01">
              <w:t>Turpmākie trīs gadi (EUR)</w:t>
            </w:r>
          </w:p>
        </w:tc>
      </w:tr>
      <w:tr w:rsidR="008B146E" w:rsidRPr="009319DC" w14:paraId="00B9AF06"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
        </w:trPr>
        <w:tc>
          <w:tcPr>
            <w:tcW w:w="966" w:type="pct"/>
            <w:gridSpan w:val="2"/>
            <w:vMerge/>
            <w:vAlign w:val="center"/>
          </w:tcPr>
          <w:p w14:paraId="6715AFBE" w14:textId="77777777" w:rsidR="007B6E01" w:rsidRPr="007B6E01" w:rsidRDefault="007B6E01" w:rsidP="00771CA5">
            <w:pPr>
              <w:pStyle w:val="naisf"/>
              <w:spacing w:before="0" w:after="0"/>
              <w:ind w:firstLine="0"/>
              <w:jc w:val="center"/>
              <w:rPr>
                <w:b/>
                <w:i/>
              </w:rPr>
            </w:pPr>
          </w:p>
        </w:tc>
        <w:tc>
          <w:tcPr>
            <w:tcW w:w="1561" w:type="pct"/>
            <w:gridSpan w:val="3"/>
            <w:vMerge/>
            <w:vAlign w:val="center"/>
          </w:tcPr>
          <w:p w14:paraId="4603F3A6" w14:textId="77777777" w:rsidR="007B6E01" w:rsidRPr="007B6E01" w:rsidRDefault="007B6E01" w:rsidP="008B146E">
            <w:pPr>
              <w:pStyle w:val="naisf"/>
              <w:spacing w:before="0" w:after="0"/>
              <w:ind w:firstLine="0"/>
              <w:jc w:val="center"/>
              <w:rPr>
                <w:b/>
                <w:i/>
              </w:rPr>
            </w:pPr>
          </w:p>
        </w:tc>
        <w:tc>
          <w:tcPr>
            <w:tcW w:w="822" w:type="pct"/>
            <w:vAlign w:val="center"/>
          </w:tcPr>
          <w:p w14:paraId="20A7092A" w14:textId="77777777" w:rsidR="007B6E01" w:rsidRPr="007B6E01" w:rsidRDefault="007B6E01" w:rsidP="008B146E">
            <w:pPr>
              <w:pStyle w:val="naisf"/>
              <w:spacing w:before="0" w:after="0"/>
              <w:ind w:firstLine="0"/>
              <w:jc w:val="center"/>
              <w:rPr>
                <w:b/>
                <w:i/>
              </w:rPr>
            </w:pPr>
            <w:r w:rsidRPr="007B6E01">
              <w:rPr>
                <w:b/>
                <w:bCs/>
              </w:rPr>
              <w:t>2017</w:t>
            </w:r>
          </w:p>
        </w:tc>
        <w:tc>
          <w:tcPr>
            <w:tcW w:w="905" w:type="pct"/>
            <w:vAlign w:val="center"/>
          </w:tcPr>
          <w:p w14:paraId="43174C47" w14:textId="77777777" w:rsidR="007B6E01" w:rsidRPr="007B6E01" w:rsidRDefault="007B6E01" w:rsidP="008B146E">
            <w:pPr>
              <w:pStyle w:val="naisf"/>
              <w:spacing w:before="0" w:after="0"/>
              <w:ind w:firstLine="0"/>
              <w:jc w:val="center"/>
              <w:rPr>
                <w:b/>
                <w:i/>
              </w:rPr>
            </w:pPr>
            <w:r w:rsidRPr="007B6E01">
              <w:rPr>
                <w:b/>
                <w:bCs/>
              </w:rPr>
              <w:t>2018</w:t>
            </w:r>
          </w:p>
        </w:tc>
        <w:tc>
          <w:tcPr>
            <w:tcW w:w="740" w:type="pct"/>
            <w:vAlign w:val="center"/>
          </w:tcPr>
          <w:p w14:paraId="6FD60639" w14:textId="77777777" w:rsidR="007B6E01" w:rsidRPr="007B6E01" w:rsidRDefault="007B6E01" w:rsidP="008B146E">
            <w:pPr>
              <w:pStyle w:val="naisf"/>
              <w:spacing w:before="0" w:after="0"/>
              <w:ind w:firstLine="0"/>
              <w:jc w:val="center"/>
              <w:rPr>
                <w:b/>
                <w:i/>
              </w:rPr>
            </w:pPr>
            <w:r w:rsidRPr="007B6E01">
              <w:rPr>
                <w:b/>
                <w:bCs/>
              </w:rPr>
              <w:t>2019</w:t>
            </w:r>
          </w:p>
        </w:tc>
      </w:tr>
      <w:tr w:rsidR="007B6E01" w:rsidRPr="009319DC" w14:paraId="443530DD"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
        </w:trPr>
        <w:tc>
          <w:tcPr>
            <w:tcW w:w="966" w:type="pct"/>
            <w:gridSpan w:val="2"/>
            <w:vMerge/>
            <w:vAlign w:val="center"/>
          </w:tcPr>
          <w:p w14:paraId="6E7C2576" w14:textId="77777777" w:rsidR="007B6E01" w:rsidRPr="007B6E01" w:rsidRDefault="007B6E01" w:rsidP="00771CA5">
            <w:pPr>
              <w:pStyle w:val="naisf"/>
              <w:spacing w:before="0" w:after="0"/>
              <w:ind w:firstLine="0"/>
              <w:jc w:val="center"/>
              <w:rPr>
                <w:b/>
                <w:i/>
              </w:rPr>
            </w:pPr>
          </w:p>
        </w:tc>
        <w:tc>
          <w:tcPr>
            <w:tcW w:w="723" w:type="pct"/>
            <w:vAlign w:val="center"/>
          </w:tcPr>
          <w:p w14:paraId="2BB6071F" w14:textId="77777777" w:rsidR="007B6E01" w:rsidRPr="007B6E01" w:rsidRDefault="007B6E01" w:rsidP="008B146E">
            <w:pPr>
              <w:pStyle w:val="naisf"/>
              <w:spacing w:before="0" w:after="0"/>
              <w:ind w:firstLine="0"/>
              <w:jc w:val="center"/>
              <w:rPr>
                <w:b/>
                <w:i/>
              </w:rPr>
            </w:pPr>
            <w:r w:rsidRPr="007B6E01">
              <w:t>Saskaņā ar valsts budžetu kārtējam gadam</w:t>
            </w:r>
          </w:p>
        </w:tc>
        <w:tc>
          <w:tcPr>
            <w:tcW w:w="838" w:type="pct"/>
            <w:gridSpan w:val="2"/>
            <w:vAlign w:val="center"/>
          </w:tcPr>
          <w:p w14:paraId="013BFAD2" w14:textId="77777777" w:rsidR="007B6E01" w:rsidRPr="007B6E01" w:rsidRDefault="007B6E01" w:rsidP="008B146E">
            <w:pPr>
              <w:pStyle w:val="naisf"/>
              <w:spacing w:before="0" w:after="0"/>
              <w:ind w:firstLine="0"/>
              <w:jc w:val="center"/>
              <w:rPr>
                <w:b/>
                <w:i/>
              </w:rPr>
            </w:pPr>
            <w:r w:rsidRPr="007B6E01">
              <w:t>Izmaiņas kārtējā gadā, salīdzinot ar budžetu kārtējam gadam</w:t>
            </w:r>
          </w:p>
        </w:tc>
        <w:tc>
          <w:tcPr>
            <w:tcW w:w="822" w:type="pct"/>
            <w:vAlign w:val="center"/>
          </w:tcPr>
          <w:p w14:paraId="7511F37F" w14:textId="77777777" w:rsidR="007B6E01" w:rsidRPr="007B6E01" w:rsidRDefault="007B6E01" w:rsidP="008B146E">
            <w:pPr>
              <w:pStyle w:val="naisf"/>
              <w:spacing w:before="0" w:after="0"/>
              <w:ind w:firstLine="0"/>
              <w:jc w:val="center"/>
              <w:rPr>
                <w:b/>
                <w:i/>
              </w:rPr>
            </w:pPr>
            <w:r w:rsidRPr="007B6E01">
              <w:t>Izmaiņas, salīdzinot ar kārtējo 2016. gadu</w:t>
            </w:r>
          </w:p>
        </w:tc>
        <w:tc>
          <w:tcPr>
            <w:tcW w:w="905" w:type="pct"/>
            <w:vAlign w:val="center"/>
          </w:tcPr>
          <w:p w14:paraId="4CB74B98" w14:textId="77777777" w:rsidR="007B6E01" w:rsidRPr="007B6E01" w:rsidRDefault="007B6E01" w:rsidP="008B146E">
            <w:pPr>
              <w:pStyle w:val="naisf"/>
              <w:spacing w:before="0" w:after="0"/>
              <w:ind w:firstLine="0"/>
              <w:jc w:val="center"/>
              <w:rPr>
                <w:b/>
                <w:i/>
              </w:rPr>
            </w:pPr>
            <w:r w:rsidRPr="007B6E01">
              <w:t>Izmaiņas, salīdzinot ar kārtējo 2016. gadu</w:t>
            </w:r>
          </w:p>
        </w:tc>
        <w:tc>
          <w:tcPr>
            <w:tcW w:w="740" w:type="pct"/>
            <w:vAlign w:val="center"/>
          </w:tcPr>
          <w:p w14:paraId="2EDBE036" w14:textId="77777777" w:rsidR="007B6E01" w:rsidRPr="007B6E01" w:rsidRDefault="007B6E01" w:rsidP="008B146E">
            <w:pPr>
              <w:pStyle w:val="naisf"/>
              <w:spacing w:before="0" w:after="0"/>
              <w:ind w:firstLine="0"/>
              <w:jc w:val="center"/>
              <w:rPr>
                <w:b/>
                <w:i/>
              </w:rPr>
            </w:pPr>
            <w:r w:rsidRPr="007B6E01">
              <w:t>Izmaiņas, salīdzinot ar kārtējo 2016. gadu</w:t>
            </w:r>
          </w:p>
        </w:tc>
      </w:tr>
      <w:tr w:rsidR="007B6E01" w:rsidRPr="009319DC" w14:paraId="559C71A8"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
        </w:trPr>
        <w:tc>
          <w:tcPr>
            <w:tcW w:w="966" w:type="pct"/>
            <w:gridSpan w:val="2"/>
            <w:vAlign w:val="center"/>
          </w:tcPr>
          <w:p w14:paraId="47A05F6F" w14:textId="77777777" w:rsidR="007B6E01" w:rsidRPr="007B6E01" w:rsidRDefault="007B6E01" w:rsidP="00771CA5">
            <w:pPr>
              <w:pStyle w:val="naisf"/>
              <w:spacing w:before="0" w:after="0"/>
              <w:ind w:firstLine="0"/>
              <w:jc w:val="center"/>
              <w:rPr>
                <w:bCs/>
              </w:rPr>
            </w:pPr>
            <w:r w:rsidRPr="007B6E01">
              <w:rPr>
                <w:bCs/>
              </w:rPr>
              <w:t>1</w:t>
            </w:r>
          </w:p>
        </w:tc>
        <w:tc>
          <w:tcPr>
            <w:tcW w:w="723" w:type="pct"/>
            <w:vAlign w:val="center"/>
          </w:tcPr>
          <w:p w14:paraId="6E79F44C" w14:textId="77777777" w:rsidR="007B6E01" w:rsidRPr="007B6E01" w:rsidRDefault="007B6E01" w:rsidP="008B146E">
            <w:pPr>
              <w:pStyle w:val="naisf"/>
              <w:spacing w:before="0" w:after="0"/>
              <w:ind w:firstLine="0"/>
              <w:jc w:val="center"/>
              <w:rPr>
                <w:bCs/>
              </w:rPr>
            </w:pPr>
            <w:r w:rsidRPr="007B6E01">
              <w:rPr>
                <w:bCs/>
              </w:rPr>
              <w:t>2</w:t>
            </w:r>
          </w:p>
        </w:tc>
        <w:tc>
          <w:tcPr>
            <w:tcW w:w="838" w:type="pct"/>
            <w:gridSpan w:val="2"/>
            <w:vAlign w:val="center"/>
          </w:tcPr>
          <w:p w14:paraId="579DF2AE" w14:textId="77777777" w:rsidR="007B6E01" w:rsidRPr="007B6E01" w:rsidRDefault="007B6E01" w:rsidP="008B146E">
            <w:pPr>
              <w:pStyle w:val="naisf"/>
              <w:spacing w:before="0" w:after="0"/>
              <w:ind w:firstLine="0"/>
              <w:jc w:val="center"/>
              <w:rPr>
                <w:bCs/>
              </w:rPr>
            </w:pPr>
            <w:r w:rsidRPr="007B6E01">
              <w:rPr>
                <w:bCs/>
              </w:rPr>
              <w:t>3</w:t>
            </w:r>
          </w:p>
        </w:tc>
        <w:tc>
          <w:tcPr>
            <w:tcW w:w="822" w:type="pct"/>
            <w:vAlign w:val="center"/>
          </w:tcPr>
          <w:p w14:paraId="6173ECC7" w14:textId="77777777" w:rsidR="007B6E01" w:rsidRPr="007B6E01" w:rsidRDefault="007B6E01" w:rsidP="008B146E">
            <w:pPr>
              <w:pStyle w:val="naisf"/>
              <w:spacing w:before="0" w:after="0"/>
              <w:ind w:firstLine="0"/>
              <w:jc w:val="center"/>
              <w:rPr>
                <w:bCs/>
              </w:rPr>
            </w:pPr>
            <w:r w:rsidRPr="007B6E01">
              <w:rPr>
                <w:bCs/>
              </w:rPr>
              <w:t>4</w:t>
            </w:r>
          </w:p>
        </w:tc>
        <w:tc>
          <w:tcPr>
            <w:tcW w:w="905" w:type="pct"/>
            <w:vAlign w:val="center"/>
          </w:tcPr>
          <w:p w14:paraId="374F79E4" w14:textId="77777777" w:rsidR="007B6E01" w:rsidRPr="007B6E01" w:rsidRDefault="007B6E01" w:rsidP="008B146E">
            <w:pPr>
              <w:pStyle w:val="naisf"/>
              <w:spacing w:before="0" w:after="0"/>
              <w:ind w:firstLine="0"/>
              <w:jc w:val="center"/>
              <w:rPr>
                <w:bCs/>
              </w:rPr>
            </w:pPr>
            <w:r w:rsidRPr="007B6E01">
              <w:rPr>
                <w:bCs/>
              </w:rPr>
              <w:t>5</w:t>
            </w:r>
          </w:p>
        </w:tc>
        <w:tc>
          <w:tcPr>
            <w:tcW w:w="740" w:type="pct"/>
            <w:vAlign w:val="center"/>
          </w:tcPr>
          <w:p w14:paraId="7F03F35F" w14:textId="77777777" w:rsidR="007B6E01" w:rsidRPr="007B6E01" w:rsidRDefault="007B6E01" w:rsidP="008B146E">
            <w:pPr>
              <w:pStyle w:val="naisf"/>
              <w:spacing w:before="0" w:after="0"/>
              <w:ind w:firstLine="0"/>
              <w:jc w:val="center"/>
              <w:rPr>
                <w:bCs/>
              </w:rPr>
            </w:pPr>
            <w:r w:rsidRPr="007B6E01">
              <w:rPr>
                <w:bCs/>
              </w:rPr>
              <w:t>6</w:t>
            </w:r>
          </w:p>
        </w:tc>
      </w:tr>
      <w:tr w:rsidR="007B6E01" w:rsidRPr="009319DC" w14:paraId="2D2AA9F3"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
        </w:trPr>
        <w:tc>
          <w:tcPr>
            <w:tcW w:w="966" w:type="pct"/>
            <w:gridSpan w:val="2"/>
          </w:tcPr>
          <w:p w14:paraId="6DC11451" w14:textId="77777777" w:rsidR="007B6E01" w:rsidRPr="007B6E01" w:rsidRDefault="007B6E01" w:rsidP="008B146E">
            <w:pPr>
              <w:pStyle w:val="naisf"/>
              <w:spacing w:before="0" w:after="0"/>
              <w:ind w:firstLine="0"/>
              <w:rPr>
                <w:i/>
              </w:rPr>
            </w:pPr>
            <w:r w:rsidRPr="007B6E01">
              <w:t>1. Budžeta ieņēmumi:</w:t>
            </w:r>
          </w:p>
        </w:tc>
        <w:tc>
          <w:tcPr>
            <w:tcW w:w="723" w:type="pct"/>
            <w:vAlign w:val="center"/>
          </w:tcPr>
          <w:p w14:paraId="233562E9" w14:textId="77777777" w:rsidR="007B6E01" w:rsidRPr="007B6E01" w:rsidRDefault="007B6E01" w:rsidP="008B146E">
            <w:pPr>
              <w:pStyle w:val="naisf"/>
              <w:spacing w:before="0" w:after="0"/>
              <w:ind w:firstLine="0"/>
              <w:jc w:val="center"/>
            </w:pPr>
            <w:r w:rsidRPr="007B6E01">
              <w:t>48 602 981</w:t>
            </w:r>
          </w:p>
        </w:tc>
        <w:tc>
          <w:tcPr>
            <w:tcW w:w="838" w:type="pct"/>
            <w:gridSpan w:val="2"/>
            <w:vAlign w:val="center"/>
          </w:tcPr>
          <w:p w14:paraId="5220454F" w14:textId="77777777" w:rsidR="007B6E01" w:rsidRPr="007B6E01" w:rsidRDefault="007B6E01" w:rsidP="008B146E">
            <w:pPr>
              <w:pStyle w:val="naisf"/>
              <w:spacing w:before="0" w:after="0"/>
              <w:ind w:firstLine="0"/>
              <w:jc w:val="center"/>
            </w:pPr>
          </w:p>
        </w:tc>
        <w:tc>
          <w:tcPr>
            <w:tcW w:w="822" w:type="pct"/>
            <w:vAlign w:val="center"/>
          </w:tcPr>
          <w:p w14:paraId="3B0FB82C" w14:textId="77777777" w:rsidR="007B6E01" w:rsidRPr="007B6E01" w:rsidRDefault="007B6E01" w:rsidP="008B146E">
            <w:pPr>
              <w:pStyle w:val="naisf"/>
              <w:spacing w:before="0" w:after="0"/>
              <w:ind w:firstLine="0"/>
            </w:pPr>
          </w:p>
        </w:tc>
        <w:tc>
          <w:tcPr>
            <w:tcW w:w="905" w:type="pct"/>
            <w:vAlign w:val="center"/>
          </w:tcPr>
          <w:p w14:paraId="65194CF8" w14:textId="77777777" w:rsidR="007B6E01" w:rsidRPr="007B6E01" w:rsidRDefault="007B6E01" w:rsidP="008B146E">
            <w:pPr>
              <w:pStyle w:val="naisf"/>
              <w:spacing w:before="0" w:after="0"/>
              <w:ind w:firstLine="0"/>
              <w:jc w:val="center"/>
            </w:pPr>
          </w:p>
        </w:tc>
        <w:tc>
          <w:tcPr>
            <w:tcW w:w="740" w:type="pct"/>
            <w:vAlign w:val="center"/>
          </w:tcPr>
          <w:p w14:paraId="16AAAFE5" w14:textId="77777777" w:rsidR="007B6E01" w:rsidRPr="007B6E01" w:rsidRDefault="007B6E01" w:rsidP="008B146E">
            <w:pPr>
              <w:pStyle w:val="naisf"/>
              <w:spacing w:before="0" w:after="0"/>
              <w:ind w:firstLine="0"/>
              <w:jc w:val="center"/>
            </w:pPr>
          </w:p>
        </w:tc>
      </w:tr>
      <w:tr w:rsidR="007B6E01" w:rsidRPr="009319DC" w14:paraId="76AD34BE"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
        </w:trPr>
        <w:tc>
          <w:tcPr>
            <w:tcW w:w="966" w:type="pct"/>
            <w:gridSpan w:val="2"/>
          </w:tcPr>
          <w:p w14:paraId="58C6AD3C" w14:textId="77777777" w:rsidR="007B6E01" w:rsidRPr="007B6E01" w:rsidRDefault="007B6E01" w:rsidP="008B146E">
            <w:pPr>
              <w:pStyle w:val="naisf"/>
              <w:spacing w:before="0" w:after="0"/>
              <w:ind w:firstLine="0"/>
              <w:rPr>
                <w:i/>
              </w:rPr>
            </w:pPr>
            <w:r w:rsidRPr="007B6E01">
              <w:t xml:space="preserve">1.1. valsts pamatbudžets, tai skaitā ieņēmumi no </w:t>
            </w:r>
            <w:r w:rsidRPr="007B6E01">
              <w:lastRenderedPageBreak/>
              <w:t>maksas pakalpojumiem un citi pašu ieņēmumi</w:t>
            </w:r>
          </w:p>
        </w:tc>
        <w:tc>
          <w:tcPr>
            <w:tcW w:w="723" w:type="pct"/>
            <w:vAlign w:val="center"/>
          </w:tcPr>
          <w:p w14:paraId="58F0CE75" w14:textId="77777777" w:rsidR="007B6E01" w:rsidRPr="007B6E01" w:rsidRDefault="007B6E01" w:rsidP="008B146E">
            <w:pPr>
              <w:pStyle w:val="naisf"/>
              <w:spacing w:before="0" w:after="0"/>
              <w:ind w:firstLine="0"/>
              <w:jc w:val="center"/>
            </w:pPr>
            <w:r w:rsidRPr="007B6E01">
              <w:lastRenderedPageBreak/>
              <w:t>48 602 981</w:t>
            </w:r>
          </w:p>
        </w:tc>
        <w:tc>
          <w:tcPr>
            <w:tcW w:w="838" w:type="pct"/>
            <w:gridSpan w:val="2"/>
            <w:vAlign w:val="center"/>
          </w:tcPr>
          <w:p w14:paraId="292D3B6B" w14:textId="77777777" w:rsidR="007B6E01" w:rsidRPr="007B6E01" w:rsidRDefault="007B6E01" w:rsidP="008B146E">
            <w:pPr>
              <w:pStyle w:val="naisf"/>
              <w:spacing w:before="0" w:after="0"/>
              <w:ind w:firstLine="0"/>
              <w:jc w:val="center"/>
            </w:pPr>
          </w:p>
        </w:tc>
        <w:tc>
          <w:tcPr>
            <w:tcW w:w="822" w:type="pct"/>
            <w:vAlign w:val="center"/>
          </w:tcPr>
          <w:p w14:paraId="474D3457" w14:textId="77777777" w:rsidR="007B6E01" w:rsidRPr="007B6E01" w:rsidRDefault="007B6E01" w:rsidP="008B146E">
            <w:pPr>
              <w:pStyle w:val="naisf"/>
              <w:spacing w:before="0" w:after="0"/>
              <w:ind w:firstLine="0"/>
              <w:jc w:val="center"/>
            </w:pPr>
          </w:p>
        </w:tc>
        <w:tc>
          <w:tcPr>
            <w:tcW w:w="905" w:type="pct"/>
            <w:vAlign w:val="center"/>
          </w:tcPr>
          <w:p w14:paraId="77DDB77B" w14:textId="77777777" w:rsidR="007B6E01" w:rsidRPr="007B6E01" w:rsidRDefault="007B6E01" w:rsidP="008B146E">
            <w:pPr>
              <w:pStyle w:val="naisf"/>
              <w:spacing w:before="0" w:after="0"/>
              <w:ind w:firstLine="0"/>
              <w:jc w:val="center"/>
            </w:pPr>
          </w:p>
        </w:tc>
        <w:tc>
          <w:tcPr>
            <w:tcW w:w="740" w:type="pct"/>
            <w:vAlign w:val="center"/>
          </w:tcPr>
          <w:p w14:paraId="0FD4EDA3" w14:textId="77777777" w:rsidR="007B6E01" w:rsidRPr="007B6E01" w:rsidRDefault="007B6E01" w:rsidP="008B146E">
            <w:pPr>
              <w:pStyle w:val="naisf"/>
              <w:spacing w:before="0" w:after="0"/>
              <w:ind w:firstLine="0"/>
              <w:jc w:val="center"/>
            </w:pPr>
          </w:p>
        </w:tc>
      </w:tr>
      <w:tr w:rsidR="007B6E01" w:rsidRPr="009319DC" w14:paraId="5A9C8476"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1"/>
        </w:trPr>
        <w:tc>
          <w:tcPr>
            <w:tcW w:w="966" w:type="pct"/>
            <w:gridSpan w:val="2"/>
          </w:tcPr>
          <w:p w14:paraId="6DCD5581" w14:textId="77777777" w:rsidR="007B6E01" w:rsidRPr="007B6E01" w:rsidRDefault="007B6E01" w:rsidP="008B146E">
            <w:pPr>
              <w:pStyle w:val="naisf"/>
              <w:spacing w:before="0" w:after="0"/>
              <w:ind w:firstLine="0"/>
              <w:rPr>
                <w:i/>
              </w:rPr>
            </w:pPr>
            <w:r w:rsidRPr="007B6E01">
              <w:lastRenderedPageBreak/>
              <w:t>1.2. valsts speciālais budžets</w:t>
            </w:r>
          </w:p>
        </w:tc>
        <w:tc>
          <w:tcPr>
            <w:tcW w:w="723" w:type="pct"/>
            <w:vAlign w:val="center"/>
          </w:tcPr>
          <w:p w14:paraId="7956390F" w14:textId="77777777" w:rsidR="007B6E01" w:rsidRPr="007B6E01" w:rsidRDefault="007B6E01" w:rsidP="008B146E">
            <w:pPr>
              <w:pStyle w:val="naisf"/>
              <w:spacing w:before="0" w:after="0"/>
              <w:ind w:firstLine="0"/>
              <w:jc w:val="center"/>
            </w:pPr>
          </w:p>
        </w:tc>
        <w:tc>
          <w:tcPr>
            <w:tcW w:w="838" w:type="pct"/>
            <w:gridSpan w:val="2"/>
            <w:vAlign w:val="center"/>
          </w:tcPr>
          <w:p w14:paraId="7BD7F6BF" w14:textId="77777777" w:rsidR="007B6E01" w:rsidRPr="007B6E01" w:rsidRDefault="007B6E01" w:rsidP="008B146E">
            <w:pPr>
              <w:pStyle w:val="naisf"/>
              <w:spacing w:before="0" w:after="0"/>
              <w:ind w:firstLine="0"/>
              <w:jc w:val="center"/>
            </w:pPr>
          </w:p>
        </w:tc>
        <w:tc>
          <w:tcPr>
            <w:tcW w:w="822" w:type="pct"/>
            <w:vAlign w:val="center"/>
          </w:tcPr>
          <w:p w14:paraId="2721F8CC" w14:textId="77777777" w:rsidR="007B6E01" w:rsidRPr="007B6E01" w:rsidRDefault="007B6E01" w:rsidP="008B146E">
            <w:pPr>
              <w:pStyle w:val="naisf"/>
              <w:spacing w:before="0" w:after="0"/>
              <w:ind w:firstLine="0"/>
              <w:jc w:val="center"/>
            </w:pPr>
          </w:p>
        </w:tc>
        <w:tc>
          <w:tcPr>
            <w:tcW w:w="905" w:type="pct"/>
            <w:vAlign w:val="center"/>
          </w:tcPr>
          <w:p w14:paraId="5D5263E1" w14:textId="77777777" w:rsidR="007B6E01" w:rsidRPr="007B6E01" w:rsidRDefault="007B6E01" w:rsidP="008B146E">
            <w:pPr>
              <w:pStyle w:val="naisf"/>
              <w:spacing w:before="0" w:after="0"/>
              <w:ind w:firstLine="0"/>
              <w:jc w:val="center"/>
            </w:pPr>
          </w:p>
        </w:tc>
        <w:tc>
          <w:tcPr>
            <w:tcW w:w="740" w:type="pct"/>
            <w:vAlign w:val="center"/>
          </w:tcPr>
          <w:p w14:paraId="3CCE8A4D" w14:textId="77777777" w:rsidR="007B6E01" w:rsidRPr="007B6E01" w:rsidRDefault="007B6E01" w:rsidP="008B146E">
            <w:pPr>
              <w:pStyle w:val="naisf"/>
              <w:spacing w:before="0" w:after="0"/>
              <w:ind w:firstLine="0"/>
              <w:jc w:val="center"/>
            </w:pPr>
          </w:p>
        </w:tc>
      </w:tr>
      <w:tr w:rsidR="007B6E01" w:rsidRPr="009319DC" w14:paraId="06F82EDB"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2"/>
        </w:trPr>
        <w:tc>
          <w:tcPr>
            <w:tcW w:w="966" w:type="pct"/>
            <w:gridSpan w:val="2"/>
          </w:tcPr>
          <w:p w14:paraId="41929090" w14:textId="77777777" w:rsidR="007B6E01" w:rsidRPr="007B6E01" w:rsidRDefault="007B6E01" w:rsidP="008B146E">
            <w:pPr>
              <w:pStyle w:val="naisf"/>
              <w:spacing w:before="0" w:after="0"/>
              <w:ind w:firstLine="0"/>
              <w:rPr>
                <w:i/>
              </w:rPr>
            </w:pPr>
            <w:r w:rsidRPr="007B6E01">
              <w:t>1.3. pašvaldību budžets</w:t>
            </w:r>
          </w:p>
        </w:tc>
        <w:tc>
          <w:tcPr>
            <w:tcW w:w="723" w:type="pct"/>
            <w:vAlign w:val="center"/>
          </w:tcPr>
          <w:p w14:paraId="2EC0BB28" w14:textId="77777777" w:rsidR="007B6E01" w:rsidRPr="007B6E01" w:rsidRDefault="007B6E01" w:rsidP="008B146E">
            <w:pPr>
              <w:pStyle w:val="naisf"/>
              <w:spacing w:before="0" w:after="0"/>
              <w:ind w:firstLine="0"/>
              <w:jc w:val="center"/>
            </w:pPr>
          </w:p>
        </w:tc>
        <w:tc>
          <w:tcPr>
            <w:tcW w:w="838" w:type="pct"/>
            <w:gridSpan w:val="2"/>
            <w:vAlign w:val="center"/>
          </w:tcPr>
          <w:p w14:paraId="32D8B504" w14:textId="77777777" w:rsidR="007B6E01" w:rsidRPr="007B6E01" w:rsidRDefault="007B6E01" w:rsidP="008B146E">
            <w:pPr>
              <w:pStyle w:val="naisf"/>
              <w:spacing w:before="0" w:after="0"/>
              <w:ind w:firstLine="0"/>
              <w:jc w:val="center"/>
            </w:pPr>
          </w:p>
        </w:tc>
        <w:tc>
          <w:tcPr>
            <w:tcW w:w="822" w:type="pct"/>
            <w:vAlign w:val="center"/>
          </w:tcPr>
          <w:p w14:paraId="3EA518DE" w14:textId="77777777" w:rsidR="007B6E01" w:rsidRPr="007B6E01" w:rsidRDefault="007B6E01" w:rsidP="008B146E">
            <w:pPr>
              <w:pStyle w:val="naisf"/>
              <w:spacing w:before="0" w:after="0"/>
              <w:ind w:firstLine="0"/>
              <w:jc w:val="center"/>
            </w:pPr>
          </w:p>
        </w:tc>
        <w:tc>
          <w:tcPr>
            <w:tcW w:w="905" w:type="pct"/>
            <w:vAlign w:val="center"/>
          </w:tcPr>
          <w:p w14:paraId="5EB7E240" w14:textId="77777777" w:rsidR="007B6E01" w:rsidRPr="007B6E01" w:rsidRDefault="007B6E01" w:rsidP="008B146E">
            <w:pPr>
              <w:pStyle w:val="naisf"/>
              <w:spacing w:before="0" w:after="0"/>
              <w:ind w:firstLine="0"/>
              <w:jc w:val="center"/>
            </w:pPr>
          </w:p>
        </w:tc>
        <w:tc>
          <w:tcPr>
            <w:tcW w:w="740" w:type="pct"/>
            <w:vAlign w:val="center"/>
          </w:tcPr>
          <w:p w14:paraId="4F6F96C7" w14:textId="77777777" w:rsidR="007B6E01" w:rsidRPr="007B6E01" w:rsidRDefault="007B6E01" w:rsidP="008B146E">
            <w:pPr>
              <w:pStyle w:val="naisf"/>
              <w:spacing w:before="0" w:after="0"/>
              <w:ind w:firstLine="0"/>
              <w:jc w:val="center"/>
            </w:pPr>
          </w:p>
        </w:tc>
      </w:tr>
      <w:tr w:rsidR="007B6E01" w:rsidRPr="009319DC" w14:paraId="7D27AE59"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7A2A43DF"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2. Budžeta izdevumi:</w:t>
            </w:r>
          </w:p>
        </w:tc>
        <w:tc>
          <w:tcPr>
            <w:tcW w:w="723" w:type="pct"/>
            <w:vAlign w:val="center"/>
          </w:tcPr>
          <w:p w14:paraId="427ACAAE" w14:textId="77777777" w:rsidR="007B6E01" w:rsidRPr="007B6E01" w:rsidRDefault="007B6E01" w:rsidP="008B146E">
            <w:pPr>
              <w:pStyle w:val="naisf"/>
              <w:spacing w:before="0" w:after="0"/>
              <w:ind w:firstLine="0"/>
              <w:jc w:val="center"/>
            </w:pPr>
            <w:r w:rsidRPr="007B6E01">
              <w:t>48 602 981</w:t>
            </w:r>
          </w:p>
        </w:tc>
        <w:tc>
          <w:tcPr>
            <w:tcW w:w="838" w:type="pct"/>
            <w:gridSpan w:val="2"/>
            <w:vAlign w:val="center"/>
          </w:tcPr>
          <w:p w14:paraId="7BBE5B09" w14:textId="77777777" w:rsidR="007B6E01" w:rsidRPr="007B6E01" w:rsidRDefault="007B6E01" w:rsidP="008B146E">
            <w:pPr>
              <w:spacing w:after="0" w:line="240" w:lineRule="auto"/>
              <w:jc w:val="center"/>
              <w:rPr>
                <w:rFonts w:ascii="Times New Roman" w:hAnsi="Times New Roman"/>
                <w:sz w:val="24"/>
                <w:szCs w:val="24"/>
              </w:rPr>
            </w:pPr>
          </w:p>
        </w:tc>
        <w:tc>
          <w:tcPr>
            <w:tcW w:w="822" w:type="pct"/>
            <w:vAlign w:val="center"/>
          </w:tcPr>
          <w:p w14:paraId="50B762B4" w14:textId="77777777" w:rsidR="007B6E01" w:rsidRPr="007B6E01" w:rsidRDefault="007B6E01" w:rsidP="008B146E">
            <w:pPr>
              <w:pStyle w:val="naisf"/>
              <w:spacing w:before="0" w:after="0"/>
              <w:ind w:firstLine="0"/>
              <w:jc w:val="center"/>
            </w:pPr>
            <w:r w:rsidRPr="007B6E01">
              <w:t>-253 696</w:t>
            </w:r>
          </w:p>
        </w:tc>
        <w:tc>
          <w:tcPr>
            <w:tcW w:w="905" w:type="pct"/>
            <w:vAlign w:val="center"/>
          </w:tcPr>
          <w:p w14:paraId="26526597" w14:textId="77777777" w:rsidR="007B6E01" w:rsidRPr="007B6E01" w:rsidRDefault="007B6E01" w:rsidP="008B146E">
            <w:pPr>
              <w:pStyle w:val="naisf"/>
              <w:spacing w:before="0" w:after="0"/>
              <w:ind w:firstLine="0"/>
              <w:jc w:val="center"/>
            </w:pPr>
            <w:r w:rsidRPr="007B6E01">
              <w:t>-253 696</w:t>
            </w:r>
          </w:p>
        </w:tc>
        <w:tc>
          <w:tcPr>
            <w:tcW w:w="740" w:type="pct"/>
            <w:vAlign w:val="center"/>
          </w:tcPr>
          <w:p w14:paraId="42100F4C" w14:textId="77777777" w:rsidR="007B6E01" w:rsidRPr="007B6E01" w:rsidRDefault="007B6E01" w:rsidP="008B146E">
            <w:pPr>
              <w:pStyle w:val="naisf"/>
              <w:spacing w:before="0" w:after="0"/>
              <w:ind w:firstLine="0"/>
              <w:jc w:val="center"/>
            </w:pPr>
            <w:r w:rsidRPr="007B6E01">
              <w:t>-253 696</w:t>
            </w:r>
          </w:p>
        </w:tc>
      </w:tr>
      <w:tr w:rsidR="007B6E01" w:rsidRPr="009319DC" w14:paraId="530F115C"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76588111"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2.1. valsts pamatbudžets</w:t>
            </w:r>
          </w:p>
        </w:tc>
        <w:tc>
          <w:tcPr>
            <w:tcW w:w="723" w:type="pct"/>
            <w:vAlign w:val="center"/>
          </w:tcPr>
          <w:p w14:paraId="3C5C693B" w14:textId="77777777" w:rsidR="007B6E01" w:rsidRPr="007B6E01" w:rsidRDefault="007B6E01" w:rsidP="008B146E">
            <w:pPr>
              <w:pStyle w:val="naisf"/>
              <w:spacing w:before="0" w:after="0"/>
              <w:ind w:firstLine="0"/>
              <w:jc w:val="center"/>
            </w:pPr>
            <w:r w:rsidRPr="007B6E01">
              <w:t>48 602 981</w:t>
            </w:r>
          </w:p>
        </w:tc>
        <w:tc>
          <w:tcPr>
            <w:tcW w:w="838" w:type="pct"/>
            <w:gridSpan w:val="2"/>
            <w:vAlign w:val="center"/>
          </w:tcPr>
          <w:p w14:paraId="403DC03E" w14:textId="77777777" w:rsidR="007B6E01" w:rsidRPr="007B6E01" w:rsidRDefault="007B6E01" w:rsidP="008B146E">
            <w:pPr>
              <w:pStyle w:val="naisf"/>
              <w:spacing w:before="0" w:after="0"/>
              <w:ind w:firstLine="0"/>
              <w:jc w:val="center"/>
            </w:pPr>
          </w:p>
        </w:tc>
        <w:tc>
          <w:tcPr>
            <w:tcW w:w="822" w:type="pct"/>
            <w:vAlign w:val="center"/>
          </w:tcPr>
          <w:p w14:paraId="1C04F320" w14:textId="77777777" w:rsidR="007B6E01" w:rsidRPr="007B6E01" w:rsidRDefault="007B6E01" w:rsidP="008B146E">
            <w:pPr>
              <w:pStyle w:val="naisf"/>
              <w:spacing w:before="0" w:after="0"/>
              <w:ind w:firstLine="0"/>
              <w:jc w:val="center"/>
            </w:pPr>
            <w:r w:rsidRPr="007B6E01">
              <w:t>-253 696</w:t>
            </w:r>
          </w:p>
        </w:tc>
        <w:tc>
          <w:tcPr>
            <w:tcW w:w="905" w:type="pct"/>
            <w:vAlign w:val="center"/>
          </w:tcPr>
          <w:p w14:paraId="04EFDBFC" w14:textId="77777777" w:rsidR="007B6E01" w:rsidRPr="007B6E01" w:rsidRDefault="007B6E01" w:rsidP="008B146E">
            <w:pPr>
              <w:pStyle w:val="naisf"/>
              <w:spacing w:before="0" w:after="0"/>
              <w:ind w:firstLine="0"/>
              <w:jc w:val="center"/>
            </w:pPr>
            <w:r w:rsidRPr="007B6E01">
              <w:t>-253 696</w:t>
            </w:r>
          </w:p>
        </w:tc>
        <w:tc>
          <w:tcPr>
            <w:tcW w:w="740" w:type="pct"/>
            <w:vAlign w:val="center"/>
          </w:tcPr>
          <w:p w14:paraId="00D6FF5C" w14:textId="77777777" w:rsidR="007B6E01" w:rsidRPr="007B6E01" w:rsidRDefault="007B6E01" w:rsidP="008B146E">
            <w:pPr>
              <w:pStyle w:val="naisf"/>
              <w:spacing w:before="0" w:after="0"/>
              <w:ind w:firstLine="0"/>
              <w:jc w:val="center"/>
            </w:pPr>
            <w:r w:rsidRPr="007B6E01">
              <w:t>-253 696</w:t>
            </w:r>
          </w:p>
        </w:tc>
      </w:tr>
      <w:tr w:rsidR="007B6E01" w:rsidRPr="009319DC" w14:paraId="048F0715"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1"/>
        </w:trPr>
        <w:tc>
          <w:tcPr>
            <w:tcW w:w="966" w:type="pct"/>
            <w:gridSpan w:val="2"/>
          </w:tcPr>
          <w:p w14:paraId="0419E552"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2.2. valsts speciālais budžets</w:t>
            </w:r>
          </w:p>
        </w:tc>
        <w:tc>
          <w:tcPr>
            <w:tcW w:w="723" w:type="pct"/>
            <w:vAlign w:val="center"/>
          </w:tcPr>
          <w:p w14:paraId="707F3322" w14:textId="77777777" w:rsidR="007B6E01" w:rsidRPr="007B6E01" w:rsidRDefault="007B6E01" w:rsidP="008B146E">
            <w:pPr>
              <w:pStyle w:val="naisf"/>
              <w:spacing w:before="0" w:after="0"/>
              <w:ind w:firstLine="0"/>
              <w:jc w:val="center"/>
            </w:pPr>
          </w:p>
        </w:tc>
        <w:tc>
          <w:tcPr>
            <w:tcW w:w="838" w:type="pct"/>
            <w:gridSpan w:val="2"/>
            <w:vAlign w:val="center"/>
          </w:tcPr>
          <w:p w14:paraId="5AD98FF8" w14:textId="77777777" w:rsidR="007B6E01" w:rsidRPr="007B6E01" w:rsidRDefault="007B6E01" w:rsidP="008B146E">
            <w:pPr>
              <w:pStyle w:val="naisf"/>
              <w:spacing w:before="0" w:after="0"/>
              <w:ind w:firstLine="0"/>
              <w:jc w:val="center"/>
            </w:pPr>
          </w:p>
        </w:tc>
        <w:tc>
          <w:tcPr>
            <w:tcW w:w="822" w:type="pct"/>
            <w:vAlign w:val="center"/>
          </w:tcPr>
          <w:p w14:paraId="6774F73B" w14:textId="77777777" w:rsidR="007B6E01" w:rsidRPr="007B6E01" w:rsidRDefault="007B6E01" w:rsidP="008B146E">
            <w:pPr>
              <w:pStyle w:val="naisf"/>
              <w:spacing w:before="0" w:after="0"/>
              <w:ind w:firstLine="0"/>
              <w:jc w:val="center"/>
            </w:pPr>
          </w:p>
        </w:tc>
        <w:tc>
          <w:tcPr>
            <w:tcW w:w="905" w:type="pct"/>
            <w:vAlign w:val="center"/>
          </w:tcPr>
          <w:p w14:paraId="0D3D7FFB" w14:textId="77777777" w:rsidR="007B6E01" w:rsidRPr="007B6E01" w:rsidRDefault="007B6E01" w:rsidP="008B146E">
            <w:pPr>
              <w:pStyle w:val="naisf"/>
              <w:spacing w:before="0" w:after="0"/>
              <w:ind w:firstLine="0"/>
              <w:jc w:val="center"/>
            </w:pPr>
          </w:p>
        </w:tc>
        <w:tc>
          <w:tcPr>
            <w:tcW w:w="740" w:type="pct"/>
            <w:vAlign w:val="center"/>
          </w:tcPr>
          <w:p w14:paraId="0B638918" w14:textId="77777777" w:rsidR="007B6E01" w:rsidRPr="007B6E01" w:rsidRDefault="007B6E01" w:rsidP="008B146E">
            <w:pPr>
              <w:pStyle w:val="naisf"/>
              <w:spacing w:before="0" w:after="0"/>
              <w:ind w:firstLine="0"/>
              <w:jc w:val="center"/>
            </w:pPr>
          </w:p>
        </w:tc>
      </w:tr>
      <w:tr w:rsidR="007B6E01" w:rsidRPr="009319DC" w14:paraId="65B6D3E3"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2"/>
        </w:trPr>
        <w:tc>
          <w:tcPr>
            <w:tcW w:w="966" w:type="pct"/>
            <w:gridSpan w:val="2"/>
          </w:tcPr>
          <w:p w14:paraId="7E0F6E4B"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 xml:space="preserve">2.3. pašvaldību budžets </w:t>
            </w:r>
          </w:p>
        </w:tc>
        <w:tc>
          <w:tcPr>
            <w:tcW w:w="723" w:type="pct"/>
            <w:vAlign w:val="center"/>
          </w:tcPr>
          <w:p w14:paraId="31071FE5" w14:textId="77777777" w:rsidR="007B6E01" w:rsidRPr="007B6E01" w:rsidRDefault="007B6E01" w:rsidP="008B146E">
            <w:pPr>
              <w:pStyle w:val="naisf"/>
              <w:spacing w:before="0" w:after="0"/>
              <w:ind w:firstLine="0"/>
              <w:jc w:val="center"/>
            </w:pPr>
          </w:p>
        </w:tc>
        <w:tc>
          <w:tcPr>
            <w:tcW w:w="838" w:type="pct"/>
            <w:gridSpan w:val="2"/>
            <w:vAlign w:val="center"/>
          </w:tcPr>
          <w:p w14:paraId="795F5633" w14:textId="77777777" w:rsidR="007B6E01" w:rsidRPr="007B6E01" w:rsidRDefault="007B6E01" w:rsidP="008B146E">
            <w:pPr>
              <w:pStyle w:val="naisf"/>
              <w:spacing w:before="0" w:after="0"/>
              <w:ind w:firstLine="0"/>
              <w:jc w:val="center"/>
            </w:pPr>
          </w:p>
        </w:tc>
        <w:tc>
          <w:tcPr>
            <w:tcW w:w="822" w:type="pct"/>
            <w:vAlign w:val="center"/>
          </w:tcPr>
          <w:p w14:paraId="597AE3B4" w14:textId="77777777" w:rsidR="007B6E01" w:rsidRPr="007B6E01" w:rsidRDefault="007B6E01" w:rsidP="008B146E">
            <w:pPr>
              <w:pStyle w:val="naisf"/>
              <w:spacing w:before="0" w:after="0"/>
              <w:ind w:firstLine="0"/>
              <w:jc w:val="center"/>
            </w:pPr>
          </w:p>
        </w:tc>
        <w:tc>
          <w:tcPr>
            <w:tcW w:w="905" w:type="pct"/>
            <w:vAlign w:val="center"/>
          </w:tcPr>
          <w:p w14:paraId="5A7E4FEC" w14:textId="77777777" w:rsidR="007B6E01" w:rsidRPr="007B6E01" w:rsidRDefault="007B6E01" w:rsidP="008B146E">
            <w:pPr>
              <w:pStyle w:val="naisf"/>
              <w:spacing w:before="0" w:after="0"/>
              <w:ind w:firstLine="0"/>
              <w:jc w:val="center"/>
            </w:pPr>
          </w:p>
        </w:tc>
        <w:tc>
          <w:tcPr>
            <w:tcW w:w="740" w:type="pct"/>
            <w:vAlign w:val="center"/>
          </w:tcPr>
          <w:p w14:paraId="3ACD0147" w14:textId="77777777" w:rsidR="007B6E01" w:rsidRPr="007B6E01" w:rsidRDefault="007B6E01" w:rsidP="008B146E">
            <w:pPr>
              <w:pStyle w:val="naisf"/>
              <w:spacing w:before="0" w:after="0"/>
              <w:ind w:firstLine="0"/>
              <w:jc w:val="center"/>
            </w:pPr>
          </w:p>
        </w:tc>
      </w:tr>
      <w:tr w:rsidR="007B6E01" w:rsidRPr="009319DC" w14:paraId="7EE54F9D"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31EB962A"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3. Finansiālā ietekme:</w:t>
            </w:r>
          </w:p>
        </w:tc>
        <w:tc>
          <w:tcPr>
            <w:tcW w:w="723" w:type="pct"/>
            <w:shd w:val="clear" w:color="auto" w:fill="auto"/>
            <w:vAlign w:val="center"/>
          </w:tcPr>
          <w:p w14:paraId="35EC95E9" w14:textId="77777777" w:rsidR="007B6E01" w:rsidRPr="007B6E01" w:rsidRDefault="007B6E01" w:rsidP="008B146E">
            <w:pPr>
              <w:pStyle w:val="naisf"/>
              <w:spacing w:before="0" w:after="0"/>
              <w:ind w:firstLine="0"/>
              <w:jc w:val="center"/>
            </w:pPr>
            <w:r w:rsidRPr="007B6E01">
              <w:t>0</w:t>
            </w:r>
          </w:p>
        </w:tc>
        <w:tc>
          <w:tcPr>
            <w:tcW w:w="838" w:type="pct"/>
            <w:gridSpan w:val="2"/>
            <w:vAlign w:val="center"/>
          </w:tcPr>
          <w:p w14:paraId="503FDE84" w14:textId="77777777" w:rsidR="007B6E01" w:rsidRPr="007B6E01" w:rsidRDefault="007B6E01" w:rsidP="008B146E">
            <w:pPr>
              <w:pStyle w:val="naisf"/>
              <w:spacing w:before="0" w:after="0"/>
              <w:ind w:firstLine="0"/>
              <w:jc w:val="center"/>
              <w:rPr>
                <w:b/>
                <w:i/>
              </w:rPr>
            </w:pPr>
          </w:p>
        </w:tc>
        <w:tc>
          <w:tcPr>
            <w:tcW w:w="822" w:type="pct"/>
            <w:vAlign w:val="center"/>
          </w:tcPr>
          <w:p w14:paraId="3D4843BF" w14:textId="69B4B949" w:rsidR="007B6E01" w:rsidRPr="007B6E01" w:rsidRDefault="007B6E01" w:rsidP="008B146E">
            <w:pPr>
              <w:spacing w:after="0" w:line="240" w:lineRule="auto"/>
              <w:jc w:val="center"/>
              <w:rPr>
                <w:rFonts w:ascii="Times New Roman" w:hAnsi="Times New Roman"/>
                <w:sz w:val="24"/>
                <w:szCs w:val="24"/>
              </w:rPr>
            </w:pPr>
            <w:r w:rsidRPr="007B6E01">
              <w:rPr>
                <w:rFonts w:ascii="Times New Roman" w:hAnsi="Times New Roman"/>
                <w:sz w:val="24"/>
                <w:szCs w:val="24"/>
              </w:rPr>
              <w:t>253 696</w:t>
            </w:r>
          </w:p>
        </w:tc>
        <w:tc>
          <w:tcPr>
            <w:tcW w:w="905" w:type="pct"/>
            <w:vAlign w:val="center"/>
          </w:tcPr>
          <w:p w14:paraId="185BCF67" w14:textId="553508A6" w:rsidR="007B6E01" w:rsidRPr="007B6E01" w:rsidRDefault="007B6E01" w:rsidP="008B146E">
            <w:pPr>
              <w:spacing w:after="0" w:line="240" w:lineRule="auto"/>
              <w:jc w:val="center"/>
              <w:rPr>
                <w:rFonts w:ascii="Times New Roman" w:hAnsi="Times New Roman"/>
                <w:sz w:val="24"/>
                <w:szCs w:val="24"/>
              </w:rPr>
            </w:pPr>
            <w:r w:rsidRPr="007B6E01">
              <w:rPr>
                <w:rFonts w:ascii="Times New Roman" w:hAnsi="Times New Roman"/>
                <w:sz w:val="24"/>
                <w:szCs w:val="24"/>
              </w:rPr>
              <w:t>253 696</w:t>
            </w:r>
          </w:p>
        </w:tc>
        <w:tc>
          <w:tcPr>
            <w:tcW w:w="740" w:type="pct"/>
            <w:vAlign w:val="center"/>
          </w:tcPr>
          <w:p w14:paraId="1530742B" w14:textId="6E99AE0E" w:rsidR="007B6E01" w:rsidRPr="007B6E01" w:rsidRDefault="007B6E01" w:rsidP="008B146E">
            <w:pPr>
              <w:spacing w:after="0" w:line="240" w:lineRule="auto"/>
              <w:jc w:val="center"/>
              <w:rPr>
                <w:rFonts w:ascii="Times New Roman" w:hAnsi="Times New Roman"/>
                <w:sz w:val="24"/>
                <w:szCs w:val="24"/>
              </w:rPr>
            </w:pPr>
            <w:r w:rsidRPr="007B6E01">
              <w:rPr>
                <w:rFonts w:ascii="Times New Roman" w:hAnsi="Times New Roman"/>
                <w:sz w:val="24"/>
                <w:szCs w:val="24"/>
              </w:rPr>
              <w:t>253 696</w:t>
            </w:r>
          </w:p>
        </w:tc>
      </w:tr>
      <w:tr w:rsidR="007B6E01" w:rsidRPr="009319DC" w14:paraId="4ACE5490"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3E2C2A81"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3.1. valsts pamatbudžets</w:t>
            </w:r>
          </w:p>
        </w:tc>
        <w:tc>
          <w:tcPr>
            <w:tcW w:w="723" w:type="pct"/>
            <w:shd w:val="clear" w:color="auto" w:fill="auto"/>
            <w:vAlign w:val="center"/>
          </w:tcPr>
          <w:p w14:paraId="3F676311" w14:textId="77777777" w:rsidR="007B6E01" w:rsidRPr="007B6E01" w:rsidRDefault="007B6E01" w:rsidP="008B146E">
            <w:pPr>
              <w:pStyle w:val="naisf"/>
              <w:spacing w:before="0" w:after="0"/>
              <w:ind w:firstLine="0"/>
              <w:jc w:val="center"/>
            </w:pPr>
          </w:p>
        </w:tc>
        <w:tc>
          <w:tcPr>
            <w:tcW w:w="838" w:type="pct"/>
            <w:gridSpan w:val="2"/>
            <w:vAlign w:val="center"/>
          </w:tcPr>
          <w:p w14:paraId="7C505299" w14:textId="77777777" w:rsidR="007B6E01" w:rsidRPr="007B6E01" w:rsidRDefault="007B6E01" w:rsidP="008B146E">
            <w:pPr>
              <w:pStyle w:val="naisf"/>
              <w:spacing w:before="0" w:after="0"/>
              <w:ind w:firstLine="0"/>
              <w:jc w:val="center"/>
            </w:pPr>
          </w:p>
        </w:tc>
        <w:tc>
          <w:tcPr>
            <w:tcW w:w="822" w:type="pct"/>
            <w:vAlign w:val="center"/>
          </w:tcPr>
          <w:p w14:paraId="307DA61A" w14:textId="18B7428E" w:rsidR="007B6E01" w:rsidRPr="007B6E01" w:rsidRDefault="007B6E01" w:rsidP="008B146E">
            <w:pPr>
              <w:pStyle w:val="naisf"/>
              <w:spacing w:before="0" w:after="0"/>
              <w:ind w:firstLine="0"/>
              <w:jc w:val="center"/>
            </w:pPr>
            <w:r w:rsidRPr="007B6E01">
              <w:t>253 696</w:t>
            </w:r>
          </w:p>
        </w:tc>
        <w:tc>
          <w:tcPr>
            <w:tcW w:w="905" w:type="pct"/>
            <w:vAlign w:val="center"/>
          </w:tcPr>
          <w:p w14:paraId="5F5A0A49" w14:textId="4980F19D" w:rsidR="007B6E01" w:rsidRPr="007B6E01" w:rsidRDefault="007B6E01" w:rsidP="008B146E">
            <w:pPr>
              <w:pStyle w:val="naisf"/>
              <w:spacing w:before="0" w:after="0"/>
              <w:ind w:firstLine="0"/>
              <w:jc w:val="center"/>
            </w:pPr>
            <w:r w:rsidRPr="007B6E01">
              <w:t>253 696</w:t>
            </w:r>
          </w:p>
        </w:tc>
        <w:tc>
          <w:tcPr>
            <w:tcW w:w="740" w:type="pct"/>
            <w:vAlign w:val="center"/>
          </w:tcPr>
          <w:p w14:paraId="1C49805E" w14:textId="72C1FE6E" w:rsidR="007B6E01" w:rsidRPr="007B6E01" w:rsidRDefault="007B6E01" w:rsidP="008B146E">
            <w:pPr>
              <w:pStyle w:val="naisf"/>
              <w:spacing w:before="0" w:after="0"/>
              <w:ind w:firstLine="0"/>
              <w:jc w:val="center"/>
            </w:pPr>
            <w:r w:rsidRPr="007B6E01">
              <w:t>253 696</w:t>
            </w:r>
          </w:p>
        </w:tc>
      </w:tr>
      <w:tr w:rsidR="007B6E01" w:rsidRPr="009319DC" w14:paraId="6485364D"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688EFDEA"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3.2. speciālais budžets</w:t>
            </w:r>
          </w:p>
        </w:tc>
        <w:tc>
          <w:tcPr>
            <w:tcW w:w="723" w:type="pct"/>
            <w:shd w:val="clear" w:color="auto" w:fill="auto"/>
            <w:vAlign w:val="center"/>
          </w:tcPr>
          <w:p w14:paraId="50AFDF89" w14:textId="77777777" w:rsidR="007B6E01" w:rsidRPr="007B6E01" w:rsidRDefault="007B6E01" w:rsidP="008B146E">
            <w:pPr>
              <w:pStyle w:val="naisf"/>
              <w:spacing w:before="0" w:after="0"/>
              <w:ind w:firstLine="0"/>
              <w:jc w:val="center"/>
              <w:rPr>
                <w:i/>
              </w:rPr>
            </w:pPr>
          </w:p>
        </w:tc>
        <w:tc>
          <w:tcPr>
            <w:tcW w:w="838" w:type="pct"/>
            <w:gridSpan w:val="2"/>
            <w:vAlign w:val="center"/>
          </w:tcPr>
          <w:p w14:paraId="061F6955" w14:textId="77777777" w:rsidR="007B6E01" w:rsidRPr="007B6E01" w:rsidRDefault="007B6E01" w:rsidP="008B146E">
            <w:pPr>
              <w:pStyle w:val="naisf"/>
              <w:spacing w:before="0" w:after="0"/>
              <w:ind w:firstLine="0"/>
              <w:jc w:val="center"/>
              <w:rPr>
                <w:b/>
                <w:i/>
              </w:rPr>
            </w:pPr>
          </w:p>
        </w:tc>
        <w:tc>
          <w:tcPr>
            <w:tcW w:w="822" w:type="pct"/>
            <w:vAlign w:val="center"/>
          </w:tcPr>
          <w:p w14:paraId="7E189E31" w14:textId="77777777" w:rsidR="007B6E01" w:rsidRPr="007B6E01" w:rsidRDefault="007B6E01" w:rsidP="008B146E">
            <w:pPr>
              <w:pStyle w:val="naisf"/>
              <w:spacing w:before="0" w:after="0"/>
              <w:ind w:firstLine="0"/>
              <w:jc w:val="center"/>
              <w:rPr>
                <w:b/>
                <w:i/>
              </w:rPr>
            </w:pPr>
          </w:p>
        </w:tc>
        <w:tc>
          <w:tcPr>
            <w:tcW w:w="905" w:type="pct"/>
            <w:vAlign w:val="center"/>
          </w:tcPr>
          <w:p w14:paraId="1179C679" w14:textId="77777777" w:rsidR="007B6E01" w:rsidRPr="007B6E01" w:rsidRDefault="007B6E01" w:rsidP="008B146E">
            <w:pPr>
              <w:pStyle w:val="naisf"/>
              <w:spacing w:before="0" w:after="0"/>
              <w:ind w:firstLine="0"/>
              <w:jc w:val="center"/>
              <w:rPr>
                <w:b/>
                <w:i/>
              </w:rPr>
            </w:pPr>
          </w:p>
        </w:tc>
        <w:tc>
          <w:tcPr>
            <w:tcW w:w="740" w:type="pct"/>
            <w:vAlign w:val="center"/>
          </w:tcPr>
          <w:p w14:paraId="07BFCF6D" w14:textId="77777777" w:rsidR="007B6E01" w:rsidRPr="007B6E01" w:rsidRDefault="007B6E01" w:rsidP="008B146E">
            <w:pPr>
              <w:pStyle w:val="naisf"/>
              <w:spacing w:before="0" w:after="0"/>
              <w:ind w:firstLine="0"/>
              <w:jc w:val="center"/>
              <w:rPr>
                <w:b/>
                <w:i/>
              </w:rPr>
            </w:pPr>
          </w:p>
        </w:tc>
      </w:tr>
      <w:tr w:rsidR="007B6E01" w:rsidRPr="009319DC" w14:paraId="3730F4E3"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2"/>
        </w:trPr>
        <w:tc>
          <w:tcPr>
            <w:tcW w:w="966" w:type="pct"/>
            <w:gridSpan w:val="2"/>
          </w:tcPr>
          <w:p w14:paraId="65812088"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 xml:space="preserve">3.3. pašvaldību budžets </w:t>
            </w:r>
          </w:p>
        </w:tc>
        <w:tc>
          <w:tcPr>
            <w:tcW w:w="723" w:type="pct"/>
            <w:shd w:val="clear" w:color="auto" w:fill="auto"/>
            <w:vAlign w:val="center"/>
          </w:tcPr>
          <w:p w14:paraId="25C9E536" w14:textId="77777777" w:rsidR="007B6E01" w:rsidRPr="007B6E01" w:rsidRDefault="007B6E01" w:rsidP="008B146E">
            <w:pPr>
              <w:pStyle w:val="naisf"/>
              <w:spacing w:before="0" w:after="0"/>
              <w:ind w:firstLine="0"/>
              <w:jc w:val="center"/>
            </w:pPr>
          </w:p>
        </w:tc>
        <w:tc>
          <w:tcPr>
            <w:tcW w:w="838" w:type="pct"/>
            <w:gridSpan w:val="2"/>
            <w:vAlign w:val="center"/>
          </w:tcPr>
          <w:p w14:paraId="4D6B205C" w14:textId="77777777" w:rsidR="007B6E01" w:rsidRPr="007B6E01" w:rsidRDefault="007B6E01" w:rsidP="008B146E">
            <w:pPr>
              <w:pStyle w:val="naisf"/>
              <w:spacing w:before="0" w:after="0"/>
              <w:ind w:firstLine="0"/>
              <w:jc w:val="center"/>
            </w:pPr>
          </w:p>
        </w:tc>
        <w:tc>
          <w:tcPr>
            <w:tcW w:w="822" w:type="pct"/>
            <w:vAlign w:val="center"/>
          </w:tcPr>
          <w:p w14:paraId="21C537CD" w14:textId="77777777" w:rsidR="007B6E01" w:rsidRPr="007B6E01" w:rsidRDefault="007B6E01" w:rsidP="008B146E">
            <w:pPr>
              <w:pStyle w:val="naisf"/>
              <w:spacing w:before="0" w:after="0"/>
              <w:ind w:firstLine="0"/>
              <w:jc w:val="center"/>
            </w:pPr>
          </w:p>
        </w:tc>
        <w:tc>
          <w:tcPr>
            <w:tcW w:w="905" w:type="pct"/>
            <w:vAlign w:val="center"/>
          </w:tcPr>
          <w:p w14:paraId="25FA66CD" w14:textId="77777777" w:rsidR="007B6E01" w:rsidRPr="007B6E01" w:rsidRDefault="007B6E01" w:rsidP="008B146E">
            <w:pPr>
              <w:pStyle w:val="naisf"/>
              <w:spacing w:before="0" w:after="0"/>
              <w:ind w:firstLine="0"/>
              <w:jc w:val="center"/>
            </w:pPr>
          </w:p>
        </w:tc>
        <w:tc>
          <w:tcPr>
            <w:tcW w:w="740" w:type="pct"/>
            <w:vAlign w:val="center"/>
          </w:tcPr>
          <w:p w14:paraId="12468A36" w14:textId="77777777" w:rsidR="007B6E01" w:rsidRPr="007B6E01" w:rsidRDefault="007B6E01" w:rsidP="008B146E">
            <w:pPr>
              <w:pStyle w:val="naisf"/>
              <w:spacing w:before="0" w:after="0"/>
              <w:ind w:firstLine="0"/>
              <w:jc w:val="center"/>
            </w:pPr>
          </w:p>
        </w:tc>
      </w:tr>
      <w:tr w:rsidR="007B6E01" w:rsidRPr="009319DC" w14:paraId="66697006"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172"/>
        </w:trPr>
        <w:tc>
          <w:tcPr>
            <w:tcW w:w="966" w:type="pct"/>
            <w:gridSpan w:val="2"/>
          </w:tcPr>
          <w:p w14:paraId="6C2F75F0"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4. Finanšu līdzekļi papildu izde</w:t>
            </w:r>
            <w:r w:rsidRPr="007B6E01">
              <w:rPr>
                <w:rFonts w:ascii="Times New Roman" w:hAnsi="Times New Roman"/>
                <w:sz w:val="24"/>
                <w:szCs w:val="24"/>
              </w:rPr>
              <w:softHyphen/>
              <w:t>vumu finansēšanai (kompensējošu izdevumu samazinājumu norāda ar "+" zīmi)</w:t>
            </w:r>
          </w:p>
        </w:tc>
        <w:tc>
          <w:tcPr>
            <w:tcW w:w="723" w:type="pct"/>
            <w:vAlign w:val="center"/>
          </w:tcPr>
          <w:p w14:paraId="73CC7158" w14:textId="77777777" w:rsidR="007B6E01" w:rsidRPr="007B6E01" w:rsidRDefault="007B6E01" w:rsidP="008B146E">
            <w:pPr>
              <w:pStyle w:val="naisf"/>
              <w:spacing w:before="0" w:after="0"/>
              <w:ind w:firstLine="0"/>
              <w:jc w:val="center"/>
              <w:rPr>
                <w:i/>
              </w:rPr>
            </w:pPr>
            <w:r w:rsidRPr="007B6E01">
              <w:t>X</w:t>
            </w:r>
          </w:p>
        </w:tc>
        <w:tc>
          <w:tcPr>
            <w:tcW w:w="838" w:type="pct"/>
            <w:gridSpan w:val="2"/>
            <w:vAlign w:val="center"/>
          </w:tcPr>
          <w:p w14:paraId="0525323C" w14:textId="77777777" w:rsidR="007B6E01" w:rsidRPr="007B6E01" w:rsidRDefault="007B6E01" w:rsidP="008B146E">
            <w:pPr>
              <w:pStyle w:val="naisf"/>
              <w:spacing w:before="0" w:after="0"/>
              <w:ind w:firstLine="0"/>
              <w:jc w:val="center"/>
              <w:rPr>
                <w:b/>
                <w:i/>
              </w:rPr>
            </w:pPr>
          </w:p>
        </w:tc>
        <w:tc>
          <w:tcPr>
            <w:tcW w:w="822" w:type="pct"/>
            <w:vAlign w:val="center"/>
          </w:tcPr>
          <w:p w14:paraId="7F04E59C" w14:textId="77777777" w:rsidR="007B6E01" w:rsidRPr="007B6E01" w:rsidRDefault="007B6E01" w:rsidP="008B146E">
            <w:pPr>
              <w:pStyle w:val="naisf"/>
              <w:spacing w:before="0" w:after="0"/>
              <w:ind w:firstLine="0"/>
              <w:jc w:val="center"/>
            </w:pPr>
            <w:r w:rsidRPr="007B6E01">
              <w:t>0</w:t>
            </w:r>
          </w:p>
        </w:tc>
        <w:tc>
          <w:tcPr>
            <w:tcW w:w="905" w:type="pct"/>
            <w:vAlign w:val="center"/>
          </w:tcPr>
          <w:p w14:paraId="79E98C40" w14:textId="77777777" w:rsidR="007B6E01" w:rsidRPr="007B6E01" w:rsidRDefault="007B6E01" w:rsidP="008B146E">
            <w:pPr>
              <w:pStyle w:val="naisf"/>
              <w:spacing w:before="0" w:after="0"/>
              <w:ind w:firstLine="0"/>
              <w:jc w:val="center"/>
            </w:pPr>
            <w:r w:rsidRPr="007B6E01">
              <w:t>0</w:t>
            </w:r>
          </w:p>
        </w:tc>
        <w:tc>
          <w:tcPr>
            <w:tcW w:w="740" w:type="pct"/>
            <w:vAlign w:val="center"/>
          </w:tcPr>
          <w:p w14:paraId="0FB679C0" w14:textId="77777777" w:rsidR="007B6E01" w:rsidRPr="007B6E01" w:rsidRDefault="007B6E01" w:rsidP="008B146E">
            <w:pPr>
              <w:pStyle w:val="naisf"/>
              <w:spacing w:before="0" w:after="0"/>
              <w:ind w:firstLine="0"/>
              <w:jc w:val="center"/>
            </w:pPr>
            <w:r w:rsidRPr="007B6E01">
              <w:t>0</w:t>
            </w:r>
          </w:p>
        </w:tc>
      </w:tr>
      <w:tr w:rsidR="007B6E01" w:rsidRPr="009319DC" w14:paraId="40B32BB0"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1"/>
        </w:trPr>
        <w:tc>
          <w:tcPr>
            <w:tcW w:w="966" w:type="pct"/>
            <w:gridSpan w:val="2"/>
          </w:tcPr>
          <w:p w14:paraId="75FB75A3"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5. Precizēta finansiālā ietekme:</w:t>
            </w:r>
          </w:p>
        </w:tc>
        <w:tc>
          <w:tcPr>
            <w:tcW w:w="723" w:type="pct"/>
            <w:vMerge w:val="restart"/>
            <w:vAlign w:val="center"/>
          </w:tcPr>
          <w:p w14:paraId="4ADCD7CA" w14:textId="77777777" w:rsidR="007B6E01" w:rsidRPr="007B6E01" w:rsidRDefault="007B6E01" w:rsidP="008B146E">
            <w:pPr>
              <w:pStyle w:val="naisf"/>
              <w:spacing w:before="0" w:after="0"/>
              <w:ind w:firstLine="0"/>
              <w:jc w:val="center"/>
              <w:rPr>
                <w:i/>
              </w:rPr>
            </w:pPr>
            <w:r w:rsidRPr="007B6E01">
              <w:t>X</w:t>
            </w:r>
          </w:p>
        </w:tc>
        <w:tc>
          <w:tcPr>
            <w:tcW w:w="838" w:type="pct"/>
            <w:gridSpan w:val="2"/>
            <w:vAlign w:val="center"/>
          </w:tcPr>
          <w:p w14:paraId="154F37AD" w14:textId="77777777" w:rsidR="007B6E01" w:rsidRPr="007B6E01" w:rsidRDefault="007B6E01" w:rsidP="008B146E">
            <w:pPr>
              <w:pStyle w:val="naisf"/>
              <w:spacing w:before="0" w:after="0"/>
              <w:ind w:firstLine="0"/>
              <w:jc w:val="center"/>
            </w:pPr>
          </w:p>
        </w:tc>
        <w:tc>
          <w:tcPr>
            <w:tcW w:w="822" w:type="pct"/>
            <w:vAlign w:val="center"/>
          </w:tcPr>
          <w:p w14:paraId="1B17B2C7" w14:textId="29A01BA9" w:rsidR="007B6E01" w:rsidRPr="007B6E01" w:rsidRDefault="00A32F3E" w:rsidP="008B146E">
            <w:pPr>
              <w:pStyle w:val="naisf"/>
              <w:spacing w:before="0" w:after="0"/>
              <w:ind w:firstLine="0"/>
              <w:jc w:val="center"/>
            </w:pPr>
            <w:r>
              <w:t>0</w:t>
            </w:r>
          </w:p>
        </w:tc>
        <w:tc>
          <w:tcPr>
            <w:tcW w:w="905" w:type="pct"/>
            <w:vAlign w:val="center"/>
          </w:tcPr>
          <w:p w14:paraId="77324858" w14:textId="1769BFFC" w:rsidR="007B6E01" w:rsidRPr="007B6E01" w:rsidRDefault="00A32F3E" w:rsidP="00A32F3E">
            <w:pPr>
              <w:pStyle w:val="naisf"/>
              <w:spacing w:before="0" w:after="0"/>
              <w:ind w:firstLine="0"/>
              <w:jc w:val="center"/>
            </w:pPr>
            <w:r>
              <w:t>0</w:t>
            </w:r>
          </w:p>
        </w:tc>
        <w:tc>
          <w:tcPr>
            <w:tcW w:w="740" w:type="pct"/>
            <w:vAlign w:val="center"/>
          </w:tcPr>
          <w:p w14:paraId="5F0E3FD1" w14:textId="6F75C595" w:rsidR="007B6E01" w:rsidRPr="007B6E01" w:rsidRDefault="00A32F3E" w:rsidP="008B146E">
            <w:pPr>
              <w:pStyle w:val="naisf"/>
              <w:spacing w:before="0" w:after="0"/>
              <w:ind w:firstLine="0"/>
              <w:jc w:val="center"/>
            </w:pPr>
            <w:r>
              <w:t>0</w:t>
            </w:r>
          </w:p>
        </w:tc>
      </w:tr>
      <w:tr w:rsidR="007B6E01" w:rsidRPr="009319DC" w14:paraId="5DD19BCD"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349FD4F5"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5.1. valsts pamatbudžets</w:t>
            </w:r>
          </w:p>
        </w:tc>
        <w:tc>
          <w:tcPr>
            <w:tcW w:w="723" w:type="pct"/>
            <w:vMerge/>
            <w:vAlign w:val="center"/>
          </w:tcPr>
          <w:p w14:paraId="72B9828F" w14:textId="77777777" w:rsidR="007B6E01" w:rsidRPr="007B6E01" w:rsidRDefault="007B6E01" w:rsidP="008B146E">
            <w:pPr>
              <w:pStyle w:val="naisf"/>
              <w:spacing w:before="0" w:after="0"/>
              <w:ind w:firstLine="0"/>
              <w:jc w:val="center"/>
              <w:rPr>
                <w:i/>
              </w:rPr>
            </w:pPr>
          </w:p>
        </w:tc>
        <w:tc>
          <w:tcPr>
            <w:tcW w:w="838" w:type="pct"/>
            <w:gridSpan w:val="2"/>
            <w:vAlign w:val="center"/>
          </w:tcPr>
          <w:p w14:paraId="51D293B2" w14:textId="77777777" w:rsidR="007B6E01" w:rsidRPr="007B6E01" w:rsidRDefault="007B6E01" w:rsidP="008B146E">
            <w:pPr>
              <w:pStyle w:val="naisf"/>
              <w:spacing w:before="0" w:after="0"/>
              <w:ind w:firstLine="0"/>
              <w:jc w:val="center"/>
            </w:pPr>
          </w:p>
        </w:tc>
        <w:tc>
          <w:tcPr>
            <w:tcW w:w="822" w:type="pct"/>
            <w:vAlign w:val="center"/>
          </w:tcPr>
          <w:p w14:paraId="1678F526" w14:textId="1429CFFB" w:rsidR="007B6E01" w:rsidRPr="007B6E01" w:rsidRDefault="007B6E01" w:rsidP="008B146E">
            <w:pPr>
              <w:pStyle w:val="naisf"/>
              <w:spacing w:before="0" w:after="0"/>
              <w:ind w:firstLine="0"/>
              <w:jc w:val="center"/>
            </w:pPr>
          </w:p>
        </w:tc>
        <w:tc>
          <w:tcPr>
            <w:tcW w:w="905" w:type="pct"/>
            <w:vAlign w:val="center"/>
          </w:tcPr>
          <w:p w14:paraId="39617258" w14:textId="231C8469" w:rsidR="007B6E01" w:rsidRPr="007B6E01" w:rsidRDefault="007B6E01" w:rsidP="008B146E">
            <w:pPr>
              <w:pStyle w:val="naisf"/>
              <w:spacing w:before="0" w:after="0"/>
              <w:ind w:firstLine="0"/>
              <w:jc w:val="center"/>
            </w:pPr>
          </w:p>
        </w:tc>
        <w:tc>
          <w:tcPr>
            <w:tcW w:w="740" w:type="pct"/>
            <w:vAlign w:val="center"/>
          </w:tcPr>
          <w:p w14:paraId="6A6C7501" w14:textId="18107AC7" w:rsidR="007B6E01" w:rsidRPr="007B6E01" w:rsidRDefault="007B6E01" w:rsidP="008B146E">
            <w:pPr>
              <w:pStyle w:val="naisf"/>
              <w:spacing w:before="0" w:after="0"/>
              <w:ind w:firstLine="0"/>
              <w:jc w:val="center"/>
            </w:pPr>
          </w:p>
        </w:tc>
      </w:tr>
      <w:tr w:rsidR="007B6E01" w:rsidRPr="009319DC" w14:paraId="1FD0E7B9"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14"/>
        </w:trPr>
        <w:tc>
          <w:tcPr>
            <w:tcW w:w="966" w:type="pct"/>
            <w:gridSpan w:val="2"/>
          </w:tcPr>
          <w:p w14:paraId="4D52EBA7"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5.2. speciālais budžets</w:t>
            </w:r>
          </w:p>
        </w:tc>
        <w:tc>
          <w:tcPr>
            <w:tcW w:w="723" w:type="pct"/>
            <w:vMerge/>
            <w:vAlign w:val="center"/>
          </w:tcPr>
          <w:p w14:paraId="012739E4" w14:textId="77777777" w:rsidR="007B6E01" w:rsidRPr="007B6E01" w:rsidRDefault="007B6E01" w:rsidP="008B146E">
            <w:pPr>
              <w:pStyle w:val="naisf"/>
              <w:spacing w:before="0" w:after="0"/>
              <w:ind w:firstLine="0"/>
              <w:jc w:val="center"/>
              <w:rPr>
                <w:i/>
              </w:rPr>
            </w:pPr>
          </w:p>
        </w:tc>
        <w:tc>
          <w:tcPr>
            <w:tcW w:w="838" w:type="pct"/>
            <w:gridSpan w:val="2"/>
            <w:vAlign w:val="center"/>
          </w:tcPr>
          <w:p w14:paraId="58E49999" w14:textId="77777777" w:rsidR="007B6E01" w:rsidRPr="007B6E01" w:rsidRDefault="007B6E01" w:rsidP="008B146E">
            <w:pPr>
              <w:pStyle w:val="naisf"/>
              <w:spacing w:before="0" w:after="0"/>
              <w:ind w:firstLine="0"/>
              <w:jc w:val="center"/>
            </w:pPr>
          </w:p>
        </w:tc>
        <w:tc>
          <w:tcPr>
            <w:tcW w:w="822" w:type="pct"/>
            <w:vAlign w:val="center"/>
          </w:tcPr>
          <w:p w14:paraId="54E55E25" w14:textId="77777777" w:rsidR="007B6E01" w:rsidRPr="007B6E01" w:rsidRDefault="007B6E01" w:rsidP="008B146E">
            <w:pPr>
              <w:pStyle w:val="naisf"/>
              <w:spacing w:before="0" w:after="0"/>
              <w:ind w:firstLine="0"/>
              <w:jc w:val="center"/>
            </w:pPr>
          </w:p>
        </w:tc>
        <w:tc>
          <w:tcPr>
            <w:tcW w:w="905" w:type="pct"/>
            <w:vAlign w:val="center"/>
          </w:tcPr>
          <w:p w14:paraId="7E599564" w14:textId="77777777" w:rsidR="007B6E01" w:rsidRPr="007B6E01" w:rsidRDefault="007B6E01" w:rsidP="008B146E">
            <w:pPr>
              <w:pStyle w:val="naisf"/>
              <w:spacing w:before="0" w:after="0"/>
              <w:ind w:firstLine="0"/>
              <w:jc w:val="center"/>
            </w:pPr>
          </w:p>
        </w:tc>
        <w:tc>
          <w:tcPr>
            <w:tcW w:w="740" w:type="pct"/>
            <w:vAlign w:val="center"/>
          </w:tcPr>
          <w:p w14:paraId="4DC5295E" w14:textId="77777777" w:rsidR="007B6E01" w:rsidRPr="007B6E01" w:rsidRDefault="007B6E01" w:rsidP="008B146E">
            <w:pPr>
              <w:pStyle w:val="naisf"/>
              <w:spacing w:before="0" w:after="0"/>
              <w:ind w:firstLine="0"/>
              <w:jc w:val="center"/>
            </w:pPr>
          </w:p>
        </w:tc>
      </w:tr>
      <w:tr w:rsidR="007B6E01" w:rsidRPr="009319DC" w14:paraId="1DC398FF"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642"/>
        </w:trPr>
        <w:tc>
          <w:tcPr>
            <w:tcW w:w="966" w:type="pct"/>
            <w:gridSpan w:val="2"/>
          </w:tcPr>
          <w:p w14:paraId="2C565F41"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 xml:space="preserve">5.3. pašvaldību budžets </w:t>
            </w:r>
          </w:p>
        </w:tc>
        <w:tc>
          <w:tcPr>
            <w:tcW w:w="723" w:type="pct"/>
            <w:vMerge/>
            <w:vAlign w:val="center"/>
          </w:tcPr>
          <w:p w14:paraId="0890F930" w14:textId="77777777" w:rsidR="007B6E01" w:rsidRPr="007B6E01" w:rsidRDefault="007B6E01" w:rsidP="008B146E">
            <w:pPr>
              <w:pStyle w:val="naisf"/>
              <w:spacing w:before="0" w:after="0"/>
              <w:ind w:firstLine="0"/>
              <w:jc w:val="center"/>
              <w:rPr>
                <w:i/>
              </w:rPr>
            </w:pPr>
          </w:p>
        </w:tc>
        <w:tc>
          <w:tcPr>
            <w:tcW w:w="838" w:type="pct"/>
            <w:gridSpan w:val="2"/>
            <w:vAlign w:val="center"/>
          </w:tcPr>
          <w:p w14:paraId="3CB45F3C" w14:textId="77777777" w:rsidR="007B6E01" w:rsidRPr="007B6E01" w:rsidRDefault="007B6E01" w:rsidP="008B146E">
            <w:pPr>
              <w:pStyle w:val="naisf"/>
              <w:spacing w:before="0" w:after="0"/>
              <w:ind w:firstLine="0"/>
              <w:jc w:val="center"/>
            </w:pPr>
          </w:p>
          <w:p w14:paraId="6EB64E7F" w14:textId="77777777" w:rsidR="007B6E01" w:rsidRPr="007B6E01" w:rsidRDefault="007B6E01" w:rsidP="008B146E">
            <w:pPr>
              <w:pStyle w:val="naisf"/>
              <w:spacing w:before="0" w:after="0"/>
              <w:ind w:firstLine="0"/>
            </w:pPr>
          </w:p>
        </w:tc>
        <w:tc>
          <w:tcPr>
            <w:tcW w:w="822" w:type="pct"/>
            <w:vAlign w:val="center"/>
          </w:tcPr>
          <w:p w14:paraId="62EE45D6" w14:textId="77777777" w:rsidR="007B6E01" w:rsidRPr="007B6E01" w:rsidRDefault="007B6E01" w:rsidP="008B146E">
            <w:pPr>
              <w:pStyle w:val="naisf"/>
              <w:spacing w:before="0" w:after="0"/>
              <w:ind w:firstLine="0"/>
              <w:jc w:val="center"/>
            </w:pPr>
          </w:p>
        </w:tc>
        <w:tc>
          <w:tcPr>
            <w:tcW w:w="905" w:type="pct"/>
            <w:vAlign w:val="center"/>
          </w:tcPr>
          <w:p w14:paraId="69FA0B91" w14:textId="77777777" w:rsidR="007B6E01" w:rsidRPr="007B6E01" w:rsidRDefault="007B6E01" w:rsidP="008B146E">
            <w:pPr>
              <w:pStyle w:val="naisf"/>
              <w:spacing w:before="0" w:after="0"/>
              <w:ind w:firstLine="0"/>
              <w:jc w:val="center"/>
            </w:pPr>
          </w:p>
        </w:tc>
        <w:tc>
          <w:tcPr>
            <w:tcW w:w="740" w:type="pct"/>
            <w:vAlign w:val="center"/>
          </w:tcPr>
          <w:p w14:paraId="389A97F0" w14:textId="77777777" w:rsidR="007B6E01" w:rsidRPr="007B6E01" w:rsidRDefault="007B6E01" w:rsidP="008B146E">
            <w:pPr>
              <w:pStyle w:val="naisf"/>
              <w:spacing w:before="0" w:after="0"/>
              <w:ind w:firstLine="0"/>
              <w:jc w:val="center"/>
            </w:pPr>
          </w:p>
        </w:tc>
      </w:tr>
      <w:tr w:rsidR="007B6E01" w:rsidRPr="009319DC" w14:paraId="5CA6B7E1"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2671"/>
        </w:trPr>
        <w:tc>
          <w:tcPr>
            <w:tcW w:w="966" w:type="pct"/>
            <w:gridSpan w:val="2"/>
          </w:tcPr>
          <w:p w14:paraId="73D13B10" w14:textId="47C505EB"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lastRenderedPageBreak/>
              <w:t>6</w:t>
            </w:r>
            <w:r w:rsidR="008B146E">
              <w:rPr>
                <w:rFonts w:ascii="Times New Roman" w:hAnsi="Times New Roman"/>
                <w:sz w:val="24"/>
                <w:szCs w:val="24"/>
              </w:rPr>
              <w:t xml:space="preserve">. </w:t>
            </w:r>
            <w:r>
              <w:rPr>
                <w:rFonts w:ascii="Times New Roman" w:hAnsi="Times New Roman"/>
                <w:sz w:val="24"/>
                <w:szCs w:val="24"/>
              </w:rPr>
              <w:t>Detalizēts ieņēmumu un izdevu</w:t>
            </w:r>
            <w:r w:rsidRPr="007B6E01">
              <w:rPr>
                <w:rFonts w:ascii="Times New Roman" w:hAnsi="Times New Roman"/>
                <w:sz w:val="24"/>
                <w:szCs w:val="24"/>
              </w:rPr>
              <w:t>mu aprēķins (ja nepieciešams, detalizētu ieņēmumu un izdevumu aprēķinu var pievienot anotācijas pielikumā):</w:t>
            </w:r>
          </w:p>
        </w:tc>
        <w:tc>
          <w:tcPr>
            <w:tcW w:w="4027" w:type="pct"/>
            <w:gridSpan w:val="6"/>
            <w:vAlign w:val="center"/>
          </w:tcPr>
          <w:p w14:paraId="680D9E49" w14:textId="5DDDF7ED" w:rsidR="00A32F3E" w:rsidRPr="00A32F3E" w:rsidRDefault="00A32F3E" w:rsidP="00A32F3E">
            <w:pPr>
              <w:spacing w:after="0" w:line="240" w:lineRule="auto"/>
              <w:jc w:val="both"/>
              <w:rPr>
                <w:rFonts w:ascii="Times New Roman" w:hAnsi="Times New Roman"/>
                <w:sz w:val="24"/>
                <w:szCs w:val="24"/>
              </w:rPr>
            </w:pPr>
            <w:r w:rsidRPr="00A32F3E">
              <w:rPr>
                <w:rFonts w:ascii="Times New Roman" w:hAnsi="Times New Roman"/>
                <w:sz w:val="24"/>
                <w:szCs w:val="24"/>
              </w:rPr>
              <w:t>Lai veiktu aprēķinu par ietekmi uz valsts budžeta izdevumiem saistībā ar likumprojektu, par pamatu tika ņemti dati par 2015.</w:t>
            </w:r>
            <w:r>
              <w:rPr>
                <w:rFonts w:ascii="Times New Roman" w:hAnsi="Times New Roman"/>
                <w:sz w:val="24"/>
                <w:szCs w:val="24"/>
              </w:rPr>
              <w:t> </w:t>
            </w:r>
            <w:r w:rsidRPr="00A32F3E">
              <w:rPr>
                <w:rFonts w:ascii="Times New Roman" w:hAnsi="Times New Roman"/>
                <w:sz w:val="24"/>
                <w:szCs w:val="24"/>
              </w:rPr>
              <w:t>gadā tiesu veiktajiem pasta sūtījumiem, tai skaitā, ierakstītajiem pasta sūtījumiem un Tiesu informatīvās sistēmas dati par 2015.</w:t>
            </w:r>
            <w:r>
              <w:rPr>
                <w:rFonts w:ascii="Times New Roman" w:hAnsi="Times New Roman"/>
                <w:sz w:val="24"/>
                <w:szCs w:val="24"/>
              </w:rPr>
              <w:t> </w:t>
            </w:r>
            <w:r w:rsidRPr="00A32F3E">
              <w:rPr>
                <w:rFonts w:ascii="Times New Roman" w:hAnsi="Times New Roman"/>
                <w:sz w:val="24"/>
                <w:szCs w:val="24"/>
              </w:rPr>
              <w:t xml:space="preserve">gadā izskatītajām lietām, dalībnieku skaitu, aizstāvju skaitu. </w:t>
            </w:r>
          </w:p>
          <w:p w14:paraId="21727C50" w14:textId="77777777" w:rsidR="007B6E01" w:rsidRPr="007B6E01" w:rsidRDefault="007B6E01" w:rsidP="008B146E">
            <w:pPr>
              <w:spacing w:after="0" w:line="240" w:lineRule="auto"/>
              <w:jc w:val="both"/>
              <w:rPr>
                <w:rFonts w:ascii="Times New Roman" w:hAnsi="Times New Roman"/>
                <w:sz w:val="24"/>
                <w:szCs w:val="24"/>
              </w:rPr>
            </w:pPr>
          </w:p>
          <w:p w14:paraId="4017C18F" w14:textId="77777777" w:rsidR="007B6E01" w:rsidRPr="007B6E01" w:rsidRDefault="007B6E01" w:rsidP="008B146E">
            <w:pPr>
              <w:spacing w:after="0" w:line="240" w:lineRule="auto"/>
              <w:jc w:val="both"/>
              <w:rPr>
                <w:rFonts w:ascii="Times New Roman" w:hAnsi="Times New Roman"/>
                <w:sz w:val="24"/>
                <w:szCs w:val="24"/>
              </w:rPr>
            </w:pPr>
          </w:p>
          <w:p w14:paraId="6A696323" w14:textId="77777777" w:rsidR="007B6E01" w:rsidRPr="007B6E01" w:rsidRDefault="007B6E01" w:rsidP="008B146E">
            <w:pPr>
              <w:spacing w:after="0" w:line="240" w:lineRule="auto"/>
              <w:jc w:val="both"/>
              <w:rPr>
                <w:rFonts w:ascii="Times New Roman" w:hAnsi="Times New Roman"/>
                <w:sz w:val="24"/>
                <w:szCs w:val="24"/>
              </w:rPr>
            </w:pPr>
          </w:p>
          <w:p w14:paraId="680D2DE6" w14:textId="77777777" w:rsidR="007B6E01" w:rsidRPr="007B6E01" w:rsidRDefault="007B6E01" w:rsidP="008B146E">
            <w:pPr>
              <w:spacing w:after="0" w:line="240" w:lineRule="auto"/>
              <w:jc w:val="both"/>
              <w:rPr>
                <w:rFonts w:ascii="Times New Roman" w:hAnsi="Times New Roman"/>
                <w:sz w:val="24"/>
                <w:szCs w:val="24"/>
              </w:rPr>
            </w:pPr>
          </w:p>
        </w:tc>
      </w:tr>
      <w:tr w:rsidR="007B6E01" w:rsidRPr="009319DC" w14:paraId="5974DC12"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680"/>
        </w:trPr>
        <w:tc>
          <w:tcPr>
            <w:tcW w:w="966" w:type="pct"/>
            <w:gridSpan w:val="2"/>
          </w:tcPr>
          <w:p w14:paraId="02E91F17"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6.1. detalizēts ieņēmumu aprēķins</w:t>
            </w:r>
          </w:p>
        </w:tc>
        <w:tc>
          <w:tcPr>
            <w:tcW w:w="4027" w:type="pct"/>
            <w:gridSpan w:val="6"/>
            <w:vAlign w:val="center"/>
          </w:tcPr>
          <w:p w14:paraId="445A5B7E" w14:textId="77777777" w:rsidR="007B6E01" w:rsidRPr="007B6E01" w:rsidRDefault="007B6E01" w:rsidP="008B146E">
            <w:pPr>
              <w:pStyle w:val="Paraststmeklis"/>
              <w:spacing w:before="0" w:beforeAutospacing="0" w:after="0" w:afterAutospacing="0"/>
              <w:jc w:val="both"/>
              <w:rPr>
                <w:u w:val="single"/>
              </w:rPr>
            </w:pPr>
          </w:p>
        </w:tc>
      </w:tr>
      <w:tr w:rsidR="007B6E01" w:rsidRPr="009319DC" w14:paraId="55CF37E1"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3113"/>
        </w:trPr>
        <w:tc>
          <w:tcPr>
            <w:tcW w:w="966" w:type="pct"/>
            <w:gridSpan w:val="2"/>
          </w:tcPr>
          <w:p w14:paraId="732B9393" w14:textId="77777777" w:rsidR="007B6E01" w:rsidRPr="007B6E01" w:rsidRDefault="007B6E01" w:rsidP="008B146E">
            <w:pPr>
              <w:spacing w:after="0" w:line="240" w:lineRule="auto"/>
              <w:jc w:val="both"/>
              <w:rPr>
                <w:rFonts w:ascii="Times New Roman" w:hAnsi="Times New Roman"/>
                <w:sz w:val="24"/>
                <w:szCs w:val="24"/>
              </w:rPr>
            </w:pPr>
            <w:r w:rsidRPr="007B6E01">
              <w:rPr>
                <w:rFonts w:ascii="Times New Roman" w:hAnsi="Times New Roman"/>
                <w:sz w:val="24"/>
                <w:szCs w:val="24"/>
              </w:rPr>
              <w:t>6.2. detalizēts izdevumu aprēķins</w:t>
            </w:r>
          </w:p>
        </w:tc>
        <w:tc>
          <w:tcPr>
            <w:tcW w:w="4027" w:type="pct"/>
            <w:gridSpan w:val="6"/>
          </w:tcPr>
          <w:p w14:paraId="07ABBE62" w14:textId="77777777" w:rsidR="007B6E01" w:rsidRPr="007B6E01" w:rsidRDefault="007B6E01" w:rsidP="008B146E">
            <w:pPr>
              <w:spacing w:after="0" w:line="240" w:lineRule="auto"/>
              <w:ind w:firstLine="601"/>
              <w:jc w:val="both"/>
              <w:rPr>
                <w:rFonts w:ascii="Times New Roman" w:hAnsi="Times New Roman"/>
                <w:sz w:val="24"/>
                <w:szCs w:val="24"/>
              </w:rPr>
            </w:pPr>
            <w:r w:rsidRPr="007B6E01">
              <w:rPr>
                <w:rFonts w:ascii="Times New Roman" w:hAnsi="Times New Roman"/>
                <w:sz w:val="24"/>
                <w:szCs w:val="24"/>
              </w:rPr>
              <w:t xml:space="preserve">Krimināllietās gadā tiek nosūtīti vidēji 455 946 ierakstīti pasta sūtījumi par kopējo summu 651 177 </w:t>
            </w:r>
            <w:r w:rsidRPr="007B6E01">
              <w:rPr>
                <w:rFonts w:ascii="Times New Roman" w:hAnsi="Times New Roman"/>
                <w:i/>
                <w:sz w:val="24"/>
                <w:szCs w:val="24"/>
              </w:rPr>
              <w:t>euro,</w:t>
            </w:r>
            <w:r w:rsidRPr="007B6E01">
              <w:rPr>
                <w:rFonts w:ascii="Times New Roman" w:hAnsi="Times New Roman"/>
                <w:sz w:val="24"/>
                <w:szCs w:val="24"/>
              </w:rPr>
              <w:t xml:space="preserve"> tai skaitā, 98 030 sūtījumi ar paziņojumu par saņemšanu.</w:t>
            </w:r>
          </w:p>
          <w:p w14:paraId="62B3633B" w14:textId="25EC14E1" w:rsidR="007B6E01" w:rsidRPr="007B6E01" w:rsidRDefault="007B6E01" w:rsidP="008B146E">
            <w:pPr>
              <w:spacing w:after="0" w:line="240" w:lineRule="auto"/>
              <w:ind w:firstLine="601"/>
              <w:jc w:val="both"/>
              <w:rPr>
                <w:rFonts w:ascii="Times New Roman" w:hAnsi="Times New Roman"/>
                <w:sz w:val="24"/>
                <w:szCs w:val="24"/>
              </w:rPr>
            </w:pPr>
            <w:r w:rsidRPr="007B6E01">
              <w:rPr>
                <w:rFonts w:ascii="Times New Roman" w:hAnsi="Times New Roman"/>
                <w:sz w:val="24"/>
                <w:szCs w:val="24"/>
              </w:rPr>
              <w:t>Ar 2017.</w:t>
            </w:r>
            <w:r w:rsidR="008B146E">
              <w:rPr>
                <w:rFonts w:ascii="Times New Roman" w:hAnsi="Times New Roman"/>
                <w:sz w:val="24"/>
                <w:szCs w:val="24"/>
              </w:rPr>
              <w:t> </w:t>
            </w:r>
            <w:r w:rsidRPr="007B6E01">
              <w:rPr>
                <w:rFonts w:ascii="Times New Roman" w:hAnsi="Times New Roman"/>
                <w:sz w:val="24"/>
                <w:szCs w:val="24"/>
              </w:rPr>
              <w:t>gada 1.</w:t>
            </w:r>
            <w:r w:rsidR="008B146E">
              <w:rPr>
                <w:rFonts w:ascii="Times New Roman" w:hAnsi="Times New Roman"/>
                <w:sz w:val="24"/>
                <w:szCs w:val="24"/>
              </w:rPr>
              <w:t> </w:t>
            </w:r>
            <w:r w:rsidRPr="007B6E01">
              <w:rPr>
                <w:rFonts w:ascii="Times New Roman" w:hAnsi="Times New Roman"/>
                <w:sz w:val="24"/>
                <w:szCs w:val="24"/>
              </w:rPr>
              <w:t xml:space="preserve">janvāri paredzēts, ka: 1) tiesas pavēstes personām nosūta nevis ierakstīta pasta sūtījuma veidā ar paziņojumu par saņemšanu, bet vienkāršā pasta sūtījumā; 2) pavēstes advokātam, valsts vai pašvaldību iestādei tiek sūtītas elektroniski. </w:t>
            </w:r>
          </w:p>
          <w:p w14:paraId="79BD8E1A" w14:textId="6CE9C624" w:rsidR="007B6E01" w:rsidRPr="007B6E01" w:rsidRDefault="007B6E01" w:rsidP="008B146E">
            <w:pPr>
              <w:spacing w:after="0" w:line="240" w:lineRule="auto"/>
              <w:ind w:firstLine="601"/>
              <w:jc w:val="both"/>
              <w:rPr>
                <w:rFonts w:ascii="Times New Roman" w:hAnsi="Times New Roman"/>
                <w:sz w:val="24"/>
                <w:szCs w:val="24"/>
              </w:rPr>
            </w:pPr>
            <w:r w:rsidRPr="007B6E01">
              <w:rPr>
                <w:rFonts w:ascii="Times New Roman" w:hAnsi="Times New Roman"/>
                <w:sz w:val="24"/>
                <w:szCs w:val="24"/>
              </w:rPr>
              <w:t>Saskaņā ar TIS datiem krimināllietās gadā vidēji ir 101 920 dalībnieki, līdz ar to prognozējam, ka gadā vidēji 120 000 ierakstītu sūtījumu tiks aizstāti ar vienkāršu pasta sūtījumu. Tāpat, prognozējam, ka 70% gadījumu sūtījumi KPL ietvaros tiks veikti bez paziņojuma par saņemšanu, 70% no 98 030 = 68 621</w:t>
            </w:r>
          </w:p>
          <w:p w14:paraId="7801792C" w14:textId="77777777" w:rsidR="007B6E01" w:rsidRPr="007B6E01" w:rsidRDefault="007B6E01" w:rsidP="00F12F43">
            <w:pPr>
              <w:spacing w:after="0" w:line="240" w:lineRule="auto"/>
              <w:ind w:firstLine="601"/>
              <w:jc w:val="both"/>
              <w:rPr>
                <w:rFonts w:ascii="Times New Roman" w:hAnsi="Times New Roman"/>
                <w:sz w:val="24"/>
                <w:szCs w:val="24"/>
              </w:rPr>
            </w:pPr>
            <w:r w:rsidRPr="007B6E01">
              <w:rPr>
                <w:rFonts w:ascii="Times New Roman" w:hAnsi="Times New Roman"/>
                <w:sz w:val="24"/>
                <w:szCs w:val="24"/>
              </w:rPr>
              <w:t>Attiecībā uz aizstāvjiem jau šobrīd tiek nodrošināta saziņa tiešsaistes sistēmā un ietaupījums netiek plānots.</w:t>
            </w:r>
          </w:p>
          <w:p w14:paraId="6B92853E" w14:textId="08494813" w:rsidR="007B6E01" w:rsidRPr="007B6E01" w:rsidRDefault="007B6E01" w:rsidP="00F12F43">
            <w:pPr>
              <w:spacing w:after="0" w:line="240" w:lineRule="auto"/>
              <w:ind w:firstLine="601"/>
              <w:jc w:val="both"/>
              <w:rPr>
                <w:rFonts w:ascii="Times New Roman" w:hAnsi="Times New Roman"/>
                <w:sz w:val="24"/>
                <w:szCs w:val="24"/>
              </w:rPr>
            </w:pPr>
            <w:r>
              <w:rPr>
                <w:rFonts w:ascii="Times New Roman" w:hAnsi="Times New Roman"/>
                <w:sz w:val="24"/>
                <w:szCs w:val="24"/>
              </w:rPr>
              <w:t>Sūtījumu skaita samazinājuma aprēķ</w:t>
            </w:r>
            <w:r w:rsidRPr="007B6E01">
              <w:rPr>
                <w:rFonts w:ascii="Times New Roman" w:hAnsi="Times New Roman"/>
                <w:sz w:val="24"/>
                <w:szCs w:val="24"/>
              </w:rPr>
              <w:t>ins valsts vai pašvaldības iestādēm:</w:t>
            </w:r>
          </w:p>
          <w:p w14:paraId="6F0E89E4" w14:textId="76E81C1B" w:rsidR="007B6E01" w:rsidRPr="007B6E01" w:rsidRDefault="007B6E01" w:rsidP="00F12F43">
            <w:pPr>
              <w:numPr>
                <w:ilvl w:val="0"/>
                <w:numId w:val="9"/>
              </w:numPr>
              <w:spacing w:after="0" w:line="240" w:lineRule="auto"/>
              <w:ind w:left="0" w:firstLine="885"/>
              <w:jc w:val="both"/>
              <w:rPr>
                <w:rFonts w:ascii="Times New Roman" w:hAnsi="Times New Roman"/>
                <w:sz w:val="24"/>
                <w:szCs w:val="24"/>
              </w:rPr>
            </w:pPr>
            <w:r w:rsidRPr="007B6E01">
              <w:rPr>
                <w:rFonts w:ascii="Times New Roman" w:hAnsi="Times New Roman"/>
                <w:sz w:val="24"/>
                <w:szCs w:val="24"/>
              </w:rPr>
              <w:t>2015.</w:t>
            </w:r>
            <w:r w:rsidR="00A32F3E">
              <w:rPr>
                <w:rFonts w:ascii="Times New Roman" w:hAnsi="Times New Roman"/>
                <w:sz w:val="24"/>
                <w:szCs w:val="24"/>
              </w:rPr>
              <w:t> </w:t>
            </w:r>
            <w:r w:rsidRPr="007B6E01">
              <w:rPr>
                <w:rFonts w:ascii="Times New Roman" w:hAnsi="Times New Roman"/>
                <w:sz w:val="24"/>
                <w:szCs w:val="24"/>
              </w:rPr>
              <w:t>gadā pabeigtas 12 578 krimināllietas, katrā trešajā lietā vēl viens prokurors – 12 578 + 12 578/3 = 16 771 (sūtījumi prokuroriem);</w:t>
            </w:r>
          </w:p>
          <w:p w14:paraId="1BCCDF19" w14:textId="77777777" w:rsidR="007B6E01" w:rsidRPr="007B6E01" w:rsidRDefault="007B6E01" w:rsidP="008B146E">
            <w:pPr>
              <w:numPr>
                <w:ilvl w:val="0"/>
                <w:numId w:val="9"/>
              </w:numPr>
              <w:spacing w:after="0" w:line="240" w:lineRule="auto"/>
              <w:ind w:left="0"/>
              <w:jc w:val="both"/>
              <w:rPr>
                <w:rFonts w:ascii="Times New Roman" w:hAnsi="Times New Roman"/>
                <w:sz w:val="24"/>
                <w:szCs w:val="24"/>
              </w:rPr>
            </w:pPr>
            <w:r w:rsidRPr="007B6E01">
              <w:rPr>
                <w:rFonts w:ascii="Times New Roman" w:hAnsi="Times New Roman"/>
                <w:sz w:val="24"/>
                <w:szCs w:val="24"/>
              </w:rPr>
              <w:t xml:space="preserve"> eksperti, citas valsts un pašvaldību iestādes - pieņemam, ka 20% no pabeigtajām lietām - 20% no 12 578 = 2 516 sūtījumi.</w:t>
            </w:r>
          </w:p>
          <w:p w14:paraId="23E61B8F" w14:textId="5AC44FBC" w:rsidR="007B6E01" w:rsidRPr="007B6E01" w:rsidRDefault="007B6E01" w:rsidP="00A32F3E">
            <w:pPr>
              <w:spacing w:after="0" w:line="240" w:lineRule="auto"/>
              <w:ind w:firstLine="885"/>
              <w:jc w:val="both"/>
              <w:rPr>
                <w:rFonts w:ascii="Times New Roman" w:hAnsi="Times New Roman"/>
                <w:sz w:val="24"/>
                <w:szCs w:val="24"/>
              </w:rPr>
            </w:pPr>
            <w:r w:rsidRPr="007B6E01">
              <w:rPr>
                <w:rFonts w:ascii="Times New Roman" w:hAnsi="Times New Roman"/>
                <w:sz w:val="24"/>
                <w:szCs w:val="24"/>
              </w:rPr>
              <w:t>Kopā 19 287 gadījumos pavēstes iestādēm tiks sūtītas tikai elektroniski.</w:t>
            </w:r>
          </w:p>
          <w:tbl>
            <w:tblPr>
              <w:tblW w:w="7400" w:type="dxa"/>
              <w:tblLayout w:type="fixed"/>
              <w:tblLook w:val="04A0" w:firstRow="1" w:lastRow="0" w:firstColumn="1" w:lastColumn="0" w:noHBand="0" w:noVBand="1"/>
            </w:tblPr>
            <w:tblGrid>
              <w:gridCol w:w="1730"/>
              <w:gridCol w:w="992"/>
              <w:gridCol w:w="992"/>
              <w:gridCol w:w="1276"/>
              <w:gridCol w:w="992"/>
              <w:gridCol w:w="1418"/>
            </w:tblGrid>
            <w:tr w:rsidR="007B6E01" w:rsidRPr="007B6E01" w14:paraId="40586026" w14:textId="77777777" w:rsidTr="007B6E01">
              <w:trPr>
                <w:trHeight w:val="1393"/>
              </w:trPr>
              <w:tc>
                <w:tcPr>
                  <w:tcW w:w="1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BF72B"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Sūtījuma veids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F060BA1" w14:textId="77777777" w:rsidR="007B6E01" w:rsidRPr="007B6E01" w:rsidRDefault="007B6E01" w:rsidP="008B146E">
                  <w:pPr>
                    <w:spacing w:after="0" w:line="240" w:lineRule="auto"/>
                    <w:jc w:val="center"/>
                    <w:rPr>
                      <w:rFonts w:ascii="Times New Roman" w:hAnsi="Times New Roman"/>
                      <w:color w:val="000000"/>
                      <w:sz w:val="24"/>
                      <w:szCs w:val="24"/>
                    </w:rPr>
                  </w:pPr>
                </w:p>
                <w:p w14:paraId="65F9059D" w14:textId="77777777" w:rsidR="007B6E01" w:rsidRPr="007B6E01" w:rsidRDefault="007B6E01" w:rsidP="008B146E">
                  <w:pPr>
                    <w:spacing w:after="0" w:line="240" w:lineRule="auto"/>
                    <w:jc w:val="center"/>
                    <w:rPr>
                      <w:rFonts w:ascii="Times New Roman" w:hAnsi="Times New Roman"/>
                      <w:color w:val="000000"/>
                      <w:sz w:val="24"/>
                      <w:szCs w:val="24"/>
                    </w:rPr>
                  </w:pPr>
                </w:p>
                <w:p w14:paraId="1D5947FB"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Plānotais pasta sūtījumu skaits</w:t>
                  </w:r>
                </w:p>
                <w:p w14:paraId="052B29E6" w14:textId="77777777" w:rsidR="007B6E01" w:rsidRPr="007B6E01" w:rsidRDefault="007B6E01" w:rsidP="008B146E">
                  <w:pPr>
                    <w:spacing w:after="0" w:line="240" w:lineRule="auto"/>
                    <w:jc w:val="center"/>
                    <w:rPr>
                      <w:rFonts w:ascii="Times New Roman" w:hAnsi="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F31B7E"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Viena ierakstīta sūtījuma un paziņojuma par saņemšanu cena, euro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072A0CC"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Viena vienkārša sūtījuma cena, euro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8F546D"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Cenas starpība, euro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A6BAC8"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Izdevumu samazinājums, euro</w:t>
                  </w:r>
                </w:p>
              </w:tc>
            </w:tr>
            <w:tr w:rsidR="007B6E01" w:rsidRPr="007B6E01" w14:paraId="7D266F5B" w14:textId="77777777" w:rsidTr="007B6E01">
              <w:trPr>
                <w:trHeight w:val="330"/>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196D7550"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lastRenderedPageBreak/>
                    <w:t>1</w:t>
                  </w:r>
                </w:p>
              </w:tc>
              <w:tc>
                <w:tcPr>
                  <w:tcW w:w="992" w:type="dxa"/>
                  <w:tcBorders>
                    <w:top w:val="nil"/>
                    <w:left w:val="nil"/>
                    <w:bottom w:val="single" w:sz="4" w:space="0" w:color="auto"/>
                    <w:right w:val="single" w:sz="4" w:space="0" w:color="auto"/>
                  </w:tcBorders>
                  <w:shd w:val="clear" w:color="auto" w:fill="auto"/>
                  <w:vAlign w:val="center"/>
                  <w:hideMark/>
                </w:tcPr>
                <w:p w14:paraId="173A39EF"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14:paraId="2FCD3E52"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6FDCA7FA"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14:paraId="7F251A00"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5 (3-4)</w:t>
                  </w:r>
                </w:p>
              </w:tc>
              <w:tc>
                <w:tcPr>
                  <w:tcW w:w="1418" w:type="dxa"/>
                  <w:tcBorders>
                    <w:top w:val="nil"/>
                    <w:left w:val="nil"/>
                    <w:bottom w:val="single" w:sz="4" w:space="0" w:color="auto"/>
                    <w:right w:val="single" w:sz="4" w:space="0" w:color="auto"/>
                  </w:tcBorders>
                  <w:shd w:val="clear" w:color="auto" w:fill="auto"/>
                  <w:vAlign w:val="center"/>
                  <w:hideMark/>
                </w:tcPr>
                <w:p w14:paraId="4D637FB0" w14:textId="77777777" w:rsidR="007B6E01" w:rsidRPr="007B6E01" w:rsidRDefault="007B6E01" w:rsidP="008B146E">
                  <w:pPr>
                    <w:spacing w:after="0" w:line="240" w:lineRule="auto"/>
                    <w:jc w:val="center"/>
                    <w:rPr>
                      <w:rFonts w:ascii="Times New Roman" w:hAnsi="Times New Roman"/>
                      <w:color w:val="000000"/>
                      <w:sz w:val="24"/>
                      <w:szCs w:val="24"/>
                    </w:rPr>
                  </w:pPr>
                  <w:r w:rsidRPr="007B6E01">
                    <w:rPr>
                      <w:rFonts w:ascii="Times New Roman" w:hAnsi="Times New Roman"/>
                      <w:color w:val="000000"/>
                      <w:sz w:val="24"/>
                      <w:szCs w:val="24"/>
                    </w:rPr>
                    <w:t>6 (2 x 5)</w:t>
                  </w:r>
                </w:p>
              </w:tc>
            </w:tr>
            <w:tr w:rsidR="007B6E01" w:rsidRPr="007B6E01" w14:paraId="6E66B7A8" w14:textId="77777777" w:rsidTr="007B6E01">
              <w:trPr>
                <w:trHeight w:val="300"/>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68AEFE4" w14:textId="77777777" w:rsidR="007B6E01" w:rsidRPr="007B6E01" w:rsidRDefault="007B6E01" w:rsidP="008B146E">
                  <w:pPr>
                    <w:spacing w:after="0" w:line="240" w:lineRule="auto"/>
                    <w:rPr>
                      <w:rFonts w:ascii="Times New Roman" w:hAnsi="Times New Roman"/>
                      <w:color w:val="000000"/>
                      <w:sz w:val="24"/>
                      <w:szCs w:val="24"/>
                    </w:rPr>
                  </w:pPr>
                  <w:r w:rsidRPr="007B6E01">
                    <w:rPr>
                      <w:rFonts w:ascii="Times New Roman" w:hAnsi="Times New Roman"/>
                      <w:color w:val="000000"/>
                      <w:sz w:val="24"/>
                      <w:szCs w:val="24"/>
                    </w:rPr>
                    <w:t xml:space="preserve">Pavēstes nosūtīšana lietas dalībniekiem, kuri nav valsts vai pašvaldības iestāde </w:t>
                  </w:r>
                </w:p>
              </w:tc>
              <w:tc>
                <w:tcPr>
                  <w:tcW w:w="992" w:type="dxa"/>
                  <w:tcBorders>
                    <w:top w:val="nil"/>
                    <w:left w:val="nil"/>
                    <w:bottom w:val="single" w:sz="4" w:space="0" w:color="auto"/>
                    <w:right w:val="single" w:sz="4" w:space="0" w:color="auto"/>
                  </w:tcBorders>
                  <w:shd w:val="clear" w:color="auto" w:fill="auto"/>
                  <w:noWrap/>
                  <w:vAlign w:val="bottom"/>
                  <w:hideMark/>
                </w:tcPr>
                <w:p w14:paraId="5B21E501"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120 000</w:t>
                  </w:r>
                </w:p>
              </w:tc>
              <w:tc>
                <w:tcPr>
                  <w:tcW w:w="992" w:type="dxa"/>
                  <w:tcBorders>
                    <w:top w:val="nil"/>
                    <w:left w:val="nil"/>
                    <w:bottom w:val="single" w:sz="4" w:space="0" w:color="auto"/>
                    <w:right w:val="single" w:sz="4" w:space="0" w:color="auto"/>
                  </w:tcBorders>
                  <w:shd w:val="clear" w:color="auto" w:fill="auto"/>
                  <w:noWrap/>
                  <w:vAlign w:val="bottom"/>
                  <w:hideMark/>
                </w:tcPr>
                <w:p w14:paraId="3E5B35C6"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4C2AC1AC"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0,50</w:t>
                  </w:r>
                </w:p>
              </w:tc>
              <w:tc>
                <w:tcPr>
                  <w:tcW w:w="992" w:type="dxa"/>
                  <w:tcBorders>
                    <w:top w:val="nil"/>
                    <w:left w:val="nil"/>
                    <w:bottom w:val="single" w:sz="4" w:space="0" w:color="auto"/>
                    <w:right w:val="single" w:sz="4" w:space="0" w:color="auto"/>
                  </w:tcBorders>
                  <w:shd w:val="clear" w:color="auto" w:fill="auto"/>
                  <w:noWrap/>
                  <w:vAlign w:val="bottom"/>
                  <w:hideMark/>
                </w:tcPr>
                <w:p w14:paraId="1F54CE09"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0,89</w:t>
                  </w:r>
                </w:p>
              </w:tc>
              <w:tc>
                <w:tcPr>
                  <w:tcW w:w="1418" w:type="dxa"/>
                  <w:tcBorders>
                    <w:top w:val="nil"/>
                    <w:left w:val="nil"/>
                    <w:bottom w:val="single" w:sz="4" w:space="0" w:color="auto"/>
                    <w:right w:val="single" w:sz="4" w:space="0" w:color="auto"/>
                  </w:tcBorders>
                  <w:shd w:val="clear" w:color="auto" w:fill="auto"/>
                  <w:noWrap/>
                  <w:vAlign w:val="bottom"/>
                  <w:hideMark/>
                </w:tcPr>
                <w:p w14:paraId="1370EDFD"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106 800,00</w:t>
                  </w:r>
                </w:p>
              </w:tc>
            </w:tr>
            <w:tr w:rsidR="007B6E01" w:rsidRPr="007B6E01" w14:paraId="7237467E" w14:textId="77777777" w:rsidTr="007B6E01">
              <w:trPr>
                <w:trHeight w:val="300"/>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75A0A36F" w14:textId="77777777" w:rsidR="007B6E01" w:rsidRPr="007B6E01" w:rsidRDefault="007B6E01" w:rsidP="008B146E">
                  <w:pPr>
                    <w:spacing w:after="0" w:line="240" w:lineRule="auto"/>
                    <w:rPr>
                      <w:rFonts w:ascii="Times New Roman" w:hAnsi="Times New Roman"/>
                      <w:color w:val="000000"/>
                      <w:sz w:val="24"/>
                      <w:szCs w:val="24"/>
                    </w:rPr>
                  </w:pPr>
                  <w:r w:rsidRPr="007B6E01">
                    <w:rPr>
                      <w:rFonts w:ascii="Times New Roman" w:hAnsi="Times New Roman"/>
                      <w:color w:val="000000"/>
                      <w:sz w:val="24"/>
                      <w:szCs w:val="24"/>
                    </w:rPr>
                    <w:t>Pavēstes nosūtīšana valsts vai pašvaldības iestādei</w:t>
                  </w:r>
                </w:p>
              </w:tc>
              <w:tc>
                <w:tcPr>
                  <w:tcW w:w="992" w:type="dxa"/>
                  <w:tcBorders>
                    <w:top w:val="nil"/>
                    <w:left w:val="nil"/>
                    <w:bottom w:val="single" w:sz="4" w:space="0" w:color="auto"/>
                    <w:right w:val="single" w:sz="4" w:space="0" w:color="auto"/>
                  </w:tcBorders>
                  <w:shd w:val="clear" w:color="auto" w:fill="auto"/>
                  <w:noWrap/>
                  <w:vAlign w:val="bottom"/>
                  <w:hideMark/>
                </w:tcPr>
                <w:p w14:paraId="2EAADFD2"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19 287</w:t>
                  </w:r>
                </w:p>
              </w:tc>
              <w:tc>
                <w:tcPr>
                  <w:tcW w:w="992" w:type="dxa"/>
                  <w:tcBorders>
                    <w:top w:val="nil"/>
                    <w:left w:val="nil"/>
                    <w:bottom w:val="single" w:sz="4" w:space="0" w:color="auto"/>
                    <w:right w:val="single" w:sz="4" w:space="0" w:color="auto"/>
                  </w:tcBorders>
                  <w:shd w:val="clear" w:color="auto" w:fill="auto"/>
                  <w:noWrap/>
                  <w:vAlign w:val="bottom"/>
                  <w:hideMark/>
                </w:tcPr>
                <w:p w14:paraId="6C5956ED"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1,39</w:t>
                  </w:r>
                </w:p>
              </w:tc>
              <w:tc>
                <w:tcPr>
                  <w:tcW w:w="1276" w:type="dxa"/>
                  <w:tcBorders>
                    <w:top w:val="nil"/>
                    <w:left w:val="nil"/>
                    <w:bottom w:val="single" w:sz="4" w:space="0" w:color="auto"/>
                    <w:right w:val="single" w:sz="4" w:space="0" w:color="auto"/>
                  </w:tcBorders>
                  <w:shd w:val="clear" w:color="auto" w:fill="auto"/>
                  <w:noWrap/>
                  <w:vAlign w:val="bottom"/>
                  <w:hideMark/>
                </w:tcPr>
                <w:p w14:paraId="3A68A18F" w14:textId="77777777" w:rsidR="007B6E01" w:rsidRPr="007B6E01" w:rsidRDefault="007B6E01" w:rsidP="008B146E">
                  <w:pPr>
                    <w:spacing w:after="0" w:line="240" w:lineRule="auto"/>
                    <w:rPr>
                      <w:rFonts w:ascii="Times New Roman" w:hAnsi="Times New Roman"/>
                      <w:color w:val="000000"/>
                      <w:sz w:val="24"/>
                      <w:szCs w:val="24"/>
                    </w:rPr>
                  </w:pPr>
                  <w:r w:rsidRPr="007B6E01">
                    <w:rPr>
                      <w:rFonts w:ascii="Times New Roman" w:hAnsi="Times New Roman"/>
                      <w:color w:val="000000"/>
                      <w:sz w:val="24"/>
                      <w:szCs w:val="24"/>
                    </w:rPr>
                    <w:t>Nosūtīšana tikai elektroniski</w:t>
                  </w:r>
                </w:p>
              </w:tc>
              <w:tc>
                <w:tcPr>
                  <w:tcW w:w="992" w:type="dxa"/>
                  <w:tcBorders>
                    <w:top w:val="nil"/>
                    <w:left w:val="nil"/>
                    <w:bottom w:val="single" w:sz="4" w:space="0" w:color="auto"/>
                    <w:right w:val="single" w:sz="4" w:space="0" w:color="auto"/>
                  </w:tcBorders>
                  <w:shd w:val="clear" w:color="auto" w:fill="auto"/>
                  <w:noWrap/>
                  <w:vAlign w:val="bottom"/>
                  <w:hideMark/>
                </w:tcPr>
                <w:p w14:paraId="5B0AAE29"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1,39</w:t>
                  </w:r>
                </w:p>
              </w:tc>
              <w:tc>
                <w:tcPr>
                  <w:tcW w:w="1418" w:type="dxa"/>
                  <w:tcBorders>
                    <w:top w:val="nil"/>
                    <w:left w:val="nil"/>
                    <w:bottom w:val="single" w:sz="4" w:space="0" w:color="auto"/>
                    <w:right w:val="single" w:sz="4" w:space="0" w:color="auto"/>
                  </w:tcBorders>
                  <w:shd w:val="clear" w:color="auto" w:fill="auto"/>
                  <w:noWrap/>
                  <w:vAlign w:val="bottom"/>
                  <w:hideMark/>
                </w:tcPr>
                <w:p w14:paraId="43C8321C"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26 808,93</w:t>
                  </w:r>
                </w:p>
              </w:tc>
            </w:tr>
            <w:tr w:rsidR="007B6E01" w:rsidRPr="007B6E01" w14:paraId="401B23BC" w14:textId="77777777" w:rsidTr="007B6E01">
              <w:trPr>
                <w:trHeight w:val="300"/>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4D98464F" w14:textId="77777777" w:rsidR="007B6E01" w:rsidRPr="007B6E01" w:rsidRDefault="007B6E01" w:rsidP="008B146E">
                  <w:pPr>
                    <w:spacing w:after="0" w:line="240" w:lineRule="auto"/>
                    <w:rPr>
                      <w:rFonts w:ascii="Times New Roman" w:hAnsi="Times New Roman"/>
                      <w:color w:val="000000"/>
                      <w:sz w:val="24"/>
                      <w:szCs w:val="24"/>
                    </w:rPr>
                  </w:pPr>
                  <w:r w:rsidRPr="007B6E01">
                    <w:rPr>
                      <w:rFonts w:ascii="Times New Roman" w:hAnsi="Times New Roman"/>
                      <w:color w:val="000000"/>
                      <w:sz w:val="24"/>
                      <w:szCs w:val="24"/>
                    </w:rPr>
                    <w:t xml:space="preserve">Paziņojums par saņemšanu </w:t>
                  </w:r>
                </w:p>
              </w:tc>
              <w:tc>
                <w:tcPr>
                  <w:tcW w:w="992" w:type="dxa"/>
                  <w:tcBorders>
                    <w:top w:val="nil"/>
                    <w:left w:val="nil"/>
                    <w:bottom w:val="single" w:sz="4" w:space="0" w:color="auto"/>
                    <w:right w:val="single" w:sz="4" w:space="0" w:color="auto"/>
                  </w:tcBorders>
                  <w:shd w:val="clear" w:color="auto" w:fill="auto"/>
                  <w:noWrap/>
                  <w:vAlign w:val="bottom"/>
                  <w:hideMark/>
                </w:tcPr>
                <w:p w14:paraId="65CE2C2C"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68 621</w:t>
                  </w:r>
                </w:p>
              </w:tc>
              <w:tc>
                <w:tcPr>
                  <w:tcW w:w="992" w:type="dxa"/>
                  <w:tcBorders>
                    <w:top w:val="nil"/>
                    <w:left w:val="nil"/>
                    <w:bottom w:val="single" w:sz="4" w:space="0" w:color="auto"/>
                    <w:right w:val="single" w:sz="4" w:space="0" w:color="auto"/>
                  </w:tcBorders>
                  <w:shd w:val="clear" w:color="auto" w:fill="auto"/>
                  <w:noWrap/>
                  <w:vAlign w:val="bottom"/>
                  <w:hideMark/>
                </w:tcPr>
                <w:p w14:paraId="31818E45"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1,75</w:t>
                  </w:r>
                </w:p>
              </w:tc>
              <w:tc>
                <w:tcPr>
                  <w:tcW w:w="1276" w:type="dxa"/>
                  <w:tcBorders>
                    <w:top w:val="nil"/>
                    <w:left w:val="nil"/>
                    <w:bottom w:val="single" w:sz="4" w:space="0" w:color="auto"/>
                    <w:right w:val="single" w:sz="4" w:space="0" w:color="auto"/>
                  </w:tcBorders>
                  <w:shd w:val="clear" w:color="auto" w:fill="auto"/>
                  <w:noWrap/>
                  <w:vAlign w:val="bottom"/>
                  <w:hideMark/>
                </w:tcPr>
                <w:p w14:paraId="523BB153"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Netiek sūtīti</w:t>
                  </w:r>
                </w:p>
              </w:tc>
              <w:tc>
                <w:tcPr>
                  <w:tcW w:w="992" w:type="dxa"/>
                  <w:tcBorders>
                    <w:top w:val="nil"/>
                    <w:left w:val="nil"/>
                    <w:bottom w:val="single" w:sz="4" w:space="0" w:color="auto"/>
                    <w:right w:val="single" w:sz="4" w:space="0" w:color="auto"/>
                  </w:tcBorders>
                  <w:shd w:val="clear" w:color="auto" w:fill="auto"/>
                  <w:noWrap/>
                  <w:vAlign w:val="bottom"/>
                  <w:hideMark/>
                </w:tcPr>
                <w:p w14:paraId="570EA933"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1,75</w:t>
                  </w:r>
                </w:p>
              </w:tc>
              <w:tc>
                <w:tcPr>
                  <w:tcW w:w="1418" w:type="dxa"/>
                  <w:tcBorders>
                    <w:top w:val="nil"/>
                    <w:left w:val="nil"/>
                    <w:bottom w:val="single" w:sz="4" w:space="0" w:color="auto"/>
                    <w:right w:val="single" w:sz="4" w:space="0" w:color="auto"/>
                  </w:tcBorders>
                  <w:shd w:val="clear" w:color="auto" w:fill="auto"/>
                  <w:noWrap/>
                  <w:vAlign w:val="bottom"/>
                  <w:hideMark/>
                </w:tcPr>
                <w:p w14:paraId="687DE084" w14:textId="77777777" w:rsidR="007B6E01" w:rsidRPr="007B6E01" w:rsidRDefault="007B6E01" w:rsidP="008B146E">
                  <w:pPr>
                    <w:spacing w:after="0" w:line="240" w:lineRule="auto"/>
                    <w:jc w:val="right"/>
                    <w:rPr>
                      <w:rFonts w:ascii="Times New Roman" w:hAnsi="Times New Roman"/>
                      <w:color w:val="000000"/>
                      <w:sz w:val="24"/>
                      <w:szCs w:val="24"/>
                    </w:rPr>
                  </w:pPr>
                  <w:r w:rsidRPr="007B6E01">
                    <w:rPr>
                      <w:rFonts w:ascii="Times New Roman" w:hAnsi="Times New Roman"/>
                      <w:color w:val="000000"/>
                      <w:sz w:val="24"/>
                      <w:szCs w:val="24"/>
                    </w:rPr>
                    <w:t>120 086,75</w:t>
                  </w:r>
                </w:p>
              </w:tc>
            </w:tr>
            <w:tr w:rsidR="007B6E01" w:rsidRPr="007B6E01" w14:paraId="2CF1F63A" w14:textId="77777777" w:rsidTr="007B6E01">
              <w:trPr>
                <w:trHeight w:val="300"/>
              </w:trPr>
              <w:tc>
                <w:tcPr>
                  <w:tcW w:w="1730" w:type="dxa"/>
                  <w:tcBorders>
                    <w:top w:val="nil"/>
                    <w:left w:val="single" w:sz="4" w:space="0" w:color="auto"/>
                    <w:bottom w:val="single" w:sz="4" w:space="0" w:color="auto"/>
                    <w:right w:val="single" w:sz="4" w:space="0" w:color="auto"/>
                  </w:tcBorders>
                  <w:shd w:val="clear" w:color="auto" w:fill="auto"/>
                  <w:noWrap/>
                  <w:vAlign w:val="center"/>
                  <w:hideMark/>
                </w:tcPr>
                <w:p w14:paraId="6C36BFD5" w14:textId="77777777" w:rsidR="007B6E01" w:rsidRPr="007B6E01" w:rsidRDefault="007B6E01" w:rsidP="008B146E">
                  <w:pPr>
                    <w:spacing w:after="0" w:line="240" w:lineRule="auto"/>
                    <w:jc w:val="center"/>
                    <w:rPr>
                      <w:rFonts w:ascii="Times New Roman" w:hAnsi="Times New Roman"/>
                      <w:b/>
                      <w:bCs/>
                      <w:color w:val="000000"/>
                      <w:sz w:val="24"/>
                      <w:szCs w:val="24"/>
                    </w:rPr>
                  </w:pPr>
                  <w:r w:rsidRPr="007B6E01">
                    <w:rPr>
                      <w:rFonts w:ascii="Times New Roman" w:hAnsi="Times New Roman"/>
                      <w:b/>
                      <w:bCs/>
                      <w:color w:val="000000"/>
                      <w:sz w:val="24"/>
                      <w:szCs w:val="24"/>
                    </w:rPr>
                    <w:t>Kopā</w:t>
                  </w:r>
                </w:p>
              </w:tc>
              <w:tc>
                <w:tcPr>
                  <w:tcW w:w="992" w:type="dxa"/>
                  <w:tcBorders>
                    <w:top w:val="nil"/>
                    <w:left w:val="nil"/>
                    <w:bottom w:val="single" w:sz="4" w:space="0" w:color="auto"/>
                    <w:right w:val="single" w:sz="4" w:space="0" w:color="auto"/>
                  </w:tcBorders>
                  <w:shd w:val="clear" w:color="auto" w:fill="auto"/>
                  <w:noWrap/>
                  <w:vAlign w:val="bottom"/>
                  <w:hideMark/>
                </w:tcPr>
                <w:p w14:paraId="0B6A34BC" w14:textId="77777777" w:rsidR="007B6E01" w:rsidRPr="007B6E01" w:rsidRDefault="007B6E01" w:rsidP="008B146E">
                  <w:pPr>
                    <w:spacing w:after="0" w:line="240" w:lineRule="auto"/>
                    <w:jc w:val="center"/>
                    <w:rPr>
                      <w:rFonts w:ascii="Times New Roman" w:hAnsi="Times New Roman"/>
                      <w:b/>
                      <w:bCs/>
                      <w:color w:val="000000"/>
                      <w:sz w:val="24"/>
                      <w:szCs w:val="24"/>
                    </w:rPr>
                  </w:pPr>
                  <w:r w:rsidRPr="007B6E01">
                    <w:rPr>
                      <w:rFonts w:ascii="Times New Roman" w:hAnsi="Times New Roman"/>
                      <w:b/>
                      <w:bCs/>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0475C86C" w14:textId="77777777" w:rsidR="007B6E01" w:rsidRPr="007B6E01" w:rsidRDefault="007B6E01" w:rsidP="008B146E">
                  <w:pPr>
                    <w:spacing w:after="0" w:line="240" w:lineRule="auto"/>
                    <w:jc w:val="center"/>
                    <w:rPr>
                      <w:rFonts w:ascii="Times New Roman" w:hAnsi="Times New Roman"/>
                      <w:b/>
                      <w:bCs/>
                      <w:color w:val="000000"/>
                      <w:sz w:val="24"/>
                      <w:szCs w:val="24"/>
                    </w:rPr>
                  </w:pPr>
                  <w:r w:rsidRPr="007B6E01">
                    <w:rPr>
                      <w:rFonts w:ascii="Times New Roman" w:hAnsi="Times New Roman"/>
                      <w:b/>
                      <w:bCs/>
                      <w:color w:val="000000"/>
                      <w:sz w:val="24"/>
                      <w:szCs w:val="24"/>
                    </w:rPr>
                    <w:t>x</w:t>
                  </w:r>
                </w:p>
              </w:tc>
              <w:tc>
                <w:tcPr>
                  <w:tcW w:w="1276" w:type="dxa"/>
                  <w:tcBorders>
                    <w:top w:val="nil"/>
                    <w:left w:val="nil"/>
                    <w:bottom w:val="single" w:sz="4" w:space="0" w:color="auto"/>
                    <w:right w:val="single" w:sz="4" w:space="0" w:color="auto"/>
                  </w:tcBorders>
                  <w:shd w:val="clear" w:color="auto" w:fill="auto"/>
                  <w:noWrap/>
                  <w:vAlign w:val="bottom"/>
                  <w:hideMark/>
                </w:tcPr>
                <w:p w14:paraId="35968C96" w14:textId="77777777" w:rsidR="007B6E01" w:rsidRPr="007B6E01" w:rsidRDefault="007B6E01" w:rsidP="008B146E">
                  <w:pPr>
                    <w:spacing w:after="0" w:line="240" w:lineRule="auto"/>
                    <w:jc w:val="center"/>
                    <w:rPr>
                      <w:rFonts w:ascii="Times New Roman" w:hAnsi="Times New Roman"/>
                      <w:b/>
                      <w:bCs/>
                      <w:color w:val="000000"/>
                      <w:sz w:val="24"/>
                      <w:szCs w:val="24"/>
                    </w:rPr>
                  </w:pPr>
                  <w:r w:rsidRPr="007B6E01">
                    <w:rPr>
                      <w:rFonts w:ascii="Times New Roman" w:hAnsi="Times New Roman"/>
                      <w:b/>
                      <w:bCs/>
                      <w:color w:val="000000"/>
                      <w:sz w:val="24"/>
                      <w:szCs w:val="24"/>
                    </w:rPr>
                    <w:t>x</w:t>
                  </w:r>
                </w:p>
              </w:tc>
              <w:tc>
                <w:tcPr>
                  <w:tcW w:w="992" w:type="dxa"/>
                  <w:tcBorders>
                    <w:top w:val="nil"/>
                    <w:left w:val="nil"/>
                    <w:bottom w:val="single" w:sz="4" w:space="0" w:color="auto"/>
                    <w:right w:val="single" w:sz="4" w:space="0" w:color="auto"/>
                  </w:tcBorders>
                  <w:shd w:val="clear" w:color="auto" w:fill="auto"/>
                  <w:noWrap/>
                  <w:vAlign w:val="bottom"/>
                  <w:hideMark/>
                </w:tcPr>
                <w:p w14:paraId="6B9C168E" w14:textId="77777777" w:rsidR="007B6E01" w:rsidRPr="007B6E01" w:rsidRDefault="007B6E01" w:rsidP="008B146E">
                  <w:pPr>
                    <w:spacing w:after="0" w:line="240" w:lineRule="auto"/>
                    <w:jc w:val="center"/>
                    <w:rPr>
                      <w:rFonts w:ascii="Times New Roman" w:hAnsi="Times New Roman"/>
                      <w:b/>
                      <w:bCs/>
                      <w:color w:val="000000"/>
                      <w:sz w:val="24"/>
                      <w:szCs w:val="24"/>
                    </w:rPr>
                  </w:pPr>
                  <w:r w:rsidRPr="007B6E01">
                    <w:rPr>
                      <w:rFonts w:ascii="Times New Roman" w:hAnsi="Times New Roman"/>
                      <w:b/>
                      <w:bCs/>
                      <w:color w:val="000000"/>
                      <w:sz w:val="24"/>
                      <w:szCs w:val="24"/>
                    </w:rPr>
                    <w:t>x</w:t>
                  </w:r>
                </w:p>
              </w:tc>
              <w:tc>
                <w:tcPr>
                  <w:tcW w:w="1418" w:type="dxa"/>
                  <w:tcBorders>
                    <w:top w:val="nil"/>
                    <w:left w:val="nil"/>
                    <w:bottom w:val="single" w:sz="4" w:space="0" w:color="auto"/>
                    <w:right w:val="single" w:sz="4" w:space="0" w:color="auto"/>
                  </w:tcBorders>
                  <w:shd w:val="clear" w:color="auto" w:fill="auto"/>
                  <w:noWrap/>
                  <w:vAlign w:val="bottom"/>
                  <w:hideMark/>
                </w:tcPr>
                <w:p w14:paraId="5E1A2B0A" w14:textId="77777777" w:rsidR="007B6E01" w:rsidRPr="007B6E01" w:rsidRDefault="007B6E01" w:rsidP="008B146E">
                  <w:pPr>
                    <w:spacing w:after="0" w:line="240" w:lineRule="auto"/>
                    <w:jc w:val="right"/>
                    <w:rPr>
                      <w:rFonts w:ascii="Times New Roman" w:hAnsi="Times New Roman"/>
                      <w:b/>
                      <w:bCs/>
                      <w:sz w:val="24"/>
                      <w:szCs w:val="24"/>
                    </w:rPr>
                  </w:pPr>
                  <w:r w:rsidRPr="007B6E01">
                    <w:rPr>
                      <w:rFonts w:ascii="Times New Roman" w:hAnsi="Times New Roman"/>
                      <w:b/>
                      <w:bCs/>
                      <w:sz w:val="24"/>
                      <w:szCs w:val="24"/>
                    </w:rPr>
                    <w:t>253 695,68</w:t>
                  </w:r>
                </w:p>
              </w:tc>
            </w:tr>
          </w:tbl>
          <w:p w14:paraId="597FCF82" w14:textId="77777777" w:rsidR="007B6E01" w:rsidRPr="007B6E01" w:rsidRDefault="007B6E01" w:rsidP="008B146E">
            <w:pPr>
              <w:spacing w:after="0" w:line="240" w:lineRule="auto"/>
              <w:rPr>
                <w:rFonts w:ascii="Times New Roman" w:hAnsi="Times New Roman"/>
                <w:sz w:val="24"/>
                <w:szCs w:val="24"/>
              </w:rPr>
            </w:pPr>
          </w:p>
          <w:p w14:paraId="17489029" w14:textId="77777777" w:rsidR="007B6E01" w:rsidRPr="007B6E01" w:rsidRDefault="007B6E01" w:rsidP="008B146E">
            <w:pPr>
              <w:spacing w:after="0" w:line="240" w:lineRule="auto"/>
              <w:rPr>
                <w:rFonts w:ascii="Times New Roman" w:hAnsi="Times New Roman"/>
                <w:b/>
                <w:sz w:val="24"/>
                <w:szCs w:val="24"/>
              </w:rPr>
            </w:pPr>
          </w:p>
        </w:tc>
      </w:tr>
      <w:tr w:rsidR="007B6E01" w:rsidRPr="009319DC" w14:paraId="3FC5176E" w14:textId="77777777" w:rsidTr="008B1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 w:type="pct"/>
          <w:trHeight w:val="447"/>
        </w:trPr>
        <w:tc>
          <w:tcPr>
            <w:tcW w:w="966" w:type="pct"/>
            <w:gridSpan w:val="2"/>
          </w:tcPr>
          <w:p w14:paraId="099F9B6B" w14:textId="77777777" w:rsidR="007B6E01" w:rsidRPr="007B6E01" w:rsidRDefault="007B6E01" w:rsidP="00771CA5">
            <w:pPr>
              <w:rPr>
                <w:rFonts w:ascii="Times New Roman" w:hAnsi="Times New Roman"/>
                <w:sz w:val="24"/>
                <w:szCs w:val="24"/>
              </w:rPr>
            </w:pPr>
            <w:r w:rsidRPr="007B6E01">
              <w:rPr>
                <w:rFonts w:ascii="Times New Roman" w:hAnsi="Times New Roman"/>
                <w:sz w:val="24"/>
                <w:szCs w:val="24"/>
              </w:rPr>
              <w:lastRenderedPageBreak/>
              <w:t>7. Cita informācija</w:t>
            </w:r>
          </w:p>
        </w:tc>
        <w:tc>
          <w:tcPr>
            <w:tcW w:w="4027" w:type="pct"/>
            <w:gridSpan w:val="6"/>
          </w:tcPr>
          <w:p w14:paraId="4B1A01D5" w14:textId="0CEC8B9D" w:rsidR="007B6E01" w:rsidRPr="007B6E01" w:rsidRDefault="007B6E01" w:rsidP="008B146E">
            <w:pPr>
              <w:pStyle w:val="naisf"/>
              <w:tabs>
                <w:tab w:val="left" w:pos="4644"/>
              </w:tabs>
              <w:spacing w:before="0" w:after="0"/>
              <w:ind w:firstLine="0"/>
            </w:pPr>
            <w:r w:rsidRPr="007B6E01">
              <w:t xml:space="preserve"> </w:t>
            </w:r>
            <w:r w:rsidR="00A32F3E">
              <w:rPr>
                <w:sz w:val="22"/>
                <w:szCs w:val="22"/>
              </w:rPr>
              <w:t>Atbilstoši Ministru kabineta 2016. gada 16. augusta sēdē nolemtajam (protokols …….) līdzekļu ietaupījums tiks novirzīts Tieslietu ministrijas budžeta apakšprogrammas 03.02.00 „Apgabaltiesas un rajona (pilsētu) tiesas” ietvaros tiesu darbinieku atalgojuma palielināšanai.</w:t>
            </w:r>
          </w:p>
        </w:tc>
      </w:tr>
    </w:tbl>
    <w:p w14:paraId="551F22E2" w14:textId="77777777" w:rsidR="008752D4" w:rsidRPr="007C2D5F" w:rsidRDefault="008752D4" w:rsidP="008752D4">
      <w:pPr>
        <w:spacing w:after="0" w:line="240" w:lineRule="auto"/>
        <w:rPr>
          <w:rFonts w:ascii="Times New Roman" w:eastAsia="Times New Roman" w:hAnsi="Times New Roman"/>
          <w:vanish/>
          <w:color w:val="000000"/>
          <w:sz w:val="24"/>
          <w:szCs w:val="24"/>
          <w:lang w:eastAsia="lv-LV"/>
        </w:rPr>
      </w:pPr>
    </w:p>
    <w:p w14:paraId="79610B39" w14:textId="77777777" w:rsidR="00EA69B1" w:rsidRPr="007C2D5F" w:rsidRDefault="00EA69B1" w:rsidP="003610AA">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7"/>
        <w:gridCol w:w="6140"/>
      </w:tblGrid>
      <w:tr w:rsidR="008752D4" w:rsidRPr="007C2D5F" w14:paraId="4AE3CBFF" w14:textId="77777777" w:rsidTr="003610AA">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1AF883C5" w14:textId="77777777" w:rsidR="008752D4" w:rsidRPr="007C2D5F"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7C2D5F">
              <w:rPr>
                <w:rFonts w:ascii="Times New Roman" w:eastAsia="Times New Roman" w:hAnsi="Times New Roman"/>
                <w:b/>
                <w:bCs/>
                <w:color w:val="000000"/>
                <w:sz w:val="24"/>
                <w:szCs w:val="24"/>
                <w:lang w:eastAsia="lv-LV"/>
              </w:rPr>
              <w:t>IV. Tiesību akta projekta ietekme uz spēkā esošo tiesību normu sistēmu</w:t>
            </w:r>
          </w:p>
        </w:tc>
      </w:tr>
      <w:tr w:rsidR="008752D4" w:rsidRPr="007C2D5F" w14:paraId="15F826E8" w14:textId="77777777" w:rsidTr="003610AA">
        <w:tc>
          <w:tcPr>
            <w:tcW w:w="247" w:type="pct"/>
            <w:tcBorders>
              <w:top w:val="outset" w:sz="6" w:space="0" w:color="414142"/>
              <w:left w:val="outset" w:sz="6" w:space="0" w:color="414142"/>
              <w:bottom w:val="outset" w:sz="6" w:space="0" w:color="414142"/>
              <w:right w:val="outset" w:sz="6" w:space="0" w:color="414142"/>
            </w:tcBorders>
          </w:tcPr>
          <w:p w14:paraId="2015CEA7"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1.</w:t>
            </w:r>
          </w:p>
        </w:tc>
        <w:tc>
          <w:tcPr>
            <w:tcW w:w="1432" w:type="pct"/>
            <w:tcBorders>
              <w:top w:val="outset" w:sz="6" w:space="0" w:color="414142"/>
              <w:left w:val="outset" w:sz="6" w:space="0" w:color="414142"/>
              <w:bottom w:val="outset" w:sz="6" w:space="0" w:color="414142"/>
              <w:right w:val="outset" w:sz="6" w:space="0" w:color="414142"/>
            </w:tcBorders>
          </w:tcPr>
          <w:p w14:paraId="7FA5AE69"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Nepieciešamie saistītie tiesību aktu projekti</w:t>
            </w:r>
          </w:p>
        </w:tc>
        <w:tc>
          <w:tcPr>
            <w:tcW w:w="3321" w:type="pct"/>
            <w:tcBorders>
              <w:top w:val="outset" w:sz="6" w:space="0" w:color="414142"/>
              <w:left w:val="outset" w:sz="6" w:space="0" w:color="414142"/>
              <w:bottom w:val="outset" w:sz="6" w:space="0" w:color="414142"/>
              <w:right w:val="outset" w:sz="6" w:space="0" w:color="414142"/>
            </w:tcBorders>
          </w:tcPr>
          <w:p w14:paraId="1220F8DE" w14:textId="77777777" w:rsidR="008752D4" w:rsidRPr="007C2D5F" w:rsidRDefault="0098563A" w:rsidP="0098563A">
            <w:pPr>
              <w:spacing w:after="0" w:line="240" w:lineRule="auto"/>
              <w:jc w:val="both"/>
              <w:rPr>
                <w:rFonts w:ascii="Times New Roman" w:eastAsia="Times New Roman" w:hAnsi="Times New Roman"/>
                <w:color w:val="000000"/>
                <w:sz w:val="24"/>
                <w:szCs w:val="24"/>
                <w:lang w:eastAsia="lv-LV"/>
              </w:rPr>
            </w:pPr>
            <w:r w:rsidRPr="007C2D5F">
              <w:rPr>
                <w:rFonts w:ascii="Times New Roman" w:hAnsi="Times New Roman"/>
                <w:color w:val="000000"/>
                <w:sz w:val="24"/>
                <w:szCs w:val="24"/>
              </w:rPr>
              <w:t>Nav</w:t>
            </w:r>
          </w:p>
        </w:tc>
      </w:tr>
      <w:tr w:rsidR="008752D4" w:rsidRPr="007C2D5F" w14:paraId="5158F8DE" w14:textId="77777777" w:rsidTr="003610AA">
        <w:tc>
          <w:tcPr>
            <w:tcW w:w="247" w:type="pct"/>
            <w:tcBorders>
              <w:top w:val="outset" w:sz="6" w:space="0" w:color="414142"/>
              <w:left w:val="outset" w:sz="6" w:space="0" w:color="414142"/>
              <w:bottom w:val="outset" w:sz="6" w:space="0" w:color="414142"/>
              <w:right w:val="outset" w:sz="6" w:space="0" w:color="414142"/>
            </w:tcBorders>
          </w:tcPr>
          <w:p w14:paraId="6BF945FB"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2.</w:t>
            </w:r>
          </w:p>
        </w:tc>
        <w:tc>
          <w:tcPr>
            <w:tcW w:w="1432" w:type="pct"/>
            <w:tcBorders>
              <w:top w:val="outset" w:sz="6" w:space="0" w:color="414142"/>
              <w:left w:val="outset" w:sz="6" w:space="0" w:color="414142"/>
              <w:bottom w:val="outset" w:sz="6" w:space="0" w:color="414142"/>
              <w:right w:val="outset" w:sz="6" w:space="0" w:color="414142"/>
            </w:tcBorders>
          </w:tcPr>
          <w:p w14:paraId="54FE94C2"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Atbildīgā institūcija</w:t>
            </w:r>
          </w:p>
        </w:tc>
        <w:tc>
          <w:tcPr>
            <w:tcW w:w="3321" w:type="pct"/>
            <w:tcBorders>
              <w:top w:val="outset" w:sz="6" w:space="0" w:color="414142"/>
              <w:left w:val="outset" w:sz="6" w:space="0" w:color="414142"/>
              <w:bottom w:val="outset" w:sz="6" w:space="0" w:color="414142"/>
              <w:right w:val="outset" w:sz="6" w:space="0" w:color="414142"/>
            </w:tcBorders>
          </w:tcPr>
          <w:p w14:paraId="459DC9F1" w14:textId="77777777" w:rsidR="008752D4" w:rsidRPr="007C2D5F" w:rsidRDefault="008752D4" w:rsidP="00F3099D">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Tieslietu ministrija</w:t>
            </w:r>
          </w:p>
        </w:tc>
      </w:tr>
      <w:tr w:rsidR="008752D4" w:rsidRPr="007C2D5F" w14:paraId="3E7F0DFF" w14:textId="77777777" w:rsidTr="003610AA">
        <w:tc>
          <w:tcPr>
            <w:tcW w:w="247" w:type="pct"/>
            <w:tcBorders>
              <w:top w:val="outset" w:sz="6" w:space="0" w:color="414142"/>
              <w:left w:val="outset" w:sz="6" w:space="0" w:color="414142"/>
              <w:bottom w:val="outset" w:sz="6" w:space="0" w:color="414142"/>
              <w:right w:val="outset" w:sz="6" w:space="0" w:color="414142"/>
            </w:tcBorders>
          </w:tcPr>
          <w:p w14:paraId="5D504014"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3.</w:t>
            </w:r>
          </w:p>
        </w:tc>
        <w:tc>
          <w:tcPr>
            <w:tcW w:w="1432" w:type="pct"/>
            <w:tcBorders>
              <w:top w:val="outset" w:sz="6" w:space="0" w:color="414142"/>
              <w:left w:val="outset" w:sz="6" w:space="0" w:color="414142"/>
              <w:bottom w:val="outset" w:sz="6" w:space="0" w:color="414142"/>
              <w:right w:val="outset" w:sz="6" w:space="0" w:color="414142"/>
            </w:tcBorders>
          </w:tcPr>
          <w:p w14:paraId="6AB71A87"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Cita informācija</w:t>
            </w:r>
          </w:p>
        </w:tc>
        <w:tc>
          <w:tcPr>
            <w:tcW w:w="3321" w:type="pct"/>
            <w:tcBorders>
              <w:top w:val="outset" w:sz="6" w:space="0" w:color="414142"/>
              <w:left w:val="outset" w:sz="6" w:space="0" w:color="414142"/>
              <w:bottom w:val="outset" w:sz="6" w:space="0" w:color="414142"/>
              <w:right w:val="outset" w:sz="6" w:space="0" w:color="414142"/>
            </w:tcBorders>
          </w:tcPr>
          <w:p w14:paraId="0D819007" w14:textId="77777777" w:rsidR="008752D4" w:rsidRPr="007C2D5F" w:rsidRDefault="008752D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Nav</w:t>
            </w:r>
          </w:p>
        </w:tc>
      </w:tr>
    </w:tbl>
    <w:p w14:paraId="2B48C4FB" w14:textId="77777777" w:rsidR="00EA69B1" w:rsidRPr="007C2D5F" w:rsidRDefault="00EA69B1" w:rsidP="008752D4">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4"/>
      </w:tblGrid>
      <w:tr w:rsidR="00EA69B1" w:rsidRPr="007C2D5F" w14:paraId="6A3EFE39" w14:textId="77777777" w:rsidTr="003610AA">
        <w:tc>
          <w:tcPr>
            <w:tcW w:w="5000" w:type="pct"/>
            <w:tcBorders>
              <w:top w:val="outset" w:sz="6" w:space="0" w:color="414142"/>
              <w:left w:val="outset" w:sz="6" w:space="0" w:color="414142"/>
              <w:bottom w:val="outset" w:sz="6" w:space="0" w:color="414142"/>
              <w:right w:val="outset" w:sz="6" w:space="0" w:color="414142"/>
            </w:tcBorders>
            <w:vAlign w:val="center"/>
          </w:tcPr>
          <w:p w14:paraId="21B9A6C1" w14:textId="77777777" w:rsidR="00EA69B1" w:rsidRPr="007C2D5F" w:rsidRDefault="00EA69B1" w:rsidP="008E577C">
            <w:pPr>
              <w:spacing w:after="0" w:line="240" w:lineRule="auto"/>
              <w:ind w:firstLine="300"/>
              <w:jc w:val="center"/>
              <w:rPr>
                <w:rFonts w:ascii="Times New Roman" w:eastAsia="Times New Roman" w:hAnsi="Times New Roman"/>
                <w:b/>
                <w:bCs/>
                <w:color w:val="000000"/>
                <w:sz w:val="24"/>
                <w:szCs w:val="24"/>
                <w:lang w:eastAsia="lv-LV"/>
              </w:rPr>
            </w:pPr>
            <w:r w:rsidRPr="007C2D5F">
              <w:rPr>
                <w:rFonts w:ascii="Times New Roman" w:eastAsia="Times New Roman" w:hAnsi="Times New Roman"/>
                <w:b/>
                <w:bCs/>
                <w:color w:val="000000"/>
                <w:sz w:val="24"/>
                <w:szCs w:val="24"/>
                <w:lang w:eastAsia="lv-LV"/>
              </w:rPr>
              <w:t>V. Tiesību akta projekta atbilstība Latvijas Republikas starptautiskajām saistībām</w:t>
            </w:r>
          </w:p>
        </w:tc>
      </w:tr>
      <w:tr w:rsidR="00DD40E1" w:rsidRPr="007C2D5F" w14:paraId="0E5E672A" w14:textId="77777777" w:rsidTr="003610AA">
        <w:tc>
          <w:tcPr>
            <w:tcW w:w="5000" w:type="pct"/>
            <w:tcBorders>
              <w:top w:val="outset" w:sz="6" w:space="0" w:color="414142"/>
              <w:left w:val="outset" w:sz="6" w:space="0" w:color="414142"/>
              <w:bottom w:val="outset" w:sz="6" w:space="0" w:color="414142"/>
              <w:right w:val="outset" w:sz="6" w:space="0" w:color="414142"/>
            </w:tcBorders>
            <w:vAlign w:val="center"/>
          </w:tcPr>
          <w:p w14:paraId="0DABAED2" w14:textId="77777777" w:rsidR="00DD40E1" w:rsidRPr="007C2D5F" w:rsidRDefault="00DD40E1" w:rsidP="008E577C">
            <w:pPr>
              <w:spacing w:after="0" w:line="240" w:lineRule="auto"/>
              <w:ind w:firstLine="300"/>
              <w:jc w:val="center"/>
              <w:rPr>
                <w:rFonts w:ascii="Times New Roman" w:eastAsia="Times New Roman" w:hAnsi="Times New Roman"/>
                <w:bCs/>
                <w:color w:val="000000"/>
                <w:sz w:val="24"/>
                <w:szCs w:val="24"/>
                <w:lang w:eastAsia="lv-LV"/>
              </w:rPr>
            </w:pPr>
            <w:r w:rsidRPr="007C2D5F">
              <w:rPr>
                <w:rFonts w:ascii="Times New Roman" w:eastAsia="Times New Roman" w:hAnsi="Times New Roman"/>
                <w:bCs/>
                <w:color w:val="000000"/>
                <w:sz w:val="24"/>
                <w:szCs w:val="24"/>
                <w:lang w:eastAsia="lv-LV"/>
              </w:rPr>
              <w:t>Projekts šo jomu neskar</w:t>
            </w:r>
          </w:p>
        </w:tc>
      </w:tr>
    </w:tbl>
    <w:p w14:paraId="56A86490" w14:textId="77777777" w:rsidR="00EA69B1" w:rsidRPr="007C2D5F" w:rsidRDefault="00EA69B1" w:rsidP="008752D4">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40"/>
        <w:gridCol w:w="6047"/>
      </w:tblGrid>
      <w:tr w:rsidR="008752D4" w:rsidRPr="007C2D5F" w14:paraId="0C68D308" w14:textId="77777777" w:rsidTr="003610AA">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1526CBE5" w14:textId="77777777" w:rsidR="008752D4" w:rsidRPr="007C2D5F" w:rsidRDefault="008752D4" w:rsidP="005B430B">
            <w:pPr>
              <w:spacing w:after="0" w:line="240" w:lineRule="auto"/>
              <w:ind w:firstLine="300"/>
              <w:jc w:val="center"/>
              <w:rPr>
                <w:rFonts w:ascii="Times New Roman" w:eastAsia="Times New Roman" w:hAnsi="Times New Roman"/>
                <w:b/>
                <w:bCs/>
                <w:color w:val="000000"/>
                <w:sz w:val="24"/>
                <w:szCs w:val="24"/>
                <w:lang w:eastAsia="lv-LV"/>
              </w:rPr>
            </w:pPr>
            <w:r w:rsidRPr="007C2D5F">
              <w:rPr>
                <w:rFonts w:ascii="Times New Roman" w:eastAsia="Times New Roman" w:hAnsi="Times New Roman"/>
                <w:b/>
                <w:bCs/>
                <w:color w:val="000000"/>
                <w:sz w:val="24"/>
                <w:szCs w:val="24"/>
                <w:lang w:eastAsia="lv-LV"/>
              </w:rPr>
              <w:t>VI. Sabiedrības līdzdalība un komunikācijas aktivitātes</w:t>
            </w:r>
          </w:p>
        </w:tc>
      </w:tr>
      <w:tr w:rsidR="00207654" w:rsidRPr="007C2D5F" w14:paraId="0A4250F3" w14:textId="77777777" w:rsidTr="003610AA">
        <w:trPr>
          <w:trHeight w:val="540"/>
        </w:trPr>
        <w:tc>
          <w:tcPr>
            <w:tcW w:w="247" w:type="pct"/>
            <w:tcBorders>
              <w:top w:val="outset" w:sz="6" w:space="0" w:color="414142"/>
              <w:left w:val="outset" w:sz="6" w:space="0" w:color="414142"/>
              <w:bottom w:val="outset" w:sz="6" w:space="0" w:color="414142"/>
              <w:right w:val="outset" w:sz="6" w:space="0" w:color="414142"/>
            </w:tcBorders>
          </w:tcPr>
          <w:p w14:paraId="2C748E48"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1.</w:t>
            </w:r>
          </w:p>
        </w:tc>
        <w:tc>
          <w:tcPr>
            <w:tcW w:w="1482" w:type="pct"/>
            <w:tcBorders>
              <w:top w:val="outset" w:sz="6" w:space="0" w:color="414142"/>
              <w:left w:val="outset" w:sz="6" w:space="0" w:color="414142"/>
              <w:bottom w:val="outset" w:sz="6" w:space="0" w:color="414142"/>
              <w:right w:val="outset" w:sz="6" w:space="0" w:color="414142"/>
            </w:tcBorders>
          </w:tcPr>
          <w:p w14:paraId="0E8338BA"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Plānotās sabiedrības līdzdalības un komunikācijas aktivitātes saistībā ar projektu</w:t>
            </w:r>
          </w:p>
        </w:tc>
        <w:tc>
          <w:tcPr>
            <w:tcW w:w="3271" w:type="pct"/>
            <w:tcBorders>
              <w:top w:val="outset" w:sz="6" w:space="0" w:color="414142"/>
              <w:left w:val="outset" w:sz="6" w:space="0" w:color="414142"/>
              <w:bottom w:val="outset" w:sz="6" w:space="0" w:color="414142"/>
              <w:right w:val="outset" w:sz="6" w:space="0" w:color="414142"/>
            </w:tcBorders>
          </w:tcPr>
          <w:p w14:paraId="5B23DF81" w14:textId="33317B2C" w:rsidR="00207654" w:rsidRPr="007C2D5F" w:rsidRDefault="00770F5A" w:rsidP="00910BF0">
            <w:pPr>
              <w:spacing w:after="0" w:line="240" w:lineRule="auto"/>
              <w:ind w:firstLine="541"/>
              <w:jc w:val="both"/>
              <w:rPr>
                <w:rFonts w:ascii="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Likumprojekts</w:t>
            </w:r>
            <w:r w:rsidR="00207654" w:rsidRPr="007C2D5F">
              <w:rPr>
                <w:rFonts w:ascii="Times New Roman" w:eastAsia="Times New Roman" w:hAnsi="Times New Roman"/>
                <w:color w:val="000000"/>
                <w:sz w:val="24"/>
                <w:szCs w:val="24"/>
                <w:lang w:eastAsia="lv-LV"/>
              </w:rPr>
              <w:t xml:space="preserve"> ir publicēts Tieslietu ministrijas tīmekļa vietnē sadaļā „Sabiedrības līdzdalība”, tādējādi dodot iespēju sabiedrībai līdzdarboties tiesību</w:t>
            </w:r>
            <w:r w:rsidR="00207654" w:rsidRPr="007C2D5F">
              <w:rPr>
                <w:rFonts w:ascii="Times New Roman" w:hAnsi="Times New Roman"/>
                <w:color w:val="000000"/>
                <w:sz w:val="24"/>
                <w:szCs w:val="24"/>
                <w:lang w:eastAsia="lv-LV"/>
              </w:rPr>
              <w:t xml:space="preserve"> akta izstrādes procesā.</w:t>
            </w:r>
            <w:r w:rsidR="00910BF0" w:rsidRPr="007C2D5F">
              <w:rPr>
                <w:rFonts w:ascii="Times New Roman" w:hAnsi="Times New Roman"/>
                <w:color w:val="000000"/>
                <w:sz w:val="24"/>
                <w:szCs w:val="24"/>
                <w:lang w:eastAsia="lv-LV"/>
              </w:rPr>
              <w:t xml:space="preserve"> </w:t>
            </w:r>
            <w:r w:rsidR="0098563A" w:rsidRPr="007C2D5F">
              <w:rPr>
                <w:rFonts w:ascii="Times New Roman" w:hAnsi="Times New Roman"/>
                <w:color w:val="000000"/>
                <w:sz w:val="24"/>
                <w:szCs w:val="24"/>
                <w:lang w:eastAsia="lv-LV"/>
              </w:rPr>
              <w:t xml:space="preserve"> </w:t>
            </w:r>
          </w:p>
        </w:tc>
      </w:tr>
      <w:tr w:rsidR="00207654" w:rsidRPr="007C2D5F" w14:paraId="5EDD1F98" w14:textId="77777777" w:rsidTr="003610AA">
        <w:trPr>
          <w:trHeight w:val="330"/>
        </w:trPr>
        <w:tc>
          <w:tcPr>
            <w:tcW w:w="247" w:type="pct"/>
            <w:tcBorders>
              <w:top w:val="outset" w:sz="6" w:space="0" w:color="414142"/>
              <w:left w:val="outset" w:sz="6" w:space="0" w:color="414142"/>
              <w:bottom w:val="outset" w:sz="6" w:space="0" w:color="414142"/>
              <w:right w:val="outset" w:sz="6" w:space="0" w:color="414142"/>
            </w:tcBorders>
          </w:tcPr>
          <w:p w14:paraId="2D284223"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2.</w:t>
            </w:r>
          </w:p>
        </w:tc>
        <w:tc>
          <w:tcPr>
            <w:tcW w:w="1482" w:type="pct"/>
            <w:tcBorders>
              <w:top w:val="outset" w:sz="6" w:space="0" w:color="414142"/>
              <w:left w:val="outset" w:sz="6" w:space="0" w:color="414142"/>
              <w:bottom w:val="outset" w:sz="6" w:space="0" w:color="414142"/>
              <w:right w:val="outset" w:sz="6" w:space="0" w:color="414142"/>
            </w:tcBorders>
          </w:tcPr>
          <w:p w14:paraId="7C7DF39B"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Sabiedrības līdzdalība projekta izstrādē</w:t>
            </w:r>
          </w:p>
        </w:tc>
        <w:tc>
          <w:tcPr>
            <w:tcW w:w="3271" w:type="pct"/>
            <w:tcBorders>
              <w:top w:val="outset" w:sz="6" w:space="0" w:color="414142"/>
              <w:left w:val="outset" w:sz="6" w:space="0" w:color="414142"/>
              <w:bottom w:val="outset" w:sz="6" w:space="0" w:color="414142"/>
              <w:right w:val="outset" w:sz="6" w:space="0" w:color="414142"/>
            </w:tcBorders>
          </w:tcPr>
          <w:p w14:paraId="06F778AC" w14:textId="77777777" w:rsidR="00207654" w:rsidRPr="007C2D5F" w:rsidRDefault="00207654" w:rsidP="00770F5A">
            <w:pPr>
              <w:spacing w:after="0" w:line="240" w:lineRule="auto"/>
              <w:ind w:firstLine="541"/>
              <w:jc w:val="both"/>
              <w:rPr>
                <w:rFonts w:ascii="Times New Roman" w:eastAsia="Times New Roman" w:hAnsi="Times New Roman"/>
                <w:color w:val="000000"/>
                <w:sz w:val="24"/>
                <w:szCs w:val="24"/>
                <w:lang w:eastAsia="lv-LV"/>
              </w:rPr>
            </w:pPr>
            <w:r w:rsidRPr="007C2D5F">
              <w:rPr>
                <w:rFonts w:ascii="Times New Roman" w:hAnsi="Times New Roman"/>
                <w:color w:val="000000"/>
                <w:sz w:val="24"/>
                <w:szCs w:val="24"/>
                <w:lang w:eastAsia="lv-LV"/>
              </w:rPr>
              <w:t xml:space="preserve">Lai informētu sabiedrību par </w:t>
            </w:r>
            <w:r w:rsidR="00770F5A" w:rsidRPr="007C2D5F">
              <w:rPr>
                <w:rFonts w:ascii="Times New Roman" w:hAnsi="Times New Roman"/>
                <w:color w:val="000000"/>
                <w:sz w:val="24"/>
                <w:szCs w:val="24"/>
                <w:lang w:eastAsia="lv-LV"/>
              </w:rPr>
              <w:t>likumprojektu</w:t>
            </w:r>
            <w:r w:rsidRPr="007C2D5F">
              <w:rPr>
                <w:rFonts w:ascii="Times New Roman" w:hAnsi="Times New Roman"/>
                <w:color w:val="000000"/>
                <w:sz w:val="24"/>
                <w:szCs w:val="24"/>
                <w:lang w:eastAsia="lv-LV"/>
              </w:rPr>
              <w:t xml:space="preserve"> un dotu iespēju izteikt par to viedokļus, </w:t>
            </w:r>
            <w:r w:rsidR="00770F5A" w:rsidRPr="007C2D5F">
              <w:rPr>
                <w:rFonts w:ascii="Times New Roman" w:hAnsi="Times New Roman"/>
                <w:color w:val="000000"/>
                <w:sz w:val="24"/>
                <w:szCs w:val="24"/>
                <w:lang w:eastAsia="lv-LV"/>
              </w:rPr>
              <w:t xml:space="preserve">likumprojekts </w:t>
            </w:r>
            <w:r w:rsidRPr="007C2D5F">
              <w:rPr>
                <w:rFonts w:ascii="Times New Roman" w:hAnsi="Times New Roman"/>
                <w:color w:val="000000"/>
                <w:sz w:val="24"/>
                <w:szCs w:val="24"/>
                <w:lang w:eastAsia="lv-LV"/>
              </w:rPr>
              <w:t>saskaņā ar Ministru kabineta 2009. gada 25. augusta noteikumiem Nr. 970 „</w:t>
            </w:r>
            <w:r w:rsidRPr="007C2D5F">
              <w:rPr>
                <w:rFonts w:ascii="Times New Roman" w:hAnsi="Times New Roman"/>
                <w:bCs/>
                <w:color w:val="000000"/>
                <w:sz w:val="24"/>
                <w:szCs w:val="24"/>
                <w:lang w:eastAsia="lv-LV"/>
              </w:rPr>
              <w:t xml:space="preserve">Sabiedrības līdzdalības kārtība attīstības plānošanas procesā” </w:t>
            </w:r>
            <w:r w:rsidRPr="007C2D5F">
              <w:rPr>
                <w:rFonts w:ascii="Times New Roman" w:eastAsia="Times New Roman" w:hAnsi="Times New Roman"/>
                <w:color w:val="000000"/>
                <w:sz w:val="24"/>
                <w:szCs w:val="24"/>
                <w:lang w:eastAsia="lv-LV"/>
              </w:rPr>
              <w:t xml:space="preserve">tika ievietots Tieslietu ministrijas tīmekļa vietnē. </w:t>
            </w:r>
          </w:p>
        </w:tc>
      </w:tr>
      <w:tr w:rsidR="00207654" w:rsidRPr="007C2D5F" w14:paraId="05230FB2" w14:textId="77777777" w:rsidTr="003610AA">
        <w:trPr>
          <w:trHeight w:val="465"/>
        </w:trPr>
        <w:tc>
          <w:tcPr>
            <w:tcW w:w="247" w:type="pct"/>
            <w:tcBorders>
              <w:top w:val="outset" w:sz="6" w:space="0" w:color="414142"/>
              <w:left w:val="outset" w:sz="6" w:space="0" w:color="414142"/>
              <w:bottom w:val="outset" w:sz="6" w:space="0" w:color="414142"/>
              <w:right w:val="outset" w:sz="6" w:space="0" w:color="414142"/>
            </w:tcBorders>
          </w:tcPr>
          <w:p w14:paraId="64120480"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3.</w:t>
            </w:r>
          </w:p>
        </w:tc>
        <w:tc>
          <w:tcPr>
            <w:tcW w:w="1482" w:type="pct"/>
            <w:tcBorders>
              <w:top w:val="outset" w:sz="6" w:space="0" w:color="414142"/>
              <w:left w:val="outset" w:sz="6" w:space="0" w:color="414142"/>
              <w:bottom w:val="outset" w:sz="6" w:space="0" w:color="414142"/>
              <w:right w:val="outset" w:sz="6" w:space="0" w:color="414142"/>
            </w:tcBorders>
          </w:tcPr>
          <w:p w14:paraId="22438D20"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Sabiedrības līdzdalības rezultāti</w:t>
            </w:r>
          </w:p>
        </w:tc>
        <w:tc>
          <w:tcPr>
            <w:tcW w:w="3271" w:type="pct"/>
            <w:tcBorders>
              <w:top w:val="outset" w:sz="6" w:space="0" w:color="414142"/>
              <w:left w:val="outset" w:sz="6" w:space="0" w:color="414142"/>
              <w:bottom w:val="outset" w:sz="6" w:space="0" w:color="414142"/>
              <w:right w:val="outset" w:sz="6" w:space="0" w:color="414142"/>
            </w:tcBorders>
          </w:tcPr>
          <w:p w14:paraId="1489CA50" w14:textId="58728980" w:rsidR="00207654" w:rsidRPr="007C2D5F" w:rsidRDefault="00317D9C" w:rsidP="00363660">
            <w:pPr>
              <w:spacing w:after="0" w:line="240" w:lineRule="auto"/>
              <w:ind w:firstLine="541"/>
              <w:jc w:val="both"/>
              <w:rPr>
                <w:rFonts w:ascii="Times New Roman" w:eastAsia="Times New Roman" w:hAnsi="Times New Roman"/>
                <w:color w:val="000000"/>
                <w:sz w:val="24"/>
                <w:szCs w:val="24"/>
                <w:highlight w:val="yellow"/>
                <w:lang w:eastAsia="lv-LV"/>
              </w:rPr>
            </w:pPr>
            <w:r>
              <w:rPr>
                <w:rFonts w:ascii="Times New Roman" w:eastAsia="Times New Roman" w:hAnsi="Times New Roman"/>
                <w:color w:val="000000"/>
                <w:sz w:val="24"/>
                <w:szCs w:val="24"/>
                <w:highlight w:val="yellow"/>
                <w:lang w:eastAsia="lv-LV"/>
              </w:rPr>
              <w:t>Tiks attiecīgi papildināts.</w:t>
            </w:r>
          </w:p>
        </w:tc>
      </w:tr>
      <w:tr w:rsidR="00420852" w:rsidRPr="007C2D5F" w14:paraId="78CBFF7D" w14:textId="77777777" w:rsidTr="003610AA">
        <w:trPr>
          <w:trHeight w:val="465"/>
        </w:trPr>
        <w:tc>
          <w:tcPr>
            <w:tcW w:w="247" w:type="pct"/>
            <w:tcBorders>
              <w:top w:val="outset" w:sz="6" w:space="0" w:color="414142"/>
              <w:left w:val="outset" w:sz="6" w:space="0" w:color="414142"/>
              <w:bottom w:val="outset" w:sz="6" w:space="0" w:color="414142"/>
              <w:right w:val="outset" w:sz="6" w:space="0" w:color="414142"/>
            </w:tcBorders>
          </w:tcPr>
          <w:p w14:paraId="2D1DCEB8"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4.</w:t>
            </w:r>
          </w:p>
        </w:tc>
        <w:tc>
          <w:tcPr>
            <w:tcW w:w="1482" w:type="pct"/>
            <w:tcBorders>
              <w:top w:val="outset" w:sz="6" w:space="0" w:color="414142"/>
              <w:left w:val="outset" w:sz="6" w:space="0" w:color="414142"/>
              <w:bottom w:val="outset" w:sz="6" w:space="0" w:color="414142"/>
              <w:right w:val="outset" w:sz="6" w:space="0" w:color="414142"/>
            </w:tcBorders>
          </w:tcPr>
          <w:p w14:paraId="6B904561" w14:textId="77777777" w:rsidR="00207654" w:rsidRPr="007C2D5F" w:rsidRDefault="00207654" w:rsidP="005B430B">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Cita informācija</w:t>
            </w:r>
          </w:p>
        </w:tc>
        <w:tc>
          <w:tcPr>
            <w:tcW w:w="3271" w:type="pct"/>
            <w:tcBorders>
              <w:top w:val="outset" w:sz="6" w:space="0" w:color="414142"/>
              <w:left w:val="outset" w:sz="6" w:space="0" w:color="414142"/>
              <w:bottom w:val="outset" w:sz="6" w:space="0" w:color="414142"/>
              <w:right w:val="outset" w:sz="6" w:space="0" w:color="414142"/>
            </w:tcBorders>
          </w:tcPr>
          <w:p w14:paraId="18C28098" w14:textId="77777777" w:rsidR="00207654" w:rsidRPr="007C2D5F" w:rsidRDefault="00207654" w:rsidP="00363660">
            <w:pPr>
              <w:pStyle w:val="naiskr"/>
              <w:spacing w:before="0" w:after="0"/>
              <w:ind w:firstLine="541"/>
              <w:jc w:val="both"/>
              <w:rPr>
                <w:color w:val="000000"/>
                <w:u w:val="single"/>
              </w:rPr>
            </w:pPr>
            <w:r w:rsidRPr="007C2D5F">
              <w:rPr>
                <w:color w:val="000000"/>
              </w:rPr>
              <w:t>Nav.</w:t>
            </w:r>
          </w:p>
        </w:tc>
      </w:tr>
    </w:tbl>
    <w:p w14:paraId="4515480F" w14:textId="77777777" w:rsidR="00177CFA" w:rsidRPr="007C2D5F" w:rsidRDefault="00177CFA" w:rsidP="00177CFA">
      <w:pPr>
        <w:spacing w:after="0" w:line="240" w:lineRule="auto"/>
        <w:rPr>
          <w:rFonts w:ascii="Times New Roman" w:eastAsia="Times New Roman" w:hAnsi="Times New Roman"/>
          <w:color w:val="000000"/>
          <w:sz w:val="24"/>
          <w:szCs w:val="24"/>
          <w:lang w:eastAsia="lv-LV"/>
        </w:rPr>
      </w:pPr>
    </w:p>
    <w:tbl>
      <w:tblPr>
        <w:tblW w:w="50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470"/>
        <w:gridCol w:w="5317"/>
      </w:tblGrid>
      <w:tr w:rsidR="00177CFA" w:rsidRPr="007C2D5F" w14:paraId="59D3FDCB" w14:textId="77777777" w:rsidTr="004B20AF">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5C7A45C8" w14:textId="77777777" w:rsidR="00177CFA" w:rsidRPr="007C2D5F" w:rsidRDefault="00177CFA" w:rsidP="00303AD6">
            <w:pPr>
              <w:spacing w:after="0" w:line="240" w:lineRule="auto"/>
              <w:ind w:firstLine="300"/>
              <w:jc w:val="center"/>
              <w:rPr>
                <w:rFonts w:ascii="Times New Roman" w:eastAsia="Times New Roman" w:hAnsi="Times New Roman"/>
                <w:b/>
                <w:bCs/>
                <w:color w:val="000000"/>
                <w:sz w:val="24"/>
                <w:szCs w:val="24"/>
                <w:lang w:eastAsia="lv-LV"/>
              </w:rPr>
            </w:pPr>
            <w:r w:rsidRPr="007C2D5F">
              <w:rPr>
                <w:rFonts w:ascii="Times New Roman" w:eastAsia="Times New Roman" w:hAnsi="Times New Roman"/>
                <w:b/>
                <w:bCs/>
                <w:color w:val="000000"/>
                <w:sz w:val="24"/>
                <w:szCs w:val="24"/>
                <w:lang w:eastAsia="lv-LV"/>
              </w:rPr>
              <w:t>VII. Tiesību akta projekta izpildes nodrošināšana un tās ietekme uz institūcijām</w:t>
            </w:r>
          </w:p>
        </w:tc>
      </w:tr>
      <w:tr w:rsidR="00177CFA" w:rsidRPr="007C2D5F" w14:paraId="64C06CE6" w14:textId="77777777" w:rsidTr="004B20AF">
        <w:trPr>
          <w:trHeight w:val="420"/>
        </w:trPr>
        <w:tc>
          <w:tcPr>
            <w:tcW w:w="247" w:type="pct"/>
            <w:tcBorders>
              <w:top w:val="outset" w:sz="6" w:space="0" w:color="414142"/>
              <w:left w:val="outset" w:sz="6" w:space="0" w:color="414142"/>
              <w:bottom w:val="outset" w:sz="6" w:space="0" w:color="414142"/>
              <w:right w:val="outset" w:sz="6" w:space="0" w:color="414142"/>
            </w:tcBorders>
          </w:tcPr>
          <w:p w14:paraId="34BC436B"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1.</w:t>
            </w:r>
          </w:p>
        </w:tc>
        <w:tc>
          <w:tcPr>
            <w:tcW w:w="1877" w:type="pct"/>
            <w:tcBorders>
              <w:top w:val="outset" w:sz="6" w:space="0" w:color="414142"/>
              <w:left w:val="outset" w:sz="6" w:space="0" w:color="414142"/>
              <w:bottom w:val="outset" w:sz="6" w:space="0" w:color="414142"/>
              <w:right w:val="outset" w:sz="6" w:space="0" w:color="414142"/>
            </w:tcBorders>
          </w:tcPr>
          <w:p w14:paraId="35731E36"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Projekta izpildē iesaistītās institūcijas</w:t>
            </w:r>
          </w:p>
        </w:tc>
        <w:tc>
          <w:tcPr>
            <w:tcW w:w="2876" w:type="pct"/>
            <w:tcBorders>
              <w:top w:val="outset" w:sz="6" w:space="0" w:color="414142"/>
              <w:left w:val="outset" w:sz="6" w:space="0" w:color="414142"/>
              <w:bottom w:val="outset" w:sz="6" w:space="0" w:color="414142"/>
              <w:right w:val="outset" w:sz="6" w:space="0" w:color="414142"/>
            </w:tcBorders>
          </w:tcPr>
          <w:p w14:paraId="1C5ADC41" w14:textId="17531289" w:rsidR="00177CFA" w:rsidRPr="007C2D5F" w:rsidRDefault="003454A1" w:rsidP="00770F5A">
            <w:pPr>
              <w:spacing w:after="0" w:line="240" w:lineRule="auto"/>
              <w:ind w:firstLine="468"/>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Tiesas</w:t>
            </w:r>
            <w:r w:rsidR="0098563A" w:rsidRPr="007C2D5F">
              <w:rPr>
                <w:rFonts w:ascii="Times New Roman" w:eastAsia="Times New Roman" w:hAnsi="Times New Roman"/>
                <w:color w:val="000000"/>
                <w:sz w:val="24"/>
                <w:szCs w:val="24"/>
                <w:lang w:eastAsia="lv-LV"/>
              </w:rPr>
              <w:t xml:space="preserve"> </w:t>
            </w:r>
          </w:p>
        </w:tc>
      </w:tr>
      <w:tr w:rsidR="00177CFA" w:rsidRPr="007C2D5F" w14:paraId="30BA2C8F" w14:textId="77777777" w:rsidTr="004B20AF">
        <w:trPr>
          <w:trHeight w:val="450"/>
        </w:trPr>
        <w:tc>
          <w:tcPr>
            <w:tcW w:w="247" w:type="pct"/>
            <w:tcBorders>
              <w:top w:val="outset" w:sz="6" w:space="0" w:color="414142"/>
              <w:left w:val="outset" w:sz="6" w:space="0" w:color="414142"/>
              <w:bottom w:val="outset" w:sz="6" w:space="0" w:color="414142"/>
              <w:right w:val="outset" w:sz="6" w:space="0" w:color="414142"/>
            </w:tcBorders>
          </w:tcPr>
          <w:p w14:paraId="451E91BD"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2.</w:t>
            </w:r>
          </w:p>
        </w:tc>
        <w:tc>
          <w:tcPr>
            <w:tcW w:w="1877" w:type="pct"/>
            <w:tcBorders>
              <w:top w:val="outset" w:sz="6" w:space="0" w:color="414142"/>
              <w:left w:val="outset" w:sz="6" w:space="0" w:color="414142"/>
              <w:bottom w:val="outset" w:sz="6" w:space="0" w:color="414142"/>
              <w:right w:val="outset" w:sz="6" w:space="0" w:color="414142"/>
            </w:tcBorders>
          </w:tcPr>
          <w:p w14:paraId="40C9E5DD"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 xml:space="preserve">Projekta izpildes ietekme uz pārvaldes funkcijām un institucionālo struktūru. </w:t>
            </w:r>
          </w:p>
          <w:p w14:paraId="1C841FD6"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Jaunu institūciju izveide, esošu institūciju likvidācija vai reorganizācija, to ietekme uz institūcijas cilvēkresursiem</w:t>
            </w:r>
          </w:p>
        </w:tc>
        <w:tc>
          <w:tcPr>
            <w:tcW w:w="2876" w:type="pct"/>
            <w:tcBorders>
              <w:top w:val="outset" w:sz="6" w:space="0" w:color="414142"/>
              <w:left w:val="outset" w:sz="6" w:space="0" w:color="414142"/>
              <w:bottom w:val="outset" w:sz="6" w:space="0" w:color="414142"/>
              <w:right w:val="outset" w:sz="6" w:space="0" w:color="414142"/>
            </w:tcBorders>
          </w:tcPr>
          <w:p w14:paraId="13C61256" w14:textId="77777777" w:rsidR="00177CFA" w:rsidRPr="007C2D5F" w:rsidRDefault="004959F6" w:rsidP="00861C64">
            <w:pPr>
              <w:spacing w:after="0" w:line="240" w:lineRule="auto"/>
              <w:jc w:val="both"/>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Projekts šo jomu neskar.</w:t>
            </w:r>
          </w:p>
        </w:tc>
      </w:tr>
      <w:tr w:rsidR="00177CFA" w:rsidRPr="007C2D5F" w14:paraId="15BAD917" w14:textId="77777777" w:rsidTr="004B20AF">
        <w:trPr>
          <w:trHeight w:val="390"/>
        </w:trPr>
        <w:tc>
          <w:tcPr>
            <w:tcW w:w="247" w:type="pct"/>
            <w:tcBorders>
              <w:top w:val="outset" w:sz="6" w:space="0" w:color="414142"/>
              <w:left w:val="outset" w:sz="6" w:space="0" w:color="414142"/>
              <w:bottom w:val="outset" w:sz="6" w:space="0" w:color="414142"/>
              <w:right w:val="outset" w:sz="6" w:space="0" w:color="414142"/>
            </w:tcBorders>
          </w:tcPr>
          <w:p w14:paraId="714C3014"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3.</w:t>
            </w:r>
          </w:p>
        </w:tc>
        <w:tc>
          <w:tcPr>
            <w:tcW w:w="1877" w:type="pct"/>
            <w:tcBorders>
              <w:top w:val="outset" w:sz="6" w:space="0" w:color="414142"/>
              <w:left w:val="outset" w:sz="6" w:space="0" w:color="414142"/>
              <w:bottom w:val="outset" w:sz="6" w:space="0" w:color="414142"/>
              <w:right w:val="outset" w:sz="6" w:space="0" w:color="414142"/>
            </w:tcBorders>
          </w:tcPr>
          <w:p w14:paraId="12DD7012"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Cita informācija</w:t>
            </w:r>
          </w:p>
        </w:tc>
        <w:tc>
          <w:tcPr>
            <w:tcW w:w="2876" w:type="pct"/>
            <w:tcBorders>
              <w:top w:val="outset" w:sz="6" w:space="0" w:color="414142"/>
              <w:left w:val="outset" w:sz="6" w:space="0" w:color="414142"/>
              <w:bottom w:val="outset" w:sz="6" w:space="0" w:color="414142"/>
              <w:right w:val="outset" w:sz="6" w:space="0" w:color="414142"/>
            </w:tcBorders>
          </w:tcPr>
          <w:p w14:paraId="54211F4E" w14:textId="77777777" w:rsidR="00177CFA" w:rsidRPr="007C2D5F" w:rsidRDefault="00177CFA" w:rsidP="00303AD6">
            <w:pPr>
              <w:spacing w:after="0" w:line="240" w:lineRule="auto"/>
              <w:rPr>
                <w:rFonts w:ascii="Times New Roman" w:eastAsia="Times New Roman" w:hAnsi="Times New Roman"/>
                <w:color w:val="000000"/>
                <w:sz w:val="24"/>
                <w:szCs w:val="24"/>
                <w:lang w:eastAsia="lv-LV"/>
              </w:rPr>
            </w:pPr>
            <w:r w:rsidRPr="007C2D5F">
              <w:rPr>
                <w:rFonts w:ascii="Times New Roman" w:eastAsia="Times New Roman" w:hAnsi="Times New Roman"/>
                <w:color w:val="000000"/>
                <w:sz w:val="24"/>
                <w:szCs w:val="24"/>
                <w:lang w:eastAsia="lv-LV"/>
              </w:rPr>
              <w:t>Nav</w:t>
            </w:r>
          </w:p>
        </w:tc>
      </w:tr>
    </w:tbl>
    <w:p w14:paraId="3C271475" w14:textId="77777777" w:rsidR="007C20E5" w:rsidRPr="007C2D5F" w:rsidRDefault="007C20E5" w:rsidP="00B66AB2">
      <w:pPr>
        <w:spacing w:after="0" w:line="240" w:lineRule="auto"/>
        <w:rPr>
          <w:rFonts w:ascii="Times New Roman" w:hAnsi="Times New Roman"/>
          <w:color w:val="000000"/>
          <w:sz w:val="24"/>
          <w:szCs w:val="24"/>
        </w:rPr>
      </w:pPr>
    </w:p>
    <w:p w14:paraId="4248A2D2" w14:textId="77777777" w:rsidR="00754F0F" w:rsidRPr="007C2D5F" w:rsidRDefault="00754F0F" w:rsidP="00754F0F">
      <w:pPr>
        <w:spacing w:before="75" w:after="75"/>
        <w:jc w:val="both"/>
        <w:rPr>
          <w:rFonts w:ascii="Times New Roman" w:eastAsia="Times New Roman" w:hAnsi="Times New Roman"/>
          <w:sz w:val="24"/>
          <w:szCs w:val="24"/>
          <w:lang w:eastAsia="lv-LV"/>
        </w:rPr>
      </w:pPr>
      <w:r w:rsidRPr="007C2D5F">
        <w:rPr>
          <w:rFonts w:ascii="Times New Roman" w:eastAsia="Times New Roman" w:hAnsi="Times New Roman"/>
          <w:sz w:val="24"/>
          <w:szCs w:val="24"/>
          <w:lang w:eastAsia="lv-LV"/>
        </w:rPr>
        <w:t>Tieslietu ministrs</w:t>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t xml:space="preserve">           </w:t>
      </w:r>
      <w:r w:rsidR="0098563A" w:rsidRPr="007C2D5F">
        <w:rPr>
          <w:rFonts w:ascii="Times New Roman" w:eastAsia="Times New Roman" w:hAnsi="Times New Roman"/>
          <w:sz w:val="24"/>
          <w:szCs w:val="24"/>
          <w:lang w:eastAsia="lv-LV"/>
        </w:rPr>
        <w:t xml:space="preserve">        </w:t>
      </w:r>
      <w:r w:rsidRPr="007C2D5F">
        <w:rPr>
          <w:rFonts w:ascii="Times New Roman" w:eastAsia="Times New Roman" w:hAnsi="Times New Roman"/>
          <w:sz w:val="24"/>
          <w:szCs w:val="24"/>
          <w:lang w:eastAsia="lv-LV"/>
        </w:rPr>
        <w:t>Dzintars Rasnačs</w:t>
      </w:r>
    </w:p>
    <w:p w14:paraId="779B35B7" w14:textId="77777777" w:rsidR="00754F0F" w:rsidRPr="007C2D5F" w:rsidRDefault="00754F0F" w:rsidP="00754F0F">
      <w:pPr>
        <w:spacing w:before="75" w:after="75"/>
        <w:jc w:val="both"/>
        <w:rPr>
          <w:rFonts w:ascii="Times New Roman" w:eastAsia="Times New Roman" w:hAnsi="Times New Roman"/>
          <w:sz w:val="24"/>
          <w:szCs w:val="24"/>
          <w:lang w:eastAsia="lv-LV"/>
        </w:rPr>
      </w:pPr>
    </w:p>
    <w:p w14:paraId="1868AF1C" w14:textId="77777777" w:rsidR="00754F0F" w:rsidRPr="007C2D5F" w:rsidRDefault="00754F0F" w:rsidP="00754F0F">
      <w:pPr>
        <w:pStyle w:val="StyleRight"/>
        <w:spacing w:after="0"/>
        <w:ind w:firstLine="0"/>
        <w:jc w:val="both"/>
        <w:rPr>
          <w:sz w:val="24"/>
          <w:szCs w:val="24"/>
        </w:rPr>
      </w:pPr>
      <w:r w:rsidRPr="007C2D5F">
        <w:rPr>
          <w:sz w:val="24"/>
          <w:szCs w:val="24"/>
        </w:rPr>
        <w:t>Iesniedzējs:</w:t>
      </w:r>
    </w:p>
    <w:p w14:paraId="031281F1" w14:textId="77777777" w:rsidR="0098563A" w:rsidRPr="007C2D5F" w:rsidRDefault="0098563A" w:rsidP="0098563A">
      <w:pPr>
        <w:spacing w:before="75" w:after="75"/>
        <w:jc w:val="both"/>
        <w:rPr>
          <w:rFonts w:ascii="Times New Roman" w:eastAsia="Times New Roman" w:hAnsi="Times New Roman"/>
          <w:sz w:val="24"/>
          <w:szCs w:val="24"/>
          <w:lang w:eastAsia="lv-LV"/>
        </w:rPr>
      </w:pPr>
      <w:r w:rsidRPr="007C2D5F">
        <w:rPr>
          <w:rFonts w:ascii="Times New Roman" w:eastAsia="Times New Roman" w:hAnsi="Times New Roman"/>
          <w:sz w:val="24"/>
          <w:szCs w:val="24"/>
          <w:lang w:eastAsia="lv-LV"/>
        </w:rPr>
        <w:t>Tieslietu ministrs</w:t>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r>
      <w:r w:rsidRPr="007C2D5F">
        <w:rPr>
          <w:rFonts w:ascii="Times New Roman" w:eastAsia="Times New Roman" w:hAnsi="Times New Roman"/>
          <w:sz w:val="24"/>
          <w:szCs w:val="24"/>
          <w:lang w:eastAsia="lv-LV"/>
        </w:rPr>
        <w:tab/>
        <w:t xml:space="preserve">                   Dzintars Rasnačs</w:t>
      </w:r>
    </w:p>
    <w:p w14:paraId="780FB9F0" w14:textId="77777777" w:rsidR="00DF469C" w:rsidRPr="00647904" w:rsidRDefault="00DF469C" w:rsidP="00B66AB2">
      <w:pPr>
        <w:spacing w:after="0" w:line="240" w:lineRule="auto"/>
        <w:rPr>
          <w:rFonts w:ascii="Times New Roman" w:hAnsi="Times New Roman"/>
          <w:color w:val="000000"/>
          <w:sz w:val="24"/>
          <w:szCs w:val="24"/>
        </w:rPr>
      </w:pPr>
    </w:p>
    <w:p w14:paraId="0E5D1FA8" w14:textId="77777777" w:rsidR="00404829" w:rsidRPr="00647904" w:rsidRDefault="00404829" w:rsidP="00B66AB2">
      <w:pPr>
        <w:spacing w:after="0" w:line="240" w:lineRule="auto"/>
        <w:rPr>
          <w:rFonts w:ascii="Times New Roman" w:hAnsi="Times New Roman"/>
          <w:color w:val="000000"/>
          <w:sz w:val="24"/>
          <w:szCs w:val="24"/>
        </w:rPr>
      </w:pPr>
    </w:p>
    <w:p w14:paraId="259436FE" w14:textId="77777777" w:rsidR="00754F0F" w:rsidRPr="00647904" w:rsidRDefault="00754F0F" w:rsidP="00B66AB2">
      <w:pPr>
        <w:spacing w:after="0" w:line="240" w:lineRule="auto"/>
        <w:rPr>
          <w:rFonts w:ascii="Times New Roman" w:hAnsi="Times New Roman"/>
          <w:color w:val="000000"/>
          <w:sz w:val="24"/>
          <w:szCs w:val="24"/>
        </w:rPr>
      </w:pPr>
    </w:p>
    <w:p w14:paraId="420E6246" w14:textId="77777777" w:rsidR="00754F0F" w:rsidRPr="00647904" w:rsidRDefault="00754F0F" w:rsidP="00B66AB2">
      <w:pPr>
        <w:spacing w:after="0" w:line="240" w:lineRule="auto"/>
        <w:rPr>
          <w:rFonts w:ascii="Times New Roman" w:hAnsi="Times New Roman"/>
          <w:color w:val="000000"/>
          <w:sz w:val="24"/>
          <w:szCs w:val="24"/>
        </w:rPr>
      </w:pPr>
    </w:p>
    <w:p w14:paraId="3CDCF384" w14:textId="2CC4C262" w:rsidR="008752D4" w:rsidRPr="00647904" w:rsidRDefault="00317D9C" w:rsidP="008752D4">
      <w:pPr>
        <w:spacing w:after="0" w:line="240" w:lineRule="auto"/>
        <w:rPr>
          <w:rFonts w:ascii="Times New Roman" w:hAnsi="Times New Roman"/>
          <w:color w:val="000000"/>
          <w:sz w:val="20"/>
          <w:szCs w:val="20"/>
        </w:rPr>
      </w:pPr>
      <w:r>
        <w:rPr>
          <w:rFonts w:ascii="Times New Roman" w:hAnsi="Times New Roman"/>
          <w:color w:val="000000"/>
          <w:sz w:val="20"/>
          <w:szCs w:val="20"/>
        </w:rPr>
        <w:t>17</w:t>
      </w:r>
      <w:r w:rsidR="00CE50DA" w:rsidRPr="00647904">
        <w:rPr>
          <w:rFonts w:ascii="Times New Roman" w:hAnsi="Times New Roman"/>
          <w:color w:val="000000"/>
          <w:sz w:val="20"/>
          <w:szCs w:val="20"/>
        </w:rPr>
        <w:t>.</w:t>
      </w:r>
      <w:r w:rsidR="0098563A">
        <w:rPr>
          <w:rFonts w:ascii="Times New Roman" w:hAnsi="Times New Roman"/>
          <w:color w:val="000000"/>
          <w:sz w:val="20"/>
          <w:szCs w:val="20"/>
        </w:rPr>
        <w:t>08</w:t>
      </w:r>
      <w:r w:rsidR="008752D4" w:rsidRPr="00647904">
        <w:rPr>
          <w:rFonts w:ascii="Times New Roman" w:hAnsi="Times New Roman"/>
          <w:color w:val="000000"/>
          <w:sz w:val="20"/>
          <w:szCs w:val="20"/>
        </w:rPr>
        <w:t>.</w:t>
      </w:r>
      <w:r w:rsidR="006C5972" w:rsidRPr="00647904">
        <w:rPr>
          <w:rFonts w:ascii="Times New Roman" w:hAnsi="Times New Roman"/>
          <w:color w:val="000000"/>
          <w:sz w:val="20"/>
          <w:szCs w:val="20"/>
        </w:rPr>
        <w:t>2016</w:t>
      </w:r>
      <w:r w:rsidR="00255938" w:rsidRPr="00647904">
        <w:rPr>
          <w:rFonts w:ascii="Times New Roman" w:hAnsi="Times New Roman"/>
          <w:color w:val="000000"/>
          <w:sz w:val="20"/>
          <w:szCs w:val="20"/>
        </w:rPr>
        <w:t>.</w:t>
      </w:r>
      <w:r w:rsidR="008752D4" w:rsidRPr="00647904">
        <w:rPr>
          <w:rFonts w:ascii="Times New Roman" w:hAnsi="Times New Roman"/>
          <w:color w:val="000000"/>
          <w:sz w:val="20"/>
          <w:szCs w:val="20"/>
        </w:rPr>
        <w:t xml:space="preserve"> </w:t>
      </w:r>
      <w:r w:rsidR="008B5D00">
        <w:rPr>
          <w:rFonts w:ascii="Times New Roman" w:hAnsi="Times New Roman"/>
          <w:color w:val="000000"/>
          <w:sz w:val="20"/>
          <w:szCs w:val="20"/>
        </w:rPr>
        <w:t>14</w:t>
      </w:r>
      <w:r w:rsidR="0096031F" w:rsidRPr="00647904">
        <w:rPr>
          <w:rFonts w:ascii="Times New Roman" w:hAnsi="Times New Roman"/>
          <w:color w:val="000000"/>
          <w:sz w:val="20"/>
          <w:szCs w:val="20"/>
        </w:rPr>
        <w:t>:</w:t>
      </w:r>
      <w:r w:rsidR="008B5D00">
        <w:rPr>
          <w:rFonts w:ascii="Times New Roman" w:hAnsi="Times New Roman"/>
          <w:color w:val="000000"/>
          <w:sz w:val="20"/>
          <w:szCs w:val="20"/>
        </w:rPr>
        <w:t>01</w:t>
      </w:r>
      <w:bookmarkStart w:id="0" w:name="_GoBack"/>
      <w:bookmarkEnd w:id="0"/>
    </w:p>
    <w:p w14:paraId="0376F1DD" w14:textId="37879586" w:rsidR="001A608A" w:rsidRPr="00647904" w:rsidRDefault="00A32F3E" w:rsidP="008752D4">
      <w:pPr>
        <w:spacing w:after="0" w:line="240" w:lineRule="auto"/>
        <w:rPr>
          <w:rFonts w:ascii="Times New Roman" w:hAnsi="Times New Roman"/>
          <w:color w:val="000000"/>
          <w:sz w:val="20"/>
          <w:szCs w:val="20"/>
        </w:rPr>
      </w:pPr>
      <w:r>
        <w:rPr>
          <w:rFonts w:ascii="Times New Roman" w:hAnsi="Times New Roman"/>
          <w:color w:val="000000"/>
          <w:sz w:val="20"/>
          <w:szCs w:val="20"/>
        </w:rPr>
        <w:t>1944</w:t>
      </w:r>
    </w:p>
    <w:p w14:paraId="052955C6" w14:textId="77777777" w:rsidR="008752D4" w:rsidRPr="00647904" w:rsidRDefault="00C25BA3" w:rsidP="008752D4">
      <w:pPr>
        <w:spacing w:after="0" w:line="240" w:lineRule="auto"/>
        <w:rPr>
          <w:rFonts w:ascii="Times New Roman" w:hAnsi="Times New Roman"/>
          <w:color w:val="000000"/>
          <w:sz w:val="20"/>
          <w:szCs w:val="20"/>
        </w:rPr>
      </w:pPr>
      <w:r w:rsidRPr="00647904">
        <w:rPr>
          <w:rFonts w:ascii="Times New Roman" w:hAnsi="Times New Roman"/>
          <w:color w:val="000000"/>
          <w:sz w:val="20"/>
          <w:szCs w:val="20"/>
        </w:rPr>
        <w:t>S.Šube</w:t>
      </w:r>
    </w:p>
    <w:p w14:paraId="1DCC4008" w14:textId="0BE9DBA2" w:rsidR="008752D4" w:rsidRPr="00647904" w:rsidRDefault="009519D9" w:rsidP="00060A32">
      <w:pPr>
        <w:spacing w:after="0" w:line="240" w:lineRule="auto"/>
        <w:rPr>
          <w:rFonts w:ascii="Times New Roman" w:hAnsi="Times New Roman"/>
          <w:color w:val="000000"/>
          <w:sz w:val="24"/>
          <w:szCs w:val="24"/>
        </w:rPr>
      </w:pPr>
      <w:r w:rsidRPr="00647904">
        <w:rPr>
          <w:rFonts w:ascii="Times New Roman" w:hAnsi="Times New Roman"/>
          <w:color w:val="000000"/>
          <w:sz w:val="20"/>
          <w:szCs w:val="20"/>
        </w:rPr>
        <w:t>67036838</w:t>
      </w:r>
      <w:r w:rsidR="00060A32" w:rsidRPr="00647904">
        <w:rPr>
          <w:rFonts w:ascii="Times New Roman" w:hAnsi="Times New Roman"/>
          <w:color w:val="000000"/>
          <w:sz w:val="20"/>
          <w:szCs w:val="20"/>
        </w:rPr>
        <w:t xml:space="preserve">, </w:t>
      </w:r>
      <w:r w:rsidR="008B5D00">
        <w:rPr>
          <w:rFonts w:ascii="Times New Roman" w:hAnsi="Times New Roman"/>
          <w:color w:val="000000"/>
          <w:sz w:val="20"/>
          <w:szCs w:val="20"/>
        </w:rPr>
        <w:t>Sindija.S</w:t>
      </w:r>
      <w:r w:rsidR="00DF469C" w:rsidRPr="00647904">
        <w:rPr>
          <w:rFonts w:ascii="Times New Roman" w:hAnsi="Times New Roman"/>
          <w:color w:val="000000"/>
          <w:sz w:val="20"/>
          <w:szCs w:val="20"/>
        </w:rPr>
        <w:t>ube@tm.gov.lv</w:t>
      </w:r>
      <w:r w:rsidR="00861C64" w:rsidRPr="00647904">
        <w:rPr>
          <w:rFonts w:ascii="Times New Roman" w:hAnsi="Times New Roman"/>
          <w:color w:val="000000"/>
          <w:sz w:val="24"/>
          <w:szCs w:val="24"/>
        </w:rPr>
        <w:t xml:space="preserve"> </w:t>
      </w:r>
    </w:p>
    <w:sectPr w:rsidR="008752D4" w:rsidRPr="00647904" w:rsidSect="002F580E">
      <w:headerReference w:type="default" r:id="rId15"/>
      <w:footerReference w:type="default" r:id="rId16"/>
      <w:footerReference w:type="first" r:id="rId17"/>
      <w:pgSz w:w="11906" w:h="16838"/>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386A0" w15:done="0"/>
  <w15:commentEx w15:paraId="0E41D883" w15:done="0"/>
  <w15:commentEx w15:paraId="0F1BC86C" w15:done="0"/>
  <w15:commentEx w15:paraId="58AF7700" w15:done="0"/>
  <w15:commentEx w15:paraId="5E75185C" w15:done="0"/>
  <w15:commentEx w15:paraId="4D3467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8C3ED" w14:textId="77777777" w:rsidR="00644C0E" w:rsidRDefault="00644C0E" w:rsidP="000F4227">
      <w:pPr>
        <w:spacing w:after="0" w:line="240" w:lineRule="auto"/>
      </w:pPr>
      <w:r>
        <w:separator/>
      </w:r>
    </w:p>
  </w:endnote>
  <w:endnote w:type="continuationSeparator" w:id="0">
    <w:p w14:paraId="096B2529" w14:textId="77777777" w:rsidR="00644C0E" w:rsidRDefault="00644C0E" w:rsidP="000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D0CFF" w14:textId="77777777" w:rsidR="00BE79A0" w:rsidRPr="00BE79A0" w:rsidRDefault="00BE79A0" w:rsidP="00BE79A0">
    <w:pPr>
      <w:pStyle w:val="Kjene"/>
      <w:rPr>
        <w:rFonts w:ascii="Times New Roman" w:hAnsi="Times New Roman"/>
      </w:rPr>
    </w:pPr>
    <w:r w:rsidRPr="00BE79A0">
      <w:rPr>
        <w:rFonts w:ascii="Times New Roman" w:hAnsi="Times New Roman"/>
        <w:sz w:val="20"/>
      </w:rPr>
      <w:t>TMLik_030816_KPL; Likumprojekts „Grozījumi Kriminālprocesa likumā”</w:t>
    </w:r>
    <w:r w:rsidRPr="00BE79A0">
      <w:rPr>
        <w:rFonts w:ascii="Times New Roman" w:hAnsi="Times New Roman"/>
        <w:sz w:val="20"/>
        <w:szCs w:val="20"/>
      </w:rPr>
      <w:t xml:space="preserve">; Likumprojekta </w:t>
    </w:r>
    <w:r w:rsidRPr="00BE79A0">
      <w:rPr>
        <w:rFonts w:ascii="Times New Roman" w:eastAsia="Times New Roman" w:hAnsi="Times New Roman"/>
        <w:bCs/>
        <w:sz w:val="20"/>
        <w:szCs w:val="20"/>
        <w:lang w:eastAsia="lv-LV"/>
      </w:rPr>
      <w:t>„Grozījumi Valsts nodrošinātās juridiskās palīdzības likumā”</w:t>
    </w:r>
    <w:r w:rsidRPr="00BE79A0">
      <w:rPr>
        <w:rFonts w:ascii="Times New Roman" w:hAnsi="Times New Roman"/>
        <w:sz w:val="20"/>
        <w:szCs w:val="20"/>
      </w:rPr>
      <w:t xml:space="preserve"> sākotnējās ietekmes novērtējuma ziņojums  (anotācija)</w:t>
    </w:r>
  </w:p>
  <w:p w14:paraId="141844B1" w14:textId="77777777" w:rsidR="00BE79A0" w:rsidRPr="00BE79A0" w:rsidRDefault="00BE79A0" w:rsidP="00BE79A0">
    <w:pPr>
      <w:pStyle w:val="Kjene"/>
      <w:rPr>
        <w:rFonts w:ascii="Times New Roman" w:hAnsi="Times New Roman"/>
      </w:rPr>
    </w:pPr>
  </w:p>
  <w:p w14:paraId="020FFAAB" w14:textId="77777777" w:rsidR="00900A8C" w:rsidRPr="000F4227" w:rsidRDefault="00900A8C" w:rsidP="00181827">
    <w:pPr>
      <w:pStyle w:val="Kjen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A4E52" w14:textId="77777777" w:rsidR="008B66F9" w:rsidRPr="00BE79A0" w:rsidRDefault="00BE79A0" w:rsidP="00BE79A0">
    <w:pPr>
      <w:pStyle w:val="Kjene"/>
      <w:rPr>
        <w:rFonts w:ascii="Times New Roman" w:hAnsi="Times New Roman"/>
      </w:rPr>
    </w:pPr>
    <w:r w:rsidRPr="00BE79A0">
      <w:rPr>
        <w:rFonts w:ascii="Times New Roman" w:hAnsi="Times New Roman"/>
        <w:sz w:val="20"/>
      </w:rPr>
      <w:t>TMLik_030816_KPL; Likumprojekts „Grozījumi Kriminālprocesa likumā”</w:t>
    </w:r>
    <w:r w:rsidR="008B66F9" w:rsidRPr="00BE79A0">
      <w:rPr>
        <w:rFonts w:ascii="Times New Roman" w:hAnsi="Times New Roman"/>
        <w:sz w:val="20"/>
        <w:szCs w:val="20"/>
      </w:rPr>
      <w:t xml:space="preserve">; Likumprojekta </w:t>
    </w:r>
    <w:r w:rsidR="008B66F9" w:rsidRPr="00BE79A0">
      <w:rPr>
        <w:rFonts w:ascii="Times New Roman" w:eastAsia="Times New Roman" w:hAnsi="Times New Roman"/>
        <w:bCs/>
        <w:sz w:val="20"/>
        <w:szCs w:val="20"/>
        <w:lang w:eastAsia="lv-LV"/>
      </w:rPr>
      <w:t>„Grozījumi Valsts nodrošinātās juridiskās palīdzības likumā”</w:t>
    </w:r>
    <w:r w:rsidR="008B66F9" w:rsidRPr="00BE79A0">
      <w:rPr>
        <w:rFonts w:ascii="Times New Roman" w:hAnsi="Times New Roman"/>
        <w:sz w:val="20"/>
        <w:szCs w:val="20"/>
      </w:rPr>
      <w:t xml:space="preserve"> sākotnējās ietekmes novērtējuma ziņojums  (anotācija)</w:t>
    </w:r>
  </w:p>
  <w:p w14:paraId="588B525D" w14:textId="77777777" w:rsidR="008B66F9" w:rsidRPr="00BE79A0" w:rsidRDefault="008B66F9" w:rsidP="008B66F9">
    <w:pPr>
      <w:pStyle w:val="Kjene"/>
      <w:rPr>
        <w:rFonts w:ascii="Times New Roman" w:hAnsi="Times New Roman"/>
      </w:rPr>
    </w:pPr>
  </w:p>
  <w:p w14:paraId="73E3AAED" w14:textId="77777777" w:rsidR="00900A8C" w:rsidRPr="008B66F9" w:rsidRDefault="00900A8C" w:rsidP="008B66F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65555" w14:textId="77777777" w:rsidR="00644C0E" w:rsidRDefault="00644C0E" w:rsidP="000F4227">
      <w:pPr>
        <w:spacing w:after="0" w:line="240" w:lineRule="auto"/>
      </w:pPr>
      <w:r>
        <w:separator/>
      </w:r>
    </w:p>
  </w:footnote>
  <w:footnote w:type="continuationSeparator" w:id="0">
    <w:p w14:paraId="56F94C86" w14:textId="77777777" w:rsidR="00644C0E" w:rsidRDefault="00644C0E" w:rsidP="000F4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2F289" w14:textId="77777777" w:rsidR="00900A8C" w:rsidRPr="004D15A9" w:rsidRDefault="00900A8C">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sidR="008B5D00">
      <w:rPr>
        <w:rFonts w:ascii="Times New Roman" w:hAnsi="Times New Roman"/>
        <w:noProof/>
        <w:sz w:val="24"/>
        <w:szCs w:val="24"/>
      </w:rPr>
      <w:t>8</w:t>
    </w:r>
    <w:r w:rsidRPr="004D15A9">
      <w:rPr>
        <w:rFonts w:ascii="Times New Roman" w:hAnsi="Times New Roman"/>
        <w:sz w:val="24"/>
        <w:szCs w:val="24"/>
      </w:rPr>
      <w:fldChar w:fldCharType="end"/>
    </w:r>
  </w:p>
  <w:p w14:paraId="559F5CFE" w14:textId="77777777" w:rsidR="00900A8C" w:rsidRDefault="00900A8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406"/>
    <w:multiLevelType w:val="hybridMultilevel"/>
    <w:tmpl w:val="1A06B32A"/>
    <w:lvl w:ilvl="0" w:tplc="1EF613CE">
      <w:start w:val="1"/>
      <w:numFmt w:val="decimal"/>
      <w:lvlText w:val="%1)"/>
      <w:lvlJc w:val="left"/>
      <w:pPr>
        <w:ind w:left="1211" w:hanging="360"/>
      </w:pPr>
      <w:rPr>
        <w:rFonts w:hint="default"/>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nsid w:val="179A19FA"/>
    <w:multiLevelType w:val="hybridMultilevel"/>
    <w:tmpl w:val="5D2E49D2"/>
    <w:lvl w:ilvl="0" w:tplc="25AEE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F2E573B"/>
    <w:multiLevelType w:val="hybridMultilevel"/>
    <w:tmpl w:val="B7AE0CBA"/>
    <w:lvl w:ilvl="0" w:tplc="3F66B7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8FE14F1"/>
    <w:multiLevelType w:val="hybridMultilevel"/>
    <w:tmpl w:val="C492D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C06033A"/>
    <w:multiLevelType w:val="hybridMultilevel"/>
    <w:tmpl w:val="FCF284CC"/>
    <w:lvl w:ilvl="0" w:tplc="91EA3014">
      <w:start w:val="1"/>
      <w:numFmt w:val="decimal"/>
      <w:lvlText w:val="(%1)"/>
      <w:lvlJc w:val="left"/>
      <w:pPr>
        <w:ind w:left="1864" w:hanging="115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54C37A25"/>
    <w:multiLevelType w:val="hybridMultilevel"/>
    <w:tmpl w:val="78C8FAEC"/>
    <w:lvl w:ilvl="0" w:tplc="04260001">
      <w:start w:val="1"/>
      <w:numFmt w:val="bullet"/>
      <w:lvlText w:val=""/>
      <w:lvlJc w:val="left"/>
      <w:pPr>
        <w:ind w:left="1261" w:hanging="360"/>
      </w:pPr>
      <w:rPr>
        <w:rFonts w:ascii="Symbol" w:hAnsi="Symbol" w:hint="default"/>
      </w:rPr>
    </w:lvl>
    <w:lvl w:ilvl="1" w:tplc="04260003" w:tentative="1">
      <w:start w:val="1"/>
      <w:numFmt w:val="bullet"/>
      <w:lvlText w:val="o"/>
      <w:lvlJc w:val="left"/>
      <w:pPr>
        <w:ind w:left="1981" w:hanging="360"/>
      </w:pPr>
      <w:rPr>
        <w:rFonts w:ascii="Courier New" w:hAnsi="Courier New" w:cs="Courier New" w:hint="default"/>
      </w:rPr>
    </w:lvl>
    <w:lvl w:ilvl="2" w:tplc="04260005" w:tentative="1">
      <w:start w:val="1"/>
      <w:numFmt w:val="bullet"/>
      <w:lvlText w:val=""/>
      <w:lvlJc w:val="left"/>
      <w:pPr>
        <w:ind w:left="2701" w:hanging="360"/>
      </w:pPr>
      <w:rPr>
        <w:rFonts w:ascii="Wingdings" w:hAnsi="Wingdings" w:hint="default"/>
      </w:rPr>
    </w:lvl>
    <w:lvl w:ilvl="3" w:tplc="04260001" w:tentative="1">
      <w:start w:val="1"/>
      <w:numFmt w:val="bullet"/>
      <w:lvlText w:val=""/>
      <w:lvlJc w:val="left"/>
      <w:pPr>
        <w:ind w:left="3421" w:hanging="360"/>
      </w:pPr>
      <w:rPr>
        <w:rFonts w:ascii="Symbol" w:hAnsi="Symbol" w:hint="default"/>
      </w:rPr>
    </w:lvl>
    <w:lvl w:ilvl="4" w:tplc="04260003" w:tentative="1">
      <w:start w:val="1"/>
      <w:numFmt w:val="bullet"/>
      <w:lvlText w:val="o"/>
      <w:lvlJc w:val="left"/>
      <w:pPr>
        <w:ind w:left="4141" w:hanging="360"/>
      </w:pPr>
      <w:rPr>
        <w:rFonts w:ascii="Courier New" w:hAnsi="Courier New" w:cs="Courier New" w:hint="default"/>
      </w:rPr>
    </w:lvl>
    <w:lvl w:ilvl="5" w:tplc="04260005" w:tentative="1">
      <w:start w:val="1"/>
      <w:numFmt w:val="bullet"/>
      <w:lvlText w:val=""/>
      <w:lvlJc w:val="left"/>
      <w:pPr>
        <w:ind w:left="4861" w:hanging="360"/>
      </w:pPr>
      <w:rPr>
        <w:rFonts w:ascii="Wingdings" w:hAnsi="Wingdings" w:hint="default"/>
      </w:rPr>
    </w:lvl>
    <w:lvl w:ilvl="6" w:tplc="04260001" w:tentative="1">
      <w:start w:val="1"/>
      <w:numFmt w:val="bullet"/>
      <w:lvlText w:val=""/>
      <w:lvlJc w:val="left"/>
      <w:pPr>
        <w:ind w:left="5581" w:hanging="360"/>
      </w:pPr>
      <w:rPr>
        <w:rFonts w:ascii="Symbol" w:hAnsi="Symbol" w:hint="default"/>
      </w:rPr>
    </w:lvl>
    <w:lvl w:ilvl="7" w:tplc="04260003" w:tentative="1">
      <w:start w:val="1"/>
      <w:numFmt w:val="bullet"/>
      <w:lvlText w:val="o"/>
      <w:lvlJc w:val="left"/>
      <w:pPr>
        <w:ind w:left="6301" w:hanging="360"/>
      </w:pPr>
      <w:rPr>
        <w:rFonts w:ascii="Courier New" w:hAnsi="Courier New" w:cs="Courier New" w:hint="default"/>
      </w:rPr>
    </w:lvl>
    <w:lvl w:ilvl="8" w:tplc="04260005" w:tentative="1">
      <w:start w:val="1"/>
      <w:numFmt w:val="bullet"/>
      <w:lvlText w:val=""/>
      <w:lvlJc w:val="left"/>
      <w:pPr>
        <w:ind w:left="7021" w:hanging="360"/>
      </w:pPr>
      <w:rPr>
        <w:rFonts w:ascii="Wingdings" w:hAnsi="Wingdings" w:hint="default"/>
      </w:rPr>
    </w:lvl>
  </w:abstractNum>
  <w:abstractNum w:abstractNumId="6">
    <w:nsid w:val="773E6A82"/>
    <w:multiLevelType w:val="hybridMultilevel"/>
    <w:tmpl w:val="3112E730"/>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nsid w:val="7C7038DC"/>
    <w:multiLevelType w:val="hybridMultilevel"/>
    <w:tmpl w:val="F724E95C"/>
    <w:lvl w:ilvl="0" w:tplc="80A00924">
      <w:start w:val="1"/>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8">
    <w:nsid w:val="7E1240EB"/>
    <w:multiLevelType w:val="hybridMultilevel"/>
    <w:tmpl w:val="BBF8B8C4"/>
    <w:lvl w:ilvl="0" w:tplc="F6301792">
      <w:start w:val="1"/>
      <w:numFmt w:val="decimal"/>
      <w:lvlText w:val="%1)"/>
      <w:lvlJc w:val="left"/>
      <w:pPr>
        <w:ind w:left="1211" w:hanging="360"/>
      </w:pPr>
      <w:rPr>
        <w:rFonts w:hint="default"/>
        <w:color w:val="auto"/>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5"/>
  </w:num>
  <w:num w:numId="2">
    <w:abstractNumId w:val="2"/>
  </w:num>
  <w:num w:numId="3">
    <w:abstractNumId w:val="6"/>
  </w:num>
  <w:num w:numId="4">
    <w:abstractNumId w:val="4"/>
  </w:num>
  <w:num w:numId="5">
    <w:abstractNumId w:val="8"/>
  </w:num>
  <w:num w:numId="6">
    <w:abstractNumId w:val="0"/>
  </w:num>
  <w:num w:numId="7">
    <w:abstractNumId w:val="7"/>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ita Ilgaza">
    <w15:presenceInfo w15:providerId="Windows Live" w15:userId="e44d7eb5d47f9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D4"/>
    <w:rsid w:val="0001180A"/>
    <w:rsid w:val="00031662"/>
    <w:rsid w:val="000363CF"/>
    <w:rsid w:val="00040441"/>
    <w:rsid w:val="00046450"/>
    <w:rsid w:val="0005635F"/>
    <w:rsid w:val="00057C44"/>
    <w:rsid w:val="00060A32"/>
    <w:rsid w:val="00063278"/>
    <w:rsid w:val="00065709"/>
    <w:rsid w:val="000707E5"/>
    <w:rsid w:val="00071B52"/>
    <w:rsid w:val="000748D5"/>
    <w:rsid w:val="00087806"/>
    <w:rsid w:val="0009634A"/>
    <w:rsid w:val="000A4E83"/>
    <w:rsid w:val="000C45C8"/>
    <w:rsid w:val="000D3449"/>
    <w:rsid w:val="000D4F77"/>
    <w:rsid w:val="000D7617"/>
    <w:rsid w:val="000F4227"/>
    <w:rsid w:val="00102B0D"/>
    <w:rsid w:val="001032C3"/>
    <w:rsid w:val="001061DC"/>
    <w:rsid w:val="00110794"/>
    <w:rsid w:val="0011555A"/>
    <w:rsid w:val="00120CC9"/>
    <w:rsid w:val="0012702D"/>
    <w:rsid w:val="00127295"/>
    <w:rsid w:val="00147A05"/>
    <w:rsid w:val="0015087D"/>
    <w:rsid w:val="001568B4"/>
    <w:rsid w:val="0016059F"/>
    <w:rsid w:val="00164E33"/>
    <w:rsid w:val="00165B82"/>
    <w:rsid w:val="00173BFE"/>
    <w:rsid w:val="001740E4"/>
    <w:rsid w:val="0017620B"/>
    <w:rsid w:val="001773F1"/>
    <w:rsid w:val="00177CFA"/>
    <w:rsid w:val="00181827"/>
    <w:rsid w:val="00182545"/>
    <w:rsid w:val="00182C46"/>
    <w:rsid w:val="00183598"/>
    <w:rsid w:val="001941E0"/>
    <w:rsid w:val="0019569B"/>
    <w:rsid w:val="00197159"/>
    <w:rsid w:val="001A608A"/>
    <w:rsid w:val="001B27FF"/>
    <w:rsid w:val="001B373B"/>
    <w:rsid w:val="001D6644"/>
    <w:rsid w:val="001E234F"/>
    <w:rsid w:val="001E300E"/>
    <w:rsid w:val="001E3FDA"/>
    <w:rsid w:val="001E5B43"/>
    <w:rsid w:val="001F1569"/>
    <w:rsid w:val="001F49ED"/>
    <w:rsid w:val="002015E2"/>
    <w:rsid w:val="00206C79"/>
    <w:rsid w:val="00207654"/>
    <w:rsid w:val="00211BE8"/>
    <w:rsid w:val="00224819"/>
    <w:rsid w:val="00227EC7"/>
    <w:rsid w:val="002307D4"/>
    <w:rsid w:val="0024520D"/>
    <w:rsid w:val="0025114A"/>
    <w:rsid w:val="00251481"/>
    <w:rsid w:val="002519E6"/>
    <w:rsid w:val="002542FE"/>
    <w:rsid w:val="0025571A"/>
    <w:rsid w:val="00255938"/>
    <w:rsid w:val="002601DD"/>
    <w:rsid w:val="00266B80"/>
    <w:rsid w:val="00270739"/>
    <w:rsid w:val="00270A0A"/>
    <w:rsid w:val="00272EBE"/>
    <w:rsid w:val="00273458"/>
    <w:rsid w:val="00274BF8"/>
    <w:rsid w:val="00281291"/>
    <w:rsid w:val="0028281F"/>
    <w:rsid w:val="00284020"/>
    <w:rsid w:val="00285DCD"/>
    <w:rsid w:val="00286611"/>
    <w:rsid w:val="0029569E"/>
    <w:rsid w:val="0029660A"/>
    <w:rsid w:val="002A3A80"/>
    <w:rsid w:val="002A6924"/>
    <w:rsid w:val="002A6A88"/>
    <w:rsid w:val="002B6573"/>
    <w:rsid w:val="002B6DF3"/>
    <w:rsid w:val="002B7921"/>
    <w:rsid w:val="002C1C06"/>
    <w:rsid w:val="002C293C"/>
    <w:rsid w:val="002C4393"/>
    <w:rsid w:val="002D2B5C"/>
    <w:rsid w:val="002E5FE7"/>
    <w:rsid w:val="002F161E"/>
    <w:rsid w:val="002F3678"/>
    <w:rsid w:val="002F5368"/>
    <w:rsid w:val="002F580E"/>
    <w:rsid w:val="002F6227"/>
    <w:rsid w:val="00302D42"/>
    <w:rsid w:val="00303AD6"/>
    <w:rsid w:val="00304848"/>
    <w:rsid w:val="00306FAF"/>
    <w:rsid w:val="00312CBC"/>
    <w:rsid w:val="00314116"/>
    <w:rsid w:val="00317D9C"/>
    <w:rsid w:val="00320306"/>
    <w:rsid w:val="00326A04"/>
    <w:rsid w:val="00340D29"/>
    <w:rsid w:val="003454A1"/>
    <w:rsid w:val="0034698C"/>
    <w:rsid w:val="0035009D"/>
    <w:rsid w:val="00357F91"/>
    <w:rsid w:val="003610AA"/>
    <w:rsid w:val="00361B9F"/>
    <w:rsid w:val="00363477"/>
    <w:rsid w:val="00363660"/>
    <w:rsid w:val="00367278"/>
    <w:rsid w:val="0037602E"/>
    <w:rsid w:val="00383CE4"/>
    <w:rsid w:val="00384606"/>
    <w:rsid w:val="0039728F"/>
    <w:rsid w:val="003A02F0"/>
    <w:rsid w:val="003A1148"/>
    <w:rsid w:val="003A6919"/>
    <w:rsid w:val="003E0C9C"/>
    <w:rsid w:val="003E28EF"/>
    <w:rsid w:val="003E2F6D"/>
    <w:rsid w:val="003E4D44"/>
    <w:rsid w:val="003E55BE"/>
    <w:rsid w:val="003F3670"/>
    <w:rsid w:val="003F4443"/>
    <w:rsid w:val="003F76AC"/>
    <w:rsid w:val="00400EC8"/>
    <w:rsid w:val="004033DF"/>
    <w:rsid w:val="00404829"/>
    <w:rsid w:val="00404CA8"/>
    <w:rsid w:val="004106C2"/>
    <w:rsid w:val="004155CE"/>
    <w:rsid w:val="00420852"/>
    <w:rsid w:val="004254C9"/>
    <w:rsid w:val="00426E71"/>
    <w:rsid w:val="00442D4B"/>
    <w:rsid w:val="00443B75"/>
    <w:rsid w:val="00447ABD"/>
    <w:rsid w:val="00451155"/>
    <w:rsid w:val="004548BB"/>
    <w:rsid w:val="004617C9"/>
    <w:rsid w:val="00462984"/>
    <w:rsid w:val="004637AD"/>
    <w:rsid w:val="00467AA7"/>
    <w:rsid w:val="00481C3F"/>
    <w:rsid w:val="004904B9"/>
    <w:rsid w:val="004959F6"/>
    <w:rsid w:val="004A10F3"/>
    <w:rsid w:val="004A6793"/>
    <w:rsid w:val="004B20AF"/>
    <w:rsid w:val="004B51AF"/>
    <w:rsid w:val="004B56E0"/>
    <w:rsid w:val="004C4EDD"/>
    <w:rsid w:val="004C7B0D"/>
    <w:rsid w:val="004D3597"/>
    <w:rsid w:val="004D454B"/>
    <w:rsid w:val="004E0FA8"/>
    <w:rsid w:val="004E1A4D"/>
    <w:rsid w:val="004F3F11"/>
    <w:rsid w:val="004F5CB9"/>
    <w:rsid w:val="00506E5D"/>
    <w:rsid w:val="0051663D"/>
    <w:rsid w:val="00520C61"/>
    <w:rsid w:val="00522EBE"/>
    <w:rsid w:val="00523996"/>
    <w:rsid w:val="00525B0E"/>
    <w:rsid w:val="00527BD7"/>
    <w:rsid w:val="00531EE7"/>
    <w:rsid w:val="005365A5"/>
    <w:rsid w:val="00540143"/>
    <w:rsid w:val="00540B40"/>
    <w:rsid w:val="0054129C"/>
    <w:rsid w:val="005445C6"/>
    <w:rsid w:val="005521AA"/>
    <w:rsid w:val="00553843"/>
    <w:rsid w:val="0055783E"/>
    <w:rsid w:val="00560CE4"/>
    <w:rsid w:val="0056268C"/>
    <w:rsid w:val="005703E1"/>
    <w:rsid w:val="00570FE6"/>
    <w:rsid w:val="00571EBC"/>
    <w:rsid w:val="00591FFE"/>
    <w:rsid w:val="00594213"/>
    <w:rsid w:val="00597A7C"/>
    <w:rsid w:val="005B2BB5"/>
    <w:rsid w:val="005B430B"/>
    <w:rsid w:val="005C3251"/>
    <w:rsid w:val="005C7CED"/>
    <w:rsid w:val="005D0FDD"/>
    <w:rsid w:val="005D4117"/>
    <w:rsid w:val="005D5BC9"/>
    <w:rsid w:val="005D71A5"/>
    <w:rsid w:val="005E3314"/>
    <w:rsid w:val="005E48B4"/>
    <w:rsid w:val="005E7562"/>
    <w:rsid w:val="005F053F"/>
    <w:rsid w:val="005F29F2"/>
    <w:rsid w:val="005F78F3"/>
    <w:rsid w:val="006068CC"/>
    <w:rsid w:val="0061145D"/>
    <w:rsid w:val="00616BFE"/>
    <w:rsid w:val="006219F5"/>
    <w:rsid w:val="00622A8A"/>
    <w:rsid w:val="00624C2F"/>
    <w:rsid w:val="006307AF"/>
    <w:rsid w:val="0063233F"/>
    <w:rsid w:val="00633508"/>
    <w:rsid w:val="0064390D"/>
    <w:rsid w:val="00644C0E"/>
    <w:rsid w:val="0064654C"/>
    <w:rsid w:val="00647904"/>
    <w:rsid w:val="00652C0B"/>
    <w:rsid w:val="00655B25"/>
    <w:rsid w:val="00656D8D"/>
    <w:rsid w:val="00661F5B"/>
    <w:rsid w:val="006701F0"/>
    <w:rsid w:val="00670771"/>
    <w:rsid w:val="006757FD"/>
    <w:rsid w:val="006763AB"/>
    <w:rsid w:val="00680481"/>
    <w:rsid w:val="006819F8"/>
    <w:rsid w:val="00682A22"/>
    <w:rsid w:val="0068481D"/>
    <w:rsid w:val="006914CE"/>
    <w:rsid w:val="00692943"/>
    <w:rsid w:val="006938D6"/>
    <w:rsid w:val="00697346"/>
    <w:rsid w:val="006B6583"/>
    <w:rsid w:val="006C2915"/>
    <w:rsid w:val="006C4BD6"/>
    <w:rsid w:val="006C5851"/>
    <w:rsid w:val="006C5972"/>
    <w:rsid w:val="006C76E8"/>
    <w:rsid w:val="006D0618"/>
    <w:rsid w:val="006D36CD"/>
    <w:rsid w:val="006D74B5"/>
    <w:rsid w:val="006E479A"/>
    <w:rsid w:val="006F0A0F"/>
    <w:rsid w:val="006F2803"/>
    <w:rsid w:val="0070445E"/>
    <w:rsid w:val="00713A96"/>
    <w:rsid w:val="00717E2A"/>
    <w:rsid w:val="007262D9"/>
    <w:rsid w:val="00726DED"/>
    <w:rsid w:val="00727317"/>
    <w:rsid w:val="00746135"/>
    <w:rsid w:val="00753E09"/>
    <w:rsid w:val="00754F0F"/>
    <w:rsid w:val="007665A2"/>
    <w:rsid w:val="00770F5A"/>
    <w:rsid w:val="00771139"/>
    <w:rsid w:val="00772349"/>
    <w:rsid w:val="00774326"/>
    <w:rsid w:val="00776CDF"/>
    <w:rsid w:val="007801DE"/>
    <w:rsid w:val="00785A01"/>
    <w:rsid w:val="00796637"/>
    <w:rsid w:val="007A16A5"/>
    <w:rsid w:val="007A603D"/>
    <w:rsid w:val="007B69C2"/>
    <w:rsid w:val="007B6E01"/>
    <w:rsid w:val="007C0FE1"/>
    <w:rsid w:val="007C20E5"/>
    <w:rsid w:val="007C2D5F"/>
    <w:rsid w:val="007C49CC"/>
    <w:rsid w:val="007D4067"/>
    <w:rsid w:val="007E05B3"/>
    <w:rsid w:val="007E76F9"/>
    <w:rsid w:val="007F7A2A"/>
    <w:rsid w:val="00815DEF"/>
    <w:rsid w:val="00816AC0"/>
    <w:rsid w:val="00843025"/>
    <w:rsid w:val="008507E1"/>
    <w:rsid w:val="00853FC5"/>
    <w:rsid w:val="0086125C"/>
    <w:rsid w:val="00861C64"/>
    <w:rsid w:val="00863991"/>
    <w:rsid w:val="0087348D"/>
    <w:rsid w:val="00873A23"/>
    <w:rsid w:val="008752D4"/>
    <w:rsid w:val="00877BF6"/>
    <w:rsid w:val="008862F1"/>
    <w:rsid w:val="008924BC"/>
    <w:rsid w:val="00892A79"/>
    <w:rsid w:val="00892C66"/>
    <w:rsid w:val="00894991"/>
    <w:rsid w:val="008A4663"/>
    <w:rsid w:val="008A694C"/>
    <w:rsid w:val="008A6BFD"/>
    <w:rsid w:val="008B146E"/>
    <w:rsid w:val="008B564B"/>
    <w:rsid w:val="008B5D00"/>
    <w:rsid w:val="008B66F9"/>
    <w:rsid w:val="008B6B36"/>
    <w:rsid w:val="008C417F"/>
    <w:rsid w:val="008C6A96"/>
    <w:rsid w:val="008D0E18"/>
    <w:rsid w:val="008D7DF7"/>
    <w:rsid w:val="008E14F1"/>
    <w:rsid w:val="008E28B1"/>
    <w:rsid w:val="008E2F89"/>
    <w:rsid w:val="008E577C"/>
    <w:rsid w:val="008E7CA7"/>
    <w:rsid w:val="008F72CC"/>
    <w:rsid w:val="00900A8C"/>
    <w:rsid w:val="00901C7F"/>
    <w:rsid w:val="0090492F"/>
    <w:rsid w:val="00910BF0"/>
    <w:rsid w:val="00916B4A"/>
    <w:rsid w:val="009235CC"/>
    <w:rsid w:val="00924360"/>
    <w:rsid w:val="00924D7D"/>
    <w:rsid w:val="009264A0"/>
    <w:rsid w:val="00944844"/>
    <w:rsid w:val="00946DDC"/>
    <w:rsid w:val="00946ED6"/>
    <w:rsid w:val="009519D9"/>
    <w:rsid w:val="00952274"/>
    <w:rsid w:val="00954CCF"/>
    <w:rsid w:val="00956C4A"/>
    <w:rsid w:val="0096031F"/>
    <w:rsid w:val="00976001"/>
    <w:rsid w:val="00983575"/>
    <w:rsid w:val="00984884"/>
    <w:rsid w:val="0098563A"/>
    <w:rsid w:val="009911B8"/>
    <w:rsid w:val="009911C0"/>
    <w:rsid w:val="00997F14"/>
    <w:rsid w:val="009A1B8F"/>
    <w:rsid w:val="009A60C2"/>
    <w:rsid w:val="009A6F2A"/>
    <w:rsid w:val="009B00B4"/>
    <w:rsid w:val="009C5724"/>
    <w:rsid w:val="009D06E2"/>
    <w:rsid w:val="009D078E"/>
    <w:rsid w:val="009D1F34"/>
    <w:rsid w:val="009D2067"/>
    <w:rsid w:val="009D3716"/>
    <w:rsid w:val="009D60C9"/>
    <w:rsid w:val="009D6F17"/>
    <w:rsid w:val="009D7516"/>
    <w:rsid w:val="009E1803"/>
    <w:rsid w:val="009E2100"/>
    <w:rsid w:val="009E3A40"/>
    <w:rsid w:val="009E6747"/>
    <w:rsid w:val="009E73B9"/>
    <w:rsid w:val="009F55CA"/>
    <w:rsid w:val="009F6066"/>
    <w:rsid w:val="00A0381C"/>
    <w:rsid w:val="00A071B2"/>
    <w:rsid w:val="00A10BFC"/>
    <w:rsid w:val="00A16734"/>
    <w:rsid w:val="00A32F3E"/>
    <w:rsid w:val="00A357C8"/>
    <w:rsid w:val="00A36B66"/>
    <w:rsid w:val="00A51C9B"/>
    <w:rsid w:val="00A51CEE"/>
    <w:rsid w:val="00A5303E"/>
    <w:rsid w:val="00A534E6"/>
    <w:rsid w:val="00A63830"/>
    <w:rsid w:val="00A6622D"/>
    <w:rsid w:val="00A723AA"/>
    <w:rsid w:val="00A802B4"/>
    <w:rsid w:val="00A803C4"/>
    <w:rsid w:val="00A80EE6"/>
    <w:rsid w:val="00AA0CCC"/>
    <w:rsid w:val="00AA5439"/>
    <w:rsid w:val="00AB0B5A"/>
    <w:rsid w:val="00AB5632"/>
    <w:rsid w:val="00AB5F4D"/>
    <w:rsid w:val="00AC6EB2"/>
    <w:rsid w:val="00AD2ECA"/>
    <w:rsid w:val="00AD385D"/>
    <w:rsid w:val="00AD696B"/>
    <w:rsid w:val="00AF29AE"/>
    <w:rsid w:val="00AF6069"/>
    <w:rsid w:val="00B0619D"/>
    <w:rsid w:val="00B4286D"/>
    <w:rsid w:val="00B53A0A"/>
    <w:rsid w:val="00B567BE"/>
    <w:rsid w:val="00B60531"/>
    <w:rsid w:val="00B6194B"/>
    <w:rsid w:val="00B66AB2"/>
    <w:rsid w:val="00B76B04"/>
    <w:rsid w:val="00B80877"/>
    <w:rsid w:val="00BA279B"/>
    <w:rsid w:val="00BA4456"/>
    <w:rsid w:val="00BA5D83"/>
    <w:rsid w:val="00BA6765"/>
    <w:rsid w:val="00BC0565"/>
    <w:rsid w:val="00BC50C4"/>
    <w:rsid w:val="00BC7F98"/>
    <w:rsid w:val="00BD1AC1"/>
    <w:rsid w:val="00BD25EF"/>
    <w:rsid w:val="00BD6B90"/>
    <w:rsid w:val="00BD7F4B"/>
    <w:rsid w:val="00BE1591"/>
    <w:rsid w:val="00BE1659"/>
    <w:rsid w:val="00BE173F"/>
    <w:rsid w:val="00BE79A0"/>
    <w:rsid w:val="00BF35A0"/>
    <w:rsid w:val="00BF44A3"/>
    <w:rsid w:val="00C174D5"/>
    <w:rsid w:val="00C2434E"/>
    <w:rsid w:val="00C25BA3"/>
    <w:rsid w:val="00C32241"/>
    <w:rsid w:val="00C45137"/>
    <w:rsid w:val="00C46FA1"/>
    <w:rsid w:val="00C60E61"/>
    <w:rsid w:val="00C67FC0"/>
    <w:rsid w:val="00C749BF"/>
    <w:rsid w:val="00C76B38"/>
    <w:rsid w:val="00C7712F"/>
    <w:rsid w:val="00C94800"/>
    <w:rsid w:val="00CA1B12"/>
    <w:rsid w:val="00CA4952"/>
    <w:rsid w:val="00CB07A4"/>
    <w:rsid w:val="00CB07DF"/>
    <w:rsid w:val="00CB0F6D"/>
    <w:rsid w:val="00CC14D1"/>
    <w:rsid w:val="00CC1EF3"/>
    <w:rsid w:val="00CC5F19"/>
    <w:rsid w:val="00CD3C9F"/>
    <w:rsid w:val="00CE3CC8"/>
    <w:rsid w:val="00CE50DA"/>
    <w:rsid w:val="00CE538B"/>
    <w:rsid w:val="00CE6683"/>
    <w:rsid w:val="00CF3F37"/>
    <w:rsid w:val="00D02C46"/>
    <w:rsid w:val="00D06950"/>
    <w:rsid w:val="00D07B95"/>
    <w:rsid w:val="00D12E23"/>
    <w:rsid w:val="00D133C6"/>
    <w:rsid w:val="00D17CC1"/>
    <w:rsid w:val="00D250A6"/>
    <w:rsid w:val="00D26515"/>
    <w:rsid w:val="00D35A33"/>
    <w:rsid w:val="00D52B2E"/>
    <w:rsid w:val="00D57343"/>
    <w:rsid w:val="00D634DD"/>
    <w:rsid w:val="00D70D4D"/>
    <w:rsid w:val="00D75F84"/>
    <w:rsid w:val="00D802E4"/>
    <w:rsid w:val="00D821AF"/>
    <w:rsid w:val="00D87DD9"/>
    <w:rsid w:val="00D90FEA"/>
    <w:rsid w:val="00D941D6"/>
    <w:rsid w:val="00D9472B"/>
    <w:rsid w:val="00DA04A3"/>
    <w:rsid w:val="00DA3522"/>
    <w:rsid w:val="00DA4618"/>
    <w:rsid w:val="00DA50DE"/>
    <w:rsid w:val="00DB083E"/>
    <w:rsid w:val="00DB36B8"/>
    <w:rsid w:val="00DC25AD"/>
    <w:rsid w:val="00DC5665"/>
    <w:rsid w:val="00DC6587"/>
    <w:rsid w:val="00DD284E"/>
    <w:rsid w:val="00DD40E1"/>
    <w:rsid w:val="00DE00FD"/>
    <w:rsid w:val="00DF469C"/>
    <w:rsid w:val="00E07C44"/>
    <w:rsid w:val="00E220C9"/>
    <w:rsid w:val="00E32C44"/>
    <w:rsid w:val="00E36061"/>
    <w:rsid w:val="00E36D8D"/>
    <w:rsid w:val="00E42996"/>
    <w:rsid w:val="00E4337E"/>
    <w:rsid w:val="00E45682"/>
    <w:rsid w:val="00E50D4B"/>
    <w:rsid w:val="00E519A5"/>
    <w:rsid w:val="00E558DA"/>
    <w:rsid w:val="00E57460"/>
    <w:rsid w:val="00E642C7"/>
    <w:rsid w:val="00E664CE"/>
    <w:rsid w:val="00E91FB1"/>
    <w:rsid w:val="00E9443E"/>
    <w:rsid w:val="00E9494D"/>
    <w:rsid w:val="00EA2290"/>
    <w:rsid w:val="00EA69B1"/>
    <w:rsid w:val="00EA6EAD"/>
    <w:rsid w:val="00EB130E"/>
    <w:rsid w:val="00EC6719"/>
    <w:rsid w:val="00ED126A"/>
    <w:rsid w:val="00EE14CE"/>
    <w:rsid w:val="00EE1DEB"/>
    <w:rsid w:val="00EF13AB"/>
    <w:rsid w:val="00F124CF"/>
    <w:rsid w:val="00F12F43"/>
    <w:rsid w:val="00F14CD1"/>
    <w:rsid w:val="00F16383"/>
    <w:rsid w:val="00F17932"/>
    <w:rsid w:val="00F20F50"/>
    <w:rsid w:val="00F22ADF"/>
    <w:rsid w:val="00F244C8"/>
    <w:rsid w:val="00F26C15"/>
    <w:rsid w:val="00F3099D"/>
    <w:rsid w:val="00F32EF0"/>
    <w:rsid w:val="00F360F2"/>
    <w:rsid w:val="00F36135"/>
    <w:rsid w:val="00F378C7"/>
    <w:rsid w:val="00F408F6"/>
    <w:rsid w:val="00F47386"/>
    <w:rsid w:val="00F60FD4"/>
    <w:rsid w:val="00F63FA1"/>
    <w:rsid w:val="00F647A5"/>
    <w:rsid w:val="00F772CB"/>
    <w:rsid w:val="00F87787"/>
    <w:rsid w:val="00F92213"/>
    <w:rsid w:val="00F9497A"/>
    <w:rsid w:val="00FA1CE3"/>
    <w:rsid w:val="00FA6C9E"/>
    <w:rsid w:val="00FB6B8A"/>
    <w:rsid w:val="00FC1C88"/>
    <w:rsid w:val="00FC4A7A"/>
    <w:rsid w:val="00FC4B01"/>
    <w:rsid w:val="00FD05E7"/>
    <w:rsid w:val="00FD0FCB"/>
    <w:rsid w:val="00FE51DB"/>
    <w:rsid w:val="00FE718E"/>
    <w:rsid w:val="00FF30AA"/>
    <w:rsid w:val="00FF3749"/>
    <w:rsid w:val="00FF570E"/>
    <w:rsid w:val="00FF5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D31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752D4"/>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8752D4"/>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8752D4"/>
    <w:pPr>
      <w:tabs>
        <w:tab w:val="center" w:pos="4153"/>
        <w:tab w:val="right" w:pos="8306"/>
      </w:tabs>
      <w:spacing w:after="0" w:line="240" w:lineRule="auto"/>
    </w:pPr>
  </w:style>
  <w:style w:type="character" w:customStyle="1" w:styleId="GalveneRakstz">
    <w:name w:val="Galvene Rakstz."/>
    <w:link w:val="Galvene"/>
    <w:uiPriority w:val="99"/>
    <w:rsid w:val="008752D4"/>
    <w:rPr>
      <w:rFonts w:ascii="Calibri" w:eastAsia="Calibri" w:hAnsi="Calibri" w:cs="Times New Roman"/>
    </w:rPr>
  </w:style>
  <w:style w:type="paragraph" w:styleId="Kjene">
    <w:name w:val="footer"/>
    <w:basedOn w:val="Parasts"/>
    <w:link w:val="KjeneRakstz"/>
    <w:unhideWhenUsed/>
    <w:rsid w:val="008752D4"/>
    <w:pPr>
      <w:tabs>
        <w:tab w:val="center" w:pos="4153"/>
        <w:tab w:val="right" w:pos="8306"/>
      </w:tabs>
      <w:spacing w:after="0" w:line="240" w:lineRule="auto"/>
    </w:pPr>
  </w:style>
  <w:style w:type="character" w:customStyle="1" w:styleId="KjeneRakstz">
    <w:name w:val="Kājene Rakstz."/>
    <w:link w:val="Kjene"/>
    <w:rsid w:val="008752D4"/>
    <w:rPr>
      <w:rFonts w:ascii="Calibri" w:eastAsia="Calibri" w:hAnsi="Calibri" w:cs="Times New Roman"/>
    </w:rPr>
  </w:style>
  <w:style w:type="paragraph" w:customStyle="1" w:styleId="tv2131">
    <w:name w:val="tv2131"/>
    <w:basedOn w:val="Parasts"/>
    <w:rsid w:val="000F4227"/>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semiHidden/>
    <w:unhideWhenUsed/>
    <w:rsid w:val="00C67FC0"/>
    <w:rPr>
      <w:sz w:val="16"/>
      <w:szCs w:val="16"/>
    </w:rPr>
  </w:style>
  <w:style w:type="paragraph" w:styleId="Komentrateksts">
    <w:name w:val="annotation text"/>
    <w:basedOn w:val="Parasts"/>
    <w:link w:val="KomentratekstsRakstz"/>
    <w:uiPriority w:val="99"/>
    <w:semiHidden/>
    <w:unhideWhenUsed/>
    <w:rsid w:val="00C67FC0"/>
    <w:rPr>
      <w:sz w:val="20"/>
      <w:szCs w:val="20"/>
    </w:rPr>
  </w:style>
  <w:style w:type="character" w:customStyle="1" w:styleId="KomentratekstsRakstz">
    <w:name w:val="Komentāra teksts Rakstz."/>
    <w:link w:val="Komentrateksts"/>
    <w:uiPriority w:val="99"/>
    <w:semiHidden/>
    <w:rsid w:val="00C67FC0"/>
    <w:rPr>
      <w:lang w:eastAsia="en-US"/>
    </w:rPr>
  </w:style>
  <w:style w:type="paragraph" w:styleId="Komentratma">
    <w:name w:val="annotation subject"/>
    <w:basedOn w:val="Komentrateksts"/>
    <w:next w:val="Komentrateksts"/>
    <w:link w:val="KomentratmaRakstz"/>
    <w:uiPriority w:val="99"/>
    <w:semiHidden/>
    <w:unhideWhenUsed/>
    <w:rsid w:val="00C67FC0"/>
    <w:rPr>
      <w:b/>
      <w:bCs/>
    </w:rPr>
  </w:style>
  <w:style w:type="character" w:customStyle="1" w:styleId="KomentratmaRakstz">
    <w:name w:val="Komentāra tēma Rakstz."/>
    <w:link w:val="Komentratma"/>
    <w:uiPriority w:val="99"/>
    <w:semiHidden/>
    <w:rsid w:val="00C67FC0"/>
    <w:rPr>
      <w:b/>
      <w:bCs/>
      <w:lang w:eastAsia="en-US"/>
    </w:rPr>
  </w:style>
  <w:style w:type="paragraph" w:styleId="Balonteksts">
    <w:name w:val="Balloon Text"/>
    <w:basedOn w:val="Parasts"/>
    <w:link w:val="BalontekstsRakstz"/>
    <w:uiPriority w:val="99"/>
    <w:semiHidden/>
    <w:unhideWhenUsed/>
    <w:rsid w:val="00C67FC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C67FC0"/>
    <w:rPr>
      <w:rFonts w:ascii="Tahoma" w:hAnsi="Tahoma" w:cs="Tahoma"/>
      <w:sz w:val="16"/>
      <w:szCs w:val="16"/>
      <w:lang w:eastAsia="en-US"/>
    </w:rPr>
  </w:style>
  <w:style w:type="paragraph" w:customStyle="1" w:styleId="Default">
    <w:name w:val="Default"/>
    <w:rsid w:val="00B567BE"/>
    <w:pPr>
      <w:autoSpaceDE w:val="0"/>
      <w:autoSpaceDN w:val="0"/>
      <w:adjustRightInd w:val="0"/>
    </w:pPr>
    <w:rPr>
      <w:rFonts w:ascii="Times New Roman" w:eastAsia="Times New Roman" w:hAnsi="Times New Roman"/>
      <w:color w:val="000000"/>
      <w:sz w:val="24"/>
      <w:szCs w:val="24"/>
    </w:rPr>
  </w:style>
  <w:style w:type="paragraph" w:styleId="Vresteksts">
    <w:name w:val="footnote text"/>
    <w:basedOn w:val="Parasts"/>
    <w:link w:val="VrestekstsRakstz"/>
    <w:semiHidden/>
    <w:unhideWhenUsed/>
    <w:rsid w:val="009D7516"/>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link w:val="Vresteksts"/>
    <w:semiHidden/>
    <w:rsid w:val="009D7516"/>
    <w:rPr>
      <w:rFonts w:ascii="Times New Roman" w:eastAsia="Times New Roman" w:hAnsi="Times New Roman"/>
    </w:rPr>
  </w:style>
  <w:style w:type="character" w:styleId="Vresatsauce">
    <w:name w:val="footnote reference"/>
    <w:semiHidden/>
    <w:unhideWhenUsed/>
    <w:rsid w:val="009D7516"/>
    <w:rPr>
      <w:vertAlign w:val="superscript"/>
    </w:rPr>
  </w:style>
  <w:style w:type="paragraph" w:styleId="Sarakstarindkopa">
    <w:name w:val="List Paragraph"/>
    <w:basedOn w:val="Parasts"/>
    <w:uiPriority w:val="34"/>
    <w:qFormat/>
    <w:rsid w:val="00525B0E"/>
    <w:pPr>
      <w:spacing w:after="0" w:line="240" w:lineRule="auto"/>
      <w:ind w:left="720"/>
      <w:contextualSpacing/>
    </w:pPr>
    <w:rPr>
      <w:rFonts w:ascii="Times New Roman" w:hAnsi="Times New Roman"/>
      <w:sz w:val="24"/>
    </w:rPr>
  </w:style>
  <w:style w:type="paragraph" w:customStyle="1" w:styleId="naispant">
    <w:name w:val="naispant"/>
    <w:basedOn w:val="Parasts"/>
    <w:rsid w:val="0025114A"/>
    <w:pPr>
      <w:spacing w:before="100" w:beforeAutospacing="1" w:after="100" w:afterAutospacing="1" w:line="240" w:lineRule="auto"/>
    </w:pPr>
    <w:rPr>
      <w:rFonts w:ascii="Times New Roman" w:hAnsi="Times New Roman"/>
      <w:sz w:val="24"/>
      <w:szCs w:val="24"/>
      <w:lang w:eastAsia="lv-LV"/>
    </w:rPr>
  </w:style>
  <w:style w:type="table" w:styleId="Reatabula">
    <w:name w:val="Table Grid"/>
    <w:basedOn w:val="Parastatabula"/>
    <w:uiPriority w:val="59"/>
    <w:rsid w:val="00CB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861C64"/>
    <w:rPr>
      <w:color w:val="0000FF"/>
      <w:u w:val="single"/>
    </w:rPr>
  </w:style>
  <w:style w:type="paragraph" w:styleId="Bezatstarpm">
    <w:name w:val="No Spacing"/>
    <w:uiPriority w:val="1"/>
    <w:qFormat/>
    <w:rsid w:val="00A803C4"/>
    <w:rPr>
      <w:sz w:val="22"/>
      <w:szCs w:val="22"/>
      <w:lang w:eastAsia="en-US"/>
    </w:rPr>
  </w:style>
  <w:style w:type="paragraph" w:styleId="Prskatjums">
    <w:name w:val="Revision"/>
    <w:hidden/>
    <w:uiPriority w:val="99"/>
    <w:semiHidden/>
    <w:rsid w:val="007C20E5"/>
    <w:rPr>
      <w:sz w:val="22"/>
      <w:szCs w:val="22"/>
      <w:lang w:eastAsia="en-US"/>
    </w:rPr>
  </w:style>
  <w:style w:type="paragraph" w:customStyle="1" w:styleId="naiskr">
    <w:name w:val="naiskr"/>
    <w:basedOn w:val="Parasts"/>
    <w:rsid w:val="00207654"/>
    <w:pPr>
      <w:spacing w:before="75" w:after="75" w:line="240" w:lineRule="auto"/>
    </w:pPr>
    <w:rPr>
      <w:rFonts w:ascii="Times New Roman" w:eastAsia="Times New Roman" w:hAnsi="Times New Roman"/>
      <w:sz w:val="24"/>
      <w:szCs w:val="24"/>
      <w:lang w:eastAsia="lv-LV"/>
    </w:rPr>
  </w:style>
  <w:style w:type="paragraph" w:customStyle="1" w:styleId="tv2132">
    <w:name w:val="tv2132"/>
    <w:basedOn w:val="Parasts"/>
    <w:rsid w:val="003A1148"/>
    <w:pPr>
      <w:spacing w:after="0" w:line="360" w:lineRule="auto"/>
      <w:ind w:firstLine="300"/>
    </w:pPr>
    <w:rPr>
      <w:rFonts w:ascii="Times New Roman" w:eastAsia="Times New Roman" w:hAnsi="Times New Roman"/>
      <w:color w:val="414142"/>
      <w:sz w:val="20"/>
      <w:szCs w:val="20"/>
      <w:lang w:eastAsia="lv-LV"/>
    </w:rPr>
  </w:style>
  <w:style w:type="paragraph" w:customStyle="1" w:styleId="naisf">
    <w:name w:val="naisf"/>
    <w:basedOn w:val="Parasts"/>
    <w:rsid w:val="007B6E01"/>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Parasts"/>
    <w:rsid w:val="007B6E01"/>
    <w:pPr>
      <w:spacing w:before="150" w:after="150" w:line="240" w:lineRule="auto"/>
      <w:jc w:val="center"/>
    </w:pPr>
    <w:rPr>
      <w:rFonts w:ascii="Times New Roman" w:eastAsia="Times New Roman" w:hAnsi="Times New Roman"/>
      <w:b/>
      <w:bCs/>
      <w:sz w:val="24"/>
      <w:szCs w:val="24"/>
      <w:lang w:eastAsia="lv-LV"/>
    </w:rPr>
  </w:style>
  <w:style w:type="paragraph" w:styleId="Paraststmeklis">
    <w:name w:val="Normal (Web)"/>
    <w:basedOn w:val="Parasts"/>
    <w:rsid w:val="007B6E01"/>
    <w:pPr>
      <w:spacing w:before="100" w:beforeAutospacing="1" w:after="100" w:afterAutospacing="1"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0708">
      <w:bodyDiv w:val="1"/>
      <w:marLeft w:val="0"/>
      <w:marRight w:val="0"/>
      <w:marTop w:val="0"/>
      <w:marBottom w:val="0"/>
      <w:divBdr>
        <w:top w:val="none" w:sz="0" w:space="0" w:color="auto"/>
        <w:left w:val="none" w:sz="0" w:space="0" w:color="auto"/>
        <w:bottom w:val="none" w:sz="0" w:space="0" w:color="auto"/>
        <w:right w:val="none" w:sz="0" w:space="0" w:color="auto"/>
      </w:divBdr>
      <w:divsChild>
        <w:div w:id="1821389331">
          <w:marLeft w:val="0"/>
          <w:marRight w:val="0"/>
          <w:marTop w:val="0"/>
          <w:marBottom w:val="0"/>
          <w:divBdr>
            <w:top w:val="none" w:sz="0" w:space="0" w:color="auto"/>
            <w:left w:val="none" w:sz="0" w:space="0" w:color="auto"/>
            <w:bottom w:val="none" w:sz="0" w:space="0" w:color="auto"/>
            <w:right w:val="none" w:sz="0" w:space="0" w:color="auto"/>
          </w:divBdr>
          <w:divsChild>
            <w:div w:id="827331742">
              <w:marLeft w:val="0"/>
              <w:marRight w:val="0"/>
              <w:marTop w:val="0"/>
              <w:marBottom w:val="0"/>
              <w:divBdr>
                <w:top w:val="none" w:sz="0" w:space="0" w:color="auto"/>
                <w:left w:val="none" w:sz="0" w:space="0" w:color="auto"/>
                <w:bottom w:val="none" w:sz="0" w:space="0" w:color="auto"/>
                <w:right w:val="none" w:sz="0" w:space="0" w:color="auto"/>
              </w:divBdr>
              <w:divsChild>
                <w:div w:id="554046874">
                  <w:marLeft w:val="0"/>
                  <w:marRight w:val="0"/>
                  <w:marTop w:val="0"/>
                  <w:marBottom w:val="0"/>
                  <w:divBdr>
                    <w:top w:val="none" w:sz="0" w:space="0" w:color="auto"/>
                    <w:left w:val="none" w:sz="0" w:space="0" w:color="auto"/>
                    <w:bottom w:val="none" w:sz="0" w:space="0" w:color="auto"/>
                    <w:right w:val="none" w:sz="0" w:space="0" w:color="auto"/>
                  </w:divBdr>
                  <w:divsChild>
                    <w:div w:id="1751272838">
                      <w:marLeft w:val="0"/>
                      <w:marRight w:val="0"/>
                      <w:marTop w:val="0"/>
                      <w:marBottom w:val="0"/>
                      <w:divBdr>
                        <w:top w:val="none" w:sz="0" w:space="0" w:color="auto"/>
                        <w:left w:val="none" w:sz="0" w:space="0" w:color="auto"/>
                        <w:bottom w:val="none" w:sz="0" w:space="0" w:color="auto"/>
                        <w:right w:val="none" w:sz="0" w:space="0" w:color="auto"/>
                      </w:divBdr>
                      <w:divsChild>
                        <w:div w:id="1090127656">
                          <w:marLeft w:val="0"/>
                          <w:marRight w:val="0"/>
                          <w:marTop w:val="0"/>
                          <w:marBottom w:val="0"/>
                          <w:divBdr>
                            <w:top w:val="none" w:sz="0" w:space="0" w:color="auto"/>
                            <w:left w:val="none" w:sz="0" w:space="0" w:color="auto"/>
                            <w:bottom w:val="none" w:sz="0" w:space="0" w:color="auto"/>
                            <w:right w:val="none" w:sz="0" w:space="0" w:color="auto"/>
                          </w:divBdr>
                          <w:divsChild>
                            <w:div w:id="16843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59440">
      <w:bodyDiv w:val="1"/>
      <w:marLeft w:val="0"/>
      <w:marRight w:val="0"/>
      <w:marTop w:val="0"/>
      <w:marBottom w:val="0"/>
      <w:divBdr>
        <w:top w:val="none" w:sz="0" w:space="0" w:color="auto"/>
        <w:left w:val="none" w:sz="0" w:space="0" w:color="auto"/>
        <w:bottom w:val="none" w:sz="0" w:space="0" w:color="auto"/>
        <w:right w:val="none" w:sz="0" w:space="0" w:color="auto"/>
      </w:divBdr>
    </w:div>
    <w:div w:id="305202648">
      <w:bodyDiv w:val="1"/>
      <w:marLeft w:val="0"/>
      <w:marRight w:val="0"/>
      <w:marTop w:val="0"/>
      <w:marBottom w:val="0"/>
      <w:divBdr>
        <w:top w:val="none" w:sz="0" w:space="0" w:color="auto"/>
        <w:left w:val="none" w:sz="0" w:space="0" w:color="auto"/>
        <w:bottom w:val="none" w:sz="0" w:space="0" w:color="auto"/>
        <w:right w:val="none" w:sz="0" w:space="0" w:color="auto"/>
      </w:divBdr>
    </w:div>
    <w:div w:id="342249387">
      <w:bodyDiv w:val="1"/>
      <w:marLeft w:val="0"/>
      <w:marRight w:val="0"/>
      <w:marTop w:val="0"/>
      <w:marBottom w:val="0"/>
      <w:divBdr>
        <w:top w:val="none" w:sz="0" w:space="0" w:color="auto"/>
        <w:left w:val="none" w:sz="0" w:space="0" w:color="auto"/>
        <w:bottom w:val="none" w:sz="0" w:space="0" w:color="auto"/>
        <w:right w:val="none" w:sz="0" w:space="0" w:color="auto"/>
      </w:divBdr>
    </w:div>
    <w:div w:id="397558797">
      <w:bodyDiv w:val="1"/>
      <w:marLeft w:val="0"/>
      <w:marRight w:val="0"/>
      <w:marTop w:val="0"/>
      <w:marBottom w:val="0"/>
      <w:divBdr>
        <w:top w:val="none" w:sz="0" w:space="0" w:color="auto"/>
        <w:left w:val="none" w:sz="0" w:space="0" w:color="auto"/>
        <w:bottom w:val="none" w:sz="0" w:space="0" w:color="auto"/>
        <w:right w:val="none" w:sz="0" w:space="0" w:color="auto"/>
      </w:divBdr>
    </w:div>
    <w:div w:id="433788431">
      <w:bodyDiv w:val="1"/>
      <w:marLeft w:val="0"/>
      <w:marRight w:val="0"/>
      <w:marTop w:val="0"/>
      <w:marBottom w:val="0"/>
      <w:divBdr>
        <w:top w:val="none" w:sz="0" w:space="0" w:color="auto"/>
        <w:left w:val="none" w:sz="0" w:space="0" w:color="auto"/>
        <w:bottom w:val="none" w:sz="0" w:space="0" w:color="auto"/>
        <w:right w:val="none" w:sz="0" w:space="0" w:color="auto"/>
      </w:divBdr>
    </w:div>
    <w:div w:id="469519242">
      <w:bodyDiv w:val="1"/>
      <w:marLeft w:val="0"/>
      <w:marRight w:val="0"/>
      <w:marTop w:val="0"/>
      <w:marBottom w:val="0"/>
      <w:divBdr>
        <w:top w:val="none" w:sz="0" w:space="0" w:color="auto"/>
        <w:left w:val="none" w:sz="0" w:space="0" w:color="auto"/>
        <w:bottom w:val="none" w:sz="0" w:space="0" w:color="auto"/>
        <w:right w:val="none" w:sz="0" w:space="0" w:color="auto"/>
      </w:divBdr>
    </w:div>
    <w:div w:id="671222697">
      <w:bodyDiv w:val="1"/>
      <w:marLeft w:val="0"/>
      <w:marRight w:val="0"/>
      <w:marTop w:val="0"/>
      <w:marBottom w:val="0"/>
      <w:divBdr>
        <w:top w:val="none" w:sz="0" w:space="0" w:color="auto"/>
        <w:left w:val="none" w:sz="0" w:space="0" w:color="auto"/>
        <w:bottom w:val="none" w:sz="0" w:space="0" w:color="auto"/>
        <w:right w:val="none" w:sz="0" w:space="0" w:color="auto"/>
      </w:divBdr>
    </w:div>
    <w:div w:id="949969600">
      <w:bodyDiv w:val="1"/>
      <w:marLeft w:val="0"/>
      <w:marRight w:val="0"/>
      <w:marTop w:val="0"/>
      <w:marBottom w:val="0"/>
      <w:divBdr>
        <w:top w:val="none" w:sz="0" w:space="0" w:color="auto"/>
        <w:left w:val="none" w:sz="0" w:space="0" w:color="auto"/>
        <w:bottom w:val="none" w:sz="0" w:space="0" w:color="auto"/>
        <w:right w:val="none" w:sz="0" w:space="0" w:color="auto"/>
      </w:divBdr>
    </w:div>
    <w:div w:id="1347442793">
      <w:bodyDiv w:val="1"/>
      <w:marLeft w:val="0"/>
      <w:marRight w:val="0"/>
      <w:marTop w:val="0"/>
      <w:marBottom w:val="0"/>
      <w:divBdr>
        <w:top w:val="none" w:sz="0" w:space="0" w:color="auto"/>
        <w:left w:val="none" w:sz="0" w:space="0" w:color="auto"/>
        <w:bottom w:val="none" w:sz="0" w:space="0" w:color="auto"/>
        <w:right w:val="none" w:sz="0" w:space="0" w:color="auto"/>
      </w:divBdr>
      <w:divsChild>
        <w:div w:id="1819374926">
          <w:marLeft w:val="0"/>
          <w:marRight w:val="0"/>
          <w:marTop w:val="0"/>
          <w:marBottom w:val="0"/>
          <w:divBdr>
            <w:top w:val="none" w:sz="0" w:space="0" w:color="auto"/>
            <w:left w:val="none" w:sz="0" w:space="0" w:color="auto"/>
            <w:bottom w:val="none" w:sz="0" w:space="0" w:color="auto"/>
            <w:right w:val="none" w:sz="0" w:space="0" w:color="auto"/>
          </w:divBdr>
          <w:divsChild>
            <w:div w:id="514925540">
              <w:marLeft w:val="0"/>
              <w:marRight w:val="0"/>
              <w:marTop w:val="0"/>
              <w:marBottom w:val="0"/>
              <w:divBdr>
                <w:top w:val="none" w:sz="0" w:space="0" w:color="auto"/>
                <w:left w:val="none" w:sz="0" w:space="0" w:color="auto"/>
                <w:bottom w:val="none" w:sz="0" w:space="0" w:color="auto"/>
                <w:right w:val="none" w:sz="0" w:space="0" w:color="auto"/>
              </w:divBdr>
              <w:divsChild>
                <w:div w:id="1678191613">
                  <w:marLeft w:val="0"/>
                  <w:marRight w:val="0"/>
                  <w:marTop w:val="0"/>
                  <w:marBottom w:val="0"/>
                  <w:divBdr>
                    <w:top w:val="none" w:sz="0" w:space="0" w:color="auto"/>
                    <w:left w:val="none" w:sz="0" w:space="0" w:color="auto"/>
                    <w:bottom w:val="none" w:sz="0" w:space="0" w:color="auto"/>
                    <w:right w:val="none" w:sz="0" w:space="0" w:color="auto"/>
                  </w:divBdr>
                  <w:divsChild>
                    <w:div w:id="1085998633">
                      <w:marLeft w:val="0"/>
                      <w:marRight w:val="0"/>
                      <w:marTop w:val="0"/>
                      <w:marBottom w:val="0"/>
                      <w:divBdr>
                        <w:top w:val="none" w:sz="0" w:space="0" w:color="auto"/>
                        <w:left w:val="none" w:sz="0" w:space="0" w:color="auto"/>
                        <w:bottom w:val="none" w:sz="0" w:space="0" w:color="auto"/>
                        <w:right w:val="none" w:sz="0" w:space="0" w:color="auto"/>
                      </w:divBdr>
                      <w:divsChild>
                        <w:div w:id="1413820259">
                          <w:marLeft w:val="0"/>
                          <w:marRight w:val="0"/>
                          <w:marTop w:val="0"/>
                          <w:marBottom w:val="0"/>
                          <w:divBdr>
                            <w:top w:val="none" w:sz="0" w:space="0" w:color="auto"/>
                            <w:left w:val="none" w:sz="0" w:space="0" w:color="auto"/>
                            <w:bottom w:val="none" w:sz="0" w:space="0" w:color="auto"/>
                            <w:right w:val="none" w:sz="0" w:space="0" w:color="auto"/>
                          </w:divBdr>
                          <w:divsChild>
                            <w:div w:id="9689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278940">
      <w:bodyDiv w:val="1"/>
      <w:marLeft w:val="0"/>
      <w:marRight w:val="0"/>
      <w:marTop w:val="0"/>
      <w:marBottom w:val="0"/>
      <w:divBdr>
        <w:top w:val="none" w:sz="0" w:space="0" w:color="auto"/>
        <w:left w:val="none" w:sz="0" w:space="0" w:color="auto"/>
        <w:bottom w:val="none" w:sz="0" w:space="0" w:color="auto"/>
        <w:right w:val="none" w:sz="0" w:space="0" w:color="auto"/>
      </w:divBdr>
    </w:div>
    <w:div w:id="1420100465">
      <w:bodyDiv w:val="1"/>
      <w:marLeft w:val="0"/>
      <w:marRight w:val="0"/>
      <w:marTop w:val="0"/>
      <w:marBottom w:val="0"/>
      <w:divBdr>
        <w:top w:val="none" w:sz="0" w:space="0" w:color="auto"/>
        <w:left w:val="none" w:sz="0" w:space="0" w:color="auto"/>
        <w:bottom w:val="none" w:sz="0" w:space="0" w:color="auto"/>
        <w:right w:val="none" w:sz="0" w:space="0" w:color="auto"/>
      </w:divBdr>
    </w:div>
    <w:div w:id="1762792336">
      <w:bodyDiv w:val="1"/>
      <w:marLeft w:val="0"/>
      <w:marRight w:val="0"/>
      <w:marTop w:val="0"/>
      <w:marBottom w:val="0"/>
      <w:divBdr>
        <w:top w:val="none" w:sz="0" w:space="0" w:color="auto"/>
        <w:left w:val="none" w:sz="0" w:space="0" w:color="auto"/>
        <w:bottom w:val="none" w:sz="0" w:space="0" w:color="auto"/>
        <w:right w:val="none" w:sz="0" w:space="0" w:color="auto"/>
      </w:divBdr>
      <w:divsChild>
        <w:div w:id="1318457818">
          <w:marLeft w:val="0"/>
          <w:marRight w:val="0"/>
          <w:marTop w:val="0"/>
          <w:marBottom w:val="0"/>
          <w:divBdr>
            <w:top w:val="none" w:sz="0" w:space="0" w:color="auto"/>
            <w:left w:val="none" w:sz="0" w:space="0" w:color="auto"/>
            <w:bottom w:val="none" w:sz="0" w:space="0" w:color="auto"/>
            <w:right w:val="none" w:sz="0" w:space="0" w:color="auto"/>
          </w:divBdr>
          <w:divsChild>
            <w:div w:id="1885747089">
              <w:marLeft w:val="0"/>
              <w:marRight w:val="0"/>
              <w:marTop w:val="0"/>
              <w:marBottom w:val="0"/>
              <w:divBdr>
                <w:top w:val="none" w:sz="0" w:space="0" w:color="auto"/>
                <w:left w:val="none" w:sz="0" w:space="0" w:color="auto"/>
                <w:bottom w:val="none" w:sz="0" w:space="0" w:color="auto"/>
                <w:right w:val="none" w:sz="0" w:space="0" w:color="auto"/>
              </w:divBdr>
              <w:divsChild>
                <w:div w:id="1837914301">
                  <w:marLeft w:val="0"/>
                  <w:marRight w:val="0"/>
                  <w:marTop w:val="0"/>
                  <w:marBottom w:val="0"/>
                  <w:divBdr>
                    <w:top w:val="none" w:sz="0" w:space="0" w:color="auto"/>
                    <w:left w:val="none" w:sz="0" w:space="0" w:color="auto"/>
                    <w:bottom w:val="none" w:sz="0" w:space="0" w:color="auto"/>
                    <w:right w:val="none" w:sz="0" w:space="0" w:color="auto"/>
                  </w:divBdr>
                  <w:divsChild>
                    <w:div w:id="1810856057">
                      <w:marLeft w:val="0"/>
                      <w:marRight w:val="0"/>
                      <w:marTop w:val="0"/>
                      <w:marBottom w:val="0"/>
                      <w:divBdr>
                        <w:top w:val="none" w:sz="0" w:space="0" w:color="auto"/>
                        <w:left w:val="none" w:sz="0" w:space="0" w:color="auto"/>
                        <w:bottom w:val="none" w:sz="0" w:space="0" w:color="auto"/>
                        <w:right w:val="none" w:sz="0" w:space="0" w:color="auto"/>
                      </w:divBdr>
                      <w:divsChild>
                        <w:div w:id="1334408396">
                          <w:marLeft w:val="0"/>
                          <w:marRight w:val="0"/>
                          <w:marTop w:val="0"/>
                          <w:marBottom w:val="0"/>
                          <w:divBdr>
                            <w:top w:val="none" w:sz="0" w:space="0" w:color="auto"/>
                            <w:left w:val="none" w:sz="0" w:space="0" w:color="auto"/>
                            <w:bottom w:val="none" w:sz="0" w:space="0" w:color="auto"/>
                            <w:right w:val="none" w:sz="0" w:space="0" w:color="auto"/>
                          </w:divBdr>
                          <w:divsChild>
                            <w:div w:id="9083466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97866">
      <w:bodyDiv w:val="1"/>
      <w:marLeft w:val="0"/>
      <w:marRight w:val="0"/>
      <w:marTop w:val="0"/>
      <w:marBottom w:val="0"/>
      <w:divBdr>
        <w:top w:val="none" w:sz="0" w:space="0" w:color="auto"/>
        <w:left w:val="none" w:sz="0" w:space="0" w:color="auto"/>
        <w:bottom w:val="none" w:sz="0" w:space="0" w:color="auto"/>
        <w:right w:val="none" w:sz="0" w:space="0" w:color="auto"/>
      </w:divBdr>
    </w:div>
    <w:div w:id="1993868297">
      <w:bodyDiv w:val="1"/>
      <w:marLeft w:val="0"/>
      <w:marRight w:val="0"/>
      <w:marTop w:val="0"/>
      <w:marBottom w:val="0"/>
      <w:divBdr>
        <w:top w:val="none" w:sz="0" w:space="0" w:color="auto"/>
        <w:left w:val="none" w:sz="0" w:space="0" w:color="auto"/>
        <w:bottom w:val="none" w:sz="0" w:space="0" w:color="auto"/>
        <w:right w:val="none" w:sz="0" w:space="0" w:color="auto"/>
      </w:divBdr>
      <w:divsChild>
        <w:div w:id="672882544">
          <w:marLeft w:val="0"/>
          <w:marRight w:val="0"/>
          <w:marTop w:val="0"/>
          <w:marBottom w:val="0"/>
          <w:divBdr>
            <w:top w:val="none" w:sz="0" w:space="0" w:color="auto"/>
            <w:left w:val="none" w:sz="0" w:space="0" w:color="auto"/>
            <w:bottom w:val="none" w:sz="0" w:space="0" w:color="auto"/>
            <w:right w:val="none" w:sz="0" w:space="0" w:color="auto"/>
          </w:divBdr>
          <w:divsChild>
            <w:div w:id="1035274618">
              <w:marLeft w:val="0"/>
              <w:marRight w:val="0"/>
              <w:marTop w:val="0"/>
              <w:marBottom w:val="0"/>
              <w:divBdr>
                <w:top w:val="none" w:sz="0" w:space="0" w:color="auto"/>
                <w:left w:val="none" w:sz="0" w:space="0" w:color="auto"/>
                <w:bottom w:val="none" w:sz="0" w:space="0" w:color="auto"/>
                <w:right w:val="none" w:sz="0" w:space="0" w:color="auto"/>
              </w:divBdr>
              <w:divsChild>
                <w:div w:id="32771134">
                  <w:marLeft w:val="0"/>
                  <w:marRight w:val="0"/>
                  <w:marTop w:val="0"/>
                  <w:marBottom w:val="0"/>
                  <w:divBdr>
                    <w:top w:val="none" w:sz="0" w:space="0" w:color="auto"/>
                    <w:left w:val="none" w:sz="0" w:space="0" w:color="auto"/>
                    <w:bottom w:val="none" w:sz="0" w:space="0" w:color="auto"/>
                    <w:right w:val="none" w:sz="0" w:space="0" w:color="auto"/>
                  </w:divBdr>
                  <w:divsChild>
                    <w:div w:id="184293981">
                      <w:marLeft w:val="0"/>
                      <w:marRight w:val="0"/>
                      <w:marTop w:val="0"/>
                      <w:marBottom w:val="0"/>
                      <w:divBdr>
                        <w:top w:val="none" w:sz="0" w:space="0" w:color="auto"/>
                        <w:left w:val="none" w:sz="0" w:space="0" w:color="auto"/>
                        <w:bottom w:val="none" w:sz="0" w:space="0" w:color="auto"/>
                        <w:right w:val="none" w:sz="0" w:space="0" w:color="auto"/>
                      </w:divBdr>
                      <w:divsChild>
                        <w:div w:id="471872681">
                          <w:marLeft w:val="0"/>
                          <w:marRight w:val="0"/>
                          <w:marTop w:val="0"/>
                          <w:marBottom w:val="0"/>
                          <w:divBdr>
                            <w:top w:val="none" w:sz="0" w:space="0" w:color="auto"/>
                            <w:left w:val="none" w:sz="0" w:space="0" w:color="auto"/>
                            <w:bottom w:val="none" w:sz="0" w:space="0" w:color="auto"/>
                            <w:right w:val="none" w:sz="0" w:space="0" w:color="auto"/>
                          </w:divBdr>
                          <w:divsChild>
                            <w:div w:id="14839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likumi.lv/doc.php?id=107820"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ikumi.lv/doc.php?id=107820" TargetMode="External"/><Relationship Id="rId22"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5839-D7AF-448C-A8D7-2B8404234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0D986B4-BF9D-4127-85BE-98A176059372}">
  <ds:schemaRefs>
    <ds:schemaRef ds:uri="http://schemas.microsoft.com/sharepoint/v3/contenttype/forms"/>
  </ds:schemaRefs>
</ds:datastoreItem>
</file>

<file path=customXml/itemProps3.xml><?xml version="1.0" encoding="utf-8"?>
<ds:datastoreItem xmlns:ds="http://schemas.openxmlformats.org/officeDocument/2006/customXml" ds:itemID="{E6706DFF-D20E-469D-85DB-5E66E1EBECA1}">
  <ds:schemaRefs>
    <ds:schemaRef ds:uri="http://schemas.microsoft.com/office/2006/metadata/longProperties"/>
  </ds:schemaRefs>
</ds:datastoreItem>
</file>

<file path=customXml/itemProps4.xml><?xml version="1.0" encoding="utf-8"?>
<ds:datastoreItem xmlns:ds="http://schemas.openxmlformats.org/officeDocument/2006/customXml" ds:itemID="{5C3FAE7A-A0FC-4E6C-8608-81A7C043783A}">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017A57BB-D253-4186-A44A-70027B51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9552</Words>
  <Characters>5446</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Likumprojekta „Grozījumi Valsts nodrošinātās juridiskās palīdzības likumā” sākotnējās ietekmes novērtējuma ziņojuma (anotācija)</vt:lpstr>
      <vt:lpstr>Likumprojekts „Grozījumi likumā „Par audzinoša rakstura piespiedu līdzekļu piemērošanu bērniem””</vt:lpstr>
    </vt:vector>
  </TitlesOfParts>
  <Company>Tieslietu ministrija</Company>
  <LinksUpToDate>false</LinksUpToDate>
  <CharactersWithSpaces>14969</CharactersWithSpaces>
  <SharedDoc>false</SharedDoc>
  <HLinks>
    <vt:vector size="12" baseType="variant">
      <vt:variant>
        <vt:i4>7405626</vt:i4>
      </vt:variant>
      <vt:variant>
        <vt:i4>3</vt:i4>
      </vt:variant>
      <vt:variant>
        <vt:i4>0</vt:i4>
      </vt:variant>
      <vt:variant>
        <vt:i4>5</vt:i4>
      </vt:variant>
      <vt:variant>
        <vt:lpwstr>http://likumi.lv/doc.php?id=107820</vt:lpwstr>
      </vt:variant>
      <vt:variant>
        <vt:lpwstr>p330</vt:lpwstr>
      </vt:variant>
      <vt:variant>
        <vt:i4>7405626</vt:i4>
      </vt:variant>
      <vt:variant>
        <vt:i4>0</vt:i4>
      </vt:variant>
      <vt:variant>
        <vt:i4>0</vt:i4>
      </vt:variant>
      <vt:variant>
        <vt:i4>5</vt:i4>
      </vt:variant>
      <vt:variant>
        <vt:lpwstr>http://likumi.lv/doc.php?id=107820</vt:lpwstr>
      </vt:variant>
      <vt:variant>
        <vt:lpwstr>p330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Valsts nodrošinātās juridiskās palīdzības likumā” sākotnējās ietekmes novērtējuma ziņojuma (anotācija)</dc:title>
  <dc:subject>Anotācija</dc:subject>
  <dc:creator>Sindija Šube</dc:creator>
  <dc:description>67036838, Sindija.sube@tm.gov.lv</dc:description>
  <cp:lastModifiedBy>Sindija Sube</cp:lastModifiedBy>
  <cp:revision>4</cp:revision>
  <cp:lastPrinted>2016-08-17T11:01:00Z</cp:lastPrinted>
  <dcterms:created xsi:type="dcterms:W3CDTF">2016-08-15T08:24:00Z</dcterms:created>
  <dcterms:modified xsi:type="dcterms:W3CDTF">2016-08-17T11:01:00Z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ies>
</file>