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4E" w:rsidRPr="00FE2353" w:rsidRDefault="00594C4E" w:rsidP="008F090B">
      <w:pPr>
        <w:spacing w:line="240" w:lineRule="auto"/>
        <w:jc w:val="center"/>
        <w:rPr>
          <w:rFonts w:ascii="Times New Roman" w:hAnsi="Times New Roman" w:cs="Times New Roman"/>
          <w:b/>
          <w:sz w:val="28"/>
          <w:szCs w:val="28"/>
          <w:lang w:val="lv-LV"/>
        </w:rPr>
      </w:pPr>
      <w:r w:rsidRPr="00FE2353">
        <w:rPr>
          <w:rFonts w:ascii="Times New Roman" w:hAnsi="Times New Roman" w:cs="Times New Roman"/>
          <w:b/>
          <w:sz w:val="28"/>
          <w:szCs w:val="28"/>
          <w:lang w:val="lv-LV"/>
        </w:rPr>
        <w:t xml:space="preserve">Ministru kabineta noteikumu projekta „Noteikumi par maksātnespējas procesa administratora darbības pārskatu un tā aizpildīšanas kārtību” sākotnējās ietekmes novērtējuma </w:t>
      </w:r>
      <w:smartTag w:uri="schemas-tilde-lv/tildestengine" w:element="veidnes">
        <w:smartTagPr>
          <w:attr w:name="text" w:val="ziņojums"/>
          <w:attr w:name="baseform" w:val="ziņojums"/>
          <w:attr w:name="id" w:val="-1"/>
        </w:smartTagPr>
        <w:r w:rsidRPr="00FE2353">
          <w:rPr>
            <w:rFonts w:ascii="Times New Roman" w:hAnsi="Times New Roman" w:cs="Times New Roman"/>
            <w:b/>
            <w:sz w:val="28"/>
            <w:szCs w:val="28"/>
            <w:lang w:val="lv-LV"/>
          </w:rPr>
          <w:t>ziņojums</w:t>
        </w:r>
      </w:smartTag>
      <w:r w:rsidRPr="00FE2353">
        <w:rPr>
          <w:rFonts w:ascii="Times New Roman" w:hAnsi="Times New Roman" w:cs="Times New Roman"/>
          <w:b/>
          <w:sz w:val="28"/>
          <w:szCs w:val="28"/>
          <w:lang w:val="lv-LV"/>
        </w:rPr>
        <w:t xml:space="preserve"> (</w:t>
      </w:r>
      <w:r w:rsidRPr="00FE2353">
        <w:rPr>
          <w:rFonts w:ascii="Times New Roman" w:hAnsi="Times New Roman" w:cs="Times New Roman"/>
          <w:b/>
          <w:bCs/>
          <w:sz w:val="28"/>
          <w:szCs w:val="28"/>
          <w:lang w:val="lv-LV"/>
        </w:rPr>
        <w:t>anotācija)</w:t>
      </w:r>
    </w:p>
    <w:tbl>
      <w:tblPr>
        <w:tblW w:w="9612"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3240"/>
        <w:gridCol w:w="5690"/>
      </w:tblGrid>
      <w:tr w:rsidR="00FE2353" w:rsidRPr="00CE141B" w:rsidTr="00C943FF">
        <w:trPr>
          <w:tblCellSpacing w:w="0" w:type="dxa"/>
        </w:trPr>
        <w:tc>
          <w:tcPr>
            <w:tcW w:w="9612" w:type="dxa"/>
            <w:gridSpan w:val="3"/>
            <w:tcBorders>
              <w:top w:val="outset" w:sz="6" w:space="0" w:color="auto"/>
              <w:left w:val="outset" w:sz="6" w:space="0" w:color="auto"/>
              <w:bottom w:val="outset" w:sz="6" w:space="0" w:color="auto"/>
              <w:right w:val="outset" w:sz="6" w:space="0" w:color="auto"/>
            </w:tcBorders>
            <w:vAlign w:val="center"/>
          </w:tcPr>
          <w:p w:rsidR="00594C4E" w:rsidRPr="00FE2353" w:rsidRDefault="00594C4E" w:rsidP="008F090B">
            <w:pPr>
              <w:spacing w:line="240" w:lineRule="auto"/>
              <w:jc w:val="center"/>
              <w:rPr>
                <w:rFonts w:ascii="Times New Roman" w:hAnsi="Times New Roman" w:cs="Times New Roman"/>
                <w:b/>
                <w:bCs/>
                <w:sz w:val="28"/>
                <w:szCs w:val="28"/>
                <w:lang w:val="lv-LV"/>
              </w:rPr>
            </w:pPr>
            <w:r w:rsidRPr="00FE2353">
              <w:rPr>
                <w:rFonts w:ascii="Times New Roman" w:hAnsi="Times New Roman" w:cs="Times New Roman"/>
                <w:b/>
                <w:bCs/>
                <w:sz w:val="28"/>
                <w:szCs w:val="28"/>
                <w:lang w:val="lv-LV"/>
              </w:rPr>
              <w:t> I. Tiesību akta projekta izstrādes nepieciešamība</w:t>
            </w:r>
          </w:p>
        </w:tc>
      </w:tr>
      <w:tr w:rsidR="00FE2353" w:rsidRPr="00A2375E"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1. </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Pamatojums</w:t>
            </w:r>
          </w:p>
        </w:tc>
        <w:tc>
          <w:tcPr>
            <w:tcW w:w="5690" w:type="dxa"/>
            <w:tcBorders>
              <w:top w:val="outset" w:sz="6" w:space="0" w:color="auto"/>
              <w:left w:val="outset" w:sz="6" w:space="0" w:color="auto"/>
              <w:bottom w:val="outset" w:sz="6" w:space="0" w:color="auto"/>
              <w:right w:val="outset" w:sz="6" w:space="0" w:color="auto"/>
            </w:tcBorders>
          </w:tcPr>
          <w:p w:rsidR="00A2375E" w:rsidRPr="00A2375E" w:rsidRDefault="00A2375E" w:rsidP="00B96F6E">
            <w:pPr>
              <w:spacing w:after="0" w:line="240" w:lineRule="auto"/>
              <w:ind w:left="57" w:right="57" w:firstLine="346"/>
              <w:jc w:val="both"/>
              <w:rPr>
                <w:rFonts w:ascii="Times New Roman" w:hAnsi="Times New Roman" w:cs="Times New Roman"/>
                <w:sz w:val="28"/>
                <w:szCs w:val="28"/>
                <w:lang w:val="lv-LV"/>
              </w:rPr>
            </w:pPr>
            <w:r w:rsidRPr="00A2375E">
              <w:rPr>
                <w:rFonts w:ascii="Times New Roman" w:hAnsi="Times New Roman" w:cs="Times New Roman"/>
                <w:sz w:val="28"/>
                <w:szCs w:val="28"/>
                <w:lang w:val="lv-LV"/>
              </w:rPr>
              <w:t>Maksātnespējas likuma 85.panta otrā daļa</w:t>
            </w:r>
          </w:p>
          <w:p w:rsidR="00594C4E" w:rsidRPr="00FE2353" w:rsidRDefault="00594C4E" w:rsidP="00A23789">
            <w:pPr>
              <w:spacing w:after="0" w:line="240" w:lineRule="auto"/>
              <w:ind w:left="57" w:right="57" w:firstLine="525"/>
              <w:jc w:val="both"/>
              <w:rPr>
                <w:rFonts w:ascii="Times New Roman" w:hAnsi="Times New Roman" w:cs="Times New Roman"/>
                <w:sz w:val="28"/>
                <w:szCs w:val="28"/>
                <w:lang w:val="lv-LV"/>
              </w:rPr>
            </w:pPr>
          </w:p>
        </w:tc>
      </w:tr>
      <w:tr w:rsidR="00FE2353" w:rsidRPr="00CE141B"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2. </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Pašreizējā situācija un problēmas, kuru risināšanai tiesību akta projekts izstrādāts, tiesiskā regulējuma mērķis un būtība  </w:t>
            </w:r>
          </w:p>
          <w:p w:rsidR="00594C4E" w:rsidRPr="00FE2353" w:rsidRDefault="00594C4E" w:rsidP="008F090B">
            <w:pPr>
              <w:spacing w:line="240" w:lineRule="auto"/>
              <w:ind w:firstLine="257"/>
              <w:rPr>
                <w:rFonts w:ascii="Times New Roman" w:hAnsi="Times New Roman" w:cs="Times New Roman"/>
                <w:sz w:val="28"/>
                <w:szCs w:val="28"/>
                <w:lang w:val="lv-LV"/>
              </w:rPr>
            </w:pPr>
            <w:r w:rsidRPr="00FE2353">
              <w:rPr>
                <w:rFonts w:ascii="Times New Roman" w:hAnsi="Times New Roman" w:cs="Times New Roman"/>
                <w:sz w:val="28"/>
                <w:szCs w:val="28"/>
                <w:lang w:val="lv-LV"/>
              </w:rPr>
              <w:t> </w:t>
            </w:r>
          </w:p>
        </w:tc>
        <w:tc>
          <w:tcPr>
            <w:tcW w:w="5690" w:type="dxa"/>
            <w:tcBorders>
              <w:top w:val="outset" w:sz="6" w:space="0" w:color="auto"/>
              <w:left w:val="outset" w:sz="6" w:space="0" w:color="auto"/>
              <w:bottom w:val="outset" w:sz="6" w:space="0" w:color="auto"/>
              <w:right w:val="outset" w:sz="6" w:space="0" w:color="auto"/>
            </w:tcBorders>
          </w:tcPr>
          <w:p w:rsidR="00A2375E" w:rsidRPr="00A2375E" w:rsidRDefault="00A2375E" w:rsidP="00B96F6E">
            <w:pPr>
              <w:spacing w:after="0" w:line="240" w:lineRule="auto"/>
              <w:ind w:left="57" w:right="57" w:firstLine="346"/>
              <w:jc w:val="both"/>
              <w:rPr>
                <w:rFonts w:ascii="Times New Roman" w:hAnsi="Times New Roman" w:cs="Times New Roman"/>
                <w:sz w:val="28"/>
                <w:szCs w:val="28"/>
                <w:lang w:val="lv-LV"/>
              </w:rPr>
            </w:pPr>
            <w:r w:rsidRPr="00A2375E">
              <w:rPr>
                <w:rFonts w:ascii="Times New Roman" w:hAnsi="Times New Roman" w:cs="Times New Roman"/>
                <w:sz w:val="28"/>
                <w:szCs w:val="28"/>
                <w:lang w:val="lv-LV"/>
              </w:rPr>
              <w:t>I.</w:t>
            </w:r>
            <w:r>
              <w:rPr>
                <w:rFonts w:ascii="Times New Roman" w:hAnsi="Times New Roman" w:cs="Times New Roman"/>
                <w:sz w:val="28"/>
                <w:szCs w:val="28"/>
                <w:lang w:val="lv-LV"/>
              </w:rPr>
              <w:t xml:space="preserve"> </w:t>
            </w:r>
            <w:r w:rsidRPr="00A2375E">
              <w:rPr>
                <w:rFonts w:ascii="Times New Roman" w:hAnsi="Times New Roman" w:cs="Times New Roman"/>
                <w:sz w:val="28"/>
                <w:szCs w:val="28"/>
                <w:lang w:val="lv-LV"/>
              </w:rPr>
              <w:t xml:space="preserve">Saskaņā ar Ministru kabineta 2010.gada 26.oktobra noteikumiem Nr.1003 „Noteikumi par maksātnespējas procesa administratora darbības pārskatu un tā aizpildīšanas kārtību”” (turpmāk – MK noteikumi Nr.1003) maksātnespējas procesa administrators (turpmāk – administrators) darbības pārskatus konkrētā maksātnespējas procesā iesniedz, aizpildot noteiktas formas veidlapas un nosūtot tās Maksātnespējas administrācijai un kreditoriem uz elektroniskā pasta adresi. </w:t>
            </w:r>
          </w:p>
          <w:p w:rsidR="00A2375E" w:rsidRPr="00FE2353" w:rsidRDefault="00A2375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 xml:space="preserve">Ņemot vērā iesniegto darbības pārskatu lielo skaitu, kā arī pārskatos norādītās informācijas formātu, kas neļauj šo informāciju apkopot, ir apgrūtināta ne vien efektīva administratoru uzraudzība, izvērtējot pārskatos norādīto informāciju, bet arī statistikas datu ieguve par būtiskiem maksātnespējas procesa efektivitātes rādītājiem. Tādēļ, lai </w:t>
            </w:r>
            <w:proofErr w:type="spellStart"/>
            <w:r w:rsidRPr="00FE2353">
              <w:rPr>
                <w:rFonts w:ascii="Times New Roman" w:hAnsi="Times New Roman" w:cs="Times New Roman"/>
                <w:sz w:val="28"/>
                <w:szCs w:val="28"/>
                <w:lang w:val="lv-LV"/>
              </w:rPr>
              <w:t>efektivizētu</w:t>
            </w:r>
            <w:proofErr w:type="spellEnd"/>
            <w:r w:rsidRPr="00FE2353">
              <w:rPr>
                <w:rFonts w:ascii="Times New Roman" w:hAnsi="Times New Roman" w:cs="Times New Roman"/>
                <w:sz w:val="28"/>
                <w:szCs w:val="28"/>
                <w:lang w:val="lv-LV"/>
              </w:rPr>
              <w:t xml:space="preserve"> administratoru pārskatos norādītās informācijas izmantošanu, ir nepieciešams paredzēt, ka administratori darbības pārskatus aizpilda un iesniedz, izmantojot elektronisko sistēmu.</w:t>
            </w:r>
          </w:p>
          <w:p w:rsidR="00A2375E" w:rsidRPr="00A2375E" w:rsidRDefault="00A2375E" w:rsidP="00B96F6E">
            <w:pPr>
              <w:spacing w:after="0" w:line="240" w:lineRule="auto"/>
              <w:ind w:left="57" w:right="57" w:firstLine="346"/>
              <w:jc w:val="both"/>
              <w:rPr>
                <w:rFonts w:ascii="Times New Roman" w:hAnsi="Times New Roman" w:cs="Times New Roman"/>
                <w:sz w:val="28"/>
                <w:szCs w:val="28"/>
                <w:lang w:val="lv-LV"/>
              </w:rPr>
            </w:pPr>
            <w:r w:rsidRPr="00CE141B">
              <w:rPr>
                <w:rFonts w:ascii="Times New Roman" w:hAnsi="Times New Roman" w:cs="Times New Roman"/>
                <w:sz w:val="28"/>
                <w:szCs w:val="28"/>
                <w:lang w:val="lv-LV"/>
              </w:rPr>
              <w:t>Administratoru darbības pārskatu elektroniska sagatavošana, iesniegšana un tās kontrole, kā arī statistikas apkopošana par maksātnespējas procesa efektivitātes būtiskākajiem rādītājiem (piemēram, maksātnespējas procesā atgūto līdzekļu apmērs, maksātnespējas procesa izmaksas u.c.) tiks nodrošināta Maksātnespējas administrācijas izveidotās elektroniskās administratoru uzraudzības sistēmas ietvaros.</w:t>
            </w:r>
          </w:p>
          <w:p w:rsidR="00FE2353"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I</w:t>
            </w:r>
            <w:r w:rsidR="00A2375E">
              <w:rPr>
                <w:rFonts w:ascii="Times New Roman" w:hAnsi="Times New Roman" w:cs="Times New Roman"/>
                <w:sz w:val="28"/>
                <w:szCs w:val="28"/>
                <w:lang w:val="lv-LV"/>
              </w:rPr>
              <w:t>I</w:t>
            </w:r>
            <w:r w:rsidRPr="00FE2353">
              <w:rPr>
                <w:rFonts w:ascii="Times New Roman" w:hAnsi="Times New Roman" w:cs="Times New Roman"/>
                <w:sz w:val="28"/>
                <w:szCs w:val="28"/>
                <w:lang w:val="lv-LV"/>
              </w:rPr>
              <w:t>. Ņemot vērā to, ka plānoto grozījumu apmērs pārsniedz pusi no spēkā esošā normatīvā akta (MK noteikumiem Nr</w:t>
            </w:r>
            <w:r w:rsidR="006C1355" w:rsidRPr="00FE2353">
              <w:rPr>
                <w:rFonts w:ascii="Times New Roman" w:hAnsi="Times New Roman" w:cs="Times New Roman"/>
                <w:sz w:val="28"/>
                <w:szCs w:val="28"/>
                <w:lang w:val="lv-LV"/>
              </w:rPr>
              <w:t>.</w:t>
            </w:r>
            <w:r w:rsidRPr="00FE2353">
              <w:rPr>
                <w:rFonts w:ascii="Times New Roman" w:hAnsi="Times New Roman" w:cs="Times New Roman"/>
                <w:sz w:val="28"/>
                <w:szCs w:val="28"/>
                <w:lang w:val="lv-LV"/>
              </w:rPr>
              <w:t xml:space="preserve">1003), ir sagatavots </w:t>
            </w:r>
            <w:r w:rsidRPr="00FE2353">
              <w:rPr>
                <w:rFonts w:ascii="Times New Roman" w:hAnsi="Times New Roman" w:cs="Times New Roman"/>
                <w:sz w:val="28"/>
                <w:szCs w:val="28"/>
                <w:lang w:val="lv-LV"/>
              </w:rPr>
              <w:lastRenderedPageBreak/>
              <w:t>jauns Ministru kabineta noteikumu projekts</w:t>
            </w:r>
            <w:r w:rsidR="00FE2353" w:rsidRPr="00FE2353">
              <w:rPr>
                <w:rFonts w:ascii="Times New Roman" w:hAnsi="Times New Roman" w:cs="Times New Roman"/>
                <w:sz w:val="28"/>
                <w:szCs w:val="28"/>
                <w:lang w:val="lv-LV"/>
              </w:rPr>
              <w:t xml:space="preserve"> (turpmāk – MK noteikumu projekts)</w:t>
            </w:r>
            <w:r w:rsidRPr="00FE2353">
              <w:rPr>
                <w:rFonts w:ascii="Times New Roman" w:hAnsi="Times New Roman" w:cs="Times New Roman"/>
                <w:sz w:val="28"/>
                <w:szCs w:val="28"/>
                <w:lang w:val="lv-LV"/>
              </w:rPr>
              <w:t>.</w:t>
            </w:r>
            <w:r w:rsidR="00FE2353" w:rsidRPr="00FE2353">
              <w:rPr>
                <w:rFonts w:ascii="Times New Roman" w:hAnsi="Times New Roman" w:cs="Times New Roman"/>
                <w:sz w:val="28"/>
                <w:szCs w:val="28"/>
                <w:lang w:val="lv-LV"/>
              </w:rPr>
              <w:t xml:space="preserve"> Vienlaikus MK noteikumu projektā ir saglabāta šobrīd spēkā esošā pārskatu sistēmā – maksātnespējas procesā atkarībā no tā stadija</w:t>
            </w:r>
            <w:r w:rsidR="002043CA">
              <w:rPr>
                <w:rFonts w:ascii="Times New Roman" w:hAnsi="Times New Roman" w:cs="Times New Roman"/>
                <w:sz w:val="28"/>
                <w:szCs w:val="28"/>
                <w:lang w:val="lv-LV"/>
              </w:rPr>
              <w:t>s</w:t>
            </w:r>
            <w:r w:rsidR="00FE2353" w:rsidRPr="00FE2353">
              <w:rPr>
                <w:rFonts w:ascii="Times New Roman" w:hAnsi="Times New Roman" w:cs="Times New Roman"/>
                <w:sz w:val="28"/>
                <w:szCs w:val="28"/>
                <w:lang w:val="lv-LV"/>
              </w:rPr>
              <w:t xml:space="preserve"> tiek sagatavot</w:t>
            </w:r>
            <w:r w:rsidR="002043CA">
              <w:rPr>
                <w:rFonts w:ascii="Times New Roman" w:hAnsi="Times New Roman" w:cs="Times New Roman"/>
                <w:sz w:val="28"/>
                <w:szCs w:val="28"/>
                <w:lang w:val="lv-LV"/>
              </w:rPr>
              <w:t>s</w:t>
            </w:r>
            <w:r w:rsidR="00FE2353" w:rsidRPr="00FE2353">
              <w:rPr>
                <w:rFonts w:ascii="Times New Roman" w:hAnsi="Times New Roman" w:cs="Times New Roman"/>
                <w:sz w:val="28"/>
                <w:szCs w:val="28"/>
                <w:lang w:val="lv-LV"/>
              </w:rPr>
              <w:t xml:space="preserve">: sākotnējais darbības pārskats (par trīs mēnešu periodu no maksātnespējas procesa pasludināšanas); kārtējais darbības pārskats (par trīs mēnešu periodu no iepriekšējā darbības pārskata beigu datuma); noslēguma pārskats (procesa pabeigšanas un administratora atcelšanas gadījumā).   </w:t>
            </w:r>
          </w:p>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II</w:t>
            </w:r>
            <w:r w:rsidR="00A2375E">
              <w:rPr>
                <w:rFonts w:ascii="Times New Roman" w:hAnsi="Times New Roman" w:cs="Times New Roman"/>
                <w:sz w:val="28"/>
                <w:szCs w:val="28"/>
                <w:lang w:val="lv-LV"/>
              </w:rPr>
              <w:t>I</w:t>
            </w:r>
            <w:r w:rsidRPr="00FE2353">
              <w:rPr>
                <w:rFonts w:ascii="Times New Roman" w:hAnsi="Times New Roman" w:cs="Times New Roman"/>
                <w:sz w:val="28"/>
                <w:szCs w:val="28"/>
                <w:lang w:val="lv-LV"/>
              </w:rPr>
              <w:t xml:space="preserve">. </w:t>
            </w:r>
            <w:r w:rsidR="00A2375E">
              <w:rPr>
                <w:rFonts w:ascii="Times New Roman" w:hAnsi="Times New Roman" w:cs="Times New Roman"/>
                <w:sz w:val="28"/>
                <w:szCs w:val="28"/>
                <w:lang w:val="lv-LV"/>
              </w:rPr>
              <w:t>Ievērojot</w:t>
            </w:r>
            <w:r w:rsidRPr="00FE2353">
              <w:rPr>
                <w:rFonts w:ascii="Times New Roman" w:hAnsi="Times New Roman" w:cs="Times New Roman"/>
                <w:sz w:val="28"/>
                <w:szCs w:val="28"/>
                <w:lang w:val="lv-LV"/>
              </w:rPr>
              <w:t xml:space="preserve"> to, ka turpmāk </w:t>
            </w:r>
            <w:r w:rsidR="00FE2353" w:rsidRPr="00FE2353">
              <w:rPr>
                <w:rFonts w:ascii="Times New Roman" w:hAnsi="Times New Roman" w:cs="Times New Roman"/>
                <w:sz w:val="28"/>
                <w:szCs w:val="28"/>
                <w:lang w:val="lv-LV"/>
              </w:rPr>
              <w:t xml:space="preserve">administratora darbības </w:t>
            </w:r>
            <w:r w:rsidRPr="00FE2353">
              <w:rPr>
                <w:rFonts w:ascii="Times New Roman" w:hAnsi="Times New Roman" w:cs="Times New Roman"/>
                <w:sz w:val="28"/>
                <w:szCs w:val="28"/>
                <w:lang w:val="lv-LV"/>
              </w:rPr>
              <w:t xml:space="preserve">pārskats </w:t>
            </w:r>
            <w:r w:rsidR="00FE2353" w:rsidRPr="00FE2353">
              <w:rPr>
                <w:rFonts w:ascii="Times New Roman" w:hAnsi="Times New Roman" w:cs="Times New Roman"/>
                <w:sz w:val="28"/>
                <w:szCs w:val="28"/>
                <w:lang w:val="lv-LV"/>
              </w:rPr>
              <w:t xml:space="preserve">Maksātnespējas administrācijai </w:t>
            </w:r>
            <w:r w:rsidRPr="00FE2353">
              <w:rPr>
                <w:rFonts w:ascii="Times New Roman" w:hAnsi="Times New Roman" w:cs="Times New Roman"/>
                <w:sz w:val="28"/>
                <w:szCs w:val="28"/>
                <w:lang w:val="lv-LV"/>
              </w:rPr>
              <w:t>tiks iesniegts, izmantojot administratoru uzraudzības</w:t>
            </w:r>
            <w:r w:rsidR="006C1355" w:rsidRPr="00FE2353">
              <w:rPr>
                <w:rFonts w:ascii="Times New Roman" w:hAnsi="Times New Roman" w:cs="Times New Roman"/>
                <w:sz w:val="28"/>
                <w:szCs w:val="28"/>
                <w:lang w:val="lv-LV"/>
              </w:rPr>
              <w:t xml:space="preserve"> </w:t>
            </w:r>
            <w:r w:rsidRPr="00FE2353">
              <w:rPr>
                <w:rFonts w:ascii="Times New Roman" w:hAnsi="Times New Roman" w:cs="Times New Roman"/>
                <w:sz w:val="28"/>
                <w:szCs w:val="28"/>
                <w:lang w:val="lv-LV"/>
              </w:rPr>
              <w:t xml:space="preserve">elektronisko sistēmu, </w:t>
            </w:r>
            <w:r w:rsidR="00FE2353" w:rsidRPr="00FE2353">
              <w:rPr>
                <w:rFonts w:ascii="Times New Roman" w:hAnsi="Times New Roman" w:cs="Times New Roman"/>
                <w:sz w:val="28"/>
                <w:szCs w:val="28"/>
                <w:lang w:val="lv-LV"/>
              </w:rPr>
              <w:t>MK noteikumu projektā noteikts</w:t>
            </w:r>
            <w:r w:rsidRPr="00FE2353">
              <w:rPr>
                <w:rFonts w:ascii="Times New Roman" w:hAnsi="Times New Roman" w:cs="Times New Roman"/>
                <w:sz w:val="28"/>
                <w:szCs w:val="28"/>
                <w:lang w:val="lv-LV"/>
              </w:rPr>
              <w:t xml:space="preserve">, ka administratora darbības sākotnējais, kārtējais un noslēguma pārskats gan fiziskās, gan juridiskās personas maksātnespējas procesā tiek aizpildīts un iesniegts tīmekļa vietnē </w:t>
            </w:r>
            <w:hyperlink r:id="rId7" w:history="1">
              <w:r w:rsidRPr="00FE2353">
                <w:rPr>
                  <w:rStyle w:val="Hyperlink"/>
                  <w:rFonts w:ascii="Times New Roman" w:hAnsi="Times New Roman" w:cs="Times New Roman"/>
                  <w:color w:val="auto"/>
                  <w:sz w:val="28"/>
                  <w:szCs w:val="28"/>
                  <w:lang w:val="lv-LV"/>
                </w:rPr>
                <w:t>www.mna.gov.lv</w:t>
              </w:r>
            </w:hyperlink>
            <w:r w:rsidR="006C1355" w:rsidRPr="00FE2353">
              <w:rPr>
                <w:lang w:val="lv-LV"/>
              </w:rPr>
              <w:t xml:space="preserve">. </w:t>
            </w:r>
            <w:r w:rsidR="00A2375E">
              <w:rPr>
                <w:rFonts w:ascii="Times New Roman" w:hAnsi="Times New Roman" w:cs="Times New Roman"/>
                <w:sz w:val="28"/>
                <w:szCs w:val="28"/>
                <w:lang w:val="lv-LV"/>
              </w:rPr>
              <w:t>Vienlaikus, attiecībā uz</w:t>
            </w:r>
            <w:r w:rsidR="006C1355" w:rsidRPr="00FE2353">
              <w:rPr>
                <w:rFonts w:ascii="Times New Roman" w:hAnsi="Times New Roman" w:cs="Times New Roman"/>
                <w:sz w:val="28"/>
                <w:szCs w:val="28"/>
                <w:lang w:val="lv-LV"/>
              </w:rPr>
              <w:t xml:space="preserve"> informācijas sniegšanas veidu kreditoriem, tiek saglabāta šobrīd spēkā esošā kārtība – </w:t>
            </w:r>
            <w:r w:rsidR="00091AD9" w:rsidRPr="00FE2353">
              <w:rPr>
                <w:rFonts w:ascii="Times New Roman" w:hAnsi="Times New Roman" w:cs="Times New Roman"/>
                <w:sz w:val="28"/>
                <w:szCs w:val="28"/>
                <w:lang w:val="lv-LV"/>
              </w:rPr>
              <w:t>elektroniskajā administratoru uzraudzības sistēmā sagatavot</w:t>
            </w:r>
            <w:r w:rsidR="00A2375E">
              <w:rPr>
                <w:rFonts w:ascii="Times New Roman" w:hAnsi="Times New Roman" w:cs="Times New Roman"/>
                <w:sz w:val="28"/>
                <w:szCs w:val="28"/>
                <w:lang w:val="lv-LV"/>
              </w:rPr>
              <w:t>o</w:t>
            </w:r>
            <w:r w:rsidR="00091AD9" w:rsidRPr="00FE2353">
              <w:rPr>
                <w:rFonts w:ascii="Times New Roman" w:hAnsi="Times New Roman" w:cs="Times New Roman"/>
                <w:sz w:val="28"/>
                <w:szCs w:val="28"/>
                <w:lang w:val="lv-LV"/>
              </w:rPr>
              <w:t xml:space="preserve"> pārskat</w:t>
            </w:r>
            <w:r w:rsidR="00A2375E">
              <w:rPr>
                <w:rFonts w:ascii="Times New Roman" w:hAnsi="Times New Roman" w:cs="Times New Roman"/>
                <w:sz w:val="28"/>
                <w:szCs w:val="28"/>
                <w:lang w:val="lv-LV"/>
              </w:rPr>
              <w:t>u</w:t>
            </w:r>
            <w:r w:rsidR="00091AD9" w:rsidRPr="00FE2353">
              <w:rPr>
                <w:rFonts w:ascii="Times New Roman" w:hAnsi="Times New Roman" w:cs="Times New Roman"/>
                <w:sz w:val="28"/>
                <w:szCs w:val="28"/>
                <w:lang w:val="lv-LV"/>
              </w:rPr>
              <w:t>, ko attiecīgā sistēma uzģenerē saskaņā ar administratora ievadīto informāciju,</w:t>
            </w:r>
            <w:r w:rsidR="006C1355" w:rsidRPr="00FE2353">
              <w:rPr>
                <w:rFonts w:ascii="Times New Roman" w:hAnsi="Times New Roman" w:cs="Times New Roman"/>
                <w:sz w:val="28"/>
                <w:szCs w:val="28"/>
                <w:lang w:val="lv-LV"/>
              </w:rPr>
              <w:t xml:space="preserve"> </w:t>
            </w:r>
            <w:r w:rsidR="00A2375E">
              <w:rPr>
                <w:rFonts w:ascii="Times New Roman" w:hAnsi="Times New Roman" w:cs="Times New Roman"/>
                <w:sz w:val="28"/>
                <w:szCs w:val="28"/>
                <w:lang w:val="lv-LV"/>
              </w:rPr>
              <w:t>administrators</w:t>
            </w:r>
            <w:r w:rsidR="00091AD9" w:rsidRPr="00FE2353">
              <w:rPr>
                <w:rFonts w:ascii="Times New Roman" w:hAnsi="Times New Roman" w:cs="Times New Roman"/>
                <w:sz w:val="28"/>
                <w:szCs w:val="28"/>
                <w:lang w:val="lv-LV"/>
              </w:rPr>
              <w:t xml:space="preserve"> </w:t>
            </w:r>
            <w:r w:rsidR="006C1355" w:rsidRPr="00FE2353">
              <w:rPr>
                <w:rFonts w:ascii="Times New Roman" w:hAnsi="Times New Roman" w:cs="Times New Roman"/>
                <w:sz w:val="28"/>
                <w:szCs w:val="28"/>
                <w:lang w:val="lv-LV"/>
              </w:rPr>
              <w:t>nosūt</w:t>
            </w:r>
            <w:r w:rsidR="00A2375E">
              <w:rPr>
                <w:rFonts w:ascii="Times New Roman" w:hAnsi="Times New Roman" w:cs="Times New Roman"/>
                <w:sz w:val="28"/>
                <w:szCs w:val="28"/>
                <w:lang w:val="lv-LV"/>
              </w:rPr>
              <w:t>a</w:t>
            </w:r>
            <w:r w:rsidR="00091AD9" w:rsidRPr="00FE2353">
              <w:rPr>
                <w:rFonts w:ascii="Times New Roman" w:hAnsi="Times New Roman" w:cs="Times New Roman"/>
                <w:sz w:val="28"/>
                <w:szCs w:val="28"/>
                <w:lang w:val="lv-LV"/>
              </w:rPr>
              <w:t xml:space="preserve"> </w:t>
            </w:r>
            <w:r w:rsidR="006C1355" w:rsidRPr="00FE2353">
              <w:rPr>
                <w:rFonts w:ascii="Times New Roman" w:hAnsi="Times New Roman" w:cs="Times New Roman"/>
                <w:sz w:val="28"/>
                <w:szCs w:val="28"/>
                <w:lang w:val="lv-LV"/>
              </w:rPr>
              <w:t>kreditor</w:t>
            </w:r>
            <w:r w:rsidR="00091AD9" w:rsidRPr="00FE2353">
              <w:rPr>
                <w:rFonts w:ascii="Times New Roman" w:hAnsi="Times New Roman" w:cs="Times New Roman"/>
                <w:sz w:val="28"/>
                <w:szCs w:val="28"/>
                <w:lang w:val="lv-LV"/>
              </w:rPr>
              <w:t>iem uz kreditoru</w:t>
            </w:r>
            <w:r w:rsidR="006C1355" w:rsidRPr="00FE2353">
              <w:rPr>
                <w:rFonts w:ascii="Times New Roman" w:hAnsi="Times New Roman" w:cs="Times New Roman"/>
                <w:sz w:val="28"/>
                <w:szCs w:val="28"/>
                <w:lang w:val="lv-LV"/>
              </w:rPr>
              <w:t xml:space="preserve"> prasījumā norādīto elektroniskā pasta adresi.</w:t>
            </w:r>
          </w:p>
          <w:p w:rsidR="00ED690A" w:rsidRDefault="006C1355"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Lai identificētu administratoru, darbības pārskatu iesniegšanai administratoru uzraudzības sistēmā viņam tiks piešķirt</w:t>
            </w:r>
            <w:r w:rsidR="008F0E5B" w:rsidRPr="00FE2353">
              <w:rPr>
                <w:rFonts w:ascii="Times New Roman" w:hAnsi="Times New Roman" w:cs="Times New Roman"/>
                <w:sz w:val="28"/>
                <w:szCs w:val="28"/>
                <w:lang w:val="lv-LV"/>
              </w:rPr>
              <w:t>i</w:t>
            </w:r>
            <w:r w:rsidRPr="00FE2353">
              <w:rPr>
                <w:rFonts w:ascii="Times New Roman" w:hAnsi="Times New Roman" w:cs="Times New Roman"/>
                <w:sz w:val="28"/>
                <w:szCs w:val="28"/>
                <w:lang w:val="lv-LV"/>
              </w:rPr>
              <w:t xml:space="preserve"> </w:t>
            </w:r>
            <w:r w:rsidR="008F0E5B" w:rsidRPr="00FE2353">
              <w:rPr>
                <w:rFonts w:ascii="Times New Roman" w:hAnsi="Times New Roman" w:cs="Times New Roman"/>
                <w:sz w:val="28"/>
                <w:szCs w:val="28"/>
                <w:lang w:val="lv-LV"/>
              </w:rPr>
              <w:t>administratoru uzraudzības sistēmas izveidotie piekļuves rekvizīti</w:t>
            </w:r>
            <w:r w:rsidR="00117260" w:rsidRPr="00FE2353">
              <w:rPr>
                <w:rFonts w:ascii="Times New Roman" w:hAnsi="Times New Roman" w:cs="Times New Roman"/>
                <w:sz w:val="28"/>
                <w:szCs w:val="28"/>
                <w:lang w:val="lv-LV"/>
              </w:rPr>
              <w:t>, kas tiks nosūtīt</w:t>
            </w:r>
            <w:r w:rsidR="008F0E5B" w:rsidRPr="00FE2353">
              <w:rPr>
                <w:rFonts w:ascii="Times New Roman" w:hAnsi="Times New Roman" w:cs="Times New Roman"/>
                <w:sz w:val="28"/>
                <w:szCs w:val="28"/>
                <w:lang w:val="lv-LV"/>
              </w:rPr>
              <w:t>i</w:t>
            </w:r>
            <w:r w:rsidR="00117260" w:rsidRPr="00FE2353">
              <w:rPr>
                <w:rFonts w:ascii="Times New Roman" w:hAnsi="Times New Roman" w:cs="Times New Roman"/>
                <w:sz w:val="28"/>
                <w:szCs w:val="28"/>
                <w:lang w:val="lv-LV"/>
              </w:rPr>
              <w:t xml:space="preserve"> administratoram uz maksātnespējas reģistrā norādīto administratora oficiālo elektroniskā pasta adresi. Ar piešķirt</w:t>
            </w:r>
            <w:r w:rsidR="008F0E5B" w:rsidRPr="00FE2353">
              <w:rPr>
                <w:rFonts w:ascii="Times New Roman" w:hAnsi="Times New Roman" w:cs="Times New Roman"/>
                <w:sz w:val="28"/>
                <w:szCs w:val="28"/>
                <w:lang w:val="lv-LV"/>
              </w:rPr>
              <w:t>ajiem</w:t>
            </w:r>
            <w:r w:rsidR="00117260" w:rsidRPr="00FE2353">
              <w:rPr>
                <w:rFonts w:ascii="Times New Roman" w:hAnsi="Times New Roman" w:cs="Times New Roman"/>
                <w:sz w:val="28"/>
                <w:szCs w:val="28"/>
                <w:lang w:val="lv-LV"/>
              </w:rPr>
              <w:t xml:space="preserve"> </w:t>
            </w:r>
            <w:r w:rsidR="008F0E5B" w:rsidRPr="00FE2353">
              <w:rPr>
                <w:rFonts w:ascii="Times New Roman" w:hAnsi="Times New Roman" w:cs="Times New Roman"/>
                <w:sz w:val="28"/>
                <w:szCs w:val="28"/>
                <w:lang w:val="lv-LV"/>
              </w:rPr>
              <w:t>rekvizītiem</w:t>
            </w:r>
            <w:r w:rsidR="00117260" w:rsidRPr="00FE2353">
              <w:rPr>
                <w:rFonts w:ascii="Times New Roman" w:hAnsi="Times New Roman" w:cs="Times New Roman"/>
                <w:sz w:val="28"/>
                <w:szCs w:val="28"/>
                <w:lang w:val="lv-LV"/>
              </w:rPr>
              <w:t xml:space="preserve"> administrators </w:t>
            </w:r>
            <w:r w:rsidR="00A930CD" w:rsidRPr="00FE2353">
              <w:rPr>
                <w:rFonts w:ascii="Times New Roman" w:hAnsi="Times New Roman" w:cs="Times New Roman"/>
                <w:sz w:val="28"/>
                <w:szCs w:val="28"/>
                <w:lang w:val="lv-LV"/>
              </w:rPr>
              <w:t>autorizē</w:t>
            </w:r>
            <w:r w:rsidR="00A930CD">
              <w:rPr>
                <w:rFonts w:ascii="Times New Roman" w:hAnsi="Times New Roman" w:cs="Times New Roman"/>
                <w:sz w:val="28"/>
                <w:szCs w:val="28"/>
                <w:lang w:val="lv-LV"/>
              </w:rPr>
              <w:t>jas</w:t>
            </w:r>
            <w:r w:rsidR="00117260" w:rsidRPr="00FE2353">
              <w:rPr>
                <w:rFonts w:ascii="Times New Roman" w:hAnsi="Times New Roman" w:cs="Times New Roman"/>
                <w:sz w:val="28"/>
                <w:szCs w:val="28"/>
                <w:lang w:val="lv-LV"/>
              </w:rPr>
              <w:t xml:space="preserve"> darbam – pārskatu iesniegšanai elektroniskajā administratoru uzraudzības sistēmā</w:t>
            </w:r>
            <w:r w:rsidR="00ED690A" w:rsidRPr="00FE2353">
              <w:rPr>
                <w:rFonts w:ascii="Times New Roman" w:hAnsi="Times New Roman" w:cs="Times New Roman"/>
                <w:sz w:val="28"/>
                <w:szCs w:val="28"/>
                <w:lang w:val="lv-LV"/>
              </w:rPr>
              <w:t>.</w:t>
            </w:r>
            <w:r w:rsidR="004979E9">
              <w:rPr>
                <w:rFonts w:ascii="Times New Roman" w:hAnsi="Times New Roman" w:cs="Times New Roman"/>
                <w:sz w:val="28"/>
                <w:szCs w:val="28"/>
                <w:lang w:val="lv-LV"/>
              </w:rPr>
              <w:t xml:space="preserve"> </w:t>
            </w:r>
            <w:r w:rsidR="00A930CD">
              <w:rPr>
                <w:rFonts w:ascii="Times New Roman" w:hAnsi="Times New Roman" w:cs="Times New Roman"/>
                <w:sz w:val="28"/>
                <w:szCs w:val="28"/>
                <w:lang w:val="lv-LV"/>
              </w:rPr>
              <w:t>J</w:t>
            </w:r>
            <w:r w:rsidR="00A930CD" w:rsidRPr="00FE2353">
              <w:rPr>
                <w:rFonts w:ascii="Times New Roman" w:hAnsi="Times New Roman" w:cs="Times New Roman"/>
                <w:sz w:val="28"/>
                <w:szCs w:val="28"/>
                <w:lang w:val="lv-LV"/>
              </w:rPr>
              <w:t>a administratora sertifikāta darbība tiek izbeigta vai tas tiek anulēts</w:t>
            </w:r>
            <w:r w:rsidR="00A930CD">
              <w:rPr>
                <w:rFonts w:ascii="Times New Roman" w:hAnsi="Times New Roman" w:cs="Times New Roman"/>
                <w:sz w:val="28"/>
                <w:szCs w:val="28"/>
                <w:lang w:val="lv-LV"/>
              </w:rPr>
              <w:t>, piekļuves rekvizīti</w:t>
            </w:r>
            <w:r w:rsidR="00A930CD" w:rsidRPr="00FE2353">
              <w:rPr>
                <w:rFonts w:ascii="Times New Roman" w:hAnsi="Times New Roman" w:cs="Times New Roman"/>
                <w:sz w:val="28"/>
                <w:szCs w:val="28"/>
                <w:lang w:val="lv-LV"/>
              </w:rPr>
              <w:t xml:space="preserve"> tiek anulēt</w:t>
            </w:r>
            <w:r w:rsidR="00A930CD">
              <w:rPr>
                <w:rFonts w:ascii="Times New Roman" w:hAnsi="Times New Roman" w:cs="Times New Roman"/>
                <w:sz w:val="28"/>
                <w:szCs w:val="28"/>
                <w:lang w:val="lv-LV"/>
              </w:rPr>
              <w:t xml:space="preserve">i viena mēneša laikā no attiecīgā </w:t>
            </w:r>
            <w:r w:rsidR="00A930CD">
              <w:rPr>
                <w:rFonts w:ascii="Times New Roman" w:hAnsi="Times New Roman" w:cs="Times New Roman"/>
                <w:sz w:val="28"/>
                <w:szCs w:val="28"/>
                <w:lang w:val="lv-LV"/>
              </w:rPr>
              <w:lastRenderedPageBreak/>
              <w:t>ieraksta izdarīšanas dienas maksātnespējas reģistrā</w:t>
            </w:r>
            <w:r w:rsidR="00A930CD" w:rsidRPr="00FE2353">
              <w:rPr>
                <w:rFonts w:ascii="Times New Roman" w:hAnsi="Times New Roman" w:cs="Times New Roman"/>
                <w:sz w:val="28"/>
                <w:szCs w:val="28"/>
                <w:lang w:val="lv-LV"/>
              </w:rPr>
              <w:t>.</w:t>
            </w:r>
          </w:p>
          <w:p w:rsidR="004979E9" w:rsidRDefault="004979E9" w:rsidP="00B96F6E">
            <w:pPr>
              <w:spacing w:after="0" w:line="240" w:lineRule="auto"/>
              <w:ind w:left="57" w:right="57" w:firstLine="346"/>
              <w:jc w:val="both"/>
              <w:rPr>
                <w:rFonts w:ascii="Times New Roman" w:hAnsi="Times New Roman" w:cs="Times New Roman"/>
                <w:sz w:val="28"/>
                <w:szCs w:val="28"/>
                <w:lang w:val="lv-LV"/>
              </w:rPr>
            </w:pPr>
            <w:r>
              <w:rPr>
                <w:rFonts w:ascii="Times New Roman" w:hAnsi="Times New Roman" w:cs="Times New Roman"/>
                <w:sz w:val="28"/>
                <w:szCs w:val="28"/>
                <w:lang w:val="lv-LV"/>
              </w:rPr>
              <w:t>Administratoru darbības pārskati (MK noteikumu projekta 1., 2., 3., 4., 5., un 6.pielikums) elektroniskajā administratoru uzraudzības sistēmā tiks aizpildīti, izmantojot darbības pārskatu veidlapām atbilstošas veidnes.</w:t>
            </w:r>
          </w:p>
          <w:p w:rsidR="005828E0" w:rsidRPr="00A23789" w:rsidRDefault="00A930CD" w:rsidP="00B96F6E">
            <w:pPr>
              <w:spacing w:after="0" w:line="240" w:lineRule="auto"/>
              <w:ind w:left="57" w:right="57" w:firstLine="346"/>
              <w:jc w:val="both"/>
              <w:rPr>
                <w:rFonts w:ascii="Times New Roman" w:hAnsi="Times New Roman" w:cs="Times New Roman"/>
                <w:sz w:val="28"/>
                <w:szCs w:val="28"/>
                <w:lang w:val="lv-LV"/>
              </w:rPr>
            </w:pPr>
            <w:r>
              <w:rPr>
                <w:rFonts w:ascii="Times New Roman" w:hAnsi="Times New Roman" w:cs="Times New Roman"/>
                <w:sz w:val="28"/>
                <w:szCs w:val="28"/>
                <w:lang w:val="lv-LV"/>
              </w:rPr>
              <w:t>MK noteikumu projektā noteikts, ka sākotnējais un kārtējais administratora darbības pārskats iesniedzams septiņu dienu laikā pēc pārskata perioda beig</w:t>
            </w:r>
            <w:r w:rsidR="007C61D5">
              <w:rPr>
                <w:rFonts w:ascii="Times New Roman" w:hAnsi="Times New Roman" w:cs="Times New Roman"/>
                <w:sz w:val="28"/>
                <w:szCs w:val="28"/>
                <w:lang w:val="lv-LV"/>
              </w:rPr>
              <w:t xml:space="preserve">ām. Noslēguma pārskats ir iesniedzams </w:t>
            </w:r>
            <w:r w:rsidR="007C61D5" w:rsidRPr="007C61D5">
              <w:rPr>
                <w:rFonts w:ascii="Times New Roman" w:hAnsi="Times New Roman" w:cs="Times New Roman"/>
                <w:sz w:val="28"/>
                <w:szCs w:val="28"/>
                <w:lang w:val="lv-LV" w:eastAsia="lv-LV"/>
              </w:rPr>
              <w:t>15 dienu laikā pēc parādnieka mantas pārdošanas plāna izpildes</w:t>
            </w:r>
            <w:r w:rsidR="007C61D5">
              <w:rPr>
                <w:rFonts w:ascii="Times New Roman" w:hAnsi="Times New Roman" w:cs="Times New Roman"/>
                <w:sz w:val="28"/>
                <w:szCs w:val="28"/>
                <w:lang w:val="lv-LV" w:eastAsia="lv-LV"/>
              </w:rPr>
              <w:t>. Vienlaikus, l</w:t>
            </w:r>
            <w:r w:rsidR="005828E0" w:rsidRPr="00FE2353">
              <w:rPr>
                <w:rFonts w:ascii="Times New Roman" w:hAnsi="Times New Roman" w:cs="Times New Roman"/>
                <w:sz w:val="28"/>
                <w:szCs w:val="28"/>
                <w:lang w:val="lv-LV"/>
              </w:rPr>
              <w:t xml:space="preserve">ai nodrošinātu jaunajam administratoram, Maksātnespējas administrācijai un kreditoriem informāciju par darbībām par periodu no iepriekšējā pārskata perioda beigām līdz atcelšanas brīdim, </w:t>
            </w:r>
            <w:r w:rsidR="007C61D5">
              <w:rPr>
                <w:rFonts w:ascii="Times New Roman" w:hAnsi="Times New Roman" w:cs="Times New Roman"/>
                <w:sz w:val="28"/>
                <w:szCs w:val="28"/>
                <w:lang w:val="lv-LV"/>
              </w:rPr>
              <w:t>noslēguma pārskats tiek sagatavots arī administratora atcelšanas gadījumā.  A</w:t>
            </w:r>
            <w:r w:rsidR="005828E0" w:rsidRPr="00FE2353">
              <w:rPr>
                <w:rFonts w:ascii="Times New Roman" w:hAnsi="Times New Roman" w:cs="Times New Roman"/>
                <w:sz w:val="28"/>
                <w:szCs w:val="28"/>
                <w:lang w:val="lv-LV"/>
              </w:rPr>
              <w:t xml:space="preserve">tceltajam administratoram </w:t>
            </w:r>
            <w:r w:rsidR="007C61D5">
              <w:rPr>
                <w:rFonts w:ascii="Times New Roman" w:hAnsi="Times New Roman" w:cs="Times New Roman"/>
                <w:sz w:val="28"/>
                <w:szCs w:val="28"/>
                <w:lang w:val="lv-LV"/>
              </w:rPr>
              <w:t xml:space="preserve">noslēguma pārskats jāsagatavo </w:t>
            </w:r>
            <w:r w:rsidR="005828E0" w:rsidRPr="00FE2353">
              <w:rPr>
                <w:rFonts w:ascii="Times New Roman" w:hAnsi="Times New Roman" w:cs="Times New Roman"/>
                <w:sz w:val="28"/>
                <w:szCs w:val="28"/>
                <w:lang w:val="lv-LV"/>
              </w:rPr>
              <w:t>1</w:t>
            </w:r>
            <w:r w:rsidR="007C61D5">
              <w:rPr>
                <w:rFonts w:ascii="Times New Roman" w:hAnsi="Times New Roman" w:cs="Times New Roman"/>
                <w:sz w:val="28"/>
                <w:szCs w:val="28"/>
                <w:lang w:val="lv-LV"/>
              </w:rPr>
              <w:t>5</w:t>
            </w:r>
            <w:r w:rsidR="005828E0" w:rsidRPr="00FE2353">
              <w:rPr>
                <w:rFonts w:ascii="Times New Roman" w:hAnsi="Times New Roman" w:cs="Times New Roman"/>
                <w:sz w:val="28"/>
                <w:szCs w:val="28"/>
                <w:lang w:val="lv-LV"/>
              </w:rPr>
              <w:t xml:space="preserve"> dienu laikā no dienas, kad maksātnespējas reģistrā ir izdarīts ieraksts par viņa atcelšanu no konkrētā procesa, sagatavo un iesniedz noslēguma pārskatu.</w:t>
            </w:r>
            <w:r w:rsidR="00A23789">
              <w:rPr>
                <w:rFonts w:ascii="Times New Roman" w:hAnsi="Times New Roman" w:cs="Times New Roman"/>
                <w:sz w:val="28"/>
                <w:szCs w:val="28"/>
                <w:lang w:val="lv-LV"/>
              </w:rPr>
              <w:t xml:space="preserve"> Pēc attiecīgā termiņa beigām administratora piekļuve šai maksātnespējas procesa lietai tiek bloķēta. Tomēr tas neatceļ administratora pienākumu iesniegt noslēguma darbības pārskatu maksātnespējas procesā, no kura viņš tika atcelts. Ja atceltais administrators ir nokavējis noslēguma pārskata iesnigšanas termiņu, </w:t>
            </w:r>
            <w:r w:rsidR="00A23789" w:rsidRPr="00A23789">
              <w:rPr>
                <w:rFonts w:ascii="Times New Roman" w:hAnsi="Times New Roman" w:cs="Times New Roman"/>
                <w:sz w:val="28"/>
                <w:szCs w:val="28"/>
                <w:lang w:val="lv-LV" w:eastAsia="lv-LV"/>
              </w:rPr>
              <w:t>viņam jāvēršas Maksātnespējas administrācijā</w:t>
            </w:r>
            <w:r w:rsidR="00A23789" w:rsidRPr="00A23789">
              <w:rPr>
                <w:rFonts w:ascii="Times New Roman" w:eastAsiaTheme="minorHAnsi" w:hAnsi="Times New Roman" w:cs="Times New Roman"/>
                <w:sz w:val="28"/>
                <w:szCs w:val="28"/>
                <w:lang w:val="lv-LV"/>
              </w:rPr>
              <w:t xml:space="preserve"> piekļuves rekvizītu saņemšanai</w:t>
            </w:r>
            <w:r w:rsidR="00931BC6">
              <w:rPr>
                <w:rFonts w:ascii="Times New Roman" w:eastAsiaTheme="minorHAnsi" w:hAnsi="Times New Roman" w:cs="Times New Roman"/>
                <w:sz w:val="28"/>
                <w:szCs w:val="28"/>
                <w:lang w:val="lv-LV"/>
              </w:rPr>
              <w:t>, lai veiktu noteiktās darbības – iesniegtu noslēguma pārskatu.</w:t>
            </w:r>
          </w:p>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I</w:t>
            </w:r>
            <w:r w:rsidR="00A2375E">
              <w:rPr>
                <w:rFonts w:ascii="Times New Roman" w:hAnsi="Times New Roman" w:cs="Times New Roman"/>
                <w:sz w:val="28"/>
                <w:szCs w:val="28"/>
                <w:lang w:val="lv-LV"/>
              </w:rPr>
              <w:t>V</w:t>
            </w:r>
            <w:r w:rsidRPr="00FE2353">
              <w:rPr>
                <w:rFonts w:ascii="Times New Roman" w:hAnsi="Times New Roman" w:cs="Times New Roman"/>
                <w:sz w:val="28"/>
                <w:szCs w:val="28"/>
                <w:lang w:val="lv-LV"/>
              </w:rPr>
              <w:t xml:space="preserve">. Ņemot vērā to, ka </w:t>
            </w:r>
            <w:r w:rsidR="00931BC6">
              <w:rPr>
                <w:rFonts w:ascii="Times New Roman" w:hAnsi="Times New Roman" w:cs="Times New Roman"/>
                <w:sz w:val="28"/>
                <w:szCs w:val="28"/>
                <w:lang w:val="lv-LV"/>
              </w:rPr>
              <w:t xml:space="preserve">saskaņā ar </w:t>
            </w:r>
            <w:r w:rsidRPr="00FE2353">
              <w:rPr>
                <w:rFonts w:ascii="Times New Roman" w:hAnsi="Times New Roman" w:cs="Times New Roman"/>
                <w:sz w:val="28"/>
                <w:szCs w:val="28"/>
                <w:lang w:val="lv-LV"/>
              </w:rPr>
              <w:t xml:space="preserve">šobrīd </w:t>
            </w:r>
            <w:r w:rsidR="00931BC6">
              <w:rPr>
                <w:rFonts w:ascii="Times New Roman" w:hAnsi="Times New Roman" w:cs="Times New Roman"/>
                <w:sz w:val="28"/>
                <w:szCs w:val="28"/>
                <w:lang w:val="lv-LV"/>
              </w:rPr>
              <w:t>spēkā esošo regulējumu</w:t>
            </w:r>
            <w:r w:rsidRPr="00FE2353">
              <w:rPr>
                <w:rFonts w:ascii="Times New Roman" w:hAnsi="Times New Roman" w:cs="Times New Roman"/>
                <w:sz w:val="28"/>
                <w:szCs w:val="28"/>
                <w:lang w:val="lv-LV"/>
              </w:rPr>
              <w:t xml:space="preserve"> </w:t>
            </w:r>
            <w:r w:rsidR="00931BC6">
              <w:rPr>
                <w:rFonts w:ascii="Times New Roman" w:hAnsi="Times New Roman" w:cs="Times New Roman"/>
                <w:sz w:val="28"/>
                <w:szCs w:val="28"/>
                <w:lang w:val="lv-LV"/>
              </w:rPr>
              <w:t>pārskatu veidlapās</w:t>
            </w:r>
            <w:r w:rsidRPr="00FE2353">
              <w:rPr>
                <w:rFonts w:ascii="Times New Roman" w:hAnsi="Times New Roman" w:cs="Times New Roman"/>
                <w:sz w:val="28"/>
                <w:szCs w:val="28"/>
                <w:lang w:val="lv-LV"/>
              </w:rPr>
              <w:t xml:space="preserve"> iekļautā informācija nav sistematizēta tā, lai nodrošinātu statistikas datu apkopošanu,</w:t>
            </w:r>
            <w:r w:rsidR="00DE3A94">
              <w:rPr>
                <w:rFonts w:ascii="Times New Roman" w:hAnsi="Times New Roman" w:cs="Times New Roman"/>
                <w:sz w:val="28"/>
                <w:szCs w:val="28"/>
                <w:lang w:val="lv-LV"/>
              </w:rPr>
              <w:t xml:space="preserve"> kā arī, efektīvākas maksātnespējas procesa uzraudzības nodrošināšanai,</w:t>
            </w:r>
            <w:r w:rsidRPr="00FE2353">
              <w:rPr>
                <w:rFonts w:ascii="Times New Roman" w:hAnsi="Times New Roman" w:cs="Times New Roman"/>
                <w:sz w:val="28"/>
                <w:szCs w:val="28"/>
                <w:lang w:val="lv-LV"/>
              </w:rPr>
              <w:t xml:space="preserve"> nepieciešams </w:t>
            </w:r>
            <w:r w:rsidR="00DE3A94">
              <w:rPr>
                <w:rFonts w:ascii="Times New Roman" w:hAnsi="Times New Roman" w:cs="Times New Roman"/>
                <w:sz w:val="28"/>
                <w:szCs w:val="28"/>
                <w:lang w:val="lv-LV"/>
              </w:rPr>
              <w:t>strukturē</w:t>
            </w:r>
            <w:r w:rsidRPr="00FE2353">
              <w:rPr>
                <w:rFonts w:ascii="Times New Roman" w:hAnsi="Times New Roman" w:cs="Times New Roman"/>
                <w:sz w:val="28"/>
                <w:szCs w:val="28"/>
                <w:lang w:val="lv-LV"/>
              </w:rPr>
              <w:t>t a</w:t>
            </w:r>
            <w:r w:rsidR="00DE3A94">
              <w:rPr>
                <w:rFonts w:ascii="Times New Roman" w:hAnsi="Times New Roman" w:cs="Times New Roman"/>
                <w:sz w:val="28"/>
                <w:szCs w:val="28"/>
                <w:lang w:val="lv-LV"/>
              </w:rPr>
              <w:t xml:space="preserve">dministratora darbības pārskatā </w:t>
            </w:r>
            <w:r w:rsidRPr="00FE2353">
              <w:rPr>
                <w:rFonts w:ascii="Times New Roman" w:hAnsi="Times New Roman" w:cs="Times New Roman"/>
                <w:sz w:val="28"/>
                <w:szCs w:val="28"/>
                <w:lang w:val="lv-LV"/>
              </w:rPr>
              <w:t xml:space="preserve">iekļaujamo informāciju. </w:t>
            </w:r>
          </w:p>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lastRenderedPageBreak/>
              <w:t xml:space="preserve">1. MK noteikumu projektā paredzēts sistematizēt maksātnespējas procesa izmaksas (sākotnējā, kārtējā un noslēgumu pārskatā gan fiziskās, gan juridiskās personas maksātnespējas procesā), sadalot tās atkarībā no segšanas avota (ieķīlātā /neieķīlātā parādnieka manta). Vienlaikus, ievērojot minēto principu, MK noteikumu projektā paredzēts sistematizēt maksātnespējas procesā iegūtos līdzekļus. Izmaksu un iegūto līdzekļu sadalīšana grupās ļaus apzināt atsevišķi nodrošināto un nenodrošināto kreditoru prasījumu segumu maksātnespējas procesā, ievērojot šo kreditoru grupu atšķirīgo statusu maksātnespējas procesā. Pārskatu veidlapās iekļautās papildu ailes par rādītāju kopsummām tiks aprēķinātas automātiski. </w:t>
            </w:r>
          </w:p>
          <w:p w:rsidR="00594C4E"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 xml:space="preserve">2. Lai nodrošinātu kreditoriem un Maksātnespējas administrācijai aktuālu informāciju par parādnieka aktīviem maksātnespējas procesā, MK noteikumu projektā paredzēts precizēt sadaļu „Informācija par parādnieka mantu” sākotnējā, kārtējā un noslēgumu pārskatā gan fiziskās, gan juridiskās personas maksātnespējas procesā. </w:t>
            </w:r>
            <w:r w:rsidR="00041582" w:rsidRPr="00FE2353">
              <w:rPr>
                <w:rFonts w:ascii="Times New Roman" w:hAnsi="Times New Roman" w:cs="Times New Roman"/>
                <w:sz w:val="28"/>
                <w:szCs w:val="28"/>
                <w:lang w:val="lv-LV"/>
              </w:rPr>
              <w:t>MK noteikumu projektā paredzēts</w:t>
            </w:r>
            <w:r w:rsidR="00041582">
              <w:rPr>
                <w:rFonts w:ascii="Times New Roman" w:hAnsi="Times New Roman" w:cs="Times New Roman"/>
                <w:sz w:val="28"/>
                <w:szCs w:val="28"/>
                <w:lang w:val="lv-LV"/>
              </w:rPr>
              <w:t>, ka attiecīgajā sadaļā tiks atspoguļota informācija par parādnieka mantas kopējo un atlikušo vērtību gan pārskata periodā, gan visā maksātnespējas procesā, kas ļaus izdarīt secinājums par maksātnespējas procesa efektivitāti.</w:t>
            </w:r>
            <w:r w:rsidR="00041582" w:rsidRPr="00FE2353">
              <w:rPr>
                <w:rFonts w:ascii="Times New Roman" w:hAnsi="Times New Roman" w:cs="Times New Roman"/>
                <w:sz w:val="28"/>
                <w:szCs w:val="28"/>
                <w:lang w:val="lv-LV"/>
              </w:rPr>
              <w:t xml:space="preserve"> Pārskatu veidlapās iekļautās papildu ailes par rādītāju kopsummām tiks aprēķinātas automātiski.</w:t>
            </w:r>
          </w:p>
          <w:p w:rsidR="00814A8E" w:rsidRDefault="00814A8E" w:rsidP="00B96F6E">
            <w:pPr>
              <w:spacing w:after="0" w:line="240" w:lineRule="auto"/>
              <w:ind w:left="57" w:right="57" w:firstLine="346"/>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3. </w:t>
            </w:r>
            <w:r w:rsidRPr="00FE2353">
              <w:rPr>
                <w:rFonts w:ascii="Times New Roman" w:hAnsi="Times New Roman" w:cs="Times New Roman"/>
                <w:sz w:val="28"/>
                <w:szCs w:val="28"/>
                <w:lang w:val="lv-LV"/>
              </w:rPr>
              <w:t xml:space="preserve">MK noteikumu projektā paredzēts </w:t>
            </w:r>
            <w:r>
              <w:rPr>
                <w:rFonts w:ascii="Times New Roman" w:hAnsi="Times New Roman" w:cs="Times New Roman"/>
                <w:sz w:val="28"/>
                <w:szCs w:val="28"/>
                <w:lang w:val="lv-LV"/>
              </w:rPr>
              <w:t>papildināt informāciju par administratora profesionālās darbības apdrošināšanu maksātnespējas procesā – turpmāk administratoram būs jānorāda arī apdrošināšanas kompānijas nosaukums.</w:t>
            </w:r>
          </w:p>
          <w:p w:rsidR="00041582" w:rsidRPr="00FE2353" w:rsidRDefault="00814A8E" w:rsidP="00B96F6E">
            <w:pPr>
              <w:spacing w:after="0" w:line="240" w:lineRule="auto"/>
              <w:ind w:left="57" w:right="57" w:firstLine="346"/>
              <w:jc w:val="both"/>
              <w:rPr>
                <w:rFonts w:ascii="Times New Roman" w:hAnsi="Times New Roman" w:cs="Times New Roman"/>
                <w:sz w:val="28"/>
                <w:szCs w:val="28"/>
                <w:lang w:val="lv-LV"/>
              </w:rPr>
            </w:pPr>
            <w:r>
              <w:rPr>
                <w:rFonts w:ascii="Times New Roman" w:hAnsi="Times New Roman" w:cs="Times New Roman"/>
                <w:sz w:val="28"/>
                <w:szCs w:val="28"/>
                <w:lang w:val="lv-LV"/>
              </w:rPr>
              <w:t>4</w:t>
            </w:r>
            <w:r w:rsidR="00041582">
              <w:rPr>
                <w:rFonts w:ascii="Times New Roman" w:hAnsi="Times New Roman" w:cs="Times New Roman"/>
                <w:sz w:val="28"/>
                <w:szCs w:val="28"/>
                <w:lang w:val="lv-LV"/>
              </w:rPr>
              <w:t xml:space="preserve">. </w:t>
            </w:r>
            <w:r w:rsidR="00937795">
              <w:rPr>
                <w:rFonts w:ascii="Times New Roman" w:hAnsi="Times New Roman" w:cs="Times New Roman"/>
                <w:sz w:val="28"/>
                <w:szCs w:val="28"/>
                <w:lang w:val="lv-LV"/>
              </w:rPr>
              <w:t>Lai nodrošinātu iespēju aprēķināt maksātnespējas procesa efektivitātes rādītājus, noslēguma pārskats, kā arī sākotnēja</w:t>
            </w:r>
            <w:r>
              <w:rPr>
                <w:rFonts w:ascii="Times New Roman" w:hAnsi="Times New Roman" w:cs="Times New Roman"/>
                <w:sz w:val="28"/>
                <w:szCs w:val="28"/>
                <w:lang w:val="lv-LV"/>
              </w:rPr>
              <w:t>i</w:t>
            </w:r>
            <w:r w:rsidR="00937795">
              <w:rPr>
                <w:rFonts w:ascii="Times New Roman" w:hAnsi="Times New Roman" w:cs="Times New Roman"/>
                <w:sz w:val="28"/>
                <w:szCs w:val="28"/>
                <w:lang w:val="lv-LV"/>
              </w:rPr>
              <w:t xml:space="preserve">s pārskats, gadījumā, ja juridiskās personas maksātnespējas process tiek izbeigts pēc ziņojuma par parādnieka </w:t>
            </w:r>
            <w:r w:rsidR="00937795">
              <w:rPr>
                <w:rFonts w:ascii="Times New Roman" w:hAnsi="Times New Roman" w:cs="Times New Roman"/>
                <w:sz w:val="28"/>
                <w:szCs w:val="28"/>
                <w:lang w:val="lv-LV"/>
              </w:rPr>
              <w:lastRenderedPageBreak/>
              <w:t xml:space="preserve">mantas neesamību, ir papildināts ar informāciju par maksātnespējas procesā atzīto un apmierināto kreditoru prasījumu apmēru </w:t>
            </w:r>
            <w:r>
              <w:rPr>
                <w:rFonts w:ascii="Times New Roman" w:hAnsi="Times New Roman" w:cs="Times New Roman"/>
                <w:sz w:val="28"/>
                <w:szCs w:val="28"/>
                <w:lang w:val="lv-LV"/>
              </w:rPr>
              <w:t>pa kreditoru grupām (nodrošinātie/ nenodrošinātie kreditori).</w:t>
            </w:r>
            <w:r w:rsidR="00937795">
              <w:rPr>
                <w:rFonts w:ascii="Times New Roman" w:hAnsi="Times New Roman" w:cs="Times New Roman"/>
                <w:sz w:val="28"/>
                <w:szCs w:val="28"/>
                <w:lang w:val="lv-LV"/>
              </w:rPr>
              <w:t xml:space="preserve">  </w:t>
            </w:r>
          </w:p>
        </w:tc>
      </w:tr>
      <w:tr w:rsidR="00FE2353" w:rsidRPr="00937795"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lastRenderedPageBreak/>
              <w:t xml:space="preserve">3.  </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 Projekta izstrādē iesaistītās institūcijas</w:t>
            </w:r>
          </w:p>
          <w:p w:rsidR="00594C4E" w:rsidRPr="00FE2353" w:rsidRDefault="00594C4E" w:rsidP="008F090B">
            <w:pPr>
              <w:spacing w:line="240" w:lineRule="auto"/>
              <w:rPr>
                <w:rFonts w:ascii="Times New Roman" w:hAnsi="Times New Roman" w:cs="Times New Roman"/>
                <w:sz w:val="28"/>
                <w:szCs w:val="28"/>
                <w:lang w:val="lv-LV"/>
              </w:rPr>
            </w:pPr>
          </w:p>
        </w:tc>
        <w:tc>
          <w:tcPr>
            <w:tcW w:w="569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pStyle w:val="BodyTextIndent"/>
              <w:spacing w:after="0"/>
              <w:ind w:firstLine="317"/>
              <w:jc w:val="both"/>
              <w:rPr>
                <w:sz w:val="28"/>
                <w:szCs w:val="28"/>
              </w:rPr>
            </w:pPr>
            <w:r w:rsidRPr="00FE2353">
              <w:rPr>
                <w:sz w:val="28"/>
                <w:szCs w:val="28"/>
              </w:rPr>
              <w:t>Maksātnespējas administrācija.</w:t>
            </w:r>
          </w:p>
        </w:tc>
      </w:tr>
      <w:tr w:rsidR="00FE2353" w:rsidRPr="00937795"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4. </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Cita informācija</w:t>
            </w:r>
          </w:p>
        </w:tc>
        <w:tc>
          <w:tcPr>
            <w:tcW w:w="569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ind w:firstLine="600"/>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Nav.</w:t>
            </w:r>
          </w:p>
        </w:tc>
      </w:tr>
    </w:tbl>
    <w:p w:rsidR="00594C4E" w:rsidRPr="00FE2353" w:rsidRDefault="00594C4E" w:rsidP="008F090B">
      <w:pPr>
        <w:spacing w:line="240" w:lineRule="auto"/>
        <w:rPr>
          <w:rFonts w:ascii="Times New Roman" w:hAnsi="Times New Roman" w:cs="Times New Roman"/>
          <w:sz w:val="28"/>
          <w:szCs w:val="28"/>
          <w:lang w:val="lv-LV"/>
        </w:rPr>
      </w:pPr>
    </w:p>
    <w:tbl>
      <w:tblPr>
        <w:tblW w:w="9592"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3240"/>
        <w:gridCol w:w="5670"/>
      </w:tblGrid>
      <w:tr w:rsidR="00FE2353" w:rsidRPr="00CE141B" w:rsidTr="00C943FF">
        <w:trPr>
          <w:tblCellSpacing w:w="0" w:type="dxa"/>
        </w:trPr>
        <w:tc>
          <w:tcPr>
            <w:tcW w:w="9592" w:type="dxa"/>
            <w:gridSpan w:val="3"/>
            <w:tcBorders>
              <w:top w:val="outset" w:sz="6" w:space="0" w:color="auto"/>
              <w:left w:val="outset" w:sz="6" w:space="0" w:color="auto"/>
              <w:bottom w:val="outset" w:sz="6" w:space="0" w:color="auto"/>
              <w:right w:val="outset" w:sz="6" w:space="0" w:color="auto"/>
            </w:tcBorders>
          </w:tcPr>
          <w:p w:rsidR="00594C4E" w:rsidRPr="00FE2353" w:rsidRDefault="00594C4E" w:rsidP="008F090B">
            <w:pPr>
              <w:pStyle w:val="NormalWeb"/>
              <w:tabs>
                <w:tab w:val="left" w:pos="552"/>
              </w:tabs>
              <w:spacing w:before="0" w:beforeAutospacing="0" w:after="0" w:afterAutospacing="0"/>
              <w:ind w:firstLine="525"/>
              <w:jc w:val="center"/>
              <w:rPr>
                <w:bCs/>
                <w:sz w:val="28"/>
                <w:szCs w:val="28"/>
              </w:rPr>
            </w:pPr>
            <w:r w:rsidRPr="00FE2353">
              <w:rPr>
                <w:b/>
                <w:bCs/>
                <w:sz w:val="28"/>
                <w:szCs w:val="28"/>
              </w:rPr>
              <w:t>II. Tiesību akta projekta ietekme uz sabiedrību, tautsaimniecības attīstību un administratīvo slogu</w:t>
            </w:r>
          </w:p>
        </w:tc>
      </w:tr>
      <w:tr w:rsidR="00FE2353" w:rsidRPr="00CE141B"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1.</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Sabiedrības mērķgrupas, kuras tiesiskais regulējums ietekmē vai varētu ietekmēt</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Noteikumu projekts ietekmē sertificētus maksātnespējas procesa administratorus.</w:t>
            </w:r>
          </w:p>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 xml:space="preserve">Saskaņā ar 2015.gada </w:t>
            </w:r>
            <w:r w:rsidR="00041582">
              <w:rPr>
                <w:rFonts w:ascii="Times New Roman" w:hAnsi="Times New Roman" w:cs="Times New Roman"/>
                <w:sz w:val="28"/>
                <w:szCs w:val="28"/>
                <w:lang w:val="lv-LV"/>
              </w:rPr>
              <w:t>2.novembrī</w:t>
            </w:r>
            <w:r w:rsidRPr="00FE2353">
              <w:rPr>
                <w:rFonts w:ascii="Times New Roman" w:hAnsi="Times New Roman" w:cs="Times New Roman"/>
                <w:sz w:val="28"/>
                <w:szCs w:val="28"/>
                <w:lang w:val="lv-LV"/>
              </w:rPr>
              <w:t xml:space="preserve"> maksātnespējas reģistrā norādīto informāciju 331 persona ir saņēmusi maksātnespējas procesa administratora sertifikātu.</w:t>
            </w:r>
          </w:p>
        </w:tc>
      </w:tr>
      <w:tr w:rsidR="00FE2353" w:rsidRPr="00CE141B"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2.</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Tiesiskā regulējuma ietekme uz tautsaimniecību un administratīvo slogu</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Ņemot vērā to, ka pārskatos norādāmās informācijas apjoms netiks</w:t>
            </w:r>
            <w:r w:rsidR="00041582">
              <w:rPr>
                <w:rFonts w:ascii="Times New Roman" w:hAnsi="Times New Roman" w:cs="Times New Roman"/>
                <w:sz w:val="28"/>
                <w:szCs w:val="28"/>
                <w:lang w:val="lv-LV"/>
              </w:rPr>
              <w:t xml:space="preserve"> ievērojami</w:t>
            </w:r>
            <w:r w:rsidRPr="00FE2353">
              <w:rPr>
                <w:rFonts w:ascii="Times New Roman" w:hAnsi="Times New Roman" w:cs="Times New Roman"/>
                <w:sz w:val="28"/>
                <w:szCs w:val="28"/>
                <w:lang w:val="lv-LV"/>
              </w:rPr>
              <w:t xml:space="preserve"> palielināts, turklāt pārskatu aizpildīšana elektroniskā sistēmā atvieglos administratoru darbu</w:t>
            </w:r>
            <w:r w:rsidR="00041582">
              <w:rPr>
                <w:rFonts w:ascii="Times New Roman" w:hAnsi="Times New Roman" w:cs="Times New Roman"/>
                <w:sz w:val="28"/>
                <w:szCs w:val="28"/>
                <w:lang w:val="lv-LV"/>
              </w:rPr>
              <w:t xml:space="preserve"> (piemēram, informācija par parādnieku un administratoru darbības pārskata veidlapā tikts ievietota no maksātnespējas reģistra)</w:t>
            </w:r>
            <w:r w:rsidRPr="00FE2353">
              <w:rPr>
                <w:rFonts w:ascii="Times New Roman" w:hAnsi="Times New Roman" w:cs="Times New Roman"/>
                <w:sz w:val="28"/>
                <w:szCs w:val="28"/>
                <w:lang w:val="lv-LV"/>
              </w:rPr>
              <w:t xml:space="preserve">, projekta tiesiskais regulējums nemainīs administratīvo slogu. </w:t>
            </w:r>
          </w:p>
        </w:tc>
      </w:tr>
      <w:tr w:rsidR="00FE2353" w:rsidRPr="00FE2353"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3.</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Administratīvo izmaksu monetārs novērtējums</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B96F6E">
            <w:pPr>
              <w:spacing w:after="0" w:line="240" w:lineRule="auto"/>
              <w:ind w:left="57" w:right="57"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Projekts šo jomu neskar.</w:t>
            </w:r>
          </w:p>
        </w:tc>
      </w:tr>
      <w:tr w:rsidR="00FE2353" w:rsidRPr="00FE2353"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4.</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Cita informācija</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ind w:firstLine="345"/>
              <w:rPr>
                <w:rFonts w:ascii="Times New Roman" w:hAnsi="Times New Roman" w:cs="Times New Roman"/>
                <w:sz w:val="28"/>
                <w:szCs w:val="28"/>
                <w:lang w:val="lv-LV"/>
              </w:rPr>
            </w:pPr>
            <w:r w:rsidRPr="00FE2353">
              <w:rPr>
                <w:rFonts w:ascii="Times New Roman" w:hAnsi="Times New Roman" w:cs="Times New Roman"/>
                <w:sz w:val="28"/>
                <w:szCs w:val="28"/>
                <w:lang w:val="lv-LV"/>
              </w:rPr>
              <w:t>Nav.</w:t>
            </w:r>
          </w:p>
        </w:tc>
      </w:tr>
    </w:tbl>
    <w:p w:rsidR="00594C4E" w:rsidRPr="00FE2353" w:rsidRDefault="00594C4E" w:rsidP="008F090B">
      <w:pPr>
        <w:spacing w:line="240" w:lineRule="auto"/>
        <w:rPr>
          <w:rFonts w:ascii="Times New Roman" w:hAnsi="Times New Roman" w:cs="Times New Roman"/>
          <w:sz w:val="28"/>
          <w:szCs w:val="28"/>
          <w:lang w:val="lv-LV"/>
        </w:rPr>
      </w:pPr>
    </w:p>
    <w:tbl>
      <w:tblPr>
        <w:tblW w:w="9592"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3240"/>
        <w:gridCol w:w="5670"/>
      </w:tblGrid>
      <w:tr w:rsidR="00FE2353" w:rsidRPr="00CE141B" w:rsidTr="00C943FF">
        <w:trPr>
          <w:tblCellSpacing w:w="0" w:type="dxa"/>
        </w:trPr>
        <w:tc>
          <w:tcPr>
            <w:tcW w:w="9592" w:type="dxa"/>
            <w:gridSpan w:val="3"/>
            <w:tcBorders>
              <w:top w:val="outset" w:sz="6" w:space="0" w:color="auto"/>
              <w:left w:val="outset" w:sz="6" w:space="0" w:color="auto"/>
              <w:bottom w:val="outset" w:sz="6" w:space="0" w:color="auto"/>
              <w:right w:val="outset" w:sz="6" w:space="0" w:color="auto"/>
            </w:tcBorders>
          </w:tcPr>
          <w:p w:rsidR="00594C4E" w:rsidRPr="00FE2353" w:rsidRDefault="00594C4E" w:rsidP="008F090B">
            <w:pPr>
              <w:pStyle w:val="NormalWeb"/>
              <w:tabs>
                <w:tab w:val="left" w:pos="552"/>
                <w:tab w:val="left" w:pos="2145"/>
                <w:tab w:val="center" w:pos="5043"/>
              </w:tabs>
              <w:spacing w:before="0" w:beforeAutospacing="0" w:after="0" w:afterAutospacing="0"/>
              <w:ind w:firstLine="525"/>
              <w:rPr>
                <w:b/>
                <w:bCs/>
                <w:sz w:val="28"/>
                <w:szCs w:val="28"/>
              </w:rPr>
            </w:pPr>
            <w:r w:rsidRPr="00FE2353">
              <w:rPr>
                <w:bCs/>
                <w:sz w:val="28"/>
                <w:szCs w:val="28"/>
              </w:rPr>
              <w:tab/>
            </w:r>
            <w:r w:rsidRPr="00FE2353">
              <w:rPr>
                <w:bCs/>
                <w:sz w:val="28"/>
                <w:szCs w:val="28"/>
              </w:rPr>
              <w:tab/>
            </w:r>
            <w:r w:rsidRPr="00FE2353">
              <w:rPr>
                <w:b/>
                <w:bCs/>
                <w:sz w:val="28"/>
                <w:szCs w:val="28"/>
              </w:rPr>
              <w:tab/>
              <w:t>VI. Sabiedrības līdzdalība un komunikācijas aktivitātes</w:t>
            </w:r>
          </w:p>
        </w:tc>
      </w:tr>
      <w:tr w:rsidR="00FE2353" w:rsidRPr="00CE141B" w:rsidTr="00004683">
        <w:trPr>
          <w:trHeight w:val="546"/>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1.</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shd w:val="clear" w:color="auto" w:fill="FFFFFF"/>
                <w:lang w:val="lv-LV"/>
              </w:rPr>
              <w:t>Plānotās sabiedrības līdzdalības un komunikācijas aktivitātes saistībā ar projektu</w:t>
            </w:r>
          </w:p>
        </w:tc>
        <w:tc>
          <w:tcPr>
            <w:tcW w:w="5670" w:type="dxa"/>
            <w:tcBorders>
              <w:top w:val="outset" w:sz="6" w:space="0" w:color="auto"/>
              <w:left w:val="outset" w:sz="6" w:space="0" w:color="auto"/>
              <w:bottom w:val="outset" w:sz="6" w:space="0" w:color="auto"/>
              <w:right w:val="outset" w:sz="6" w:space="0" w:color="auto"/>
            </w:tcBorders>
          </w:tcPr>
          <w:p w:rsidR="00594C4E" w:rsidRPr="00004683" w:rsidRDefault="00004683" w:rsidP="00A2375E">
            <w:pPr>
              <w:spacing w:after="0" w:line="240" w:lineRule="auto"/>
              <w:ind w:firstLine="346"/>
              <w:jc w:val="both"/>
              <w:rPr>
                <w:rFonts w:ascii="Times New Roman" w:hAnsi="Times New Roman" w:cs="Times New Roman"/>
                <w:sz w:val="28"/>
                <w:szCs w:val="28"/>
                <w:lang w:val="lv-LV"/>
              </w:rPr>
            </w:pPr>
            <w:r w:rsidRPr="00004683">
              <w:rPr>
                <w:rFonts w:ascii="Times New Roman" w:hAnsi="Times New Roman" w:cs="Times New Roman"/>
                <w:sz w:val="28"/>
                <w:szCs w:val="28"/>
                <w:lang w:val="lv-LV"/>
              </w:rPr>
              <w:t>Ņemot vērā to, ka pārskatos norādāmās informācijas apjoms netiks</w:t>
            </w:r>
            <w:r>
              <w:rPr>
                <w:rFonts w:ascii="Times New Roman" w:hAnsi="Times New Roman" w:cs="Times New Roman"/>
                <w:sz w:val="28"/>
                <w:szCs w:val="28"/>
                <w:lang w:val="lv-LV"/>
              </w:rPr>
              <w:t xml:space="preserve"> ievērojami</w:t>
            </w:r>
            <w:r w:rsidRPr="00004683">
              <w:rPr>
                <w:rFonts w:ascii="Times New Roman" w:hAnsi="Times New Roman" w:cs="Times New Roman"/>
                <w:sz w:val="28"/>
                <w:szCs w:val="28"/>
                <w:lang w:val="lv-LV"/>
              </w:rPr>
              <w:t xml:space="preserve"> palielināts, turklāt pārskatu aizpildīšana elektroniskā sistēmā atvieglos administratoru darbu, </w:t>
            </w:r>
            <w:r w:rsidRPr="00004683">
              <w:rPr>
                <w:rFonts w:ascii="Times New Roman" w:hAnsi="Times New Roman" w:cs="Times New Roman"/>
                <w:sz w:val="28"/>
                <w:szCs w:val="28"/>
                <w:shd w:val="clear" w:color="auto" w:fill="FFFFFF"/>
                <w:lang w:val="lv-LV"/>
              </w:rPr>
              <w:t>sabiedrības līdzdalības un komunikācijas aktivitātes nav plānotas.</w:t>
            </w:r>
          </w:p>
        </w:tc>
      </w:tr>
      <w:tr w:rsidR="00FE2353" w:rsidRPr="00FE2353"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2.</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shd w:val="clear" w:color="auto" w:fill="FFFFFF"/>
                <w:lang w:val="lv-LV"/>
              </w:rPr>
              <w:t>Sabiedrības līdzdalība projekta izstrādē</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ind w:firstLine="346"/>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Projekts šo jomu neskar.</w:t>
            </w:r>
          </w:p>
        </w:tc>
      </w:tr>
      <w:tr w:rsidR="00FE2353" w:rsidRPr="00FE2353"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lastRenderedPageBreak/>
              <w:t>3.</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shd w:val="clear" w:color="auto" w:fill="FFFFFF"/>
                <w:lang w:val="lv-LV"/>
              </w:rPr>
              <w:t>Sabiedrības līdzdalības rezultāti</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ind w:firstLine="284"/>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Projekts šo jomu neskar.</w:t>
            </w:r>
          </w:p>
        </w:tc>
      </w:tr>
      <w:tr w:rsidR="00FE2353" w:rsidRPr="00FE2353" w:rsidTr="00C943FF">
        <w:trPr>
          <w:trHeight w:val="284"/>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4.</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rPr>
                <w:rFonts w:ascii="Times New Roman" w:hAnsi="Times New Roman" w:cs="Times New Roman"/>
                <w:sz w:val="28"/>
                <w:szCs w:val="28"/>
                <w:lang w:val="lv-LV"/>
              </w:rPr>
            </w:pPr>
            <w:r w:rsidRPr="00FE2353">
              <w:rPr>
                <w:rFonts w:ascii="Times New Roman" w:hAnsi="Times New Roman" w:cs="Times New Roman"/>
                <w:sz w:val="28"/>
                <w:szCs w:val="28"/>
                <w:shd w:val="clear" w:color="auto" w:fill="FFFFFF"/>
                <w:lang w:val="lv-LV"/>
              </w:rPr>
              <w:t>Cita informācija</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before="100" w:beforeAutospacing="1" w:after="100" w:afterAutospacing="1" w:line="240" w:lineRule="auto"/>
              <w:ind w:firstLine="345"/>
              <w:jc w:val="both"/>
              <w:rPr>
                <w:rFonts w:ascii="Times New Roman" w:hAnsi="Times New Roman" w:cs="Times New Roman"/>
                <w:sz w:val="28"/>
                <w:szCs w:val="28"/>
                <w:lang w:val="lv-LV"/>
              </w:rPr>
            </w:pPr>
            <w:r w:rsidRPr="00FE2353">
              <w:rPr>
                <w:rFonts w:ascii="Times New Roman" w:hAnsi="Times New Roman" w:cs="Times New Roman"/>
                <w:sz w:val="28"/>
                <w:szCs w:val="28"/>
                <w:lang w:val="lv-LV"/>
              </w:rPr>
              <w:t>Nav.</w:t>
            </w:r>
          </w:p>
        </w:tc>
      </w:tr>
    </w:tbl>
    <w:p w:rsidR="00594C4E" w:rsidRPr="00FE2353" w:rsidRDefault="00594C4E" w:rsidP="008F090B">
      <w:pPr>
        <w:spacing w:line="240" w:lineRule="auto"/>
        <w:rPr>
          <w:rFonts w:ascii="Times New Roman" w:hAnsi="Times New Roman" w:cs="Times New Roman"/>
          <w:sz w:val="28"/>
          <w:szCs w:val="28"/>
          <w:lang w:val="lv-LV"/>
        </w:rPr>
      </w:pPr>
    </w:p>
    <w:tbl>
      <w:tblPr>
        <w:tblW w:w="9592"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3240"/>
        <w:gridCol w:w="5670"/>
      </w:tblGrid>
      <w:tr w:rsidR="00FE2353" w:rsidRPr="00CE141B" w:rsidTr="00C943FF">
        <w:trPr>
          <w:tblCellSpacing w:w="0" w:type="dxa"/>
        </w:trPr>
        <w:tc>
          <w:tcPr>
            <w:tcW w:w="9592" w:type="dxa"/>
            <w:gridSpan w:val="3"/>
            <w:tcBorders>
              <w:top w:val="outset" w:sz="6" w:space="0" w:color="auto"/>
              <w:left w:val="outset" w:sz="6" w:space="0" w:color="auto"/>
              <w:bottom w:val="outset" w:sz="6" w:space="0" w:color="auto"/>
              <w:right w:val="outset" w:sz="6" w:space="0" w:color="auto"/>
            </w:tcBorders>
            <w:vAlign w:val="center"/>
          </w:tcPr>
          <w:p w:rsidR="00594C4E" w:rsidRPr="00FE2353" w:rsidRDefault="00594C4E" w:rsidP="008F090B">
            <w:pPr>
              <w:pStyle w:val="NormalWeb"/>
              <w:jc w:val="center"/>
              <w:rPr>
                <w:b/>
                <w:bCs/>
                <w:sz w:val="28"/>
                <w:szCs w:val="28"/>
              </w:rPr>
            </w:pPr>
            <w:r w:rsidRPr="00FE2353">
              <w:rPr>
                <w:b/>
                <w:sz w:val="28"/>
                <w:szCs w:val="28"/>
              </w:rPr>
              <w:t>VII. Tiesību akta projekta izpildes nodrošināšana un tās ietekme uz institūcijām</w:t>
            </w:r>
          </w:p>
        </w:tc>
      </w:tr>
      <w:tr w:rsidR="00FE2353" w:rsidRPr="00CE141B"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1.</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004683">
            <w:pPr>
              <w:spacing w:after="0"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Projekta izpildē iesaistītās institūcijas</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B96F6E">
            <w:pPr>
              <w:pStyle w:val="BodyTextIndent3"/>
              <w:spacing w:after="0"/>
              <w:ind w:left="57" w:right="57" w:firstLine="346"/>
              <w:jc w:val="both"/>
              <w:rPr>
                <w:sz w:val="28"/>
                <w:szCs w:val="28"/>
              </w:rPr>
            </w:pPr>
            <w:r w:rsidRPr="00FE2353">
              <w:rPr>
                <w:sz w:val="28"/>
                <w:szCs w:val="28"/>
              </w:rPr>
              <w:t>Noteikumu projekta izpildi nodrošinās Maksātnespējas administrācija.</w:t>
            </w:r>
          </w:p>
        </w:tc>
      </w:tr>
      <w:tr w:rsidR="00FE2353" w:rsidRPr="00FE2353"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2.</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004683">
            <w:pPr>
              <w:spacing w:after="0"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 xml:space="preserve">Projekta izpildes ietekme uz pārvaldes funkcijām un institucionālo struktūru. </w:t>
            </w:r>
          </w:p>
          <w:p w:rsidR="00594C4E" w:rsidRPr="00FE2353" w:rsidRDefault="00594C4E" w:rsidP="00004683">
            <w:pPr>
              <w:spacing w:after="0" w:line="240" w:lineRule="auto"/>
              <w:rPr>
                <w:rFonts w:ascii="Times New Roman" w:hAnsi="Times New Roman" w:cs="Times New Roman"/>
                <w:sz w:val="28"/>
                <w:szCs w:val="28"/>
                <w:lang w:val="lv-LV"/>
              </w:rPr>
            </w:pPr>
          </w:p>
          <w:p w:rsidR="00594C4E" w:rsidRPr="00FE2353" w:rsidRDefault="00594C4E" w:rsidP="00004683">
            <w:pPr>
              <w:spacing w:after="0"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Jaunu institūciju izveide, esošu institūciju likvidācija vai reorganizācija, to ietekme uz institūcijas cilvēkresursiem</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B96F6E">
            <w:pPr>
              <w:spacing w:after="0" w:line="240" w:lineRule="auto"/>
              <w:ind w:left="57" w:right="57" w:firstLine="346"/>
              <w:jc w:val="both"/>
              <w:rPr>
                <w:rFonts w:ascii="Times New Roman" w:hAnsi="Times New Roman" w:cs="Times New Roman"/>
                <w:bCs/>
                <w:sz w:val="28"/>
                <w:szCs w:val="28"/>
                <w:lang w:val="lv-LV"/>
              </w:rPr>
            </w:pPr>
            <w:r w:rsidRPr="00FE2353">
              <w:rPr>
                <w:rFonts w:ascii="Times New Roman" w:hAnsi="Times New Roman" w:cs="Times New Roman"/>
                <w:sz w:val="28"/>
                <w:szCs w:val="28"/>
                <w:lang w:val="lv-LV"/>
              </w:rPr>
              <w:t>Projekts šo jomu neskar.</w:t>
            </w:r>
          </w:p>
          <w:p w:rsidR="00594C4E" w:rsidRPr="00FE2353" w:rsidRDefault="00594C4E" w:rsidP="00CB7A61">
            <w:pPr>
              <w:spacing w:after="0" w:line="240" w:lineRule="auto"/>
              <w:ind w:left="57" w:right="57"/>
              <w:jc w:val="both"/>
              <w:rPr>
                <w:rFonts w:ascii="Times New Roman" w:hAnsi="Times New Roman" w:cs="Times New Roman"/>
                <w:bCs/>
                <w:sz w:val="28"/>
                <w:szCs w:val="28"/>
                <w:lang w:val="lv-LV"/>
              </w:rPr>
            </w:pPr>
          </w:p>
        </w:tc>
      </w:tr>
      <w:tr w:rsidR="00FE2353" w:rsidRPr="00FE2353" w:rsidTr="00C943FF">
        <w:trPr>
          <w:tblCellSpacing w:w="0" w:type="dxa"/>
        </w:trPr>
        <w:tc>
          <w:tcPr>
            <w:tcW w:w="682"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spacing w:line="240" w:lineRule="auto"/>
              <w:rPr>
                <w:rFonts w:ascii="Times New Roman" w:hAnsi="Times New Roman" w:cs="Times New Roman"/>
                <w:sz w:val="28"/>
                <w:szCs w:val="28"/>
                <w:lang w:val="lv-LV"/>
              </w:rPr>
            </w:pPr>
            <w:r w:rsidRPr="00FE2353">
              <w:rPr>
                <w:rFonts w:ascii="Times New Roman" w:hAnsi="Times New Roman" w:cs="Times New Roman"/>
                <w:sz w:val="28"/>
                <w:szCs w:val="28"/>
                <w:lang w:val="lv-LV"/>
              </w:rPr>
              <w:t>3.</w:t>
            </w:r>
          </w:p>
        </w:tc>
        <w:tc>
          <w:tcPr>
            <w:tcW w:w="324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pStyle w:val="naisf"/>
              <w:spacing w:before="0" w:after="0"/>
              <w:ind w:left="57" w:right="57"/>
              <w:jc w:val="left"/>
              <w:rPr>
                <w:sz w:val="28"/>
                <w:szCs w:val="28"/>
                <w:lang w:val="lv-LV"/>
              </w:rPr>
            </w:pPr>
            <w:r w:rsidRPr="00FE2353">
              <w:rPr>
                <w:sz w:val="28"/>
                <w:szCs w:val="28"/>
                <w:lang w:val="lv-LV"/>
              </w:rPr>
              <w:t>Cita informācija</w:t>
            </w:r>
          </w:p>
        </w:tc>
        <w:tc>
          <w:tcPr>
            <w:tcW w:w="5670" w:type="dxa"/>
            <w:tcBorders>
              <w:top w:val="outset" w:sz="6" w:space="0" w:color="auto"/>
              <w:left w:val="outset" w:sz="6" w:space="0" w:color="auto"/>
              <w:bottom w:val="outset" w:sz="6" w:space="0" w:color="auto"/>
              <w:right w:val="outset" w:sz="6" w:space="0" w:color="auto"/>
            </w:tcBorders>
          </w:tcPr>
          <w:p w:rsidR="00594C4E" w:rsidRPr="00FE2353" w:rsidRDefault="00594C4E" w:rsidP="008F090B">
            <w:pPr>
              <w:pStyle w:val="BodyTextIndent"/>
              <w:spacing w:after="0"/>
              <w:ind w:left="0" w:firstLine="525"/>
              <w:jc w:val="both"/>
              <w:rPr>
                <w:sz w:val="28"/>
                <w:szCs w:val="28"/>
              </w:rPr>
            </w:pPr>
            <w:r w:rsidRPr="00FE2353">
              <w:rPr>
                <w:bCs/>
                <w:sz w:val="28"/>
                <w:szCs w:val="28"/>
              </w:rPr>
              <w:t>Nav.</w:t>
            </w:r>
          </w:p>
        </w:tc>
      </w:tr>
    </w:tbl>
    <w:p w:rsidR="00594C4E" w:rsidRPr="00FE2353" w:rsidRDefault="00594C4E" w:rsidP="008F090B">
      <w:pPr>
        <w:pStyle w:val="naisf"/>
        <w:spacing w:before="0" w:after="0"/>
        <w:rPr>
          <w:sz w:val="28"/>
          <w:szCs w:val="28"/>
          <w:lang w:val="lv-LV"/>
        </w:rPr>
      </w:pPr>
      <w:r w:rsidRPr="00FE2353">
        <w:rPr>
          <w:sz w:val="28"/>
          <w:szCs w:val="28"/>
          <w:lang w:val="lv-LV"/>
        </w:rPr>
        <w:t>Anotācijas III, IV, V</w:t>
      </w:r>
      <w:r w:rsidR="002043CA">
        <w:rPr>
          <w:sz w:val="28"/>
          <w:szCs w:val="28"/>
          <w:lang w:val="lv-LV"/>
        </w:rPr>
        <w:t xml:space="preserve"> </w:t>
      </w:r>
      <w:r w:rsidRPr="00FE2353">
        <w:rPr>
          <w:sz w:val="28"/>
          <w:szCs w:val="28"/>
          <w:lang w:val="lv-LV"/>
        </w:rPr>
        <w:t>sadaļa – noteikumu projekts šo jomu neskar.</w:t>
      </w:r>
    </w:p>
    <w:p w:rsidR="00594C4E" w:rsidRPr="00FE2353" w:rsidRDefault="00594C4E" w:rsidP="008F090B">
      <w:pPr>
        <w:pStyle w:val="naisf"/>
        <w:spacing w:before="0" w:after="0"/>
        <w:rPr>
          <w:sz w:val="28"/>
          <w:szCs w:val="28"/>
          <w:lang w:val="lv-LV"/>
        </w:rPr>
      </w:pPr>
    </w:p>
    <w:p w:rsidR="00594C4E" w:rsidRPr="00FE2353" w:rsidRDefault="00594C4E" w:rsidP="008F090B">
      <w:pPr>
        <w:tabs>
          <w:tab w:val="left" w:pos="6096"/>
        </w:tabs>
        <w:spacing w:line="240" w:lineRule="auto"/>
        <w:ind w:right="-6"/>
        <w:rPr>
          <w:rFonts w:ascii="Times New Roman" w:hAnsi="Times New Roman" w:cs="Times New Roman"/>
          <w:sz w:val="28"/>
          <w:szCs w:val="28"/>
          <w:lang w:val="lv-LV"/>
        </w:rPr>
      </w:pPr>
      <w:r w:rsidRPr="00FE2353">
        <w:rPr>
          <w:rFonts w:ascii="Times New Roman" w:hAnsi="Times New Roman" w:cs="Times New Roman"/>
          <w:sz w:val="28"/>
          <w:szCs w:val="28"/>
          <w:lang w:val="lv-LV"/>
        </w:rPr>
        <w:t>Tieslietu ministrs</w:t>
      </w:r>
      <w:r w:rsidRPr="00FE2353">
        <w:rPr>
          <w:rFonts w:ascii="Times New Roman" w:hAnsi="Times New Roman" w:cs="Times New Roman"/>
          <w:sz w:val="28"/>
          <w:szCs w:val="28"/>
          <w:lang w:val="lv-LV"/>
        </w:rPr>
        <w:tab/>
      </w:r>
      <w:r w:rsidRPr="00FE2353">
        <w:rPr>
          <w:rFonts w:ascii="Times New Roman" w:hAnsi="Times New Roman" w:cs="Times New Roman"/>
          <w:sz w:val="28"/>
          <w:szCs w:val="28"/>
          <w:lang w:val="lv-LV"/>
        </w:rPr>
        <w:tab/>
      </w:r>
      <w:r w:rsidRPr="00FE2353">
        <w:rPr>
          <w:rFonts w:ascii="Times New Roman" w:hAnsi="Times New Roman" w:cs="Times New Roman"/>
          <w:sz w:val="28"/>
          <w:szCs w:val="28"/>
          <w:lang w:val="lv-LV"/>
        </w:rPr>
        <w:tab/>
        <w:t>Dz. Rasnačs</w:t>
      </w:r>
    </w:p>
    <w:p w:rsidR="00594C4E" w:rsidRPr="00FE2353" w:rsidRDefault="00594C4E" w:rsidP="008F090B">
      <w:pPr>
        <w:tabs>
          <w:tab w:val="left" w:pos="6480"/>
        </w:tabs>
        <w:spacing w:line="240" w:lineRule="auto"/>
        <w:ind w:right="-6"/>
        <w:rPr>
          <w:rFonts w:ascii="Times New Roman" w:hAnsi="Times New Roman" w:cs="Times New Roman"/>
          <w:sz w:val="28"/>
          <w:szCs w:val="28"/>
          <w:lang w:val="lv-LV"/>
        </w:rPr>
      </w:pPr>
    </w:p>
    <w:p w:rsidR="00594C4E" w:rsidRPr="00FE2353" w:rsidRDefault="00594C4E" w:rsidP="008F090B">
      <w:pPr>
        <w:spacing w:line="240" w:lineRule="auto"/>
        <w:rPr>
          <w:rFonts w:ascii="Times New Roman" w:hAnsi="Times New Roman" w:cs="Times New Roman"/>
          <w:sz w:val="28"/>
          <w:szCs w:val="28"/>
          <w:lang w:val="lv-LV"/>
        </w:rPr>
      </w:pPr>
    </w:p>
    <w:p w:rsidR="00594C4E" w:rsidRPr="00AD3B6F" w:rsidRDefault="00004683" w:rsidP="00AD3B6F">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0</w:t>
      </w:r>
      <w:r w:rsidR="00A2375E">
        <w:rPr>
          <w:rFonts w:ascii="Times New Roman" w:hAnsi="Times New Roman" w:cs="Times New Roman"/>
          <w:sz w:val="20"/>
          <w:szCs w:val="20"/>
          <w:lang w:val="lv-LV"/>
        </w:rPr>
        <w:t>3</w:t>
      </w:r>
      <w:r>
        <w:rPr>
          <w:rFonts w:ascii="Times New Roman" w:hAnsi="Times New Roman" w:cs="Times New Roman"/>
          <w:sz w:val="20"/>
          <w:szCs w:val="20"/>
          <w:lang w:val="lv-LV"/>
        </w:rPr>
        <w:t>.11</w:t>
      </w:r>
      <w:r w:rsidR="00594C4E" w:rsidRPr="00AD3B6F">
        <w:rPr>
          <w:rFonts w:ascii="Times New Roman" w:hAnsi="Times New Roman" w:cs="Times New Roman"/>
          <w:sz w:val="20"/>
          <w:szCs w:val="20"/>
          <w:lang w:val="lv-LV"/>
        </w:rPr>
        <w:t xml:space="preserve">.10.2015. </w:t>
      </w:r>
      <w:r w:rsidR="00CE141B">
        <w:rPr>
          <w:rFonts w:ascii="Times New Roman" w:hAnsi="Times New Roman" w:cs="Times New Roman"/>
          <w:sz w:val="20"/>
          <w:szCs w:val="20"/>
          <w:lang w:val="lv-LV"/>
        </w:rPr>
        <w:t>9:59</w:t>
      </w:r>
      <w:bookmarkStart w:id="0" w:name="_GoBack"/>
      <w:bookmarkEnd w:id="0"/>
    </w:p>
    <w:p w:rsidR="00594C4E" w:rsidRPr="00AD3B6F" w:rsidRDefault="00A2375E" w:rsidP="00AD3B6F">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1111</w:t>
      </w:r>
    </w:p>
    <w:p w:rsidR="00594C4E" w:rsidRPr="00AD3B6F" w:rsidRDefault="00594C4E" w:rsidP="00AD3B6F">
      <w:pPr>
        <w:spacing w:after="0" w:line="240" w:lineRule="auto"/>
        <w:rPr>
          <w:rFonts w:ascii="Times New Roman" w:hAnsi="Times New Roman" w:cs="Times New Roman"/>
          <w:sz w:val="20"/>
          <w:szCs w:val="20"/>
          <w:lang w:val="lv-LV"/>
        </w:rPr>
      </w:pPr>
      <w:proofErr w:type="spellStart"/>
      <w:r w:rsidRPr="00AD3B6F">
        <w:rPr>
          <w:rFonts w:ascii="Times New Roman" w:hAnsi="Times New Roman" w:cs="Times New Roman"/>
          <w:sz w:val="20"/>
          <w:szCs w:val="20"/>
          <w:lang w:val="lv-LV"/>
        </w:rPr>
        <w:t>Ličkovska</w:t>
      </w:r>
      <w:proofErr w:type="spellEnd"/>
    </w:p>
    <w:p w:rsidR="00594C4E" w:rsidRPr="00AD3B6F" w:rsidRDefault="00594C4E" w:rsidP="00AD3B6F">
      <w:pPr>
        <w:spacing w:after="0" w:line="240" w:lineRule="auto"/>
        <w:rPr>
          <w:rFonts w:ascii="Times New Roman" w:hAnsi="Times New Roman" w:cs="Times New Roman"/>
          <w:sz w:val="20"/>
          <w:szCs w:val="20"/>
          <w:lang w:val="lv-LV"/>
        </w:rPr>
      </w:pPr>
      <w:r w:rsidRPr="00AD3B6F">
        <w:rPr>
          <w:rFonts w:ascii="Times New Roman" w:hAnsi="Times New Roman" w:cs="Times New Roman"/>
          <w:sz w:val="20"/>
          <w:szCs w:val="20"/>
          <w:lang w:val="lv-LV"/>
        </w:rPr>
        <w:t>67099126, alla.lickovska@mna.gov.lv</w:t>
      </w:r>
    </w:p>
    <w:p w:rsidR="00594C4E" w:rsidRPr="00AD3B6F" w:rsidRDefault="00594C4E" w:rsidP="00AD3B6F">
      <w:pPr>
        <w:spacing w:after="0" w:line="240" w:lineRule="auto"/>
        <w:rPr>
          <w:rFonts w:ascii="Times New Roman" w:hAnsi="Times New Roman" w:cs="Times New Roman"/>
          <w:sz w:val="20"/>
          <w:szCs w:val="20"/>
          <w:lang w:val="lv-LV"/>
        </w:rPr>
      </w:pPr>
    </w:p>
    <w:p w:rsidR="00594C4E" w:rsidRPr="00FE2353" w:rsidRDefault="00594C4E" w:rsidP="008F090B">
      <w:pPr>
        <w:spacing w:line="240" w:lineRule="auto"/>
        <w:rPr>
          <w:rFonts w:ascii="Times New Roman" w:hAnsi="Times New Roman" w:cs="Times New Roman"/>
          <w:sz w:val="28"/>
          <w:szCs w:val="28"/>
          <w:lang w:val="lv-LV"/>
        </w:rPr>
      </w:pPr>
    </w:p>
    <w:p w:rsidR="00917ED9" w:rsidRPr="00FE2353" w:rsidRDefault="00917ED9" w:rsidP="008F090B">
      <w:pPr>
        <w:spacing w:line="240" w:lineRule="auto"/>
        <w:rPr>
          <w:rFonts w:ascii="Times New Roman" w:hAnsi="Times New Roman" w:cs="Times New Roman"/>
          <w:sz w:val="28"/>
          <w:szCs w:val="28"/>
          <w:lang w:val="lv-LV"/>
        </w:rPr>
      </w:pPr>
    </w:p>
    <w:sectPr w:rsidR="00917ED9" w:rsidRPr="00FE2353" w:rsidSect="00594C4E">
      <w:headerReference w:type="even" r:id="rId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7C" w:rsidRDefault="0062097C" w:rsidP="00A57F32">
      <w:pPr>
        <w:spacing w:after="0" w:line="240" w:lineRule="auto"/>
      </w:pPr>
      <w:r>
        <w:separator/>
      </w:r>
    </w:p>
  </w:endnote>
  <w:endnote w:type="continuationSeparator" w:id="0">
    <w:p w:rsidR="0062097C" w:rsidRDefault="0062097C" w:rsidP="00A5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A1" w:rsidRPr="002403CB" w:rsidRDefault="00917ED9" w:rsidP="00B4227D">
    <w:pPr>
      <w:pStyle w:val="Footer"/>
      <w:jc w:val="both"/>
      <w:rPr>
        <w:sz w:val="20"/>
        <w:szCs w:val="20"/>
      </w:rPr>
    </w:pPr>
    <w:r w:rsidRPr="002403CB">
      <w:rPr>
        <w:sz w:val="20"/>
        <w:szCs w:val="20"/>
      </w:rPr>
      <w:t>TMAnot_</w:t>
    </w:r>
    <w:r w:rsidR="00216847">
      <w:rPr>
        <w:sz w:val="20"/>
        <w:szCs w:val="20"/>
      </w:rPr>
      <w:t>03</w:t>
    </w:r>
    <w:r>
      <w:rPr>
        <w:sz w:val="20"/>
        <w:szCs w:val="20"/>
      </w:rPr>
      <w:t>11</w:t>
    </w:r>
    <w:r w:rsidRPr="002403CB">
      <w:rPr>
        <w:sz w:val="20"/>
        <w:szCs w:val="20"/>
      </w:rPr>
      <w:t>15_</w:t>
    </w:r>
    <w:r w:rsidRPr="002403CB">
      <w:rPr>
        <w:spacing w:val="8"/>
        <w:sz w:val="20"/>
        <w:szCs w:val="20"/>
      </w:rPr>
      <w:t>parskati;</w:t>
    </w:r>
    <w:r w:rsidRPr="002403CB">
      <w:rPr>
        <w:sz w:val="20"/>
        <w:szCs w:val="20"/>
      </w:rPr>
      <w:t xml:space="preserve"> Ministru kabineta noteikumu projekta „Noteikumi par maksātnespējas procesa administratora darbības pārskatu un tā aizpildīšanas kārtību” sākotnējās ietekmes novērtējuma ziņojums (</w:t>
    </w:r>
    <w:r w:rsidRPr="002403CB">
      <w:rPr>
        <w:bCs/>
        <w:sz w:val="20"/>
        <w:szCs w:val="20"/>
      </w:rPr>
      <w:t>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A1" w:rsidRPr="002403CB" w:rsidRDefault="00917ED9" w:rsidP="002403CB">
    <w:pPr>
      <w:pStyle w:val="Footer"/>
      <w:jc w:val="both"/>
      <w:rPr>
        <w:szCs w:val="20"/>
      </w:rPr>
    </w:pPr>
    <w:r w:rsidRPr="002403CB">
      <w:rPr>
        <w:sz w:val="20"/>
        <w:szCs w:val="20"/>
      </w:rPr>
      <w:t>TMAnot_</w:t>
    </w:r>
    <w:r>
      <w:rPr>
        <w:sz w:val="20"/>
        <w:szCs w:val="20"/>
      </w:rPr>
      <w:t>0</w:t>
    </w:r>
    <w:r w:rsidR="00216847">
      <w:rPr>
        <w:sz w:val="20"/>
        <w:szCs w:val="20"/>
      </w:rPr>
      <w:t>3</w:t>
    </w:r>
    <w:r>
      <w:rPr>
        <w:sz w:val="20"/>
        <w:szCs w:val="20"/>
      </w:rPr>
      <w:t>11</w:t>
    </w:r>
    <w:r w:rsidRPr="002403CB">
      <w:rPr>
        <w:sz w:val="20"/>
        <w:szCs w:val="20"/>
      </w:rPr>
      <w:t>15_</w:t>
    </w:r>
    <w:r w:rsidRPr="002403CB">
      <w:rPr>
        <w:spacing w:val="8"/>
        <w:sz w:val="20"/>
        <w:szCs w:val="20"/>
      </w:rPr>
      <w:t>parskati;</w:t>
    </w:r>
    <w:r w:rsidRPr="002403CB">
      <w:rPr>
        <w:sz w:val="20"/>
        <w:szCs w:val="20"/>
      </w:rPr>
      <w:t xml:space="preserve"> Ministru kabineta noteikumu projekta „Noteikumi par maksātnespējas procesa administratora darbības pārskatu un tā aizpildīšanas kārtību” sākotnējās ietekmes novērtējuma ziņojums (</w:t>
    </w:r>
    <w:r w:rsidRPr="002403CB">
      <w:rPr>
        <w:bCs/>
        <w:sz w:val="20"/>
        <w:szCs w:val="20"/>
      </w:rPr>
      <w:t>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7C" w:rsidRDefault="0062097C" w:rsidP="00A57F32">
      <w:pPr>
        <w:spacing w:after="0" w:line="240" w:lineRule="auto"/>
      </w:pPr>
      <w:r>
        <w:separator/>
      </w:r>
    </w:p>
  </w:footnote>
  <w:footnote w:type="continuationSeparator" w:id="0">
    <w:p w:rsidR="0062097C" w:rsidRDefault="0062097C" w:rsidP="00A5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A1" w:rsidRDefault="00697350" w:rsidP="00FF661D">
    <w:pPr>
      <w:pStyle w:val="Header"/>
      <w:framePr w:wrap="around" w:vAnchor="text" w:hAnchor="margin" w:xAlign="center" w:y="1"/>
      <w:rPr>
        <w:rStyle w:val="PageNumber"/>
      </w:rPr>
    </w:pPr>
    <w:r>
      <w:rPr>
        <w:rStyle w:val="PageNumber"/>
      </w:rPr>
      <w:fldChar w:fldCharType="begin"/>
    </w:r>
    <w:r w:rsidR="00917ED9">
      <w:rPr>
        <w:rStyle w:val="PageNumber"/>
      </w:rPr>
      <w:instrText xml:space="preserve">PAGE  </w:instrText>
    </w:r>
    <w:r>
      <w:rPr>
        <w:rStyle w:val="PageNumber"/>
      </w:rPr>
      <w:fldChar w:fldCharType="end"/>
    </w:r>
  </w:p>
  <w:p w:rsidR="00217EA1" w:rsidRDefault="00620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A1" w:rsidRDefault="00697350" w:rsidP="00FF661D">
    <w:pPr>
      <w:pStyle w:val="Header"/>
      <w:framePr w:wrap="around" w:vAnchor="text" w:hAnchor="margin" w:xAlign="center" w:y="1"/>
      <w:rPr>
        <w:rStyle w:val="PageNumber"/>
      </w:rPr>
    </w:pPr>
    <w:r>
      <w:rPr>
        <w:rStyle w:val="PageNumber"/>
      </w:rPr>
      <w:fldChar w:fldCharType="begin"/>
    </w:r>
    <w:r w:rsidR="00917ED9">
      <w:rPr>
        <w:rStyle w:val="PageNumber"/>
      </w:rPr>
      <w:instrText xml:space="preserve">PAGE  </w:instrText>
    </w:r>
    <w:r>
      <w:rPr>
        <w:rStyle w:val="PageNumber"/>
      </w:rPr>
      <w:fldChar w:fldCharType="separate"/>
    </w:r>
    <w:r w:rsidR="00CE141B">
      <w:rPr>
        <w:rStyle w:val="PageNumber"/>
        <w:noProof/>
      </w:rPr>
      <w:t>5</w:t>
    </w:r>
    <w:r>
      <w:rPr>
        <w:rStyle w:val="PageNumber"/>
      </w:rPr>
      <w:fldChar w:fldCharType="end"/>
    </w:r>
  </w:p>
  <w:p w:rsidR="00217EA1" w:rsidRDefault="0062097C" w:rsidP="00FF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F600C"/>
    <w:multiLevelType w:val="hybridMultilevel"/>
    <w:tmpl w:val="01EAD220"/>
    <w:lvl w:ilvl="0" w:tplc="49AEEBFE">
      <w:start w:val="1"/>
      <w:numFmt w:val="upperRoman"/>
      <w:lvlText w:val="%1."/>
      <w:lvlJc w:val="left"/>
      <w:pPr>
        <w:ind w:left="1302" w:hanging="720"/>
      </w:pPr>
      <w:rPr>
        <w:rFonts w:hint="default"/>
      </w:rPr>
    </w:lvl>
    <w:lvl w:ilvl="1" w:tplc="04260019" w:tentative="1">
      <w:start w:val="1"/>
      <w:numFmt w:val="lowerLetter"/>
      <w:lvlText w:val="%2."/>
      <w:lvlJc w:val="left"/>
      <w:pPr>
        <w:ind w:left="1662" w:hanging="360"/>
      </w:pPr>
    </w:lvl>
    <w:lvl w:ilvl="2" w:tplc="0426001B" w:tentative="1">
      <w:start w:val="1"/>
      <w:numFmt w:val="lowerRoman"/>
      <w:lvlText w:val="%3."/>
      <w:lvlJc w:val="right"/>
      <w:pPr>
        <w:ind w:left="2382" w:hanging="180"/>
      </w:pPr>
    </w:lvl>
    <w:lvl w:ilvl="3" w:tplc="0426000F" w:tentative="1">
      <w:start w:val="1"/>
      <w:numFmt w:val="decimal"/>
      <w:lvlText w:val="%4."/>
      <w:lvlJc w:val="left"/>
      <w:pPr>
        <w:ind w:left="3102" w:hanging="360"/>
      </w:pPr>
    </w:lvl>
    <w:lvl w:ilvl="4" w:tplc="04260019" w:tentative="1">
      <w:start w:val="1"/>
      <w:numFmt w:val="lowerLetter"/>
      <w:lvlText w:val="%5."/>
      <w:lvlJc w:val="left"/>
      <w:pPr>
        <w:ind w:left="3822" w:hanging="360"/>
      </w:pPr>
    </w:lvl>
    <w:lvl w:ilvl="5" w:tplc="0426001B" w:tentative="1">
      <w:start w:val="1"/>
      <w:numFmt w:val="lowerRoman"/>
      <w:lvlText w:val="%6."/>
      <w:lvlJc w:val="right"/>
      <w:pPr>
        <w:ind w:left="4542" w:hanging="180"/>
      </w:pPr>
    </w:lvl>
    <w:lvl w:ilvl="6" w:tplc="0426000F" w:tentative="1">
      <w:start w:val="1"/>
      <w:numFmt w:val="decimal"/>
      <w:lvlText w:val="%7."/>
      <w:lvlJc w:val="left"/>
      <w:pPr>
        <w:ind w:left="5262" w:hanging="360"/>
      </w:pPr>
    </w:lvl>
    <w:lvl w:ilvl="7" w:tplc="04260019" w:tentative="1">
      <w:start w:val="1"/>
      <w:numFmt w:val="lowerLetter"/>
      <w:lvlText w:val="%8."/>
      <w:lvlJc w:val="left"/>
      <w:pPr>
        <w:ind w:left="5982" w:hanging="360"/>
      </w:pPr>
    </w:lvl>
    <w:lvl w:ilvl="8" w:tplc="0426001B" w:tentative="1">
      <w:start w:val="1"/>
      <w:numFmt w:val="lowerRoman"/>
      <w:lvlText w:val="%9."/>
      <w:lvlJc w:val="right"/>
      <w:pPr>
        <w:ind w:left="67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4E"/>
    <w:rsid w:val="00004683"/>
    <w:rsid w:val="00041582"/>
    <w:rsid w:val="00091AD9"/>
    <w:rsid w:val="00117260"/>
    <w:rsid w:val="00121A7B"/>
    <w:rsid w:val="00152C1D"/>
    <w:rsid w:val="001A56F0"/>
    <w:rsid w:val="002043CA"/>
    <w:rsid w:val="00216847"/>
    <w:rsid w:val="00455924"/>
    <w:rsid w:val="004979E9"/>
    <w:rsid w:val="004C4087"/>
    <w:rsid w:val="005828E0"/>
    <w:rsid w:val="00594C4E"/>
    <w:rsid w:val="005E1EF2"/>
    <w:rsid w:val="0062097C"/>
    <w:rsid w:val="00697350"/>
    <w:rsid w:val="006C1355"/>
    <w:rsid w:val="006C601F"/>
    <w:rsid w:val="00722579"/>
    <w:rsid w:val="00764865"/>
    <w:rsid w:val="007943DA"/>
    <w:rsid w:val="007C61D5"/>
    <w:rsid w:val="007E0D7F"/>
    <w:rsid w:val="00814A8E"/>
    <w:rsid w:val="0086056B"/>
    <w:rsid w:val="008F090B"/>
    <w:rsid w:val="008F0E5B"/>
    <w:rsid w:val="00917ED9"/>
    <w:rsid w:val="00931BC6"/>
    <w:rsid w:val="00937795"/>
    <w:rsid w:val="00A225E0"/>
    <w:rsid w:val="00A2375E"/>
    <w:rsid w:val="00A23789"/>
    <w:rsid w:val="00A57F32"/>
    <w:rsid w:val="00A8301A"/>
    <w:rsid w:val="00A930CD"/>
    <w:rsid w:val="00AD3B6F"/>
    <w:rsid w:val="00B96F6E"/>
    <w:rsid w:val="00CB7A61"/>
    <w:rsid w:val="00CC2EFE"/>
    <w:rsid w:val="00CE141B"/>
    <w:rsid w:val="00D36709"/>
    <w:rsid w:val="00D518AF"/>
    <w:rsid w:val="00DE3A94"/>
    <w:rsid w:val="00E261C9"/>
    <w:rsid w:val="00ED690A"/>
    <w:rsid w:val="00F0480E"/>
    <w:rsid w:val="00FC626A"/>
    <w:rsid w:val="00FE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BC6EEF36-6A33-4C62-BFA8-648AC5F2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4C4E"/>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rsid w:val="00594C4E"/>
    <w:rPr>
      <w:rFonts w:ascii="Times New Roman" w:eastAsia="Times New Roman" w:hAnsi="Times New Roman" w:cs="Times New Roman"/>
      <w:sz w:val="24"/>
      <w:szCs w:val="24"/>
      <w:lang w:val="lv-LV" w:eastAsia="lv-LV"/>
    </w:rPr>
  </w:style>
  <w:style w:type="character" w:styleId="PageNumber">
    <w:name w:val="page number"/>
    <w:basedOn w:val="DefaultParagraphFont"/>
    <w:rsid w:val="00594C4E"/>
  </w:style>
  <w:style w:type="paragraph" w:styleId="Footer">
    <w:name w:val="footer"/>
    <w:basedOn w:val="Normal"/>
    <w:link w:val="FooterChar"/>
    <w:rsid w:val="00594C4E"/>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FooterChar">
    <w:name w:val="Footer Char"/>
    <w:basedOn w:val="DefaultParagraphFont"/>
    <w:link w:val="Footer"/>
    <w:rsid w:val="00594C4E"/>
    <w:rPr>
      <w:rFonts w:ascii="Times New Roman" w:eastAsia="Times New Roman" w:hAnsi="Times New Roman" w:cs="Times New Roman"/>
      <w:sz w:val="24"/>
      <w:szCs w:val="24"/>
      <w:lang w:val="lv-LV" w:eastAsia="lv-LV"/>
    </w:rPr>
  </w:style>
  <w:style w:type="paragraph" w:customStyle="1" w:styleId="naisf">
    <w:name w:val="naisf"/>
    <w:basedOn w:val="Normal"/>
    <w:rsid w:val="00594C4E"/>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NormalWeb">
    <w:name w:val="Normal (Web)"/>
    <w:basedOn w:val="Normal"/>
    <w:uiPriority w:val="99"/>
    <w:rsid w:val="00594C4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Indent3">
    <w:name w:val="Body Text Indent 3"/>
    <w:basedOn w:val="Normal"/>
    <w:link w:val="BodyTextIndent3Char"/>
    <w:rsid w:val="00594C4E"/>
    <w:pPr>
      <w:spacing w:after="120" w:line="240" w:lineRule="auto"/>
      <w:ind w:left="283"/>
    </w:pPr>
    <w:rPr>
      <w:rFonts w:ascii="Times New Roman" w:eastAsia="Times New Roman" w:hAnsi="Times New Roman" w:cs="Times New Roman"/>
      <w:sz w:val="16"/>
      <w:szCs w:val="16"/>
      <w:lang w:val="lv-LV" w:eastAsia="en-US"/>
    </w:rPr>
  </w:style>
  <w:style w:type="character" w:customStyle="1" w:styleId="BodyTextIndent3Char">
    <w:name w:val="Body Text Indent 3 Char"/>
    <w:basedOn w:val="DefaultParagraphFont"/>
    <w:link w:val="BodyTextIndent3"/>
    <w:rsid w:val="00594C4E"/>
    <w:rPr>
      <w:rFonts w:ascii="Times New Roman" w:eastAsia="Times New Roman" w:hAnsi="Times New Roman" w:cs="Times New Roman"/>
      <w:sz w:val="16"/>
      <w:szCs w:val="16"/>
      <w:lang w:val="lv-LV" w:eastAsia="en-US"/>
    </w:rPr>
  </w:style>
  <w:style w:type="paragraph" w:styleId="BodyTextIndent">
    <w:name w:val="Body Text Indent"/>
    <w:basedOn w:val="Normal"/>
    <w:link w:val="BodyTextIndentChar"/>
    <w:rsid w:val="00594C4E"/>
    <w:pPr>
      <w:spacing w:after="120" w:line="240" w:lineRule="auto"/>
      <w:ind w:left="283"/>
    </w:pPr>
    <w:rPr>
      <w:rFonts w:ascii="Times New Roman" w:eastAsia="Times New Roman" w:hAnsi="Times New Roman" w:cs="Times New Roman"/>
      <w:sz w:val="24"/>
      <w:szCs w:val="24"/>
      <w:lang w:val="lv-LV" w:eastAsia="en-US"/>
    </w:rPr>
  </w:style>
  <w:style w:type="character" w:customStyle="1" w:styleId="BodyTextIndentChar">
    <w:name w:val="Body Text Indent Char"/>
    <w:basedOn w:val="DefaultParagraphFont"/>
    <w:link w:val="BodyTextIndent"/>
    <w:rsid w:val="00594C4E"/>
    <w:rPr>
      <w:rFonts w:ascii="Times New Roman" w:eastAsia="Times New Roman" w:hAnsi="Times New Roman" w:cs="Times New Roman"/>
      <w:sz w:val="24"/>
      <w:szCs w:val="24"/>
      <w:lang w:val="lv-LV" w:eastAsia="en-US"/>
    </w:rPr>
  </w:style>
  <w:style w:type="character" w:styleId="Hyperlink">
    <w:name w:val="Hyperlink"/>
    <w:basedOn w:val="DefaultParagraphFont"/>
    <w:uiPriority w:val="99"/>
    <w:unhideWhenUsed/>
    <w:rsid w:val="00594C4E"/>
    <w:rPr>
      <w:color w:val="0000FF" w:themeColor="hyperlink"/>
      <w:u w:val="single"/>
    </w:rPr>
  </w:style>
  <w:style w:type="character" w:styleId="CommentReference">
    <w:name w:val="annotation reference"/>
    <w:basedOn w:val="DefaultParagraphFont"/>
    <w:uiPriority w:val="99"/>
    <w:semiHidden/>
    <w:unhideWhenUsed/>
    <w:rsid w:val="00A23789"/>
    <w:rPr>
      <w:sz w:val="16"/>
      <w:szCs w:val="16"/>
    </w:rPr>
  </w:style>
  <w:style w:type="paragraph" w:styleId="CommentText">
    <w:name w:val="annotation text"/>
    <w:basedOn w:val="Normal"/>
    <w:link w:val="CommentTextChar"/>
    <w:uiPriority w:val="99"/>
    <w:semiHidden/>
    <w:unhideWhenUsed/>
    <w:rsid w:val="00A23789"/>
    <w:pPr>
      <w:spacing w:line="240" w:lineRule="auto"/>
    </w:pPr>
    <w:rPr>
      <w:sz w:val="20"/>
      <w:szCs w:val="20"/>
    </w:rPr>
  </w:style>
  <w:style w:type="character" w:customStyle="1" w:styleId="CommentTextChar">
    <w:name w:val="Comment Text Char"/>
    <w:basedOn w:val="DefaultParagraphFont"/>
    <w:link w:val="CommentText"/>
    <w:uiPriority w:val="99"/>
    <w:semiHidden/>
    <w:rsid w:val="00A23789"/>
    <w:rPr>
      <w:sz w:val="20"/>
      <w:szCs w:val="20"/>
    </w:rPr>
  </w:style>
  <w:style w:type="paragraph" w:styleId="CommentSubject">
    <w:name w:val="annotation subject"/>
    <w:basedOn w:val="CommentText"/>
    <w:next w:val="CommentText"/>
    <w:link w:val="CommentSubjectChar"/>
    <w:uiPriority w:val="99"/>
    <w:semiHidden/>
    <w:unhideWhenUsed/>
    <w:rsid w:val="00A23789"/>
    <w:rPr>
      <w:b/>
      <w:bCs/>
    </w:rPr>
  </w:style>
  <w:style w:type="character" w:customStyle="1" w:styleId="CommentSubjectChar">
    <w:name w:val="Comment Subject Char"/>
    <w:basedOn w:val="CommentTextChar"/>
    <w:link w:val="CommentSubject"/>
    <w:uiPriority w:val="99"/>
    <w:semiHidden/>
    <w:rsid w:val="00A23789"/>
    <w:rPr>
      <w:b/>
      <w:bCs/>
      <w:sz w:val="20"/>
      <w:szCs w:val="20"/>
    </w:rPr>
  </w:style>
  <w:style w:type="paragraph" w:styleId="BalloonText">
    <w:name w:val="Balloon Text"/>
    <w:basedOn w:val="Normal"/>
    <w:link w:val="BalloonTextChar"/>
    <w:uiPriority w:val="99"/>
    <w:semiHidden/>
    <w:unhideWhenUsed/>
    <w:rsid w:val="00A23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89"/>
    <w:rPr>
      <w:rFonts w:ascii="Segoe UI" w:hAnsi="Segoe UI" w:cs="Segoe UI"/>
      <w:sz w:val="18"/>
      <w:szCs w:val="18"/>
    </w:rPr>
  </w:style>
  <w:style w:type="paragraph" w:styleId="Revision">
    <w:name w:val="Revision"/>
    <w:hidden/>
    <w:uiPriority w:val="99"/>
    <w:semiHidden/>
    <w:rsid w:val="00A2375E"/>
    <w:pPr>
      <w:spacing w:after="0" w:line="240" w:lineRule="auto"/>
    </w:pPr>
  </w:style>
  <w:style w:type="paragraph" w:styleId="ListParagraph">
    <w:name w:val="List Paragraph"/>
    <w:basedOn w:val="Normal"/>
    <w:uiPriority w:val="34"/>
    <w:qFormat/>
    <w:rsid w:val="00A2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6297</Words>
  <Characters>3590</Characters>
  <Application>Microsoft Office Word</Application>
  <DocSecurity>0</DocSecurity>
  <Lines>29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Ministru kabineta noteikumu projekta „Noteikumi par maksātnespējas procesa administratora darbības pārskatu un tā aizpildīšanas kārtību” sākotnējās ietekmes novērtējuma ziņojums (anotācija)</vt:lpstr>
      <vt:lpstr>Ministru kabineta noteikumu projekta „Noteikumi par maksātnespējas procesa administratora darbības pārskatu un tā aizpildīšanas kārtību” sākotnējās ietekmes novērtējuma ziņojums (anotācija)</vt:lpstr>
    </vt:vector>
  </TitlesOfParts>
  <Company>Microsoft</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maksātnespējas procesa administratora darbības pārskatu un tā aizpildīšanas kārtību” sākotnējās ietekmes novērtējuma ziņojums (anotācija)</dc:title>
  <dc:subject>Ssākotnējās ietekmes novērtējuma ziņojums (anotācija)</dc:subject>
  <dc:creator>Alla Ličkovska</dc:creator>
  <cp:keywords>Ministru kabineta noteikumu projekta sākotnējās ietekmes novērtējuma ziņojums (anotācija)</cp:keywords>
  <dc:description>alla.lickovska@mna.gov.lv, 67099126</dc:description>
  <cp:lastModifiedBy>User</cp:lastModifiedBy>
  <cp:revision>5</cp:revision>
  <dcterms:created xsi:type="dcterms:W3CDTF">2015-11-03T07:41:00Z</dcterms:created>
  <dcterms:modified xsi:type="dcterms:W3CDTF">2015-11-03T07:59:00Z</dcterms:modified>
</cp:coreProperties>
</file>