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5A9" w:rsidRPr="004B1396" w:rsidRDefault="00151B3D" w:rsidP="004B1396">
      <w:pPr>
        <w:spacing w:after="0" w:line="240" w:lineRule="auto"/>
        <w:ind w:firstLine="300"/>
        <w:jc w:val="center"/>
        <w:rPr>
          <w:rFonts w:ascii="Times New Roman" w:eastAsia="Times New Roman" w:hAnsi="Times New Roman" w:cs="Times New Roman"/>
          <w:b/>
          <w:bCs/>
          <w:sz w:val="24"/>
          <w:szCs w:val="24"/>
          <w:lang w:eastAsia="lv-LV"/>
        </w:rPr>
      </w:pPr>
      <w:r w:rsidRPr="004B1396">
        <w:rPr>
          <w:rFonts w:ascii="Times New Roman" w:eastAsia="Times New Roman" w:hAnsi="Times New Roman" w:cs="Times New Roman"/>
          <w:b/>
          <w:bCs/>
          <w:sz w:val="24"/>
          <w:szCs w:val="24"/>
          <w:lang w:eastAsia="lv-LV"/>
        </w:rPr>
        <w:t xml:space="preserve">Likumprojekta „Grozījumi </w:t>
      </w:r>
      <w:r w:rsidR="00E160BE">
        <w:rPr>
          <w:rFonts w:ascii="Times New Roman" w:eastAsia="Times New Roman" w:hAnsi="Times New Roman" w:cs="Times New Roman"/>
          <w:b/>
          <w:bCs/>
          <w:sz w:val="24"/>
          <w:szCs w:val="24"/>
          <w:lang w:eastAsia="lv-LV"/>
        </w:rPr>
        <w:t>Kriminālprocesa</w:t>
      </w:r>
      <w:r w:rsidR="00D75E37" w:rsidRPr="004B1396">
        <w:rPr>
          <w:rFonts w:ascii="Times New Roman" w:eastAsia="Times New Roman" w:hAnsi="Times New Roman" w:cs="Times New Roman"/>
          <w:b/>
          <w:bCs/>
          <w:sz w:val="24"/>
          <w:szCs w:val="24"/>
          <w:lang w:eastAsia="lv-LV"/>
        </w:rPr>
        <w:t xml:space="preserve"> likumā</w:t>
      </w:r>
      <w:r w:rsidRPr="004B1396">
        <w:rPr>
          <w:rFonts w:ascii="Times New Roman" w:eastAsia="Times New Roman" w:hAnsi="Times New Roman" w:cs="Times New Roman"/>
          <w:b/>
          <w:bCs/>
          <w:sz w:val="24"/>
          <w:szCs w:val="24"/>
          <w:lang w:eastAsia="lv-LV"/>
        </w:rPr>
        <w:t>”</w:t>
      </w:r>
      <w:r w:rsidR="004D15A9" w:rsidRPr="004B1396">
        <w:rPr>
          <w:rFonts w:ascii="Times New Roman" w:eastAsia="Times New Roman" w:hAnsi="Times New Roman" w:cs="Times New Roman"/>
          <w:b/>
          <w:bCs/>
          <w:sz w:val="24"/>
          <w:szCs w:val="24"/>
          <w:lang w:eastAsia="lv-LV"/>
        </w:rPr>
        <w:t xml:space="preserve"> sākotnējās ietekmes novērtējuma ziņojums (anotācija)</w:t>
      </w:r>
    </w:p>
    <w:p w:rsidR="00DA596D" w:rsidRPr="004B1396" w:rsidRDefault="00DA596D" w:rsidP="004B1396">
      <w:pPr>
        <w:spacing w:after="0" w:line="240" w:lineRule="auto"/>
        <w:ind w:firstLine="300"/>
        <w:jc w:val="center"/>
        <w:rPr>
          <w:rFonts w:ascii="Times New Roman" w:eastAsia="Times New Roman" w:hAnsi="Times New Roman" w:cs="Times New Roman"/>
          <w:b/>
          <w:bCs/>
          <w:sz w:val="24"/>
          <w:szCs w:val="24"/>
          <w:lang w:eastAsia="lv-LV"/>
        </w:rPr>
      </w:pPr>
    </w:p>
    <w:tbl>
      <w:tblPr>
        <w:tblW w:w="529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1982"/>
        <w:gridCol w:w="7231"/>
      </w:tblGrid>
      <w:tr w:rsidR="004B1396" w:rsidRPr="004B1396" w:rsidTr="000E40CA">
        <w:trPr>
          <w:trHeight w:val="40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4B1396" w:rsidRDefault="004D15A9" w:rsidP="004B1396">
            <w:pPr>
              <w:spacing w:after="0" w:line="240" w:lineRule="auto"/>
              <w:ind w:firstLine="300"/>
              <w:jc w:val="center"/>
              <w:rPr>
                <w:rFonts w:ascii="Times New Roman" w:eastAsia="Times New Roman" w:hAnsi="Times New Roman" w:cs="Times New Roman"/>
                <w:b/>
                <w:bCs/>
                <w:sz w:val="24"/>
                <w:szCs w:val="24"/>
                <w:lang w:eastAsia="lv-LV"/>
              </w:rPr>
            </w:pPr>
            <w:r w:rsidRPr="004B1396">
              <w:rPr>
                <w:rFonts w:ascii="Times New Roman" w:eastAsia="Times New Roman" w:hAnsi="Times New Roman" w:cs="Times New Roman"/>
                <w:b/>
                <w:bCs/>
                <w:sz w:val="24"/>
                <w:szCs w:val="24"/>
                <w:lang w:eastAsia="lv-LV"/>
              </w:rPr>
              <w:t>I. Tiesību akta projekta izstrādes nepieciešamība</w:t>
            </w:r>
          </w:p>
        </w:tc>
      </w:tr>
      <w:tr w:rsidR="004B1396" w:rsidRPr="004B1396" w:rsidTr="000E40CA">
        <w:trPr>
          <w:trHeight w:val="405"/>
        </w:trPr>
        <w:tc>
          <w:tcPr>
            <w:tcW w:w="236"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1.</w:t>
            </w:r>
          </w:p>
        </w:tc>
        <w:tc>
          <w:tcPr>
            <w:tcW w:w="1025"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Pamatojums</w:t>
            </w:r>
          </w:p>
        </w:tc>
        <w:tc>
          <w:tcPr>
            <w:tcW w:w="3738" w:type="pct"/>
            <w:tcBorders>
              <w:top w:val="outset" w:sz="6" w:space="0" w:color="414142"/>
              <w:left w:val="outset" w:sz="6" w:space="0" w:color="414142"/>
              <w:bottom w:val="outset" w:sz="6" w:space="0" w:color="414142"/>
              <w:right w:val="outset" w:sz="6" w:space="0" w:color="414142"/>
            </w:tcBorders>
            <w:hideMark/>
          </w:tcPr>
          <w:p w:rsidR="00D00EE9" w:rsidRPr="004B1396" w:rsidRDefault="00D00EE9" w:rsidP="003B6C5D">
            <w:pPr>
              <w:pStyle w:val="naiskr"/>
              <w:spacing w:before="0" w:after="0"/>
              <w:jc w:val="both"/>
            </w:pPr>
            <w:r>
              <w:t xml:space="preserve">Eiropas Parlamenta un Padomes </w:t>
            </w:r>
            <w:proofErr w:type="gramStart"/>
            <w:r w:rsidR="003B6C5D">
              <w:t>2014.gada</w:t>
            </w:r>
            <w:proofErr w:type="gramEnd"/>
            <w:r w:rsidR="003B6C5D">
              <w:t xml:space="preserve"> 3.apīļa</w:t>
            </w:r>
            <w:r>
              <w:t xml:space="preserve"> </w:t>
            </w:r>
            <w:r w:rsidRPr="00CD79BD">
              <w:t xml:space="preserve">direktīvas </w:t>
            </w:r>
            <w:r w:rsidR="003B6C5D">
              <w:rPr>
                <w:bCs/>
              </w:rPr>
              <w:t>2014/41/</w:t>
            </w:r>
            <w:r w:rsidRPr="00CD79BD">
              <w:rPr>
                <w:bCs/>
              </w:rPr>
              <w:t>ES</w:t>
            </w:r>
            <w:r w:rsidR="003B6C5D">
              <w:rPr>
                <w:bCs/>
              </w:rPr>
              <w:t xml:space="preserve"> par Eiropas izmeklēšanas rīkojumu krimināllietās. </w:t>
            </w:r>
          </w:p>
        </w:tc>
      </w:tr>
      <w:tr w:rsidR="004B1396" w:rsidRPr="004B1396" w:rsidTr="000E40CA">
        <w:trPr>
          <w:trHeight w:val="465"/>
        </w:trPr>
        <w:tc>
          <w:tcPr>
            <w:tcW w:w="236"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2.</w:t>
            </w:r>
          </w:p>
        </w:tc>
        <w:tc>
          <w:tcPr>
            <w:tcW w:w="1025"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tc>
        <w:tc>
          <w:tcPr>
            <w:tcW w:w="3738" w:type="pct"/>
            <w:tcBorders>
              <w:top w:val="outset" w:sz="6" w:space="0" w:color="414142"/>
              <w:left w:val="outset" w:sz="6" w:space="0" w:color="414142"/>
              <w:bottom w:val="outset" w:sz="6" w:space="0" w:color="414142"/>
              <w:right w:val="outset" w:sz="6" w:space="0" w:color="414142"/>
            </w:tcBorders>
          </w:tcPr>
          <w:p w:rsidR="000A0745" w:rsidRDefault="000A0745" w:rsidP="00810508">
            <w:pPr>
              <w:pStyle w:val="naiskr"/>
              <w:spacing w:before="0" w:after="0"/>
              <w:jc w:val="both"/>
              <w:rPr>
                <w:iCs/>
              </w:rPr>
            </w:pPr>
            <w:r>
              <w:rPr>
                <w:iCs/>
              </w:rPr>
              <w:t xml:space="preserve">Sadarbību krimināltiesību jomā starp Eiropas Savienības (turpmāk – ES) dalībvalstīm šobrīd regulē vairāki ES </w:t>
            </w:r>
            <w:r w:rsidR="007746FF">
              <w:rPr>
                <w:iCs/>
              </w:rPr>
              <w:t xml:space="preserve">un starptautiskie </w:t>
            </w:r>
            <w:r>
              <w:rPr>
                <w:iCs/>
              </w:rPr>
              <w:t xml:space="preserve">tiesību akti. </w:t>
            </w:r>
          </w:p>
          <w:p w:rsidR="00810508" w:rsidRDefault="00810508" w:rsidP="00810508">
            <w:pPr>
              <w:pStyle w:val="naiskr"/>
              <w:spacing w:before="0" w:after="0"/>
              <w:jc w:val="both"/>
              <w:rPr>
                <w:bCs/>
              </w:rPr>
            </w:pPr>
            <w:r>
              <w:rPr>
                <w:color w:val="000000"/>
              </w:rPr>
              <w:t xml:space="preserve">Ar </w:t>
            </w:r>
            <w:hyperlink r:id="rId9" w:anchor="ntr2-L_2014130LV.01000101-E0002" w:history="1">
              <w:r w:rsidRPr="000A0745">
                <w:rPr>
                  <w:i/>
                  <w:color w:val="000000"/>
                </w:rPr>
                <w:t>Padomes Pamatlēmumu</w:t>
              </w:r>
              <w:r w:rsidR="000A0745" w:rsidRPr="000A0745">
                <w:rPr>
                  <w:i/>
                  <w:color w:val="000000"/>
                </w:rPr>
                <w:t xml:space="preserve"> 2003/577/TI (</w:t>
              </w:r>
              <w:proofErr w:type="gramStart"/>
              <w:r w:rsidR="000A0745" w:rsidRPr="000A0745">
                <w:rPr>
                  <w:i/>
                  <w:color w:val="000000"/>
                </w:rPr>
                <w:t>2003.gada</w:t>
              </w:r>
              <w:proofErr w:type="gramEnd"/>
              <w:r w:rsidR="000A0745" w:rsidRPr="000A0745">
                <w:rPr>
                  <w:i/>
                  <w:color w:val="000000"/>
                </w:rPr>
                <w:t xml:space="preserve"> 22.</w:t>
              </w:r>
              <w:r w:rsidRPr="000A0745">
                <w:rPr>
                  <w:i/>
                  <w:color w:val="000000"/>
                </w:rPr>
                <w:t>jūlijs) par to, kā Eiropas Savienībā izpilda īpašuma vai pierādījumu iesaldēšanas rīkojumus</w:t>
              </w:r>
              <w:r>
                <w:rPr>
                  <w:color w:val="000000"/>
                </w:rPr>
                <w:t xml:space="preserve"> </w:t>
              </w:r>
            </w:hyperlink>
            <w:r>
              <w:rPr>
                <w:color w:val="000000"/>
              </w:rPr>
              <w:t>mēģināja panākt tādu rīkojumu tūlītēju savstarpēju atzīšanu, ko izdod, lai novērstu pierādījumu iznīcināšanu, pārveidošanu, pārvietošanu, nodošanu vai atbrīvošanos no tiem. Tomēr, tā kā minētais instruments attiecas tikai uz iesaldēšanas stadiju, tad kopā ar iesaldēšanas rīkojumu ir jāiesniedz atsevišķs lūgums nodot pierādījumus valstij, kas izdod rīkojumu (“izdevējvalsts”), saskaņā ar noteikumiem, kas piemērojami savstarpējai palīdzībai krimināllietās. Šā iemesla dēļ rodas divpakāpju procedūra, un tas mazina tās efektivitāti. Turklāt šāda kārtība pastāv līdztekus tradicionālajiem sadarbības instrumentiem, un praksē kompetentās iestādes to tādēļ izmanto samērā reti.</w:t>
            </w:r>
          </w:p>
          <w:p w:rsidR="000C38BE" w:rsidRDefault="000C38BE" w:rsidP="0091391F">
            <w:pPr>
              <w:pStyle w:val="naiskr"/>
              <w:spacing w:before="0" w:after="0"/>
              <w:jc w:val="both"/>
              <w:rPr>
                <w:color w:val="000000"/>
              </w:rPr>
            </w:pPr>
            <w:r w:rsidRPr="000C38BE">
              <w:rPr>
                <w:i/>
                <w:color w:val="000000"/>
              </w:rPr>
              <w:t>Padomes Pamatlēmums 2008/978/TI (</w:t>
            </w:r>
            <w:proofErr w:type="gramStart"/>
            <w:r w:rsidRPr="000C38BE">
              <w:rPr>
                <w:i/>
                <w:color w:val="000000"/>
              </w:rPr>
              <w:t>2008.gada</w:t>
            </w:r>
            <w:proofErr w:type="gramEnd"/>
            <w:r w:rsidRPr="000C38BE">
              <w:rPr>
                <w:i/>
                <w:color w:val="000000"/>
              </w:rPr>
              <w:t xml:space="preserve"> 18.decembris) par Eiropas pierādījumu iegūšanas rīkojumu nolūkā iegūt priekšmetus, dokumentus un datus, ko izmantot tiesvedībā krimināllietās</w:t>
            </w:r>
            <w:r>
              <w:rPr>
                <w:color w:val="000000"/>
              </w:rPr>
              <w:t xml:space="preserve"> tika pieņemts, lai minētajai jomai piemērotu savstarpējas atzīšanas principu attiecībā uz Eiropas pierādījumu iegūšanas rīkojumu nolūkā iegūt priekšmetus, dokumentus un datus, ko izmantot tiesvedībā krimināllietās. Tomēr </w:t>
            </w:r>
            <w:r w:rsidR="00911ACE">
              <w:rPr>
                <w:color w:val="000000"/>
              </w:rPr>
              <w:t>Eiropas pierādījumu iegūšanas rīkojumu</w:t>
            </w:r>
            <w:r>
              <w:rPr>
                <w:color w:val="000000"/>
              </w:rPr>
              <w:t xml:space="preserve"> piemēro tikai jau esošiem pierādījumiem un tādēļ tikai ierobežoti aptver tiesu iestāžu sadarbību krimināllietās attiecībā uz pierādījumiem. Šādas ierobežotas darbības jomas dēļ kompetentās iestādes ir varējušas brīvi izmantot jauno kārtību vai arī izmantot savstarpējas tiesiskās palīdzības procedūras, kas katrā ziņā paliek piemērojamas pierādījumiem, kuri ir ārpus </w:t>
            </w:r>
            <w:r w:rsidR="0091391F">
              <w:rPr>
                <w:color w:val="000000"/>
              </w:rPr>
              <w:t>Eiropas pierādījumu iegūšanas rīkojuma</w:t>
            </w:r>
            <w:r>
              <w:rPr>
                <w:color w:val="000000"/>
              </w:rPr>
              <w:t xml:space="preserve"> darbības jomas.</w:t>
            </w:r>
          </w:p>
          <w:p w:rsidR="00A55038" w:rsidRDefault="00A55038" w:rsidP="0091391F">
            <w:pPr>
              <w:pStyle w:val="naiskr"/>
              <w:spacing w:before="0" w:after="0"/>
              <w:jc w:val="both"/>
              <w:rPr>
                <w:color w:val="000000"/>
              </w:rPr>
            </w:pPr>
            <w:r>
              <w:rPr>
                <w:color w:val="000000"/>
              </w:rPr>
              <w:t>Tāpat ES dalībvalstu savstarpējo krimināltiesisko sadarb</w:t>
            </w:r>
            <w:r w:rsidR="007718F6">
              <w:rPr>
                <w:color w:val="000000"/>
              </w:rPr>
              <w:t>ību regulē</w:t>
            </w:r>
            <w:r>
              <w:rPr>
                <w:color w:val="000000"/>
              </w:rPr>
              <w:t xml:space="preserve"> </w:t>
            </w:r>
            <w:proofErr w:type="gramStart"/>
            <w:r w:rsidRPr="007718F6">
              <w:rPr>
                <w:i/>
                <w:color w:val="000000"/>
              </w:rPr>
              <w:t>2000.gad</w:t>
            </w:r>
            <w:r w:rsidR="007718F6" w:rsidRPr="007718F6">
              <w:rPr>
                <w:i/>
                <w:color w:val="000000"/>
              </w:rPr>
              <w:t>a</w:t>
            </w:r>
            <w:proofErr w:type="gramEnd"/>
            <w:r w:rsidR="007718F6" w:rsidRPr="007718F6">
              <w:rPr>
                <w:i/>
                <w:color w:val="000000"/>
              </w:rPr>
              <w:t xml:space="preserve"> 29.</w:t>
            </w:r>
            <w:r w:rsidR="007718F6" w:rsidRPr="007718F6">
              <w:rPr>
                <w:i/>
              </w:rPr>
              <w:t>maija</w:t>
            </w:r>
            <w:r w:rsidRPr="007718F6">
              <w:rPr>
                <w:i/>
              </w:rPr>
              <w:t xml:space="preserve"> Konvencija par ES dalībvalstu savstarpē</w:t>
            </w:r>
            <w:r w:rsidR="007718F6" w:rsidRPr="007718F6">
              <w:rPr>
                <w:i/>
              </w:rPr>
              <w:t>ju</w:t>
            </w:r>
            <w:r w:rsidRPr="007718F6">
              <w:rPr>
                <w:i/>
              </w:rPr>
              <w:t xml:space="preserve"> palīdzību krimināllietās</w:t>
            </w:r>
            <w:r w:rsidR="007718F6" w:rsidRPr="007718F6">
              <w:rPr>
                <w:i/>
              </w:rPr>
              <w:t>,</w:t>
            </w:r>
            <w:r w:rsidR="007718F6" w:rsidRPr="007718F6">
              <w:rPr>
                <w:bCs/>
                <w:i/>
              </w:rPr>
              <w:t xml:space="preserve"> ko padome pieņēmusi saskaņā ar Līguma par Eiropas Savienību 34.pantu</w:t>
            </w:r>
            <w:r w:rsidRPr="007718F6">
              <w:rPr>
                <w:i/>
              </w:rPr>
              <w:t xml:space="preserve"> un tās papildprotokols</w:t>
            </w:r>
            <w:r w:rsidRPr="007718F6">
              <w:t xml:space="preserve">, kā arī </w:t>
            </w:r>
            <w:r w:rsidRPr="007718F6">
              <w:rPr>
                <w:i/>
              </w:rPr>
              <w:t xml:space="preserve">Eiropas Padomes 1959.gada 20.aprīļa </w:t>
            </w:r>
            <w:r w:rsidRPr="007718F6">
              <w:rPr>
                <w:i/>
                <w:color w:val="000000"/>
              </w:rPr>
              <w:t>Eiropas Konvencija par tiesisko palīdzību krimināllietās</w:t>
            </w:r>
            <w:r w:rsidRPr="007718F6">
              <w:rPr>
                <w:color w:val="000000"/>
              </w:rPr>
              <w:t>,</w:t>
            </w:r>
            <w:r>
              <w:rPr>
                <w:color w:val="000000"/>
              </w:rPr>
              <w:t xml:space="preserve"> </w:t>
            </w:r>
            <w:r w:rsidR="004629D0" w:rsidRPr="004629D0">
              <w:rPr>
                <w:color w:val="000000"/>
              </w:rPr>
              <w:t xml:space="preserve">(turpmāk </w:t>
            </w:r>
            <w:r w:rsidR="004629D0">
              <w:rPr>
                <w:color w:val="000000"/>
              </w:rPr>
              <w:t>–</w:t>
            </w:r>
            <w:r w:rsidR="004629D0" w:rsidRPr="004629D0">
              <w:rPr>
                <w:color w:val="000000"/>
              </w:rPr>
              <w:t xml:space="preserve"> 2000.gada 29.</w:t>
            </w:r>
            <w:r w:rsidR="004629D0" w:rsidRPr="004629D0">
              <w:t>maija</w:t>
            </w:r>
            <w:r w:rsidR="004629D0">
              <w:t xml:space="preserve"> Konvencija</w:t>
            </w:r>
            <w:r w:rsidR="004629D0" w:rsidRPr="004629D0">
              <w:t>)</w:t>
            </w:r>
            <w:r w:rsidR="004629D0">
              <w:t xml:space="preserve"> </w:t>
            </w:r>
            <w:r>
              <w:rPr>
                <w:color w:val="000000"/>
              </w:rPr>
              <w:t xml:space="preserve">tās divi papildprotokoli un uz Konvencijas 26.panta pamata noslēgtie valstu divpusējie līgumi. </w:t>
            </w:r>
          </w:p>
          <w:p w:rsidR="00911ACE" w:rsidRDefault="00FA1732" w:rsidP="00D802DD">
            <w:pPr>
              <w:pStyle w:val="naiskr"/>
              <w:spacing w:before="0" w:after="0"/>
              <w:jc w:val="both"/>
              <w:rPr>
                <w:color w:val="000000"/>
              </w:rPr>
            </w:pPr>
            <w:r>
              <w:rPr>
                <w:color w:val="000000"/>
              </w:rPr>
              <w:t xml:space="preserve">Kā redzams, tad ES dalībvalstu savstarpējo sadarbību un palīdzību krimināllietās regulē ievērojams skaits tiesību aktu, kas sadarbības mehānismu padara sarežģītu, sadrumstalotu un tā apgrūtina tā efektīvu un pilnvērtīgu izmantošanu. </w:t>
            </w:r>
            <w:r w:rsidR="00D802DD">
              <w:rPr>
                <w:color w:val="000000"/>
              </w:rPr>
              <w:t xml:space="preserve">Uz minēto norādīja arī Eiropadome </w:t>
            </w:r>
            <w:proofErr w:type="gramStart"/>
            <w:r w:rsidR="00D802DD">
              <w:rPr>
                <w:color w:val="000000"/>
              </w:rPr>
              <w:t>2009.gada</w:t>
            </w:r>
            <w:proofErr w:type="gramEnd"/>
            <w:r w:rsidR="00D802DD">
              <w:rPr>
                <w:color w:val="000000"/>
              </w:rPr>
              <w:t xml:space="preserve"> 10.-11.decembrī pieņemtajā </w:t>
            </w:r>
            <w:r w:rsidR="00443496" w:rsidRPr="00D802DD">
              <w:rPr>
                <w:i/>
                <w:color w:val="000000"/>
              </w:rPr>
              <w:t>Stokholmas program</w:t>
            </w:r>
            <w:r w:rsidR="00D802DD" w:rsidRPr="00D802DD">
              <w:rPr>
                <w:i/>
                <w:color w:val="000000"/>
              </w:rPr>
              <w:t>mā</w:t>
            </w:r>
            <w:r w:rsidR="00D802DD">
              <w:rPr>
                <w:color w:val="000000"/>
              </w:rPr>
              <w:t xml:space="preserve">, uzskatot, ka </w:t>
            </w:r>
            <w:r w:rsidR="00443496">
              <w:rPr>
                <w:color w:val="000000"/>
              </w:rPr>
              <w:t xml:space="preserve">būtu jāturpina veidot vispusīgu sistēmu pierādījumu iegūšanai lietās ar pārrobežu dimensiju, pamatojoties uz savstarpējas atzīšanas principu. Eiropadome norādīja, ka ir vajadzīga jauna pieeja, kas balstītos uz savstarpējas atzīšanas principu, taču ņemtu vērā arī tradicionālās </w:t>
            </w:r>
            <w:r w:rsidR="00443496">
              <w:rPr>
                <w:color w:val="000000"/>
              </w:rPr>
              <w:lastRenderedPageBreak/>
              <w:t>savstarpējās tiesiskās palīdzības sistēmas elastību. Eiropadome tādēļ aicināja izveidot vispusīgu sistēmu, ar kuru aizstātu visus šajā jomā esošos instrumentus, tostarp Pamatlēmumu 2008/978/TI, kurā pēc iespējas ietvertu visus pierādījumu veidus, izpildes termiņus un pēc iespējas ierobežotu atteikuma pamatojumus.</w:t>
            </w:r>
          </w:p>
          <w:p w:rsidR="00D802DD" w:rsidRDefault="008D09C3" w:rsidP="008D09C3">
            <w:pPr>
              <w:pStyle w:val="naiskr"/>
              <w:spacing w:before="0" w:after="0"/>
              <w:jc w:val="both"/>
              <w:rPr>
                <w:color w:val="000000"/>
              </w:rPr>
            </w:pPr>
            <w:r>
              <w:rPr>
                <w:color w:val="000000"/>
              </w:rPr>
              <w:t xml:space="preserve">Ievērojot minēto, kā arī ņemot vērā </w:t>
            </w:r>
            <w:r>
              <w:rPr>
                <w:i/>
                <w:color w:val="000000"/>
              </w:rPr>
              <w:t>Stokholmas programmā</w:t>
            </w:r>
            <w:r>
              <w:rPr>
                <w:color w:val="000000"/>
              </w:rPr>
              <w:t xml:space="preserve"> norādītos apsvērumus un argumentus, pamatojoties uz 7 ES dalībvalstu iniciatīvu, </w:t>
            </w:r>
            <w:proofErr w:type="gramStart"/>
            <w:r>
              <w:rPr>
                <w:color w:val="000000"/>
              </w:rPr>
              <w:t>2014.gada</w:t>
            </w:r>
            <w:proofErr w:type="gramEnd"/>
            <w:r>
              <w:rPr>
                <w:color w:val="000000"/>
              </w:rPr>
              <w:t xml:space="preserve"> 3.aprīlī tika pieņemta Eiropas Parlamenta un Padomes direktīva 2014/41/ES par Eiropas izmeklēšanas rīkojumu krimināllietās (turpmāk – Direktīva), kura paredz vienu vienīgu instrumentu – Eiropas izmeklēšanas rīkojumu (turpmāk – EIR), kas izdodams, lai panāktu,</w:t>
            </w:r>
            <w:r w:rsidR="007746FF">
              <w:rPr>
                <w:color w:val="000000"/>
              </w:rPr>
              <w:t xml:space="preserve"> ka dalībvalstī, kas izpilda EI</w:t>
            </w:r>
            <w:r>
              <w:rPr>
                <w:color w:val="000000"/>
              </w:rPr>
              <w:t xml:space="preserve">R veic vienu vai vairākus konkrētus izmeklēšanas pasākumus nolūkā vākt pierādījumus. Tas aptver arī tādu pierādījumu iegūšanu, kas jau ir attiecīgās izpildes iestādes rīcībā. </w:t>
            </w:r>
          </w:p>
          <w:p w:rsidR="009233E2" w:rsidRDefault="009233E2" w:rsidP="008D09C3">
            <w:pPr>
              <w:pStyle w:val="naiskr"/>
              <w:spacing w:before="0" w:after="0"/>
              <w:jc w:val="both"/>
              <w:rPr>
                <w:color w:val="000000"/>
              </w:rPr>
            </w:pPr>
            <w:r>
              <w:rPr>
                <w:color w:val="000000"/>
              </w:rPr>
              <w:t>Līdz ar to ar Direktīvas pieņemšanu tiek paplašinātas dalībvalstu iespējas attiecībā uz pierādījumu iegūšanu citas dal</w:t>
            </w:r>
            <w:bookmarkStart w:id="0" w:name="_GoBack"/>
            <w:bookmarkEnd w:id="0"/>
            <w:r>
              <w:rPr>
                <w:color w:val="000000"/>
              </w:rPr>
              <w:t xml:space="preserve">ībvalsts teritorijā un atvieglota to iegūšana, jo, lai iegūtu jaunus vai jau esošus pierādījumus, kā arī, lai iegūtu pierādījumus reāllaikā, būs nepieciešams aizpildīt vienu, vienotas formas dokumentu – EIR, aizstājot līdz šim pastāvējušo kārtību, kas paredzēja nepieciešamību atsevišķu pierādījumu iegūšanai divpakāpju sistēmu – sākotnēji lūgt pierādījumu iesaldēšanu, bet pēc tam atsevišķā tiesiskās palīdzības lūgumā lūdzot šo pierādījumu nodošanu. </w:t>
            </w:r>
            <w:r w:rsidR="002733F1">
              <w:rPr>
                <w:color w:val="000000"/>
              </w:rPr>
              <w:t xml:space="preserve">Paredzams, ka jaunā kārtība arī paātrinās iesniegto lūgumu izpildi, jo Direktīva paredz konkrēti noteiktus termiņus EIR atzīšanai un izpildei. </w:t>
            </w:r>
          </w:p>
          <w:p w:rsidR="002733F1" w:rsidRDefault="002733F1" w:rsidP="002733F1">
            <w:pPr>
              <w:pStyle w:val="naiskr"/>
              <w:spacing w:before="0" w:after="0"/>
              <w:jc w:val="both"/>
              <w:rPr>
                <w:color w:val="000000"/>
                <w:u w:val="single"/>
              </w:rPr>
            </w:pPr>
            <w:r w:rsidRPr="002733F1">
              <w:rPr>
                <w:color w:val="000000"/>
                <w:u w:val="single"/>
              </w:rPr>
              <w:t>Būtiski norādīt, ka Direktīvas normas būs piemērojamas arī sadarbībā ar Apvienoto Karalisti, bet nebūs piemērojamas sadarbībā ar Dāniju un Īriju</w:t>
            </w:r>
            <w:r>
              <w:rPr>
                <w:color w:val="000000"/>
                <w:u w:val="single"/>
              </w:rPr>
              <w:t xml:space="preserve">, jo tām šīs Direktīvas normas un noteikumi nav saistoši. </w:t>
            </w:r>
          </w:p>
          <w:p w:rsidR="007746FF" w:rsidRDefault="007746FF" w:rsidP="002733F1">
            <w:pPr>
              <w:pStyle w:val="naiskr"/>
              <w:spacing w:before="0" w:after="0"/>
              <w:jc w:val="both"/>
              <w:rPr>
                <w:color w:val="000000"/>
                <w:u w:val="single"/>
              </w:rPr>
            </w:pPr>
          </w:p>
          <w:p w:rsidR="007746FF" w:rsidRPr="00394423" w:rsidRDefault="007746FF" w:rsidP="002733F1">
            <w:pPr>
              <w:pStyle w:val="naiskr"/>
              <w:spacing w:before="0" w:after="0"/>
              <w:jc w:val="both"/>
              <w:rPr>
                <w:color w:val="000000"/>
              </w:rPr>
            </w:pPr>
            <w:r w:rsidRPr="00394423">
              <w:rPr>
                <w:color w:val="000000"/>
              </w:rPr>
              <w:t xml:space="preserve">Tāpat būtiski ir tas, ka Direktīvas </w:t>
            </w:r>
            <w:proofErr w:type="gramStart"/>
            <w:r w:rsidRPr="00394423">
              <w:rPr>
                <w:color w:val="000000"/>
              </w:rPr>
              <w:t>34.panta</w:t>
            </w:r>
            <w:proofErr w:type="gramEnd"/>
            <w:r w:rsidRPr="00394423">
              <w:rPr>
                <w:color w:val="000000"/>
              </w:rPr>
              <w:t xml:space="preserve"> trešā daļa ļauj dalībvalstīm turpināt piemērot, kā arī noslēgt jaunus divpusējos līgumus</w:t>
            </w:r>
            <w:r w:rsidR="002378FD" w:rsidRPr="00394423">
              <w:rPr>
                <w:color w:val="000000"/>
              </w:rPr>
              <w:t xml:space="preserve"> vai vienošanās. Tomēr kā būtisks nosacījums tam ir tas, ka šo līgumu un vienošanās mērķim ir jābūt vērstam uz to, lai stiprinātu šajā Direktīvā izvirzītos mērķus un vēl vairāk atvieglotu un vienkāršotu pierādījumu iegūšanas procedūru</w:t>
            </w:r>
            <w:r w:rsidR="00546488" w:rsidRPr="00394423">
              <w:rPr>
                <w:color w:val="000000"/>
              </w:rPr>
              <w:t xml:space="preserve">, vienlaikus ievērojot Direktīvā noteikto aizsardzības līmeni. </w:t>
            </w:r>
            <w:r w:rsidR="00394423">
              <w:rPr>
                <w:color w:val="000000"/>
              </w:rPr>
              <w:t xml:space="preserve">Līdz ar to spēkā esošos divpusējos līgums, ko Latvija noslēgusi ar citām ES dalībvalstīm, var piemērot tiktāl, ciktāl tie atbilst Direktīvas prasībām un kaut kādā mērā vēl vairāk atvieglo un vienkāršo pierādījumu iegūšanu. </w:t>
            </w:r>
          </w:p>
          <w:p w:rsidR="00673495" w:rsidRDefault="00673495" w:rsidP="002733F1">
            <w:pPr>
              <w:pStyle w:val="naiskr"/>
              <w:spacing w:before="0" w:after="0"/>
              <w:jc w:val="both"/>
              <w:rPr>
                <w:color w:val="000000"/>
              </w:rPr>
            </w:pPr>
          </w:p>
          <w:p w:rsidR="00D47A5C" w:rsidRDefault="00225B0C" w:rsidP="002733F1">
            <w:pPr>
              <w:pStyle w:val="naiskr"/>
              <w:spacing w:before="0" w:after="0"/>
              <w:jc w:val="both"/>
              <w:rPr>
                <w:color w:val="000000"/>
              </w:rPr>
            </w:pPr>
            <w:r>
              <w:rPr>
                <w:color w:val="000000"/>
              </w:rPr>
              <w:t>Izvērtējot Direktīvas normas, secināts, ka Kriminālprocesa likumā (turpmāk – KPL) nepieciešams paredzēt kārtību, kādā tiek atzīti un izpildīti no ES dalībvalstīm saņemtiem EIR, kā arī jānoteic kārtībā, kād</w:t>
            </w:r>
            <w:r w:rsidR="00954918">
              <w:rPr>
                <w:color w:val="000000"/>
              </w:rPr>
              <w:t xml:space="preserve">ā </w:t>
            </w:r>
            <w:r w:rsidR="00555B1C">
              <w:rPr>
                <w:color w:val="000000"/>
              </w:rPr>
              <w:t xml:space="preserve">Latvijā </w:t>
            </w:r>
            <w:r w:rsidR="00954918">
              <w:rPr>
                <w:color w:val="000000"/>
              </w:rPr>
              <w:t xml:space="preserve">EIR tiek pieņemts un nodots izpildei. </w:t>
            </w:r>
          </w:p>
          <w:p w:rsidR="007A0632" w:rsidRDefault="00D47A5C" w:rsidP="002733F1">
            <w:pPr>
              <w:pStyle w:val="naiskr"/>
              <w:spacing w:before="0" w:after="0"/>
              <w:jc w:val="both"/>
              <w:rPr>
                <w:color w:val="000000"/>
              </w:rPr>
            </w:pPr>
            <w:r>
              <w:rPr>
                <w:color w:val="000000"/>
              </w:rPr>
              <w:t>Lai arī KPL 82.nodaļa nosaka kārtību, kādā ārvalstij sniedzama palīdzība procesuālo darbību veikšana, bet 83.nodaļa – kārtību, kādā iesniedzams lūgums ārvalstij par procesuālās darbības veikšanu, Direktīvas normas paredz specifiskus noteikumus tieši attiecībā uz EIR. Lai KPL iestrādātu Direktīvas prasības, KPL C daļa papildināma ar jaunu 82.</w:t>
            </w:r>
            <w:r>
              <w:rPr>
                <w:color w:val="000000"/>
                <w:vertAlign w:val="superscript"/>
              </w:rPr>
              <w:t>1</w:t>
            </w:r>
            <w:r>
              <w:rPr>
                <w:color w:val="000000"/>
              </w:rPr>
              <w:t>nodaļu, kurā noteikta EIR atzīšanas un izpildes kārtībā un jaunu 83.</w:t>
            </w:r>
            <w:r>
              <w:rPr>
                <w:color w:val="000000"/>
                <w:vertAlign w:val="superscript"/>
              </w:rPr>
              <w:t>1</w:t>
            </w:r>
            <w:r>
              <w:rPr>
                <w:color w:val="000000"/>
              </w:rPr>
              <w:t xml:space="preserve">nodaļu, kurā noteikta EIR pieņemšanas un nodošanas izpildei kārtība. </w:t>
            </w:r>
          </w:p>
          <w:p w:rsidR="00225B0C" w:rsidRDefault="007A0632" w:rsidP="002733F1">
            <w:pPr>
              <w:pStyle w:val="naiskr"/>
              <w:spacing w:before="0" w:after="0"/>
              <w:jc w:val="both"/>
              <w:rPr>
                <w:color w:val="000000"/>
              </w:rPr>
            </w:pPr>
            <w:r>
              <w:rPr>
                <w:color w:val="000000"/>
              </w:rPr>
              <w:t>Tāpat likumprojektā iekļauti grozījumi, lai esošajā regulējumā iestrādātu</w:t>
            </w:r>
            <w:r w:rsidR="00D47A5C">
              <w:rPr>
                <w:color w:val="000000"/>
              </w:rPr>
              <w:t xml:space="preserve"> </w:t>
            </w:r>
            <w:r w:rsidR="00FE2471">
              <w:rPr>
                <w:color w:val="000000"/>
              </w:rPr>
              <w:lastRenderedPageBreak/>
              <w:t>D</w:t>
            </w:r>
            <w:r>
              <w:rPr>
                <w:color w:val="000000"/>
              </w:rPr>
              <w:t xml:space="preserve">irektīvas prasības attiecībā uz atsevišķām procesuālajām darbībām. </w:t>
            </w:r>
            <w:r w:rsidR="00FE2471">
              <w:rPr>
                <w:color w:val="000000"/>
              </w:rPr>
              <w:t xml:space="preserve">Ņemot vērā, ka Direktīvas prasības jau lielā mērā ir ietvertas KPL, izstrādājot grozījumus, tika secināts, ka nebūtu vēlams dublēt jau spēkā esošas normas, līdz ar to tika izvēlēts risinājums papildināt jau spēkā esošo regulējumu ar izņēmumiem, kas attiektos tikai uz EIR un Direktīvas prasībām. </w:t>
            </w:r>
          </w:p>
          <w:p w:rsidR="001A23B9" w:rsidRDefault="001A23B9" w:rsidP="002733F1">
            <w:pPr>
              <w:pStyle w:val="naiskr"/>
              <w:spacing w:before="0" w:after="0"/>
              <w:jc w:val="both"/>
              <w:rPr>
                <w:color w:val="000000"/>
              </w:rPr>
            </w:pPr>
          </w:p>
          <w:p w:rsidR="001A23B9" w:rsidRDefault="009414C9" w:rsidP="002733F1">
            <w:pPr>
              <w:pStyle w:val="naiskr"/>
              <w:spacing w:before="0" w:after="0"/>
              <w:jc w:val="both"/>
              <w:rPr>
                <w:color w:val="000000"/>
              </w:rPr>
            </w:pPr>
            <w:r>
              <w:rPr>
                <w:color w:val="000000"/>
                <w:u w:val="single"/>
              </w:rPr>
              <w:t xml:space="preserve">Likumprojekta </w:t>
            </w:r>
            <w:proofErr w:type="gramStart"/>
            <w:r>
              <w:rPr>
                <w:color w:val="000000"/>
                <w:u w:val="single"/>
              </w:rPr>
              <w:t>1.pants</w:t>
            </w:r>
            <w:proofErr w:type="gramEnd"/>
            <w:r>
              <w:rPr>
                <w:color w:val="000000"/>
              </w:rPr>
              <w:t xml:space="preserve"> paredz papildināt KPL 680.pantu ar otro daļu, kas KPL noteiktu praksē pastāvošo principu – izmaksas par personas pagaidu </w:t>
            </w:r>
            <w:r w:rsidR="00CD72E4">
              <w:rPr>
                <w:color w:val="000000"/>
              </w:rPr>
              <w:t>pieņemšanu vai nodošanu sedz tā valsts, kura to ir lūgusi. Līdz ar grozījumiem KPL būs skaidri noteikts, ka Latvijas sedz visas izmaksas, kas rodas, veicot personas pagaidu pieņemšanu vai nodošanu pēc Latvijas lūguma.</w:t>
            </w:r>
            <w:r w:rsidR="005A2818">
              <w:rPr>
                <w:color w:val="000000"/>
              </w:rPr>
              <w:t xml:space="preserve"> Ar izstrādātajiem grozījumiem tiek ieviestas arī Direktīvas </w:t>
            </w:r>
            <w:proofErr w:type="gramStart"/>
            <w:r w:rsidR="005A2818">
              <w:rPr>
                <w:color w:val="000000"/>
              </w:rPr>
              <w:t>22.panta</w:t>
            </w:r>
            <w:proofErr w:type="gramEnd"/>
            <w:r w:rsidR="005A2818">
              <w:rPr>
                <w:color w:val="000000"/>
              </w:rPr>
              <w:t xml:space="preserve"> 10.daļas uz 23.panta trešās daļas prasības. </w:t>
            </w:r>
          </w:p>
          <w:p w:rsidR="007D588C" w:rsidRDefault="007D588C" w:rsidP="002733F1">
            <w:pPr>
              <w:pStyle w:val="naiskr"/>
              <w:spacing w:before="0" w:after="0"/>
              <w:jc w:val="both"/>
              <w:rPr>
                <w:color w:val="000000"/>
              </w:rPr>
            </w:pPr>
          </w:p>
          <w:p w:rsidR="007D588C" w:rsidRDefault="007D588C" w:rsidP="002733F1">
            <w:pPr>
              <w:pStyle w:val="naiskr"/>
              <w:spacing w:before="0" w:after="0"/>
              <w:jc w:val="both"/>
              <w:rPr>
                <w:color w:val="000000"/>
              </w:rPr>
            </w:pPr>
            <w:r>
              <w:rPr>
                <w:color w:val="000000"/>
                <w:u w:val="single"/>
              </w:rPr>
              <w:t xml:space="preserve">Likumprojekta </w:t>
            </w:r>
            <w:proofErr w:type="gramStart"/>
            <w:r>
              <w:rPr>
                <w:color w:val="000000"/>
                <w:u w:val="single"/>
              </w:rPr>
              <w:t>2.pants</w:t>
            </w:r>
            <w:proofErr w:type="gramEnd"/>
            <w:r>
              <w:rPr>
                <w:color w:val="000000"/>
              </w:rPr>
              <w:t xml:space="preserve"> paredz papildināt KPL 851.pantu ar sesto daļu, nosakot, ka EIR izpildes procesā, personu, kurai ir tiesības </w:t>
            </w:r>
            <w:r w:rsidR="00C20B16">
              <w:rPr>
                <w:color w:val="000000"/>
              </w:rPr>
              <w:t xml:space="preserve">uz aizstāvību, nopratināt, izmantojot tehniskos līdzekļus, var tikai tad, ja persona tam piekrīt. Nepieciešamība papildināt KPL ar šādu atrunu izriet no Direktīvas </w:t>
            </w:r>
            <w:proofErr w:type="gramStart"/>
            <w:r w:rsidR="00C20B16">
              <w:rPr>
                <w:color w:val="000000"/>
              </w:rPr>
              <w:t>24.panta</w:t>
            </w:r>
            <w:proofErr w:type="gramEnd"/>
            <w:r w:rsidR="00C20B16">
              <w:rPr>
                <w:color w:val="000000"/>
              </w:rPr>
              <w:t xml:space="preserve"> otrās daļas a) apakšpunkta. Ņemot vēr</w:t>
            </w:r>
            <w:r w:rsidR="00CD2793">
              <w:rPr>
                <w:color w:val="000000"/>
              </w:rPr>
              <w:t>ā, ka pārējais Direktīvas 24.pantā noteiktais atbilst spēkā esošajam KPL 851.panta regulējumam, lai izvairītos no normu dublēšanas, tika nolemts papildināt KPL 851.pantu, nevis veidot jaunu pantu KPL 82.</w:t>
            </w:r>
            <w:r w:rsidR="00CD2793">
              <w:rPr>
                <w:color w:val="000000"/>
                <w:vertAlign w:val="superscript"/>
              </w:rPr>
              <w:t>1</w:t>
            </w:r>
            <w:r w:rsidR="00CD2793">
              <w:rPr>
                <w:color w:val="000000"/>
              </w:rPr>
              <w:t xml:space="preserve">nodaļas ietvaros. </w:t>
            </w:r>
          </w:p>
          <w:p w:rsidR="00B55FAC" w:rsidRDefault="00B55FAC" w:rsidP="002733F1">
            <w:pPr>
              <w:pStyle w:val="naiskr"/>
              <w:spacing w:before="0" w:after="0"/>
              <w:jc w:val="both"/>
              <w:rPr>
                <w:color w:val="000000"/>
              </w:rPr>
            </w:pPr>
          </w:p>
          <w:p w:rsidR="00B55FAC" w:rsidRDefault="00B55FAC" w:rsidP="002733F1">
            <w:pPr>
              <w:pStyle w:val="naiskr"/>
              <w:spacing w:before="0" w:after="0"/>
              <w:jc w:val="both"/>
              <w:rPr>
                <w:color w:val="000000"/>
              </w:rPr>
            </w:pPr>
            <w:r>
              <w:rPr>
                <w:color w:val="000000"/>
                <w:u w:val="single"/>
              </w:rPr>
              <w:t xml:space="preserve">Likumprojekta </w:t>
            </w:r>
            <w:proofErr w:type="gramStart"/>
            <w:r>
              <w:rPr>
                <w:color w:val="000000"/>
                <w:u w:val="single"/>
              </w:rPr>
              <w:t>3.pants</w:t>
            </w:r>
            <w:proofErr w:type="gramEnd"/>
            <w:r>
              <w:rPr>
                <w:color w:val="000000"/>
              </w:rPr>
              <w:t xml:space="preserve"> izstrādāts, lai KPL iestrādātu  Direktīvas 22.panta otrās daļas b) apakšpunkta noteikumus, tas ir, nepieciešamību paredzēt, ka apcietin</w:t>
            </w:r>
            <w:r w:rsidR="0023040F">
              <w:rPr>
                <w:color w:val="000000"/>
              </w:rPr>
              <w:t>ātās personas</w:t>
            </w:r>
            <w:r>
              <w:rPr>
                <w:color w:val="000000"/>
              </w:rPr>
              <w:t xml:space="preserve"> pārvešanu uz laiku var atteikt, ja tā var tikt pagarināts apcietinājuma termiņš. </w:t>
            </w:r>
            <w:r w:rsidR="0023040F">
              <w:rPr>
                <w:color w:val="000000"/>
              </w:rPr>
              <w:t xml:space="preserve">Ņemot vērā, ka šāds noteikums būtu ievērojams ne tikai attiecībā uz gadījumiem, kad personas pagaidu nodošana notiek EIR izpildes ietvaros, bet arī citos gadījumos, tika nolemts minēto personas pagaidu nodošanas atteikuma iemeslu ietvert KPL 82.nodaļā, neveidojot speciālu regulējumu tikai attiecībā uz EIR izpildes procesu. </w:t>
            </w:r>
          </w:p>
          <w:p w:rsidR="00E31FCB" w:rsidRDefault="00E31FCB" w:rsidP="002733F1">
            <w:pPr>
              <w:pStyle w:val="naiskr"/>
              <w:spacing w:before="0" w:after="0"/>
              <w:jc w:val="both"/>
              <w:rPr>
                <w:color w:val="000000"/>
              </w:rPr>
            </w:pPr>
          </w:p>
          <w:p w:rsidR="00E31FCB" w:rsidRDefault="00E31FCB" w:rsidP="002733F1">
            <w:pPr>
              <w:pStyle w:val="naiskr"/>
              <w:spacing w:before="0" w:after="0"/>
              <w:jc w:val="both"/>
              <w:rPr>
                <w:color w:val="000000"/>
              </w:rPr>
            </w:pPr>
            <w:r>
              <w:rPr>
                <w:color w:val="000000"/>
                <w:u w:val="single"/>
              </w:rPr>
              <w:t xml:space="preserve">Likumprojekta </w:t>
            </w:r>
            <w:proofErr w:type="gramStart"/>
            <w:r>
              <w:rPr>
                <w:color w:val="000000"/>
                <w:u w:val="single"/>
              </w:rPr>
              <w:t>4.pants</w:t>
            </w:r>
            <w:proofErr w:type="gramEnd"/>
          </w:p>
          <w:p w:rsidR="00E31FCB" w:rsidRDefault="004F609F" w:rsidP="002733F1">
            <w:pPr>
              <w:pStyle w:val="naiskr"/>
              <w:spacing w:before="0" w:after="0"/>
              <w:jc w:val="both"/>
              <w:rPr>
                <w:color w:val="000000"/>
              </w:rPr>
            </w:pPr>
            <w:r>
              <w:rPr>
                <w:color w:val="000000"/>
              </w:rPr>
              <w:t xml:space="preserve">Likumprojekta </w:t>
            </w:r>
            <w:proofErr w:type="gramStart"/>
            <w:r>
              <w:rPr>
                <w:color w:val="000000"/>
              </w:rPr>
              <w:t>4.pants</w:t>
            </w:r>
            <w:proofErr w:type="gramEnd"/>
            <w:r>
              <w:rPr>
                <w:color w:val="000000"/>
              </w:rPr>
              <w:t xml:space="preserve"> paredz papildināt KPL ar</w:t>
            </w:r>
            <w:r w:rsidRPr="000E40CA">
              <w:rPr>
                <w:b/>
                <w:color w:val="000000"/>
              </w:rPr>
              <w:t xml:space="preserve"> 82.</w:t>
            </w:r>
            <w:r w:rsidRPr="000E40CA">
              <w:rPr>
                <w:b/>
                <w:color w:val="000000"/>
                <w:vertAlign w:val="superscript"/>
              </w:rPr>
              <w:t>1</w:t>
            </w:r>
            <w:r w:rsidRPr="000E40CA">
              <w:rPr>
                <w:b/>
                <w:color w:val="000000"/>
              </w:rPr>
              <w:t xml:space="preserve">nodaļu, kurā noteikta EIR atzīšanas un izpildes kārtība. </w:t>
            </w:r>
          </w:p>
          <w:p w:rsidR="00202A68" w:rsidRDefault="005B3223" w:rsidP="002733F1">
            <w:pPr>
              <w:pStyle w:val="naiskr"/>
              <w:spacing w:before="0" w:after="0"/>
              <w:jc w:val="both"/>
              <w:rPr>
                <w:bCs/>
              </w:rPr>
            </w:pPr>
            <w:r w:rsidRPr="001262FE">
              <w:rPr>
                <w:b/>
                <w:color w:val="000000"/>
                <w:u w:val="single"/>
              </w:rPr>
              <w:t>875.</w:t>
            </w:r>
            <w:proofErr w:type="gramStart"/>
            <w:r w:rsidRPr="001262FE">
              <w:rPr>
                <w:b/>
                <w:color w:val="000000"/>
                <w:u w:val="single"/>
                <w:vertAlign w:val="superscript"/>
              </w:rPr>
              <w:t>1</w:t>
            </w:r>
            <w:r w:rsidRPr="001262FE">
              <w:rPr>
                <w:b/>
                <w:color w:val="000000"/>
                <w:u w:val="single"/>
              </w:rPr>
              <w:t>pantā</w:t>
            </w:r>
            <w:proofErr w:type="gramEnd"/>
            <w:r>
              <w:rPr>
                <w:color w:val="000000"/>
              </w:rPr>
              <w:t xml:space="preserve"> ir dota EIR definīcija, nosakot, ka tas ir ES dalībvalsts kompetentās iestādes lūgums par procesuālās darbības veikšanu pierādījumu iegūšanai un tas ir īpašas formas dokuments, </w:t>
            </w:r>
            <w:r w:rsidR="00A729E2">
              <w:rPr>
                <w:color w:val="000000"/>
              </w:rPr>
              <w:t xml:space="preserve">kas ietverts Direktīvas A pielikumā un </w:t>
            </w:r>
            <w:r>
              <w:rPr>
                <w:color w:val="000000"/>
              </w:rPr>
              <w:t xml:space="preserve">kura forma un saturs būs noteikts </w:t>
            </w:r>
            <w:r w:rsidRPr="005B3223">
              <w:t>Ministru kabineta 2008.gada 17.marta noteikumos Nr.176 “</w:t>
            </w:r>
            <w:r w:rsidRPr="005B3223">
              <w:rPr>
                <w:bCs/>
              </w:rPr>
              <w:t>Noteikumi par īpaša dokumenta formu un saturu krimināltiesiskajā sadarbībā ar Eiropas Savienības dalībvalstīm</w:t>
            </w:r>
            <w:r>
              <w:rPr>
                <w:bCs/>
              </w:rPr>
              <w:t>” (turpmāk – MK noteikumi Nr</w:t>
            </w:r>
            <w:r w:rsidR="00F852A9">
              <w:rPr>
                <w:bCs/>
              </w:rPr>
              <w:t>.</w:t>
            </w:r>
            <w:r>
              <w:rPr>
                <w:bCs/>
              </w:rPr>
              <w:t xml:space="preserve">176). </w:t>
            </w:r>
          </w:p>
          <w:p w:rsidR="000E40CA" w:rsidRDefault="000E40CA" w:rsidP="002733F1">
            <w:pPr>
              <w:pStyle w:val="naiskr"/>
              <w:spacing w:before="0" w:after="0"/>
              <w:jc w:val="both"/>
              <w:rPr>
                <w:b/>
                <w:color w:val="000000"/>
                <w:u w:val="single"/>
              </w:rPr>
            </w:pPr>
          </w:p>
          <w:p w:rsidR="00AF2A17" w:rsidRDefault="00AF2A17" w:rsidP="002733F1">
            <w:pPr>
              <w:pStyle w:val="naiskr"/>
              <w:spacing w:before="0" w:after="0"/>
              <w:jc w:val="both"/>
              <w:rPr>
                <w:color w:val="000000"/>
              </w:rPr>
            </w:pPr>
            <w:r w:rsidRPr="001262FE">
              <w:rPr>
                <w:b/>
                <w:color w:val="000000"/>
                <w:u w:val="single"/>
              </w:rPr>
              <w:t>875.</w:t>
            </w:r>
            <w:r w:rsidRPr="001262FE">
              <w:rPr>
                <w:b/>
                <w:color w:val="000000"/>
                <w:u w:val="single"/>
                <w:vertAlign w:val="superscript"/>
              </w:rPr>
              <w:t>2</w:t>
            </w:r>
            <w:r w:rsidRPr="001262FE">
              <w:rPr>
                <w:b/>
                <w:color w:val="000000"/>
                <w:u w:val="single"/>
              </w:rPr>
              <w:t>pant</w:t>
            </w:r>
            <w:r w:rsidR="00DE4A71" w:rsidRPr="001262FE">
              <w:rPr>
                <w:b/>
                <w:color w:val="000000"/>
                <w:u w:val="single"/>
              </w:rPr>
              <w:t>s</w:t>
            </w:r>
            <w:r w:rsidR="00DE4A71">
              <w:rPr>
                <w:color w:val="000000"/>
              </w:rPr>
              <w:t xml:space="preserve"> nosaka kompetento iestāžu loku EIR atzīšanas un izpildes proces</w:t>
            </w:r>
            <w:r w:rsidR="000A0965">
              <w:rPr>
                <w:color w:val="000000"/>
              </w:rPr>
              <w:t xml:space="preserve">ā. Panta pirmā un otrā daļa ir veidotas, ievērojot šobrīd pastāvošo kārtību, tas ir, ka pirmstiesas procesā kompetentās iestādes ir ģenerālprokuratūra, bet līdz kriminālvajāšanas uzsākšanai – arī </w:t>
            </w:r>
            <w:r w:rsidR="003C431E">
              <w:rPr>
                <w:color w:val="000000"/>
              </w:rPr>
              <w:t xml:space="preserve">Valsts policija. Savukārt pēc lietas nodošanas tiesai EIR izskata un izlemj Tieslietu ministrija, bet lēmumu par atzīšanu un izpildi pieņem tiesa. </w:t>
            </w:r>
            <w:r w:rsidR="003C431E">
              <w:rPr>
                <w:color w:val="000000"/>
              </w:rPr>
              <w:lastRenderedPageBreak/>
              <w:t xml:space="preserve">Attiecībā uz iztiesāšanas laikā saņemtu EIR atzīšanu un izpildi būtiski norādīt to, ka Tieslietu ministrija darbojas kā centrālā iestāde, pārbaudot EIR formālos atzīšanas kritērijus (vai EIR ir aizpildīts pilnīgi, vai sniegta visa nepieciešamā informācija u.t.t.). Savukārt tiesa pārbauda un pieņem lēmumu par EIR atzīšanas un izpildes iespējamību, vērtējot atzīšanas un izpildes atteikuma iemeslu esamību un ietekmi uz turpmāko EIR atzīšanas un izpildes procedūru. </w:t>
            </w:r>
          </w:p>
          <w:p w:rsidR="00E937AD" w:rsidRDefault="002D2D63" w:rsidP="002733F1">
            <w:pPr>
              <w:pStyle w:val="naiskr"/>
              <w:spacing w:before="0" w:after="0"/>
              <w:jc w:val="both"/>
              <w:rPr>
                <w:color w:val="000000"/>
              </w:rPr>
            </w:pPr>
            <w:r>
              <w:rPr>
                <w:color w:val="000000"/>
              </w:rPr>
              <w:t>Panta trešā daļa nosaka tās iestādes, kurām kompetentās iestādes var uzdot un kuras ir tiesīgas izpildīt EIR</w:t>
            </w:r>
            <w:r w:rsidR="006D71F6">
              <w:rPr>
                <w:color w:val="000000"/>
              </w:rPr>
              <w:t xml:space="preserve">. Norma paredz, ka tiesības izpildīt EIR ir izmeklēšanas iestādēm prokuratūras struktūrvienībām vai tiesām. </w:t>
            </w:r>
            <w:r w:rsidR="00694696">
              <w:rPr>
                <w:color w:val="000000"/>
              </w:rPr>
              <w:t xml:space="preserve">Tāpat pantā noteikt, ka EIR izpildes procesā, lai nodrošinātu ātrāku un efektīvāku EIR izpildi, izpildes iestādes var sazināties tieši ar attiecīgās ES dalībvalsts iestādi, kura ir izdevusi EIR. Jānorāda, ka turpmākajos nodaļas pantos ir noteikts, ka, īstenojot tiešo sazināšanos, izpildes iestādei par to ir jāinformē arī Latvijas kompetentā iestāde. </w:t>
            </w:r>
          </w:p>
          <w:p w:rsidR="000E40CA" w:rsidRDefault="000E40CA" w:rsidP="00FC0A8B">
            <w:pPr>
              <w:pStyle w:val="naiskr"/>
              <w:spacing w:before="0" w:after="0"/>
              <w:jc w:val="both"/>
              <w:rPr>
                <w:b/>
                <w:color w:val="000000"/>
                <w:u w:val="single"/>
              </w:rPr>
            </w:pPr>
          </w:p>
          <w:p w:rsidR="00FC0A8B" w:rsidRDefault="00E937AD" w:rsidP="00FC0A8B">
            <w:pPr>
              <w:pStyle w:val="naiskr"/>
              <w:spacing w:before="0" w:after="0"/>
              <w:jc w:val="both"/>
              <w:rPr>
                <w:color w:val="000000"/>
              </w:rPr>
            </w:pPr>
            <w:r w:rsidRPr="00E937AD">
              <w:rPr>
                <w:b/>
                <w:color w:val="000000"/>
                <w:u w:val="single"/>
              </w:rPr>
              <w:t>875.</w:t>
            </w:r>
            <w:r w:rsidRPr="00E937AD">
              <w:rPr>
                <w:b/>
                <w:color w:val="000000"/>
                <w:u w:val="single"/>
                <w:vertAlign w:val="superscript"/>
              </w:rPr>
              <w:t>3</w:t>
            </w:r>
            <w:r w:rsidR="00FC0A8B">
              <w:rPr>
                <w:b/>
                <w:color w:val="000000"/>
                <w:u w:val="single"/>
              </w:rPr>
              <w:t>pantā</w:t>
            </w:r>
            <w:r w:rsidR="00FC0A8B">
              <w:rPr>
                <w:color w:val="000000"/>
              </w:rPr>
              <w:t xml:space="preserve"> </w:t>
            </w:r>
            <w:r w:rsidR="00A729E2">
              <w:rPr>
                <w:color w:val="000000"/>
              </w:rPr>
              <w:t xml:space="preserve">ir noteikts EIR pārbaudes, atzīšanas un izpildes kārtība pirmstiesas procesā. </w:t>
            </w:r>
            <w:r w:rsidR="00E742BD">
              <w:rPr>
                <w:color w:val="000000"/>
              </w:rPr>
              <w:t>Panta pirmā daļa paredz, ka Latvijas kompetentajai iestādei nekavējoties, bet ne vēlāk kā 7 dienu laikā ir jāpaziņo ES dalībvalsts kompetentajai iestādei, ka tā ir saņēmusi tai sūtīto EIR. EIR saņemšanas paziņojuma veidlapa ir ietvert Direktīvas B pielikumā</w:t>
            </w:r>
            <w:r w:rsidR="00FD5B98">
              <w:rPr>
                <w:color w:val="000000"/>
              </w:rPr>
              <w:t>,</w:t>
            </w:r>
            <w:r w:rsidR="00E742BD">
              <w:rPr>
                <w:color w:val="000000"/>
              </w:rPr>
              <w:t xml:space="preserve"> un tās saturs un forma būs noteikts arī MK noteikumos Nr.176.</w:t>
            </w:r>
            <w:r w:rsidR="00A46BC1">
              <w:rPr>
                <w:color w:val="000000"/>
              </w:rPr>
              <w:t xml:space="preserve"> Kompetentās iestādes pienākums informēt par EIR saņemšanu izriet no Direktīvas </w:t>
            </w:r>
            <w:proofErr w:type="gramStart"/>
            <w:r w:rsidR="00A46BC1">
              <w:rPr>
                <w:color w:val="000000"/>
              </w:rPr>
              <w:t>16.panta</w:t>
            </w:r>
            <w:proofErr w:type="gramEnd"/>
            <w:r w:rsidR="00E62572">
              <w:rPr>
                <w:color w:val="000000"/>
              </w:rPr>
              <w:t>.</w:t>
            </w:r>
            <w:r w:rsidR="00E742BD">
              <w:rPr>
                <w:color w:val="000000"/>
              </w:rPr>
              <w:t xml:space="preserve"> </w:t>
            </w:r>
          </w:p>
          <w:p w:rsidR="00E62572" w:rsidRDefault="00E62572" w:rsidP="00FC0A8B">
            <w:pPr>
              <w:pStyle w:val="naiskr"/>
              <w:spacing w:before="0" w:after="0"/>
              <w:jc w:val="both"/>
              <w:rPr>
                <w:color w:val="000000"/>
              </w:rPr>
            </w:pPr>
            <w:r>
              <w:rPr>
                <w:color w:val="000000"/>
              </w:rPr>
              <w:t xml:space="preserve">Panta otrajā daļā noteikts pienākums Latvijas kompetentajai iestādei izvērtēt, vai EIR norādīto rezultātu ir iespējams sasniegt ar procesuālajām darbībām, kas mazāk iejaucas personas dzīvē. Kā piemēru varētu minēt iespēju kratīšanas vietā veikt izņemšanu. Jānorāda, ka gadījumos, kad kompetentā iestāde uzskata, ka EIR norādīto rezultātu ir iespējams sasniegt, veicot procesuālo darbību, kas mazāk iejaucas personas dzīvē, tā par visiem apsvērumiem informē ES dalībvalsts kompetento iestādi. Ņemot vērā to, ka viens no Direktīvas mērķiem ir atvieglot un paātrināt ES dalībvalstu un to iestāžu sadarbību, tad Direktīva noteica, ka šāda sazināšanās var notikt, izmantojot </w:t>
            </w:r>
            <w:r w:rsidR="0054765D">
              <w:rPr>
                <w:color w:val="000000"/>
              </w:rPr>
              <w:t xml:space="preserve">jebkādus pieejamos saziņas līdzekļus. Tas nozīmē, ka panta otrajā daļā paredzētā Latvijas kompetentās iestādes un ES dalībvalsts kompetentās iestādes saziņa ir iespējama un pat vēlama elektroniski. </w:t>
            </w:r>
          </w:p>
          <w:p w:rsidR="008C02E6" w:rsidRDefault="008C02E6" w:rsidP="00FC0A8B">
            <w:pPr>
              <w:pStyle w:val="naiskr"/>
              <w:spacing w:before="0" w:after="0"/>
              <w:jc w:val="both"/>
              <w:rPr>
                <w:color w:val="000000"/>
              </w:rPr>
            </w:pPr>
            <w:r>
              <w:rPr>
                <w:color w:val="000000"/>
              </w:rPr>
              <w:t>Ja Latvijas kompetentā iestāde nekonstatē atzīšanas un izpildes atteikuma iemeslus, tā pieņem lēmumu par EIR atzīšanu un nosaka izpildes iestādi. Nosakot izpildes iestādi, kompetentā iestāde vadās no KPL 387.pantā noteiktās institucionālās piekrit</w:t>
            </w:r>
            <w:r w:rsidR="005D342F">
              <w:rPr>
                <w:color w:val="000000"/>
              </w:rPr>
              <w:t xml:space="preserve">ības. Ņemot vērā, ka pirmstiesas procesā kompetentā iestāde var būt gan Ģenerālprokuratūra, gan Valsts policija, tās var lemt </w:t>
            </w:r>
            <w:r>
              <w:rPr>
                <w:color w:val="000000"/>
              </w:rPr>
              <w:t xml:space="preserve">EIR </w:t>
            </w:r>
            <w:r w:rsidR="005D342F">
              <w:rPr>
                <w:color w:val="000000"/>
              </w:rPr>
              <w:t>izpildīt pašas</w:t>
            </w:r>
            <w:r>
              <w:rPr>
                <w:color w:val="000000"/>
              </w:rPr>
              <w:t xml:space="preserve"> vai nodot izpildei citai izmeklēšanas iestādei</w:t>
            </w:r>
            <w:r w:rsidR="005D342F">
              <w:rPr>
                <w:color w:val="000000"/>
              </w:rPr>
              <w:t xml:space="preserve"> vai prokuratūras struktūrvienībai. </w:t>
            </w:r>
          </w:p>
          <w:p w:rsidR="0091013E" w:rsidRDefault="0091013E" w:rsidP="00FC0A8B">
            <w:pPr>
              <w:pStyle w:val="naiskr"/>
              <w:spacing w:before="0" w:after="0"/>
              <w:jc w:val="both"/>
              <w:rPr>
                <w:color w:val="000000"/>
              </w:rPr>
            </w:pPr>
            <w:r>
              <w:rPr>
                <w:color w:val="000000"/>
              </w:rPr>
              <w:t xml:space="preserve">Lai novērstu šaubas par to, vai Latvijas kompetentās iestādes lēmums par EIR atzīšanu un izpildi ir pārsūdzams KPL noteiktajā kārtībā, panta trešajā daļā tiek skaidri noteikts, ka šāds lēmums, kuru var pieņemt arī rezolūcijas veidā, nav pārsūdzams. </w:t>
            </w:r>
            <w:r w:rsidR="00B02367">
              <w:rPr>
                <w:color w:val="000000"/>
              </w:rPr>
              <w:t xml:space="preserve">Personas tiesības attiecībā uz sūdzību iesniegšanu ir noteiktas </w:t>
            </w:r>
            <w:r w:rsidR="00B02367" w:rsidRPr="00B02367">
              <w:rPr>
                <w:color w:val="000000"/>
              </w:rPr>
              <w:t>875.</w:t>
            </w:r>
            <w:r w:rsidR="00B02367">
              <w:rPr>
                <w:color w:val="000000"/>
                <w:vertAlign w:val="superscript"/>
              </w:rPr>
              <w:t>13</w:t>
            </w:r>
            <w:r w:rsidR="00B02367" w:rsidRPr="00B02367">
              <w:rPr>
                <w:color w:val="000000"/>
              </w:rPr>
              <w:t>pantā</w:t>
            </w:r>
            <w:r w:rsidR="00B02367">
              <w:rPr>
                <w:color w:val="000000"/>
              </w:rPr>
              <w:t xml:space="preserve">. </w:t>
            </w:r>
          </w:p>
          <w:p w:rsidR="002E41F2" w:rsidRPr="00FC0A8B" w:rsidRDefault="002E41F2" w:rsidP="00FC0A8B">
            <w:pPr>
              <w:pStyle w:val="naiskr"/>
              <w:spacing w:before="0" w:after="0"/>
              <w:jc w:val="both"/>
              <w:rPr>
                <w:color w:val="000000"/>
              </w:rPr>
            </w:pPr>
            <w:r>
              <w:rPr>
                <w:color w:val="000000"/>
              </w:rPr>
              <w:t xml:space="preserve">Pēc EIR izpildes iegūtie materiāli nosūtāmi ES dalībvalsts kompetentajai iestādei. Lai nodrošinātu ātrāku un efektīvāku iegūto materiālu nodošanu, </w:t>
            </w:r>
            <w:r>
              <w:rPr>
                <w:color w:val="000000"/>
              </w:rPr>
              <w:lastRenderedPageBreak/>
              <w:t xml:space="preserve">izpildes iestāde tos ES dalībvalsts kompetentajai iestādei var nodot tieši, tomēr šādos gadījumos par to ir informējama Latvijas kompetentā iestāde. Ja izpildes iestāde iegūtos materiālus nenodot tieši, tā tos nodod Latvijas kompetentajai iestādei, kura tos tālāk nodod attiecīgās ES dalībvalsts kompetentajai iestādei. </w:t>
            </w:r>
          </w:p>
          <w:p w:rsidR="00FC0A8B" w:rsidRDefault="00FC0A8B" w:rsidP="00FC0A8B">
            <w:pPr>
              <w:pStyle w:val="naiskr"/>
              <w:spacing w:before="0" w:after="0"/>
              <w:jc w:val="both"/>
              <w:rPr>
                <w:b/>
                <w:color w:val="000000"/>
                <w:u w:val="single"/>
              </w:rPr>
            </w:pPr>
          </w:p>
          <w:p w:rsidR="00C071DE" w:rsidRDefault="00FC0A8B" w:rsidP="00FC0A8B">
            <w:pPr>
              <w:pStyle w:val="naiskr"/>
              <w:spacing w:before="0" w:after="0"/>
              <w:jc w:val="both"/>
              <w:rPr>
                <w:color w:val="000000"/>
              </w:rPr>
            </w:pPr>
            <w:r w:rsidRPr="00E937AD">
              <w:rPr>
                <w:b/>
                <w:color w:val="000000"/>
                <w:u w:val="single"/>
              </w:rPr>
              <w:t>875.</w:t>
            </w:r>
            <w:r>
              <w:rPr>
                <w:b/>
                <w:color w:val="000000"/>
                <w:u w:val="single"/>
                <w:vertAlign w:val="superscript"/>
              </w:rPr>
              <w:t>4</w:t>
            </w:r>
            <w:r>
              <w:rPr>
                <w:b/>
                <w:color w:val="000000"/>
                <w:u w:val="single"/>
              </w:rPr>
              <w:t>pantā</w:t>
            </w:r>
            <w:r w:rsidR="00C071DE">
              <w:rPr>
                <w:color w:val="000000"/>
              </w:rPr>
              <w:t xml:space="preserve"> noteikta EIR pārbaudes, atzīšanas un izpildes kārtībā pēc lietas nodošanas tiesai. Kā jau norādīts, tad šādos gadījumos Tieslietu ministrija darbojas kā centrālā iestāde, pārbaudot saņemto EIR un to, vai pievienoti visi nepieciešamie dokumenti. Ja visas prasības ir ievērotas, Tieslietu ministrija pēc pārbaudes veikšanas saņemto EIR nosūta tiesai lēmuma par EIR atzīšanu un izpildi pieņemšanai. </w:t>
            </w:r>
            <w:r w:rsidR="002E41F2">
              <w:rPr>
                <w:color w:val="000000"/>
              </w:rPr>
              <w:t xml:space="preserve">Tāpat kā pirmstiesas procesā, arī tiesai ir jāvērtē, vai EIR norādīto rezultātu nav iespējams sasniegt, veicot procesuālās darbības, kas mazāk iejaucas personas dzīvē. Par visiem apsvērumiem tiesa informē ES dalībvalsts kompetento iestādi un iespēju robežās vienojas par citas procesuālās darbības veikšanu. </w:t>
            </w:r>
          </w:p>
          <w:p w:rsidR="00B72D2A" w:rsidRPr="00FC0A8B" w:rsidRDefault="00B72D2A" w:rsidP="00B72D2A">
            <w:pPr>
              <w:pStyle w:val="naiskr"/>
              <w:spacing w:before="0" w:after="0"/>
              <w:jc w:val="both"/>
              <w:rPr>
                <w:color w:val="000000"/>
              </w:rPr>
            </w:pPr>
            <w:r>
              <w:rPr>
                <w:color w:val="000000"/>
              </w:rPr>
              <w:t xml:space="preserve">Pēc EIR izpildes iegūtie materiāli nosūtāmi ES dalībvalsts kompetentajai iestādei. Lai nodrošinātu ātrāku un efektīvāku iegūto materiālu nodošanu, tiesa tos ES dalībvalsts kompetentajai iestādei var nodot tieši, par to informējot Tieslietu ministriju. Ja tiesa iegūtos materiālus nenodot tieši, tā tos nodod Tieslietu ministrijai, kura tos tālāk nodod attiecīgās ES dalībvalsts kompetentajai iestādei. </w:t>
            </w:r>
          </w:p>
          <w:p w:rsidR="00FC0A8B" w:rsidRDefault="00FC0A8B" w:rsidP="00FC0A8B">
            <w:pPr>
              <w:pStyle w:val="naiskr"/>
              <w:spacing w:before="0" w:after="0"/>
              <w:jc w:val="both"/>
              <w:rPr>
                <w:b/>
                <w:color w:val="000000"/>
                <w:u w:val="single"/>
              </w:rPr>
            </w:pPr>
          </w:p>
          <w:p w:rsidR="00FC0A8B" w:rsidRDefault="00FC0A8B" w:rsidP="00FC0A8B">
            <w:pPr>
              <w:pStyle w:val="naiskr"/>
              <w:spacing w:before="0" w:after="0"/>
              <w:jc w:val="both"/>
              <w:rPr>
                <w:color w:val="000000"/>
              </w:rPr>
            </w:pPr>
            <w:r w:rsidRPr="00E937AD">
              <w:rPr>
                <w:b/>
                <w:color w:val="000000"/>
                <w:u w:val="single"/>
              </w:rPr>
              <w:t>875.</w:t>
            </w:r>
            <w:proofErr w:type="gramStart"/>
            <w:r>
              <w:rPr>
                <w:b/>
                <w:color w:val="000000"/>
                <w:u w:val="single"/>
                <w:vertAlign w:val="superscript"/>
              </w:rPr>
              <w:t>5</w:t>
            </w:r>
            <w:r>
              <w:rPr>
                <w:b/>
                <w:color w:val="000000"/>
                <w:u w:val="single"/>
              </w:rPr>
              <w:t>pantā</w:t>
            </w:r>
            <w:proofErr w:type="gramEnd"/>
            <w:r w:rsidR="009B0898">
              <w:rPr>
                <w:color w:val="000000"/>
              </w:rPr>
              <w:t xml:space="preserve"> noteikti konkrēti termiņi lēmuma par EIR atzīšanu pieņemšanai, kā arī saņemtā EIR izpildei. Šajā pantā paredzētie termiņi ir noteikt Direktīvas 12.pantā. Kā norādīts Direktīvas preambulas 21.apsvērumā, tad, lai starp dalībvalstīm nodrošinātu ātru, efektīvu un saskaņotu sadarbību krimināllietās, ir vajadzīgi konkrēti termi</w:t>
            </w:r>
            <w:r w:rsidR="004D4174">
              <w:rPr>
                <w:color w:val="000000"/>
              </w:rPr>
              <w:t xml:space="preserve">ņi. Preambulā arī uzsvērts, ka lēmuma pieņemšanai par EIR atzīšanu un izpildi un procesuālās darbības faktiskajai izpildei būtu jānotiek tikpat ātri un ar tādu pašu prioritāti kā līdzīgā vietējā lietā. </w:t>
            </w:r>
          </w:p>
          <w:p w:rsidR="00B71A18" w:rsidRDefault="00B71A18" w:rsidP="00FC0A8B">
            <w:pPr>
              <w:pStyle w:val="naiskr"/>
              <w:spacing w:before="0" w:after="0"/>
              <w:jc w:val="both"/>
              <w:rPr>
                <w:i/>
                <w:color w:val="000000"/>
              </w:rPr>
            </w:pPr>
            <w:r w:rsidRPr="00B71A18">
              <w:rPr>
                <w:color w:val="000000"/>
              </w:rPr>
              <w:t>875.</w:t>
            </w:r>
            <w:proofErr w:type="gramStart"/>
            <w:r w:rsidRPr="00B71A18">
              <w:rPr>
                <w:color w:val="000000"/>
                <w:vertAlign w:val="superscript"/>
              </w:rPr>
              <w:t>5</w:t>
            </w:r>
            <w:r w:rsidRPr="00B71A18">
              <w:rPr>
                <w:color w:val="000000"/>
              </w:rPr>
              <w:t>panta</w:t>
            </w:r>
            <w:proofErr w:type="gramEnd"/>
            <w:r>
              <w:rPr>
                <w:color w:val="000000"/>
              </w:rPr>
              <w:t xml:space="preserve"> pirmajā daļā ir noteikts, ka lēmums būtu jāpieņem cik ātri vien iespējams, bet ne vēlāk kā 30 dienu laikā, kas ir maksimālais Direktīvas 12.panta trešajā daļā noteiktais termiņš. Tomēr būtiski uzsvērt, ka Direktīvas </w:t>
            </w:r>
            <w:proofErr w:type="gramStart"/>
            <w:r>
              <w:rPr>
                <w:color w:val="000000"/>
              </w:rPr>
              <w:t>12.panta</w:t>
            </w:r>
            <w:proofErr w:type="gramEnd"/>
            <w:r>
              <w:rPr>
                <w:color w:val="000000"/>
              </w:rPr>
              <w:t xml:space="preserve"> pirmā daļa dod norādi, ka lēmums par EIR atzīšanu un izpildi būtu jāpieņem un jāizpildina ar tādu pašu prioritāti un tādos pat termiņos, kā tas būtu, ja attiecīgo procesuālo darbību būtu nepieciešams veikt Latvijā notiekošā kriminālprocesā. Tāpēc </w:t>
            </w:r>
            <w:r w:rsidRPr="00B71A18">
              <w:rPr>
                <w:color w:val="000000"/>
              </w:rPr>
              <w:t>875.</w:t>
            </w:r>
            <w:r w:rsidRPr="00B71A18">
              <w:rPr>
                <w:color w:val="000000"/>
                <w:vertAlign w:val="superscript"/>
              </w:rPr>
              <w:t>5</w:t>
            </w:r>
            <w:r w:rsidRPr="00B71A18">
              <w:rPr>
                <w:color w:val="000000"/>
              </w:rPr>
              <w:t>panta</w:t>
            </w:r>
            <w:r>
              <w:rPr>
                <w:color w:val="000000"/>
              </w:rPr>
              <w:t xml:space="preserve"> pirmajā daļā kā primārais kritērijs ir ietverts</w:t>
            </w:r>
            <w:r>
              <w:rPr>
                <w:i/>
                <w:color w:val="000000"/>
              </w:rPr>
              <w:t xml:space="preserve"> cik ātri vien iespējams.</w:t>
            </w:r>
          </w:p>
          <w:p w:rsidR="004F4468" w:rsidRPr="004F4468" w:rsidRDefault="004F4468" w:rsidP="00FC0A8B">
            <w:pPr>
              <w:pStyle w:val="naiskr"/>
              <w:spacing w:before="0" w:after="0"/>
              <w:jc w:val="both"/>
              <w:rPr>
                <w:color w:val="000000"/>
              </w:rPr>
            </w:pPr>
            <w:proofErr w:type="gramStart"/>
            <w:r>
              <w:rPr>
                <w:color w:val="000000"/>
              </w:rPr>
              <w:t>Panta otrajā daļā iestrādāts Direktīvas 32.prasības, kas paredz, ka EIR var lūgt veikt pagaidu pasākumus, lai nepieļautu tādu priekšmetu, kas varētu tikt izmantoti kā pierādījumu, iznīcināšanu, sabojāšanu vai noslēpšanu</w:t>
            </w:r>
            <w:proofErr w:type="gramEnd"/>
            <w:r>
              <w:rPr>
                <w:color w:val="000000"/>
              </w:rPr>
              <w:t>. Saņemot EIR, kurā lūgts veikt pagaidu pasākumus, apzinoties to steidzamību, lēmums par šāda EIR atzīšanu un izpildi ir pieņemamas</w:t>
            </w:r>
            <w:r w:rsidR="009E3C75">
              <w:rPr>
                <w:color w:val="000000"/>
              </w:rPr>
              <w:t>,</w:t>
            </w:r>
            <w:r>
              <w:rPr>
                <w:color w:val="000000"/>
              </w:rPr>
              <w:t xml:space="preserve"> cik vien iespējams</w:t>
            </w:r>
            <w:r w:rsidR="009E3C75">
              <w:rPr>
                <w:color w:val="000000"/>
              </w:rPr>
              <w:t>,</w:t>
            </w:r>
            <w:r>
              <w:rPr>
                <w:color w:val="000000"/>
              </w:rPr>
              <w:t xml:space="preserve"> nekavējoties, bet ne vēlāk kā 24 stundu laikā. Jānorāda, ka</w:t>
            </w:r>
            <w:r w:rsidR="009E3C75">
              <w:rPr>
                <w:color w:val="000000"/>
              </w:rPr>
              <w:t xml:space="preserve"> EIR par pagaidu pasākumu veikšanu un attiecībā uz to paredzētie termiņi ir tādi paši kā šobrīd spēkā esošajam KPL 860.panta regulējumam attiecībā uz ES dalībvalstu lēmumu par mantas konfiskāciju vai pierādījumu iegūšanas nodrošināšanu Latvijā. </w:t>
            </w:r>
          </w:p>
          <w:p w:rsidR="00AD28CE" w:rsidRDefault="00AD28CE" w:rsidP="00FC0A8B">
            <w:pPr>
              <w:pStyle w:val="naiskr"/>
              <w:spacing w:before="0" w:after="0"/>
              <w:jc w:val="both"/>
              <w:rPr>
                <w:color w:val="000000"/>
              </w:rPr>
            </w:pPr>
            <w:r>
              <w:rPr>
                <w:color w:val="000000"/>
              </w:rPr>
              <w:t>Panta trešajā daļā ir noteikta rīcības kārtība tam, ja lēmumu par EIR atzīšanu un izpildi nav</w:t>
            </w:r>
            <w:proofErr w:type="gramStart"/>
            <w:r>
              <w:rPr>
                <w:color w:val="000000"/>
              </w:rPr>
              <w:t xml:space="preserve"> iespējams</w:t>
            </w:r>
            <w:proofErr w:type="gramEnd"/>
            <w:r>
              <w:rPr>
                <w:color w:val="000000"/>
              </w:rPr>
              <w:t xml:space="preserve"> veikta panta pirmajā daļā noteiktajā </w:t>
            </w:r>
            <w:r>
              <w:rPr>
                <w:color w:val="000000"/>
              </w:rPr>
              <w:lastRenderedPageBreak/>
              <w:t xml:space="preserve">termiņā vai arī konkrētā datumā, kas norādīts EIR. Šādos gadījumos Latvijas kompetentā iestāde nekavējoties par to informē ES dalībvalsts kompetento iestādi, norādot kavēšanās iemeslus. Pie šādiem apstākļiem termiņu lēmuma par EIR atzīšanu un izpildi pieņemšanai var pagarināt uz laiku, ne ilgāku par 30 dienām. </w:t>
            </w:r>
          </w:p>
          <w:p w:rsidR="00051280" w:rsidRDefault="00051280" w:rsidP="00FC0A8B">
            <w:pPr>
              <w:pStyle w:val="naiskr"/>
              <w:spacing w:before="0" w:after="0"/>
              <w:jc w:val="both"/>
              <w:rPr>
                <w:color w:val="000000"/>
              </w:rPr>
            </w:pPr>
            <w:r>
              <w:rPr>
                <w:color w:val="000000"/>
              </w:rPr>
              <w:t>Panta ceturtā daļa nosaka termiņus EIR lūgtās procesuālās darbības izpildei, un maksimālais termiņš ir noteikts uz laiku līdz 90 dienām. Vienlaikus attiecībā uz izpildi ir paredzēts divas izņēmuma situācijas, kad 90 dienu termiņš var netikt ievērots. Pirmā ir attiecināma uz gadījumiem, kad pierādījumi, kas minēti EIR, jau atrodas izpildes iestādes rīcībā. Šādos gadījumos EIR būtu izpildāms pēc iespējas ātrāk, negaidot maksimālā noteiktā termiņa iestāšanos. Savukārt otrā situācija ir attiecināma uz gadījumiem, kad tiek konstatēti EIR izpildes atlikšanas iemesli, kas minēti 875.</w:t>
            </w:r>
            <w:r>
              <w:rPr>
                <w:color w:val="000000"/>
                <w:vertAlign w:val="superscript"/>
              </w:rPr>
              <w:t>7</w:t>
            </w:r>
            <w:r>
              <w:rPr>
                <w:color w:val="000000"/>
              </w:rPr>
              <w:t>pant</w:t>
            </w:r>
            <w:r w:rsidR="00AA31D6">
              <w:rPr>
                <w:color w:val="000000"/>
              </w:rPr>
              <w:t xml:space="preserve">a pirmajā daļā. </w:t>
            </w:r>
          </w:p>
          <w:p w:rsidR="00EE745D" w:rsidRPr="00051280" w:rsidRDefault="00EE745D" w:rsidP="00FC0A8B">
            <w:pPr>
              <w:pStyle w:val="naiskr"/>
              <w:spacing w:before="0" w:after="0"/>
              <w:jc w:val="both"/>
              <w:rPr>
                <w:color w:val="000000"/>
              </w:rPr>
            </w:pPr>
            <w:r>
              <w:rPr>
                <w:color w:val="000000"/>
              </w:rPr>
              <w:t>Ja izpildes iestāde konstatē, ka EIR lūgto procesuālo darbību nebūs iespējams izpildīt 90 dienu laikā, tas ir, termiņā, kas noteikts panta ceturtajā daļā, tā, izmantojot jebkādus pieejamos sazināšanās līdzekļus (telefonu, elektronisko pastu u.c.), nekavējoties informē ES dalībvalsts kompetento iestādi un vienojas par turamāko rīcību</w:t>
            </w:r>
            <w:r w:rsidR="0055229A">
              <w:rPr>
                <w:color w:val="000000"/>
              </w:rPr>
              <w:t xml:space="preserve">. </w:t>
            </w:r>
          </w:p>
          <w:p w:rsidR="00AD28CE" w:rsidRPr="00793090" w:rsidRDefault="00AD28CE" w:rsidP="00FC0A8B">
            <w:pPr>
              <w:pStyle w:val="naiskr"/>
              <w:spacing w:before="0" w:after="0"/>
              <w:jc w:val="both"/>
              <w:rPr>
                <w:i/>
              </w:rPr>
            </w:pPr>
            <w:r>
              <w:rPr>
                <w:color w:val="000000"/>
              </w:rPr>
              <w:t xml:space="preserve">Būtiski uzsvērt, ka visi </w:t>
            </w:r>
            <w:r w:rsidRPr="00B71A18">
              <w:rPr>
                <w:color w:val="000000"/>
              </w:rPr>
              <w:t>875.</w:t>
            </w:r>
            <w:proofErr w:type="gramStart"/>
            <w:r w:rsidRPr="00B71A18">
              <w:rPr>
                <w:color w:val="000000"/>
                <w:vertAlign w:val="superscript"/>
              </w:rPr>
              <w:t>5</w:t>
            </w:r>
            <w:r w:rsidRPr="00B71A18">
              <w:rPr>
                <w:color w:val="000000"/>
              </w:rPr>
              <w:t>pant</w:t>
            </w:r>
            <w:r>
              <w:rPr>
                <w:color w:val="000000"/>
              </w:rPr>
              <w:t>ā</w:t>
            </w:r>
            <w:proofErr w:type="gramEnd"/>
            <w:r>
              <w:rPr>
                <w:color w:val="000000"/>
              </w:rPr>
              <w:t xml:space="preserve"> norādītie termiņi ir lēmuma pieņemšanas un</w:t>
            </w:r>
            <w:r w:rsidR="00A94706">
              <w:rPr>
                <w:color w:val="000000"/>
              </w:rPr>
              <w:t xml:space="preserve"> EIR lūgtās procesuālās darbības</w:t>
            </w:r>
            <w:r>
              <w:rPr>
                <w:color w:val="000000"/>
              </w:rPr>
              <w:t xml:space="preserve"> izpildes maksimālā</w:t>
            </w:r>
            <w:r w:rsidR="00A94706">
              <w:rPr>
                <w:color w:val="000000"/>
              </w:rPr>
              <w:t>s</w:t>
            </w:r>
            <w:r>
              <w:rPr>
                <w:color w:val="000000"/>
              </w:rPr>
              <w:t xml:space="preserve"> robeža</w:t>
            </w:r>
            <w:r w:rsidR="00A94706">
              <w:rPr>
                <w:color w:val="000000"/>
              </w:rPr>
              <w:t>s</w:t>
            </w:r>
            <w:r>
              <w:rPr>
                <w:color w:val="000000"/>
              </w:rPr>
              <w:t xml:space="preserve"> un</w:t>
            </w:r>
            <w:r w:rsidR="00A94706">
              <w:rPr>
                <w:color w:val="000000"/>
              </w:rPr>
              <w:t xml:space="preserve"> izpildes iestādei, cik vien iespējams, būtu jācenšas lūgtās procesuālās darbības veikt iespējami īsākā laikā</w:t>
            </w:r>
            <w:r w:rsidR="00793090">
              <w:rPr>
                <w:color w:val="000000"/>
              </w:rPr>
              <w:t xml:space="preserve">, lai sasniegtu Direktīvas 12.panta pirmajā daļā noteikto kritēriju – </w:t>
            </w:r>
            <w:r w:rsidR="00793090">
              <w:rPr>
                <w:i/>
                <w:color w:val="000000"/>
              </w:rPr>
              <w:t xml:space="preserve">procesuālo darbību izpilde notiek tik pat ātri un ar tādu pašu prioritāti kā līdzīgā vietējā lietā. </w:t>
            </w:r>
          </w:p>
          <w:p w:rsidR="000E40CA" w:rsidRDefault="000E40CA" w:rsidP="002733F1">
            <w:pPr>
              <w:pStyle w:val="naiskr"/>
              <w:spacing w:before="0" w:after="0"/>
              <w:jc w:val="both"/>
              <w:rPr>
                <w:b/>
                <w:color w:val="000000"/>
                <w:u w:val="single"/>
              </w:rPr>
            </w:pPr>
          </w:p>
          <w:p w:rsidR="002D2D63" w:rsidRDefault="00DA16BB" w:rsidP="002733F1">
            <w:pPr>
              <w:pStyle w:val="naiskr"/>
              <w:spacing w:before="0" w:after="0"/>
              <w:jc w:val="both"/>
              <w:rPr>
                <w:color w:val="000000"/>
              </w:rPr>
            </w:pPr>
            <w:r>
              <w:rPr>
                <w:b/>
                <w:color w:val="000000"/>
                <w:u w:val="single"/>
              </w:rPr>
              <w:t>875.</w:t>
            </w:r>
            <w:r>
              <w:rPr>
                <w:b/>
                <w:color w:val="000000"/>
                <w:u w:val="single"/>
                <w:vertAlign w:val="superscript"/>
              </w:rPr>
              <w:t>6</w:t>
            </w:r>
            <w:r w:rsidRPr="00DA16BB">
              <w:rPr>
                <w:b/>
                <w:color w:val="000000"/>
                <w:u w:val="single"/>
              </w:rPr>
              <w:t>pant</w:t>
            </w:r>
            <w:r w:rsidR="00D54216">
              <w:rPr>
                <w:b/>
                <w:color w:val="000000"/>
                <w:u w:val="single"/>
              </w:rPr>
              <w:t>a</w:t>
            </w:r>
            <w:r>
              <w:rPr>
                <w:color w:val="000000"/>
              </w:rPr>
              <w:t xml:space="preserve"> </w:t>
            </w:r>
            <w:r w:rsidR="00D54216">
              <w:rPr>
                <w:color w:val="000000"/>
              </w:rPr>
              <w:t xml:space="preserve">pirmajā daļā </w:t>
            </w:r>
            <w:r w:rsidR="008B653C">
              <w:rPr>
                <w:color w:val="000000"/>
              </w:rPr>
              <w:t>dots EIR atzīšanas un izpildes atteikuma iemeslu uzskaitījums</w:t>
            </w:r>
            <w:r w:rsidR="00D54216">
              <w:rPr>
                <w:color w:val="000000"/>
              </w:rPr>
              <w:t xml:space="preserve">. </w:t>
            </w:r>
            <w:r w:rsidR="00207A1B">
              <w:rPr>
                <w:color w:val="000000"/>
              </w:rPr>
              <w:t xml:space="preserve">Būtiski norādīt, ka, tāpat kā citos savstarpējās savdabības instrumentos, minētie atteikuma iemesli ir paredzētu kā izpildes kompetentās iestādes izvēles iespēja, uz ko norāda vārda </w:t>
            </w:r>
            <w:r w:rsidR="00207A1B" w:rsidRPr="00207A1B">
              <w:rPr>
                <w:i/>
                <w:color w:val="000000"/>
              </w:rPr>
              <w:t>“var”</w:t>
            </w:r>
            <w:r w:rsidR="00207A1B">
              <w:rPr>
                <w:color w:val="000000"/>
              </w:rPr>
              <w:t xml:space="preserve"> lietojums gan Direktīvas </w:t>
            </w:r>
            <w:proofErr w:type="gramStart"/>
            <w:r w:rsidR="00207A1B">
              <w:rPr>
                <w:color w:val="000000"/>
              </w:rPr>
              <w:t>11.panta</w:t>
            </w:r>
            <w:proofErr w:type="gramEnd"/>
            <w:r w:rsidR="00207A1B">
              <w:rPr>
                <w:color w:val="000000"/>
              </w:rPr>
              <w:t xml:space="preserve"> pirmās daļas ievadā, gan arī attiecīgajā KPL normā. </w:t>
            </w:r>
            <w:r w:rsidR="00D54216">
              <w:rPr>
                <w:color w:val="000000"/>
              </w:rPr>
              <w:t xml:space="preserve">Panta pirmās daļas 1.punkts ir attiecināms uz visiem gadījumiem, kad pastāv kāda KPL paredzēta kriminālprocesuālā imunitāte vai īpaša kriminālprocesuālā kārtībā attiecībā uz preses un vārda brīvību. </w:t>
            </w:r>
          </w:p>
          <w:p w:rsidR="00C86AA0" w:rsidRDefault="00C86AA0" w:rsidP="002733F1">
            <w:pPr>
              <w:pStyle w:val="naiskr"/>
              <w:spacing w:before="0" w:after="0"/>
              <w:jc w:val="both"/>
              <w:rPr>
                <w:color w:val="000000"/>
              </w:rPr>
            </w:pPr>
            <w:r>
              <w:rPr>
                <w:color w:val="000000"/>
              </w:rPr>
              <w:t xml:space="preserve">Attiecībā uz panta pirmās daļas 2.punktu norādāms, ka EIR atzīšana un izpilde, pamatojoties uz šo kritēriju, var tikt atteikta, ja </w:t>
            </w:r>
            <w:r w:rsidR="003B7601">
              <w:rPr>
                <w:color w:val="000000"/>
              </w:rPr>
              <w:t xml:space="preserve">izpilde var kaitēt valsts drošības interesēm, apdraudēt informācijas avotu vai būtu saistīta ar tādas informācijas atklāšanu, kas būtiski apdraud kriminālprocesa vai operatīvās darbības procesa intereses. </w:t>
            </w:r>
            <w:r w:rsidR="00E20306">
              <w:rPr>
                <w:color w:val="000000"/>
              </w:rPr>
              <w:t>Šī kritērija piemēro</w:t>
            </w:r>
            <w:r w:rsidR="000111F7">
              <w:rPr>
                <w:color w:val="000000"/>
              </w:rPr>
              <w:t xml:space="preserve">šanas pamatojums saistāms galvenokārt ar </w:t>
            </w:r>
            <w:r w:rsidR="00583E1A">
              <w:rPr>
                <w:color w:val="000000"/>
              </w:rPr>
              <w:t>nepieciešamību aizsargāt tādu personu identitāti</w:t>
            </w:r>
            <w:r w:rsidR="001A3AB6">
              <w:rPr>
                <w:color w:val="000000"/>
              </w:rPr>
              <w:t xml:space="preserve">, kas sadarbojas ar tiesībsargājošajām iestādēm, veicot speciālās izmeklēšanas darbības un/vai operatīvās darbības pasākumus, kā arī ir šo iestāžu slepenie palīgi. </w:t>
            </w:r>
            <w:r w:rsidR="004A1EE6">
              <w:rPr>
                <w:color w:val="000000"/>
              </w:rPr>
              <w:t xml:space="preserve">Tāpat šis kritērijs attiecināms uz tādu informāciju, kuras atklāšana varētu būtiski apdraudēt kriminālprocesa vai operatīvās darbības procesa intereses. Pirms </w:t>
            </w:r>
            <w:r w:rsidR="004A1EE6" w:rsidRPr="004A1EE6">
              <w:rPr>
                <w:color w:val="000000"/>
              </w:rPr>
              <w:t>875.</w:t>
            </w:r>
            <w:r w:rsidR="004A1EE6" w:rsidRPr="004A1EE6">
              <w:rPr>
                <w:color w:val="000000"/>
                <w:vertAlign w:val="superscript"/>
              </w:rPr>
              <w:t>6</w:t>
            </w:r>
            <w:r w:rsidR="004A1EE6" w:rsidRPr="004A1EE6">
              <w:rPr>
                <w:color w:val="000000"/>
              </w:rPr>
              <w:t xml:space="preserve">panta </w:t>
            </w:r>
            <w:r w:rsidR="004A1EE6">
              <w:rPr>
                <w:color w:val="000000"/>
              </w:rPr>
              <w:t xml:space="preserve">pirmās daļas 2.punkta piemērošanas, kompetentajai iestādei </w:t>
            </w:r>
            <w:r w:rsidR="001B0A68">
              <w:rPr>
                <w:color w:val="000000"/>
              </w:rPr>
              <w:t xml:space="preserve">ir jāizvērtē, vai EIR lūgtā informācija ir vai nav saistīta ar tādas informācijas atklāšanu, kas ir valsts noslēpuma objekts un tās atklāšana varētu radīt draugus valsts drošībai, kā arī </w:t>
            </w:r>
            <w:r w:rsidR="004A1EE6">
              <w:rPr>
                <w:color w:val="000000"/>
              </w:rPr>
              <w:t xml:space="preserve"> jāsazinās ar Latvijā notiekoša kriminālprocesa procesa virzītāju vai operatīvās darbības subjektu, </w:t>
            </w:r>
            <w:r w:rsidR="001B0A68">
              <w:rPr>
                <w:color w:val="000000"/>
              </w:rPr>
              <w:t xml:space="preserve">ja EIR attiecas uz Latvijā notiekošu kriminālprocesu vai operatīvās darbības procesu, </w:t>
            </w:r>
            <w:r w:rsidR="004A1EE6">
              <w:rPr>
                <w:color w:val="000000"/>
              </w:rPr>
              <w:t xml:space="preserve">lai noskaidrotu EIR </w:t>
            </w:r>
            <w:r w:rsidR="004A1EE6">
              <w:rPr>
                <w:color w:val="000000"/>
              </w:rPr>
              <w:lastRenderedPageBreak/>
              <w:t>atzīšanas un izpildes iespējam</w:t>
            </w:r>
            <w:r w:rsidR="000414E5">
              <w:rPr>
                <w:color w:val="000000"/>
              </w:rPr>
              <w:t xml:space="preserve">ību un to, vai EIR atzīšana un izpilde varētu būtiski kaitēt šo procesu interesēm. </w:t>
            </w:r>
          </w:p>
          <w:p w:rsidR="006A7E9E" w:rsidRDefault="006A7E9E" w:rsidP="002733F1">
            <w:pPr>
              <w:pStyle w:val="naiskr"/>
              <w:spacing w:before="0" w:after="0"/>
              <w:jc w:val="both"/>
              <w:rPr>
                <w:color w:val="000000"/>
              </w:rPr>
            </w:pPr>
            <w:r w:rsidRPr="006A7E9E">
              <w:rPr>
                <w:color w:val="000000"/>
              </w:rPr>
              <w:t>875.</w:t>
            </w:r>
            <w:r w:rsidRPr="006A7E9E">
              <w:rPr>
                <w:color w:val="000000"/>
                <w:vertAlign w:val="superscript"/>
              </w:rPr>
              <w:t>6</w:t>
            </w:r>
            <w:r w:rsidRPr="006A7E9E">
              <w:rPr>
                <w:color w:val="000000"/>
              </w:rPr>
              <w:t>panta</w:t>
            </w:r>
            <w:r>
              <w:rPr>
                <w:color w:val="000000"/>
              </w:rPr>
              <w:t xml:space="preserve"> pirmās daļas 3.līdz 6.punkts ir standarta atteikuma iemesli ES dalībvalstu savstarpējā sadarbībā, līdz ar to detalizēts skaidrojums par to piemērošanu un izpratni nav nepieciešams. </w:t>
            </w:r>
          </w:p>
          <w:p w:rsidR="00FD1C08" w:rsidRDefault="00FD1C08" w:rsidP="002733F1">
            <w:pPr>
              <w:pStyle w:val="naiskr"/>
              <w:spacing w:before="0" w:after="0"/>
              <w:jc w:val="both"/>
              <w:rPr>
                <w:color w:val="000000"/>
              </w:rPr>
            </w:pPr>
            <w:r w:rsidRPr="00FD1C08">
              <w:rPr>
                <w:color w:val="000000"/>
                <w:u w:val="single"/>
              </w:rPr>
              <w:t>875.</w:t>
            </w:r>
            <w:r w:rsidRPr="00FD1C08">
              <w:rPr>
                <w:color w:val="000000"/>
                <w:u w:val="single"/>
                <w:vertAlign w:val="superscript"/>
              </w:rPr>
              <w:t>6</w:t>
            </w:r>
            <w:r w:rsidRPr="00FD1C08">
              <w:rPr>
                <w:color w:val="000000"/>
                <w:u w:val="single"/>
              </w:rPr>
              <w:t>panta otrā daļa</w:t>
            </w:r>
            <w:r>
              <w:rPr>
                <w:color w:val="000000"/>
              </w:rPr>
              <w:t xml:space="preserve"> skatāma kopsakarā </w:t>
            </w:r>
            <w:r w:rsidRPr="00FD1C08">
              <w:rPr>
                <w:color w:val="000000"/>
              </w:rPr>
              <w:t>ar 875.</w:t>
            </w:r>
            <w:r>
              <w:rPr>
                <w:color w:val="000000"/>
                <w:vertAlign w:val="superscript"/>
              </w:rPr>
              <w:t>10</w:t>
            </w:r>
            <w:r w:rsidRPr="00FD1C08">
              <w:rPr>
                <w:color w:val="000000"/>
              </w:rPr>
              <w:t xml:space="preserve">panta </w:t>
            </w:r>
            <w:r w:rsidR="00A6082C">
              <w:rPr>
                <w:color w:val="000000"/>
              </w:rPr>
              <w:t>otrajā</w:t>
            </w:r>
            <w:r w:rsidRPr="00FD1C08">
              <w:rPr>
                <w:color w:val="000000"/>
              </w:rPr>
              <w:t xml:space="preserve"> daļā</w:t>
            </w:r>
            <w:r w:rsidR="00A6082C">
              <w:rPr>
                <w:color w:val="000000"/>
              </w:rPr>
              <w:t xml:space="preserve"> noteikto, kas nozīmē, ka </w:t>
            </w:r>
            <w:r w:rsidR="00A6082C" w:rsidRPr="00FD1C08">
              <w:rPr>
                <w:color w:val="000000"/>
              </w:rPr>
              <w:t>875.</w:t>
            </w:r>
            <w:r w:rsidR="00A6082C">
              <w:rPr>
                <w:color w:val="000000"/>
                <w:vertAlign w:val="superscript"/>
              </w:rPr>
              <w:t>10</w:t>
            </w:r>
            <w:r w:rsidR="00A6082C" w:rsidRPr="00FD1C08">
              <w:rPr>
                <w:color w:val="000000"/>
              </w:rPr>
              <w:t xml:space="preserve">panta </w:t>
            </w:r>
            <w:r w:rsidR="00A6082C">
              <w:rPr>
                <w:color w:val="000000"/>
              </w:rPr>
              <w:t>otrajā</w:t>
            </w:r>
            <w:r w:rsidR="00A6082C" w:rsidRPr="00FD1C08">
              <w:rPr>
                <w:color w:val="000000"/>
              </w:rPr>
              <w:t xml:space="preserve"> daļā</w:t>
            </w:r>
            <w:r w:rsidR="00A6082C">
              <w:rPr>
                <w:color w:val="000000"/>
              </w:rPr>
              <w:t xml:space="preserve"> paredzēto procesuālo darbību atzīšanas un izpildes atteikuma iemesli nevar būt tas, ka EIR ir izdots par nodarījumu, kas saskaņā ar Krimināllikumu nav noziedzīgs, izņemot gadījumus, kad tas ietvert KPL 2.pielikumā, kā arī atzīšanas un izpildes atteikuma iemesls attiecībā uz </w:t>
            </w:r>
            <w:r w:rsidR="00A6082C" w:rsidRPr="00FD1C08">
              <w:rPr>
                <w:color w:val="000000"/>
              </w:rPr>
              <w:t>875.</w:t>
            </w:r>
            <w:r w:rsidR="00A6082C">
              <w:rPr>
                <w:color w:val="000000"/>
                <w:vertAlign w:val="superscript"/>
              </w:rPr>
              <w:t>10</w:t>
            </w:r>
            <w:r w:rsidR="00A6082C" w:rsidRPr="00FD1C08">
              <w:rPr>
                <w:color w:val="000000"/>
              </w:rPr>
              <w:t xml:space="preserve">panta </w:t>
            </w:r>
            <w:r w:rsidR="00A6082C">
              <w:rPr>
                <w:color w:val="000000"/>
              </w:rPr>
              <w:t>otrajā</w:t>
            </w:r>
            <w:r w:rsidR="00A6082C" w:rsidRPr="00FD1C08">
              <w:rPr>
                <w:color w:val="000000"/>
              </w:rPr>
              <w:t xml:space="preserve"> daļā</w:t>
            </w:r>
            <w:r w:rsidR="00A6082C">
              <w:rPr>
                <w:color w:val="000000"/>
              </w:rPr>
              <w:t xml:space="preserve"> paredzētajām procesuālajām darbībām nevar būt apstāklis, ka šādas darbības nebūtu pieļaujamas Latvijā notiekošā kriminālprocesā par tādu pašu nodarījumu. </w:t>
            </w:r>
          </w:p>
          <w:p w:rsidR="00843DB0" w:rsidRDefault="00843DB0" w:rsidP="002733F1">
            <w:pPr>
              <w:pStyle w:val="naiskr"/>
              <w:spacing w:before="0" w:after="0"/>
              <w:jc w:val="both"/>
              <w:rPr>
                <w:color w:val="000000"/>
              </w:rPr>
            </w:pPr>
            <w:r>
              <w:rPr>
                <w:color w:val="000000"/>
              </w:rPr>
              <w:t xml:space="preserve">Šāds izņēmums pamatojams ar to, ka </w:t>
            </w:r>
            <w:r w:rsidRPr="00FD1C08">
              <w:rPr>
                <w:color w:val="000000"/>
              </w:rPr>
              <w:t>875.</w:t>
            </w:r>
            <w:r>
              <w:rPr>
                <w:color w:val="000000"/>
                <w:vertAlign w:val="superscript"/>
              </w:rPr>
              <w:t>10</w:t>
            </w:r>
            <w:r w:rsidRPr="00FD1C08">
              <w:rPr>
                <w:color w:val="000000"/>
              </w:rPr>
              <w:t xml:space="preserve">panta </w:t>
            </w:r>
            <w:r>
              <w:rPr>
                <w:color w:val="000000"/>
              </w:rPr>
              <w:t>otrajā</w:t>
            </w:r>
            <w:r w:rsidRPr="00FD1C08">
              <w:rPr>
                <w:color w:val="000000"/>
              </w:rPr>
              <w:t xml:space="preserve"> daļā</w:t>
            </w:r>
            <w:r>
              <w:rPr>
                <w:color w:val="000000"/>
              </w:rPr>
              <w:t xml:space="preserve"> minētās procesuālās darbības </w:t>
            </w:r>
            <w:r w:rsidR="005E3D86">
              <w:rPr>
                <w:color w:val="000000"/>
              </w:rPr>
              <w:t>atzīstamas par tādām, kurām vienmēr būt jābūt pieejamām dalībvalstīs. Noteiktā izņēmuma pamatojums un nepieciešamība izriet no Direkt</w:t>
            </w:r>
            <w:r w:rsidR="00FD0E9C">
              <w:rPr>
                <w:color w:val="000000"/>
              </w:rPr>
              <w:t xml:space="preserve">īvas </w:t>
            </w:r>
            <w:proofErr w:type="gramStart"/>
            <w:r w:rsidR="00FD0E9C">
              <w:rPr>
                <w:color w:val="000000"/>
              </w:rPr>
              <w:t>10.panta</w:t>
            </w:r>
            <w:proofErr w:type="gramEnd"/>
            <w:r w:rsidR="00FD0E9C">
              <w:rPr>
                <w:color w:val="000000"/>
              </w:rPr>
              <w:t xml:space="preserve"> otrās </w:t>
            </w:r>
            <w:r w:rsidR="005E3D86">
              <w:rPr>
                <w:color w:val="000000"/>
              </w:rPr>
              <w:t xml:space="preserve">daļas. </w:t>
            </w:r>
          </w:p>
          <w:p w:rsidR="008E4D19" w:rsidRDefault="00AE48C0" w:rsidP="002733F1">
            <w:pPr>
              <w:pStyle w:val="naiskr"/>
              <w:spacing w:before="0" w:after="0"/>
              <w:jc w:val="both"/>
              <w:rPr>
                <w:color w:val="000000"/>
              </w:rPr>
            </w:pPr>
            <w:r w:rsidRPr="00AE48C0">
              <w:rPr>
                <w:color w:val="000000"/>
                <w:u w:val="single"/>
              </w:rPr>
              <w:t>875.</w:t>
            </w:r>
            <w:r>
              <w:rPr>
                <w:color w:val="000000"/>
                <w:u w:val="single"/>
                <w:vertAlign w:val="superscript"/>
              </w:rPr>
              <w:t>6</w:t>
            </w:r>
            <w:r w:rsidRPr="00AE48C0">
              <w:rPr>
                <w:color w:val="000000"/>
                <w:u w:val="single"/>
              </w:rPr>
              <w:t>panta trešajā daļā</w:t>
            </w:r>
            <w:r>
              <w:rPr>
                <w:color w:val="000000"/>
              </w:rPr>
              <w:t xml:space="preserve"> iestrādās noteikums, ka, pirms pieņemt lēmumu par EIR daļēju vai pilnīgu atzīšanu un izpildi vai atteikumu to atzīt un izpildīt, kompetentajai iestādei ir jāsazinās ar attiecīgās ES dalībvalsts kompetento iestādi, lai iegūtu papildu informāciju, kas varētu būt nozīmīga lēmuma pieņemšanai. Šāda saziņa kompetento iestāžu starpā notiek, izmantojot jebkādus pieejamos saziņas līdzekļus (telefoniski, ar elektroniskā pasta starpniecību u.t.t.). </w:t>
            </w:r>
          </w:p>
          <w:p w:rsidR="003576F6" w:rsidRDefault="003576F6" w:rsidP="002733F1">
            <w:pPr>
              <w:pStyle w:val="naiskr"/>
              <w:spacing w:before="0" w:after="0"/>
              <w:jc w:val="both"/>
              <w:rPr>
                <w:color w:val="000000"/>
              </w:rPr>
            </w:pPr>
            <w:r>
              <w:rPr>
                <w:color w:val="000000"/>
              </w:rPr>
              <w:t xml:space="preserve">Attiecībā uz </w:t>
            </w:r>
            <w:r w:rsidRPr="00AE48C0">
              <w:rPr>
                <w:color w:val="000000"/>
                <w:u w:val="single"/>
              </w:rPr>
              <w:t>875.</w:t>
            </w:r>
            <w:r>
              <w:rPr>
                <w:color w:val="000000"/>
                <w:u w:val="single"/>
                <w:vertAlign w:val="superscript"/>
              </w:rPr>
              <w:t>6</w:t>
            </w:r>
            <w:r w:rsidRPr="00AE48C0">
              <w:rPr>
                <w:color w:val="000000"/>
                <w:u w:val="single"/>
              </w:rPr>
              <w:t xml:space="preserve">panta </w:t>
            </w:r>
            <w:r>
              <w:rPr>
                <w:color w:val="000000"/>
                <w:u w:val="single"/>
              </w:rPr>
              <w:t>piekto daļu</w:t>
            </w:r>
            <w:r>
              <w:rPr>
                <w:color w:val="000000"/>
              </w:rPr>
              <w:t xml:space="preserve"> norād</w:t>
            </w:r>
            <w:r w:rsidR="00D16D04">
              <w:rPr>
                <w:color w:val="000000"/>
              </w:rPr>
              <w:t xml:space="preserve">āms, ka gadījumos, kad pastāv 8.nodaļā noteiktā kriminālprocesuālā imunitāte vai ir speciāla kriminālprocesuāla kārtībā attiecībā uz preses un vārda brīvības aizsardzības ierobežošanu, bet kompetentā iestāde ir pieņēmusi lēmumu par EIR atzīšanu, izpildes iestādei ir jāveic normatīvajos aktos paredzētās darbības, lai atceltu noteikto imunitāti vai ievērotu paredzēto speciālo kārtību. </w:t>
            </w:r>
          </w:p>
          <w:p w:rsidR="00B21D69" w:rsidRDefault="00B21D69" w:rsidP="00B21D69">
            <w:pPr>
              <w:pStyle w:val="naiskr"/>
              <w:spacing w:before="0" w:after="0"/>
              <w:jc w:val="both"/>
              <w:rPr>
                <w:color w:val="000000"/>
              </w:rPr>
            </w:pPr>
            <w:r>
              <w:rPr>
                <w:color w:val="000000"/>
              </w:rPr>
              <w:t xml:space="preserve">Ņemto vērā, ka normas ir šajā nodaļā paredzētās normas ir skatāmas un piemērojamas savstarpējā sakarībā, būtiski uzsvērt, ka izpildes iestādei arī šādos gadījumos ir jāievēro </w:t>
            </w:r>
            <w:r w:rsidRPr="00B21D69">
              <w:rPr>
                <w:color w:val="000000"/>
              </w:rPr>
              <w:t>875.</w:t>
            </w:r>
            <w:proofErr w:type="gramStart"/>
            <w:r w:rsidRPr="00B21D69">
              <w:rPr>
                <w:color w:val="000000"/>
                <w:vertAlign w:val="superscript"/>
              </w:rPr>
              <w:t>5</w:t>
            </w:r>
            <w:r w:rsidRPr="00B21D69">
              <w:rPr>
                <w:color w:val="000000"/>
              </w:rPr>
              <w:t>pantā</w:t>
            </w:r>
            <w:proofErr w:type="gramEnd"/>
            <w:r w:rsidRPr="00B21D69">
              <w:rPr>
                <w:color w:val="000000"/>
              </w:rPr>
              <w:t xml:space="preserve"> noteikti termi</w:t>
            </w:r>
            <w:r>
              <w:rPr>
                <w:color w:val="000000"/>
              </w:rPr>
              <w:t xml:space="preserve">ņi vai jāveic pantā paredzētās darbības, ja termiņu ievērošana nav iespējama. </w:t>
            </w:r>
          </w:p>
          <w:p w:rsidR="000E40CA" w:rsidRDefault="000E40CA" w:rsidP="00B21D69">
            <w:pPr>
              <w:pStyle w:val="naiskr"/>
              <w:spacing w:before="0" w:after="0"/>
              <w:jc w:val="both"/>
              <w:rPr>
                <w:b/>
                <w:color w:val="000000"/>
                <w:u w:val="single"/>
              </w:rPr>
            </w:pPr>
          </w:p>
          <w:p w:rsidR="00EF3347" w:rsidRDefault="00EF3347" w:rsidP="00B21D69">
            <w:pPr>
              <w:pStyle w:val="naiskr"/>
              <w:spacing w:before="0" w:after="0"/>
              <w:jc w:val="both"/>
              <w:rPr>
                <w:color w:val="000000"/>
              </w:rPr>
            </w:pPr>
            <w:r w:rsidRPr="00EF3347">
              <w:rPr>
                <w:b/>
                <w:color w:val="000000"/>
                <w:u w:val="single"/>
              </w:rPr>
              <w:t>875.</w:t>
            </w:r>
            <w:r w:rsidRPr="00EF3347">
              <w:rPr>
                <w:b/>
                <w:color w:val="000000"/>
                <w:u w:val="single"/>
                <w:vertAlign w:val="superscript"/>
              </w:rPr>
              <w:t>7</w:t>
            </w:r>
            <w:r w:rsidRPr="00EF3347">
              <w:rPr>
                <w:b/>
                <w:color w:val="000000"/>
                <w:u w:val="single"/>
              </w:rPr>
              <w:t>pant</w:t>
            </w:r>
            <w:r w:rsidR="00D826D1">
              <w:rPr>
                <w:b/>
                <w:color w:val="000000"/>
                <w:u w:val="single"/>
              </w:rPr>
              <w:t>s</w:t>
            </w:r>
            <w:r w:rsidR="00D826D1">
              <w:rPr>
                <w:color w:val="000000"/>
              </w:rPr>
              <w:t xml:space="preserve"> paredz divus gadījumus, kuros izpildes iestāde var atlikt EIR izpildi</w:t>
            </w:r>
            <w:r w:rsidR="00D826D1" w:rsidRPr="005D50A9">
              <w:rPr>
                <w:color w:val="000000"/>
              </w:rPr>
              <w:t>.</w:t>
            </w:r>
            <w:r w:rsidR="005D50A9" w:rsidRPr="005D50A9">
              <w:rPr>
                <w:color w:val="000000"/>
              </w:rPr>
              <w:t xml:space="preserve"> 875.</w:t>
            </w:r>
            <w:r w:rsidR="005D50A9" w:rsidRPr="005D50A9">
              <w:rPr>
                <w:color w:val="000000"/>
                <w:vertAlign w:val="superscript"/>
              </w:rPr>
              <w:t>7</w:t>
            </w:r>
            <w:r w:rsidR="005D50A9" w:rsidRPr="005D50A9">
              <w:rPr>
                <w:color w:val="000000"/>
              </w:rPr>
              <w:t>pant</w:t>
            </w:r>
            <w:r w:rsidR="005D50A9">
              <w:rPr>
                <w:color w:val="000000"/>
              </w:rPr>
              <w:t xml:space="preserve">a </w:t>
            </w:r>
            <w:r w:rsidR="00D826D1">
              <w:rPr>
                <w:color w:val="000000"/>
              </w:rPr>
              <w:t xml:space="preserve">pirmās daļas 1.punktā noteiktais kritērijs paredz, ka EIR izpildi var atlikt, ja tā varētu kaitēt Latvijā uzsāktam kriminālprocesam. </w:t>
            </w:r>
            <w:r w:rsidR="004074AB">
              <w:rPr>
                <w:color w:val="000000"/>
              </w:rPr>
              <w:t>Pirms lemt par EIR izpildes atlikšanu, izpildes iestādei ir jāsazinās ar Latvijā notiekošā kriminālprocesa procesa virzītāju un jānoskaidro tā viedoklis par iespēju izpildīt EIR lūgto procesuālo darbību. Ja procesa virzītājs uzskata, ka EIR izpilde varētu kaitēt kriminālprocesam, tas izpildes iestādei norāda laiku, līdz kuram EIR izpilde būtu atliekama, vienlaikus norādot arī pamatojumu konkrētā laika izvēlei. Jānorāda, ka tikai procesa virzītājs var vispusīgi izvērtēt to, vai un kādā mērā EIR izpilde varētu kaitēt kriminālprocesam un kāds laiks, līdz kuram atliekama EIR izpilde, būtu uzskatāms par pamatotu</w:t>
            </w:r>
            <w:r w:rsidR="004026C8">
              <w:rPr>
                <w:color w:val="000000"/>
              </w:rPr>
              <w:t xml:space="preserve">. </w:t>
            </w:r>
          </w:p>
          <w:p w:rsidR="005D50A9" w:rsidRDefault="005D50A9" w:rsidP="00B21D69">
            <w:pPr>
              <w:pStyle w:val="naiskr"/>
              <w:spacing w:before="0" w:after="0"/>
              <w:jc w:val="both"/>
              <w:rPr>
                <w:color w:val="000000"/>
              </w:rPr>
            </w:pPr>
            <w:r>
              <w:rPr>
                <w:color w:val="000000"/>
              </w:rPr>
              <w:t xml:space="preserve">Attiecībā uz </w:t>
            </w:r>
            <w:r w:rsidRPr="005D50A9">
              <w:rPr>
                <w:color w:val="000000"/>
              </w:rPr>
              <w:t>875.</w:t>
            </w:r>
            <w:r w:rsidRPr="005D50A9">
              <w:rPr>
                <w:color w:val="000000"/>
                <w:vertAlign w:val="superscript"/>
              </w:rPr>
              <w:t>7</w:t>
            </w:r>
            <w:r w:rsidRPr="005D50A9">
              <w:rPr>
                <w:color w:val="000000"/>
              </w:rPr>
              <w:t>pant</w:t>
            </w:r>
            <w:r>
              <w:rPr>
                <w:color w:val="000000"/>
              </w:rPr>
              <w:t>a pirmās daļas 2.punktu norādāms, ka</w:t>
            </w:r>
            <w:r w:rsidR="005E7F15">
              <w:rPr>
                <w:color w:val="000000"/>
              </w:rPr>
              <w:t xml:space="preserve"> EIR izpildi var atlikt, ja EIR prasītie priekšmeti, dokumenti vai dati tiek izmantoti citā procesā. Šādos gadījumos EIR izpildi var atlikt līdz br</w:t>
            </w:r>
            <w:r w:rsidR="00387BF0">
              <w:rPr>
                <w:color w:val="000000"/>
              </w:rPr>
              <w:t xml:space="preserve">īdim, kad prasītie </w:t>
            </w:r>
            <w:r w:rsidR="00387BF0">
              <w:rPr>
                <w:color w:val="000000"/>
              </w:rPr>
              <w:lastRenderedPageBreak/>
              <w:t xml:space="preserve">priekšmeti, dokumenti vai dati </w:t>
            </w:r>
            <w:r w:rsidR="005E7F15">
              <w:rPr>
                <w:color w:val="000000"/>
              </w:rPr>
              <w:t>šajā citā</w:t>
            </w:r>
            <w:r w:rsidR="00387BF0">
              <w:rPr>
                <w:color w:val="000000"/>
              </w:rPr>
              <w:t xml:space="preserve"> Latvijā notiekošā procesā</w:t>
            </w:r>
            <w:r w:rsidR="005E7F15">
              <w:rPr>
                <w:color w:val="000000"/>
              </w:rPr>
              <w:t xml:space="preserve"> vairs nav nepieciešami.</w:t>
            </w:r>
            <w:r>
              <w:rPr>
                <w:color w:val="000000"/>
              </w:rPr>
              <w:t xml:space="preserve"> </w:t>
            </w:r>
            <w:r w:rsidR="00387BF0">
              <w:rPr>
                <w:color w:val="000000"/>
              </w:rPr>
              <w:t xml:space="preserve">Būtiski uzsvērt, ka </w:t>
            </w:r>
            <w:r w:rsidR="00423AA3">
              <w:rPr>
                <w:color w:val="000000"/>
              </w:rPr>
              <w:t xml:space="preserve">EIR izpildi var atlikt arī gadījumos, kad prasītie dokumenti tiek izmantoti ne tikai kriminālprocesā, bet arī administratīvajā vai civilprocesā. </w:t>
            </w:r>
          </w:p>
          <w:p w:rsidR="0023013B" w:rsidRPr="00D826D1" w:rsidRDefault="0023013B" w:rsidP="00B21D69">
            <w:pPr>
              <w:pStyle w:val="naiskr"/>
              <w:spacing w:before="0" w:after="0"/>
              <w:jc w:val="both"/>
              <w:rPr>
                <w:color w:val="000000"/>
              </w:rPr>
            </w:pPr>
            <w:r w:rsidRPr="0022190B">
              <w:rPr>
                <w:color w:val="000000"/>
              </w:rPr>
              <w:t>875.</w:t>
            </w:r>
            <w:r w:rsidRPr="0022190B">
              <w:rPr>
                <w:color w:val="000000"/>
                <w:vertAlign w:val="superscript"/>
              </w:rPr>
              <w:t>7</w:t>
            </w:r>
            <w:r w:rsidRPr="0022190B">
              <w:rPr>
                <w:color w:val="000000"/>
              </w:rPr>
              <w:t>panta</w:t>
            </w:r>
            <w:r>
              <w:rPr>
                <w:color w:val="000000"/>
              </w:rPr>
              <w:t xml:space="preserve"> otrā nosaka izpildes iestādes rīcību gadījumos, kad tiek konstatēti EIR izpildes atlikšanas iemesli, savukārt panta trešā daļa uzliek izpildes iestādei pienākumu, tiklīdz vairs nepastāv panta pirmajā daļā paredzētie EIR izpildes atlikšanas iemesli, nekavējoties informēt ES dalībvalsts</w:t>
            </w:r>
            <w:r w:rsidR="00B22BCE">
              <w:rPr>
                <w:color w:val="000000"/>
              </w:rPr>
              <w:t xml:space="preserve"> un Latvijas </w:t>
            </w:r>
            <w:r>
              <w:rPr>
                <w:color w:val="000000"/>
              </w:rPr>
              <w:t>kompetento iestādi</w:t>
            </w:r>
            <w:r w:rsidR="00B22BCE">
              <w:rPr>
                <w:color w:val="000000"/>
              </w:rPr>
              <w:t>,</w:t>
            </w:r>
            <w:r>
              <w:rPr>
                <w:color w:val="000000"/>
              </w:rPr>
              <w:t xml:space="preserve"> un veikt vis</w:t>
            </w:r>
            <w:r w:rsidR="003E5552">
              <w:rPr>
                <w:color w:val="000000"/>
              </w:rPr>
              <w:t>us</w:t>
            </w:r>
            <w:r>
              <w:rPr>
                <w:color w:val="000000"/>
              </w:rPr>
              <w:t xml:space="preserve"> nepieciešam</w:t>
            </w:r>
            <w:r w:rsidR="003E5552">
              <w:rPr>
                <w:color w:val="000000"/>
              </w:rPr>
              <w:t>os</w:t>
            </w:r>
            <w:r>
              <w:rPr>
                <w:color w:val="000000"/>
              </w:rPr>
              <w:t xml:space="preserve"> </w:t>
            </w:r>
            <w:r w:rsidR="003E5552">
              <w:rPr>
                <w:color w:val="000000"/>
              </w:rPr>
              <w:t>pasākumus</w:t>
            </w:r>
            <w:r>
              <w:rPr>
                <w:color w:val="000000"/>
              </w:rPr>
              <w:t xml:space="preserve"> EIR izpildei.  </w:t>
            </w:r>
          </w:p>
          <w:p w:rsidR="000E40CA" w:rsidRDefault="000E40CA" w:rsidP="0034159B">
            <w:pPr>
              <w:pStyle w:val="naiskr"/>
              <w:spacing w:before="0" w:after="0"/>
              <w:jc w:val="both"/>
              <w:rPr>
                <w:b/>
                <w:color w:val="000000"/>
                <w:u w:val="single"/>
              </w:rPr>
            </w:pPr>
          </w:p>
          <w:p w:rsidR="00673495" w:rsidRDefault="0022190B" w:rsidP="0034159B">
            <w:pPr>
              <w:pStyle w:val="naiskr"/>
              <w:spacing w:before="0" w:after="0"/>
              <w:jc w:val="both"/>
            </w:pPr>
            <w:r w:rsidRPr="0022190B">
              <w:rPr>
                <w:b/>
                <w:color w:val="000000"/>
                <w:u w:val="single"/>
              </w:rPr>
              <w:t>875.</w:t>
            </w:r>
            <w:r>
              <w:rPr>
                <w:b/>
                <w:color w:val="000000"/>
                <w:u w:val="single"/>
                <w:vertAlign w:val="superscript"/>
              </w:rPr>
              <w:t>8</w:t>
            </w:r>
            <w:r w:rsidRPr="0022190B">
              <w:rPr>
                <w:b/>
                <w:color w:val="000000"/>
                <w:u w:val="single"/>
              </w:rPr>
              <w:t>pant</w:t>
            </w:r>
            <w:r w:rsidR="0034159B">
              <w:rPr>
                <w:b/>
                <w:color w:val="000000"/>
                <w:u w:val="single"/>
              </w:rPr>
              <w:t>s</w:t>
            </w:r>
            <w:r w:rsidR="0034159B">
              <w:t xml:space="preserve"> nosaka, ka EIR lūgtās procesuālās darbības izpilde notiek, ievērojot KPL noteikto kārtību attiecībā uz procesuālo darbību veikšanu un starptautisko sadarbību krimināltiesību jomā. </w:t>
            </w:r>
          </w:p>
          <w:p w:rsidR="0034159B" w:rsidRDefault="0034159B" w:rsidP="0034159B">
            <w:pPr>
              <w:pStyle w:val="naiskr"/>
              <w:spacing w:before="0" w:after="0"/>
              <w:jc w:val="both"/>
              <w:rPr>
                <w:color w:val="000000"/>
              </w:rPr>
            </w:pPr>
            <w:r>
              <w:t>Ņemot vērā, ka Direktīvas normas ir saistītas ar un</w:t>
            </w:r>
            <w:proofErr w:type="gramStart"/>
            <w:r>
              <w:t xml:space="preserve"> vērstas uz pierādījumu iegūšanu, tad procesuālo darbību veikšanai</w:t>
            </w:r>
            <w:proofErr w:type="gramEnd"/>
            <w:r>
              <w:t xml:space="preserve"> ir piemērojamas nacionālās tiesības un tajās paredzētais procesuālais regulējums. Tāpat Direktīva paredz detalizētāku regulējumu attiecībā uz atsevišķu procesuālo darbību veikšanu</w:t>
            </w:r>
            <w:r w:rsidR="004629D0">
              <w:t xml:space="preserve">, tomēr norādāms, ka minētās prasības lielā mērā izriet no </w:t>
            </w:r>
            <w:proofErr w:type="gramStart"/>
            <w:r w:rsidR="004629D0" w:rsidRPr="004629D0">
              <w:rPr>
                <w:color w:val="000000"/>
              </w:rPr>
              <w:t>2000.gada</w:t>
            </w:r>
            <w:proofErr w:type="gramEnd"/>
            <w:r w:rsidR="004629D0" w:rsidRPr="004629D0">
              <w:rPr>
                <w:color w:val="000000"/>
              </w:rPr>
              <w:t xml:space="preserve"> 29.</w:t>
            </w:r>
            <w:r w:rsidR="004629D0" w:rsidRPr="004629D0">
              <w:t>maija</w:t>
            </w:r>
            <w:r w:rsidR="004629D0">
              <w:t xml:space="preserve"> Konvencijas, līdz ar to liela daļa normu ir iestrādās KPL 82.nodaļā. Lai nedublētu jau spēkā esošu un piemērojamu regulējumu, ir izstrādāts </w:t>
            </w:r>
            <w:r w:rsidR="004629D0" w:rsidRPr="004629D0">
              <w:rPr>
                <w:color w:val="000000"/>
              </w:rPr>
              <w:t>875.</w:t>
            </w:r>
            <w:r w:rsidR="004629D0" w:rsidRPr="004629D0">
              <w:rPr>
                <w:color w:val="000000"/>
                <w:vertAlign w:val="superscript"/>
              </w:rPr>
              <w:t>8</w:t>
            </w:r>
            <w:r w:rsidR="004629D0" w:rsidRPr="004629D0">
              <w:rPr>
                <w:color w:val="000000"/>
              </w:rPr>
              <w:t>pants</w:t>
            </w:r>
            <w:r w:rsidR="004629D0">
              <w:rPr>
                <w:color w:val="000000"/>
              </w:rPr>
              <w:t xml:space="preserve">, kas pēc būtības nosaka, ka EIR izpildes procesā </w:t>
            </w:r>
            <w:r w:rsidR="00827C96">
              <w:rPr>
                <w:color w:val="000000"/>
              </w:rPr>
              <w:t xml:space="preserve">attiecībā uz veicamajām procesuālajām darbībām </w:t>
            </w:r>
            <w:r w:rsidR="004629D0">
              <w:rPr>
                <w:color w:val="000000"/>
              </w:rPr>
              <w:t xml:space="preserve">ir piemērojamas normas, kas izriet no KPL A daļas un C daļas. </w:t>
            </w:r>
          </w:p>
          <w:p w:rsidR="000E40CA" w:rsidRDefault="000E40CA" w:rsidP="00A95C4A">
            <w:pPr>
              <w:pStyle w:val="naiskr"/>
              <w:spacing w:before="0" w:after="0"/>
              <w:jc w:val="both"/>
              <w:rPr>
                <w:b/>
                <w:color w:val="000000"/>
                <w:u w:val="single"/>
              </w:rPr>
            </w:pPr>
          </w:p>
          <w:p w:rsidR="00596B6D" w:rsidRDefault="00596B6D" w:rsidP="00A95C4A">
            <w:pPr>
              <w:pStyle w:val="naiskr"/>
              <w:spacing w:before="0" w:after="0"/>
              <w:jc w:val="both"/>
              <w:rPr>
                <w:color w:val="000000"/>
              </w:rPr>
            </w:pPr>
            <w:r>
              <w:rPr>
                <w:b/>
                <w:color w:val="000000"/>
                <w:u w:val="single"/>
              </w:rPr>
              <w:t>875.</w:t>
            </w:r>
            <w:proofErr w:type="gramStart"/>
            <w:r>
              <w:rPr>
                <w:b/>
                <w:color w:val="000000"/>
                <w:u w:val="single"/>
                <w:vertAlign w:val="superscript"/>
              </w:rPr>
              <w:t>9</w:t>
            </w:r>
            <w:r>
              <w:rPr>
                <w:b/>
                <w:color w:val="000000"/>
                <w:u w:val="single"/>
              </w:rPr>
              <w:t>pants</w:t>
            </w:r>
            <w:proofErr w:type="gramEnd"/>
            <w:r w:rsidR="00B17AD6">
              <w:rPr>
                <w:color w:val="000000"/>
              </w:rPr>
              <w:t xml:space="preserve"> </w:t>
            </w:r>
            <w:r w:rsidR="00A95C4A">
              <w:rPr>
                <w:color w:val="000000"/>
              </w:rPr>
              <w:t xml:space="preserve">ir izstrādāts, lai ieviestu Direktīvas 31.panta prasības, kas paredz, ka, gadījumos, kad tiek veikta telesakaru pārtveršana, bet tās dalībvalsts tehniska palīdzība, kurā atrodas subjekts, kura dati ir pārtverami, nav nepieciešama, ir jāinformē par attiecīgo faktu. </w:t>
            </w:r>
          </w:p>
          <w:p w:rsidR="002148B6" w:rsidRDefault="002148B6" w:rsidP="00A95C4A">
            <w:pPr>
              <w:pStyle w:val="naiskr"/>
              <w:spacing w:before="0" w:after="0"/>
              <w:jc w:val="both"/>
              <w:rPr>
                <w:color w:val="000000"/>
              </w:rPr>
            </w:pPr>
            <w:r>
              <w:rPr>
                <w:color w:val="000000"/>
              </w:rPr>
              <w:t xml:space="preserve">Lai ilustrētu pantā paredzēto, kā piemēru var minēt situāciju, kad, piemēram, Vācijā ir tikusi sankcionēta personas mobilā telefona noklausīšanās, bet persona pārvietojas no vienas valsts uz otru. Šādā gadījumā Vācijai, ja tās tehniskās iespējas ļauj turpināt veikt telefonsakaru noklausīšanos arī ārpus tās teritorijas un citu dalībvalstu tehniska palīdzība šādu darbību veikšanai tai nav nepieciešama, ir pienākums informēt katru no dalībvalstīm, kurā persona, kuras telefonsakari tiek noklausīti, uzturas. Dalībvalstu informēšana notiek, kompetentajām iestādēm nosūtot Direktīvas C pielikumā paredzēto paziņojuma veidlapu. </w:t>
            </w:r>
            <w:r w:rsidR="00BD580B">
              <w:rPr>
                <w:color w:val="000000"/>
              </w:rPr>
              <w:t xml:space="preserve">Kā izriet no Direktīvas 31.panta pirmās daļas, ES dalībvalsts kompetentā iestādē paziņojumu var nosūtīt pirms sakaru kontroles veikšanas vai tās laikā, vai arī pēc tam, kad sakaru līdzekļu kontrole attiecīgās dalībvalsts teritorijā jau ir veikta. </w:t>
            </w:r>
          </w:p>
          <w:p w:rsidR="00BD580B" w:rsidRDefault="002148B6" w:rsidP="002148B6">
            <w:pPr>
              <w:pStyle w:val="naiskr"/>
              <w:spacing w:before="0" w:after="0"/>
              <w:jc w:val="both"/>
              <w:rPr>
                <w:color w:val="000000"/>
              </w:rPr>
            </w:pPr>
            <w:r>
              <w:rPr>
                <w:color w:val="000000"/>
              </w:rPr>
              <w:t xml:space="preserve">Latvijas kompetentā iestāde, saņemot šādu paziņojumu no kādas ES dalībvalsts, </w:t>
            </w:r>
            <w:r w:rsidRPr="002148B6">
              <w:rPr>
                <w:color w:val="000000"/>
              </w:rPr>
              <w:t>atbilstoši 875.</w:t>
            </w:r>
            <w:r w:rsidRPr="002148B6">
              <w:rPr>
                <w:color w:val="000000"/>
                <w:vertAlign w:val="superscript"/>
              </w:rPr>
              <w:t>9</w:t>
            </w:r>
            <w:r>
              <w:rPr>
                <w:color w:val="000000"/>
              </w:rPr>
              <w:t xml:space="preserve">pantā paredzētajam, izvērtē to, vai šāda sakaru līdzekļu kontrole būtu pieļaujama Latvijā notiekošā kriminālprocesā par tādu pašu nodarījumu. </w:t>
            </w:r>
          </w:p>
          <w:p w:rsidR="002148B6" w:rsidRDefault="002148B6" w:rsidP="002148B6">
            <w:pPr>
              <w:pStyle w:val="naiskr"/>
              <w:spacing w:before="0" w:after="0"/>
              <w:jc w:val="both"/>
              <w:rPr>
                <w:color w:val="000000"/>
              </w:rPr>
            </w:pPr>
            <w:r>
              <w:rPr>
                <w:color w:val="000000"/>
              </w:rPr>
              <w:t>Ja izvērtējuma rezultātā Latvijas kompetentā iestāde secina, ka šāda sakaru līdzekļu kontrole Latvijā notiekošā kriminālprocesā par tādu pašu nodarījumu nebūtu pieļaujama, tā ne vēlāk kā 96 stundu laikā</w:t>
            </w:r>
            <w:r w:rsidR="00BD580B">
              <w:rPr>
                <w:color w:val="000000"/>
              </w:rPr>
              <w:t xml:space="preserve"> atbilstoši </w:t>
            </w:r>
            <w:r w:rsidR="00BD580B" w:rsidRPr="00BD580B">
              <w:rPr>
                <w:color w:val="000000"/>
              </w:rPr>
              <w:t>875.</w:t>
            </w:r>
            <w:r w:rsidR="00BD580B" w:rsidRPr="00BD580B">
              <w:rPr>
                <w:color w:val="000000"/>
                <w:vertAlign w:val="superscript"/>
              </w:rPr>
              <w:t>9</w:t>
            </w:r>
            <w:r w:rsidR="00BD580B" w:rsidRPr="00BD580B">
              <w:rPr>
                <w:color w:val="000000"/>
              </w:rPr>
              <w:t>panta 1.punktam</w:t>
            </w:r>
            <w:r w:rsidRPr="00BD580B">
              <w:rPr>
                <w:color w:val="000000"/>
              </w:rPr>
              <w:t xml:space="preserve"> informē</w:t>
            </w:r>
            <w:r>
              <w:rPr>
                <w:color w:val="000000"/>
              </w:rPr>
              <w:t xml:space="preserve"> attiecīgās ES dalībvalsts kompetento iestādi par to, ka šādu sakaru līdzekļu kontroli Latvijas teritorijā nedrīkst </w:t>
            </w:r>
            <w:r>
              <w:rPr>
                <w:color w:val="000000"/>
              </w:rPr>
              <w:lastRenderedPageBreak/>
              <w:t xml:space="preserve">veikt, bet jau uzsākta sakaru līdzekļu kontrole ir jāpārtrauc. </w:t>
            </w:r>
          </w:p>
          <w:p w:rsidR="00AF01B6" w:rsidRDefault="00AF01B6" w:rsidP="00BD580B">
            <w:pPr>
              <w:pStyle w:val="naiskr"/>
              <w:spacing w:before="0" w:after="0"/>
              <w:jc w:val="both"/>
              <w:rPr>
                <w:color w:val="000000"/>
              </w:rPr>
            </w:pPr>
            <w:r>
              <w:rPr>
                <w:color w:val="000000"/>
              </w:rPr>
              <w:t xml:space="preserve">Jānorāda, ka ES dalībvalstu paziņojumu par to, ka veikta sakaru līdzekļu kontrole, var atsūtīt arī pēc attiecīgās darbības veikšanas. Šādā gadījumā Latvijas kompetentā iestādē izvērtē, vai šāda darbība būtu bijusi pieļaujama Latvijā notiekošā kriminālprocesā par tādu pašu nodarījumu </w:t>
            </w:r>
            <w:proofErr w:type="gramStart"/>
            <w:r>
              <w:rPr>
                <w:color w:val="000000"/>
              </w:rPr>
              <w:t>un,</w:t>
            </w:r>
            <w:proofErr w:type="gramEnd"/>
            <w:r>
              <w:rPr>
                <w:color w:val="000000"/>
              </w:rPr>
              <w:t xml:space="preserve"> ja tas nebūtu bijis pieļaujams,</w:t>
            </w:r>
            <w:r w:rsidR="00BD580B">
              <w:rPr>
                <w:color w:val="000000"/>
              </w:rPr>
              <w:t xml:space="preserve"> tā atbilstoši </w:t>
            </w:r>
            <w:r w:rsidR="00BD580B" w:rsidRPr="00BD580B">
              <w:rPr>
                <w:color w:val="000000"/>
              </w:rPr>
              <w:t>875.</w:t>
            </w:r>
            <w:r w:rsidR="00BD580B" w:rsidRPr="00BD580B">
              <w:rPr>
                <w:color w:val="000000"/>
                <w:vertAlign w:val="superscript"/>
              </w:rPr>
              <w:t>9</w:t>
            </w:r>
            <w:r w:rsidR="00BD580B" w:rsidRPr="00BD580B">
              <w:rPr>
                <w:color w:val="000000"/>
              </w:rPr>
              <w:t xml:space="preserve">panta </w:t>
            </w:r>
            <w:r w:rsidR="00BD580B">
              <w:rPr>
                <w:color w:val="000000"/>
              </w:rPr>
              <w:t>2</w:t>
            </w:r>
            <w:r w:rsidR="00BD580B" w:rsidRPr="00BD580B">
              <w:rPr>
                <w:color w:val="000000"/>
              </w:rPr>
              <w:t>.punktam</w:t>
            </w:r>
            <w:r w:rsidR="00EA4C01">
              <w:rPr>
                <w:color w:val="000000"/>
              </w:rPr>
              <w:t xml:space="preserve"> ne vēlāk kā 96 stundu laikā</w:t>
            </w:r>
            <w:r w:rsidR="00BD580B" w:rsidRPr="00BD580B">
              <w:rPr>
                <w:color w:val="000000"/>
              </w:rPr>
              <w:t xml:space="preserve"> informē</w:t>
            </w:r>
            <w:r>
              <w:rPr>
                <w:color w:val="000000"/>
              </w:rPr>
              <w:t xml:space="preserve"> ES dalībvalsts kompetento iestādi par to, ka informāciju, kas sakaru kontroles rezultātā iegūta Latvijas teritorijā, </w:t>
            </w:r>
            <w:r w:rsidR="00EA4C01">
              <w:rPr>
                <w:color w:val="000000"/>
              </w:rPr>
              <w:t xml:space="preserve">tā </w:t>
            </w:r>
            <w:r>
              <w:rPr>
                <w:color w:val="000000"/>
              </w:rPr>
              <w:t xml:space="preserve">nedrīkst izmantot pierādīšanā. </w:t>
            </w:r>
          </w:p>
          <w:p w:rsidR="000E40CA" w:rsidRDefault="000E40CA" w:rsidP="00B403E8">
            <w:pPr>
              <w:pStyle w:val="naiskr"/>
              <w:spacing w:before="0" w:after="0"/>
              <w:jc w:val="both"/>
              <w:rPr>
                <w:b/>
                <w:color w:val="000000"/>
                <w:u w:val="single"/>
              </w:rPr>
            </w:pPr>
          </w:p>
          <w:p w:rsidR="007C7089" w:rsidRDefault="0043002F" w:rsidP="00B403E8">
            <w:pPr>
              <w:pStyle w:val="naiskr"/>
              <w:spacing w:before="0" w:after="0"/>
              <w:jc w:val="both"/>
              <w:rPr>
                <w:color w:val="000000"/>
              </w:rPr>
            </w:pPr>
            <w:r w:rsidRPr="0043002F">
              <w:rPr>
                <w:b/>
                <w:color w:val="000000"/>
                <w:u w:val="single"/>
              </w:rPr>
              <w:t>875.</w:t>
            </w:r>
            <w:proofErr w:type="gramStart"/>
            <w:r w:rsidRPr="0043002F">
              <w:rPr>
                <w:b/>
                <w:color w:val="000000"/>
                <w:u w:val="single"/>
                <w:vertAlign w:val="superscript"/>
              </w:rPr>
              <w:t>10</w:t>
            </w:r>
            <w:r w:rsidRPr="0043002F">
              <w:rPr>
                <w:b/>
                <w:color w:val="000000"/>
                <w:u w:val="single"/>
              </w:rPr>
              <w:t>pant</w:t>
            </w:r>
            <w:r w:rsidR="00B403E8">
              <w:rPr>
                <w:b/>
                <w:color w:val="000000"/>
                <w:u w:val="single"/>
              </w:rPr>
              <w:t>s</w:t>
            </w:r>
            <w:proofErr w:type="gramEnd"/>
            <w:r w:rsidR="00B403E8">
              <w:rPr>
                <w:color w:val="000000"/>
              </w:rPr>
              <w:t xml:space="preserve"> izstrādāts, lai KPL regulējumā ieviestu Direktīvas 10.panta prasības, kas paredz nepieciešamību noteikt kārtību, kādā dalībvalsts iestāde, kura izpilda EIR, iestājoties noteiktiem kritērijiem, var veikt citu procesuālo darbību, nekā lūgts EIR, ja ar šo citu procesuālo darbību var sasniegt tādu pašu rezultātu, kā ar procesuālo darbību, kas lūgta EIR.</w:t>
            </w:r>
          </w:p>
          <w:p w:rsidR="007C7089" w:rsidRDefault="007C7089" w:rsidP="00B403E8">
            <w:pPr>
              <w:pStyle w:val="naiskr"/>
              <w:spacing w:before="0" w:after="0"/>
              <w:jc w:val="both"/>
              <w:rPr>
                <w:color w:val="000000"/>
              </w:rPr>
            </w:pPr>
            <w:r>
              <w:rPr>
                <w:color w:val="000000"/>
              </w:rPr>
              <w:t xml:space="preserve">Pantā paredzēto kārtību var piemērot, ja iestājas viens no šādiem kritērijiem: </w:t>
            </w:r>
          </w:p>
          <w:p w:rsidR="007C7089" w:rsidRPr="007C7089" w:rsidRDefault="007C7089" w:rsidP="007C7089">
            <w:pPr>
              <w:pStyle w:val="naiskr"/>
              <w:numPr>
                <w:ilvl w:val="0"/>
                <w:numId w:val="5"/>
              </w:numPr>
              <w:spacing w:before="0" w:after="0"/>
              <w:jc w:val="both"/>
            </w:pPr>
            <w:r>
              <w:rPr>
                <w:color w:val="000000"/>
              </w:rPr>
              <w:t>EIR lūgtā procesuālā darbība ir tāda, kas KPL nav paredzēta; vai</w:t>
            </w:r>
          </w:p>
          <w:p w:rsidR="0043002F" w:rsidRDefault="007C7089" w:rsidP="00ED25E8">
            <w:pPr>
              <w:pStyle w:val="naiskr"/>
              <w:numPr>
                <w:ilvl w:val="0"/>
                <w:numId w:val="5"/>
              </w:numPr>
              <w:spacing w:before="0" w:after="0"/>
              <w:jc w:val="both"/>
            </w:pPr>
            <w:r>
              <w:rPr>
                <w:color w:val="000000"/>
              </w:rPr>
              <w:t xml:space="preserve">EIR lūgtā procesuālā darbība ir tāda, kas nebūtu pieļaujama Latvijā notiekošā kriminālprocesā par tādu pašu nodarījumu. </w:t>
            </w:r>
          </w:p>
          <w:p w:rsidR="00CD26A4" w:rsidRDefault="00CD26A4" w:rsidP="00CD26A4">
            <w:pPr>
              <w:pStyle w:val="naiskr"/>
              <w:spacing w:before="0" w:after="0"/>
              <w:jc w:val="both"/>
            </w:pPr>
            <w:r>
              <w:t xml:space="preserve">Tomēr šā panta noteikumi nav attecināmi uz visām procesuālajām darbībām. </w:t>
            </w:r>
            <w:proofErr w:type="gramStart"/>
            <w:r w:rsidR="00D7130F">
              <w:t>Panta otrajā daļā dots to procesuālo darbību uzskaitījumus</w:t>
            </w:r>
            <w:proofErr w:type="gramEnd"/>
            <w:r w:rsidR="00D7130F">
              <w:t xml:space="preserve">, uz kurām nav attiecināma panta pirmajā daļā paredzētā iespēja EIR lūgto procesuālo darbību aizvietot ar citu. Kā norādīts Direktīvas </w:t>
            </w:r>
            <w:proofErr w:type="gramStart"/>
            <w:r w:rsidR="00D7130F">
              <w:t>10.panta</w:t>
            </w:r>
            <w:proofErr w:type="gramEnd"/>
            <w:r w:rsidR="00D7130F">
              <w:t xml:space="preserve"> otrajā daļā, šīm procesuālajām darbībām vienmēr jābūt pieejamām dalībvalstu nacionālajā regulējumā. </w:t>
            </w:r>
          </w:p>
          <w:p w:rsidR="00665CF7" w:rsidRDefault="00780872" w:rsidP="00780872">
            <w:pPr>
              <w:pStyle w:val="naiskr"/>
              <w:spacing w:before="0" w:after="0"/>
              <w:jc w:val="both"/>
            </w:pPr>
            <w:r>
              <w:t>Kā jau norādīts iepriekš, tad, saņemot EIR, kurā lūgts veikt panta otrajā daļā paredzēto procesuālo darbību, tā atzīšanu un izpildi nevar atteikt, pamatojoties uz 875.</w:t>
            </w:r>
            <w:r>
              <w:rPr>
                <w:vertAlign w:val="superscript"/>
              </w:rPr>
              <w:t>6</w:t>
            </w:r>
            <w:r>
              <w:t xml:space="preserve">panta pirmās daļas 3. </w:t>
            </w:r>
            <w:r w:rsidR="00665CF7">
              <w:t xml:space="preserve">vai 6.punktu, tas ir, atzīšana un izpildes atteikuma iemesls nevar būt tas, ka nodarījums nav noziedzīgs saskaņā ar Krimināllikumu vai ka procesuālā darbība nebūtu pieļaujama Latvijā notiekošā kriminālprocesā par tādu pašu nodarījumu. </w:t>
            </w:r>
          </w:p>
          <w:p w:rsidR="00665CF7" w:rsidRDefault="00665CF7" w:rsidP="00780872">
            <w:pPr>
              <w:pStyle w:val="naiskr"/>
              <w:spacing w:before="0" w:after="0"/>
              <w:jc w:val="both"/>
            </w:pPr>
          </w:p>
          <w:p w:rsidR="004F4468" w:rsidRDefault="004F4468" w:rsidP="00FD77DA">
            <w:pPr>
              <w:pStyle w:val="naiskr"/>
              <w:spacing w:before="0" w:after="0"/>
              <w:jc w:val="both"/>
              <w:rPr>
                <w:color w:val="000000"/>
              </w:rPr>
            </w:pPr>
            <w:r w:rsidRPr="0043002F">
              <w:rPr>
                <w:b/>
                <w:color w:val="000000"/>
                <w:u w:val="single"/>
              </w:rPr>
              <w:t>875.</w:t>
            </w:r>
            <w:r>
              <w:rPr>
                <w:b/>
                <w:color w:val="000000"/>
                <w:u w:val="single"/>
                <w:vertAlign w:val="superscript"/>
              </w:rPr>
              <w:t>11</w:t>
            </w:r>
            <w:r w:rsidRPr="0043002F">
              <w:rPr>
                <w:b/>
                <w:color w:val="000000"/>
                <w:u w:val="single"/>
              </w:rPr>
              <w:t>pant</w:t>
            </w:r>
            <w:r>
              <w:rPr>
                <w:b/>
                <w:color w:val="000000"/>
                <w:u w:val="single"/>
              </w:rPr>
              <w:t>s</w:t>
            </w:r>
            <w:r w:rsidR="008051A4">
              <w:rPr>
                <w:color w:val="000000"/>
              </w:rPr>
              <w:t xml:space="preserve"> nosaka EIR izpildes rezultātā iegūto pierādījumu nodošanas vispārējo kārtību. Panta pirmajā daļā noteikts, ka Latvijas izpildes iestāde, nododot pierādījumus, norāda, vai tie ir vai nav atgriežami atpakaļ pēc tam, kad tie ES dalībvalstī notiekošajā kriminālprocesā vairs nav nepieciešami. </w:t>
            </w:r>
            <w:r w:rsidR="00C17B85">
              <w:rPr>
                <w:color w:val="000000"/>
              </w:rPr>
              <w:t xml:space="preserve">Savukārt panta otrajā daļā noteikts, ka </w:t>
            </w:r>
            <w:r w:rsidR="00FD77DA">
              <w:rPr>
                <w:color w:val="000000"/>
              </w:rPr>
              <w:t>gadījumos, kad persona iesniegusi sūdzību par pieņemto EIR vai par tā izpildes kārtību, izpildes iestāde var atlikt pierādījumu nodošanu līdz brīdim, kamēr tiek izlemta sūdz</w:t>
            </w:r>
            <w:r w:rsidR="002F4E7F">
              <w:rPr>
                <w:color w:val="000000"/>
              </w:rPr>
              <w:t>ība.</w:t>
            </w:r>
          </w:p>
          <w:p w:rsidR="002F4E7F" w:rsidRDefault="002F4E7F" w:rsidP="00FD77DA">
            <w:pPr>
              <w:pStyle w:val="naiskr"/>
              <w:spacing w:before="0" w:after="0"/>
              <w:jc w:val="both"/>
              <w:rPr>
                <w:color w:val="000000"/>
              </w:rPr>
            </w:pPr>
          </w:p>
          <w:p w:rsidR="002F4E7F" w:rsidRDefault="002F4E7F" w:rsidP="002F4E7F">
            <w:pPr>
              <w:pStyle w:val="naiskr"/>
              <w:spacing w:before="0" w:after="0"/>
              <w:jc w:val="both"/>
              <w:rPr>
                <w:color w:val="000000"/>
              </w:rPr>
            </w:pPr>
            <w:r w:rsidRPr="0043002F">
              <w:rPr>
                <w:b/>
                <w:color w:val="000000"/>
                <w:u w:val="single"/>
              </w:rPr>
              <w:t>875.</w:t>
            </w:r>
            <w:r>
              <w:rPr>
                <w:b/>
                <w:color w:val="000000"/>
                <w:u w:val="single"/>
                <w:vertAlign w:val="superscript"/>
              </w:rPr>
              <w:t>12</w:t>
            </w:r>
            <w:r w:rsidRPr="0043002F">
              <w:rPr>
                <w:b/>
                <w:color w:val="000000"/>
                <w:u w:val="single"/>
              </w:rPr>
              <w:t>pant</w:t>
            </w:r>
            <w:r>
              <w:rPr>
                <w:b/>
                <w:color w:val="000000"/>
                <w:u w:val="single"/>
              </w:rPr>
              <w:t>s</w:t>
            </w:r>
            <w:r>
              <w:rPr>
                <w:color w:val="000000"/>
              </w:rPr>
              <w:t xml:space="preserve"> nosaka kārtību, kādā persona var aizsargāt savas tiesības un iesniegt sūdzības gan par pašu EIR, gan tā izpildes kārtību. Sūdzības par EIR pieņemšanu un tā pamatojumu ir iesniedzamas, un tās var izskatīt tikai ES dalībvalsts kompetentā iestāde, kura pieņēmusi attiecīgo EIR. Savukārt sūdzības par rīcību, kas saistīta ar EIR izpildi, ir izskatāmas KPL noteiktajā kārtībā. Latvijas kompetentā iestāde par sūdzības iesniegšanas faktu, tās pamatojumu, kā arī par sūdzības izskatīšanas rezultātiem informē ES dalībvalsts kompetento iestādi. </w:t>
            </w:r>
          </w:p>
          <w:p w:rsidR="002F4E7F" w:rsidRDefault="00752593" w:rsidP="002F4E7F">
            <w:pPr>
              <w:pStyle w:val="naiskr"/>
              <w:spacing w:before="0" w:after="0"/>
              <w:jc w:val="both"/>
              <w:rPr>
                <w:color w:val="000000"/>
              </w:rPr>
            </w:pPr>
            <w:r>
              <w:rPr>
                <w:color w:val="000000"/>
              </w:rPr>
              <w:t>Būtiski norādīts, ka</w:t>
            </w:r>
            <w:r w:rsidR="002F4E7F">
              <w:rPr>
                <w:color w:val="000000"/>
              </w:rPr>
              <w:t xml:space="preserve">, saskaņā ar panta otro daļu, sūdzības iesniegšana </w:t>
            </w:r>
            <w:r>
              <w:rPr>
                <w:color w:val="000000"/>
              </w:rPr>
              <w:t xml:space="preserve">par </w:t>
            </w:r>
            <w:r>
              <w:rPr>
                <w:color w:val="000000"/>
              </w:rPr>
              <w:lastRenderedPageBreak/>
              <w:t xml:space="preserve">EIR pieņemšanas pamatojumu neaptur EIR izpildi, izņemot gadījumos, kad ES dalībvalsts kompetentā iestāde ir informējusi izpildes iestādi, ka atbilstoši tās nacionālajam regulējumam sūdzības iesniegšana rada darbības izpildes apturēšanas sekas. </w:t>
            </w:r>
            <w:r w:rsidR="008A4FFC">
              <w:rPr>
                <w:color w:val="000000"/>
              </w:rPr>
              <w:t xml:space="preserve">Ja šāda informācija no ES dalībvalsts kompetentās iestādes nav saņemta, Latvijas izpildes iestāde turpina EIR izpildi. </w:t>
            </w:r>
          </w:p>
          <w:p w:rsidR="008D2553" w:rsidRDefault="008D2553" w:rsidP="002F4E7F">
            <w:pPr>
              <w:pStyle w:val="naiskr"/>
              <w:spacing w:before="0" w:after="0"/>
              <w:jc w:val="both"/>
              <w:rPr>
                <w:color w:val="000000"/>
              </w:rPr>
            </w:pPr>
          </w:p>
          <w:p w:rsidR="008D2553" w:rsidRPr="00516386" w:rsidRDefault="008D2553" w:rsidP="002F4E7F">
            <w:pPr>
              <w:pStyle w:val="naiskr"/>
              <w:spacing w:before="0" w:after="0"/>
              <w:jc w:val="both"/>
            </w:pPr>
            <w:r w:rsidRPr="00516386">
              <w:rPr>
                <w:u w:val="single"/>
              </w:rPr>
              <w:t xml:space="preserve">Likumprojekta </w:t>
            </w:r>
            <w:proofErr w:type="gramStart"/>
            <w:r w:rsidRPr="00516386">
              <w:rPr>
                <w:u w:val="single"/>
              </w:rPr>
              <w:t>5.pants</w:t>
            </w:r>
            <w:proofErr w:type="gramEnd"/>
            <w:r w:rsidRPr="00516386">
              <w:t xml:space="preserve"> paredz papildināt KPL 876.pantu ar jaunu daļu, ieviešot regu</w:t>
            </w:r>
            <w:r w:rsidR="00DF6101" w:rsidRPr="00516386">
              <w:t>lējumu, kas ļautu noraidīt tādu pieteikumu</w:t>
            </w:r>
            <w:r w:rsidRPr="00516386">
              <w:t xml:space="preserve"> par proces</w:t>
            </w:r>
            <w:r w:rsidR="00DF6101" w:rsidRPr="00516386">
              <w:t xml:space="preserve">uālo darbību veikšanu ārvalstī, ja noziedzīgā nodarījuma smagums un raksturs nav samērojams ar izdevumiem, kas rodas, lai nodotu izpildei attiecīgo lūgumu. </w:t>
            </w:r>
            <w:r w:rsidR="006E2B01" w:rsidRPr="00516386">
              <w:t xml:space="preserve">Šādas normas nepieciešamība pamatojama ar to, ka ir gadījumi, kad kompetentā iestāde, izvērtējot procesa virzītāja ierosinājumu, secina, ka nosūtītais tiesiskās palīdzības lūgums netiks izpildīts, jo tas neatbilst kādiem </w:t>
            </w:r>
            <w:r w:rsidR="00254949" w:rsidRPr="00516386">
              <w:t xml:space="preserve">attiecīgās valsts noteiktiem kritērijiem tiesiskās palīdzības lūgumu izpildei. Kā piemēru var minēt gan Apvienoto Karalisti, gan Amerikas Savienotās Valstis, kur ir noteikta minimālā zaudējumu summa ārvalsts tiesiskās palīdzības lūgumu izpildes iespējamības izlemšanai, tas ir, attiecīgi GBP 1000 un USD 5000. </w:t>
            </w:r>
            <w:r w:rsidR="00F24476" w:rsidRPr="00516386">
              <w:t xml:space="preserve">Līdz ar to gadījumos, kad zaudējumu summa ir mazāka, pastāv iespēja, ka tiesiskās palīdzības lūgums izpildīts netiks, bet, konstatējot attiecīgos apstākļus, kompetentajai iestādei šobrīd nav paredzētas tiesības procesa virzītāja ierosinājumu noraidīt. </w:t>
            </w:r>
            <w:r w:rsidR="00FB3EA5" w:rsidRPr="00516386">
              <w:t>Ieviešot šādu proporcionalitātes principu attiecībā uz tiesiskās palīdzības lūgumiem, kompetentajai iestādei tiek piešķirtas tiesības izvērtēt tiesiskās palīdzības lūguma nosūtīšanas izdevumu samērīgumu ar noziedzīgā nodarījuma smagumu un raksturu.</w:t>
            </w:r>
          </w:p>
          <w:p w:rsidR="008D2553" w:rsidRDefault="008D2553" w:rsidP="002F4E7F">
            <w:pPr>
              <w:pStyle w:val="naiskr"/>
              <w:spacing w:before="0" w:after="0"/>
              <w:jc w:val="both"/>
              <w:rPr>
                <w:color w:val="FF0000"/>
              </w:rPr>
            </w:pPr>
          </w:p>
          <w:p w:rsidR="008D2553" w:rsidRDefault="008D2553" w:rsidP="002F4E7F">
            <w:pPr>
              <w:pStyle w:val="naiskr"/>
              <w:spacing w:before="0" w:after="0"/>
              <w:jc w:val="both"/>
            </w:pPr>
            <w:r>
              <w:rPr>
                <w:u w:val="single"/>
              </w:rPr>
              <w:t xml:space="preserve">Likumprojekta </w:t>
            </w:r>
            <w:proofErr w:type="gramStart"/>
            <w:r>
              <w:rPr>
                <w:u w:val="single"/>
              </w:rPr>
              <w:t>6.pants</w:t>
            </w:r>
            <w:proofErr w:type="gramEnd"/>
            <w:r>
              <w:t xml:space="preserve"> </w:t>
            </w:r>
            <w:r w:rsidR="003D7529">
              <w:t xml:space="preserve">KPL papildina ar </w:t>
            </w:r>
            <w:r w:rsidR="003D7529" w:rsidRPr="003D7529">
              <w:rPr>
                <w:b/>
              </w:rPr>
              <w:t>83.</w:t>
            </w:r>
            <w:r w:rsidR="003D7529" w:rsidRPr="003D7529">
              <w:rPr>
                <w:b/>
                <w:vertAlign w:val="superscript"/>
              </w:rPr>
              <w:t>1</w:t>
            </w:r>
            <w:r w:rsidR="003D7529" w:rsidRPr="003D7529">
              <w:rPr>
                <w:b/>
              </w:rPr>
              <w:t>nodaļu, kurā noteikta EIR pieņemšanas un nodošanas izpildei kārtība.</w:t>
            </w:r>
            <w:r w:rsidR="003D7529">
              <w:t xml:space="preserve"> </w:t>
            </w:r>
          </w:p>
          <w:p w:rsidR="009A5ED5" w:rsidRDefault="00CC3BF9" w:rsidP="00066241">
            <w:pPr>
              <w:pStyle w:val="naiskr"/>
              <w:spacing w:before="0" w:after="0"/>
              <w:jc w:val="both"/>
            </w:pPr>
            <w:r>
              <w:rPr>
                <w:b/>
                <w:u w:val="single"/>
              </w:rPr>
              <w:t>887.</w:t>
            </w:r>
            <w:proofErr w:type="gramStart"/>
            <w:r>
              <w:rPr>
                <w:b/>
                <w:u w:val="single"/>
                <w:vertAlign w:val="superscript"/>
              </w:rPr>
              <w:t>1</w:t>
            </w:r>
            <w:r>
              <w:rPr>
                <w:b/>
                <w:u w:val="single"/>
              </w:rPr>
              <w:t>pants</w:t>
            </w:r>
            <w:proofErr w:type="gramEnd"/>
            <w:r>
              <w:t xml:space="preserve"> regulē kārtību, kādā EIR pieņem un nodod izpildei pirmstiesas procesā līdz kriminālvajāšanas uzsākšanai. </w:t>
            </w:r>
            <w:r w:rsidR="00066241">
              <w:t xml:space="preserve">Panta pirmajā daļā ietverts proporcionalitātes kritērijs, kas uzliek pienākumu, pirms EIR aizpildīšanas, izvērtēt nepieciešamās procesuālās darbības samērīgumu un nepieciešamību attiecībā uz izmeklējamo noziedzīgo nodarījumu. Tāpat panta pirmajā daļā noteikts pienākums procesa virzītājam pirms EIR aizpildīšanas veikt visas nepieciešamās darbības un ievērot KPL noteikto kārtību attiecībā uz procesuālās darbības veikšanu. Tas nozīmē, ka, ja KPL ir paredzēta īpaša procesuālā kārtībā attiecībā uz procesuālās darbības veikšanu, šī kārtība ir ievērojama arī gadījumos, kad procesuālo darbību nepieciešams veikt kādā citā ES dalībvalstī. Piemēram, ja ES dalībvalsts teritorijā ir nepieciešams veikt kratīšanu, tad procesa virzītājam pirms EIR aizpildīšanas ar ierosinājumu par kratīšanas veikšanu ir jāvēršas pie izmeklēšanas tiesneša. </w:t>
            </w:r>
            <w:r w:rsidR="00B655DC">
              <w:t xml:space="preserve">Tikai pēc izmeklēšanas tiesneša lēmuma par kratīšanas veikšanu saņemšanas procesa virzītājs aizpilda EIR, kas ir īpašas formas dokuments, kura forma un saturs būs noteikt MK noteikumos Nr.176. </w:t>
            </w:r>
          </w:p>
          <w:p w:rsidR="00204421" w:rsidRDefault="009A5ED5" w:rsidP="009A5ED5">
            <w:pPr>
              <w:pStyle w:val="naiskr"/>
              <w:spacing w:before="0" w:after="0"/>
              <w:jc w:val="both"/>
            </w:pPr>
            <w:r>
              <w:t xml:space="preserve">Aizpildīto EIR procesa virzītājs nosūta uzraugošajam prokurora, kurš 5 darba dienu laikā izvērtē, vai ir ievērotas visas KPL noteiktās prasības procesuālas darbības veikšanai, kā arī izvērtē tās nepieciešamību un samērīgumu. Ja visas KPL prasības ir ievērotas un procesuālā darbība ir nepieciešama un samērīga, uzraugošais prokurors apstiprina procesa </w:t>
            </w:r>
            <w:r>
              <w:lastRenderedPageBreak/>
              <w:t xml:space="preserve">virzītāja sagatavoto EIR. </w:t>
            </w:r>
            <w:r w:rsidR="00204421">
              <w:t xml:space="preserve">Pamatojums uzraugošā prokurora iesaistei EIR pieņemšanas procesā saistīts ar KPL </w:t>
            </w:r>
            <w:proofErr w:type="gramStart"/>
            <w:r w:rsidR="00204421">
              <w:t>37.panta</w:t>
            </w:r>
            <w:proofErr w:type="gramEnd"/>
            <w:r w:rsidR="00204421">
              <w:t xml:space="preserve"> pirmajā daļā noteikto uzraugošā prokurora kompetenci veikt izmeklēšanas uzraudzību kriminālprocesā. Tāpat tas pamatojams ar to, ka uzraugošais prokurors, veicot uzraudzību, pārzina krimināllietas materiālus un tā virzību, līdz ar to spēj daudz labāk un kvalitatīvāk izvērtēt, vai procesuālās darbības veikšana citā ES dalībvalstī ir nepieciešama un samērīga. EIR izvērtēšanas pienākuma uzlikšana kompetentajai iestādei nebūtu samērīga.</w:t>
            </w:r>
          </w:p>
          <w:p w:rsidR="00CC3BF9" w:rsidRDefault="009A5ED5" w:rsidP="009A5ED5">
            <w:pPr>
              <w:pStyle w:val="naiskr"/>
              <w:spacing w:before="0" w:after="0"/>
              <w:jc w:val="both"/>
            </w:pPr>
            <w:r>
              <w:t xml:space="preserve">Procesa virzītājs, saņēmis uzraugošā prokurora apstiprināto EIR, nodrošina tā tulkojumu attiecīgās ES dalībvalsts valsts valodā vai valodā, ko šī dalībvalsts norādījusi ES Padomes Ģenerālsekretariātam. </w:t>
            </w:r>
            <w:r w:rsidR="008C10F9">
              <w:t xml:space="preserve">Ņemot vērā, ka arī šobrīd tiesiskās palīdzības lūgumu tulkojumu pamatā nodrošina tā iestāde, kura sagatavojusi ierosinājumu par kādas procesuālās darbības veikšanu, arī attiecībā uz EIR ir saglabājama un likumā skaidri nosakāma tāda pat kārtība. Šāds risinājums arī izvēlēts, lai nepārslogotu un neradītu papildu izmaksas kompetentajām iestādēm, uzliekot tām pienākumu nodrošināt visu EIR tulkojumu. </w:t>
            </w:r>
          </w:p>
          <w:p w:rsidR="008C10F9" w:rsidRDefault="008C10F9" w:rsidP="008C10F9">
            <w:pPr>
              <w:pStyle w:val="naiskr"/>
              <w:spacing w:before="0" w:after="0"/>
              <w:jc w:val="both"/>
            </w:pPr>
            <w:r>
              <w:t xml:space="preserve">Tas, kuras iestādes ir uzskatāmas par kompetentajām iestādēm EIR pieņemšanas procesā, ir </w:t>
            </w:r>
            <w:r w:rsidRPr="008C10F9">
              <w:t>noteikts 887.</w:t>
            </w:r>
            <w:proofErr w:type="gramStart"/>
            <w:r w:rsidRPr="008C10F9">
              <w:rPr>
                <w:vertAlign w:val="superscript"/>
              </w:rPr>
              <w:t>1</w:t>
            </w:r>
            <w:r w:rsidRPr="008C10F9">
              <w:t>panta</w:t>
            </w:r>
            <w:proofErr w:type="gramEnd"/>
            <w:r w:rsidRPr="008C10F9">
              <w:t xml:space="preserve"> piektajā daļā. Valsts</w:t>
            </w:r>
            <w:r>
              <w:t xml:space="preserve"> policija ir kompetentā iestāde, ja procesa virzītājs ir Valsts policijas izmeklētājs, bet gadījumos, kad noziedzīgais nodarījums ir institucionāli piekritīgs citai izmeklēšanas iestādei, kompetentā iestāde EIR pieņemšanas procesā ir Ģenerālprokuratūra. </w:t>
            </w:r>
            <w:r w:rsidR="0027675D">
              <w:t xml:space="preserve">Kompetentā iestādē, saņemot uzraugošā prokurora apstiprināto EIR un tā tulkojumu, </w:t>
            </w:r>
            <w:r w:rsidR="006F1CB8">
              <w:t xml:space="preserve">tos nosūta attiecīgās ES dalībvalsts kompetentajai iestādei. </w:t>
            </w:r>
          </w:p>
          <w:p w:rsidR="00690420" w:rsidRDefault="00E86888" w:rsidP="00690420">
            <w:pPr>
              <w:pStyle w:val="naiskr"/>
              <w:spacing w:before="0" w:after="0"/>
              <w:jc w:val="both"/>
            </w:pPr>
            <w:r w:rsidRPr="00E86888">
              <w:t>887.</w:t>
            </w:r>
            <w:proofErr w:type="gramStart"/>
            <w:r w:rsidRPr="00E86888">
              <w:rPr>
                <w:vertAlign w:val="superscript"/>
              </w:rPr>
              <w:t>1</w:t>
            </w:r>
            <w:r>
              <w:t>panta</w:t>
            </w:r>
            <w:proofErr w:type="gramEnd"/>
            <w:r>
              <w:t xml:space="preserve"> septītā daļ</w:t>
            </w:r>
            <w:r w:rsidR="00690420">
              <w:t>a nosaka procesa virzītāja tiesības grozīt vai atsaukt pieņemto EIR, ja iestājies kāds no šiem apstākļiem:</w:t>
            </w:r>
          </w:p>
          <w:p w:rsidR="00690420" w:rsidRDefault="00690420" w:rsidP="00690420">
            <w:pPr>
              <w:pStyle w:val="naiskr"/>
              <w:spacing w:before="0" w:after="0"/>
              <w:jc w:val="both"/>
            </w:pPr>
            <w:r>
              <w:t>- zudusi nepieciešamība veikt lūgto procesuālo darbību,</w:t>
            </w:r>
          </w:p>
          <w:p w:rsidR="00E86888" w:rsidRDefault="00645BF4" w:rsidP="00690420">
            <w:pPr>
              <w:pStyle w:val="naiskr"/>
              <w:spacing w:before="0" w:after="0"/>
              <w:jc w:val="both"/>
            </w:pPr>
            <w:r>
              <w:t xml:space="preserve">- </w:t>
            </w:r>
            <w:r w:rsidR="00690420">
              <w:t xml:space="preserve">saņemta informācija, ka EIR norādīta procesuālā darbība nebūtu pieļaujama ES dalībvalstī notiekošā kriminālprocesā par tādu pašu nodarījumu, </w:t>
            </w:r>
          </w:p>
          <w:p w:rsidR="00690420" w:rsidRDefault="00690420" w:rsidP="00690420">
            <w:pPr>
              <w:pStyle w:val="naiskr"/>
              <w:spacing w:before="0" w:after="0"/>
              <w:jc w:val="both"/>
            </w:pPr>
            <w:r>
              <w:t xml:space="preserve">- saņemta informācija, ka EIR atzīšana nebūtu samērīga un varētu aizsarkst personas, kurai ir tiesības uz aizstāvību, tiesības. </w:t>
            </w:r>
          </w:p>
          <w:p w:rsidR="00370EAB" w:rsidRDefault="00D01472" w:rsidP="00690420">
            <w:pPr>
              <w:pStyle w:val="naiskr"/>
              <w:spacing w:before="0" w:after="0"/>
              <w:jc w:val="both"/>
            </w:pPr>
            <w:r>
              <w:t xml:space="preserve">Par lēmumu grozīt vai atsaukt pieņemto EIR procesa virzītājs informē kompetento iestādi. </w:t>
            </w:r>
          </w:p>
          <w:p w:rsidR="00CA7CDC" w:rsidRDefault="00CA7CDC" w:rsidP="002D0B74">
            <w:pPr>
              <w:pStyle w:val="naiskr"/>
              <w:spacing w:before="0" w:after="0"/>
              <w:jc w:val="both"/>
            </w:pPr>
            <w:r w:rsidRPr="00E86888">
              <w:t>887.</w:t>
            </w:r>
            <w:proofErr w:type="gramStart"/>
            <w:r w:rsidRPr="00E86888">
              <w:rPr>
                <w:vertAlign w:val="superscript"/>
              </w:rPr>
              <w:t>1</w:t>
            </w:r>
            <w:r>
              <w:t>panta</w:t>
            </w:r>
            <w:proofErr w:type="gramEnd"/>
            <w:r>
              <w:t xml:space="preserve"> devīt</w:t>
            </w:r>
            <w:r w:rsidR="004B7C6D">
              <w:t>aj</w:t>
            </w:r>
            <w:r>
              <w:t>ā daļ</w:t>
            </w:r>
            <w:r w:rsidR="004B7C6D">
              <w:t>ā paredzēta iespēja procesa virzītājam, ja viņš pats piedalās EIR izpildē ES dalībvalstī, nepieciešamības gadījumā lūgt veikt citu procesuālo darbību. Šādos gadījumos, lai nodrošinātu ātrāku un efektīvāku cita</w:t>
            </w:r>
            <w:r w:rsidR="005B3D1A">
              <w:t>s</w:t>
            </w:r>
            <w:r w:rsidR="004B7C6D">
              <w:t xml:space="preserve"> procesuālā</w:t>
            </w:r>
            <w:r w:rsidR="005B3D1A">
              <w:t xml:space="preserve">s darbības </w:t>
            </w:r>
            <w:r w:rsidR="004B7C6D">
              <w:t>veikšanu, jauns EIR nav jāpieņem,</w:t>
            </w:r>
            <w:r w:rsidR="005B3D1A">
              <w:t xml:space="preserve"> tomēr lēmums par procesuālās darbības veikšanu ir pieņemams, ievērojot</w:t>
            </w:r>
            <w:r w:rsidR="004B629A">
              <w:t xml:space="preserve"> KPL noteikto kārtību. Tāpat gadījumos, kad tiek lūgts veikt citu procesuālo darbību, procesa virzītājs par to informē uzraugošo prokuroru un kompetento iestādi. </w:t>
            </w:r>
            <w:r w:rsidR="005B3D1A">
              <w:t xml:space="preserve"> </w:t>
            </w:r>
          </w:p>
          <w:p w:rsidR="008375CD" w:rsidRDefault="008375CD" w:rsidP="002D0B74">
            <w:pPr>
              <w:pStyle w:val="naiskr"/>
              <w:spacing w:before="0" w:after="0"/>
              <w:jc w:val="both"/>
            </w:pPr>
          </w:p>
          <w:p w:rsidR="008375CD" w:rsidRDefault="008375CD" w:rsidP="008375CD">
            <w:pPr>
              <w:pStyle w:val="naiskr"/>
              <w:spacing w:before="0" w:after="0"/>
              <w:jc w:val="both"/>
            </w:pPr>
            <w:r>
              <w:rPr>
                <w:b/>
                <w:u w:val="single"/>
              </w:rPr>
              <w:t>887.</w:t>
            </w:r>
            <w:proofErr w:type="gramStart"/>
            <w:r>
              <w:rPr>
                <w:b/>
                <w:u w:val="single"/>
                <w:vertAlign w:val="superscript"/>
              </w:rPr>
              <w:t>2</w:t>
            </w:r>
            <w:r>
              <w:rPr>
                <w:b/>
                <w:u w:val="single"/>
              </w:rPr>
              <w:t>pants</w:t>
            </w:r>
            <w:proofErr w:type="gramEnd"/>
            <w:r>
              <w:t xml:space="preserve"> nosaka EIR pieņemšanas kārtību kriminālvajāšanā. Arī prokuroram kā procesa virzītājam ir pienākums pirms EIR pieņemšanas izvērtēt tā nepieciešamību un samērīgumu attiecībā uz izmeklējamo noziedzīgo nodarījumu. Atšķirībā no procesa virzītāja līdz kriminālvajāšanas uzsākšanai, prokurors pats apstiprina pieņemto EIR un, apstiprinot to, apliecina, ka lūgtā procesuālā darbība un lēmuma par tās veikšanu pieņemšana atbilst KPL noteiktajām prasībām. </w:t>
            </w:r>
          </w:p>
          <w:p w:rsidR="00D05506" w:rsidRDefault="00D05506" w:rsidP="008375CD">
            <w:pPr>
              <w:pStyle w:val="naiskr"/>
              <w:spacing w:before="0" w:after="0"/>
              <w:jc w:val="both"/>
            </w:pPr>
            <w:r w:rsidRPr="00D05506">
              <w:lastRenderedPageBreak/>
              <w:t>887.</w:t>
            </w:r>
            <w:proofErr w:type="gramStart"/>
            <w:r w:rsidR="00B7698A">
              <w:rPr>
                <w:vertAlign w:val="superscript"/>
              </w:rPr>
              <w:t>2</w:t>
            </w:r>
            <w:r>
              <w:t>panta</w:t>
            </w:r>
            <w:proofErr w:type="gramEnd"/>
            <w:r>
              <w:t xml:space="preserve"> kontekstā kā kompetentā iestāde ir noteikta Ģenerālprokuratūra, kura tāpat kā šobrīd attiecībā uz tiesiskās palīdzības lūgumiem, nodrošinās arī EIR tulkojumu un tā nosūtīšanu attiecīgās ES dalībvalsts kompetentajai iestādei. </w:t>
            </w:r>
          </w:p>
          <w:p w:rsidR="00B7698A" w:rsidRDefault="00B7698A" w:rsidP="008375CD">
            <w:pPr>
              <w:pStyle w:val="naiskr"/>
              <w:spacing w:before="0" w:after="0"/>
              <w:jc w:val="both"/>
            </w:pPr>
            <w:r>
              <w:t xml:space="preserve">Kā norādīts </w:t>
            </w:r>
            <w:r w:rsidRPr="00B7698A">
              <w:t>887.</w:t>
            </w:r>
            <w:proofErr w:type="gramStart"/>
            <w:r w:rsidRPr="00B7698A">
              <w:rPr>
                <w:vertAlign w:val="superscript"/>
              </w:rPr>
              <w:t>1</w:t>
            </w:r>
            <w:r>
              <w:t>panta</w:t>
            </w:r>
            <w:proofErr w:type="gramEnd"/>
            <w:r>
              <w:t xml:space="preserve"> astotajā daļā, tad gadījumos, kad, ievērojot KPL noteikto kārtību, par procesa virzītāju līdz kriminālvajāšanas uzsākšanai ir noteikts prokurors, EIR pieņemšanai piemērojami </w:t>
            </w:r>
            <w:r w:rsidRPr="00D05506">
              <w:t>887.</w:t>
            </w:r>
            <w:r>
              <w:rPr>
                <w:vertAlign w:val="superscript"/>
              </w:rPr>
              <w:t>2</w:t>
            </w:r>
            <w:r>
              <w:t xml:space="preserve">panta noteikumi. </w:t>
            </w:r>
          </w:p>
          <w:p w:rsidR="00B7698A" w:rsidRDefault="00B7698A" w:rsidP="00B7698A">
            <w:pPr>
              <w:pStyle w:val="naiskr"/>
              <w:spacing w:before="0" w:after="0"/>
              <w:jc w:val="both"/>
            </w:pPr>
            <w:r>
              <w:t xml:space="preserve">No minētā izriet, ka prokurors EIR pieņem un apstiprina pats, savukārt Ģenerālprokuratūra darbojas kā kompetentā iestāde. Tāpat prokuroram kā procesa virzītājam par lēmumu grozīt vai atsaukt pieņemot EIR, vai lūgumu veikt citu procesuālo darbību, piedaloties EIR izpildē ES dalībvalstī, ir jāinformē Ģenerālprokuratūra. </w:t>
            </w:r>
          </w:p>
          <w:p w:rsidR="00242507" w:rsidRDefault="00242507" w:rsidP="00B7698A">
            <w:pPr>
              <w:pStyle w:val="naiskr"/>
              <w:spacing w:before="0" w:after="0"/>
              <w:jc w:val="both"/>
            </w:pPr>
          </w:p>
          <w:p w:rsidR="00242507" w:rsidRDefault="00242507" w:rsidP="00B7698A">
            <w:pPr>
              <w:pStyle w:val="naiskr"/>
              <w:spacing w:before="0" w:after="0"/>
              <w:jc w:val="both"/>
            </w:pPr>
            <w:r>
              <w:rPr>
                <w:b/>
                <w:u w:val="single"/>
              </w:rPr>
              <w:t>887.</w:t>
            </w:r>
            <w:proofErr w:type="gramStart"/>
            <w:r>
              <w:rPr>
                <w:b/>
                <w:u w:val="single"/>
                <w:vertAlign w:val="superscript"/>
              </w:rPr>
              <w:t>3</w:t>
            </w:r>
            <w:r>
              <w:rPr>
                <w:b/>
                <w:u w:val="single"/>
              </w:rPr>
              <w:t>pants</w:t>
            </w:r>
            <w:proofErr w:type="gramEnd"/>
            <w:r>
              <w:t xml:space="preserve"> </w:t>
            </w:r>
            <w:r w:rsidR="004261DE">
              <w:t>nosaka EIR pieņemšanas kārtību iztiesā</w:t>
            </w:r>
            <w:r w:rsidR="00485374">
              <w:t xml:space="preserve">šanā. </w:t>
            </w:r>
            <w:r w:rsidR="008B3DCB">
              <w:t>Tāpat kā pirmstiesas procesā, arī tiesai pirms pieņemt EIR, ir jāizvērtē attiecīgās procesuālās darbības nepieciešamība un samēr</w:t>
            </w:r>
            <w:r w:rsidR="00455627">
              <w:t xml:space="preserve">īgums attiecībā uz izmeklējamo noziedzīgo nodarījumu. </w:t>
            </w:r>
          </w:p>
          <w:p w:rsidR="00FD2BA8" w:rsidRDefault="00FD2BA8" w:rsidP="00B7698A">
            <w:pPr>
              <w:pStyle w:val="naiskr"/>
              <w:spacing w:before="0" w:after="0"/>
              <w:jc w:val="both"/>
            </w:pPr>
            <w:r>
              <w:t xml:space="preserve">Panta otrā daļa nosaka tiesas tiesības, izmantojot Eiropas Tiesiskās sadarbības tīkla mājaslapu, noskaidrot attiecīgās ES dalībvalsts, kurai adresēts EIR, kompetento vai izpildes iestādi, un tieši nosūta tai pieņemto EIR. Savukārt panta trešajā daļā noteikts, ka gadījumos, kad tiesai neizdodas noskaidrot attiecīgās ES dalībvalsts kompetento iestādi, tā pieņemto EIR nosūta Tieslietu ministrijai, kura tad nodrošina tā nosūtīšanu attiecīgās ES dalībvalsts kompetentajai iestādei. </w:t>
            </w:r>
            <w:r w:rsidR="00E645D5">
              <w:t xml:space="preserve">Tomēr galvenais uzsvars liekams uz to, ka tiesas īsteno un izmanto tiešo sazināšanos ar attiecīgās ES dalībvalsts kompetentajām un izpildes iestādēm, jo šāda sazināšanās nodrošinās ātrāku un efektīvāku EIR nosūtīšanu un izpildi. </w:t>
            </w:r>
          </w:p>
          <w:p w:rsidR="00FD6C9D" w:rsidRDefault="00FD6C9D" w:rsidP="00B7698A">
            <w:pPr>
              <w:pStyle w:val="naiskr"/>
              <w:spacing w:before="0" w:after="0"/>
              <w:jc w:val="both"/>
            </w:pPr>
            <w:r>
              <w:t xml:space="preserve">Tiesas pieņemtā EIR tulkojumu, ja tiesa to nosūta tieši, nodrošina Tiesu administrācija, bet gadījumos, </w:t>
            </w:r>
            <w:proofErr w:type="gramStart"/>
            <w:r>
              <w:t>kad tiek</w:t>
            </w:r>
            <w:proofErr w:type="gramEnd"/>
            <w:r>
              <w:t xml:space="preserve"> izmantota Tieslietu ministrijas starpniecība EIR nosūtīšanai, tulkojumu nodrošina Tieslietu ministrija. </w:t>
            </w:r>
          </w:p>
          <w:p w:rsidR="00CC193A" w:rsidRDefault="00CC193A" w:rsidP="0014506E">
            <w:pPr>
              <w:pStyle w:val="naiskr"/>
              <w:spacing w:before="0" w:after="0"/>
              <w:jc w:val="both"/>
            </w:pPr>
            <w:r>
              <w:t xml:space="preserve">Tāpat kā jebkuram procesa virzītājam pirmstiesas procesā, arī tiesai ir paredzētas tiesības grozīt vai atsaukt pieņemto EIR. Ja tiesa groza vai atsauc pieņemto EIR, tā par to informē Tieslietu ministriju tikai tajos gadījumos, kad EIR attiecīgajai ES dalībvalstij nosūtīts ar Tieslietu ministrijas starpniecību. Gadījumos, kad tiesa ir izmantojusi tiešo sazināšanos, tas </w:t>
            </w:r>
            <w:r w:rsidRPr="0014506E">
              <w:t>ir, 887.</w:t>
            </w:r>
            <w:proofErr w:type="gramStart"/>
            <w:r w:rsidR="0014506E" w:rsidRPr="0014506E">
              <w:rPr>
                <w:vertAlign w:val="superscript"/>
              </w:rPr>
              <w:t>3</w:t>
            </w:r>
            <w:r w:rsidRPr="0014506E">
              <w:t>pant</w:t>
            </w:r>
            <w:r w:rsidR="0014506E" w:rsidRPr="0014506E">
              <w:t>a</w:t>
            </w:r>
            <w:proofErr w:type="gramEnd"/>
            <w:r>
              <w:t xml:space="preserve"> </w:t>
            </w:r>
            <w:r w:rsidR="0014506E">
              <w:t xml:space="preserve">otrajā daļā paredzētajos gadījumos, </w:t>
            </w:r>
            <w:r>
              <w:t xml:space="preserve">Tieslietu ministrija </w:t>
            </w:r>
            <w:r w:rsidR="0014506E">
              <w:t xml:space="preserve">par EIR grozīšanu vai atsaukšanu nav jāinformē. </w:t>
            </w:r>
          </w:p>
          <w:p w:rsidR="0014506E" w:rsidRDefault="0014506E" w:rsidP="0014506E">
            <w:pPr>
              <w:pStyle w:val="naiskr"/>
              <w:spacing w:before="0" w:after="0"/>
              <w:jc w:val="both"/>
            </w:pPr>
          </w:p>
          <w:p w:rsidR="001E3A42" w:rsidRDefault="0014506E" w:rsidP="001E3A42">
            <w:pPr>
              <w:pStyle w:val="naiskr"/>
              <w:spacing w:before="0" w:after="0"/>
              <w:jc w:val="both"/>
              <w:rPr>
                <w:color w:val="000000"/>
              </w:rPr>
            </w:pPr>
            <w:r>
              <w:rPr>
                <w:b/>
                <w:u w:val="single"/>
              </w:rPr>
              <w:t>887.</w:t>
            </w:r>
            <w:proofErr w:type="gramStart"/>
            <w:r>
              <w:rPr>
                <w:b/>
                <w:u w:val="single"/>
                <w:vertAlign w:val="superscript"/>
              </w:rPr>
              <w:t>4</w:t>
            </w:r>
            <w:r>
              <w:rPr>
                <w:b/>
                <w:u w:val="single"/>
              </w:rPr>
              <w:t>pants</w:t>
            </w:r>
            <w:proofErr w:type="gramEnd"/>
            <w:r>
              <w:t xml:space="preserve"> </w:t>
            </w:r>
            <w:r w:rsidR="001E3A42">
              <w:t xml:space="preserve">izstrādāts, lai </w:t>
            </w:r>
            <w:r w:rsidR="001E3A42">
              <w:rPr>
                <w:color w:val="000000"/>
              </w:rPr>
              <w:t xml:space="preserve">ieviestu Direktīvas 31.panta prasības, kas paredz, ka, gadījumos, kad tiek veikta telesakaru pārtveršana, bet tās dalībvalsts tehniska palīdzība, kurā atrodas subjekts, kura dati ir pārtverami, nav nepieciešama, ir jāinformē par attiecīgo faktu. Attiecīgās ES dalībvalsts informēšana notiek, nosūtot tai īpašas formas paziņojumu, kura forma un saturs būs noteikts MK noteikumos Nr.176. </w:t>
            </w:r>
          </w:p>
          <w:p w:rsidR="000F336E" w:rsidRDefault="000018B9" w:rsidP="001E3A42">
            <w:pPr>
              <w:pStyle w:val="naiskr"/>
              <w:spacing w:before="0" w:after="0"/>
              <w:jc w:val="both"/>
              <w:rPr>
                <w:color w:val="000000"/>
              </w:rPr>
            </w:pPr>
            <w:proofErr w:type="gramStart"/>
            <w:r>
              <w:rPr>
                <w:color w:val="000000"/>
              </w:rPr>
              <w:t>Panta otrajā daļā noteikts</w:t>
            </w:r>
            <w:proofErr w:type="gramEnd"/>
            <w:r w:rsidR="000F336E">
              <w:rPr>
                <w:color w:val="000000"/>
              </w:rPr>
              <w:t xml:space="preserve"> procesa virzītāja pienākums neuzsākt vai pārtraukt jau uzsāktu sakaru līdzekļu kontroli, ja no ES dalībvalsts saņemta informācija, ka šāda darbība par tādu pašu nodarījumu ES dalībvalstī notiekošā kriminālprocesā nebūtu pieļaujama. </w:t>
            </w:r>
            <w:r w:rsidR="003C0784">
              <w:rPr>
                <w:color w:val="000000"/>
              </w:rPr>
              <w:t xml:space="preserve">Vienlaikus, ja </w:t>
            </w:r>
            <w:r>
              <w:rPr>
                <w:color w:val="000000"/>
              </w:rPr>
              <w:t xml:space="preserve">saņemta šāda informācija no ES dalībvalsts, bet </w:t>
            </w:r>
            <w:r w:rsidR="003C0784">
              <w:rPr>
                <w:color w:val="000000"/>
              </w:rPr>
              <w:t xml:space="preserve">sakaru kontroles rezultātā jau ir iegūta kāda informācija, procesa virzītājam ir pienākums izvērtēt </w:t>
            </w:r>
            <w:r w:rsidR="003C0784">
              <w:rPr>
                <w:color w:val="000000"/>
              </w:rPr>
              <w:lastRenderedPageBreak/>
              <w:t xml:space="preserve">šādas iegūtās informācijas izmantošanu pierādīšanā. </w:t>
            </w:r>
          </w:p>
          <w:p w:rsidR="00C16009" w:rsidRDefault="00C16009" w:rsidP="001E3A42">
            <w:pPr>
              <w:pStyle w:val="naiskr"/>
              <w:spacing w:before="0" w:after="0"/>
              <w:jc w:val="both"/>
              <w:rPr>
                <w:color w:val="000000"/>
              </w:rPr>
            </w:pPr>
          </w:p>
          <w:p w:rsidR="0014506E" w:rsidRPr="0014506E" w:rsidRDefault="00C16009" w:rsidP="00581FC9">
            <w:pPr>
              <w:pStyle w:val="naiskr"/>
              <w:spacing w:before="0" w:after="0"/>
              <w:jc w:val="both"/>
            </w:pPr>
            <w:r>
              <w:rPr>
                <w:color w:val="000000"/>
                <w:u w:val="single"/>
              </w:rPr>
              <w:t xml:space="preserve">Likumprojekta </w:t>
            </w:r>
            <w:proofErr w:type="gramStart"/>
            <w:r>
              <w:rPr>
                <w:color w:val="000000"/>
                <w:u w:val="single"/>
              </w:rPr>
              <w:t>7.pants</w:t>
            </w:r>
            <w:proofErr w:type="gramEnd"/>
            <w:r>
              <w:rPr>
                <w:color w:val="000000"/>
              </w:rPr>
              <w:t xml:space="preserve"> papildina KPL ietverto atsauci uz ES direktīvām ar 8.punktu, kurā noteikts, ka KPL ietvertas normas, kas izriet no Direktīvas 2014/41/ES. </w:t>
            </w:r>
          </w:p>
        </w:tc>
      </w:tr>
      <w:tr w:rsidR="004B1396" w:rsidRPr="004B1396" w:rsidTr="000E40CA">
        <w:trPr>
          <w:trHeight w:val="465"/>
        </w:trPr>
        <w:tc>
          <w:tcPr>
            <w:tcW w:w="236"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lastRenderedPageBreak/>
              <w:t>3.</w:t>
            </w:r>
          </w:p>
        </w:tc>
        <w:tc>
          <w:tcPr>
            <w:tcW w:w="1025"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Projekta izstrādē iesaistītās institūcijas</w:t>
            </w:r>
          </w:p>
        </w:tc>
        <w:tc>
          <w:tcPr>
            <w:tcW w:w="3738" w:type="pct"/>
            <w:tcBorders>
              <w:top w:val="outset" w:sz="6" w:space="0" w:color="414142"/>
              <w:left w:val="outset" w:sz="6" w:space="0" w:color="414142"/>
              <w:bottom w:val="outset" w:sz="6" w:space="0" w:color="414142"/>
              <w:right w:val="outset" w:sz="6" w:space="0" w:color="414142"/>
            </w:tcBorders>
            <w:hideMark/>
          </w:tcPr>
          <w:p w:rsidR="004D15A9" w:rsidRPr="00DE265F" w:rsidRDefault="00B0745F" w:rsidP="00204175">
            <w:pPr>
              <w:spacing w:after="0" w:line="240" w:lineRule="auto"/>
              <w:jc w:val="both"/>
              <w:rPr>
                <w:rFonts w:ascii="Times New Roman" w:hAnsi="Times New Roman"/>
                <w:sz w:val="24"/>
                <w:szCs w:val="24"/>
              </w:rPr>
            </w:pPr>
            <w:r w:rsidRPr="004B1396">
              <w:rPr>
                <w:rFonts w:ascii="Times New Roman" w:eastAsia="Times New Roman" w:hAnsi="Times New Roman" w:cs="Times New Roman"/>
                <w:sz w:val="24"/>
                <w:szCs w:val="24"/>
                <w:lang w:eastAsia="lv-LV"/>
              </w:rPr>
              <w:t xml:space="preserve">Likumprojekts izstrādāts </w:t>
            </w:r>
            <w:r w:rsidR="00204175">
              <w:rPr>
                <w:rFonts w:ascii="Times New Roman" w:eastAsia="Times New Roman" w:hAnsi="Times New Roman" w:cs="Times New Roman"/>
                <w:sz w:val="24"/>
                <w:szCs w:val="24"/>
                <w:lang w:eastAsia="lv-LV"/>
              </w:rPr>
              <w:t xml:space="preserve">ar tieslietu ministra </w:t>
            </w:r>
            <w:proofErr w:type="gramStart"/>
            <w:r w:rsidR="00204175">
              <w:rPr>
                <w:rFonts w:ascii="Times New Roman" w:hAnsi="Times New Roman"/>
                <w:sz w:val="24"/>
                <w:szCs w:val="24"/>
              </w:rPr>
              <w:t>2014.gada</w:t>
            </w:r>
            <w:proofErr w:type="gramEnd"/>
            <w:r w:rsidR="00204175">
              <w:rPr>
                <w:rFonts w:ascii="Times New Roman" w:hAnsi="Times New Roman"/>
                <w:sz w:val="24"/>
                <w:szCs w:val="24"/>
              </w:rPr>
              <w:t xml:space="preserve"> 16.decembra rīkojumu Nr.1-1/477 izveidotajā darba grupā, lai nacionālajos tiesību aktos ieviestu Eiropas Parlamenta un Padomes 2014.gada 3.aprīļa direktīvu 2014/41/ES par </w:t>
            </w:r>
            <w:r w:rsidR="00204175" w:rsidRPr="00DE265F">
              <w:rPr>
                <w:rFonts w:ascii="Times New Roman" w:hAnsi="Times New Roman"/>
                <w:sz w:val="24"/>
                <w:szCs w:val="24"/>
              </w:rPr>
              <w:t>Eiropas izmeklēšanas rīkojumu krimināllietās.</w:t>
            </w:r>
          </w:p>
          <w:p w:rsidR="00204175" w:rsidRPr="004B1396" w:rsidRDefault="00204175" w:rsidP="00DE265F">
            <w:pPr>
              <w:spacing w:after="0" w:line="240" w:lineRule="auto"/>
              <w:jc w:val="both"/>
              <w:rPr>
                <w:rFonts w:ascii="Times New Roman" w:eastAsia="Times New Roman" w:hAnsi="Times New Roman" w:cs="Times New Roman"/>
                <w:sz w:val="24"/>
                <w:szCs w:val="24"/>
                <w:lang w:eastAsia="lv-LV"/>
              </w:rPr>
            </w:pPr>
            <w:r w:rsidRPr="00DE265F">
              <w:rPr>
                <w:rFonts w:ascii="Times New Roman" w:hAnsi="Times New Roman"/>
                <w:sz w:val="24"/>
                <w:szCs w:val="24"/>
              </w:rPr>
              <w:t xml:space="preserve">Darba grupā iekļauti </w:t>
            </w:r>
            <w:r w:rsidR="00DE265F" w:rsidRPr="00DE265F">
              <w:rPr>
                <w:rFonts w:ascii="Times New Roman" w:hAnsi="Times New Roman"/>
                <w:sz w:val="24"/>
                <w:szCs w:val="24"/>
              </w:rPr>
              <w:t xml:space="preserve">pārstāvji no Iekšlietu ministrijas, Valsts policijas, Ģenerālprokuratūras, Korupcijas novēršanas un apkarošanas biroja, kā arī rajona (pilsētas) tiesas, apgabaltiesas un Augstākās tiesas. </w:t>
            </w:r>
            <w:r w:rsidR="001E7E1E" w:rsidRPr="00DE265F">
              <w:rPr>
                <w:rFonts w:ascii="Times New Roman" w:hAnsi="Times New Roman"/>
                <w:sz w:val="24"/>
                <w:szCs w:val="24"/>
              </w:rPr>
              <w:t xml:space="preserve"> </w:t>
            </w:r>
          </w:p>
        </w:tc>
      </w:tr>
      <w:tr w:rsidR="004B1396" w:rsidRPr="004B1396" w:rsidTr="000E40CA">
        <w:tc>
          <w:tcPr>
            <w:tcW w:w="236"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4.</w:t>
            </w:r>
          </w:p>
        </w:tc>
        <w:tc>
          <w:tcPr>
            <w:tcW w:w="1025"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Cita informācija</w:t>
            </w:r>
          </w:p>
        </w:tc>
        <w:tc>
          <w:tcPr>
            <w:tcW w:w="3738" w:type="pct"/>
            <w:tcBorders>
              <w:top w:val="outset" w:sz="6" w:space="0" w:color="414142"/>
              <w:left w:val="outset" w:sz="6" w:space="0" w:color="414142"/>
              <w:bottom w:val="outset" w:sz="6" w:space="0" w:color="414142"/>
              <w:right w:val="outset" w:sz="6" w:space="0" w:color="414142"/>
            </w:tcBorders>
            <w:hideMark/>
          </w:tcPr>
          <w:p w:rsidR="004D15A9" w:rsidRPr="004B1396" w:rsidRDefault="002A7AE0"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Nav</w:t>
            </w:r>
            <w:r w:rsidR="00A356DC" w:rsidRPr="004B1396">
              <w:rPr>
                <w:rFonts w:ascii="Times New Roman" w:eastAsia="Times New Roman" w:hAnsi="Times New Roman" w:cs="Times New Roman"/>
                <w:sz w:val="24"/>
                <w:szCs w:val="24"/>
                <w:lang w:eastAsia="lv-LV"/>
              </w:rPr>
              <w:t>.</w:t>
            </w:r>
          </w:p>
        </w:tc>
      </w:tr>
      <w:tr w:rsidR="005D4E8A" w:rsidRPr="004B1396" w:rsidTr="000E40CA">
        <w:trPr>
          <w:trHeight w:val="128"/>
        </w:trPr>
        <w:tc>
          <w:tcPr>
            <w:tcW w:w="5000" w:type="pct"/>
            <w:gridSpan w:val="3"/>
            <w:tcBorders>
              <w:top w:val="outset" w:sz="6" w:space="0" w:color="414142"/>
              <w:left w:val="nil"/>
              <w:bottom w:val="outset" w:sz="6" w:space="0" w:color="414142"/>
              <w:right w:val="nil"/>
            </w:tcBorders>
          </w:tcPr>
          <w:p w:rsidR="00031256" w:rsidRPr="004B1396" w:rsidRDefault="0081203F" w:rsidP="004B1396">
            <w:pPr>
              <w:tabs>
                <w:tab w:val="left" w:pos="990"/>
              </w:tabs>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ab/>
            </w:r>
          </w:p>
        </w:tc>
      </w:tr>
    </w:tbl>
    <w:p w:rsidR="004D15A9" w:rsidRPr="004B1396" w:rsidRDefault="004D15A9" w:rsidP="004B1396">
      <w:pPr>
        <w:spacing w:after="0" w:line="240" w:lineRule="auto"/>
        <w:rPr>
          <w:rFonts w:ascii="Times New Roman" w:eastAsia="Times New Roman" w:hAnsi="Times New Roman" w:cs="Times New Roman"/>
          <w:vanish/>
          <w:sz w:val="24"/>
          <w:szCs w:val="24"/>
          <w:lang w:eastAsia="lv-LV"/>
        </w:rPr>
      </w:pPr>
    </w:p>
    <w:tbl>
      <w:tblPr>
        <w:tblW w:w="529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2831"/>
        <w:gridCol w:w="6382"/>
      </w:tblGrid>
      <w:tr w:rsidR="004B1396" w:rsidRPr="004B1396" w:rsidTr="00A33487">
        <w:trPr>
          <w:trHeight w:val="555"/>
        </w:trPr>
        <w:tc>
          <w:tcPr>
            <w:tcW w:w="5000" w:type="pct"/>
            <w:gridSpan w:val="3"/>
            <w:tcBorders>
              <w:top w:val="nil"/>
              <w:left w:val="outset" w:sz="6" w:space="0" w:color="414142"/>
              <w:bottom w:val="outset" w:sz="6" w:space="0" w:color="414142"/>
              <w:right w:val="outset" w:sz="6" w:space="0" w:color="414142"/>
            </w:tcBorders>
            <w:vAlign w:val="center"/>
            <w:hideMark/>
          </w:tcPr>
          <w:p w:rsidR="00FE1ADF" w:rsidRPr="004B1396" w:rsidRDefault="00FE1ADF" w:rsidP="004B1396">
            <w:pPr>
              <w:spacing w:after="0" w:line="240" w:lineRule="auto"/>
              <w:ind w:firstLine="300"/>
              <w:jc w:val="center"/>
              <w:rPr>
                <w:rFonts w:ascii="Times New Roman" w:eastAsia="Times New Roman" w:hAnsi="Times New Roman" w:cs="Times New Roman"/>
                <w:b/>
                <w:bCs/>
                <w:sz w:val="24"/>
                <w:szCs w:val="24"/>
                <w:lang w:eastAsia="lv-LV"/>
              </w:rPr>
            </w:pPr>
            <w:r w:rsidRPr="004B1396">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4B1396" w:rsidRPr="004B1396" w:rsidTr="00A33487">
        <w:trPr>
          <w:trHeight w:val="465"/>
        </w:trPr>
        <w:tc>
          <w:tcPr>
            <w:tcW w:w="236" w:type="pct"/>
            <w:tcBorders>
              <w:top w:val="outset" w:sz="6" w:space="0" w:color="414142"/>
              <w:left w:val="outset" w:sz="6" w:space="0" w:color="414142"/>
              <w:bottom w:val="outset" w:sz="6" w:space="0" w:color="414142"/>
              <w:right w:val="outset" w:sz="6" w:space="0" w:color="414142"/>
            </w:tcBorders>
            <w:hideMark/>
          </w:tcPr>
          <w:p w:rsidR="00FE1ADF" w:rsidRPr="004B1396" w:rsidRDefault="00FE1ADF"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1.</w:t>
            </w:r>
          </w:p>
        </w:tc>
        <w:tc>
          <w:tcPr>
            <w:tcW w:w="1464" w:type="pct"/>
            <w:tcBorders>
              <w:top w:val="outset" w:sz="6" w:space="0" w:color="414142"/>
              <w:left w:val="outset" w:sz="6" w:space="0" w:color="414142"/>
              <w:bottom w:val="outset" w:sz="6" w:space="0" w:color="414142"/>
              <w:right w:val="outset" w:sz="6" w:space="0" w:color="414142"/>
            </w:tcBorders>
            <w:hideMark/>
          </w:tcPr>
          <w:p w:rsidR="00FE1ADF" w:rsidRPr="004B1396" w:rsidRDefault="00FE1ADF"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Sabiedrības mērķgrupas, kuras tiesiskais regulējums ietekmē vai varētu ietekmēt</w:t>
            </w:r>
          </w:p>
        </w:tc>
        <w:tc>
          <w:tcPr>
            <w:tcW w:w="3300" w:type="pct"/>
            <w:tcBorders>
              <w:top w:val="outset" w:sz="6" w:space="0" w:color="414142"/>
              <w:left w:val="outset" w:sz="6" w:space="0" w:color="414142"/>
              <w:bottom w:val="outset" w:sz="6" w:space="0" w:color="414142"/>
              <w:right w:val="outset" w:sz="6" w:space="0" w:color="414142"/>
            </w:tcBorders>
          </w:tcPr>
          <w:p w:rsidR="00FE1ADF" w:rsidRPr="004B1396" w:rsidRDefault="004A134D" w:rsidP="009164E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Personas, kurām ir tiesības uz aizstāvību un izmeklēšanas iestāžu darbinieki. Valsts policijas un ģenerālprokuratūras darbinieki, kuri </w:t>
            </w:r>
            <w:r w:rsidR="009164E5">
              <w:rPr>
                <w:rFonts w:ascii="Times New Roman" w:eastAsia="Times New Roman" w:hAnsi="Times New Roman" w:cs="Times New Roman"/>
                <w:sz w:val="24"/>
                <w:szCs w:val="24"/>
                <w:lang w:eastAsia="lv-LV"/>
              </w:rPr>
              <w:t>īsteno</w:t>
            </w:r>
            <w:r>
              <w:rPr>
                <w:rFonts w:ascii="Times New Roman" w:eastAsia="Times New Roman" w:hAnsi="Times New Roman" w:cs="Times New Roman"/>
                <w:sz w:val="24"/>
                <w:szCs w:val="24"/>
                <w:lang w:eastAsia="lv-LV"/>
              </w:rPr>
              <w:t xml:space="preserve"> krimināltiesisko sadarb</w:t>
            </w:r>
            <w:r w:rsidR="009164E5">
              <w:rPr>
                <w:rFonts w:ascii="Times New Roman" w:eastAsia="Times New Roman" w:hAnsi="Times New Roman" w:cs="Times New Roman"/>
                <w:sz w:val="24"/>
                <w:szCs w:val="24"/>
                <w:lang w:eastAsia="lv-LV"/>
              </w:rPr>
              <w:t>ību.</w:t>
            </w:r>
          </w:p>
        </w:tc>
      </w:tr>
      <w:tr w:rsidR="004B1396" w:rsidRPr="004B1396" w:rsidTr="00A33487">
        <w:trPr>
          <w:trHeight w:val="510"/>
        </w:trPr>
        <w:tc>
          <w:tcPr>
            <w:tcW w:w="236" w:type="pct"/>
            <w:tcBorders>
              <w:top w:val="outset" w:sz="6" w:space="0" w:color="414142"/>
              <w:left w:val="outset" w:sz="6" w:space="0" w:color="414142"/>
              <w:bottom w:val="outset" w:sz="6" w:space="0" w:color="414142"/>
              <w:right w:val="outset" w:sz="6" w:space="0" w:color="414142"/>
            </w:tcBorders>
            <w:hideMark/>
          </w:tcPr>
          <w:p w:rsidR="00FE1ADF" w:rsidRPr="004B1396" w:rsidRDefault="00FE1ADF"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2.</w:t>
            </w:r>
          </w:p>
        </w:tc>
        <w:tc>
          <w:tcPr>
            <w:tcW w:w="1464" w:type="pct"/>
            <w:tcBorders>
              <w:top w:val="outset" w:sz="6" w:space="0" w:color="414142"/>
              <w:left w:val="outset" w:sz="6" w:space="0" w:color="414142"/>
              <w:bottom w:val="outset" w:sz="6" w:space="0" w:color="414142"/>
              <w:right w:val="outset" w:sz="6" w:space="0" w:color="414142"/>
            </w:tcBorders>
            <w:hideMark/>
          </w:tcPr>
          <w:p w:rsidR="00FE1ADF" w:rsidRPr="004B1396" w:rsidRDefault="00FE1ADF"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Tiesiskā regulējuma ietekme uz tautsaimniecību un administratīvo slogu</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4B1396" w:rsidRDefault="00A356DC" w:rsidP="004A134D">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N</w:t>
            </w:r>
            <w:r w:rsidR="00056BDB" w:rsidRPr="004B1396">
              <w:rPr>
                <w:rFonts w:ascii="Times New Roman" w:eastAsia="Times New Roman" w:hAnsi="Times New Roman" w:cs="Times New Roman"/>
                <w:sz w:val="24"/>
                <w:szCs w:val="24"/>
                <w:lang w:eastAsia="lv-LV"/>
              </w:rPr>
              <w:t>av.</w:t>
            </w:r>
            <w:r w:rsidR="004A134D">
              <w:rPr>
                <w:rFonts w:ascii="Times New Roman" w:eastAsia="Times New Roman" w:hAnsi="Times New Roman" w:cs="Times New Roman"/>
                <w:sz w:val="24"/>
                <w:szCs w:val="24"/>
                <w:lang w:eastAsia="lv-LV"/>
              </w:rPr>
              <w:t xml:space="preserve"> </w:t>
            </w:r>
          </w:p>
        </w:tc>
      </w:tr>
      <w:tr w:rsidR="004B1396" w:rsidRPr="004B1396" w:rsidTr="00A33487">
        <w:trPr>
          <w:trHeight w:val="510"/>
        </w:trPr>
        <w:tc>
          <w:tcPr>
            <w:tcW w:w="236" w:type="pct"/>
            <w:tcBorders>
              <w:top w:val="outset" w:sz="6" w:space="0" w:color="414142"/>
              <w:left w:val="outset" w:sz="6" w:space="0" w:color="414142"/>
              <w:bottom w:val="outset" w:sz="6" w:space="0" w:color="414142"/>
              <w:right w:val="outset" w:sz="6" w:space="0" w:color="414142"/>
            </w:tcBorders>
            <w:hideMark/>
          </w:tcPr>
          <w:p w:rsidR="00FE1ADF" w:rsidRPr="004B1396" w:rsidRDefault="00FE1ADF"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3.</w:t>
            </w:r>
          </w:p>
        </w:tc>
        <w:tc>
          <w:tcPr>
            <w:tcW w:w="1464" w:type="pct"/>
            <w:tcBorders>
              <w:top w:val="outset" w:sz="6" w:space="0" w:color="414142"/>
              <w:left w:val="outset" w:sz="6" w:space="0" w:color="414142"/>
              <w:bottom w:val="outset" w:sz="6" w:space="0" w:color="414142"/>
              <w:right w:val="outset" w:sz="6" w:space="0" w:color="414142"/>
            </w:tcBorders>
            <w:hideMark/>
          </w:tcPr>
          <w:p w:rsidR="00FE1ADF" w:rsidRPr="004B1396" w:rsidRDefault="00FE1ADF"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Administratīvo izmaksu monetārs novērtējums</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4B1396" w:rsidRDefault="00056BDB"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Nav.</w:t>
            </w:r>
          </w:p>
        </w:tc>
      </w:tr>
      <w:tr w:rsidR="004B1396" w:rsidRPr="004B1396" w:rsidTr="00A33487">
        <w:trPr>
          <w:trHeight w:val="35"/>
        </w:trPr>
        <w:tc>
          <w:tcPr>
            <w:tcW w:w="236" w:type="pct"/>
            <w:tcBorders>
              <w:top w:val="outset" w:sz="6" w:space="0" w:color="414142"/>
              <w:left w:val="outset" w:sz="6" w:space="0" w:color="414142"/>
              <w:bottom w:val="outset" w:sz="6" w:space="0" w:color="414142"/>
              <w:right w:val="outset" w:sz="6" w:space="0" w:color="414142"/>
            </w:tcBorders>
            <w:hideMark/>
          </w:tcPr>
          <w:p w:rsidR="00FE1ADF" w:rsidRPr="004B1396" w:rsidRDefault="00FE1ADF"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4.</w:t>
            </w:r>
          </w:p>
        </w:tc>
        <w:tc>
          <w:tcPr>
            <w:tcW w:w="1464" w:type="pct"/>
            <w:tcBorders>
              <w:top w:val="outset" w:sz="6" w:space="0" w:color="414142"/>
              <w:left w:val="outset" w:sz="6" w:space="0" w:color="414142"/>
              <w:bottom w:val="outset" w:sz="6" w:space="0" w:color="414142"/>
              <w:right w:val="outset" w:sz="6" w:space="0" w:color="414142"/>
            </w:tcBorders>
            <w:hideMark/>
          </w:tcPr>
          <w:p w:rsidR="00FE1ADF" w:rsidRPr="004B1396" w:rsidRDefault="00FE1ADF"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Cita informācija</w:t>
            </w:r>
          </w:p>
        </w:tc>
        <w:tc>
          <w:tcPr>
            <w:tcW w:w="3300" w:type="pct"/>
            <w:tcBorders>
              <w:top w:val="outset" w:sz="6" w:space="0" w:color="414142"/>
              <w:left w:val="outset" w:sz="6" w:space="0" w:color="414142"/>
              <w:bottom w:val="outset" w:sz="6" w:space="0" w:color="414142"/>
              <w:right w:val="outset" w:sz="6" w:space="0" w:color="414142"/>
            </w:tcBorders>
            <w:hideMark/>
          </w:tcPr>
          <w:p w:rsidR="00FE1ADF" w:rsidRPr="004B1396" w:rsidRDefault="00056BDB"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Nav.</w:t>
            </w:r>
          </w:p>
        </w:tc>
      </w:tr>
      <w:tr w:rsidR="00FE1ADF" w:rsidRPr="004B1396" w:rsidTr="00A33487">
        <w:trPr>
          <w:trHeight w:val="345"/>
        </w:trPr>
        <w:tc>
          <w:tcPr>
            <w:tcW w:w="5000" w:type="pct"/>
            <w:gridSpan w:val="3"/>
            <w:tcBorders>
              <w:top w:val="outset" w:sz="6" w:space="0" w:color="414142"/>
              <w:left w:val="nil"/>
              <w:bottom w:val="single" w:sz="6" w:space="0" w:color="auto"/>
              <w:right w:val="nil"/>
            </w:tcBorders>
          </w:tcPr>
          <w:p w:rsidR="00FE1ADF" w:rsidRPr="004B1396" w:rsidRDefault="00FE1ADF" w:rsidP="004B1396">
            <w:pPr>
              <w:spacing w:after="0" w:line="240" w:lineRule="auto"/>
              <w:rPr>
                <w:rFonts w:ascii="Times New Roman" w:eastAsia="Times New Roman" w:hAnsi="Times New Roman" w:cs="Times New Roman"/>
                <w:sz w:val="24"/>
                <w:szCs w:val="24"/>
                <w:lang w:eastAsia="lv-LV"/>
              </w:rPr>
            </w:pPr>
          </w:p>
        </w:tc>
      </w:tr>
    </w:tbl>
    <w:p w:rsidR="00FE1ADF" w:rsidRPr="004B1396" w:rsidRDefault="00FE1ADF" w:rsidP="004B1396">
      <w:pPr>
        <w:spacing w:after="0" w:line="240" w:lineRule="auto"/>
        <w:rPr>
          <w:rFonts w:ascii="Times New Roman" w:eastAsia="Times New Roman" w:hAnsi="Times New Roman" w:cs="Times New Roman"/>
          <w:vanish/>
          <w:sz w:val="24"/>
          <w:szCs w:val="24"/>
          <w:lang w:eastAsia="lv-LV"/>
        </w:rPr>
      </w:pPr>
    </w:p>
    <w:tbl>
      <w:tblPr>
        <w:tblW w:w="529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104"/>
        <w:gridCol w:w="1187"/>
        <w:gridCol w:w="1553"/>
        <w:gridCol w:w="1097"/>
        <w:gridCol w:w="1097"/>
        <w:gridCol w:w="1632"/>
      </w:tblGrid>
      <w:tr w:rsidR="004B1396" w:rsidRPr="004B1396" w:rsidTr="00A33487">
        <w:trPr>
          <w:trHeight w:val="360"/>
        </w:trPr>
        <w:tc>
          <w:tcPr>
            <w:tcW w:w="5000" w:type="pct"/>
            <w:gridSpan w:val="6"/>
            <w:tcBorders>
              <w:top w:val="nil"/>
              <w:left w:val="outset" w:sz="6" w:space="0" w:color="414142"/>
              <w:bottom w:val="outset" w:sz="6" w:space="0" w:color="414142"/>
              <w:right w:val="outset" w:sz="6" w:space="0" w:color="414142"/>
            </w:tcBorders>
            <w:vAlign w:val="center"/>
            <w:hideMark/>
          </w:tcPr>
          <w:p w:rsidR="00056BDB" w:rsidRPr="00710C7F" w:rsidRDefault="00FE1ADF" w:rsidP="00710C7F">
            <w:pPr>
              <w:spacing w:after="0" w:line="240" w:lineRule="auto"/>
              <w:ind w:firstLine="300"/>
              <w:jc w:val="center"/>
              <w:rPr>
                <w:rFonts w:ascii="Times New Roman" w:eastAsia="Times New Roman" w:hAnsi="Times New Roman" w:cs="Times New Roman"/>
                <w:b/>
                <w:bCs/>
                <w:sz w:val="24"/>
                <w:szCs w:val="24"/>
                <w:lang w:eastAsia="lv-LV"/>
              </w:rPr>
            </w:pPr>
            <w:r w:rsidRPr="004B1396">
              <w:rPr>
                <w:rFonts w:ascii="Times New Roman" w:eastAsia="Times New Roman" w:hAnsi="Times New Roman" w:cs="Times New Roman"/>
                <w:b/>
                <w:bCs/>
                <w:sz w:val="24"/>
                <w:szCs w:val="24"/>
                <w:lang w:eastAsia="lv-LV"/>
              </w:rPr>
              <w:t>III. Tiesību akta projekta ietekme uz valsts budžetu un pašvaldību budžetiem</w:t>
            </w:r>
          </w:p>
        </w:tc>
      </w:tr>
      <w:tr w:rsidR="007F4392" w:rsidRPr="004B1396" w:rsidTr="002C27DD">
        <w:tc>
          <w:tcPr>
            <w:tcW w:w="1605" w:type="pct"/>
            <w:vMerge w:val="restart"/>
            <w:tcBorders>
              <w:top w:val="outset" w:sz="6" w:space="0" w:color="414142"/>
              <w:left w:val="outset" w:sz="6" w:space="0" w:color="414142"/>
              <w:bottom w:val="outset" w:sz="6" w:space="0" w:color="414142"/>
              <w:right w:val="outset" w:sz="6" w:space="0" w:color="414142"/>
            </w:tcBorders>
            <w:vAlign w:val="center"/>
            <w:hideMark/>
          </w:tcPr>
          <w:p w:rsidR="007F4392" w:rsidRPr="004B1396" w:rsidRDefault="007F4392" w:rsidP="004B1396">
            <w:pPr>
              <w:spacing w:after="0" w:line="240" w:lineRule="auto"/>
              <w:ind w:firstLine="300"/>
              <w:jc w:val="center"/>
              <w:rPr>
                <w:rFonts w:ascii="Times New Roman" w:eastAsia="Times New Roman" w:hAnsi="Times New Roman" w:cs="Times New Roman"/>
                <w:b/>
                <w:bCs/>
                <w:sz w:val="24"/>
                <w:szCs w:val="24"/>
                <w:lang w:eastAsia="lv-LV"/>
              </w:rPr>
            </w:pPr>
            <w:r w:rsidRPr="004B1396">
              <w:rPr>
                <w:rFonts w:ascii="Times New Roman" w:eastAsia="Times New Roman" w:hAnsi="Times New Roman" w:cs="Times New Roman"/>
                <w:b/>
                <w:bCs/>
                <w:sz w:val="24"/>
                <w:szCs w:val="24"/>
                <w:lang w:eastAsia="lv-LV"/>
              </w:rPr>
              <w:t>Rādītāji</w:t>
            </w:r>
          </w:p>
        </w:tc>
        <w:tc>
          <w:tcPr>
            <w:tcW w:w="1417"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rsidR="007F4392" w:rsidRPr="004B1396" w:rsidRDefault="007F4392" w:rsidP="00B13743">
            <w:pPr>
              <w:spacing w:after="0" w:line="240" w:lineRule="auto"/>
              <w:ind w:firstLine="15"/>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2015.</w:t>
            </w:r>
            <w:r w:rsidRPr="004B1396">
              <w:rPr>
                <w:rFonts w:ascii="Times New Roman" w:eastAsia="Times New Roman" w:hAnsi="Times New Roman" w:cs="Times New Roman"/>
                <w:b/>
                <w:bCs/>
                <w:sz w:val="24"/>
                <w:szCs w:val="24"/>
                <w:lang w:eastAsia="lv-LV"/>
              </w:rPr>
              <w:t xml:space="preserve"> gads</w:t>
            </w:r>
          </w:p>
        </w:tc>
        <w:tc>
          <w:tcPr>
            <w:tcW w:w="1978" w:type="pct"/>
            <w:gridSpan w:val="3"/>
            <w:tcBorders>
              <w:top w:val="outset" w:sz="6" w:space="0" w:color="414142"/>
              <w:left w:val="outset" w:sz="6" w:space="0" w:color="414142"/>
              <w:bottom w:val="outset" w:sz="6" w:space="0" w:color="414142"/>
              <w:right w:val="outset" w:sz="6" w:space="0" w:color="414142"/>
            </w:tcBorders>
            <w:vAlign w:val="center"/>
            <w:hideMark/>
          </w:tcPr>
          <w:p w:rsidR="007F4392" w:rsidRPr="004B1396" w:rsidRDefault="007F4392" w:rsidP="00B13743">
            <w:pPr>
              <w:spacing w:after="0" w:line="240" w:lineRule="auto"/>
              <w:jc w:val="center"/>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Turpmākie trīs gadi (</w:t>
            </w:r>
            <w:proofErr w:type="spellStart"/>
            <w:r w:rsidR="00B13743" w:rsidRPr="00266623">
              <w:rPr>
                <w:rFonts w:ascii="Times New Roman" w:eastAsia="Times New Roman" w:hAnsi="Times New Roman" w:cs="Times New Roman"/>
                <w:i/>
                <w:sz w:val="24"/>
                <w:szCs w:val="24"/>
                <w:lang w:eastAsia="lv-LV"/>
              </w:rPr>
              <w:t>euro</w:t>
            </w:r>
            <w:proofErr w:type="spellEnd"/>
            <w:r w:rsidRPr="004B1396">
              <w:rPr>
                <w:rFonts w:ascii="Times New Roman" w:eastAsia="Times New Roman" w:hAnsi="Times New Roman" w:cs="Times New Roman"/>
                <w:sz w:val="24"/>
                <w:szCs w:val="24"/>
                <w:lang w:eastAsia="lv-LV"/>
              </w:rPr>
              <w:t>)</w:t>
            </w:r>
          </w:p>
        </w:tc>
      </w:tr>
      <w:tr w:rsidR="007F4392" w:rsidRPr="004B1396" w:rsidTr="002C27DD">
        <w:tc>
          <w:tcPr>
            <w:tcW w:w="1605" w:type="pct"/>
            <w:vMerge/>
            <w:tcBorders>
              <w:top w:val="outset" w:sz="6" w:space="0" w:color="414142"/>
              <w:left w:val="outset" w:sz="6" w:space="0" w:color="414142"/>
              <w:bottom w:val="outset" w:sz="6" w:space="0" w:color="414142"/>
              <w:right w:val="outset" w:sz="6" w:space="0" w:color="414142"/>
            </w:tcBorders>
            <w:vAlign w:val="center"/>
            <w:hideMark/>
          </w:tcPr>
          <w:p w:rsidR="007F4392" w:rsidRPr="004B1396" w:rsidRDefault="007F4392" w:rsidP="004B1396">
            <w:pPr>
              <w:spacing w:after="0" w:line="240" w:lineRule="auto"/>
              <w:rPr>
                <w:rFonts w:ascii="Times New Roman" w:eastAsia="Times New Roman" w:hAnsi="Times New Roman" w:cs="Times New Roman"/>
                <w:b/>
                <w:bCs/>
                <w:sz w:val="24"/>
                <w:szCs w:val="24"/>
                <w:lang w:eastAsia="lv-LV"/>
              </w:rPr>
            </w:pPr>
          </w:p>
        </w:tc>
        <w:tc>
          <w:tcPr>
            <w:tcW w:w="0" w:type="auto"/>
            <w:gridSpan w:val="2"/>
            <w:vMerge/>
            <w:tcBorders>
              <w:top w:val="outset" w:sz="6" w:space="0" w:color="414142"/>
              <w:left w:val="outset" w:sz="6" w:space="0" w:color="414142"/>
              <w:bottom w:val="outset" w:sz="6" w:space="0" w:color="414142"/>
              <w:right w:val="outset" w:sz="6" w:space="0" w:color="414142"/>
            </w:tcBorders>
            <w:vAlign w:val="center"/>
            <w:hideMark/>
          </w:tcPr>
          <w:p w:rsidR="007F4392" w:rsidRPr="004B1396" w:rsidRDefault="007F4392" w:rsidP="004B1396">
            <w:pPr>
              <w:spacing w:after="0" w:line="240" w:lineRule="auto"/>
              <w:rPr>
                <w:rFonts w:ascii="Times New Roman" w:eastAsia="Times New Roman" w:hAnsi="Times New Roman" w:cs="Times New Roman"/>
                <w:b/>
                <w:bCs/>
                <w:sz w:val="24"/>
                <w:szCs w:val="24"/>
                <w:lang w:eastAsia="lv-LV"/>
              </w:rPr>
            </w:pPr>
          </w:p>
        </w:tc>
        <w:tc>
          <w:tcPr>
            <w:tcW w:w="567" w:type="pct"/>
            <w:tcBorders>
              <w:top w:val="outset" w:sz="6" w:space="0" w:color="414142"/>
              <w:left w:val="outset" w:sz="6" w:space="0" w:color="414142"/>
              <w:bottom w:val="outset" w:sz="6" w:space="0" w:color="414142"/>
              <w:right w:val="outset" w:sz="6" w:space="0" w:color="414142"/>
            </w:tcBorders>
            <w:vAlign w:val="center"/>
            <w:hideMark/>
          </w:tcPr>
          <w:p w:rsidR="007F4392" w:rsidRPr="004B1396" w:rsidRDefault="007F4392" w:rsidP="00B1374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2016</w:t>
            </w:r>
            <w:r w:rsidR="00B13743">
              <w:rPr>
                <w:rFonts w:ascii="Times New Roman" w:eastAsia="Times New Roman" w:hAnsi="Times New Roman" w:cs="Times New Roman"/>
                <w:b/>
                <w:bCs/>
                <w:sz w:val="24"/>
                <w:szCs w:val="24"/>
                <w:lang w:eastAsia="lv-LV"/>
              </w:rPr>
              <w:t>.</w:t>
            </w:r>
          </w:p>
        </w:tc>
        <w:tc>
          <w:tcPr>
            <w:tcW w:w="567" w:type="pct"/>
            <w:tcBorders>
              <w:top w:val="outset" w:sz="6" w:space="0" w:color="414142"/>
              <w:left w:val="outset" w:sz="6" w:space="0" w:color="414142"/>
              <w:bottom w:val="outset" w:sz="6" w:space="0" w:color="414142"/>
              <w:right w:val="outset" w:sz="6" w:space="0" w:color="414142"/>
            </w:tcBorders>
            <w:vAlign w:val="center"/>
            <w:hideMark/>
          </w:tcPr>
          <w:p w:rsidR="007F4392" w:rsidRPr="004B1396" w:rsidRDefault="007F4392" w:rsidP="00B1374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2017</w:t>
            </w:r>
            <w:r w:rsidR="00B13743">
              <w:rPr>
                <w:rFonts w:ascii="Times New Roman" w:eastAsia="Times New Roman" w:hAnsi="Times New Roman" w:cs="Times New Roman"/>
                <w:b/>
                <w:bCs/>
                <w:sz w:val="24"/>
                <w:szCs w:val="24"/>
                <w:lang w:eastAsia="lv-LV"/>
              </w:rPr>
              <w:t>.</w:t>
            </w:r>
          </w:p>
        </w:tc>
        <w:tc>
          <w:tcPr>
            <w:tcW w:w="844" w:type="pct"/>
            <w:tcBorders>
              <w:top w:val="outset" w:sz="6" w:space="0" w:color="414142"/>
              <w:left w:val="outset" w:sz="6" w:space="0" w:color="414142"/>
              <w:bottom w:val="outset" w:sz="6" w:space="0" w:color="414142"/>
              <w:right w:val="outset" w:sz="6" w:space="0" w:color="414142"/>
            </w:tcBorders>
            <w:vAlign w:val="center"/>
            <w:hideMark/>
          </w:tcPr>
          <w:p w:rsidR="007F4392" w:rsidRPr="004B1396" w:rsidRDefault="007F4392" w:rsidP="00B13743">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2018</w:t>
            </w:r>
            <w:r w:rsidR="00B13743">
              <w:rPr>
                <w:rFonts w:ascii="Times New Roman" w:eastAsia="Times New Roman" w:hAnsi="Times New Roman" w:cs="Times New Roman"/>
                <w:b/>
                <w:bCs/>
                <w:sz w:val="24"/>
                <w:szCs w:val="24"/>
                <w:lang w:eastAsia="lv-LV"/>
              </w:rPr>
              <w:t>.</w:t>
            </w:r>
          </w:p>
        </w:tc>
      </w:tr>
      <w:tr w:rsidR="004B1396" w:rsidRPr="004B1396" w:rsidTr="002C27DD">
        <w:tc>
          <w:tcPr>
            <w:tcW w:w="1605" w:type="pct"/>
            <w:vMerge/>
            <w:tcBorders>
              <w:top w:val="outset" w:sz="6" w:space="0" w:color="414142"/>
              <w:left w:val="outset" w:sz="6" w:space="0" w:color="414142"/>
              <w:bottom w:val="outset" w:sz="6" w:space="0" w:color="414142"/>
              <w:right w:val="outset" w:sz="6" w:space="0" w:color="414142"/>
            </w:tcBorders>
            <w:vAlign w:val="center"/>
            <w:hideMark/>
          </w:tcPr>
          <w:p w:rsidR="00FE1ADF" w:rsidRPr="004B1396" w:rsidRDefault="00FE1ADF" w:rsidP="004B1396">
            <w:pPr>
              <w:spacing w:after="0" w:line="240" w:lineRule="auto"/>
              <w:rPr>
                <w:rFonts w:ascii="Times New Roman" w:eastAsia="Times New Roman" w:hAnsi="Times New Roman" w:cs="Times New Roman"/>
                <w:b/>
                <w:bCs/>
                <w:sz w:val="24"/>
                <w:szCs w:val="24"/>
                <w:lang w:eastAsia="lv-LV"/>
              </w:rPr>
            </w:pPr>
          </w:p>
        </w:tc>
        <w:tc>
          <w:tcPr>
            <w:tcW w:w="614" w:type="pct"/>
            <w:tcBorders>
              <w:top w:val="outset" w:sz="6" w:space="0" w:color="414142"/>
              <w:left w:val="outset" w:sz="6" w:space="0" w:color="414142"/>
              <w:bottom w:val="outset" w:sz="6" w:space="0" w:color="414142"/>
              <w:right w:val="outset" w:sz="6" w:space="0" w:color="414142"/>
            </w:tcBorders>
            <w:vAlign w:val="center"/>
            <w:hideMark/>
          </w:tcPr>
          <w:p w:rsidR="00FE1ADF" w:rsidRPr="004B1396" w:rsidRDefault="00FE1ADF" w:rsidP="00B13743">
            <w:pPr>
              <w:spacing w:after="0" w:line="240" w:lineRule="auto"/>
              <w:jc w:val="center"/>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saskaņā ar valsts budžetu kārtējam gadam</w:t>
            </w:r>
          </w:p>
        </w:tc>
        <w:tc>
          <w:tcPr>
            <w:tcW w:w="803" w:type="pct"/>
            <w:tcBorders>
              <w:top w:val="outset" w:sz="6" w:space="0" w:color="414142"/>
              <w:left w:val="outset" w:sz="6" w:space="0" w:color="414142"/>
              <w:bottom w:val="outset" w:sz="6" w:space="0" w:color="414142"/>
              <w:right w:val="outset" w:sz="6" w:space="0" w:color="414142"/>
            </w:tcBorders>
            <w:vAlign w:val="center"/>
            <w:hideMark/>
          </w:tcPr>
          <w:p w:rsidR="00FE1ADF" w:rsidRPr="004B1396" w:rsidRDefault="00FE1ADF" w:rsidP="00B13743">
            <w:pPr>
              <w:spacing w:after="0" w:line="240" w:lineRule="auto"/>
              <w:jc w:val="center"/>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izmaiņas kārtējā gadā, salīdzinot ar valsts budžetu kārtējam gadam</w:t>
            </w:r>
          </w:p>
        </w:tc>
        <w:tc>
          <w:tcPr>
            <w:tcW w:w="567" w:type="pct"/>
            <w:tcBorders>
              <w:top w:val="outset" w:sz="6" w:space="0" w:color="414142"/>
              <w:left w:val="outset" w:sz="6" w:space="0" w:color="414142"/>
              <w:bottom w:val="outset" w:sz="6" w:space="0" w:color="414142"/>
              <w:right w:val="outset" w:sz="6" w:space="0" w:color="414142"/>
            </w:tcBorders>
            <w:vAlign w:val="center"/>
            <w:hideMark/>
          </w:tcPr>
          <w:p w:rsidR="00FE1ADF" w:rsidRPr="004B1396" w:rsidRDefault="00FE1ADF" w:rsidP="00B13743">
            <w:pPr>
              <w:spacing w:after="0" w:line="240" w:lineRule="auto"/>
              <w:jc w:val="center"/>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izmaiņas, salīdzinot ar kārtējo (n) gadu</w:t>
            </w:r>
          </w:p>
        </w:tc>
        <w:tc>
          <w:tcPr>
            <w:tcW w:w="567" w:type="pct"/>
            <w:tcBorders>
              <w:top w:val="outset" w:sz="6" w:space="0" w:color="414142"/>
              <w:left w:val="outset" w:sz="6" w:space="0" w:color="414142"/>
              <w:bottom w:val="outset" w:sz="6" w:space="0" w:color="414142"/>
              <w:right w:val="outset" w:sz="6" w:space="0" w:color="414142"/>
            </w:tcBorders>
            <w:vAlign w:val="center"/>
            <w:hideMark/>
          </w:tcPr>
          <w:p w:rsidR="00FE1ADF" w:rsidRPr="004B1396" w:rsidRDefault="00FE1ADF" w:rsidP="00B13743">
            <w:pPr>
              <w:spacing w:after="0" w:line="240" w:lineRule="auto"/>
              <w:jc w:val="center"/>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izmaiņas, salīdzinot ar kārtējo (n) gadu</w:t>
            </w:r>
          </w:p>
        </w:tc>
        <w:tc>
          <w:tcPr>
            <w:tcW w:w="844" w:type="pct"/>
            <w:tcBorders>
              <w:top w:val="outset" w:sz="6" w:space="0" w:color="414142"/>
              <w:left w:val="outset" w:sz="6" w:space="0" w:color="414142"/>
              <w:bottom w:val="outset" w:sz="6" w:space="0" w:color="414142"/>
              <w:right w:val="outset" w:sz="6" w:space="0" w:color="414142"/>
            </w:tcBorders>
            <w:vAlign w:val="center"/>
            <w:hideMark/>
          </w:tcPr>
          <w:p w:rsidR="00FE1ADF" w:rsidRPr="004B1396" w:rsidRDefault="00FE1ADF" w:rsidP="00B13743">
            <w:pPr>
              <w:spacing w:after="0" w:line="240" w:lineRule="auto"/>
              <w:jc w:val="center"/>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izmaiņas, salīdzinot ar kārtējo (n) gadu</w:t>
            </w:r>
          </w:p>
        </w:tc>
      </w:tr>
      <w:tr w:rsidR="004B1396" w:rsidRPr="004B1396" w:rsidTr="002C27DD">
        <w:tc>
          <w:tcPr>
            <w:tcW w:w="1605" w:type="pct"/>
            <w:tcBorders>
              <w:top w:val="outset" w:sz="6" w:space="0" w:color="414142"/>
              <w:left w:val="outset" w:sz="6" w:space="0" w:color="414142"/>
              <w:bottom w:val="outset" w:sz="6" w:space="0" w:color="414142"/>
              <w:right w:val="outset" w:sz="6" w:space="0" w:color="414142"/>
            </w:tcBorders>
            <w:vAlign w:val="center"/>
            <w:hideMark/>
          </w:tcPr>
          <w:p w:rsidR="00FE1ADF" w:rsidRPr="004B1396" w:rsidRDefault="00FE1ADF" w:rsidP="00B13743">
            <w:pPr>
              <w:spacing w:after="0" w:line="240" w:lineRule="auto"/>
              <w:jc w:val="center"/>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1</w:t>
            </w:r>
          </w:p>
        </w:tc>
        <w:tc>
          <w:tcPr>
            <w:tcW w:w="614" w:type="pct"/>
            <w:tcBorders>
              <w:top w:val="outset" w:sz="6" w:space="0" w:color="414142"/>
              <w:left w:val="outset" w:sz="6" w:space="0" w:color="414142"/>
              <w:bottom w:val="outset" w:sz="6" w:space="0" w:color="414142"/>
              <w:right w:val="outset" w:sz="6" w:space="0" w:color="414142"/>
            </w:tcBorders>
            <w:vAlign w:val="center"/>
            <w:hideMark/>
          </w:tcPr>
          <w:p w:rsidR="00FE1ADF" w:rsidRPr="004B1396" w:rsidRDefault="00FE1ADF" w:rsidP="00B13743">
            <w:pPr>
              <w:spacing w:after="0" w:line="240" w:lineRule="auto"/>
              <w:jc w:val="center"/>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2</w:t>
            </w:r>
          </w:p>
        </w:tc>
        <w:tc>
          <w:tcPr>
            <w:tcW w:w="803" w:type="pct"/>
            <w:tcBorders>
              <w:top w:val="outset" w:sz="6" w:space="0" w:color="414142"/>
              <w:left w:val="outset" w:sz="6" w:space="0" w:color="414142"/>
              <w:bottom w:val="outset" w:sz="6" w:space="0" w:color="414142"/>
              <w:right w:val="outset" w:sz="6" w:space="0" w:color="414142"/>
            </w:tcBorders>
            <w:vAlign w:val="center"/>
            <w:hideMark/>
          </w:tcPr>
          <w:p w:rsidR="00FE1ADF" w:rsidRPr="004B1396" w:rsidRDefault="00FE1ADF" w:rsidP="00B13743">
            <w:pPr>
              <w:spacing w:after="0" w:line="240" w:lineRule="auto"/>
              <w:jc w:val="center"/>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3</w:t>
            </w:r>
          </w:p>
        </w:tc>
        <w:tc>
          <w:tcPr>
            <w:tcW w:w="567" w:type="pct"/>
            <w:tcBorders>
              <w:top w:val="outset" w:sz="6" w:space="0" w:color="414142"/>
              <w:left w:val="outset" w:sz="6" w:space="0" w:color="414142"/>
              <w:bottom w:val="outset" w:sz="6" w:space="0" w:color="414142"/>
              <w:right w:val="outset" w:sz="6" w:space="0" w:color="414142"/>
            </w:tcBorders>
            <w:vAlign w:val="center"/>
            <w:hideMark/>
          </w:tcPr>
          <w:p w:rsidR="00FE1ADF" w:rsidRPr="004B1396" w:rsidRDefault="00FE1ADF" w:rsidP="00B13743">
            <w:pPr>
              <w:spacing w:after="0" w:line="240" w:lineRule="auto"/>
              <w:jc w:val="center"/>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4</w:t>
            </w:r>
          </w:p>
        </w:tc>
        <w:tc>
          <w:tcPr>
            <w:tcW w:w="567" w:type="pct"/>
            <w:tcBorders>
              <w:top w:val="outset" w:sz="6" w:space="0" w:color="414142"/>
              <w:left w:val="outset" w:sz="6" w:space="0" w:color="414142"/>
              <w:bottom w:val="outset" w:sz="6" w:space="0" w:color="414142"/>
              <w:right w:val="outset" w:sz="6" w:space="0" w:color="414142"/>
            </w:tcBorders>
            <w:vAlign w:val="center"/>
            <w:hideMark/>
          </w:tcPr>
          <w:p w:rsidR="00FE1ADF" w:rsidRPr="004B1396" w:rsidRDefault="00FE1ADF" w:rsidP="00B13743">
            <w:pPr>
              <w:spacing w:after="0" w:line="240" w:lineRule="auto"/>
              <w:jc w:val="center"/>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5</w:t>
            </w:r>
          </w:p>
        </w:tc>
        <w:tc>
          <w:tcPr>
            <w:tcW w:w="844" w:type="pct"/>
            <w:tcBorders>
              <w:top w:val="outset" w:sz="6" w:space="0" w:color="414142"/>
              <w:left w:val="outset" w:sz="6" w:space="0" w:color="414142"/>
              <w:bottom w:val="outset" w:sz="6" w:space="0" w:color="414142"/>
              <w:right w:val="outset" w:sz="6" w:space="0" w:color="414142"/>
            </w:tcBorders>
            <w:vAlign w:val="center"/>
            <w:hideMark/>
          </w:tcPr>
          <w:p w:rsidR="00FE1ADF" w:rsidRPr="004B1396" w:rsidRDefault="00FE1ADF" w:rsidP="00B13743">
            <w:pPr>
              <w:spacing w:after="0" w:line="240" w:lineRule="auto"/>
              <w:jc w:val="center"/>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6</w:t>
            </w:r>
          </w:p>
        </w:tc>
      </w:tr>
      <w:tr w:rsidR="007F4392" w:rsidRPr="004B1396" w:rsidTr="002C27DD">
        <w:tc>
          <w:tcPr>
            <w:tcW w:w="1605" w:type="pct"/>
            <w:tcBorders>
              <w:top w:val="outset" w:sz="6" w:space="0" w:color="414142"/>
              <w:left w:val="outset" w:sz="6" w:space="0" w:color="414142"/>
              <w:bottom w:val="outset" w:sz="6" w:space="0" w:color="414142"/>
              <w:right w:val="outset" w:sz="6" w:space="0" w:color="414142"/>
            </w:tcBorders>
            <w:hideMark/>
          </w:tcPr>
          <w:p w:rsidR="007F4392" w:rsidRPr="004B1396" w:rsidRDefault="007F4392"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1. Budžeta ieņēmumi:</w:t>
            </w:r>
          </w:p>
        </w:tc>
        <w:tc>
          <w:tcPr>
            <w:tcW w:w="614" w:type="pct"/>
            <w:tcBorders>
              <w:top w:val="outset" w:sz="6" w:space="0" w:color="414142"/>
              <w:left w:val="outset" w:sz="6" w:space="0" w:color="414142"/>
              <w:bottom w:val="outset" w:sz="6" w:space="0" w:color="414142"/>
              <w:right w:val="outset" w:sz="6" w:space="0" w:color="414142"/>
            </w:tcBorders>
            <w:hideMark/>
          </w:tcPr>
          <w:p w:rsidR="007F4392" w:rsidRPr="004B1396" w:rsidRDefault="007F4392"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03" w:type="pct"/>
            <w:tcBorders>
              <w:top w:val="outset" w:sz="6" w:space="0" w:color="414142"/>
              <w:left w:val="outset" w:sz="6" w:space="0" w:color="414142"/>
              <w:bottom w:val="outset" w:sz="6" w:space="0" w:color="414142"/>
              <w:right w:val="outset" w:sz="6" w:space="0" w:color="414142"/>
            </w:tcBorders>
            <w:hideMark/>
          </w:tcPr>
          <w:p w:rsidR="007F4392" w:rsidRPr="004B1396" w:rsidRDefault="007F4392"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hideMark/>
          </w:tcPr>
          <w:p w:rsidR="007F4392" w:rsidRPr="004B1396" w:rsidRDefault="007F4392"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hideMark/>
          </w:tcPr>
          <w:p w:rsidR="007F4392" w:rsidRPr="004B1396" w:rsidRDefault="007F4392"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844" w:type="pct"/>
            <w:tcBorders>
              <w:top w:val="outset" w:sz="6" w:space="0" w:color="414142"/>
              <w:left w:val="outset" w:sz="6" w:space="0" w:color="414142"/>
              <w:bottom w:val="outset" w:sz="6" w:space="0" w:color="414142"/>
              <w:right w:val="outset" w:sz="6" w:space="0" w:color="414142"/>
            </w:tcBorders>
            <w:hideMark/>
          </w:tcPr>
          <w:p w:rsidR="007F4392" w:rsidRPr="004B1396" w:rsidRDefault="007F4392"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7F4392" w:rsidRPr="004B1396" w:rsidTr="002C27DD">
        <w:tc>
          <w:tcPr>
            <w:tcW w:w="1605" w:type="pct"/>
            <w:tcBorders>
              <w:top w:val="outset" w:sz="6" w:space="0" w:color="414142"/>
              <w:left w:val="outset" w:sz="6" w:space="0" w:color="414142"/>
              <w:bottom w:val="outset" w:sz="6" w:space="0" w:color="414142"/>
              <w:right w:val="outset" w:sz="6" w:space="0" w:color="414142"/>
            </w:tcBorders>
            <w:hideMark/>
          </w:tcPr>
          <w:p w:rsidR="007F4392" w:rsidRPr="004B1396" w:rsidRDefault="007F4392"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1.1. valsts pamatbudžets, tai skaitā ieņēmumi no maksas pakalpojumiem un citi pašu ieņēmumi</w:t>
            </w:r>
          </w:p>
        </w:tc>
        <w:tc>
          <w:tcPr>
            <w:tcW w:w="614" w:type="pct"/>
            <w:tcBorders>
              <w:top w:val="outset" w:sz="6" w:space="0" w:color="414142"/>
              <w:left w:val="outset" w:sz="6" w:space="0" w:color="414142"/>
              <w:bottom w:val="outset" w:sz="6" w:space="0" w:color="414142"/>
              <w:right w:val="outset" w:sz="6" w:space="0" w:color="414142"/>
            </w:tcBorders>
            <w:hideMark/>
          </w:tcPr>
          <w:p w:rsidR="007F4392" w:rsidRPr="004B1396" w:rsidRDefault="007F4392"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03" w:type="pct"/>
            <w:tcBorders>
              <w:top w:val="outset" w:sz="6" w:space="0" w:color="414142"/>
              <w:left w:val="outset" w:sz="6" w:space="0" w:color="414142"/>
              <w:bottom w:val="outset" w:sz="6" w:space="0" w:color="414142"/>
              <w:right w:val="outset" w:sz="6" w:space="0" w:color="414142"/>
            </w:tcBorders>
            <w:hideMark/>
          </w:tcPr>
          <w:p w:rsidR="007F4392" w:rsidRPr="004B1396" w:rsidRDefault="007F4392"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hideMark/>
          </w:tcPr>
          <w:p w:rsidR="007F4392" w:rsidRPr="004B1396" w:rsidRDefault="007F4392"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hideMark/>
          </w:tcPr>
          <w:p w:rsidR="007F4392" w:rsidRPr="004B1396" w:rsidRDefault="007F4392"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844" w:type="pct"/>
            <w:tcBorders>
              <w:top w:val="outset" w:sz="6" w:space="0" w:color="414142"/>
              <w:left w:val="outset" w:sz="6" w:space="0" w:color="414142"/>
              <w:bottom w:val="outset" w:sz="6" w:space="0" w:color="414142"/>
              <w:right w:val="outset" w:sz="6" w:space="0" w:color="414142"/>
            </w:tcBorders>
            <w:hideMark/>
          </w:tcPr>
          <w:p w:rsidR="007F4392" w:rsidRPr="004B1396" w:rsidRDefault="007F4392"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2C27DD" w:rsidRPr="004B1396" w:rsidTr="002C27DD">
        <w:tc>
          <w:tcPr>
            <w:tcW w:w="1605"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1.2. valsts speciālais budžets</w:t>
            </w:r>
          </w:p>
        </w:tc>
        <w:tc>
          <w:tcPr>
            <w:tcW w:w="61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03"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84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2C27DD" w:rsidRPr="004B1396" w:rsidTr="002C27DD">
        <w:tc>
          <w:tcPr>
            <w:tcW w:w="1605"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1.3. pašvaldību budžets</w:t>
            </w:r>
          </w:p>
        </w:tc>
        <w:tc>
          <w:tcPr>
            <w:tcW w:w="61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03"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84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2C27DD" w:rsidRPr="004B1396" w:rsidTr="002C27DD">
        <w:tc>
          <w:tcPr>
            <w:tcW w:w="1605"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2. Budžeta izdevumi:</w:t>
            </w:r>
          </w:p>
        </w:tc>
        <w:tc>
          <w:tcPr>
            <w:tcW w:w="61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03"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844" w:type="pct"/>
            <w:tcBorders>
              <w:top w:val="outset" w:sz="6" w:space="0" w:color="414142"/>
              <w:left w:val="outset" w:sz="6" w:space="0" w:color="414142"/>
              <w:bottom w:val="outset" w:sz="6" w:space="0" w:color="414142"/>
              <w:right w:val="outset" w:sz="6" w:space="0" w:color="414142"/>
            </w:tcBorders>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2C27DD" w:rsidRPr="004B1396" w:rsidTr="002C27DD">
        <w:tc>
          <w:tcPr>
            <w:tcW w:w="1605"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2.1. valsts pamatbudžets</w:t>
            </w:r>
          </w:p>
        </w:tc>
        <w:tc>
          <w:tcPr>
            <w:tcW w:w="61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03"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844" w:type="pct"/>
            <w:tcBorders>
              <w:top w:val="outset" w:sz="6" w:space="0" w:color="414142"/>
              <w:left w:val="outset" w:sz="6" w:space="0" w:color="414142"/>
              <w:bottom w:val="outset" w:sz="6" w:space="0" w:color="414142"/>
              <w:right w:val="outset" w:sz="6" w:space="0" w:color="414142"/>
            </w:tcBorders>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2C27DD" w:rsidRPr="004B1396" w:rsidTr="002C27DD">
        <w:tc>
          <w:tcPr>
            <w:tcW w:w="1605"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lastRenderedPageBreak/>
              <w:t>2.2. valsts speciālais budžets</w:t>
            </w:r>
          </w:p>
        </w:tc>
        <w:tc>
          <w:tcPr>
            <w:tcW w:w="61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03"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844" w:type="pct"/>
            <w:tcBorders>
              <w:top w:val="outset" w:sz="6" w:space="0" w:color="414142"/>
              <w:left w:val="outset" w:sz="6" w:space="0" w:color="414142"/>
              <w:bottom w:val="outset" w:sz="6" w:space="0" w:color="414142"/>
              <w:right w:val="outset" w:sz="6" w:space="0" w:color="414142"/>
            </w:tcBorders>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2C27DD" w:rsidRPr="004B1396" w:rsidTr="002C27DD">
        <w:tc>
          <w:tcPr>
            <w:tcW w:w="1605"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2.3. pašvaldību budžets</w:t>
            </w:r>
          </w:p>
        </w:tc>
        <w:tc>
          <w:tcPr>
            <w:tcW w:w="61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03"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844" w:type="pct"/>
            <w:tcBorders>
              <w:top w:val="outset" w:sz="6" w:space="0" w:color="414142"/>
              <w:left w:val="outset" w:sz="6" w:space="0" w:color="414142"/>
              <w:bottom w:val="outset" w:sz="6" w:space="0" w:color="414142"/>
              <w:right w:val="outset" w:sz="6" w:space="0" w:color="414142"/>
            </w:tcBorders>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2C27DD" w:rsidRPr="004B1396" w:rsidTr="002C27DD">
        <w:tc>
          <w:tcPr>
            <w:tcW w:w="1605"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3. Finansiālā ietekme:</w:t>
            </w:r>
          </w:p>
        </w:tc>
        <w:tc>
          <w:tcPr>
            <w:tcW w:w="614" w:type="pct"/>
            <w:tcBorders>
              <w:top w:val="outset" w:sz="6" w:space="0" w:color="414142"/>
              <w:left w:val="outset" w:sz="6" w:space="0" w:color="414142"/>
              <w:bottom w:val="outset" w:sz="6" w:space="0" w:color="414142"/>
              <w:right w:val="outset" w:sz="6" w:space="0" w:color="414142"/>
            </w:tcBorders>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03" w:type="pct"/>
            <w:tcBorders>
              <w:top w:val="outset" w:sz="6" w:space="0" w:color="414142"/>
              <w:left w:val="outset" w:sz="6" w:space="0" w:color="414142"/>
              <w:bottom w:val="outset" w:sz="6" w:space="0" w:color="414142"/>
              <w:right w:val="outset" w:sz="6" w:space="0" w:color="414142"/>
            </w:tcBorders>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844" w:type="pct"/>
            <w:tcBorders>
              <w:top w:val="outset" w:sz="6" w:space="0" w:color="414142"/>
              <w:left w:val="outset" w:sz="6" w:space="0" w:color="414142"/>
              <w:bottom w:val="outset" w:sz="6" w:space="0" w:color="414142"/>
              <w:right w:val="outset" w:sz="6" w:space="0" w:color="414142"/>
            </w:tcBorders>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2C27DD" w:rsidRPr="004B1396" w:rsidTr="002C27DD">
        <w:tc>
          <w:tcPr>
            <w:tcW w:w="1605"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3.1. valsts pamatbudžets</w:t>
            </w:r>
          </w:p>
        </w:tc>
        <w:tc>
          <w:tcPr>
            <w:tcW w:w="61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03"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844" w:type="pct"/>
            <w:tcBorders>
              <w:top w:val="outset" w:sz="6" w:space="0" w:color="414142"/>
              <w:left w:val="outset" w:sz="6" w:space="0" w:color="414142"/>
              <w:bottom w:val="outset" w:sz="6" w:space="0" w:color="414142"/>
              <w:right w:val="outset" w:sz="6" w:space="0" w:color="414142"/>
            </w:tcBorders>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2C27DD" w:rsidRPr="004B1396" w:rsidTr="002C27DD">
        <w:tc>
          <w:tcPr>
            <w:tcW w:w="1605"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3.2. speciālais budžets</w:t>
            </w:r>
          </w:p>
        </w:tc>
        <w:tc>
          <w:tcPr>
            <w:tcW w:w="61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03"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84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2C27DD" w:rsidRPr="004B1396" w:rsidTr="002C27DD">
        <w:tc>
          <w:tcPr>
            <w:tcW w:w="1605"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3.3. pašvaldību budžets</w:t>
            </w:r>
          </w:p>
        </w:tc>
        <w:tc>
          <w:tcPr>
            <w:tcW w:w="61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0</w:t>
            </w:r>
          </w:p>
        </w:tc>
        <w:tc>
          <w:tcPr>
            <w:tcW w:w="803"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c>
          <w:tcPr>
            <w:tcW w:w="84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74640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0</w:t>
            </w:r>
          </w:p>
        </w:tc>
      </w:tr>
      <w:tr w:rsidR="002C27DD" w:rsidRPr="004B1396" w:rsidTr="002C27DD">
        <w:tc>
          <w:tcPr>
            <w:tcW w:w="1605" w:type="pct"/>
            <w:vMerge w:val="restar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14" w:type="pct"/>
            <w:vMerge w:val="restar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ind w:firstLine="300"/>
              <w:jc w:val="center"/>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X</w:t>
            </w:r>
          </w:p>
        </w:tc>
        <w:tc>
          <w:tcPr>
            <w:tcW w:w="803"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84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r>
      <w:tr w:rsidR="002C27DD" w:rsidRPr="004B1396" w:rsidTr="002C27DD">
        <w:tc>
          <w:tcPr>
            <w:tcW w:w="1605" w:type="pct"/>
            <w:vMerge/>
            <w:tcBorders>
              <w:top w:val="outset" w:sz="6" w:space="0" w:color="414142"/>
              <w:left w:val="outset" w:sz="6" w:space="0" w:color="414142"/>
              <w:bottom w:val="outset" w:sz="6" w:space="0" w:color="414142"/>
              <w:right w:val="outset" w:sz="6" w:space="0" w:color="414142"/>
            </w:tcBorders>
            <w:vAlign w:val="center"/>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p>
        </w:tc>
        <w:tc>
          <w:tcPr>
            <w:tcW w:w="803"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84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r>
      <w:tr w:rsidR="002C27DD" w:rsidRPr="004B1396" w:rsidTr="002C27DD">
        <w:tc>
          <w:tcPr>
            <w:tcW w:w="1605" w:type="pct"/>
            <w:vMerge/>
            <w:tcBorders>
              <w:top w:val="outset" w:sz="6" w:space="0" w:color="414142"/>
              <w:left w:val="outset" w:sz="6" w:space="0" w:color="414142"/>
              <w:bottom w:val="outset" w:sz="6" w:space="0" w:color="414142"/>
              <w:right w:val="outset" w:sz="6" w:space="0" w:color="414142"/>
            </w:tcBorders>
            <w:vAlign w:val="center"/>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p>
        </w:tc>
        <w:tc>
          <w:tcPr>
            <w:tcW w:w="803"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84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r>
      <w:tr w:rsidR="002C27DD" w:rsidRPr="004B1396" w:rsidTr="002C27DD">
        <w:tc>
          <w:tcPr>
            <w:tcW w:w="1605"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5. Precizēta finansiālā ietekme:</w:t>
            </w:r>
          </w:p>
        </w:tc>
        <w:tc>
          <w:tcPr>
            <w:tcW w:w="614" w:type="pct"/>
            <w:vMerge w:val="restar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ind w:firstLine="300"/>
              <w:jc w:val="center"/>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X</w:t>
            </w:r>
          </w:p>
        </w:tc>
        <w:tc>
          <w:tcPr>
            <w:tcW w:w="803"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84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r>
      <w:tr w:rsidR="002C27DD" w:rsidRPr="004B1396" w:rsidTr="002C27DD">
        <w:tc>
          <w:tcPr>
            <w:tcW w:w="1605"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5.1. valsts pamatbudžets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p>
        </w:tc>
        <w:tc>
          <w:tcPr>
            <w:tcW w:w="803"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84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r>
      <w:tr w:rsidR="002C27DD" w:rsidRPr="004B1396" w:rsidTr="002C27DD">
        <w:tc>
          <w:tcPr>
            <w:tcW w:w="1605"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5.2. speciālais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p>
        </w:tc>
        <w:tc>
          <w:tcPr>
            <w:tcW w:w="803"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84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r>
      <w:tr w:rsidR="002C27DD" w:rsidRPr="004B1396" w:rsidTr="002C27DD">
        <w:tc>
          <w:tcPr>
            <w:tcW w:w="1605"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5.3. pašvaldību budžets</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p>
        </w:tc>
        <w:tc>
          <w:tcPr>
            <w:tcW w:w="803"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567"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c>
          <w:tcPr>
            <w:tcW w:w="844"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w:t>
            </w:r>
          </w:p>
        </w:tc>
      </w:tr>
      <w:tr w:rsidR="002C27DD" w:rsidRPr="004B1396" w:rsidTr="00A33487">
        <w:tc>
          <w:tcPr>
            <w:tcW w:w="1605" w:type="pct"/>
            <w:tcBorders>
              <w:top w:val="outset" w:sz="6" w:space="0" w:color="414142"/>
              <w:left w:val="outset" w:sz="6" w:space="0" w:color="414142"/>
              <w:bottom w:val="outset" w:sz="6" w:space="0" w:color="414142"/>
              <w:right w:val="outset" w:sz="6" w:space="0" w:color="414142"/>
            </w:tcBorders>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95" w:type="pct"/>
            <w:gridSpan w:val="5"/>
            <w:vMerge w:val="restart"/>
            <w:tcBorders>
              <w:top w:val="outset" w:sz="6" w:space="0" w:color="414142"/>
              <w:left w:val="outset" w:sz="6" w:space="0" w:color="414142"/>
              <w:right w:val="outset" w:sz="6" w:space="0" w:color="414142"/>
            </w:tcBorders>
            <w:vAlign w:val="center"/>
          </w:tcPr>
          <w:p w:rsidR="002C27DD" w:rsidRPr="004B1396" w:rsidRDefault="00B17512" w:rsidP="00C62D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Nav attie</w:t>
            </w:r>
            <w:r w:rsidR="002C27DD">
              <w:rPr>
                <w:rFonts w:ascii="Times New Roman" w:hAnsi="Times New Roman" w:cs="Times New Roman"/>
                <w:sz w:val="24"/>
                <w:szCs w:val="24"/>
              </w:rPr>
              <w:t xml:space="preserve">cināms. </w:t>
            </w:r>
          </w:p>
        </w:tc>
      </w:tr>
      <w:tr w:rsidR="002C27DD" w:rsidRPr="004B1396" w:rsidTr="00A33487">
        <w:tc>
          <w:tcPr>
            <w:tcW w:w="1605" w:type="pct"/>
            <w:tcBorders>
              <w:top w:val="outset" w:sz="6" w:space="0" w:color="414142"/>
              <w:left w:val="outset" w:sz="6" w:space="0" w:color="414142"/>
              <w:bottom w:val="outset" w:sz="6" w:space="0" w:color="414142"/>
              <w:right w:val="outset" w:sz="6" w:space="0" w:color="414142"/>
            </w:tcBorders>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6.1. detalizēts ieņēmumu aprēķins</w:t>
            </w:r>
          </w:p>
        </w:tc>
        <w:tc>
          <w:tcPr>
            <w:tcW w:w="3395" w:type="pct"/>
            <w:gridSpan w:val="5"/>
            <w:vMerge/>
            <w:tcBorders>
              <w:left w:val="outset" w:sz="6" w:space="0" w:color="414142"/>
              <w:right w:val="outset" w:sz="6" w:space="0" w:color="414142"/>
            </w:tcBorders>
            <w:vAlign w:val="center"/>
          </w:tcPr>
          <w:p w:rsidR="002C27DD" w:rsidRPr="004B1396" w:rsidRDefault="002C27DD" w:rsidP="00C458C6">
            <w:pPr>
              <w:spacing w:after="0" w:line="240" w:lineRule="auto"/>
              <w:jc w:val="both"/>
              <w:rPr>
                <w:rFonts w:ascii="Times New Roman" w:hAnsi="Times New Roman" w:cs="Times New Roman"/>
                <w:sz w:val="24"/>
                <w:szCs w:val="24"/>
              </w:rPr>
            </w:pPr>
          </w:p>
        </w:tc>
      </w:tr>
      <w:tr w:rsidR="002C27DD" w:rsidRPr="004B1396" w:rsidTr="00A33487">
        <w:trPr>
          <w:trHeight w:val="370"/>
        </w:trPr>
        <w:tc>
          <w:tcPr>
            <w:tcW w:w="1605"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6.2. detalizēts izdevumu aprēķins</w:t>
            </w:r>
          </w:p>
        </w:tc>
        <w:tc>
          <w:tcPr>
            <w:tcW w:w="3395" w:type="pct"/>
            <w:gridSpan w:val="5"/>
            <w:vMerge/>
            <w:tcBorders>
              <w:left w:val="outset" w:sz="6" w:space="0" w:color="414142"/>
              <w:bottom w:val="outset" w:sz="6" w:space="0" w:color="414142"/>
              <w:right w:val="outset" w:sz="6" w:space="0" w:color="414142"/>
            </w:tcBorders>
            <w:vAlign w:val="center"/>
            <w:hideMark/>
          </w:tcPr>
          <w:p w:rsidR="002C27DD" w:rsidRPr="00032535" w:rsidRDefault="002C27DD" w:rsidP="00C458C6">
            <w:pPr>
              <w:spacing w:after="0" w:line="240" w:lineRule="auto"/>
              <w:jc w:val="both"/>
              <w:rPr>
                <w:rFonts w:ascii="Times New Roman" w:hAnsi="Times New Roman" w:cs="Times New Roman"/>
                <w:sz w:val="24"/>
                <w:szCs w:val="24"/>
              </w:rPr>
            </w:pPr>
          </w:p>
        </w:tc>
      </w:tr>
      <w:tr w:rsidR="002C27DD" w:rsidRPr="004B1396" w:rsidTr="00A33487">
        <w:trPr>
          <w:trHeight w:val="555"/>
        </w:trPr>
        <w:tc>
          <w:tcPr>
            <w:tcW w:w="1605" w:type="pct"/>
            <w:tcBorders>
              <w:top w:val="outset" w:sz="6" w:space="0" w:color="414142"/>
              <w:left w:val="outset" w:sz="6" w:space="0" w:color="414142"/>
              <w:bottom w:val="outset" w:sz="6" w:space="0" w:color="414142"/>
              <w:right w:val="outset" w:sz="6" w:space="0" w:color="414142"/>
            </w:tcBorders>
            <w:hideMark/>
          </w:tcPr>
          <w:p w:rsidR="002C27DD" w:rsidRPr="004B1396" w:rsidRDefault="002C27DD"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7. Cita informācija</w:t>
            </w:r>
          </w:p>
        </w:tc>
        <w:tc>
          <w:tcPr>
            <w:tcW w:w="3395" w:type="pct"/>
            <w:gridSpan w:val="5"/>
            <w:tcBorders>
              <w:top w:val="outset" w:sz="6" w:space="0" w:color="414142"/>
              <w:left w:val="outset" w:sz="6" w:space="0" w:color="414142"/>
              <w:bottom w:val="outset" w:sz="6" w:space="0" w:color="414142"/>
              <w:right w:val="outset" w:sz="6" w:space="0" w:color="414142"/>
            </w:tcBorders>
          </w:tcPr>
          <w:p w:rsidR="002C27DD" w:rsidRPr="004B1396" w:rsidRDefault="002C27DD" w:rsidP="00E62A7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Nav. </w:t>
            </w:r>
          </w:p>
        </w:tc>
      </w:tr>
    </w:tbl>
    <w:p w:rsidR="00FE1ADF" w:rsidRPr="004B1396" w:rsidRDefault="00FE1ADF" w:rsidP="004B1396">
      <w:pPr>
        <w:spacing w:after="0" w:line="240" w:lineRule="auto"/>
        <w:rPr>
          <w:rFonts w:ascii="Times New Roman" w:eastAsia="Times New Roman" w:hAnsi="Times New Roman" w:cs="Times New Roman"/>
          <w:sz w:val="24"/>
          <w:szCs w:val="24"/>
          <w:lang w:eastAsia="lv-LV"/>
        </w:rPr>
      </w:pPr>
    </w:p>
    <w:tbl>
      <w:tblPr>
        <w:tblW w:w="529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6"/>
        <w:gridCol w:w="2648"/>
        <w:gridCol w:w="6566"/>
      </w:tblGrid>
      <w:tr w:rsidR="004B1396" w:rsidRPr="004B1396" w:rsidTr="00A33487">
        <w:trPr>
          <w:trHeight w:val="292"/>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FE1ADF" w:rsidRPr="004B1396" w:rsidRDefault="00FE1ADF" w:rsidP="004B1396">
            <w:pPr>
              <w:spacing w:after="0" w:line="240" w:lineRule="auto"/>
              <w:ind w:firstLine="300"/>
              <w:jc w:val="center"/>
              <w:rPr>
                <w:rFonts w:ascii="Times New Roman" w:eastAsia="Times New Roman" w:hAnsi="Times New Roman" w:cs="Times New Roman"/>
                <w:b/>
                <w:bCs/>
                <w:sz w:val="24"/>
                <w:szCs w:val="24"/>
                <w:lang w:eastAsia="lv-LV"/>
              </w:rPr>
            </w:pPr>
            <w:r w:rsidRPr="004B1396">
              <w:rPr>
                <w:rFonts w:ascii="Times New Roman" w:eastAsia="Times New Roman" w:hAnsi="Times New Roman" w:cs="Times New Roman"/>
                <w:b/>
                <w:bCs/>
                <w:sz w:val="24"/>
                <w:szCs w:val="24"/>
                <w:lang w:eastAsia="lv-LV"/>
              </w:rPr>
              <w:t>IV. Tiesību akta projekta ietekme uz spēkā esošo tiesību normu sistēmu</w:t>
            </w:r>
          </w:p>
        </w:tc>
      </w:tr>
      <w:tr w:rsidR="004B1396" w:rsidRPr="004B1396" w:rsidTr="00A33487">
        <w:tc>
          <w:tcPr>
            <w:tcW w:w="236" w:type="pct"/>
            <w:tcBorders>
              <w:top w:val="outset" w:sz="6" w:space="0" w:color="414142"/>
              <w:left w:val="outset" w:sz="6" w:space="0" w:color="414142"/>
              <w:bottom w:val="outset" w:sz="6" w:space="0" w:color="414142"/>
              <w:right w:val="outset" w:sz="6" w:space="0" w:color="414142"/>
            </w:tcBorders>
            <w:hideMark/>
          </w:tcPr>
          <w:p w:rsidR="00FE1ADF" w:rsidRPr="004B1396" w:rsidRDefault="00FE1ADF"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1.</w:t>
            </w:r>
          </w:p>
        </w:tc>
        <w:tc>
          <w:tcPr>
            <w:tcW w:w="1369" w:type="pct"/>
            <w:tcBorders>
              <w:top w:val="outset" w:sz="6" w:space="0" w:color="414142"/>
              <w:left w:val="outset" w:sz="6" w:space="0" w:color="414142"/>
              <w:bottom w:val="outset" w:sz="6" w:space="0" w:color="414142"/>
              <w:right w:val="outset" w:sz="6" w:space="0" w:color="414142"/>
            </w:tcBorders>
            <w:hideMark/>
          </w:tcPr>
          <w:p w:rsidR="00FE1ADF" w:rsidRPr="004B1396" w:rsidRDefault="00FE1ADF"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Nepieciešamie saistītie tiesību aktu projekti</w:t>
            </w:r>
          </w:p>
        </w:tc>
        <w:tc>
          <w:tcPr>
            <w:tcW w:w="3394" w:type="pct"/>
            <w:tcBorders>
              <w:top w:val="outset" w:sz="6" w:space="0" w:color="414142"/>
              <w:left w:val="outset" w:sz="6" w:space="0" w:color="414142"/>
              <w:bottom w:val="outset" w:sz="6" w:space="0" w:color="414142"/>
              <w:right w:val="outset" w:sz="6" w:space="0" w:color="414142"/>
            </w:tcBorders>
          </w:tcPr>
          <w:p w:rsidR="00711B9A" w:rsidRPr="00960768" w:rsidRDefault="00960768" w:rsidP="00960768">
            <w:pPr>
              <w:spacing w:after="0" w:line="240" w:lineRule="auto"/>
              <w:jc w:val="both"/>
              <w:rPr>
                <w:rFonts w:ascii="Times New Roman" w:eastAsia="Times New Roman" w:hAnsi="Times New Roman" w:cs="Times New Roman"/>
                <w:sz w:val="24"/>
                <w:szCs w:val="24"/>
                <w:lang w:eastAsia="lv-LV"/>
              </w:rPr>
            </w:pPr>
            <w:r w:rsidRPr="00960768">
              <w:rPr>
                <w:rFonts w:ascii="Times New Roman" w:eastAsia="Times New Roman" w:hAnsi="Times New Roman" w:cs="Times New Roman"/>
                <w:sz w:val="24"/>
                <w:szCs w:val="24"/>
                <w:lang w:eastAsia="lv-LV"/>
              </w:rPr>
              <w:t xml:space="preserve">Grozījumi </w:t>
            </w:r>
            <w:r w:rsidRPr="00960768">
              <w:rPr>
                <w:rFonts w:ascii="Times New Roman" w:hAnsi="Times New Roman" w:cs="Times New Roman"/>
                <w:sz w:val="24"/>
                <w:szCs w:val="24"/>
              </w:rPr>
              <w:t xml:space="preserve">Ministru kabineta </w:t>
            </w:r>
            <w:proofErr w:type="gramStart"/>
            <w:r w:rsidRPr="00960768">
              <w:rPr>
                <w:rFonts w:ascii="Times New Roman" w:hAnsi="Times New Roman" w:cs="Times New Roman"/>
                <w:sz w:val="24"/>
                <w:szCs w:val="24"/>
              </w:rPr>
              <w:t>2008.gada</w:t>
            </w:r>
            <w:proofErr w:type="gramEnd"/>
            <w:r w:rsidRPr="00960768">
              <w:rPr>
                <w:rFonts w:ascii="Times New Roman" w:hAnsi="Times New Roman" w:cs="Times New Roman"/>
                <w:sz w:val="24"/>
                <w:szCs w:val="24"/>
              </w:rPr>
              <w:t xml:space="preserve"> 17.marta noteikumos Nr.176 “</w:t>
            </w:r>
            <w:r w:rsidRPr="00960768">
              <w:rPr>
                <w:rFonts w:ascii="Times New Roman" w:hAnsi="Times New Roman" w:cs="Times New Roman"/>
                <w:bCs/>
                <w:sz w:val="24"/>
                <w:szCs w:val="24"/>
              </w:rPr>
              <w:t>Noteikumi par īpaša dokumenta formu un saturu krimināltiesiskajā sadarbībā ar Eiropas Savienības dalībvalstīm”</w:t>
            </w:r>
            <w:r>
              <w:rPr>
                <w:rFonts w:ascii="Times New Roman" w:hAnsi="Times New Roman" w:cs="Times New Roman"/>
                <w:bCs/>
                <w:sz w:val="24"/>
                <w:szCs w:val="24"/>
              </w:rPr>
              <w:t>.</w:t>
            </w:r>
          </w:p>
        </w:tc>
      </w:tr>
      <w:tr w:rsidR="004B1396" w:rsidRPr="004B1396" w:rsidTr="00A33487">
        <w:tc>
          <w:tcPr>
            <w:tcW w:w="236" w:type="pct"/>
            <w:tcBorders>
              <w:top w:val="outset" w:sz="6" w:space="0" w:color="414142"/>
              <w:left w:val="outset" w:sz="6" w:space="0" w:color="414142"/>
              <w:bottom w:val="outset" w:sz="6" w:space="0" w:color="414142"/>
              <w:right w:val="outset" w:sz="6" w:space="0" w:color="414142"/>
            </w:tcBorders>
            <w:hideMark/>
          </w:tcPr>
          <w:p w:rsidR="00FE1ADF" w:rsidRPr="004B1396" w:rsidRDefault="00FE1ADF"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2.</w:t>
            </w:r>
          </w:p>
        </w:tc>
        <w:tc>
          <w:tcPr>
            <w:tcW w:w="1369" w:type="pct"/>
            <w:tcBorders>
              <w:top w:val="outset" w:sz="6" w:space="0" w:color="414142"/>
              <w:left w:val="outset" w:sz="6" w:space="0" w:color="414142"/>
              <w:bottom w:val="outset" w:sz="6" w:space="0" w:color="414142"/>
              <w:right w:val="outset" w:sz="6" w:space="0" w:color="414142"/>
            </w:tcBorders>
            <w:hideMark/>
          </w:tcPr>
          <w:p w:rsidR="00FE1ADF" w:rsidRPr="004B1396" w:rsidRDefault="00FE1ADF"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Atbildīgā institūcija</w:t>
            </w:r>
          </w:p>
        </w:tc>
        <w:tc>
          <w:tcPr>
            <w:tcW w:w="3394" w:type="pct"/>
            <w:tcBorders>
              <w:top w:val="outset" w:sz="6" w:space="0" w:color="414142"/>
              <w:left w:val="outset" w:sz="6" w:space="0" w:color="414142"/>
              <w:bottom w:val="outset" w:sz="6" w:space="0" w:color="414142"/>
              <w:right w:val="outset" w:sz="6" w:space="0" w:color="414142"/>
            </w:tcBorders>
            <w:hideMark/>
          </w:tcPr>
          <w:p w:rsidR="00FE1ADF" w:rsidRPr="004B1396" w:rsidRDefault="005C3726"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Tieslietu ministrija.</w:t>
            </w:r>
          </w:p>
        </w:tc>
      </w:tr>
      <w:tr w:rsidR="00FE1ADF" w:rsidRPr="004B1396" w:rsidTr="00A33487">
        <w:tc>
          <w:tcPr>
            <w:tcW w:w="236" w:type="pct"/>
            <w:tcBorders>
              <w:top w:val="outset" w:sz="6" w:space="0" w:color="414142"/>
              <w:left w:val="outset" w:sz="6" w:space="0" w:color="414142"/>
              <w:bottom w:val="outset" w:sz="6" w:space="0" w:color="414142"/>
              <w:right w:val="outset" w:sz="6" w:space="0" w:color="414142"/>
            </w:tcBorders>
            <w:hideMark/>
          </w:tcPr>
          <w:p w:rsidR="00FE1ADF" w:rsidRPr="004B1396" w:rsidRDefault="00FE1ADF"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3.</w:t>
            </w:r>
          </w:p>
        </w:tc>
        <w:tc>
          <w:tcPr>
            <w:tcW w:w="1369" w:type="pct"/>
            <w:tcBorders>
              <w:top w:val="outset" w:sz="6" w:space="0" w:color="414142"/>
              <w:left w:val="outset" w:sz="6" w:space="0" w:color="414142"/>
              <w:bottom w:val="outset" w:sz="6" w:space="0" w:color="414142"/>
              <w:right w:val="outset" w:sz="6" w:space="0" w:color="414142"/>
            </w:tcBorders>
            <w:hideMark/>
          </w:tcPr>
          <w:p w:rsidR="00FE1ADF" w:rsidRPr="004B1396" w:rsidRDefault="00FE1ADF"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Cita informācija</w:t>
            </w:r>
          </w:p>
        </w:tc>
        <w:tc>
          <w:tcPr>
            <w:tcW w:w="3394" w:type="pct"/>
            <w:tcBorders>
              <w:top w:val="outset" w:sz="6" w:space="0" w:color="414142"/>
              <w:left w:val="outset" w:sz="6" w:space="0" w:color="414142"/>
              <w:bottom w:val="outset" w:sz="6" w:space="0" w:color="414142"/>
              <w:right w:val="outset" w:sz="6" w:space="0" w:color="414142"/>
            </w:tcBorders>
            <w:hideMark/>
          </w:tcPr>
          <w:p w:rsidR="00FE1ADF" w:rsidRPr="004B1396" w:rsidRDefault="005C3726"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Nav.</w:t>
            </w:r>
          </w:p>
        </w:tc>
      </w:tr>
    </w:tbl>
    <w:p w:rsidR="004D15A9" w:rsidRPr="004B1396" w:rsidRDefault="004D15A9" w:rsidP="004B1396">
      <w:pPr>
        <w:spacing w:after="0" w:line="240" w:lineRule="auto"/>
        <w:rPr>
          <w:rFonts w:ascii="Times New Roman" w:eastAsia="Times New Roman" w:hAnsi="Times New Roman" w:cs="Times New Roman"/>
          <w:sz w:val="24"/>
          <w:szCs w:val="24"/>
          <w:lang w:eastAsia="lv-LV"/>
        </w:rPr>
      </w:pPr>
    </w:p>
    <w:tbl>
      <w:tblPr>
        <w:tblW w:w="527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16"/>
        <w:gridCol w:w="1847"/>
        <w:gridCol w:w="800"/>
        <w:gridCol w:w="2176"/>
        <w:gridCol w:w="1986"/>
        <w:gridCol w:w="2414"/>
      </w:tblGrid>
      <w:tr w:rsidR="00226C2D" w:rsidRPr="00FA75B1" w:rsidTr="00A33487">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rsidR="00226C2D" w:rsidRPr="00FA3933" w:rsidRDefault="00226C2D" w:rsidP="00C62D27">
            <w:pPr>
              <w:spacing w:after="0" w:line="240" w:lineRule="auto"/>
              <w:ind w:firstLine="300"/>
              <w:jc w:val="center"/>
              <w:rPr>
                <w:rFonts w:ascii="Times New Roman" w:eastAsia="Times New Roman" w:hAnsi="Times New Roman"/>
                <w:b/>
                <w:bCs/>
                <w:sz w:val="24"/>
                <w:szCs w:val="24"/>
                <w:lang w:eastAsia="lv-LV"/>
              </w:rPr>
            </w:pPr>
            <w:r w:rsidRPr="00FA3933">
              <w:rPr>
                <w:rFonts w:ascii="Times New Roman" w:eastAsia="Times New Roman" w:hAnsi="Times New Roman"/>
                <w:b/>
                <w:bCs/>
                <w:sz w:val="24"/>
                <w:szCs w:val="24"/>
                <w:lang w:eastAsia="lv-LV"/>
              </w:rPr>
              <w:t>V. Tiesību akta projekta atbilstība Latvijas Republikas starptautiskajām saistībām</w:t>
            </w:r>
          </w:p>
        </w:tc>
      </w:tr>
      <w:tr w:rsidR="00226C2D" w:rsidRPr="00FA75B1" w:rsidTr="00D1051A">
        <w:tc>
          <w:tcPr>
            <w:tcW w:w="216" w:type="pct"/>
            <w:tcBorders>
              <w:top w:val="outset" w:sz="6" w:space="0" w:color="414142"/>
              <w:left w:val="outset" w:sz="6" w:space="0" w:color="414142"/>
              <w:bottom w:val="outset" w:sz="6" w:space="0" w:color="414142"/>
              <w:right w:val="outset" w:sz="6" w:space="0" w:color="414142"/>
            </w:tcBorders>
            <w:hideMark/>
          </w:tcPr>
          <w:p w:rsidR="00226C2D" w:rsidRPr="00FA3933" w:rsidRDefault="00226C2D" w:rsidP="00C62D27">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1.</w:t>
            </w:r>
          </w:p>
        </w:tc>
        <w:tc>
          <w:tcPr>
            <w:tcW w:w="1373" w:type="pct"/>
            <w:gridSpan w:val="2"/>
            <w:tcBorders>
              <w:top w:val="outset" w:sz="6" w:space="0" w:color="414142"/>
              <w:left w:val="outset" w:sz="6" w:space="0" w:color="414142"/>
              <w:bottom w:val="outset" w:sz="6" w:space="0" w:color="414142"/>
              <w:right w:val="outset" w:sz="6" w:space="0" w:color="414142"/>
            </w:tcBorders>
            <w:hideMark/>
          </w:tcPr>
          <w:p w:rsidR="00226C2D" w:rsidRPr="00FA3933" w:rsidRDefault="00226C2D" w:rsidP="00C62D27">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Saistības pret Eiropas Savienību</w:t>
            </w:r>
          </w:p>
        </w:tc>
        <w:tc>
          <w:tcPr>
            <w:tcW w:w="3411" w:type="pct"/>
            <w:gridSpan w:val="3"/>
            <w:tcBorders>
              <w:top w:val="outset" w:sz="6" w:space="0" w:color="414142"/>
              <w:left w:val="outset" w:sz="6" w:space="0" w:color="414142"/>
              <w:bottom w:val="outset" w:sz="6" w:space="0" w:color="414142"/>
              <w:right w:val="outset" w:sz="6" w:space="0" w:color="414142"/>
            </w:tcBorders>
            <w:hideMark/>
          </w:tcPr>
          <w:p w:rsidR="00226C2D" w:rsidRPr="00FA3933" w:rsidRDefault="00226C2D" w:rsidP="003B6C5D">
            <w:pPr>
              <w:spacing w:after="0" w:line="240" w:lineRule="auto"/>
              <w:jc w:val="both"/>
              <w:rPr>
                <w:rFonts w:ascii="Times New Roman" w:eastAsia="Times New Roman" w:hAnsi="Times New Roman"/>
                <w:sz w:val="24"/>
                <w:szCs w:val="24"/>
                <w:lang w:eastAsia="lv-LV"/>
              </w:rPr>
            </w:pPr>
            <w:r w:rsidRPr="009F2850">
              <w:rPr>
                <w:rFonts w:ascii="Times New Roman" w:eastAsia="Times New Roman" w:hAnsi="Times New Roman"/>
                <w:sz w:val="24"/>
                <w:szCs w:val="24"/>
                <w:lang w:eastAsia="lv-LV"/>
              </w:rPr>
              <w:t>Eiropas Parlamenta un Padomes</w:t>
            </w:r>
            <w:r w:rsidR="00E160BE">
              <w:rPr>
                <w:rFonts w:ascii="Times New Roman" w:eastAsia="Times New Roman" w:hAnsi="Times New Roman"/>
                <w:sz w:val="24"/>
                <w:szCs w:val="24"/>
                <w:lang w:eastAsia="lv-LV"/>
              </w:rPr>
              <w:t xml:space="preserve"> </w:t>
            </w:r>
            <w:proofErr w:type="gramStart"/>
            <w:r w:rsidR="00E160BE">
              <w:rPr>
                <w:rFonts w:ascii="Times New Roman" w:eastAsia="Times New Roman" w:hAnsi="Times New Roman"/>
                <w:sz w:val="24"/>
                <w:szCs w:val="24"/>
                <w:lang w:eastAsia="lv-LV"/>
              </w:rPr>
              <w:t>2014.gada</w:t>
            </w:r>
            <w:proofErr w:type="gramEnd"/>
            <w:r w:rsidR="00E160BE">
              <w:rPr>
                <w:rFonts w:ascii="Times New Roman" w:eastAsia="Times New Roman" w:hAnsi="Times New Roman"/>
                <w:sz w:val="24"/>
                <w:szCs w:val="24"/>
                <w:lang w:eastAsia="lv-LV"/>
              </w:rPr>
              <w:t xml:space="preserve"> 3.aprīļa</w:t>
            </w:r>
            <w:r w:rsidRPr="009F2850">
              <w:rPr>
                <w:rFonts w:ascii="Times New Roman" w:eastAsia="Times New Roman" w:hAnsi="Times New Roman"/>
                <w:sz w:val="24"/>
                <w:szCs w:val="24"/>
                <w:lang w:eastAsia="lv-LV"/>
              </w:rPr>
              <w:t xml:space="preserve"> direktīva </w:t>
            </w:r>
            <w:r w:rsidR="003B6C5D">
              <w:rPr>
                <w:rFonts w:ascii="Times New Roman" w:eastAsia="Times New Roman" w:hAnsi="Times New Roman"/>
                <w:bCs/>
                <w:sz w:val="24"/>
                <w:szCs w:val="24"/>
                <w:lang w:eastAsia="lv-LV"/>
              </w:rPr>
              <w:t xml:space="preserve">2014/41/ES par Eiropas izmeklēšanas rīkojumu krimināllietās. Saskaņā ar Direktīvas </w:t>
            </w:r>
            <w:proofErr w:type="gramStart"/>
            <w:r w:rsidR="003B6C5D">
              <w:rPr>
                <w:rFonts w:ascii="Times New Roman" w:eastAsia="Times New Roman" w:hAnsi="Times New Roman"/>
                <w:bCs/>
                <w:sz w:val="24"/>
                <w:szCs w:val="24"/>
                <w:lang w:eastAsia="lv-LV"/>
              </w:rPr>
              <w:t>36</w:t>
            </w:r>
            <w:r w:rsidRPr="009F2850">
              <w:rPr>
                <w:rFonts w:ascii="Times New Roman" w:eastAsia="Times New Roman" w:hAnsi="Times New Roman"/>
                <w:bCs/>
                <w:sz w:val="24"/>
                <w:szCs w:val="24"/>
                <w:lang w:eastAsia="lv-LV"/>
              </w:rPr>
              <w:t>.pant</w:t>
            </w:r>
            <w:r w:rsidR="003B6C5D">
              <w:rPr>
                <w:rFonts w:ascii="Times New Roman" w:eastAsia="Times New Roman" w:hAnsi="Times New Roman"/>
                <w:bCs/>
                <w:sz w:val="24"/>
                <w:szCs w:val="24"/>
                <w:lang w:eastAsia="lv-LV"/>
              </w:rPr>
              <w:t>u</w:t>
            </w:r>
            <w:proofErr w:type="gramEnd"/>
            <w:r w:rsidR="003B6C5D">
              <w:rPr>
                <w:rFonts w:ascii="Times New Roman" w:eastAsia="Times New Roman" w:hAnsi="Times New Roman"/>
                <w:bCs/>
                <w:sz w:val="24"/>
                <w:szCs w:val="24"/>
                <w:lang w:eastAsia="lv-LV"/>
              </w:rPr>
              <w:t xml:space="preserve"> tās ieviešanas termiņš ir 2017</w:t>
            </w:r>
            <w:r w:rsidRPr="009F2850">
              <w:rPr>
                <w:rFonts w:ascii="Times New Roman" w:eastAsia="Times New Roman" w:hAnsi="Times New Roman"/>
                <w:bCs/>
                <w:sz w:val="24"/>
                <w:szCs w:val="24"/>
                <w:lang w:eastAsia="lv-LV"/>
              </w:rPr>
              <w:t xml:space="preserve">.gada </w:t>
            </w:r>
            <w:r w:rsidR="003B6C5D">
              <w:rPr>
                <w:rFonts w:ascii="Times New Roman" w:eastAsia="Times New Roman" w:hAnsi="Times New Roman"/>
                <w:bCs/>
                <w:sz w:val="24"/>
                <w:szCs w:val="24"/>
                <w:lang w:eastAsia="lv-LV"/>
              </w:rPr>
              <w:t>22.maijs</w:t>
            </w:r>
          </w:p>
        </w:tc>
      </w:tr>
      <w:tr w:rsidR="00226C2D" w:rsidRPr="00FA75B1" w:rsidTr="00D1051A">
        <w:tc>
          <w:tcPr>
            <w:tcW w:w="216" w:type="pct"/>
            <w:tcBorders>
              <w:top w:val="outset" w:sz="6" w:space="0" w:color="414142"/>
              <w:left w:val="outset" w:sz="6" w:space="0" w:color="414142"/>
              <w:bottom w:val="outset" w:sz="6" w:space="0" w:color="414142"/>
              <w:right w:val="outset" w:sz="6" w:space="0" w:color="414142"/>
            </w:tcBorders>
            <w:hideMark/>
          </w:tcPr>
          <w:p w:rsidR="00226C2D" w:rsidRPr="00FA3933" w:rsidRDefault="00226C2D" w:rsidP="00C62D27">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2.</w:t>
            </w:r>
          </w:p>
        </w:tc>
        <w:tc>
          <w:tcPr>
            <w:tcW w:w="1373" w:type="pct"/>
            <w:gridSpan w:val="2"/>
            <w:tcBorders>
              <w:top w:val="outset" w:sz="6" w:space="0" w:color="414142"/>
              <w:left w:val="outset" w:sz="6" w:space="0" w:color="414142"/>
              <w:bottom w:val="outset" w:sz="6" w:space="0" w:color="414142"/>
              <w:right w:val="outset" w:sz="6" w:space="0" w:color="414142"/>
            </w:tcBorders>
            <w:hideMark/>
          </w:tcPr>
          <w:p w:rsidR="00226C2D" w:rsidRPr="00FA3933" w:rsidRDefault="00226C2D" w:rsidP="00C62D27">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Citas starptautiskās saistības</w:t>
            </w:r>
          </w:p>
        </w:tc>
        <w:tc>
          <w:tcPr>
            <w:tcW w:w="3411" w:type="pct"/>
            <w:gridSpan w:val="3"/>
            <w:tcBorders>
              <w:top w:val="outset" w:sz="6" w:space="0" w:color="414142"/>
              <w:left w:val="outset" w:sz="6" w:space="0" w:color="414142"/>
              <w:bottom w:val="outset" w:sz="6" w:space="0" w:color="414142"/>
              <w:right w:val="outset" w:sz="6" w:space="0" w:color="414142"/>
            </w:tcBorders>
            <w:hideMark/>
          </w:tcPr>
          <w:p w:rsidR="00226C2D" w:rsidRPr="00FA75B1" w:rsidRDefault="00226C2D" w:rsidP="00220B97">
            <w:pPr>
              <w:spacing w:after="0" w:line="240" w:lineRule="auto"/>
              <w:ind w:firstLine="14"/>
              <w:jc w:val="both"/>
              <w:rPr>
                <w:rFonts w:ascii="Times New Roman" w:hAnsi="Times New Roman"/>
                <w:sz w:val="24"/>
                <w:szCs w:val="24"/>
                <w:lang w:eastAsia="lv-LV"/>
              </w:rPr>
            </w:pPr>
            <w:r>
              <w:rPr>
                <w:rFonts w:ascii="Times New Roman" w:hAnsi="Times New Roman"/>
                <w:sz w:val="24"/>
                <w:szCs w:val="24"/>
                <w:lang w:eastAsia="lv-LV"/>
              </w:rPr>
              <w:t>Nav.</w:t>
            </w:r>
          </w:p>
        </w:tc>
      </w:tr>
      <w:tr w:rsidR="00226C2D" w:rsidRPr="00FA75B1" w:rsidTr="00D1051A">
        <w:tc>
          <w:tcPr>
            <w:tcW w:w="216" w:type="pct"/>
            <w:tcBorders>
              <w:top w:val="outset" w:sz="6" w:space="0" w:color="414142"/>
              <w:left w:val="outset" w:sz="6" w:space="0" w:color="414142"/>
              <w:bottom w:val="outset" w:sz="6" w:space="0" w:color="414142"/>
              <w:right w:val="outset" w:sz="6" w:space="0" w:color="414142"/>
            </w:tcBorders>
            <w:hideMark/>
          </w:tcPr>
          <w:p w:rsidR="00226C2D" w:rsidRPr="00FA3933" w:rsidRDefault="00226C2D" w:rsidP="00C62D27">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3.</w:t>
            </w:r>
          </w:p>
        </w:tc>
        <w:tc>
          <w:tcPr>
            <w:tcW w:w="1373" w:type="pct"/>
            <w:gridSpan w:val="2"/>
            <w:tcBorders>
              <w:top w:val="outset" w:sz="6" w:space="0" w:color="414142"/>
              <w:left w:val="outset" w:sz="6" w:space="0" w:color="414142"/>
              <w:bottom w:val="outset" w:sz="6" w:space="0" w:color="414142"/>
              <w:right w:val="outset" w:sz="6" w:space="0" w:color="414142"/>
            </w:tcBorders>
            <w:hideMark/>
          </w:tcPr>
          <w:p w:rsidR="00226C2D" w:rsidRPr="00FA3933" w:rsidRDefault="00226C2D" w:rsidP="00C62D27">
            <w:pPr>
              <w:spacing w:after="0" w:line="240" w:lineRule="auto"/>
              <w:jc w:val="both"/>
              <w:rPr>
                <w:rFonts w:ascii="Times New Roman" w:eastAsia="Times New Roman" w:hAnsi="Times New Roman"/>
                <w:sz w:val="24"/>
                <w:szCs w:val="24"/>
                <w:lang w:eastAsia="lv-LV"/>
              </w:rPr>
            </w:pPr>
            <w:r w:rsidRPr="00FA3933">
              <w:rPr>
                <w:rFonts w:ascii="Times New Roman" w:eastAsia="Times New Roman" w:hAnsi="Times New Roman"/>
                <w:sz w:val="24"/>
                <w:szCs w:val="24"/>
                <w:lang w:eastAsia="lv-LV"/>
              </w:rPr>
              <w:t>Cita informācija</w:t>
            </w:r>
          </w:p>
        </w:tc>
        <w:tc>
          <w:tcPr>
            <w:tcW w:w="3411" w:type="pct"/>
            <w:gridSpan w:val="3"/>
            <w:tcBorders>
              <w:top w:val="outset" w:sz="6" w:space="0" w:color="414142"/>
              <w:left w:val="outset" w:sz="6" w:space="0" w:color="414142"/>
              <w:bottom w:val="outset" w:sz="6" w:space="0" w:color="414142"/>
              <w:right w:val="outset" w:sz="6" w:space="0" w:color="414142"/>
            </w:tcBorders>
            <w:hideMark/>
          </w:tcPr>
          <w:p w:rsidR="00226C2D" w:rsidRPr="00FA3933" w:rsidRDefault="00226C2D" w:rsidP="00C62D27">
            <w:pPr>
              <w:spacing w:after="0" w:line="240" w:lineRule="auto"/>
              <w:ind w:firstLine="14"/>
              <w:jc w:val="both"/>
              <w:rPr>
                <w:rFonts w:ascii="Times New Roman" w:eastAsia="Times New Roman" w:hAnsi="Times New Roman"/>
                <w:sz w:val="24"/>
                <w:szCs w:val="24"/>
                <w:lang w:eastAsia="lv-LV"/>
              </w:rPr>
            </w:pPr>
            <w:r w:rsidRPr="00FA75B1">
              <w:rPr>
                <w:rFonts w:ascii="Times New Roman" w:hAnsi="Times New Roman"/>
                <w:sz w:val="24"/>
                <w:szCs w:val="24"/>
                <w:lang w:eastAsia="lv-LV"/>
              </w:rPr>
              <w:t>Nav.</w:t>
            </w:r>
          </w:p>
        </w:tc>
      </w:tr>
      <w:tr w:rsidR="00226C2D" w:rsidRPr="00FA75B1" w:rsidTr="00A33487">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523"/>
        </w:trPr>
        <w:tc>
          <w:tcPr>
            <w:tcW w:w="5000" w:type="pct"/>
            <w:gridSpan w:val="6"/>
            <w:tcBorders>
              <w:top w:val="outset" w:sz="6" w:space="0" w:color="auto"/>
              <w:left w:val="outset" w:sz="6" w:space="0" w:color="auto"/>
              <w:bottom w:val="outset" w:sz="6" w:space="0" w:color="auto"/>
              <w:right w:val="outset" w:sz="6" w:space="0" w:color="auto"/>
            </w:tcBorders>
            <w:vAlign w:val="center"/>
          </w:tcPr>
          <w:p w:rsidR="00226C2D" w:rsidRPr="00FA75B1" w:rsidRDefault="00226C2D" w:rsidP="00C62D27">
            <w:pPr>
              <w:spacing w:after="0" w:line="240" w:lineRule="auto"/>
              <w:ind w:left="57"/>
              <w:jc w:val="center"/>
              <w:rPr>
                <w:rFonts w:ascii="Times New Roman" w:hAnsi="Times New Roman"/>
                <w:b/>
                <w:sz w:val="24"/>
                <w:szCs w:val="24"/>
                <w:lang w:eastAsia="lv-LV"/>
              </w:rPr>
            </w:pPr>
            <w:r w:rsidRPr="00FA75B1">
              <w:rPr>
                <w:rFonts w:ascii="Times New Roman" w:hAnsi="Times New Roman"/>
                <w:b/>
                <w:sz w:val="24"/>
                <w:szCs w:val="24"/>
                <w:lang w:eastAsia="lv-LV"/>
              </w:rPr>
              <w:lastRenderedPageBreak/>
              <w:t>1.tabula</w:t>
            </w:r>
          </w:p>
          <w:p w:rsidR="00226C2D" w:rsidRPr="00226C2D" w:rsidRDefault="00226C2D" w:rsidP="00226C2D">
            <w:pPr>
              <w:spacing w:after="0" w:line="240" w:lineRule="auto"/>
              <w:ind w:left="57"/>
              <w:jc w:val="center"/>
              <w:rPr>
                <w:rFonts w:ascii="Times New Roman" w:hAnsi="Times New Roman"/>
                <w:b/>
                <w:sz w:val="24"/>
                <w:szCs w:val="24"/>
                <w:lang w:eastAsia="lv-LV"/>
              </w:rPr>
            </w:pPr>
            <w:r w:rsidRPr="00FA75B1">
              <w:rPr>
                <w:rFonts w:ascii="Times New Roman" w:hAnsi="Times New Roman"/>
                <w:b/>
                <w:sz w:val="24"/>
                <w:szCs w:val="24"/>
                <w:lang w:eastAsia="lv-LV"/>
              </w:rPr>
              <w:t>Tiesību akta projek</w:t>
            </w:r>
            <w:r>
              <w:rPr>
                <w:rFonts w:ascii="Times New Roman" w:hAnsi="Times New Roman"/>
                <w:b/>
                <w:sz w:val="24"/>
                <w:szCs w:val="24"/>
                <w:lang w:eastAsia="lv-LV"/>
              </w:rPr>
              <w:t>ta atbilstība ES tiesību aktiem</w:t>
            </w:r>
          </w:p>
        </w:tc>
      </w:tr>
      <w:tr w:rsidR="00226C2D"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Pr>
        <w:tc>
          <w:tcPr>
            <w:tcW w:w="1174" w:type="pct"/>
            <w:gridSpan w:val="2"/>
            <w:tcBorders>
              <w:top w:val="outset" w:sz="6" w:space="0" w:color="auto"/>
              <w:left w:val="outset" w:sz="6" w:space="0" w:color="auto"/>
              <w:bottom w:val="outset" w:sz="6" w:space="0" w:color="auto"/>
              <w:right w:val="outset" w:sz="6" w:space="0" w:color="auto"/>
            </w:tcBorders>
          </w:tcPr>
          <w:p w:rsidR="00226C2D" w:rsidRPr="00FA75B1" w:rsidRDefault="00226C2D" w:rsidP="00C62D27">
            <w:pPr>
              <w:spacing w:after="0" w:line="240" w:lineRule="auto"/>
              <w:ind w:left="57"/>
              <w:jc w:val="both"/>
              <w:rPr>
                <w:rFonts w:ascii="Times New Roman" w:hAnsi="Times New Roman"/>
                <w:sz w:val="24"/>
                <w:szCs w:val="24"/>
                <w:lang w:eastAsia="lv-LV"/>
              </w:rPr>
            </w:pPr>
            <w:r w:rsidRPr="00FA75B1">
              <w:rPr>
                <w:rFonts w:ascii="Times New Roman" w:hAnsi="Times New Roman"/>
                <w:sz w:val="24"/>
                <w:szCs w:val="24"/>
                <w:lang w:eastAsia="lv-LV"/>
              </w:rPr>
              <w:t>Attiecīgā ES tiesību akta datums, numurs un nosaukums</w:t>
            </w:r>
          </w:p>
        </w:tc>
        <w:tc>
          <w:tcPr>
            <w:tcW w:w="3826" w:type="pct"/>
            <w:gridSpan w:val="4"/>
            <w:tcBorders>
              <w:top w:val="outset" w:sz="6" w:space="0" w:color="auto"/>
              <w:left w:val="outset" w:sz="6" w:space="0" w:color="auto"/>
              <w:bottom w:val="outset" w:sz="6" w:space="0" w:color="auto"/>
              <w:right w:val="outset" w:sz="6" w:space="0" w:color="auto"/>
            </w:tcBorders>
          </w:tcPr>
          <w:p w:rsidR="00226C2D" w:rsidRPr="00FA75B1" w:rsidRDefault="00226C2D" w:rsidP="00E160BE">
            <w:pPr>
              <w:spacing w:after="0" w:line="240" w:lineRule="auto"/>
              <w:ind w:left="57"/>
              <w:jc w:val="both"/>
              <w:rPr>
                <w:rFonts w:ascii="Times New Roman" w:hAnsi="Times New Roman"/>
                <w:sz w:val="24"/>
                <w:szCs w:val="24"/>
                <w:lang w:eastAsia="lv-LV"/>
              </w:rPr>
            </w:pPr>
            <w:r w:rsidRPr="00760819">
              <w:rPr>
                <w:rFonts w:ascii="Times New Roman" w:hAnsi="Times New Roman"/>
                <w:sz w:val="24"/>
                <w:szCs w:val="24"/>
                <w:lang w:eastAsia="lv-LV"/>
              </w:rPr>
              <w:t xml:space="preserve">Eiropas Parlamenta un Padomes </w:t>
            </w:r>
            <w:proofErr w:type="gramStart"/>
            <w:r w:rsidR="00E160BE">
              <w:rPr>
                <w:rFonts w:ascii="Times New Roman" w:hAnsi="Times New Roman"/>
                <w:sz w:val="24"/>
                <w:szCs w:val="24"/>
                <w:lang w:eastAsia="lv-LV"/>
              </w:rPr>
              <w:t>2014.gada</w:t>
            </w:r>
            <w:proofErr w:type="gramEnd"/>
            <w:r w:rsidR="00E160BE">
              <w:rPr>
                <w:rFonts w:ascii="Times New Roman" w:hAnsi="Times New Roman"/>
                <w:sz w:val="24"/>
                <w:szCs w:val="24"/>
                <w:lang w:eastAsia="lv-LV"/>
              </w:rPr>
              <w:t xml:space="preserve"> 3.apīļa </w:t>
            </w:r>
            <w:r w:rsidRPr="00760819">
              <w:rPr>
                <w:rFonts w:ascii="Times New Roman" w:hAnsi="Times New Roman"/>
                <w:sz w:val="24"/>
                <w:szCs w:val="24"/>
                <w:lang w:eastAsia="lv-LV"/>
              </w:rPr>
              <w:t>direktīva</w:t>
            </w:r>
            <w:r w:rsidR="00E160BE">
              <w:rPr>
                <w:rFonts w:ascii="Times New Roman" w:hAnsi="Times New Roman"/>
                <w:sz w:val="24"/>
                <w:szCs w:val="24"/>
                <w:lang w:eastAsia="lv-LV"/>
              </w:rPr>
              <w:t xml:space="preserve"> par Eiropas izmeklēšanas rīkojumu krimināllietās.</w:t>
            </w:r>
          </w:p>
        </w:tc>
      </w:tr>
      <w:tr w:rsidR="00226C2D"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Pr>
        <w:tc>
          <w:tcPr>
            <w:tcW w:w="1174" w:type="pct"/>
            <w:gridSpan w:val="2"/>
            <w:tcBorders>
              <w:top w:val="outset" w:sz="6" w:space="0" w:color="auto"/>
              <w:left w:val="outset" w:sz="6" w:space="0" w:color="auto"/>
              <w:bottom w:val="outset" w:sz="6" w:space="0" w:color="auto"/>
              <w:right w:val="outset" w:sz="6" w:space="0" w:color="auto"/>
            </w:tcBorders>
            <w:vAlign w:val="center"/>
          </w:tcPr>
          <w:p w:rsidR="00226C2D" w:rsidRPr="00FA75B1" w:rsidRDefault="00226C2D" w:rsidP="00C62D27">
            <w:pPr>
              <w:spacing w:after="0" w:line="240" w:lineRule="auto"/>
              <w:ind w:left="57"/>
              <w:jc w:val="center"/>
              <w:rPr>
                <w:rFonts w:ascii="Times New Roman" w:hAnsi="Times New Roman"/>
                <w:sz w:val="24"/>
                <w:szCs w:val="24"/>
                <w:lang w:eastAsia="lv-LV"/>
              </w:rPr>
            </w:pPr>
            <w:r w:rsidRPr="00FA75B1">
              <w:rPr>
                <w:rFonts w:ascii="Times New Roman" w:hAnsi="Times New Roman"/>
                <w:sz w:val="24"/>
                <w:szCs w:val="24"/>
                <w:lang w:eastAsia="lv-LV"/>
              </w:rPr>
              <w:t>A</w:t>
            </w:r>
          </w:p>
        </w:tc>
        <w:tc>
          <w:tcPr>
            <w:tcW w:w="1544" w:type="pct"/>
            <w:gridSpan w:val="2"/>
            <w:tcBorders>
              <w:top w:val="outset" w:sz="6" w:space="0" w:color="auto"/>
              <w:left w:val="outset" w:sz="6" w:space="0" w:color="auto"/>
              <w:bottom w:val="outset" w:sz="6" w:space="0" w:color="auto"/>
              <w:right w:val="outset" w:sz="6" w:space="0" w:color="auto"/>
            </w:tcBorders>
            <w:vAlign w:val="center"/>
          </w:tcPr>
          <w:p w:rsidR="00226C2D" w:rsidRPr="00FA75B1" w:rsidRDefault="00226C2D" w:rsidP="00C62D27">
            <w:pPr>
              <w:spacing w:after="0" w:line="240" w:lineRule="auto"/>
              <w:ind w:left="57"/>
              <w:jc w:val="center"/>
              <w:rPr>
                <w:rFonts w:ascii="Times New Roman" w:hAnsi="Times New Roman"/>
                <w:sz w:val="24"/>
                <w:szCs w:val="24"/>
                <w:lang w:eastAsia="lv-LV"/>
              </w:rPr>
            </w:pPr>
            <w:r w:rsidRPr="00FA75B1">
              <w:rPr>
                <w:rFonts w:ascii="Times New Roman" w:hAnsi="Times New Roman"/>
                <w:sz w:val="24"/>
                <w:szCs w:val="24"/>
                <w:lang w:eastAsia="lv-LV"/>
              </w:rPr>
              <w:t>B</w:t>
            </w:r>
          </w:p>
        </w:tc>
        <w:tc>
          <w:tcPr>
            <w:tcW w:w="1030" w:type="pct"/>
            <w:tcBorders>
              <w:top w:val="outset" w:sz="6" w:space="0" w:color="auto"/>
              <w:left w:val="outset" w:sz="6" w:space="0" w:color="auto"/>
              <w:bottom w:val="outset" w:sz="6" w:space="0" w:color="auto"/>
              <w:right w:val="outset" w:sz="6" w:space="0" w:color="auto"/>
            </w:tcBorders>
            <w:vAlign w:val="center"/>
          </w:tcPr>
          <w:p w:rsidR="00226C2D" w:rsidRPr="00FA75B1" w:rsidRDefault="00226C2D" w:rsidP="00C62D27">
            <w:pPr>
              <w:spacing w:after="0" w:line="240" w:lineRule="auto"/>
              <w:ind w:left="57"/>
              <w:jc w:val="center"/>
              <w:rPr>
                <w:rFonts w:ascii="Times New Roman" w:hAnsi="Times New Roman"/>
                <w:sz w:val="24"/>
                <w:szCs w:val="24"/>
                <w:lang w:eastAsia="lv-LV"/>
              </w:rPr>
            </w:pPr>
            <w:r w:rsidRPr="00FA75B1">
              <w:rPr>
                <w:rFonts w:ascii="Times New Roman" w:hAnsi="Times New Roman"/>
                <w:sz w:val="24"/>
                <w:szCs w:val="24"/>
                <w:lang w:eastAsia="lv-LV"/>
              </w:rPr>
              <w:t>C</w:t>
            </w:r>
          </w:p>
        </w:tc>
        <w:tc>
          <w:tcPr>
            <w:tcW w:w="1252" w:type="pct"/>
            <w:tcBorders>
              <w:top w:val="outset" w:sz="6" w:space="0" w:color="auto"/>
              <w:left w:val="outset" w:sz="6" w:space="0" w:color="auto"/>
              <w:bottom w:val="outset" w:sz="6" w:space="0" w:color="auto"/>
              <w:right w:val="outset" w:sz="6" w:space="0" w:color="auto"/>
            </w:tcBorders>
            <w:vAlign w:val="center"/>
          </w:tcPr>
          <w:p w:rsidR="00226C2D" w:rsidRPr="00FA75B1" w:rsidRDefault="00226C2D" w:rsidP="00C62D27">
            <w:pPr>
              <w:spacing w:after="0" w:line="240" w:lineRule="auto"/>
              <w:ind w:left="57"/>
              <w:jc w:val="center"/>
              <w:rPr>
                <w:rFonts w:ascii="Times New Roman" w:hAnsi="Times New Roman"/>
                <w:sz w:val="24"/>
                <w:szCs w:val="24"/>
                <w:lang w:eastAsia="lv-LV"/>
              </w:rPr>
            </w:pPr>
            <w:r w:rsidRPr="00FA75B1">
              <w:rPr>
                <w:rFonts w:ascii="Times New Roman" w:hAnsi="Times New Roman"/>
                <w:sz w:val="24"/>
                <w:szCs w:val="24"/>
                <w:lang w:eastAsia="lv-LV"/>
              </w:rPr>
              <w:t>D</w:t>
            </w:r>
          </w:p>
        </w:tc>
      </w:tr>
      <w:tr w:rsidR="00226C2D"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7294"/>
        </w:trPr>
        <w:tc>
          <w:tcPr>
            <w:tcW w:w="1174" w:type="pct"/>
            <w:gridSpan w:val="2"/>
            <w:tcBorders>
              <w:top w:val="outset" w:sz="6" w:space="0" w:color="auto"/>
              <w:left w:val="outset" w:sz="6" w:space="0" w:color="auto"/>
              <w:bottom w:val="outset" w:sz="6" w:space="0" w:color="auto"/>
              <w:right w:val="outset" w:sz="6" w:space="0" w:color="auto"/>
            </w:tcBorders>
          </w:tcPr>
          <w:p w:rsidR="00226C2D" w:rsidRPr="00FA75B1" w:rsidRDefault="00226C2D" w:rsidP="00C62D27">
            <w:pPr>
              <w:spacing w:after="0" w:line="240" w:lineRule="auto"/>
              <w:jc w:val="both"/>
              <w:rPr>
                <w:rFonts w:ascii="Times New Roman" w:hAnsi="Times New Roman"/>
                <w:spacing w:val="-3"/>
                <w:sz w:val="24"/>
                <w:szCs w:val="24"/>
                <w:lang w:eastAsia="lv-LV"/>
              </w:rPr>
            </w:pPr>
            <w:r w:rsidRPr="00FA75B1">
              <w:rPr>
                <w:rFonts w:ascii="Times New Roman" w:hAnsi="Times New Roman"/>
                <w:spacing w:val="-3"/>
                <w:sz w:val="24"/>
                <w:szCs w:val="24"/>
                <w:lang w:eastAsia="lv-LV"/>
              </w:rPr>
              <w:t>Attiecīgā ES tiesību akta panta numurs (uzskaitot katru tiesību akta vienību – pantu, daļu, punktu, apakšpunktu)</w:t>
            </w:r>
          </w:p>
        </w:tc>
        <w:tc>
          <w:tcPr>
            <w:tcW w:w="1544" w:type="pct"/>
            <w:gridSpan w:val="2"/>
            <w:tcBorders>
              <w:top w:val="outset" w:sz="6" w:space="0" w:color="auto"/>
              <w:left w:val="outset" w:sz="6" w:space="0" w:color="auto"/>
              <w:bottom w:val="outset" w:sz="6" w:space="0" w:color="auto"/>
              <w:right w:val="outset" w:sz="6" w:space="0" w:color="auto"/>
            </w:tcBorders>
          </w:tcPr>
          <w:p w:rsidR="00226C2D" w:rsidRPr="00FA75B1" w:rsidRDefault="00226C2D" w:rsidP="00C62D27">
            <w:pPr>
              <w:spacing w:after="0" w:line="240" w:lineRule="auto"/>
              <w:jc w:val="both"/>
              <w:rPr>
                <w:rFonts w:ascii="Times New Roman" w:hAnsi="Times New Roman"/>
                <w:spacing w:val="-3"/>
                <w:sz w:val="24"/>
                <w:szCs w:val="24"/>
                <w:lang w:eastAsia="lv-LV"/>
              </w:rPr>
            </w:pPr>
            <w:r w:rsidRPr="00FA75B1">
              <w:rPr>
                <w:rFonts w:ascii="Times New Roman" w:hAnsi="Times New Roman"/>
                <w:spacing w:val="-3"/>
                <w:sz w:val="24"/>
                <w:szCs w:val="24"/>
                <w:lang w:eastAsia="lv-LV"/>
              </w:rPr>
              <w:t xml:space="preserve">Projekta vienība, kas pārņem vai ievieš katru šīs tabulas A ailē minēto ES tiesību akta vienību, vai tiesību </w:t>
            </w:r>
            <w:smartTag w:uri="schemas-tilde-lv/tildestengine" w:element="veidnes">
              <w:smartTagPr>
                <w:attr w:name="text" w:val="akts"/>
                <w:attr w:name="baseform" w:val="akts"/>
                <w:attr w:name="id" w:val="-1"/>
              </w:smartTagPr>
              <w:r w:rsidRPr="00FA75B1">
                <w:rPr>
                  <w:rFonts w:ascii="Times New Roman" w:hAnsi="Times New Roman"/>
                  <w:spacing w:val="-3"/>
                  <w:sz w:val="24"/>
                  <w:szCs w:val="24"/>
                  <w:lang w:eastAsia="lv-LV"/>
                </w:rPr>
                <w:t>akts</w:t>
              </w:r>
            </w:smartTag>
            <w:r w:rsidRPr="00FA75B1">
              <w:rPr>
                <w:rFonts w:ascii="Times New Roman" w:hAnsi="Times New Roman"/>
                <w:spacing w:val="-3"/>
                <w:sz w:val="24"/>
                <w:szCs w:val="24"/>
                <w:lang w:eastAsia="lv-LV"/>
              </w:rPr>
              <w:t>, kur attiecīgā ES tiesību akta vienība pārņemta vai ieviesta</w:t>
            </w:r>
          </w:p>
        </w:tc>
        <w:tc>
          <w:tcPr>
            <w:tcW w:w="1030" w:type="pct"/>
            <w:tcBorders>
              <w:top w:val="outset" w:sz="6" w:space="0" w:color="auto"/>
              <w:left w:val="outset" w:sz="6" w:space="0" w:color="auto"/>
              <w:bottom w:val="outset" w:sz="6" w:space="0" w:color="auto"/>
              <w:right w:val="outset" w:sz="6" w:space="0" w:color="auto"/>
            </w:tcBorders>
          </w:tcPr>
          <w:p w:rsidR="00226C2D" w:rsidRPr="00FA75B1" w:rsidRDefault="00226C2D" w:rsidP="00C62D27">
            <w:pPr>
              <w:spacing w:after="0" w:line="240" w:lineRule="auto"/>
              <w:jc w:val="both"/>
              <w:rPr>
                <w:rFonts w:ascii="Times New Roman" w:hAnsi="Times New Roman"/>
                <w:spacing w:val="-3"/>
                <w:sz w:val="24"/>
                <w:szCs w:val="24"/>
                <w:lang w:eastAsia="lv-LV"/>
              </w:rPr>
            </w:pPr>
            <w:r w:rsidRPr="00FA75B1">
              <w:rPr>
                <w:rFonts w:ascii="Times New Roman" w:hAnsi="Times New Roman"/>
                <w:spacing w:val="-3"/>
                <w:sz w:val="24"/>
                <w:szCs w:val="24"/>
                <w:lang w:eastAsia="lv-LV"/>
              </w:rPr>
              <w:t>Informācija par to, vai šīs tabulas A ailē minētās ES tiesību akta vienības tiek pārņemtas vai ieviestas pilnībā vai daļēji.</w:t>
            </w:r>
          </w:p>
          <w:p w:rsidR="00226C2D" w:rsidRPr="00FA75B1" w:rsidRDefault="00226C2D" w:rsidP="00C62D27">
            <w:pPr>
              <w:spacing w:after="0" w:line="240" w:lineRule="auto"/>
              <w:ind w:left="57"/>
              <w:jc w:val="both"/>
              <w:rPr>
                <w:rFonts w:ascii="Times New Roman" w:hAnsi="Times New Roman"/>
                <w:spacing w:val="-3"/>
                <w:sz w:val="24"/>
                <w:szCs w:val="24"/>
                <w:lang w:eastAsia="lv-LV"/>
              </w:rPr>
            </w:pPr>
            <w:r w:rsidRPr="00FA75B1">
              <w:rPr>
                <w:rFonts w:ascii="Times New Roman" w:hAnsi="Times New Roman"/>
                <w:spacing w:val="-3"/>
                <w:sz w:val="24"/>
                <w:szCs w:val="24"/>
                <w:lang w:eastAsia="lv-LV"/>
              </w:rPr>
              <w:t>Ja attiecīgā ES tiesību akta vienība tiek pārņemta vai ieviesta daļēji, sniedz attiecīgu skaidrojumu, kā arī precīzi norāda, kad un kādā veidā ES tiesību akta vienība tiks pārņemta vai ieviesta pilnībā.</w:t>
            </w:r>
          </w:p>
          <w:p w:rsidR="00226C2D" w:rsidRPr="00FA75B1" w:rsidRDefault="00226C2D" w:rsidP="00C62D27">
            <w:pPr>
              <w:spacing w:after="0" w:line="240" w:lineRule="auto"/>
              <w:ind w:left="57"/>
              <w:jc w:val="both"/>
              <w:rPr>
                <w:rFonts w:ascii="Times New Roman" w:hAnsi="Times New Roman"/>
                <w:spacing w:val="-3"/>
                <w:sz w:val="24"/>
                <w:szCs w:val="24"/>
                <w:lang w:eastAsia="lv-LV"/>
              </w:rPr>
            </w:pPr>
            <w:r w:rsidRPr="00FA75B1">
              <w:rPr>
                <w:rFonts w:ascii="Times New Roman" w:hAnsi="Times New Roman"/>
                <w:spacing w:val="-3"/>
                <w:sz w:val="24"/>
                <w:szCs w:val="24"/>
                <w:lang w:eastAsia="lv-LV"/>
              </w:rPr>
              <w:t>Norāda institūciju, kas ir atbildīga par šo saistību izpildi pilnībā</w:t>
            </w:r>
          </w:p>
        </w:tc>
        <w:tc>
          <w:tcPr>
            <w:tcW w:w="1252" w:type="pct"/>
            <w:tcBorders>
              <w:top w:val="outset" w:sz="6" w:space="0" w:color="auto"/>
              <w:left w:val="outset" w:sz="6" w:space="0" w:color="auto"/>
              <w:bottom w:val="outset" w:sz="6" w:space="0" w:color="auto"/>
              <w:right w:val="outset" w:sz="6" w:space="0" w:color="auto"/>
            </w:tcBorders>
          </w:tcPr>
          <w:p w:rsidR="00226C2D" w:rsidRPr="00FA75B1" w:rsidRDefault="00226C2D" w:rsidP="00C62D27">
            <w:pPr>
              <w:spacing w:after="0" w:line="240" w:lineRule="auto"/>
              <w:jc w:val="both"/>
              <w:rPr>
                <w:rFonts w:ascii="Times New Roman" w:hAnsi="Times New Roman"/>
                <w:sz w:val="24"/>
                <w:szCs w:val="24"/>
                <w:lang w:eastAsia="lv-LV"/>
              </w:rPr>
            </w:pPr>
            <w:r w:rsidRPr="00FA75B1">
              <w:rPr>
                <w:rFonts w:ascii="Times New Roman" w:hAnsi="Times New Roman"/>
                <w:spacing w:val="-3"/>
                <w:sz w:val="24"/>
                <w:szCs w:val="24"/>
                <w:lang w:eastAsia="lv-LV"/>
              </w:rPr>
              <w:t xml:space="preserve">Informācija par to, vai šīs </w:t>
            </w:r>
            <w:r w:rsidRPr="00FA75B1">
              <w:rPr>
                <w:rFonts w:ascii="Times New Roman" w:hAnsi="Times New Roman"/>
                <w:sz w:val="24"/>
                <w:szCs w:val="24"/>
                <w:lang w:eastAsia="lv-LV"/>
              </w:rPr>
              <w:t>tabulas B ailē minētās projekta vienības paredz stingrākas prasības nekā šīs tabulas A ailē minētās ES tiesību akta vienības.</w:t>
            </w:r>
          </w:p>
          <w:p w:rsidR="00226C2D" w:rsidRPr="00FA75B1" w:rsidRDefault="00226C2D" w:rsidP="00C62D27">
            <w:pPr>
              <w:spacing w:after="0" w:line="240" w:lineRule="auto"/>
              <w:ind w:left="57"/>
              <w:jc w:val="both"/>
              <w:rPr>
                <w:rFonts w:ascii="Times New Roman" w:hAnsi="Times New Roman"/>
                <w:sz w:val="24"/>
                <w:szCs w:val="24"/>
                <w:lang w:eastAsia="lv-LV"/>
              </w:rPr>
            </w:pPr>
            <w:r w:rsidRPr="00FA75B1">
              <w:rPr>
                <w:rFonts w:ascii="Times New Roman" w:hAnsi="Times New Roman"/>
                <w:sz w:val="24"/>
                <w:szCs w:val="24"/>
                <w:lang w:eastAsia="lv-LV"/>
              </w:rPr>
              <w:t xml:space="preserve">Ja projekts satur stingrākas prasības nekā attiecīgais ES tiesību </w:t>
            </w:r>
            <w:smartTag w:uri="schemas-tilde-lv/tildestengine" w:element="veidnes">
              <w:smartTagPr>
                <w:attr w:name="text" w:val="akts"/>
                <w:attr w:name="baseform" w:val="akts"/>
                <w:attr w:name="id" w:val="-1"/>
              </w:smartTagPr>
              <w:r w:rsidRPr="00FA75B1">
                <w:rPr>
                  <w:rFonts w:ascii="Times New Roman" w:hAnsi="Times New Roman"/>
                  <w:sz w:val="24"/>
                  <w:szCs w:val="24"/>
                  <w:lang w:eastAsia="lv-LV"/>
                </w:rPr>
                <w:t>akts</w:t>
              </w:r>
            </w:smartTag>
            <w:r w:rsidRPr="00FA75B1">
              <w:rPr>
                <w:rFonts w:ascii="Times New Roman" w:hAnsi="Times New Roman"/>
                <w:sz w:val="24"/>
                <w:szCs w:val="24"/>
                <w:lang w:eastAsia="lv-LV"/>
              </w:rPr>
              <w:t>, norāda pamatojumu un samērīgumu.</w:t>
            </w:r>
          </w:p>
          <w:p w:rsidR="00226C2D" w:rsidRPr="00FA75B1" w:rsidRDefault="00226C2D" w:rsidP="00C62D27">
            <w:pPr>
              <w:spacing w:after="0" w:line="240" w:lineRule="auto"/>
              <w:ind w:left="57"/>
              <w:jc w:val="both"/>
              <w:rPr>
                <w:rFonts w:ascii="Times New Roman" w:hAnsi="Times New Roman"/>
                <w:spacing w:val="-3"/>
                <w:sz w:val="24"/>
                <w:szCs w:val="24"/>
                <w:lang w:eastAsia="lv-LV"/>
              </w:rPr>
            </w:pPr>
            <w:r w:rsidRPr="00FA75B1">
              <w:rPr>
                <w:rFonts w:ascii="Times New Roman" w:hAnsi="Times New Roman"/>
                <w:sz w:val="24"/>
                <w:szCs w:val="24"/>
                <w:lang w:eastAsia="lv-LV"/>
              </w:rPr>
              <w:t>Norāda iespējamās alternatīvas (t.sk. alternatīvas, kas neparedz tiesiskā regulējuma izstrādi) – kādos gadījumos būtu iespējams izvairīties no stingrāku prasību</w:t>
            </w:r>
            <w:r w:rsidRPr="00FA75B1">
              <w:rPr>
                <w:rFonts w:ascii="Times New Roman" w:hAnsi="Times New Roman"/>
                <w:spacing w:val="-3"/>
                <w:sz w:val="24"/>
                <w:szCs w:val="24"/>
                <w:lang w:eastAsia="lv-LV"/>
              </w:rPr>
              <w:t xml:space="preserve"> noteikšanas, nekā paredzēts attiecīgajos ES tiesību aktos</w:t>
            </w:r>
          </w:p>
        </w:tc>
      </w:tr>
      <w:tr w:rsidR="00960768"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418"/>
        </w:trPr>
        <w:tc>
          <w:tcPr>
            <w:tcW w:w="1174" w:type="pct"/>
            <w:gridSpan w:val="2"/>
            <w:tcBorders>
              <w:top w:val="outset" w:sz="6" w:space="0" w:color="auto"/>
              <w:left w:val="outset" w:sz="6" w:space="0" w:color="auto"/>
              <w:bottom w:val="outset" w:sz="6" w:space="0" w:color="auto"/>
              <w:right w:val="outset" w:sz="6" w:space="0" w:color="auto"/>
            </w:tcBorders>
          </w:tcPr>
          <w:p w:rsidR="00960768" w:rsidRPr="00F863E3" w:rsidRDefault="00565C1D" w:rsidP="00C62D27">
            <w:pPr>
              <w:spacing w:after="0" w:line="240" w:lineRule="auto"/>
              <w:jc w:val="both"/>
              <w:rPr>
                <w:rFonts w:ascii="Times New Roman" w:hAnsi="Times New Roman"/>
                <w:b/>
                <w:spacing w:val="-3"/>
                <w:sz w:val="24"/>
                <w:szCs w:val="24"/>
                <w:lang w:eastAsia="lv-LV"/>
              </w:rPr>
            </w:pPr>
            <w:proofErr w:type="gramStart"/>
            <w:r w:rsidRPr="00F863E3">
              <w:rPr>
                <w:rFonts w:ascii="Times New Roman" w:hAnsi="Times New Roman"/>
                <w:b/>
                <w:spacing w:val="-3"/>
                <w:sz w:val="24"/>
                <w:szCs w:val="24"/>
                <w:lang w:eastAsia="lv-LV"/>
              </w:rPr>
              <w:t>1.pants</w:t>
            </w:r>
            <w:proofErr w:type="gramEnd"/>
          </w:p>
        </w:tc>
        <w:tc>
          <w:tcPr>
            <w:tcW w:w="1544" w:type="pct"/>
            <w:gridSpan w:val="2"/>
            <w:tcBorders>
              <w:top w:val="outset" w:sz="6" w:space="0" w:color="auto"/>
              <w:left w:val="outset" w:sz="6" w:space="0" w:color="auto"/>
              <w:bottom w:val="outset" w:sz="6" w:space="0" w:color="auto"/>
              <w:right w:val="outset" w:sz="6" w:space="0" w:color="auto"/>
            </w:tcBorders>
          </w:tcPr>
          <w:p w:rsidR="00960768" w:rsidRPr="00FA75B1" w:rsidRDefault="00960768" w:rsidP="00C62D27">
            <w:pPr>
              <w:spacing w:after="0" w:line="240" w:lineRule="auto"/>
              <w:jc w:val="both"/>
              <w:rPr>
                <w:rFonts w:ascii="Times New Roman" w:hAnsi="Times New Roman"/>
                <w:spacing w:val="-3"/>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tcPr>
          <w:p w:rsidR="00960768" w:rsidRPr="00FA75B1" w:rsidRDefault="00960768" w:rsidP="00C62D27">
            <w:pPr>
              <w:spacing w:after="0" w:line="240" w:lineRule="auto"/>
              <w:jc w:val="both"/>
              <w:rPr>
                <w:rFonts w:ascii="Times New Roman" w:hAnsi="Times New Roman"/>
                <w:spacing w:val="-3"/>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tcPr>
          <w:p w:rsidR="00960768" w:rsidRPr="00FA75B1" w:rsidRDefault="00960768" w:rsidP="00C62D27">
            <w:pPr>
              <w:spacing w:after="0" w:line="240" w:lineRule="auto"/>
              <w:jc w:val="both"/>
              <w:rPr>
                <w:rFonts w:ascii="Times New Roman" w:hAnsi="Times New Roman"/>
                <w:spacing w:val="-3"/>
                <w:sz w:val="24"/>
                <w:szCs w:val="24"/>
                <w:lang w:eastAsia="lv-LV"/>
              </w:rPr>
            </w:pPr>
          </w:p>
        </w:tc>
      </w:tr>
      <w:tr w:rsidR="00226C2D"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226C2D" w:rsidRPr="00FA75B1" w:rsidRDefault="00F863E3" w:rsidP="00C62D27">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BB5632" w:rsidRDefault="00BB5632" w:rsidP="00C62D27">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226C2D" w:rsidRPr="00F863E3" w:rsidRDefault="00F863E3" w:rsidP="00C62D27">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226C2D" w:rsidRPr="00FA75B1" w:rsidRDefault="00F863E3" w:rsidP="00226C2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226C2D" w:rsidRPr="00FA75B1" w:rsidRDefault="00F863E3" w:rsidP="00226C2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960768"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F863E3" w:rsidRPr="00FA75B1" w:rsidRDefault="00F863E3" w:rsidP="00C62D27">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960768" w:rsidRDefault="00F863E3" w:rsidP="00C62D27">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66.panta</w:t>
            </w:r>
            <w:proofErr w:type="gramEnd"/>
            <w:r>
              <w:rPr>
                <w:rFonts w:ascii="Times New Roman" w:hAnsi="Times New Roman"/>
                <w:sz w:val="24"/>
                <w:szCs w:val="24"/>
                <w:lang w:eastAsia="lv-LV"/>
              </w:rPr>
              <w:t xml:space="preserve"> pirmās daļas 4.punkts;</w:t>
            </w:r>
          </w:p>
          <w:p w:rsidR="00F863E3" w:rsidRDefault="00F863E3" w:rsidP="00C62D27">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66.panta</w:t>
            </w:r>
            <w:proofErr w:type="gramEnd"/>
            <w:r>
              <w:rPr>
                <w:rFonts w:ascii="Times New Roman" w:hAnsi="Times New Roman"/>
                <w:sz w:val="24"/>
                <w:szCs w:val="24"/>
                <w:lang w:eastAsia="lv-LV"/>
              </w:rPr>
              <w:t xml:space="preserve"> pirmās daļas 5.punkts;</w:t>
            </w:r>
          </w:p>
          <w:p w:rsidR="00F863E3" w:rsidRPr="00FA75B1" w:rsidRDefault="00F863E3" w:rsidP="00C62D27">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70.panta</w:t>
            </w:r>
            <w:proofErr w:type="gramEnd"/>
            <w:r>
              <w:rPr>
                <w:rFonts w:ascii="Times New Roman" w:hAnsi="Times New Roman"/>
                <w:sz w:val="24"/>
                <w:szCs w:val="24"/>
                <w:lang w:eastAsia="lv-LV"/>
              </w:rPr>
              <w:t xml:space="preserve"> pirmās daļas ievaddaļa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960768" w:rsidRPr="00FA75B1" w:rsidRDefault="00F863E3" w:rsidP="00226C2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960768" w:rsidRPr="00FA75B1" w:rsidRDefault="00F863E3" w:rsidP="00226C2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960768"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960768" w:rsidRPr="00FA75B1" w:rsidRDefault="00F863E3" w:rsidP="00C62D27">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4.punkts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960768" w:rsidRDefault="00F863E3" w:rsidP="00C62D27">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1.pants</w:t>
            </w:r>
            <w:proofErr w:type="gramEnd"/>
            <w:r>
              <w:rPr>
                <w:rFonts w:ascii="Times New Roman" w:hAnsi="Times New Roman"/>
                <w:sz w:val="24"/>
                <w:szCs w:val="24"/>
                <w:lang w:eastAsia="lv-LV"/>
              </w:rPr>
              <w:t>;</w:t>
            </w:r>
          </w:p>
          <w:p w:rsidR="00F863E3" w:rsidRPr="00FA75B1" w:rsidRDefault="00F863E3" w:rsidP="00C62D27">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2.pants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960768" w:rsidRPr="00FA75B1" w:rsidRDefault="00F863E3" w:rsidP="00226C2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960768" w:rsidRPr="00FA75B1" w:rsidRDefault="00F863E3" w:rsidP="00226C2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960768"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960768" w:rsidRPr="00F863E3" w:rsidRDefault="00F863E3" w:rsidP="00C62D27">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lastRenderedPageBreak/>
              <w:t>2.pants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BB5632" w:rsidRDefault="00BB5632"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960768" w:rsidRDefault="00F863E3" w:rsidP="00F863E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2</w:t>
            </w:r>
            <w:r>
              <w:rPr>
                <w:rFonts w:ascii="Times New Roman" w:hAnsi="Times New Roman"/>
                <w:sz w:val="24"/>
                <w:szCs w:val="24"/>
                <w:lang w:eastAsia="lv-LV"/>
              </w:rPr>
              <w:t>pants</w:t>
            </w:r>
            <w:proofErr w:type="gramEnd"/>
          </w:p>
          <w:p w:rsidR="00BB5632" w:rsidRDefault="00BB5632"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6.pants</w:t>
            </w:r>
            <w:proofErr w:type="gramEnd"/>
            <w:r>
              <w:rPr>
                <w:rFonts w:ascii="Times New Roman" w:hAnsi="Times New Roman"/>
                <w:sz w:val="24"/>
                <w:szCs w:val="24"/>
                <w:lang w:eastAsia="lv-LV"/>
              </w:rPr>
              <w:t>:</w:t>
            </w:r>
          </w:p>
          <w:p w:rsidR="00F863E3" w:rsidRDefault="00F863E3" w:rsidP="00F863E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1</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piektā daļa;</w:t>
            </w:r>
          </w:p>
          <w:p w:rsidR="00F863E3" w:rsidRDefault="00F863E3" w:rsidP="00F863E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2</w:t>
            </w:r>
            <w:r>
              <w:rPr>
                <w:rFonts w:ascii="Times New Roman" w:hAnsi="Times New Roman"/>
                <w:sz w:val="24"/>
                <w:szCs w:val="24"/>
                <w:lang w:eastAsia="lv-LV"/>
              </w:rPr>
              <w:t>pants</w:t>
            </w:r>
            <w:proofErr w:type="gramEnd"/>
            <w:r>
              <w:rPr>
                <w:rFonts w:ascii="Times New Roman" w:hAnsi="Times New Roman"/>
                <w:sz w:val="24"/>
                <w:szCs w:val="24"/>
                <w:lang w:eastAsia="lv-LV"/>
              </w:rPr>
              <w:t>;</w:t>
            </w:r>
          </w:p>
          <w:p w:rsidR="00F863E3" w:rsidRPr="00FA75B1" w:rsidRDefault="00F863E3" w:rsidP="00F863E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3</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960768" w:rsidRPr="00FA75B1" w:rsidRDefault="00F863E3" w:rsidP="00226C2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960768" w:rsidRPr="00FA75B1" w:rsidRDefault="00F863E3" w:rsidP="00226C2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D1051A"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D1051A" w:rsidRPr="00D1051A" w:rsidRDefault="00D1051A"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3.pants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BB5632" w:rsidRDefault="00BB5632"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D1051A" w:rsidRDefault="00295C2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w:t>
            </w:r>
            <w:r w:rsidR="00BB5632">
              <w:rPr>
                <w:rFonts w:ascii="Times New Roman" w:hAnsi="Times New Roman"/>
                <w:sz w:val="24"/>
                <w:szCs w:val="24"/>
                <w:lang w:eastAsia="lv-LV"/>
              </w:rPr>
              <w:t>pants</w:t>
            </w:r>
            <w:proofErr w:type="gramEnd"/>
          </w:p>
          <w:p w:rsidR="00BB5632" w:rsidRDefault="00BB5632"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6.pants</w:t>
            </w:r>
            <w:proofErr w:type="gramEnd"/>
            <w:r>
              <w:rPr>
                <w:rFonts w:ascii="Times New Roman" w:hAnsi="Times New Roman"/>
                <w:sz w:val="24"/>
                <w:szCs w:val="24"/>
                <w:lang w:eastAsia="lv-LV"/>
              </w:rPr>
              <w:t>:</w:t>
            </w:r>
          </w:p>
          <w:p w:rsidR="00295C2F" w:rsidRDefault="00295C2F" w:rsidP="00295C2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1</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p w:rsidR="00295C2F" w:rsidRDefault="00295C2F" w:rsidP="00295C2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p w:rsidR="00295C2F" w:rsidRDefault="00295C2F" w:rsidP="00295C2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3</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p w:rsidR="00295C2F" w:rsidRDefault="00295C2F" w:rsidP="00295C2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10., 11., 82. un 83.nodaļa</w:t>
            </w:r>
          </w:p>
          <w:p w:rsidR="00295C2F" w:rsidRPr="00295C2F" w:rsidRDefault="00295C2F"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D1051A" w:rsidRDefault="00295C2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D1051A" w:rsidRDefault="00295C2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D1051A"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D1051A" w:rsidRDefault="00295C2F"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4.pants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D1051A" w:rsidRPr="0025224D" w:rsidRDefault="0025224D"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83.</w:t>
            </w:r>
            <w:r>
              <w:rPr>
                <w:rFonts w:ascii="Times New Roman" w:hAnsi="Times New Roman"/>
                <w:sz w:val="24"/>
                <w:szCs w:val="24"/>
                <w:vertAlign w:val="superscript"/>
                <w:lang w:eastAsia="lv-LV"/>
              </w:rPr>
              <w:t>1</w:t>
            </w:r>
            <w:r>
              <w:rPr>
                <w:rFonts w:ascii="Times New Roman" w:hAnsi="Times New Roman"/>
                <w:sz w:val="24"/>
                <w:szCs w:val="24"/>
                <w:lang w:eastAsia="lv-LV"/>
              </w:rPr>
              <w:t xml:space="preserve">nodaļa </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D1051A" w:rsidRDefault="0025224D"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D1051A" w:rsidRDefault="0025224D"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D1051A"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D1051A" w:rsidRDefault="001D78DD"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5.pants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D1051A" w:rsidRDefault="00D1051A"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D1051A" w:rsidRDefault="00D1051A"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D1051A" w:rsidRDefault="00D1051A" w:rsidP="00746400">
            <w:pPr>
              <w:spacing w:after="0" w:line="240" w:lineRule="auto"/>
              <w:jc w:val="both"/>
              <w:rPr>
                <w:rFonts w:ascii="Times New Roman" w:hAnsi="Times New Roman"/>
                <w:sz w:val="24"/>
                <w:szCs w:val="24"/>
                <w:lang w:eastAsia="lv-LV"/>
              </w:rPr>
            </w:pPr>
          </w:p>
        </w:tc>
      </w:tr>
      <w:tr w:rsidR="00D1051A"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D1051A" w:rsidRPr="001D78DD" w:rsidRDefault="001D78DD"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D1051A" w:rsidRDefault="001D78DD"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MK noteikumi Nr.176</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D1051A" w:rsidRDefault="001D78DD"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D1051A" w:rsidRDefault="001D78DD"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D1051A"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D1051A" w:rsidRPr="001D78DD" w:rsidRDefault="001D78DD"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D1051A" w:rsidRDefault="007E46A1"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679.pants</w:t>
            </w:r>
            <w:proofErr w:type="gramEnd"/>
            <w:r>
              <w:rPr>
                <w:rFonts w:ascii="Times New Roman" w:hAnsi="Times New Roman"/>
                <w:sz w:val="24"/>
                <w:szCs w:val="24"/>
                <w:lang w:eastAsia="lv-LV"/>
              </w:rPr>
              <w:t>;</w:t>
            </w:r>
          </w:p>
          <w:p w:rsidR="00BB5632" w:rsidRDefault="00BB5632"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6.pants</w:t>
            </w:r>
            <w:proofErr w:type="gramEnd"/>
            <w:r>
              <w:rPr>
                <w:rFonts w:ascii="Times New Roman" w:hAnsi="Times New Roman"/>
                <w:sz w:val="24"/>
                <w:szCs w:val="24"/>
                <w:lang w:eastAsia="lv-LV"/>
              </w:rPr>
              <w:t>:</w:t>
            </w:r>
          </w:p>
          <w:p w:rsidR="007E46A1" w:rsidRDefault="007E46A1"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1</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ceturtā daļa;</w:t>
            </w:r>
          </w:p>
          <w:p w:rsidR="007E46A1" w:rsidRDefault="007E46A1" w:rsidP="007E46A1">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 </w:t>
            </w:r>
          </w:p>
          <w:p w:rsidR="007E46A1" w:rsidRPr="007E46A1" w:rsidRDefault="007E46A1" w:rsidP="007E46A1">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3</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ceturtā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D1051A" w:rsidRDefault="001D78DD"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D1051A" w:rsidRDefault="001D78DD"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D1051A"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D1051A" w:rsidRPr="001D78DD" w:rsidRDefault="001D78DD"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4A0D2B" w:rsidRDefault="004A0D2B" w:rsidP="004A0D2B">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679.pants</w:t>
            </w:r>
            <w:proofErr w:type="gramEnd"/>
            <w:r>
              <w:rPr>
                <w:rFonts w:ascii="Times New Roman" w:hAnsi="Times New Roman"/>
                <w:sz w:val="24"/>
                <w:szCs w:val="24"/>
                <w:lang w:eastAsia="lv-LV"/>
              </w:rPr>
              <w:t>;</w:t>
            </w:r>
          </w:p>
          <w:p w:rsidR="00BB5632" w:rsidRDefault="00BB5632"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6.pants</w:t>
            </w:r>
            <w:proofErr w:type="gramEnd"/>
            <w:r>
              <w:rPr>
                <w:rFonts w:ascii="Times New Roman" w:hAnsi="Times New Roman"/>
                <w:sz w:val="24"/>
                <w:szCs w:val="24"/>
                <w:lang w:eastAsia="lv-LV"/>
              </w:rPr>
              <w:t>:</w:t>
            </w:r>
          </w:p>
          <w:p w:rsidR="004A0D2B" w:rsidRDefault="004A0D2B" w:rsidP="004A0D2B">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1</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ceturtā daļa;</w:t>
            </w:r>
          </w:p>
          <w:p w:rsidR="004A0D2B" w:rsidRDefault="004A0D2B" w:rsidP="004A0D2B">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 </w:t>
            </w:r>
          </w:p>
          <w:p w:rsidR="00D1051A" w:rsidRDefault="004A0D2B" w:rsidP="004A0D2B">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3</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ceturtā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D1051A" w:rsidRDefault="001D78DD"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D1051A" w:rsidRDefault="001D78DD"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D1051A"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D1051A" w:rsidRDefault="004A0D2B"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6.pants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D1051A" w:rsidRDefault="00D1051A"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D1051A" w:rsidRDefault="00D1051A"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D1051A" w:rsidRDefault="00D1051A" w:rsidP="00746400">
            <w:pPr>
              <w:spacing w:after="0" w:line="240" w:lineRule="auto"/>
              <w:jc w:val="both"/>
              <w:rPr>
                <w:rFonts w:ascii="Times New Roman" w:hAnsi="Times New Roman"/>
                <w:sz w:val="24"/>
                <w:szCs w:val="24"/>
                <w:lang w:eastAsia="lv-LV"/>
              </w:rPr>
            </w:pPr>
          </w:p>
        </w:tc>
      </w:tr>
      <w:tr w:rsidR="00D1051A"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D1051A" w:rsidRPr="004A0D2B" w:rsidRDefault="004A0D2B"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D1051A" w:rsidRDefault="00D1051A"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D1051A" w:rsidRDefault="00D1051A"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D1051A" w:rsidRDefault="00D1051A" w:rsidP="00746400">
            <w:pPr>
              <w:spacing w:after="0" w:line="240" w:lineRule="auto"/>
              <w:jc w:val="both"/>
              <w:rPr>
                <w:rFonts w:ascii="Times New Roman" w:hAnsi="Times New Roman"/>
                <w:sz w:val="24"/>
                <w:szCs w:val="24"/>
                <w:lang w:eastAsia="lv-LV"/>
              </w:rPr>
            </w:pPr>
          </w:p>
        </w:tc>
      </w:tr>
      <w:tr w:rsidR="00312611"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Pr="004A0D2B" w:rsidRDefault="00312611" w:rsidP="004A0D2B">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a) </w:t>
            </w:r>
            <w:r w:rsidRPr="004A0D2B">
              <w:rPr>
                <w:rFonts w:ascii="Times New Roman" w:hAnsi="Times New Roman"/>
                <w:sz w:val="24"/>
                <w:szCs w:val="24"/>
                <w:lang w:eastAsia="lv-LV"/>
              </w:rPr>
              <w:t>apakšpunkts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BB5632" w:rsidRDefault="00BB5632"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6.pants</w:t>
            </w:r>
            <w:proofErr w:type="gramEnd"/>
            <w:r>
              <w:rPr>
                <w:rFonts w:ascii="Times New Roman" w:hAnsi="Times New Roman"/>
                <w:sz w:val="24"/>
                <w:szCs w:val="24"/>
                <w:lang w:eastAsia="lv-LV"/>
              </w:rPr>
              <w:t>:</w:t>
            </w:r>
          </w:p>
          <w:p w:rsidR="00312611" w:rsidRDefault="00312611" w:rsidP="0020247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1</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p w:rsidR="00312611" w:rsidRDefault="00312611" w:rsidP="0020247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1</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trešā daļa;</w:t>
            </w:r>
          </w:p>
          <w:p w:rsidR="00312611" w:rsidRDefault="00312611" w:rsidP="0020247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 </w:t>
            </w:r>
          </w:p>
          <w:p w:rsidR="00312611" w:rsidRDefault="00312611" w:rsidP="0020247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3</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312611" w:rsidRDefault="00404B7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312611" w:rsidRDefault="00312611"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312611"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Pr="004A0D2B" w:rsidRDefault="00312611" w:rsidP="004A0D2B">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b) </w:t>
            </w:r>
            <w:r w:rsidRPr="004A0D2B">
              <w:rPr>
                <w:rFonts w:ascii="Times New Roman" w:hAnsi="Times New Roman"/>
                <w:sz w:val="24"/>
                <w:szCs w:val="24"/>
                <w:lang w:eastAsia="lv-LV"/>
              </w:rPr>
              <w:t>apakšpunkts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BB5632" w:rsidRDefault="00BB5632"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6.pants</w:t>
            </w:r>
            <w:proofErr w:type="gramEnd"/>
            <w:r>
              <w:rPr>
                <w:rFonts w:ascii="Times New Roman" w:hAnsi="Times New Roman"/>
                <w:sz w:val="24"/>
                <w:szCs w:val="24"/>
                <w:lang w:eastAsia="lv-LV"/>
              </w:rPr>
              <w:t>:</w:t>
            </w:r>
          </w:p>
          <w:p w:rsidR="00404B7E" w:rsidRDefault="00404B7E" w:rsidP="00404B7E">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1</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p w:rsidR="00404B7E" w:rsidRDefault="00404B7E" w:rsidP="00404B7E">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1</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trešā daļa;</w:t>
            </w:r>
          </w:p>
          <w:p w:rsidR="00404B7E" w:rsidRDefault="00404B7E" w:rsidP="00404B7E">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 </w:t>
            </w:r>
          </w:p>
          <w:p w:rsidR="00312611" w:rsidRDefault="00404B7E" w:rsidP="00404B7E">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3</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312611" w:rsidRDefault="00404B7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312611" w:rsidRDefault="00404B7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312611"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Pr="004A0D2B" w:rsidRDefault="00312611"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BB5632" w:rsidRDefault="00BB5632"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312611" w:rsidRDefault="00CE53D6"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p w:rsidR="00CE53D6" w:rsidRPr="00CE53D6" w:rsidRDefault="00CE53D6" w:rsidP="00CE53D6">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trešā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312611" w:rsidRDefault="005D2563"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312611" w:rsidRDefault="005D2563"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312611"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Default="005D2563"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7.pants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Default="00312611"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312611" w:rsidRDefault="00312611"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312611" w:rsidRDefault="00312611" w:rsidP="00746400">
            <w:pPr>
              <w:spacing w:after="0" w:line="240" w:lineRule="auto"/>
              <w:jc w:val="both"/>
              <w:rPr>
                <w:rFonts w:ascii="Times New Roman" w:hAnsi="Times New Roman"/>
                <w:sz w:val="24"/>
                <w:szCs w:val="24"/>
                <w:lang w:eastAsia="lv-LV"/>
              </w:rPr>
            </w:pPr>
          </w:p>
        </w:tc>
      </w:tr>
      <w:tr w:rsidR="00312611" w:rsidRPr="005D2563"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5D2563" w:rsidP="00746400">
            <w:pPr>
              <w:spacing w:after="0" w:line="240" w:lineRule="auto"/>
              <w:jc w:val="both"/>
              <w:rPr>
                <w:rFonts w:ascii="Times New Roman" w:hAnsi="Times New Roman"/>
                <w:sz w:val="24"/>
                <w:szCs w:val="24"/>
                <w:lang w:eastAsia="lv-LV"/>
              </w:rPr>
            </w:pPr>
            <w:r w:rsidRPr="005D2563">
              <w:rPr>
                <w:rFonts w:ascii="Times New Roman" w:hAnsi="Times New Roman"/>
                <w:sz w:val="24"/>
                <w:szCs w:val="24"/>
                <w:lang w:eastAsia="lv-LV"/>
              </w:rPr>
              <w:lastRenderedPageBreak/>
              <w:t>1.punkts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BB5632" w:rsidRDefault="00BB5632"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6.pants</w:t>
            </w:r>
            <w:proofErr w:type="gramEnd"/>
            <w:r>
              <w:rPr>
                <w:rFonts w:ascii="Times New Roman" w:hAnsi="Times New Roman"/>
                <w:sz w:val="24"/>
                <w:szCs w:val="24"/>
                <w:lang w:eastAsia="lv-LV"/>
              </w:rPr>
              <w:t>:</w:t>
            </w:r>
          </w:p>
          <w:p w:rsidR="00F74B2F" w:rsidRDefault="00F74B2F" w:rsidP="00F74B2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1</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sestā daļa;</w:t>
            </w:r>
          </w:p>
          <w:p w:rsidR="00F74B2F" w:rsidRDefault="00F74B2F" w:rsidP="00F74B2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 </w:t>
            </w:r>
          </w:p>
          <w:p w:rsidR="00312611" w:rsidRDefault="00F74B2F" w:rsidP="00F74B2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3</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w:t>
            </w:r>
          </w:p>
          <w:p w:rsidR="00F74B2F" w:rsidRPr="005D2563" w:rsidRDefault="00F74B2F" w:rsidP="00F74B2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3</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trešā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F74B2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F74B2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312611" w:rsidRPr="005D2563"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5D2563" w:rsidP="00746400">
            <w:pPr>
              <w:spacing w:after="0" w:line="240" w:lineRule="auto"/>
              <w:jc w:val="both"/>
              <w:rPr>
                <w:rFonts w:ascii="Times New Roman" w:hAnsi="Times New Roman"/>
                <w:sz w:val="24"/>
                <w:szCs w:val="24"/>
                <w:lang w:eastAsia="lv-LV"/>
              </w:rPr>
            </w:pPr>
            <w:r w:rsidRPr="005D2563">
              <w:rPr>
                <w:rFonts w:ascii="Times New Roman" w:hAnsi="Times New Roman"/>
                <w:sz w:val="24"/>
                <w:szCs w:val="24"/>
                <w:lang w:eastAsia="lv-LV"/>
              </w:rPr>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BB5632" w:rsidRDefault="00BB5632"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E17BDF" w:rsidRPr="00E17BDF" w:rsidRDefault="00E17BD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trešā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F74B2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F74B2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312611" w:rsidRPr="005D2563"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5D2563" w:rsidP="00746400">
            <w:pPr>
              <w:spacing w:after="0" w:line="240" w:lineRule="auto"/>
              <w:jc w:val="both"/>
              <w:rPr>
                <w:rFonts w:ascii="Times New Roman" w:hAnsi="Times New Roman"/>
                <w:sz w:val="24"/>
                <w:szCs w:val="24"/>
                <w:lang w:eastAsia="lv-LV"/>
              </w:rPr>
            </w:pPr>
            <w:r w:rsidRPr="005D2563">
              <w:rPr>
                <w:rFonts w:ascii="Times New Roman" w:hAnsi="Times New Roman"/>
                <w:sz w:val="24"/>
                <w:szCs w:val="24"/>
                <w:lang w:eastAsia="lv-LV"/>
              </w:rPr>
              <w:t>3.punkts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E17BD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Nav attiecināms </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E17BD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Nav attiecināms</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E17BD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Nav attiecināms</w:t>
            </w:r>
          </w:p>
        </w:tc>
      </w:tr>
      <w:tr w:rsidR="00312611" w:rsidRPr="005D2563"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5D2563" w:rsidP="00746400">
            <w:pPr>
              <w:spacing w:after="0" w:line="240" w:lineRule="auto"/>
              <w:jc w:val="both"/>
              <w:rPr>
                <w:rFonts w:ascii="Times New Roman" w:hAnsi="Times New Roman"/>
                <w:sz w:val="24"/>
                <w:szCs w:val="24"/>
                <w:lang w:eastAsia="lv-LV"/>
              </w:rPr>
            </w:pPr>
            <w:r w:rsidRPr="005D2563">
              <w:rPr>
                <w:rFonts w:ascii="Times New Roman" w:hAnsi="Times New Roman"/>
                <w:sz w:val="24"/>
                <w:szCs w:val="24"/>
                <w:lang w:eastAsia="lv-LV"/>
              </w:rPr>
              <w:t>4.punkts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E17BD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Nav attiecināms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E17BD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Nav attiecināms</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E17BD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Nav attiecināms</w:t>
            </w:r>
          </w:p>
        </w:tc>
      </w:tr>
      <w:tr w:rsidR="00312611" w:rsidRPr="005D2563"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5D2563" w:rsidP="00746400">
            <w:pPr>
              <w:spacing w:after="0" w:line="240" w:lineRule="auto"/>
              <w:jc w:val="both"/>
              <w:rPr>
                <w:rFonts w:ascii="Times New Roman" w:hAnsi="Times New Roman"/>
                <w:sz w:val="24"/>
                <w:szCs w:val="24"/>
                <w:lang w:eastAsia="lv-LV"/>
              </w:rPr>
            </w:pPr>
            <w:r w:rsidRPr="005D2563">
              <w:rPr>
                <w:rFonts w:ascii="Times New Roman" w:hAnsi="Times New Roman"/>
                <w:sz w:val="24"/>
                <w:szCs w:val="24"/>
                <w:lang w:eastAsia="lv-LV"/>
              </w:rPr>
              <w:t>5.punkts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E17BD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Nav attiecināms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E17BD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Nav attiecināms</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E17BD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Nav attiecināms</w:t>
            </w:r>
          </w:p>
        </w:tc>
      </w:tr>
      <w:tr w:rsidR="00312611" w:rsidRPr="005D2563"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5D2563" w:rsidP="00746400">
            <w:pPr>
              <w:spacing w:after="0" w:line="240" w:lineRule="auto"/>
              <w:jc w:val="both"/>
              <w:rPr>
                <w:rFonts w:ascii="Times New Roman" w:hAnsi="Times New Roman"/>
                <w:sz w:val="24"/>
                <w:szCs w:val="24"/>
                <w:lang w:eastAsia="lv-LV"/>
              </w:rPr>
            </w:pPr>
            <w:r w:rsidRPr="005D2563">
              <w:rPr>
                <w:rFonts w:ascii="Times New Roman" w:hAnsi="Times New Roman"/>
                <w:sz w:val="24"/>
                <w:szCs w:val="24"/>
                <w:lang w:eastAsia="lv-LV"/>
              </w:rPr>
              <w:t>6.punkts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E17BD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Nav attiecināms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E17BD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Nav attiecināms</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E17BD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Nav attiecināms</w:t>
            </w:r>
          </w:p>
        </w:tc>
      </w:tr>
      <w:tr w:rsidR="00312611" w:rsidRPr="005D2563"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5D2563" w:rsidP="00746400">
            <w:pPr>
              <w:spacing w:after="0" w:line="240" w:lineRule="auto"/>
              <w:jc w:val="both"/>
              <w:rPr>
                <w:rFonts w:ascii="Times New Roman" w:hAnsi="Times New Roman"/>
                <w:sz w:val="24"/>
                <w:szCs w:val="24"/>
                <w:lang w:eastAsia="lv-LV"/>
              </w:rPr>
            </w:pPr>
            <w:r w:rsidRPr="005D2563">
              <w:rPr>
                <w:rFonts w:ascii="Times New Roman" w:hAnsi="Times New Roman"/>
                <w:sz w:val="24"/>
                <w:szCs w:val="24"/>
                <w:lang w:eastAsia="lv-LV"/>
              </w:rPr>
              <w:t>7.punkts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BB5632" w:rsidRDefault="00BB5632"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312611" w:rsidRPr="005D2563" w:rsidRDefault="00E17BD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trešā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F74B2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312611" w:rsidRPr="005D2563" w:rsidRDefault="00F74B2F"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312611"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Default="00E17BDF"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8.pants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312611" w:rsidRDefault="00317B0D"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312611" w:rsidRDefault="00317B0D"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312611" w:rsidRDefault="00317B0D"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r>
      <w:tr w:rsidR="00CF4A0E"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9.pants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Pr="005D2563"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Pr="005D2563"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10.pants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6B1053"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6B1053" w:rsidRDefault="00CF4A0E" w:rsidP="00746400">
            <w:pPr>
              <w:spacing w:after="0" w:line="240" w:lineRule="auto"/>
              <w:jc w:val="both"/>
              <w:rPr>
                <w:rFonts w:ascii="Times New Roman" w:hAnsi="Times New Roman"/>
                <w:sz w:val="24"/>
                <w:szCs w:val="24"/>
                <w:lang w:eastAsia="lv-LV"/>
              </w:rPr>
            </w:pPr>
            <w:r w:rsidRPr="006B1053">
              <w:rPr>
                <w:rFonts w:ascii="Times New Roman" w:hAnsi="Times New Roman"/>
                <w:sz w:val="24"/>
                <w:szCs w:val="24"/>
                <w:lang w:eastAsia="lv-LV"/>
              </w:rPr>
              <w:t>1.punkts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Pr="006B1053"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10</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Pr="006B1053"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Pr="006B1053"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6B1053"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6B1053" w:rsidRDefault="00CF4A0E" w:rsidP="00746400">
            <w:pPr>
              <w:spacing w:after="0" w:line="240" w:lineRule="auto"/>
              <w:jc w:val="both"/>
              <w:rPr>
                <w:rFonts w:ascii="Times New Roman" w:hAnsi="Times New Roman"/>
                <w:sz w:val="24"/>
                <w:szCs w:val="24"/>
                <w:lang w:eastAsia="lv-LV"/>
              </w:rPr>
            </w:pPr>
            <w:r w:rsidRPr="006B1053">
              <w:rPr>
                <w:rFonts w:ascii="Times New Roman" w:hAnsi="Times New Roman"/>
                <w:sz w:val="24"/>
                <w:szCs w:val="24"/>
                <w:lang w:eastAsia="lv-LV"/>
              </w:rPr>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Pr="006B1053" w:rsidRDefault="00CF4A0E" w:rsidP="006B105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10</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Pr="006B1053"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Pr="006B1053"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6B1053"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6B1053" w:rsidRDefault="00CF4A0E" w:rsidP="00746400">
            <w:pPr>
              <w:spacing w:after="0" w:line="240" w:lineRule="auto"/>
              <w:jc w:val="both"/>
              <w:rPr>
                <w:rFonts w:ascii="Times New Roman" w:hAnsi="Times New Roman"/>
                <w:sz w:val="24"/>
                <w:szCs w:val="24"/>
                <w:lang w:eastAsia="lv-LV"/>
              </w:rPr>
            </w:pPr>
            <w:r w:rsidRPr="006B1053">
              <w:rPr>
                <w:rFonts w:ascii="Times New Roman" w:hAnsi="Times New Roman"/>
                <w:sz w:val="24"/>
                <w:szCs w:val="24"/>
                <w:lang w:eastAsia="lv-LV"/>
              </w:rPr>
              <w:t>3.punkts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Pr="006B1053"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10</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Pr="006B1053"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Pr="006B1053"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6B1053"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6B1053" w:rsidRDefault="00CF4A0E" w:rsidP="00746400">
            <w:pPr>
              <w:spacing w:after="0" w:line="240" w:lineRule="auto"/>
              <w:jc w:val="both"/>
              <w:rPr>
                <w:rFonts w:ascii="Times New Roman" w:hAnsi="Times New Roman"/>
                <w:sz w:val="24"/>
                <w:szCs w:val="24"/>
                <w:lang w:eastAsia="lv-LV"/>
              </w:rPr>
            </w:pPr>
            <w:r w:rsidRPr="006B1053">
              <w:rPr>
                <w:rFonts w:ascii="Times New Roman" w:hAnsi="Times New Roman"/>
                <w:sz w:val="24"/>
                <w:szCs w:val="24"/>
                <w:lang w:eastAsia="lv-LV"/>
              </w:rPr>
              <w:t>4.punkts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Pr="006B1053" w:rsidRDefault="00CF4A0E" w:rsidP="006B105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10</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trešā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Pr="006B1053"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Pr="006B1053"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6B1053"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6B1053" w:rsidRDefault="00CF4A0E" w:rsidP="00746400">
            <w:pPr>
              <w:spacing w:after="0" w:line="240" w:lineRule="auto"/>
              <w:jc w:val="both"/>
              <w:rPr>
                <w:rFonts w:ascii="Times New Roman" w:hAnsi="Times New Roman"/>
                <w:sz w:val="24"/>
                <w:szCs w:val="24"/>
                <w:lang w:eastAsia="lv-LV"/>
              </w:rPr>
            </w:pPr>
            <w:r w:rsidRPr="006B1053">
              <w:rPr>
                <w:rFonts w:ascii="Times New Roman" w:hAnsi="Times New Roman"/>
                <w:sz w:val="24"/>
                <w:szCs w:val="24"/>
                <w:lang w:eastAsia="lv-LV"/>
              </w:rPr>
              <w:t>5.punkts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Pr="006B1053"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10</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trešā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Pr="006B1053"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Pr="006B1053"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11.pants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B82E47" w:rsidRDefault="00CF4A0E" w:rsidP="00746400">
            <w:pPr>
              <w:spacing w:after="0" w:line="240" w:lineRule="auto"/>
              <w:jc w:val="both"/>
              <w:rPr>
                <w:rFonts w:ascii="Times New Roman" w:hAnsi="Times New Roman"/>
                <w:sz w:val="24"/>
                <w:szCs w:val="24"/>
                <w:lang w:eastAsia="lv-LV"/>
              </w:rPr>
            </w:pPr>
            <w:r w:rsidRPr="00B82E47">
              <w:rPr>
                <w:rFonts w:ascii="Times New Roman" w:hAnsi="Times New Roman"/>
                <w:sz w:val="24"/>
                <w:szCs w:val="24"/>
                <w:lang w:eastAsia="lv-LV"/>
              </w:rPr>
              <w:t>1.punkts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B0313F" w:rsidRDefault="00CF4A0E" w:rsidP="00B0313F">
            <w:pPr>
              <w:spacing w:after="0" w:line="240" w:lineRule="auto"/>
              <w:jc w:val="both"/>
              <w:rPr>
                <w:rFonts w:ascii="Times New Roman" w:hAnsi="Times New Roman"/>
                <w:b/>
                <w:sz w:val="24"/>
                <w:szCs w:val="24"/>
                <w:lang w:eastAsia="lv-LV"/>
              </w:rPr>
            </w:pPr>
            <w:r>
              <w:rPr>
                <w:rFonts w:ascii="Times New Roman" w:hAnsi="Times New Roman"/>
                <w:sz w:val="24"/>
                <w:szCs w:val="24"/>
                <w:lang w:eastAsia="lv-LV"/>
              </w:rPr>
              <w:t xml:space="preserve">a) </w:t>
            </w:r>
            <w:r w:rsidRPr="004A0D2B">
              <w:rPr>
                <w:rFonts w:ascii="Times New Roman" w:hAnsi="Times New Roman"/>
                <w:sz w:val="24"/>
                <w:szCs w:val="24"/>
                <w:lang w:eastAsia="lv-LV"/>
              </w:rPr>
              <w:t>apakšpunkts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Pr="00705B52"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pirmās daļas 1.punkts </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b/>
                <w:sz w:val="24"/>
                <w:szCs w:val="24"/>
                <w:lang w:eastAsia="lv-LV"/>
              </w:rPr>
            </w:pPr>
            <w:r>
              <w:rPr>
                <w:rFonts w:ascii="Times New Roman" w:hAnsi="Times New Roman"/>
                <w:sz w:val="24"/>
                <w:szCs w:val="24"/>
                <w:lang w:eastAsia="lv-LV"/>
              </w:rPr>
              <w:t xml:space="preserve">b) </w:t>
            </w:r>
            <w:r w:rsidRPr="004A0D2B">
              <w:rPr>
                <w:rFonts w:ascii="Times New Roman" w:hAnsi="Times New Roman"/>
                <w:sz w:val="24"/>
                <w:szCs w:val="24"/>
                <w:lang w:eastAsia="lv-LV"/>
              </w:rPr>
              <w:t>apakšpunkts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pirmās daļas 2.punkts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3A0A6E"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3A0A6E" w:rsidRDefault="00CF4A0E" w:rsidP="00746400">
            <w:pPr>
              <w:spacing w:after="0" w:line="240" w:lineRule="auto"/>
              <w:jc w:val="both"/>
              <w:rPr>
                <w:rFonts w:ascii="Times New Roman" w:hAnsi="Times New Roman"/>
                <w:b/>
                <w:sz w:val="24"/>
                <w:szCs w:val="24"/>
                <w:lang w:eastAsia="lv-LV"/>
              </w:rPr>
            </w:pPr>
            <w:r w:rsidRPr="003A0A6E">
              <w:rPr>
                <w:rFonts w:ascii="Times New Roman" w:hAnsi="Times New Roman"/>
                <w:sz w:val="24"/>
                <w:szCs w:val="24"/>
                <w:lang w:eastAsia="lv-LV"/>
              </w:rPr>
              <w:t>c) apakšpunkts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Pr="003A0A6E" w:rsidRDefault="00CF4A0E" w:rsidP="003A0A6E">
            <w:pPr>
              <w:spacing w:after="0" w:line="240" w:lineRule="auto"/>
              <w:jc w:val="both"/>
              <w:rPr>
                <w:rFonts w:ascii="Times New Roman" w:hAnsi="Times New Roman"/>
                <w:sz w:val="24"/>
                <w:szCs w:val="24"/>
                <w:lang w:eastAsia="lv-LV"/>
              </w:rPr>
            </w:pPr>
            <w:r w:rsidRPr="003A0A6E">
              <w:rPr>
                <w:rFonts w:ascii="Times New Roman" w:hAnsi="Times New Roman"/>
                <w:sz w:val="24"/>
                <w:szCs w:val="24"/>
                <w:lang w:eastAsia="lv-LV"/>
              </w:rPr>
              <w:t>KPL 875.</w:t>
            </w:r>
            <w:proofErr w:type="gramStart"/>
            <w:r w:rsidRPr="003A0A6E">
              <w:rPr>
                <w:rFonts w:ascii="Times New Roman" w:hAnsi="Times New Roman"/>
                <w:sz w:val="24"/>
                <w:szCs w:val="24"/>
                <w:vertAlign w:val="superscript"/>
                <w:lang w:eastAsia="lv-LV"/>
              </w:rPr>
              <w:t>6</w:t>
            </w:r>
            <w:r w:rsidRPr="003A0A6E">
              <w:rPr>
                <w:rFonts w:ascii="Times New Roman" w:hAnsi="Times New Roman"/>
                <w:sz w:val="24"/>
                <w:szCs w:val="24"/>
                <w:lang w:eastAsia="lv-LV"/>
              </w:rPr>
              <w:t>panta</w:t>
            </w:r>
            <w:proofErr w:type="gramEnd"/>
            <w:r w:rsidRPr="003A0A6E">
              <w:rPr>
                <w:rFonts w:ascii="Times New Roman" w:hAnsi="Times New Roman"/>
                <w:sz w:val="24"/>
                <w:szCs w:val="24"/>
                <w:lang w:eastAsia="lv-LV"/>
              </w:rPr>
              <w:t xml:space="preserve"> pirmās daļas 3.punkts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Pr="003A0A6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Pr="003A0A6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b/>
                <w:sz w:val="24"/>
                <w:szCs w:val="24"/>
                <w:lang w:eastAsia="lv-LV"/>
              </w:rPr>
            </w:pPr>
            <w:r>
              <w:rPr>
                <w:rFonts w:ascii="Times New Roman" w:hAnsi="Times New Roman"/>
                <w:sz w:val="24"/>
                <w:szCs w:val="24"/>
                <w:lang w:eastAsia="lv-LV"/>
              </w:rPr>
              <w:t xml:space="preserve">d) </w:t>
            </w:r>
            <w:r w:rsidRPr="004A0D2B">
              <w:rPr>
                <w:rFonts w:ascii="Times New Roman" w:hAnsi="Times New Roman"/>
                <w:sz w:val="24"/>
                <w:szCs w:val="24"/>
                <w:lang w:eastAsia="lv-LV"/>
              </w:rPr>
              <w:t>apakšpunkts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pirmās daļas 4.punkts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b/>
                <w:sz w:val="24"/>
                <w:szCs w:val="24"/>
                <w:lang w:eastAsia="lv-LV"/>
              </w:rPr>
            </w:pPr>
            <w:r>
              <w:rPr>
                <w:rFonts w:ascii="Times New Roman" w:hAnsi="Times New Roman"/>
                <w:sz w:val="24"/>
                <w:szCs w:val="24"/>
                <w:lang w:eastAsia="lv-LV"/>
              </w:rPr>
              <w:lastRenderedPageBreak/>
              <w:t xml:space="preserve">e) </w:t>
            </w:r>
            <w:r w:rsidRPr="004A0D2B">
              <w:rPr>
                <w:rFonts w:ascii="Times New Roman" w:hAnsi="Times New Roman"/>
                <w:sz w:val="24"/>
                <w:szCs w:val="24"/>
                <w:lang w:eastAsia="lv-LV"/>
              </w:rPr>
              <w:t>apakšpunkts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3A0A6E">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pirmās daļas 3.punkts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4A0D2B">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b/>
                <w:sz w:val="24"/>
                <w:szCs w:val="24"/>
                <w:lang w:eastAsia="lv-LV"/>
              </w:rPr>
            </w:pPr>
            <w:r>
              <w:rPr>
                <w:rFonts w:ascii="Times New Roman" w:hAnsi="Times New Roman"/>
                <w:sz w:val="24"/>
                <w:szCs w:val="24"/>
                <w:lang w:eastAsia="lv-LV"/>
              </w:rPr>
              <w:t xml:space="preserve">f) </w:t>
            </w:r>
            <w:r w:rsidRPr="004A0D2B">
              <w:rPr>
                <w:rFonts w:ascii="Times New Roman" w:hAnsi="Times New Roman"/>
                <w:sz w:val="24"/>
                <w:szCs w:val="24"/>
                <w:lang w:eastAsia="lv-LV"/>
              </w:rPr>
              <w:t>apakšpunkts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pirmās daļas 5.punkts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C62D27">
            <w:pPr>
              <w:spacing w:after="0" w:line="240" w:lineRule="auto"/>
              <w:jc w:val="both"/>
              <w:rPr>
                <w:rFonts w:ascii="Times New Roman" w:hAnsi="Times New Roman"/>
                <w:b/>
                <w:sz w:val="24"/>
                <w:szCs w:val="24"/>
                <w:lang w:eastAsia="lv-LV"/>
              </w:rPr>
            </w:pPr>
            <w:r>
              <w:rPr>
                <w:rFonts w:ascii="Times New Roman" w:hAnsi="Times New Roman"/>
                <w:sz w:val="24"/>
                <w:szCs w:val="24"/>
                <w:lang w:eastAsia="lv-LV"/>
              </w:rPr>
              <w:t xml:space="preserve">g) </w:t>
            </w:r>
            <w:r w:rsidRPr="004A0D2B">
              <w:rPr>
                <w:rFonts w:ascii="Times New Roman" w:hAnsi="Times New Roman"/>
                <w:sz w:val="24"/>
                <w:szCs w:val="24"/>
                <w:lang w:eastAsia="lv-LV"/>
              </w:rPr>
              <w:t>apakšpunkts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F863E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pirmās daļas 3.punkts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226C2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226C2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C62D27">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h) </w:t>
            </w:r>
            <w:r w:rsidRPr="004A0D2B">
              <w:rPr>
                <w:rFonts w:ascii="Times New Roman" w:hAnsi="Times New Roman"/>
                <w:sz w:val="24"/>
                <w:szCs w:val="24"/>
                <w:lang w:eastAsia="lv-LV"/>
              </w:rPr>
              <w:t>apakšpunkts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F863E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pirmās daļas 6.punkts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226C2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226C2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B82E47" w:rsidRDefault="00CF4A0E" w:rsidP="00746400">
            <w:pPr>
              <w:spacing w:after="0" w:line="240" w:lineRule="auto"/>
              <w:jc w:val="both"/>
              <w:rPr>
                <w:rFonts w:ascii="Times New Roman" w:hAnsi="Times New Roman"/>
                <w:sz w:val="24"/>
                <w:szCs w:val="24"/>
                <w:lang w:eastAsia="lv-LV"/>
              </w:rPr>
            </w:pPr>
            <w:r w:rsidRPr="00B82E47">
              <w:rPr>
                <w:rFonts w:ascii="Times New Roman" w:hAnsi="Times New Roman"/>
                <w:sz w:val="24"/>
                <w:szCs w:val="24"/>
                <w:lang w:eastAsia="lv-LV"/>
              </w:rPr>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3F0C7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B82E47" w:rsidRDefault="00CF4A0E" w:rsidP="00746400">
            <w:pPr>
              <w:spacing w:after="0" w:line="240" w:lineRule="auto"/>
              <w:jc w:val="both"/>
              <w:rPr>
                <w:rFonts w:ascii="Times New Roman" w:hAnsi="Times New Roman"/>
                <w:sz w:val="24"/>
                <w:szCs w:val="24"/>
                <w:lang w:eastAsia="lv-LV"/>
              </w:rPr>
            </w:pPr>
            <w:r w:rsidRPr="00B82E47">
              <w:rPr>
                <w:rFonts w:ascii="Times New Roman" w:hAnsi="Times New Roman"/>
                <w:sz w:val="24"/>
                <w:szCs w:val="24"/>
                <w:lang w:eastAsia="lv-LV"/>
              </w:rPr>
              <w:t>3.punkts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FB009B">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ceturtā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B82E47" w:rsidRDefault="00CF4A0E" w:rsidP="00746400">
            <w:pPr>
              <w:spacing w:after="0" w:line="240" w:lineRule="auto"/>
              <w:jc w:val="both"/>
              <w:rPr>
                <w:rFonts w:ascii="Times New Roman" w:hAnsi="Times New Roman"/>
                <w:sz w:val="24"/>
                <w:szCs w:val="24"/>
                <w:lang w:eastAsia="lv-LV"/>
              </w:rPr>
            </w:pPr>
            <w:r w:rsidRPr="00B82E47">
              <w:rPr>
                <w:rFonts w:ascii="Times New Roman" w:hAnsi="Times New Roman"/>
                <w:sz w:val="24"/>
                <w:szCs w:val="24"/>
                <w:lang w:eastAsia="lv-LV"/>
              </w:rPr>
              <w:t>4.punkts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FB009B">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trešā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B82E47" w:rsidRDefault="00CF4A0E" w:rsidP="00746400">
            <w:pPr>
              <w:spacing w:after="0" w:line="240" w:lineRule="auto"/>
              <w:jc w:val="both"/>
              <w:rPr>
                <w:rFonts w:ascii="Times New Roman" w:hAnsi="Times New Roman"/>
                <w:sz w:val="24"/>
                <w:szCs w:val="24"/>
                <w:lang w:eastAsia="lv-LV"/>
              </w:rPr>
            </w:pPr>
            <w:r w:rsidRPr="00B82E47">
              <w:rPr>
                <w:rFonts w:ascii="Times New Roman" w:hAnsi="Times New Roman"/>
                <w:sz w:val="24"/>
                <w:szCs w:val="24"/>
                <w:lang w:eastAsia="lv-LV"/>
              </w:rPr>
              <w:t>5.punkts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FB009B">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piektā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B82E47"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12.pants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w:t>
            </w:r>
            <w:r w:rsidRPr="00B82E47">
              <w:rPr>
                <w:rFonts w:ascii="Times New Roman" w:hAnsi="Times New Roman"/>
                <w:sz w:val="24"/>
                <w:szCs w:val="24"/>
                <w:lang w:eastAsia="lv-LV"/>
              </w:rPr>
              <w:t>.punkts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Pr="004D677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5</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w:t>
            </w:r>
            <w:r w:rsidRPr="00B82E47">
              <w:rPr>
                <w:rFonts w:ascii="Times New Roman" w:hAnsi="Times New Roman"/>
                <w:sz w:val="24"/>
                <w:szCs w:val="24"/>
                <w:lang w:eastAsia="lv-LV"/>
              </w:rPr>
              <w:t>.punkts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170A35">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5</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trešā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w:t>
            </w:r>
            <w:r w:rsidRPr="00B82E47">
              <w:rPr>
                <w:rFonts w:ascii="Times New Roman" w:hAnsi="Times New Roman"/>
                <w:sz w:val="24"/>
                <w:szCs w:val="24"/>
                <w:lang w:eastAsia="lv-LV"/>
              </w:rPr>
              <w:t>.punkts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5</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4</w:t>
            </w:r>
            <w:r w:rsidRPr="00B82E47">
              <w:rPr>
                <w:rFonts w:ascii="Times New Roman" w:hAnsi="Times New Roman"/>
                <w:sz w:val="24"/>
                <w:szCs w:val="24"/>
                <w:lang w:eastAsia="lv-LV"/>
              </w:rPr>
              <w:t>.punkts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170A35">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5</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piektā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sidRPr="00B82E47">
              <w:rPr>
                <w:rFonts w:ascii="Times New Roman" w:hAnsi="Times New Roman"/>
                <w:sz w:val="24"/>
                <w:szCs w:val="24"/>
                <w:lang w:eastAsia="lv-LV"/>
              </w:rPr>
              <w:t>5.punkts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170A35">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5</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ceturtā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6</w:t>
            </w:r>
            <w:r w:rsidRPr="00B82E47">
              <w:rPr>
                <w:rFonts w:ascii="Times New Roman" w:hAnsi="Times New Roman"/>
                <w:sz w:val="24"/>
                <w:szCs w:val="24"/>
                <w:lang w:eastAsia="lv-LV"/>
              </w:rPr>
              <w:t>.punkts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170A35">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5</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sestā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317B0D"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13.pants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C9013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11</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C9013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11</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11</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4.punkts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11</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C90134"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14.pants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255566">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lastRenderedPageBreak/>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8E10B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8E10B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63.panta</w:t>
            </w:r>
            <w:proofErr w:type="gramEnd"/>
            <w:r>
              <w:rPr>
                <w:rFonts w:ascii="Times New Roman" w:hAnsi="Times New Roman"/>
                <w:sz w:val="24"/>
                <w:szCs w:val="24"/>
                <w:lang w:eastAsia="lv-LV"/>
              </w:rPr>
              <w:t xml:space="preserve"> pirmās daļas 3.punkts;</w:t>
            </w:r>
          </w:p>
          <w:p w:rsidR="00CF4A0E" w:rsidRDefault="00CF4A0E" w:rsidP="008E10B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66.panta</w:t>
            </w:r>
            <w:proofErr w:type="gramEnd"/>
            <w:r>
              <w:rPr>
                <w:rFonts w:ascii="Times New Roman" w:hAnsi="Times New Roman"/>
                <w:sz w:val="24"/>
                <w:szCs w:val="24"/>
                <w:lang w:eastAsia="lv-LV"/>
              </w:rPr>
              <w:t xml:space="preserve"> pirmās daļas 9.punkts;</w:t>
            </w:r>
          </w:p>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8E10B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p w:rsidR="00CF4A0E" w:rsidRDefault="00CF4A0E" w:rsidP="006D61C6">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4.punkts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339.pants</w:t>
            </w:r>
            <w:proofErr w:type="gramEnd"/>
            <w:r>
              <w:rPr>
                <w:rFonts w:ascii="Times New Roman" w:hAnsi="Times New Roman"/>
                <w:sz w:val="24"/>
                <w:szCs w:val="24"/>
                <w:lang w:eastAsia="lv-LV"/>
              </w:rPr>
              <w:t>;</w:t>
            </w:r>
          </w:p>
          <w:p w:rsidR="00CF4A0E" w:rsidRDefault="00CF4A0E" w:rsidP="006D61C6">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343.pants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5.punkts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1B6F69">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w:t>
            </w:r>
          </w:p>
          <w:p w:rsidR="00CF4A0E" w:rsidRDefault="00CF4A0E" w:rsidP="001B6F69">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ceturtā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6.punkts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1B6F69">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C62D27">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7.punkts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1B6F69">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w:t>
            </w:r>
          </w:p>
          <w:p w:rsidR="00CF4A0E" w:rsidRDefault="00CF4A0E" w:rsidP="001B6F69">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12</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ceturtā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226C2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290749"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15.pants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a) apakšpunkts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Pr="00290749"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7</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pirmās daļas 1.punkts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b) apakšpunkts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7</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pirmās daļas 2.punkts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290749">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7</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9741FD"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16.pants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3</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p w:rsidR="00CF4A0E" w:rsidRPr="00806C39"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4</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3</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p w:rsidR="00CF4A0E" w:rsidRDefault="00CF4A0E" w:rsidP="008B5B3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3</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trešā daļa;</w:t>
            </w:r>
          </w:p>
          <w:p w:rsidR="00CF4A0E" w:rsidRDefault="00CF4A0E" w:rsidP="008B5B3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7</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w:t>
            </w:r>
          </w:p>
          <w:p w:rsidR="00CF4A0E" w:rsidRPr="008B5B34" w:rsidRDefault="00CF4A0E" w:rsidP="008B5B3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trešā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C35907"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17.pants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KL </w:t>
            </w:r>
            <w:proofErr w:type="gramStart"/>
            <w:r>
              <w:rPr>
                <w:rFonts w:ascii="Times New Roman" w:hAnsi="Times New Roman"/>
                <w:sz w:val="24"/>
                <w:szCs w:val="24"/>
                <w:lang w:eastAsia="lv-LV"/>
              </w:rPr>
              <w:t>1.pants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C35907"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18.pants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CL </w:t>
            </w:r>
            <w:proofErr w:type="gramStart"/>
            <w:r>
              <w:rPr>
                <w:rFonts w:ascii="Times New Roman" w:hAnsi="Times New Roman"/>
                <w:sz w:val="24"/>
                <w:szCs w:val="24"/>
                <w:lang w:eastAsia="lv-LV"/>
              </w:rPr>
              <w:t>1635.pants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Ieviests pilnībā </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7F1136"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lastRenderedPageBreak/>
              <w:t>19.pants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375.pants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396.pants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E60E9C">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375.pants</w:t>
            </w:r>
            <w:proofErr w:type="gramEnd"/>
            <w:r>
              <w:rPr>
                <w:rFonts w:ascii="Times New Roman" w:hAnsi="Times New Roman"/>
                <w:sz w:val="24"/>
                <w:szCs w:val="24"/>
                <w:lang w:eastAsia="lv-LV"/>
              </w:rPr>
              <w:t>;</w:t>
            </w:r>
          </w:p>
          <w:p w:rsidR="00CF4A0E" w:rsidRDefault="00CF4A0E" w:rsidP="00E60E9C">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396.pants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396.pants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4.punkts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NILLTFNL </w:t>
            </w:r>
            <w:proofErr w:type="gramStart"/>
            <w:r>
              <w:rPr>
                <w:rFonts w:ascii="Times New Roman" w:hAnsi="Times New Roman"/>
                <w:sz w:val="24"/>
                <w:szCs w:val="24"/>
                <w:lang w:eastAsia="lv-LV"/>
              </w:rPr>
              <w:t>48.pants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EE7409"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20.pants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BB563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FPDAL regulējums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BB5632"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21.pants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680.pants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1.pants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Rīcība nav nepieciešama </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3.punkts </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8A2791"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22.pants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854.panta</w:t>
            </w:r>
            <w:proofErr w:type="gramEnd"/>
            <w:r>
              <w:rPr>
                <w:rFonts w:ascii="Times New Roman" w:hAnsi="Times New Roman"/>
                <w:sz w:val="24"/>
                <w:szCs w:val="24"/>
                <w:lang w:eastAsia="lv-LV"/>
              </w:rPr>
              <w:t xml:space="preserve"> pirmā daļa;</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855.panta</w:t>
            </w:r>
            <w:proofErr w:type="gramEnd"/>
            <w:r>
              <w:rPr>
                <w:rFonts w:ascii="Times New Roman" w:hAnsi="Times New Roman"/>
                <w:sz w:val="24"/>
                <w:szCs w:val="24"/>
                <w:lang w:eastAsia="lv-LV"/>
              </w:rPr>
              <w:t xml:space="preserve"> pirmā daļa;</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878.pants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Pr="00D82B02"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8</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0B425B" w:rsidRDefault="00CF4A0E" w:rsidP="000B425B">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a) apakšpunkts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854.panta</w:t>
            </w:r>
            <w:proofErr w:type="gramEnd"/>
            <w:r>
              <w:rPr>
                <w:rFonts w:ascii="Times New Roman" w:hAnsi="Times New Roman"/>
                <w:sz w:val="24"/>
                <w:szCs w:val="24"/>
                <w:lang w:eastAsia="lv-LV"/>
              </w:rPr>
              <w:t xml:space="preserve"> otrās daļas 1.punkts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b) apakšpunkts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3.pants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0B425B"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333.</w:t>
            </w:r>
            <w:proofErr w:type="gramStart"/>
            <w:r>
              <w:rPr>
                <w:rFonts w:ascii="Times New Roman" w:hAnsi="Times New Roman"/>
                <w:sz w:val="24"/>
                <w:szCs w:val="24"/>
                <w:vertAlign w:val="superscript"/>
                <w:lang w:eastAsia="lv-LV"/>
              </w:rPr>
              <w:t>1</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 daļa;</w:t>
            </w:r>
          </w:p>
          <w:p w:rsidR="00CF4A0E" w:rsidRDefault="00CF4A0E" w:rsidP="00D82B0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854.panta</w:t>
            </w:r>
            <w:proofErr w:type="gramEnd"/>
            <w:r>
              <w:rPr>
                <w:rFonts w:ascii="Times New Roman" w:hAnsi="Times New Roman"/>
                <w:sz w:val="24"/>
                <w:szCs w:val="24"/>
                <w:lang w:eastAsia="lv-LV"/>
              </w:rPr>
              <w:t xml:space="preserve"> otrās daļas ceturtais punkts;</w:t>
            </w:r>
          </w:p>
          <w:p w:rsidR="00CF4A0E" w:rsidRDefault="00CF4A0E" w:rsidP="00D82B0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D82B0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8</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4.punkts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681.pants</w:t>
            </w:r>
            <w:proofErr w:type="gramEnd"/>
            <w:r>
              <w:rPr>
                <w:rFonts w:ascii="Times New Roman" w:hAnsi="Times New Roman"/>
                <w:sz w:val="24"/>
                <w:szCs w:val="24"/>
                <w:lang w:eastAsia="lv-LV"/>
              </w:rPr>
              <w:t>;</w:t>
            </w:r>
          </w:p>
          <w:p w:rsidR="00CF4A0E" w:rsidRDefault="00CF4A0E" w:rsidP="00D82B0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D82B0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8</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5.punkts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856.pants</w:t>
            </w:r>
            <w:proofErr w:type="gramEnd"/>
            <w:r>
              <w:rPr>
                <w:rFonts w:ascii="Times New Roman" w:hAnsi="Times New Roman"/>
                <w:sz w:val="24"/>
                <w:szCs w:val="24"/>
                <w:lang w:eastAsia="lv-LV"/>
              </w:rPr>
              <w:t>;</w:t>
            </w:r>
          </w:p>
          <w:p w:rsidR="00CF4A0E" w:rsidRDefault="00CF4A0E" w:rsidP="00D82B0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D82B0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8</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6.punkts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855.panta</w:t>
            </w:r>
            <w:proofErr w:type="gramEnd"/>
            <w:r>
              <w:rPr>
                <w:rFonts w:ascii="Times New Roman" w:hAnsi="Times New Roman"/>
                <w:sz w:val="24"/>
                <w:szCs w:val="24"/>
                <w:lang w:eastAsia="lv-LV"/>
              </w:rPr>
              <w:t xml:space="preserve"> otrā daļa;</w:t>
            </w:r>
          </w:p>
          <w:p w:rsidR="00CF4A0E" w:rsidRDefault="00CF4A0E" w:rsidP="00D82B0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D82B0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8</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lastRenderedPageBreak/>
              <w:t>7.punkts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854.panta</w:t>
            </w:r>
            <w:proofErr w:type="gramEnd"/>
            <w:r>
              <w:rPr>
                <w:rFonts w:ascii="Times New Roman" w:hAnsi="Times New Roman"/>
                <w:sz w:val="24"/>
                <w:szCs w:val="24"/>
                <w:lang w:eastAsia="lv-LV"/>
              </w:rPr>
              <w:t xml:space="preserve"> trešā daļa;</w:t>
            </w:r>
          </w:p>
          <w:p w:rsidR="00CF4A0E" w:rsidRDefault="00CF4A0E" w:rsidP="00D82B0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D82B0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8</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8.punkts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857.panta</w:t>
            </w:r>
            <w:proofErr w:type="gramEnd"/>
            <w:r>
              <w:rPr>
                <w:rFonts w:ascii="Times New Roman" w:hAnsi="Times New Roman"/>
                <w:sz w:val="24"/>
                <w:szCs w:val="24"/>
                <w:lang w:eastAsia="lv-LV"/>
              </w:rPr>
              <w:t xml:space="preserve"> pirmā daļa; </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879.panta</w:t>
            </w:r>
            <w:proofErr w:type="gramEnd"/>
            <w:r>
              <w:rPr>
                <w:rFonts w:ascii="Times New Roman" w:hAnsi="Times New Roman"/>
                <w:sz w:val="24"/>
                <w:szCs w:val="24"/>
                <w:lang w:eastAsia="lv-LV"/>
              </w:rPr>
              <w:t xml:space="preserve"> pirmā daļa;</w:t>
            </w:r>
          </w:p>
          <w:p w:rsidR="00CF4A0E" w:rsidRDefault="00CF4A0E" w:rsidP="00D82B0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D82B0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8</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9.punkts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857.panta</w:t>
            </w:r>
            <w:proofErr w:type="gramEnd"/>
            <w:r>
              <w:rPr>
                <w:rFonts w:ascii="Times New Roman" w:hAnsi="Times New Roman"/>
                <w:sz w:val="24"/>
                <w:szCs w:val="24"/>
                <w:lang w:eastAsia="lv-LV"/>
              </w:rPr>
              <w:t xml:space="preserve"> otrā daļa;</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879.panta</w:t>
            </w:r>
            <w:proofErr w:type="gramEnd"/>
            <w:r>
              <w:rPr>
                <w:rFonts w:ascii="Times New Roman" w:hAnsi="Times New Roman"/>
                <w:sz w:val="24"/>
                <w:szCs w:val="24"/>
                <w:lang w:eastAsia="lv-LV"/>
              </w:rPr>
              <w:t xml:space="preserve"> otrā daļa;</w:t>
            </w:r>
          </w:p>
          <w:p w:rsidR="00CF4A0E" w:rsidRDefault="00CF4A0E" w:rsidP="00D82B0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D82B0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8</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10.punkts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680.pants</w:t>
            </w:r>
            <w:proofErr w:type="gramEnd"/>
            <w:r>
              <w:rPr>
                <w:rFonts w:ascii="Times New Roman" w:hAnsi="Times New Roman"/>
                <w:sz w:val="24"/>
                <w:szCs w:val="24"/>
                <w:lang w:eastAsia="lv-LV"/>
              </w:rPr>
              <w:t>;</w:t>
            </w:r>
          </w:p>
          <w:p w:rsidR="00CF4A0E" w:rsidRDefault="00CF4A0E" w:rsidP="00D82B0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1.pants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E13597"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23.pants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AC4BD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854.panta</w:t>
            </w:r>
            <w:proofErr w:type="gramEnd"/>
            <w:r>
              <w:rPr>
                <w:rFonts w:ascii="Times New Roman" w:hAnsi="Times New Roman"/>
                <w:sz w:val="24"/>
                <w:szCs w:val="24"/>
                <w:lang w:eastAsia="lv-LV"/>
              </w:rPr>
              <w:t xml:space="preserve"> pirmā daļa;</w:t>
            </w:r>
          </w:p>
          <w:p w:rsidR="00CF4A0E" w:rsidRDefault="00CF4A0E" w:rsidP="00AC4BD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855.pants</w:t>
            </w:r>
            <w:proofErr w:type="gramEnd"/>
            <w:r>
              <w:rPr>
                <w:rFonts w:ascii="Times New Roman" w:hAnsi="Times New Roman"/>
                <w:sz w:val="24"/>
                <w:szCs w:val="24"/>
                <w:lang w:eastAsia="lv-LV"/>
              </w:rPr>
              <w:t>;</w:t>
            </w:r>
          </w:p>
          <w:p w:rsidR="00CF4A0E" w:rsidRDefault="00CF4A0E" w:rsidP="00AC4BD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878.pants</w:t>
            </w:r>
            <w:proofErr w:type="gramEnd"/>
            <w:r>
              <w:rPr>
                <w:rFonts w:ascii="Times New Roman" w:hAnsi="Times New Roman"/>
                <w:sz w:val="24"/>
                <w:szCs w:val="24"/>
                <w:lang w:eastAsia="lv-LV"/>
              </w:rPr>
              <w:t>;</w:t>
            </w:r>
          </w:p>
          <w:p w:rsidR="00CF4A0E" w:rsidRDefault="00CF4A0E" w:rsidP="00AC4BD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AC4BD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8</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AC4BD2" w:rsidRDefault="00CF4A0E" w:rsidP="00746400">
            <w:pPr>
              <w:spacing w:after="0" w:line="240" w:lineRule="auto"/>
              <w:jc w:val="both"/>
              <w:rPr>
                <w:rFonts w:ascii="Times New Roman" w:hAnsi="Times New Roman"/>
                <w:i/>
                <w:sz w:val="24"/>
                <w:szCs w:val="24"/>
                <w:lang w:eastAsia="lv-LV"/>
              </w:rPr>
            </w:pPr>
            <w:r>
              <w:rPr>
                <w:rFonts w:ascii="Times New Roman" w:hAnsi="Times New Roman"/>
                <w:i/>
                <w:sz w:val="24"/>
                <w:szCs w:val="24"/>
                <w:lang w:eastAsia="lv-LV"/>
              </w:rPr>
              <w:t xml:space="preserve">Skat. </w:t>
            </w:r>
            <w:proofErr w:type="gramStart"/>
            <w:r>
              <w:rPr>
                <w:rFonts w:ascii="Times New Roman" w:hAnsi="Times New Roman"/>
                <w:i/>
                <w:sz w:val="24"/>
                <w:szCs w:val="24"/>
                <w:lang w:eastAsia="lv-LV"/>
              </w:rPr>
              <w:t>22.panta</w:t>
            </w:r>
            <w:proofErr w:type="gramEnd"/>
            <w:r>
              <w:rPr>
                <w:rFonts w:ascii="Times New Roman" w:hAnsi="Times New Roman"/>
                <w:i/>
                <w:sz w:val="24"/>
                <w:szCs w:val="24"/>
                <w:lang w:eastAsia="lv-LV"/>
              </w:rPr>
              <w:t xml:space="preserve"> 2.punkta a) apakšpunkta un 3.-9.punkta atbilstību </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i/>
                <w:sz w:val="24"/>
                <w:szCs w:val="24"/>
                <w:lang w:eastAsia="lv-LV"/>
              </w:rPr>
              <w:t xml:space="preserve">Skat. </w:t>
            </w:r>
            <w:proofErr w:type="gramStart"/>
            <w:r>
              <w:rPr>
                <w:rFonts w:ascii="Times New Roman" w:hAnsi="Times New Roman"/>
                <w:i/>
                <w:sz w:val="24"/>
                <w:szCs w:val="24"/>
                <w:lang w:eastAsia="lv-LV"/>
              </w:rPr>
              <w:t>22.panta</w:t>
            </w:r>
            <w:proofErr w:type="gramEnd"/>
            <w:r>
              <w:rPr>
                <w:rFonts w:ascii="Times New Roman" w:hAnsi="Times New Roman"/>
                <w:i/>
                <w:sz w:val="24"/>
                <w:szCs w:val="24"/>
                <w:lang w:eastAsia="lv-LV"/>
              </w:rPr>
              <w:t xml:space="preserve"> 2.punkta a) apakšpunkta un 3.-9.punkta atbilstību</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i/>
                <w:sz w:val="24"/>
                <w:szCs w:val="24"/>
                <w:lang w:eastAsia="lv-LV"/>
              </w:rPr>
              <w:t xml:space="preserve">Skat. </w:t>
            </w:r>
            <w:proofErr w:type="gramStart"/>
            <w:r>
              <w:rPr>
                <w:rFonts w:ascii="Times New Roman" w:hAnsi="Times New Roman"/>
                <w:i/>
                <w:sz w:val="24"/>
                <w:szCs w:val="24"/>
                <w:lang w:eastAsia="lv-LV"/>
              </w:rPr>
              <w:t>22.panta</w:t>
            </w:r>
            <w:proofErr w:type="gramEnd"/>
            <w:r>
              <w:rPr>
                <w:rFonts w:ascii="Times New Roman" w:hAnsi="Times New Roman"/>
                <w:i/>
                <w:sz w:val="24"/>
                <w:szCs w:val="24"/>
                <w:lang w:eastAsia="lv-LV"/>
              </w:rPr>
              <w:t xml:space="preserve"> 2.punkta a) apakšpunkta un 3.-9.punkta atbilstību</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680.pants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1.pants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C06625"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24.pants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851.pants</w:t>
            </w:r>
            <w:proofErr w:type="gramEnd"/>
            <w:r>
              <w:rPr>
                <w:rFonts w:ascii="Times New Roman" w:hAnsi="Times New Roman"/>
                <w:sz w:val="24"/>
                <w:szCs w:val="24"/>
                <w:lang w:eastAsia="lv-LV"/>
              </w:rPr>
              <w:t xml:space="preserve">; </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877.panta</w:t>
            </w:r>
            <w:proofErr w:type="gramEnd"/>
            <w:r>
              <w:rPr>
                <w:rFonts w:ascii="Times New Roman" w:hAnsi="Times New Roman"/>
                <w:sz w:val="24"/>
                <w:szCs w:val="24"/>
                <w:lang w:eastAsia="lv-LV"/>
              </w:rPr>
              <w:t xml:space="preserve"> otrās daļas 3.punkts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2.pants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851.pants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4.punkts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5.punkts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140.pants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150.pants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151.pants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851.pants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6.punkts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149.pants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7.punkts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KL </w:t>
            </w:r>
            <w:proofErr w:type="gramStart"/>
            <w:r>
              <w:rPr>
                <w:rFonts w:ascii="Times New Roman" w:hAnsi="Times New Roman"/>
                <w:sz w:val="24"/>
                <w:szCs w:val="24"/>
                <w:lang w:eastAsia="lv-LV"/>
              </w:rPr>
              <w:t>300.pants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KL </w:t>
            </w:r>
            <w:proofErr w:type="gramStart"/>
            <w:r>
              <w:rPr>
                <w:rFonts w:ascii="Times New Roman" w:hAnsi="Times New Roman"/>
                <w:sz w:val="24"/>
                <w:szCs w:val="24"/>
                <w:lang w:eastAsia="lv-LV"/>
              </w:rPr>
              <w:t>302.pants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F40D81"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25.pants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lastRenderedPageBreak/>
              <w:t xml:space="preserve">1.punkts </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140.pants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151.pants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156.pants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851.pants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877.panta</w:t>
            </w:r>
            <w:proofErr w:type="gramEnd"/>
            <w:r>
              <w:rPr>
                <w:rFonts w:ascii="Times New Roman" w:hAnsi="Times New Roman"/>
                <w:sz w:val="24"/>
                <w:szCs w:val="24"/>
                <w:lang w:eastAsia="lv-LV"/>
              </w:rPr>
              <w:t xml:space="preserve"> otrās daļas 3.punkts; </w:t>
            </w:r>
          </w:p>
          <w:p w:rsidR="00CF4A0E" w:rsidRDefault="00CF4A0E" w:rsidP="0060437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604372">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8</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604372">
            <w:pPr>
              <w:spacing w:after="0" w:line="240" w:lineRule="auto"/>
              <w:jc w:val="both"/>
              <w:rPr>
                <w:rFonts w:ascii="Times New Roman" w:hAnsi="Times New Roman"/>
                <w:sz w:val="24"/>
                <w:szCs w:val="24"/>
                <w:lang w:eastAsia="lv-LV"/>
              </w:rPr>
            </w:pPr>
            <w:r>
              <w:rPr>
                <w:rFonts w:ascii="Times New Roman" w:hAnsi="Times New Roman"/>
                <w:i/>
                <w:sz w:val="24"/>
                <w:szCs w:val="24"/>
                <w:lang w:eastAsia="lv-LV"/>
              </w:rPr>
              <w:t xml:space="preserve">Skat. </w:t>
            </w:r>
            <w:proofErr w:type="gramStart"/>
            <w:r>
              <w:rPr>
                <w:rFonts w:ascii="Times New Roman" w:hAnsi="Times New Roman"/>
                <w:i/>
                <w:sz w:val="24"/>
                <w:szCs w:val="24"/>
                <w:lang w:eastAsia="lv-LV"/>
              </w:rPr>
              <w:t>24.panta</w:t>
            </w:r>
            <w:proofErr w:type="gramEnd"/>
            <w:r>
              <w:rPr>
                <w:rFonts w:ascii="Times New Roman" w:hAnsi="Times New Roman"/>
                <w:i/>
                <w:sz w:val="24"/>
                <w:szCs w:val="24"/>
                <w:lang w:eastAsia="lv-LV"/>
              </w:rPr>
              <w:t xml:space="preserve"> 3., 5., 7. un 7.punkta atbilstību</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i/>
                <w:sz w:val="24"/>
                <w:szCs w:val="24"/>
                <w:lang w:eastAsia="lv-LV"/>
              </w:rPr>
              <w:t xml:space="preserve">Skat. </w:t>
            </w:r>
            <w:proofErr w:type="gramStart"/>
            <w:r>
              <w:rPr>
                <w:rFonts w:ascii="Times New Roman" w:hAnsi="Times New Roman"/>
                <w:i/>
                <w:sz w:val="24"/>
                <w:szCs w:val="24"/>
                <w:lang w:eastAsia="lv-LV"/>
              </w:rPr>
              <w:t>24.panta</w:t>
            </w:r>
            <w:proofErr w:type="gramEnd"/>
            <w:r>
              <w:rPr>
                <w:rFonts w:ascii="Times New Roman" w:hAnsi="Times New Roman"/>
                <w:i/>
                <w:sz w:val="24"/>
                <w:szCs w:val="24"/>
                <w:lang w:eastAsia="lv-LV"/>
              </w:rPr>
              <w:t xml:space="preserve"> 3., 5., 7. un 7.punkta atbilstību</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i/>
                <w:sz w:val="24"/>
                <w:szCs w:val="24"/>
                <w:lang w:eastAsia="lv-LV"/>
              </w:rPr>
              <w:t xml:space="preserve">Skat. </w:t>
            </w:r>
            <w:proofErr w:type="gramStart"/>
            <w:r>
              <w:rPr>
                <w:rFonts w:ascii="Times New Roman" w:hAnsi="Times New Roman"/>
                <w:i/>
                <w:sz w:val="24"/>
                <w:szCs w:val="24"/>
                <w:lang w:eastAsia="lv-LV"/>
              </w:rPr>
              <w:t>24.panta</w:t>
            </w:r>
            <w:proofErr w:type="gramEnd"/>
            <w:r>
              <w:rPr>
                <w:rFonts w:ascii="Times New Roman" w:hAnsi="Times New Roman"/>
                <w:i/>
                <w:sz w:val="24"/>
                <w:szCs w:val="24"/>
                <w:lang w:eastAsia="lv-LV"/>
              </w:rPr>
              <w:t xml:space="preserve"> 3., 5., 7. un 7.punkta atbilstību</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roofErr w:type="gramStart"/>
            <w:r>
              <w:rPr>
                <w:rFonts w:ascii="Times New Roman" w:hAnsi="Times New Roman"/>
                <w:b/>
                <w:sz w:val="24"/>
                <w:szCs w:val="24"/>
                <w:lang w:eastAsia="lv-LV"/>
              </w:rPr>
              <w:t>26.pants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121.panta</w:t>
            </w:r>
            <w:proofErr w:type="gramEnd"/>
            <w:r>
              <w:rPr>
                <w:rFonts w:ascii="Times New Roman" w:hAnsi="Times New Roman"/>
                <w:sz w:val="24"/>
                <w:szCs w:val="24"/>
                <w:lang w:eastAsia="lv-LV"/>
              </w:rPr>
              <w:t xml:space="preserve"> piektā daļa;</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Kredītiestāžu likuma </w:t>
            </w:r>
            <w:proofErr w:type="gramStart"/>
            <w:r>
              <w:rPr>
                <w:rFonts w:ascii="Times New Roman" w:hAnsi="Times New Roman"/>
                <w:sz w:val="24"/>
                <w:szCs w:val="24"/>
                <w:lang w:eastAsia="lv-LV"/>
              </w:rPr>
              <w:t>63.pants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4C0BB4"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27.pants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4C0BB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121.panta</w:t>
            </w:r>
            <w:proofErr w:type="gramEnd"/>
            <w:r>
              <w:rPr>
                <w:rFonts w:ascii="Times New Roman" w:hAnsi="Times New Roman"/>
                <w:sz w:val="24"/>
                <w:szCs w:val="24"/>
                <w:lang w:eastAsia="lv-LV"/>
              </w:rPr>
              <w:t xml:space="preserve"> piektā daļa;</w:t>
            </w:r>
          </w:p>
          <w:p w:rsidR="00CF4A0E" w:rsidRDefault="00CF4A0E" w:rsidP="004C0BB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Kredītiestāžu likuma </w:t>
            </w:r>
            <w:proofErr w:type="gramStart"/>
            <w:r>
              <w:rPr>
                <w:rFonts w:ascii="Times New Roman" w:hAnsi="Times New Roman"/>
                <w:sz w:val="24"/>
                <w:szCs w:val="24"/>
                <w:lang w:eastAsia="lv-LV"/>
              </w:rPr>
              <w:t>63.pants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ED58A8"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28.pants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1.punkts </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a) apakšpunkts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ED58A8">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121.panta</w:t>
            </w:r>
            <w:proofErr w:type="gramEnd"/>
            <w:r>
              <w:rPr>
                <w:rFonts w:ascii="Times New Roman" w:hAnsi="Times New Roman"/>
                <w:sz w:val="24"/>
                <w:szCs w:val="24"/>
                <w:lang w:eastAsia="lv-LV"/>
              </w:rPr>
              <w:t xml:space="preserve"> piektā daļa;</w:t>
            </w:r>
          </w:p>
          <w:p w:rsidR="00CF4A0E" w:rsidRDefault="00CF4A0E" w:rsidP="00ED58A8">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Pr="00ED58A8" w:rsidRDefault="00CF4A0E" w:rsidP="00ED58A8">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pirmās daļas 6.punkts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b) apakšpunkts </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227.pants</w:t>
            </w:r>
            <w:proofErr w:type="gramEnd"/>
            <w:r>
              <w:rPr>
                <w:rFonts w:ascii="Times New Roman" w:hAnsi="Times New Roman"/>
                <w:sz w:val="24"/>
                <w:szCs w:val="24"/>
                <w:lang w:eastAsia="lv-LV"/>
              </w:rPr>
              <w:t>;</w:t>
            </w:r>
          </w:p>
          <w:p w:rsidR="00CF4A0E" w:rsidRDefault="00CF4A0E" w:rsidP="00ED58A8">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ED58A8">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pirmās daļas 6.punkts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Rīcība nav nepieciešama </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4.punkts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DD78CE"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29.pants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1.punkts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225.pants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227.pants</w:t>
            </w:r>
            <w:proofErr w:type="gramEnd"/>
            <w:r>
              <w:rPr>
                <w:rFonts w:ascii="Times New Roman" w:hAnsi="Times New Roman"/>
                <w:sz w:val="24"/>
                <w:szCs w:val="24"/>
                <w:lang w:eastAsia="lv-LV"/>
              </w:rPr>
              <w:t>;</w:t>
            </w:r>
          </w:p>
          <w:p w:rsidR="00CF4A0E" w:rsidRDefault="00CF4A0E" w:rsidP="00414CEE">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414CEE">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8</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414CEE">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414CEE">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3</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w:t>
            </w:r>
          </w:p>
          <w:p w:rsidR="00CF4A0E" w:rsidRDefault="00CF4A0E" w:rsidP="00414CEE">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3.punkts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07722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07722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6</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pirmās daļas 6.punkts</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4.punkts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CD5C8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CD5C8F">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8</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0A07ED"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lastRenderedPageBreak/>
              <w:t>30.pants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218.pants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219.pants</w:t>
            </w:r>
            <w:proofErr w:type="gramEnd"/>
            <w:r>
              <w:rPr>
                <w:rFonts w:ascii="Times New Roman" w:hAnsi="Times New Roman"/>
                <w:sz w:val="24"/>
                <w:szCs w:val="24"/>
                <w:lang w:eastAsia="lv-LV"/>
              </w:rPr>
              <w:t>;</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220.pants</w:t>
            </w:r>
            <w:proofErr w:type="gramEnd"/>
            <w:r>
              <w:rPr>
                <w:rFonts w:ascii="Times New Roman" w:hAnsi="Times New Roman"/>
                <w:sz w:val="24"/>
                <w:szCs w:val="24"/>
                <w:lang w:eastAsia="lv-LV"/>
              </w:rPr>
              <w:t xml:space="preserve">; </w:t>
            </w:r>
          </w:p>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KPL </w:t>
            </w:r>
            <w:proofErr w:type="gramStart"/>
            <w:r>
              <w:rPr>
                <w:rFonts w:ascii="Times New Roman" w:hAnsi="Times New Roman"/>
                <w:sz w:val="24"/>
                <w:szCs w:val="24"/>
                <w:lang w:eastAsia="lv-LV"/>
              </w:rPr>
              <w:t>853.pants</w:t>
            </w:r>
            <w:proofErr w:type="gramEnd"/>
            <w:r>
              <w:rPr>
                <w:rFonts w:ascii="Times New Roman" w:hAnsi="Times New Roman"/>
                <w:sz w:val="24"/>
                <w:szCs w:val="24"/>
                <w:lang w:eastAsia="lv-LV"/>
              </w:rPr>
              <w:t xml:space="preserve">; </w:t>
            </w:r>
          </w:p>
          <w:p w:rsidR="00CF4A0E" w:rsidRDefault="00CF4A0E" w:rsidP="000A07E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0A07E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8</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277F12"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31.pants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3F390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 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3F390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9</w:t>
            </w:r>
            <w:r>
              <w:rPr>
                <w:rFonts w:ascii="Times New Roman" w:hAnsi="Times New Roman"/>
                <w:sz w:val="24"/>
                <w:szCs w:val="24"/>
                <w:lang w:eastAsia="lv-LV"/>
              </w:rPr>
              <w:t>pants</w:t>
            </w:r>
            <w:proofErr w:type="gramEnd"/>
            <w:r>
              <w:rPr>
                <w:rFonts w:ascii="Times New Roman" w:hAnsi="Times New Roman"/>
                <w:sz w:val="24"/>
                <w:szCs w:val="24"/>
                <w:lang w:eastAsia="lv-LV"/>
              </w:rPr>
              <w:t>;</w:t>
            </w:r>
          </w:p>
          <w:p w:rsidR="00CF4A0E" w:rsidRDefault="00CF4A0E" w:rsidP="003F390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6.pants</w:t>
            </w:r>
            <w:proofErr w:type="gramEnd"/>
            <w:r>
              <w:rPr>
                <w:rFonts w:ascii="Times New Roman" w:hAnsi="Times New Roman"/>
                <w:sz w:val="24"/>
                <w:szCs w:val="24"/>
                <w:lang w:eastAsia="lv-LV"/>
              </w:rPr>
              <w:t>:</w:t>
            </w:r>
          </w:p>
          <w:p w:rsidR="00CF4A0E" w:rsidRPr="00015A9F" w:rsidRDefault="00CF4A0E" w:rsidP="003F3904">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887.</w:t>
            </w:r>
            <w:proofErr w:type="gramStart"/>
            <w:r>
              <w:rPr>
                <w:rFonts w:ascii="Times New Roman" w:hAnsi="Times New Roman"/>
                <w:sz w:val="24"/>
                <w:szCs w:val="24"/>
                <w:vertAlign w:val="superscript"/>
                <w:lang w:eastAsia="lv-LV"/>
              </w:rPr>
              <w:t>4</w:t>
            </w:r>
            <w:r>
              <w:rPr>
                <w:rFonts w:ascii="Times New Roman" w:hAnsi="Times New Roman"/>
                <w:sz w:val="24"/>
                <w:szCs w:val="24"/>
                <w:lang w:eastAsia="lv-LV"/>
              </w:rPr>
              <w:t>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E37F33" w:rsidRDefault="00CF4A0E" w:rsidP="00746400">
            <w:pPr>
              <w:spacing w:after="0" w:line="240" w:lineRule="auto"/>
              <w:jc w:val="both"/>
              <w:rPr>
                <w:rFonts w:ascii="Times New Roman" w:hAnsi="Times New Roman"/>
                <w:b/>
                <w:sz w:val="24"/>
                <w:szCs w:val="24"/>
                <w:lang w:eastAsia="lv-LV"/>
              </w:rPr>
            </w:pPr>
            <w:proofErr w:type="gramStart"/>
            <w:r w:rsidRPr="00E37F33">
              <w:rPr>
                <w:rFonts w:ascii="Times New Roman" w:hAnsi="Times New Roman"/>
                <w:b/>
                <w:sz w:val="24"/>
                <w:szCs w:val="24"/>
                <w:lang w:eastAsia="lv-LV"/>
              </w:rPr>
              <w:t>32.pants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E37F3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4.pants</w:t>
            </w:r>
            <w:proofErr w:type="gramEnd"/>
            <w:r>
              <w:rPr>
                <w:rFonts w:ascii="Times New Roman" w:hAnsi="Times New Roman"/>
                <w:sz w:val="24"/>
                <w:szCs w:val="24"/>
                <w:lang w:eastAsia="lv-LV"/>
              </w:rPr>
              <w:t>:</w:t>
            </w:r>
          </w:p>
          <w:p w:rsidR="00CF4A0E" w:rsidRDefault="00CF4A0E" w:rsidP="00E37F33">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KPL 875.</w:t>
            </w:r>
            <w:proofErr w:type="gramStart"/>
            <w:r>
              <w:rPr>
                <w:rFonts w:ascii="Times New Roman" w:hAnsi="Times New Roman"/>
                <w:sz w:val="24"/>
                <w:szCs w:val="24"/>
                <w:vertAlign w:val="superscript"/>
                <w:lang w:eastAsia="lv-LV"/>
              </w:rPr>
              <w:t>5</w:t>
            </w:r>
            <w:r>
              <w:rPr>
                <w:rFonts w:ascii="Times New Roman" w:hAnsi="Times New Roman"/>
                <w:sz w:val="24"/>
                <w:szCs w:val="24"/>
                <w:lang w:eastAsia="lv-LV"/>
              </w:rPr>
              <w:t>panta</w:t>
            </w:r>
            <w:proofErr w:type="gramEnd"/>
            <w:r>
              <w:rPr>
                <w:rFonts w:ascii="Times New Roman" w:hAnsi="Times New Roman"/>
                <w:sz w:val="24"/>
                <w:szCs w:val="24"/>
                <w:lang w:eastAsia="lv-LV"/>
              </w:rPr>
              <w:t xml:space="preserve"> otrā daļa</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80463D">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E37F33" w:rsidRDefault="00CF4A0E" w:rsidP="00746400">
            <w:pPr>
              <w:spacing w:after="0" w:line="240" w:lineRule="auto"/>
              <w:jc w:val="both"/>
              <w:rPr>
                <w:rFonts w:ascii="Times New Roman" w:hAnsi="Times New Roman"/>
                <w:b/>
                <w:sz w:val="24"/>
                <w:szCs w:val="24"/>
                <w:lang w:eastAsia="lv-LV"/>
              </w:rPr>
            </w:pPr>
            <w:proofErr w:type="gramStart"/>
            <w:r w:rsidRPr="00E37F33">
              <w:rPr>
                <w:rFonts w:ascii="Times New Roman" w:hAnsi="Times New Roman"/>
                <w:b/>
                <w:sz w:val="24"/>
                <w:szCs w:val="24"/>
                <w:lang w:eastAsia="lv-LV"/>
              </w:rPr>
              <w:t>33.pants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Rīcība nav nepieciešama </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E37F33" w:rsidRDefault="00CF4A0E" w:rsidP="00746400">
            <w:pPr>
              <w:spacing w:after="0" w:line="240" w:lineRule="auto"/>
              <w:jc w:val="both"/>
              <w:rPr>
                <w:rFonts w:ascii="Times New Roman" w:hAnsi="Times New Roman"/>
                <w:b/>
                <w:sz w:val="24"/>
                <w:szCs w:val="24"/>
                <w:lang w:eastAsia="lv-LV"/>
              </w:rPr>
            </w:pPr>
            <w:proofErr w:type="gramStart"/>
            <w:r w:rsidRPr="00E37F33">
              <w:rPr>
                <w:rFonts w:ascii="Times New Roman" w:hAnsi="Times New Roman"/>
                <w:b/>
                <w:sz w:val="24"/>
                <w:szCs w:val="24"/>
                <w:lang w:eastAsia="lv-LV"/>
              </w:rPr>
              <w:t>34.pants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Rīcība nav nepieciešama </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E37F33" w:rsidRDefault="00CF4A0E" w:rsidP="00746400">
            <w:pPr>
              <w:spacing w:after="0" w:line="240" w:lineRule="auto"/>
              <w:jc w:val="both"/>
              <w:rPr>
                <w:rFonts w:ascii="Times New Roman" w:hAnsi="Times New Roman"/>
                <w:b/>
                <w:sz w:val="24"/>
                <w:szCs w:val="24"/>
                <w:lang w:eastAsia="lv-LV"/>
              </w:rPr>
            </w:pPr>
            <w:proofErr w:type="gramStart"/>
            <w:r w:rsidRPr="00E37F33">
              <w:rPr>
                <w:rFonts w:ascii="Times New Roman" w:hAnsi="Times New Roman"/>
                <w:b/>
                <w:sz w:val="24"/>
                <w:szCs w:val="24"/>
                <w:lang w:eastAsia="lv-LV"/>
              </w:rPr>
              <w:t>35.pants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Rīcība nav nepieciešama </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E37F33" w:rsidRDefault="00CF4A0E" w:rsidP="00746400">
            <w:pPr>
              <w:spacing w:after="0" w:line="240" w:lineRule="auto"/>
              <w:jc w:val="both"/>
              <w:rPr>
                <w:rFonts w:ascii="Times New Roman" w:hAnsi="Times New Roman"/>
                <w:b/>
                <w:sz w:val="24"/>
                <w:szCs w:val="24"/>
                <w:lang w:eastAsia="lv-LV"/>
              </w:rPr>
            </w:pPr>
            <w:proofErr w:type="gramStart"/>
            <w:r w:rsidRPr="00E37F33">
              <w:rPr>
                <w:rFonts w:ascii="Times New Roman" w:hAnsi="Times New Roman"/>
                <w:b/>
                <w:sz w:val="24"/>
                <w:szCs w:val="24"/>
                <w:lang w:eastAsia="lv-LV"/>
              </w:rPr>
              <w:t>36.pants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2C7F37"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2.punkts</w:t>
            </w:r>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Likumprojekta </w:t>
            </w:r>
            <w:proofErr w:type="gramStart"/>
            <w:r>
              <w:rPr>
                <w:rFonts w:ascii="Times New Roman" w:hAnsi="Times New Roman"/>
                <w:sz w:val="24"/>
                <w:szCs w:val="24"/>
                <w:lang w:eastAsia="lv-LV"/>
              </w:rPr>
              <w:t>7.pants</w:t>
            </w:r>
            <w:proofErr w:type="gramEnd"/>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Ieviests pilnībā</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Neparedz stingrākas prasības</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proofErr w:type="gramStart"/>
            <w:r w:rsidRPr="00E37F33">
              <w:rPr>
                <w:rFonts w:ascii="Times New Roman" w:hAnsi="Times New Roman"/>
                <w:b/>
                <w:sz w:val="24"/>
                <w:szCs w:val="24"/>
                <w:lang w:eastAsia="lv-LV"/>
              </w:rPr>
              <w:t>37.pants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Rīcība nav nepieciešama </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r>
      <w:tr w:rsidR="00CF4A0E" w:rsidRPr="00FA75B1" w:rsidTr="00746400">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Pr="00044741" w:rsidRDefault="00CF4A0E" w:rsidP="00746400">
            <w:pPr>
              <w:spacing w:after="0" w:line="240" w:lineRule="auto"/>
              <w:jc w:val="both"/>
              <w:rPr>
                <w:rFonts w:ascii="Times New Roman" w:hAnsi="Times New Roman"/>
                <w:b/>
                <w:sz w:val="24"/>
                <w:szCs w:val="24"/>
                <w:lang w:eastAsia="lv-LV"/>
              </w:rPr>
            </w:pPr>
            <w:proofErr w:type="gramStart"/>
            <w:r>
              <w:rPr>
                <w:rFonts w:ascii="Times New Roman" w:hAnsi="Times New Roman"/>
                <w:b/>
                <w:sz w:val="24"/>
                <w:szCs w:val="24"/>
                <w:lang w:eastAsia="lv-LV"/>
              </w:rPr>
              <w:t>38.pants</w:t>
            </w:r>
            <w:proofErr w:type="gramEnd"/>
          </w:p>
        </w:tc>
        <w:tc>
          <w:tcPr>
            <w:tcW w:w="1544" w:type="pct"/>
            <w:gridSpan w:val="2"/>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 xml:space="preserve">Rīcība nav nepieciešama </w:t>
            </w:r>
          </w:p>
        </w:tc>
        <w:tc>
          <w:tcPr>
            <w:tcW w:w="1030"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c>
          <w:tcPr>
            <w:tcW w:w="1252" w:type="pct"/>
            <w:tcBorders>
              <w:top w:val="outset" w:sz="6" w:space="0" w:color="auto"/>
              <w:left w:val="outset" w:sz="6" w:space="0" w:color="auto"/>
              <w:bottom w:val="outset" w:sz="6" w:space="0" w:color="auto"/>
              <w:right w:val="outset" w:sz="6" w:space="0" w:color="auto"/>
            </w:tcBorders>
            <w:shd w:val="clear" w:color="auto" w:fill="auto"/>
          </w:tcPr>
          <w:p w:rsidR="00CF4A0E" w:rsidRDefault="00CF4A0E" w:rsidP="00746400">
            <w:pPr>
              <w:spacing w:after="0" w:line="240" w:lineRule="auto"/>
              <w:jc w:val="both"/>
              <w:rPr>
                <w:rFonts w:ascii="Times New Roman" w:hAnsi="Times New Roman"/>
                <w:sz w:val="24"/>
                <w:szCs w:val="24"/>
                <w:lang w:eastAsia="lv-LV"/>
              </w:rPr>
            </w:pPr>
            <w:r>
              <w:rPr>
                <w:rFonts w:ascii="Times New Roman" w:hAnsi="Times New Roman"/>
                <w:sz w:val="24"/>
                <w:szCs w:val="24"/>
                <w:lang w:eastAsia="lv-LV"/>
              </w:rPr>
              <w:t>Rīcība nav nepieciešama</w:t>
            </w:r>
          </w:p>
        </w:tc>
      </w:tr>
      <w:tr w:rsidR="00CF4A0E" w:rsidRPr="00FA75B1" w:rsidTr="00F15ABF">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360"/>
        </w:trPr>
        <w:tc>
          <w:tcPr>
            <w:tcW w:w="1174" w:type="pct"/>
            <w:gridSpan w:val="2"/>
            <w:tcBorders>
              <w:top w:val="outset" w:sz="6" w:space="0" w:color="auto"/>
              <w:left w:val="outset" w:sz="6" w:space="0" w:color="auto"/>
              <w:bottom w:val="outset" w:sz="6" w:space="0" w:color="auto"/>
              <w:right w:val="outset" w:sz="6" w:space="0" w:color="auto"/>
            </w:tcBorders>
          </w:tcPr>
          <w:p w:rsidR="00CF4A0E" w:rsidRPr="00FA75B1" w:rsidRDefault="00CF4A0E" w:rsidP="00C62D27">
            <w:pPr>
              <w:spacing w:after="0" w:line="240" w:lineRule="auto"/>
              <w:jc w:val="both"/>
              <w:rPr>
                <w:rFonts w:ascii="Times New Roman" w:hAnsi="Times New Roman"/>
                <w:sz w:val="24"/>
                <w:szCs w:val="24"/>
                <w:lang w:eastAsia="lv-LV"/>
              </w:rPr>
            </w:pPr>
            <w:r w:rsidRPr="00FA75B1">
              <w:rPr>
                <w:rFonts w:ascii="Times New Roman" w:hAnsi="Times New Roman"/>
                <w:spacing w:val="-4"/>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3826" w:type="pct"/>
            <w:gridSpan w:val="4"/>
            <w:tcBorders>
              <w:top w:val="outset" w:sz="6" w:space="0" w:color="auto"/>
              <w:left w:val="outset" w:sz="6" w:space="0" w:color="auto"/>
              <w:bottom w:val="outset" w:sz="6" w:space="0" w:color="auto"/>
              <w:right w:val="outset" w:sz="6" w:space="0" w:color="auto"/>
            </w:tcBorders>
          </w:tcPr>
          <w:p w:rsidR="00CF4A0E" w:rsidRPr="00FA75B1" w:rsidRDefault="00CF4A0E" w:rsidP="00C62D27">
            <w:pPr>
              <w:spacing w:after="0" w:line="240" w:lineRule="auto"/>
              <w:jc w:val="both"/>
              <w:rPr>
                <w:rFonts w:ascii="Times New Roman" w:hAnsi="Times New Roman"/>
                <w:sz w:val="24"/>
                <w:szCs w:val="24"/>
                <w:lang w:eastAsia="lv-LV"/>
              </w:rPr>
            </w:pPr>
            <w:r w:rsidRPr="00FA75B1">
              <w:rPr>
                <w:rFonts w:ascii="Times New Roman" w:hAnsi="Times New Roman"/>
                <w:sz w:val="24"/>
                <w:szCs w:val="24"/>
                <w:lang w:eastAsia="lv-LV"/>
              </w:rPr>
              <w:t>Nav attiecināms.</w:t>
            </w:r>
          </w:p>
        </w:tc>
      </w:tr>
      <w:tr w:rsidR="00CF4A0E" w:rsidRPr="00FA75B1" w:rsidTr="00D1051A">
        <w:tblPrEx>
          <w:tblBorders>
            <w:top w:val="outset" w:sz="6" w:space="0" w:color="auto"/>
            <w:left w:val="outset" w:sz="6" w:space="0" w:color="auto"/>
            <w:bottom w:val="outset" w:sz="6" w:space="0" w:color="auto"/>
            <w:right w:val="outset" w:sz="6" w:space="0" w:color="auto"/>
          </w:tblBorders>
          <w:tblCellMar>
            <w:top w:w="28" w:type="dxa"/>
            <w:left w:w="28" w:type="dxa"/>
            <w:bottom w:w="28" w:type="dxa"/>
            <w:right w:w="28" w:type="dxa"/>
          </w:tblCellMar>
        </w:tblPrEx>
        <w:trPr>
          <w:cantSplit/>
          <w:trHeight w:val="679"/>
        </w:trPr>
        <w:tc>
          <w:tcPr>
            <w:tcW w:w="1174" w:type="pct"/>
            <w:gridSpan w:val="2"/>
            <w:tcBorders>
              <w:top w:val="outset" w:sz="6" w:space="0" w:color="auto"/>
              <w:left w:val="outset" w:sz="6" w:space="0" w:color="auto"/>
              <w:bottom w:val="outset" w:sz="6" w:space="0" w:color="auto"/>
              <w:right w:val="outset" w:sz="6" w:space="0" w:color="auto"/>
            </w:tcBorders>
          </w:tcPr>
          <w:p w:rsidR="00CF4A0E" w:rsidRPr="00FA75B1" w:rsidRDefault="00CF4A0E" w:rsidP="00417571">
            <w:pPr>
              <w:spacing w:after="0" w:line="240" w:lineRule="auto"/>
              <w:jc w:val="both"/>
              <w:rPr>
                <w:rFonts w:ascii="Times New Roman" w:hAnsi="Times New Roman"/>
                <w:sz w:val="24"/>
                <w:szCs w:val="24"/>
                <w:lang w:eastAsia="lv-LV"/>
              </w:rPr>
            </w:pPr>
            <w:r w:rsidRPr="00FA75B1">
              <w:rPr>
                <w:rFonts w:ascii="Times New Roman" w:hAnsi="Times New Roman"/>
                <w:sz w:val="24"/>
                <w:szCs w:val="24"/>
                <w:lang w:eastAsia="lv-LV"/>
              </w:rPr>
              <w:t xml:space="preserve">Cita </w:t>
            </w:r>
            <w:r w:rsidRPr="00417571">
              <w:rPr>
                <w:rFonts w:ascii="Times New Roman" w:hAnsi="Times New Roman"/>
                <w:spacing w:val="-4"/>
                <w:sz w:val="24"/>
                <w:szCs w:val="24"/>
                <w:lang w:eastAsia="lv-LV"/>
              </w:rPr>
              <w:t>informācija</w:t>
            </w:r>
          </w:p>
        </w:tc>
        <w:tc>
          <w:tcPr>
            <w:tcW w:w="3826" w:type="pct"/>
            <w:gridSpan w:val="4"/>
            <w:tcBorders>
              <w:top w:val="outset" w:sz="6" w:space="0" w:color="auto"/>
              <w:left w:val="outset" w:sz="6" w:space="0" w:color="auto"/>
              <w:bottom w:val="outset" w:sz="6" w:space="0" w:color="auto"/>
              <w:right w:val="outset" w:sz="6" w:space="0" w:color="auto"/>
            </w:tcBorders>
          </w:tcPr>
          <w:p w:rsidR="00CF4A0E" w:rsidRPr="00226C2D" w:rsidRDefault="00CF4A0E" w:rsidP="00226C2D">
            <w:pPr>
              <w:tabs>
                <w:tab w:val="left" w:pos="993"/>
              </w:tabs>
              <w:spacing w:after="0" w:line="240" w:lineRule="auto"/>
              <w:contextualSpacing/>
              <w:jc w:val="both"/>
              <w:rPr>
                <w:rFonts w:ascii="Times New Roman" w:eastAsia="Times New Roman" w:hAnsi="Times New Roman"/>
                <w:bCs/>
                <w:sz w:val="24"/>
                <w:szCs w:val="24"/>
              </w:rPr>
            </w:pPr>
            <w:r>
              <w:rPr>
                <w:rFonts w:ascii="Times New Roman" w:eastAsia="Times New Roman" w:hAnsi="Times New Roman"/>
                <w:bCs/>
                <w:sz w:val="24"/>
                <w:szCs w:val="24"/>
              </w:rPr>
              <w:t xml:space="preserve">Nav. </w:t>
            </w:r>
          </w:p>
        </w:tc>
      </w:tr>
    </w:tbl>
    <w:p w:rsidR="00A86DB4" w:rsidRPr="004B1396" w:rsidRDefault="00A86DB4" w:rsidP="004B1396">
      <w:pPr>
        <w:spacing w:after="0" w:line="240" w:lineRule="auto"/>
        <w:rPr>
          <w:rFonts w:ascii="Times New Roman" w:eastAsia="Times New Roman" w:hAnsi="Times New Roman" w:cs="Times New Roman"/>
          <w:sz w:val="24"/>
          <w:szCs w:val="24"/>
          <w:lang w:eastAsia="lv-LV"/>
        </w:rPr>
      </w:pPr>
    </w:p>
    <w:tbl>
      <w:tblPr>
        <w:tblW w:w="5278" w:type="pct"/>
        <w:tblInd w:w="30"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28"/>
        <w:gridCol w:w="3541"/>
        <w:gridCol w:w="5670"/>
      </w:tblGrid>
      <w:tr w:rsidR="004B1396" w:rsidRPr="004B1396" w:rsidTr="00A33487">
        <w:trPr>
          <w:trHeight w:val="420"/>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4B1396" w:rsidRDefault="004D15A9" w:rsidP="004B1396">
            <w:pPr>
              <w:spacing w:after="0" w:line="240" w:lineRule="auto"/>
              <w:ind w:firstLine="300"/>
              <w:jc w:val="center"/>
              <w:rPr>
                <w:rFonts w:ascii="Times New Roman" w:eastAsia="Times New Roman" w:hAnsi="Times New Roman" w:cs="Times New Roman"/>
                <w:b/>
                <w:bCs/>
                <w:sz w:val="24"/>
                <w:szCs w:val="24"/>
                <w:lang w:eastAsia="lv-LV"/>
              </w:rPr>
            </w:pPr>
            <w:r w:rsidRPr="004B1396">
              <w:rPr>
                <w:rFonts w:ascii="Times New Roman" w:eastAsia="Times New Roman" w:hAnsi="Times New Roman" w:cs="Times New Roman"/>
                <w:b/>
                <w:bCs/>
                <w:sz w:val="24"/>
                <w:szCs w:val="24"/>
                <w:lang w:eastAsia="lv-LV"/>
              </w:rPr>
              <w:t>VI. Sabiedrības līdzdalība un komunikācijas aktivitātes</w:t>
            </w:r>
          </w:p>
        </w:tc>
      </w:tr>
      <w:tr w:rsidR="004B1396" w:rsidRPr="004B1396" w:rsidTr="009264AE">
        <w:trPr>
          <w:trHeight w:val="540"/>
        </w:trPr>
        <w:tc>
          <w:tcPr>
            <w:tcW w:w="222"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1.</w:t>
            </w:r>
          </w:p>
        </w:tc>
        <w:tc>
          <w:tcPr>
            <w:tcW w:w="1837"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Plānotās sabiedrības līdzdalības un komunikācijas aktivitātes saistībā ar projektu</w:t>
            </w:r>
          </w:p>
        </w:tc>
        <w:tc>
          <w:tcPr>
            <w:tcW w:w="2941" w:type="pct"/>
            <w:tcBorders>
              <w:top w:val="outset" w:sz="6" w:space="0" w:color="414142"/>
              <w:left w:val="outset" w:sz="6" w:space="0" w:color="414142"/>
              <w:bottom w:val="outset" w:sz="6" w:space="0" w:color="414142"/>
              <w:right w:val="outset" w:sz="6" w:space="0" w:color="414142"/>
            </w:tcBorders>
            <w:hideMark/>
          </w:tcPr>
          <w:p w:rsidR="004D15A9" w:rsidRPr="004B1396" w:rsidRDefault="00B13743" w:rsidP="00B13743">
            <w:pPr>
              <w:spacing w:after="0" w:line="240" w:lineRule="auto"/>
              <w:jc w:val="both"/>
              <w:rPr>
                <w:rFonts w:ascii="Times New Roman" w:eastAsia="Times New Roman" w:hAnsi="Times New Roman" w:cs="Times New Roman"/>
                <w:sz w:val="24"/>
                <w:szCs w:val="24"/>
                <w:lang w:eastAsia="lv-LV"/>
              </w:rPr>
            </w:pPr>
            <w:r>
              <w:rPr>
                <w:rFonts w:ascii="Times New Roman" w:hAnsi="Times New Roman"/>
                <w:sz w:val="24"/>
                <w:szCs w:val="24"/>
                <w:lang w:eastAsia="lv-LV"/>
              </w:rPr>
              <w:t>Īpašas komunikācijas aktivitātes nav plānotas.</w:t>
            </w:r>
          </w:p>
        </w:tc>
      </w:tr>
      <w:tr w:rsidR="004B1396" w:rsidRPr="004B1396" w:rsidTr="009264AE">
        <w:trPr>
          <w:trHeight w:val="330"/>
        </w:trPr>
        <w:tc>
          <w:tcPr>
            <w:tcW w:w="222"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2.</w:t>
            </w:r>
          </w:p>
        </w:tc>
        <w:tc>
          <w:tcPr>
            <w:tcW w:w="1837"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Sabiedrības līdzdalība projekta izstrādē</w:t>
            </w:r>
          </w:p>
        </w:tc>
        <w:tc>
          <w:tcPr>
            <w:tcW w:w="2941" w:type="pct"/>
            <w:tcBorders>
              <w:top w:val="outset" w:sz="6" w:space="0" w:color="414142"/>
              <w:left w:val="outset" w:sz="6" w:space="0" w:color="414142"/>
              <w:bottom w:val="outset" w:sz="6" w:space="0" w:color="414142"/>
              <w:right w:val="outset" w:sz="6" w:space="0" w:color="414142"/>
            </w:tcBorders>
            <w:hideMark/>
          </w:tcPr>
          <w:p w:rsidR="004D15A9" w:rsidRPr="004B1396" w:rsidRDefault="008C4BA1" w:rsidP="004B139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attiecināms.</w:t>
            </w:r>
          </w:p>
        </w:tc>
      </w:tr>
      <w:tr w:rsidR="004B1396" w:rsidRPr="004B1396" w:rsidTr="009264AE">
        <w:trPr>
          <w:trHeight w:val="465"/>
        </w:trPr>
        <w:tc>
          <w:tcPr>
            <w:tcW w:w="222"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lastRenderedPageBreak/>
              <w:t>3.</w:t>
            </w:r>
          </w:p>
        </w:tc>
        <w:tc>
          <w:tcPr>
            <w:tcW w:w="1837"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Sabiedrības līdzdalības rezultāti</w:t>
            </w:r>
          </w:p>
        </w:tc>
        <w:tc>
          <w:tcPr>
            <w:tcW w:w="2941" w:type="pct"/>
            <w:tcBorders>
              <w:top w:val="outset" w:sz="6" w:space="0" w:color="414142"/>
              <w:left w:val="outset" w:sz="6" w:space="0" w:color="414142"/>
              <w:bottom w:val="outset" w:sz="6" w:space="0" w:color="414142"/>
              <w:right w:val="outset" w:sz="6" w:space="0" w:color="414142"/>
            </w:tcBorders>
            <w:hideMark/>
          </w:tcPr>
          <w:p w:rsidR="004D15A9" w:rsidRPr="004B1396" w:rsidRDefault="008C4BA1" w:rsidP="00852B2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Nav attiecināms. </w:t>
            </w:r>
          </w:p>
        </w:tc>
      </w:tr>
      <w:tr w:rsidR="004D15A9" w:rsidRPr="004B1396" w:rsidTr="009264AE">
        <w:trPr>
          <w:trHeight w:val="180"/>
        </w:trPr>
        <w:tc>
          <w:tcPr>
            <w:tcW w:w="222"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4.</w:t>
            </w:r>
          </w:p>
        </w:tc>
        <w:tc>
          <w:tcPr>
            <w:tcW w:w="1837"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Cita informācija</w:t>
            </w:r>
          </w:p>
        </w:tc>
        <w:tc>
          <w:tcPr>
            <w:tcW w:w="2941" w:type="pct"/>
            <w:tcBorders>
              <w:top w:val="outset" w:sz="6" w:space="0" w:color="414142"/>
              <w:left w:val="outset" w:sz="6" w:space="0" w:color="414142"/>
              <w:bottom w:val="outset" w:sz="6" w:space="0" w:color="414142"/>
              <w:right w:val="outset" w:sz="6" w:space="0" w:color="414142"/>
            </w:tcBorders>
            <w:hideMark/>
          </w:tcPr>
          <w:p w:rsidR="004D15A9" w:rsidRPr="004B1396" w:rsidRDefault="00B13743" w:rsidP="004B13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p>
        </w:tc>
      </w:tr>
    </w:tbl>
    <w:p w:rsidR="004D15A9" w:rsidRPr="004B1396" w:rsidRDefault="004D15A9" w:rsidP="004B1396">
      <w:pPr>
        <w:spacing w:after="0" w:line="240" w:lineRule="auto"/>
        <w:rPr>
          <w:rFonts w:ascii="Times New Roman" w:eastAsia="Times New Roman" w:hAnsi="Times New Roman" w:cs="Times New Roman"/>
          <w:sz w:val="24"/>
          <w:szCs w:val="24"/>
          <w:lang w:eastAsia="lv-LV"/>
        </w:rPr>
      </w:pPr>
    </w:p>
    <w:tbl>
      <w:tblPr>
        <w:tblW w:w="5295"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7"/>
        <w:gridCol w:w="3541"/>
        <w:gridCol w:w="5672"/>
      </w:tblGrid>
      <w:tr w:rsidR="004B1396" w:rsidRPr="004B1396" w:rsidTr="00A33487">
        <w:trPr>
          <w:trHeight w:val="375"/>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rsidR="004D15A9" w:rsidRPr="004B1396" w:rsidRDefault="004D15A9" w:rsidP="004B1396">
            <w:pPr>
              <w:spacing w:after="0" w:line="240" w:lineRule="auto"/>
              <w:ind w:firstLine="300"/>
              <w:jc w:val="center"/>
              <w:rPr>
                <w:rFonts w:ascii="Times New Roman" w:eastAsia="Times New Roman" w:hAnsi="Times New Roman" w:cs="Times New Roman"/>
                <w:b/>
                <w:bCs/>
                <w:sz w:val="24"/>
                <w:szCs w:val="24"/>
                <w:lang w:eastAsia="lv-LV"/>
              </w:rPr>
            </w:pPr>
            <w:r w:rsidRPr="004B1396">
              <w:rPr>
                <w:rFonts w:ascii="Times New Roman" w:eastAsia="Times New Roman" w:hAnsi="Times New Roman" w:cs="Times New Roman"/>
                <w:b/>
                <w:bCs/>
                <w:sz w:val="24"/>
                <w:szCs w:val="24"/>
                <w:lang w:eastAsia="lv-LV"/>
              </w:rPr>
              <w:t>VII. Tiesību akta projekta izpildes nodrošināšana un tās ietekme uz institūcijām</w:t>
            </w:r>
          </w:p>
        </w:tc>
      </w:tr>
      <w:tr w:rsidR="004B1396" w:rsidRPr="004B1396" w:rsidTr="009264AE">
        <w:trPr>
          <w:trHeight w:val="420"/>
        </w:trPr>
        <w:tc>
          <w:tcPr>
            <w:tcW w:w="236"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1.</w:t>
            </w:r>
          </w:p>
        </w:tc>
        <w:tc>
          <w:tcPr>
            <w:tcW w:w="1831"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Projekta izpildē iesaistītās institūcijas</w:t>
            </w:r>
          </w:p>
        </w:tc>
        <w:tc>
          <w:tcPr>
            <w:tcW w:w="2932" w:type="pct"/>
            <w:tcBorders>
              <w:top w:val="outset" w:sz="6" w:space="0" w:color="414142"/>
              <w:left w:val="outset" w:sz="6" w:space="0" w:color="414142"/>
              <w:bottom w:val="outset" w:sz="6" w:space="0" w:color="414142"/>
              <w:right w:val="outset" w:sz="6" w:space="0" w:color="414142"/>
            </w:tcBorders>
            <w:hideMark/>
          </w:tcPr>
          <w:p w:rsidR="004D15A9" w:rsidRPr="004B1396" w:rsidRDefault="008A507E" w:rsidP="00EF3345">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Izmeklēšanas iestādes, Ģenerālprokuratūra. </w:t>
            </w:r>
            <w:r w:rsidR="00EF3345">
              <w:rPr>
                <w:rFonts w:ascii="Times New Roman" w:eastAsia="Times New Roman" w:hAnsi="Times New Roman" w:cs="Times New Roman"/>
                <w:sz w:val="24"/>
                <w:szCs w:val="24"/>
                <w:lang w:eastAsia="lv-LV"/>
              </w:rPr>
              <w:t xml:space="preserve"> </w:t>
            </w:r>
          </w:p>
        </w:tc>
      </w:tr>
      <w:tr w:rsidR="004B1396" w:rsidRPr="004B1396" w:rsidTr="009264AE">
        <w:trPr>
          <w:trHeight w:val="450"/>
        </w:trPr>
        <w:tc>
          <w:tcPr>
            <w:tcW w:w="236"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2.</w:t>
            </w:r>
          </w:p>
        </w:tc>
        <w:tc>
          <w:tcPr>
            <w:tcW w:w="1831"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 xml:space="preserve">Projekta izpildes ietekme uz pārvaldes funkcijām un institucionālo struktūru. </w:t>
            </w:r>
          </w:p>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2932" w:type="pct"/>
            <w:tcBorders>
              <w:top w:val="outset" w:sz="6" w:space="0" w:color="414142"/>
              <w:left w:val="outset" w:sz="6" w:space="0" w:color="414142"/>
              <w:bottom w:val="outset" w:sz="6" w:space="0" w:color="414142"/>
              <w:right w:val="outset" w:sz="6" w:space="0" w:color="414142"/>
            </w:tcBorders>
            <w:hideMark/>
          </w:tcPr>
          <w:p w:rsidR="004D15A9" w:rsidRPr="004B1396" w:rsidRDefault="00A36B8B" w:rsidP="004B1396">
            <w:pPr>
              <w:spacing w:after="0" w:line="240" w:lineRule="auto"/>
              <w:jc w:val="both"/>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Jaunas institūcijas veidotas netiek</w:t>
            </w:r>
            <w:r w:rsidR="00367C1C" w:rsidRPr="004B1396">
              <w:rPr>
                <w:rFonts w:ascii="Times New Roman" w:eastAsia="Times New Roman" w:hAnsi="Times New Roman" w:cs="Times New Roman"/>
                <w:sz w:val="24"/>
                <w:szCs w:val="24"/>
                <w:lang w:eastAsia="lv-LV"/>
              </w:rPr>
              <w:t>;</w:t>
            </w:r>
            <w:r w:rsidRPr="004B1396">
              <w:rPr>
                <w:rFonts w:ascii="Times New Roman" w:eastAsia="Times New Roman" w:hAnsi="Times New Roman" w:cs="Times New Roman"/>
                <w:sz w:val="24"/>
                <w:szCs w:val="24"/>
                <w:lang w:eastAsia="lv-LV"/>
              </w:rPr>
              <w:t xml:space="preserve"> funkciju un uzdevumu apjoms nepalielinās. </w:t>
            </w:r>
          </w:p>
        </w:tc>
      </w:tr>
      <w:tr w:rsidR="004D15A9" w:rsidRPr="004B1396" w:rsidTr="009264AE">
        <w:trPr>
          <w:trHeight w:val="35"/>
        </w:trPr>
        <w:tc>
          <w:tcPr>
            <w:tcW w:w="236"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3.</w:t>
            </w:r>
          </w:p>
        </w:tc>
        <w:tc>
          <w:tcPr>
            <w:tcW w:w="1831" w:type="pct"/>
            <w:tcBorders>
              <w:top w:val="outset" w:sz="6" w:space="0" w:color="414142"/>
              <w:left w:val="outset" w:sz="6" w:space="0" w:color="414142"/>
              <w:bottom w:val="outset" w:sz="6" w:space="0" w:color="414142"/>
              <w:right w:val="outset" w:sz="6" w:space="0" w:color="414142"/>
            </w:tcBorders>
            <w:hideMark/>
          </w:tcPr>
          <w:p w:rsidR="004D15A9" w:rsidRPr="004B1396" w:rsidRDefault="004D15A9"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Cita informācija</w:t>
            </w:r>
          </w:p>
        </w:tc>
        <w:tc>
          <w:tcPr>
            <w:tcW w:w="2932" w:type="pct"/>
            <w:tcBorders>
              <w:top w:val="outset" w:sz="6" w:space="0" w:color="414142"/>
              <w:left w:val="outset" w:sz="6" w:space="0" w:color="414142"/>
              <w:bottom w:val="outset" w:sz="6" w:space="0" w:color="414142"/>
              <w:right w:val="outset" w:sz="6" w:space="0" w:color="414142"/>
            </w:tcBorders>
            <w:hideMark/>
          </w:tcPr>
          <w:p w:rsidR="004D15A9" w:rsidRPr="004B1396" w:rsidRDefault="00367C1C" w:rsidP="004B1396">
            <w:pPr>
              <w:spacing w:after="0" w:line="240" w:lineRule="auto"/>
              <w:rPr>
                <w:rFonts w:ascii="Times New Roman" w:eastAsia="Times New Roman" w:hAnsi="Times New Roman" w:cs="Times New Roman"/>
                <w:sz w:val="24"/>
                <w:szCs w:val="24"/>
                <w:lang w:eastAsia="lv-LV"/>
              </w:rPr>
            </w:pPr>
            <w:r w:rsidRPr="004B1396">
              <w:rPr>
                <w:rFonts w:ascii="Times New Roman" w:eastAsia="Times New Roman" w:hAnsi="Times New Roman" w:cs="Times New Roman"/>
                <w:sz w:val="24"/>
                <w:szCs w:val="24"/>
                <w:lang w:eastAsia="lv-LV"/>
              </w:rPr>
              <w:t>Nav</w:t>
            </w:r>
            <w:r w:rsidR="002F6B91" w:rsidRPr="004B1396">
              <w:rPr>
                <w:rFonts w:ascii="Times New Roman" w:eastAsia="Times New Roman" w:hAnsi="Times New Roman" w:cs="Times New Roman"/>
                <w:sz w:val="24"/>
                <w:szCs w:val="24"/>
                <w:lang w:eastAsia="lv-LV"/>
              </w:rPr>
              <w:t>.</w:t>
            </w:r>
          </w:p>
        </w:tc>
      </w:tr>
    </w:tbl>
    <w:p w:rsidR="00BB1F46" w:rsidRPr="004B1396" w:rsidRDefault="00BB1F46" w:rsidP="004B1396">
      <w:pPr>
        <w:spacing w:after="0" w:line="240" w:lineRule="auto"/>
        <w:rPr>
          <w:rFonts w:ascii="Times New Roman" w:hAnsi="Times New Roman" w:cs="Times New Roman"/>
          <w:sz w:val="24"/>
          <w:szCs w:val="24"/>
        </w:rPr>
      </w:pPr>
    </w:p>
    <w:p w:rsidR="004D15A9" w:rsidRPr="004B1396" w:rsidRDefault="004D15A9" w:rsidP="004B1396">
      <w:pPr>
        <w:spacing w:after="0" w:line="240" w:lineRule="auto"/>
        <w:rPr>
          <w:rFonts w:ascii="Times New Roman" w:hAnsi="Times New Roman" w:cs="Times New Roman"/>
          <w:sz w:val="24"/>
          <w:szCs w:val="24"/>
        </w:rPr>
      </w:pPr>
    </w:p>
    <w:p w:rsidR="004D15A9" w:rsidRPr="004B1396" w:rsidRDefault="004D15A9" w:rsidP="004B1396">
      <w:pPr>
        <w:pStyle w:val="StyleRight"/>
        <w:spacing w:after="0"/>
        <w:ind w:firstLine="0"/>
        <w:jc w:val="both"/>
        <w:rPr>
          <w:sz w:val="24"/>
          <w:szCs w:val="24"/>
        </w:rPr>
      </w:pPr>
      <w:r w:rsidRPr="004B1396">
        <w:rPr>
          <w:sz w:val="24"/>
          <w:szCs w:val="24"/>
        </w:rPr>
        <w:t>Iesniedzējs:</w:t>
      </w:r>
    </w:p>
    <w:p w:rsidR="00E81B82" w:rsidRPr="004B1396" w:rsidRDefault="00E81B82" w:rsidP="004B1396">
      <w:pPr>
        <w:pStyle w:val="StyleRight"/>
        <w:spacing w:after="0"/>
        <w:ind w:firstLine="0"/>
        <w:jc w:val="both"/>
        <w:rPr>
          <w:sz w:val="24"/>
          <w:szCs w:val="24"/>
        </w:rPr>
      </w:pPr>
      <w:r w:rsidRPr="004B1396">
        <w:rPr>
          <w:sz w:val="24"/>
          <w:szCs w:val="24"/>
        </w:rPr>
        <w:t xml:space="preserve">Tieslietu ministrijas </w:t>
      </w:r>
    </w:p>
    <w:p w:rsidR="004D15A9" w:rsidRPr="004B1396" w:rsidRDefault="00E81B82" w:rsidP="004B1396">
      <w:pPr>
        <w:pStyle w:val="StyleRight"/>
        <w:spacing w:after="0"/>
        <w:ind w:firstLine="0"/>
        <w:jc w:val="both"/>
        <w:rPr>
          <w:sz w:val="24"/>
          <w:szCs w:val="24"/>
        </w:rPr>
      </w:pPr>
      <w:r w:rsidRPr="004B1396">
        <w:rPr>
          <w:sz w:val="24"/>
          <w:szCs w:val="24"/>
        </w:rPr>
        <w:t>valsts sekretārs</w:t>
      </w:r>
      <w:r w:rsidR="004D15A9" w:rsidRPr="004B1396">
        <w:rPr>
          <w:sz w:val="24"/>
          <w:szCs w:val="24"/>
        </w:rPr>
        <w:tab/>
      </w:r>
      <w:r w:rsidR="004D15A9" w:rsidRPr="004B1396">
        <w:rPr>
          <w:sz w:val="24"/>
          <w:szCs w:val="24"/>
        </w:rPr>
        <w:tab/>
      </w:r>
      <w:r w:rsidR="004D15A9" w:rsidRPr="004B1396">
        <w:rPr>
          <w:sz w:val="24"/>
          <w:szCs w:val="24"/>
        </w:rPr>
        <w:tab/>
      </w:r>
      <w:r w:rsidR="004D15A9" w:rsidRPr="004B1396">
        <w:rPr>
          <w:sz w:val="24"/>
          <w:szCs w:val="24"/>
        </w:rPr>
        <w:tab/>
      </w:r>
      <w:r w:rsidR="004D15A9" w:rsidRPr="004B1396">
        <w:rPr>
          <w:sz w:val="24"/>
          <w:szCs w:val="24"/>
        </w:rPr>
        <w:tab/>
      </w:r>
      <w:r w:rsidR="004D15A9" w:rsidRPr="004B1396">
        <w:rPr>
          <w:sz w:val="24"/>
          <w:szCs w:val="24"/>
        </w:rPr>
        <w:tab/>
      </w:r>
      <w:r w:rsidR="004D15A9" w:rsidRPr="004B1396">
        <w:rPr>
          <w:sz w:val="24"/>
          <w:szCs w:val="24"/>
        </w:rPr>
        <w:tab/>
      </w:r>
      <w:r w:rsidR="004D15A9" w:rsidRPr="004B1396">
        <w:rPr>
          <w:sz w:val="24"/>
          <w:szCs w:val="24"/>
        </w:rPr>
        <w:tab/>
        <w:t xml:space="preserve"> </w:t>
      </w:r>
      <w:r w:rsidR="00BA4018" w:rsidRPr="004B1396">
        <w:rPr>
          <w:sz w:val="24"/>
          <w:szCs w:val="24"/>
        </w:rPr>
        <w:t>R</w:t>
      </w:r>
      <w:r w:rsidR="00B13743">
        <w:rPr>
          <w:sz w:val="24"/>
          <w:szCs w:val="24"/>
        </w:rPr>
        <w:t>aivis</w:t>
      </w:r>
      <w:r w:rsidR="00B13743" w:rsidRPr="004B1396">
        <w:rPr>
          <w:sz w:val="24"/>
          <w:szCs w:val="24"/>
        </w:rPr>
        <w:t xml:space="preserve"> </w:t>
      </w:r>
      <w:r w:rsidR="00BA4018" w:rsidRPr="004B1396">
        <w:rPr>
          <w:sz w:val="24"/>
          <w:szCs w:val="24"/>
        </w:rPr>
        <w:t>Kronbergs</w:t>
      </w:r>
    </w:p>
    <w:p w:rsidR="004D15A9" w:rsidRPr="004B1396" w:rsidRDefault="004D15A9" w:rsidP="004B1396">
      <w:pPr>
        <w:pStyle w:val="StyleRight"/>
        <w:spacing w:after="0"/>
        <w:ind w:firstLine="0"/>
        <w:jc w:val="both"/>
        <w:rPr>
          <w:sz w:val="24"/>
          <w:szCs w:val="24"/>
        </w:rPr>
      </w:pPr>
    </w:p>
    <w:p w:rsidR="004D15A9" w:rsidRPr="004B1396" w:rsidRDefault="004D15A9" w:rsidP="004B1396">
      <w:pPr>
        <w:pStyle w:val="StyleRight"/>
        <w:spacing w:after="0"/>
        <w:ind w:firstLine="0"/>
        <w:jc w:val="both"/>
        <w:rPr>
          <w:sz w:val="24"/>
          <w:szCs w:val="24"/>
        </w:rPr>
      </w:pPr>
    </w:p>
    <w:p w:rsidR="004D15A9" w:rsidRPr="004B1396" w:rsidRDefault="002C27DD" w:rsidP="004B1396">
      <w:pPr>
        <w:spacing w:after="0" w:line="240" w:lineRule="auto"/>
        <w:rPr>
          <w:rFonts w:ascii="Times New Roman" w:hAnsi="Times New Roman" w:cs="Times New Roman"/>
          <w:sz w:val="20"/>
          <w:szCs w:val="20"/>
        </w:rPr>
      </w:pPr>
      <w:r>
        <w:rPr>
          <w:rFonts w:ascii="Times New Roman" w:hAnsi="Times New Roman" w:cs="Times New Roman"/>
          <w:sz w:val="20"/>
          <w:szCs w:val="20"/>
        </w:rPr>
        <w:t>06</w:t>
      </w:r>
      <w:r w:rsidR="00960768">
        <w:rPr>
          <w:rFonts w:ascii="Times New Roman" w:hAnsi="Times New Roman" w:cs="Times New Roman"/>
          <w:sz w:val="20"/>
          <w:szCs w:val="20"/>
        </w:rPr>
        <w:t>.05.</w:t>
      </w:r>
      <w:r w:rsidR="00CA0856">
        <w:rPr>
          <w:rFonts w:ascii="Times New Roman" w:hAnsi="Times New Roman" w:cs="Times New Roman"/>
          <w:sz w:val="20"/>
          <w:szCs w:val="20"/>
        </w:rPr>
        <w:t xml:space="preserve">2016. </w:t>
      </w:r>
      <w:r>
        <w:rPr>
          <w:rFonts w:ascii="Times New Roman" w:hAnsi="Times New Roman" w:cs="Times New Roman"/>
          <w:sz w:val="20"/>
          <w:szCs w:val="20"/>
        </w:rPr>
        <w:t>15:51</w:t>
      </w:r>
    </w:p>
    <w:p w:rsidR="004D15A9" w:rsidRPr="004B1396" w:rsidRDefault="002C27DD" w:rsidP="004B1396">
      <w:pPr>
        <w:spacing w:after="0" w:line="240" w:lineRule="auto"/>
        <w:rPr>
          <w:rFonts w:ascii="Times New Roman" w:hAnsi="Times New Roman" w:cs="Times New Roman"/>
          <w:sz w:val="20"/>
          <w:szCs w:val="20"/>
        </w:rPr>
      </w:pPr>
      <w:r>
        <w:rPr>
          <w:rFonts w:ascii="Times New Roman" w:hAnsi="Times New Roman" w:cs="Times New Roman"/>
          <w:sz w:val="20"/>
          <w:szCs w:val="20"/>
        </w:rPr>
        <w:t>7</w:t>
      </w:r>
      <w:r w:rsidR="008A507E">
        <w:rPr>
          <w:rFonts w:ascii="Times New Roman" w:hAnsi="Times New Roman" w:cs="Times New Roman"/>
          <w:sz w:val="20"/>
          <w:szCs w:val="20"/>
        </w:rPr>
        <w:t>509</w:t>
      </w:r>
    </w:p>
    <w:p w:rsidR="004D15A9" w:rsidRPr="004B1396" w:rsidRDefault="00CA0856" w:rsidP="004B1396">
      <w:pPr>
        <w:spacing w:after="0" w:line="240" w:lineRule="auto"/>
        <w:rPr>
          <w:rFonts w:ascii="Times New Roman" w:hAnsi="Times New Roman" w:cs="Times New Roman"/>
          <w:sz w:val="20"/>
          <w:szCs w:val="20"/>
        </w:rPr>
      </w:pPr>
      <w:r>
        <w:rPr>
          <w:rFonts w:ascii="Times New Roman" w:hAnsi="Times New Roman" w:cs="Times New Roman"/>
          <w:sz w:val="20"/>
          <w:szCs w:val="20"/>
        </w:rPr>
        <w:t>E.Feldmane</w:t>
      </w:r>
    </w:p>
    <w:p w:rsidR="004D15A9" w:rsidRDefault="00CA0856" w:rsidP="004B1396">
      <w:pPr>
        <w:spacing w:after="0" w:line="240" w:lineRule="auto"/>
        <w:rPr>
          <w:rFonts w:ascii="Times New Roman" w:hAnsi="Times New Roman" w:cs="Times New Roman"/>
          <w:sz w:val="20"/>
          <w:szCs w:val="20"/>
        </w:rPr>
      </w:pPr>
      <w:r>
        <w:rPr>
          <w:rFonts w:ascii="Times New Roman" w:hAnsi="Times New Roman" w:cs="Times New Roman"/>
          <w:sz w:val="20"/>
          <w:szCs w:val="20"/>
        </w:rPr>
        <w:t>67046102</w:t>
      </w:r>
    </w:p>
    <w:p w:rsidR="004D15A9" w:rsidRDefault="00F402A0" w:rsidP="004B1396">
      <w:pPr>
        <w:spacing w:after="0" w:line="240" w:lineRule="auto"/>
        <w:rPr>
          <w:rFonts w:ascii="Times New Roman" w:hAnsi="Times New Roman" w:cs="Times New Roman"/>
          <w:sz w:val="20"/>
          <w:szCs w:val="20"/>
        </w:rPr>
      </w:pPr>
      <w:hyperlink r:id="rId10" w:history="1">
        <w:r w:rsidR="00CA0856" w:rsidRPr="00736A3D">
          <w:rPr>
            <w:rStyle w:val="Hipersaite"/>
            <w:rFonts w:ascii="Times New Roman" w:hAnsi="Times New Roman" w:cs="Times New Roman"/>
            <w:sz w:val="20"/>
            <w:szCs w:val="20"/>
          </w:rPr>
          <w:t>Elina.Feldmane@tm.gov.lv</w:t>
        </w:r>
      </w:hyperlink>
      <w:r w:rsidR="00CA0856">
        <w:rPr>
          <w:rFonts w:ascii="Times New Roman" w:hAnsi="Times New Roman" w:cs="Times New Roman"/>
          <w:sz w:val="20"/>
          <w:szCs w:val="20"/>
        </w:rPr>
        <w:t xml:space="preserve"> </w:t>
      </w:r>
    </w:p>
    <w:p w:rsidR="008A507E" w:rsidRPr="00F8181E" w:rsidRDefault="008A507E" w:rsidP="004B1396">
      <w:pPr>
        <w:spacing w:after="0" w:line="240" w:lineRule="auto"/>
        <w:rPr>
          <w:rFonts w:ascii="Times New Roman" w:hAnsi="Times New Roman" w:cs="Times New Roman"/>
          <w:sz w:val="20"/>
          <w:szCs w:val="20"/>
        </w:rPr>
      </w:pPr>
    </w:p>
    <w:sectPr w:rsidR="008A507E" w:rsidRPr="00F8181E" w:rsidSect="00266623">
      <w:headerReference w:type="default" r:id="rId11"/>
      <w:footerReference w:type="default" r:id="rId12"/>
      <w:footerReference w:type="first" r:id="rId13"/>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E5E" w:rsidRDefault="002A1E5E" w:rsidP="004D15A9">
      <w:pPr>
        <w:spacing w:after="0" w:line="240" w:lineRule="auto"/>
      </w:pPr>
      <w:r>
        <w:separator/>
      </w:r>
    </w:p>
  </w:endnote>
  <w:endnote w:type="continuationSeparator" w:id="0">
    <w:p w:rsidR="002A1E5E" w:rsidRDefault="002A1E5E" w:rsidP="004D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E5E" w:rsidRPr="00E160BE" w:rsidRDefault="002A1E5E" w:rsidP="00E160BE">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sidR="008A3A71">
      <w:rPr>
        <w:rFonts w:ascii="Times New Roman" w:hAnsi="Times New Roman" w:cs="Times New Roman"/>
        <w:color w:val="000000" w:themeColor="text1"/>
        <w:sz w:val="20"/>
        <w:szCs w:val="20"/>
      </w:rPr>
      <w:t>06</w:t>
    </w:r>
    <w:r>
      <w:rPr>
        <w:rFonts w:ascii="Times New Roman" w:hAnsi="Times New Roman" w:cs="Times New Roman"/>
        <w:color w:val="000000" w:themeColor="text1"/>
        <w:sz w:val="20"/>
        <w:szCs w:val="20"/>
      </w:rPr>
      <w:t>0516_KPL_EIR</w:t>
    </w:r>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Likumprojekta „Grozījumi Kriminālprocesa likumā”</w:t>
    </w:r>
    <w:r w:rsidRPr="004D15A9">
      <w:rPr>
        <w:rFonts w:ascii="Times New Roman" w:hAnsi="Times New Roman" w:cs="Times New Roman"/>
        <w:color w:val="000000" w:themeColor="text1"/>
        <w:sz w:val="20"/>
        <w:szCs w:val="20"/>
      </w:rPr>
      <w:t xml:space="preserve"> </w:t>
    </w:r>
    <w:r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E5E" w:rsidRPr="0019391F" w:rsidRDefault="002A1E5E" w:rsidP="0019391F">
    <w:pPr>
      <w:pStyle w:val="Kjene"/>
      <w:jc w:val="both"/>
      <w:rPr>
        <w:rFonts w:ascii="Times New Roman" w:hAnsi="Times New Roman" w:cs="Times New Roman"/>
        <w:color w:val="000000" w:themeColor="text1"/>
        <w:sz w:val="20"/>
        <w:szCs w:val="20"/>
      </w:rPr>
    </w:pPr>
    <w:r w:rsidRPr="004D15A9">
      <w:rPr>
        <w:rFonts w:ascii="Times New Roman" w:hAnsi="Times New Roman" w:cs="Times New Roman"/>
        <w:color w:val="000000" w:themeColor="text1"/>
        <w:sz w:val="20"/>
        <w:szCs w:val="20"/>
      </w:rPr>
      <w:t>TMAnot_</w:t>
    </w:r>
    <w:r>
      <w:rPr>
        <w:rFonts w:ascii="Times New Roman" w:hAnsi="Times New Roman" w:cs="Times New Roman"/>
        <w:color w:val="000000" w:themeColor="text1"/>
        <w:sz w:val="20"/>
        <w:szCs w:val="20"/>
      </w:rPr>
      <w:t>0</w:t>
    </w:r>
    <w:r w:rsidR="008A3A71">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0516_KPL_EIR</w:t>
    </w:r>
    <w:r w:rsidRPr="004D15A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Likumprojekta „Grozījumi Kriminālprocesa likumā”</w:t>
    </w:r>
    <w:r w:rsidRPr="004D15A9">
      <w:rPr>
        <w:rFonts w:ascii="Times New Roman" w:hAnsi="Times New Roman" w:cs="Times New Roman"/>
        <w:color w:val="000000" w:themeColor="text1"/>
        <w:sz w:val="20"/>
        <w:szCs w:val="20"/>
      </w:rPr>
      <w:t xml:space="preserve"> </w:t>
    </w:r>
    <w:r w:rsidRPr="004D15A9">
      <w:rPr>
        <w:rFonts w:ascii="Times New Roman" w:eastAsia="Times New Roman" w:hAnsi="Times New Roman" w:cs="Times New Roman"/>
        <w:bCs/>
        <w:color w:val="000000" w:themeColor="text1"/>
        <w:sz w:val="20"/>
        <w:szCs w:val="20"/>
        <w:lang w:eastAsia="lv-LV"/>
      </w:rPr>
      <w:t>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E5E" w:rsidRDefault="002A1E5E" w:rsidP="004D15A9">
      <w:pPr>
        <w:spacing w:after="0" w:line="240" w:lineRule="auto"/>
      </w:pPr>
      <w:r>
        <w:separator/>
      </w:r>
    </w:p>
  </w:footnote>
  <w:footnote w:type="continuationSeparator" w:id="0">
    <w:p w:rsidR="002A1E5E" w:rsidRDefault="002A1E5E" w:rsidP="004D15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625760"/>
      <w:docPartObj>
        <w:docPartGallery w:val="Page Numbers (Top of Page)"/>
        <w:docPartUnique/>
      </w:docPartObj>
    </w:sdtPr>
    <w:sdtEndPr>
      <w:rPr>
        <w:rFonts w:ascii="Times New Roman" w:hAnsi="Times New Roman" w:cs="Times New Roman"/>
        <w:sz w:val="24"/>
        <w:szCs w:val="24"/>
      </w:rPr>
    </w:sdtEndPr>
    <w:sdtContent>
      <w:p w:rsidR="002A1E5E" w:rsidRPr="00E160BE" w:rsidRDefault="002A1E5E" w:rsidP="00E160BE">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sidR="00F402A0">
          <w:rPr>
            <w:rFonts w:ascii="Times New Roman" w:hAnsi="Times New Roman" w:cs="Times New Roman"/>
            <w:noProof/>
            <w:sz w:val="24"/>
            <w:szCs w:val="24"/>
          </w:rPr>
          <w:t>2</w:t>
        </w:r>
        <w:r w:rsidRPr="004D15A9">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E1436"/>
    <w:multiLevelType w:val="hybridMultilevel"/>
    <w:tmpl w:val="862A9314"/>
    <w:lvl w:ilvl="0" w:tplc="E436942A">
      <w:start w:val="1"/>
      <w:numFmt w:val="decimal"/>
      <w:lvlText w:val="%1."/>
      <w:lvlJc w:val="left"/>
      <w:pPr>
        <w:ind w:left="355" w:hanging="360"/>
      </w:pPr>
      <w:rPr>
        <w:rFonts w:hint="default"/>
      </w:rPr>
    </w:lvl>
    <w:lvl w:ilvl="1" w:tplc="04260019" w:tentative="1">
      <w:start w:val="1"/>
      <w:numFmt w:val="lowerLetter"/>
      <w:lvlText w:val="%2."/>
      <w:lvlJc w:val="left"/>
      <w:pPr>
        <w:ind w:left="1075" w:hanging="360"/>
      </w:pPr>
    </w:lvl>
    <w:lvl w:ilvl="2" w:tplc="0426001B" w:tentative="1">
      <w:start w:val="1"/>
      <w:numFmt w:val="lowerRoman"/>
      <w:lvlText w:val="%3."/>
      <w:lvlJc w:val="right"/>
      <w:pPr>
        <w:ind w:left="1795" w:hanging="180"/>
      </w:pPr>
    </w:lvl>
    <w:lvl w:ilvl="3" w:tplc="0426000F" w:tentative="1">
      <w:start w:val="1"/>
      <w:numFmt w:val="decimal"/>
      <w:lvlText w:val="%4."/>
      <w:lvlJc w:val="left"/>
      <w:pPr>
        <w:ind w:left="2515" w:hanging="360"/>
      </w:pPr>
    </w:lvl>
    <w:lvl w:ilvl="4" w:tplc="04260019" w:tentative="1">
      <w:start w:val="1"/>
      <w:numFmt w:val="lowerLetter"/>
      <w:lvlText w:val="%5."/>
      <w:lvlJc w:val="left"/>
      <w:pPr>
        <w:ind w:left="3235" w:hanging="360"/>
      </w:pPr>
    </w:lvl>
    <w:lvl w:ilvl="5" w:tplc="0426001B" w:tentative="1">
      <w:start w:val="1"/>
      <w:numFmt w:val="lowerRoman"/>
      <w:lvlText w:val="%6."/>
      <w:lvlJc w:val="right"/>
      <w:pPr>
        <w:ind w:left="3955" w:hanging="180"/>
      </w:pPr>
    </w:lvl>
    <w:lvl w:ilvl="6" w:tplc="0426000F" w:tentative="1">
      <w:start w:val="1"/>
      <w:numFmt w:val="decimal"/>
      <w:lvlText w:val="%7."/>
      <w:lvlJc w:val="left"/>
      <w:pPr>
        <w:ind w:left="4675" w:hanging="360"/>
      </w:pPr>
    </w:lvl>
    <w:lvl w:ilvl="7" w:tplc="04260019" w:tentative="1">
      <w:start w:val="1"/>
      <w:numFmt w:val="lowerLetter"/>
      <w:lvlText w:val="%8."/>
      <w:lvlJc w:val="left"/>
      <w:pPr>
        <w:ind w:left="5395" w:hanging="360"/>
      </w:pPr>
    </w:lvl>
    <w:lvl w:ilvl="8" w:tplc="0426001B" w:tentative="1">
      <w:start w:val="1"/>
      <w:numFmt w:val="lowerRoman"/>
      <w:lvlText w:val="%9."/>
      <w:lvlJc w:val="right"/>
      <w:pPr>
        <w:ind w:left="6115" w:hanging="180"/>
      </w:pPr>
    </w:lvl>
  </w:abstractNum>
  <w:abstractNum w:abstractNumId="1">
    <w:nsid w:val="1EC40D06"/>
    <w:multiLevelType w:val="hybridMultilevel"/>
    <w:tmpl w:val="F416AAB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5F25C80"/>
    <w:multiLevelType w:val="hybridMultilevel"/>
    <w:tmpl w:val="7AE8829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A557C4A"/>
    <w:multiLevelType w:val="hybridMultilevel"/>
    <w:tmpl w:val="1182EBA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2A02661"/>
    <w:multiLevelType w:val="hybridMultilevel"/>
    <w:tmpl w:val="4F1408D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E997E70"/>
    <w:multiLevelType w:val="hybridMultilevel"/>
    <w:tmpl w:val="F5F68954"/>
    <w:lvl w:ilvl="0" w:tplc="67B631FC">
      <w:start w:val="1"/>
      <w:numFmt w:val="decimal"/>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6">
    <w:nsid w:val="50675285"/>
    <w:multiLevelType w:val="hybridMultilevel"/>
    <w:tmpl w:val="45BEEE16"/>
    <w:lvl w:ilvl="0" w:tplc="4C5CEB58">
      <w:start w:val="2"/>
      <w:numFmt w:val="bullet"/>
      <w:lvlText w:val="-"/>
      <w:lvlJc w:val="left"/>
      <w:pPr>
        <w:ind w:left="720" w:hanging="360"/>
      </w:pPr>
      <w:rPr>
        <w:rFonts w:ascii="Times New Roman" w:eastAsia="Times New Roman" w:hAnsi="Times New Roman" w:cs="Times New Roman" w:hint="default"/>
        <w:u w:val="non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58E80866"/>
    <w:multiLevelType w:val="hybridMultilevel"/>
    <w:tmpl w:val="163A2F2A"/>
    <w:lvl w:ilvl="0" w:tplc="ACC8F3E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BBB0F0D"/>
    <w:multiLevelType w:val="hybridMultilevel"/>
    <w:tmpl w:val="1B04D726"/>
    <w:lvl w:ilvl="0" w:tplc="F5289FB2">
      <w:start w:val="35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5A9"/>
    <w:rsid w:val="000018B9"/>
    <w:rsid w:val="000111F7"/>
    <w:rsid w:val="000116EF"/>
    <w:rsid w:val="00014B14"/>
    <w:rsid w:val="00015A9F"/>
    <w:rsid w:val="00017C6D"/>
    <w:rsid w:val="00026EFE"/>
    <w:rsid w:val="00031256"/>
    <w:rsid w:val="00032535"/>
    <w:rsid w:val="000336FC"/>
    <w:rsid w:val="00037B9F"/>
    <w:rsid w:val="000414E5"/>
    <w:rsid w:val="00044741"/>
    <w:rsid w:val="00051280"/>
    <w:rsid w:val="00052E2A"/>
    <w:rsid w:val="00052E7A"/>
    <w:rsid w:val="00055B9B"/>
    <w:rsid w:val="00055CE3"/>
    <w:rsid w:val="00056BDB"/>
    <w:rsid w:val="00066121"/>
    <w:rsid w:val="00066241"/>
    <w:rsid w:val="00067E26"/>
    <w:rsid w:val="0007022E"/>
    <w:rsid w:val="000721C4"/>
    <w:rsid w:val="00077224"/>
    <w:rsid w:val="00081C8A"/>
    <w:rsid w:val="00093DA4"/>
    <w:rsid w:val="000A0745"/>
    <w:rsid w:val="000A07ED"/>
    <w:rsid w:val="000A0965"/>
    <w:rsid w:val="000A6E11"/>
    <w:rsid w:val="000B425B"/>
    <w:rsid w:val="000B5E4B"/>
    <w:rsid w:val="000C1725"/>
    <w:rsid w:val="000C38BE"/>
    <w:rsid w:val="000D4570"/>
    <w:rsid w:val="000D7701"/>
    <w:rsid w:val="000E40CA"/>
    <w:rsid w:val="000F336E"/>
    <w:rsid w:val="00101CD5"/>
    <w:rsid w:val="00122375"/>
    <w:rsid w:val="001252EC"/>
    <w:rsid w:val="001262FE"/>
    <w:rsid w:val="00142FC9"/>
    <w:rsid w:val="0014506E"/>
    <w:rsid w:val="00145294"/>
    <w:rsid w:val="00151AF3"/>
    <w:rsid w:val="00151B3D"/>
    <w:rsid w:val="00155791"/>
    <w:rsid w:val="00170A35"/>
    <w:rsid w:val="0019391F"/>
    <w:rsid w:val="001A23B9"/>
    <w:rsid w:val="001A3AB6"/>
    <w:rsid w:val="001B0A68"/>
    <w:rsid w:val="001B6F69"/>
    <w:rsid w:val="001D78DD"/>
    <w:rsid w:val="001E3A42"/>
    <w:rsid w:val="001E7E1E"/>
    <w:rsid w:val="001F1DF4"/>
    <w:rsid w:val="001F55FB"/>
    <w:rsid w:val="001F72FE"/>
    <w:rsid w:val="0020247D"/>
    <w:rsid w:val="00202A68"/>
    <w:rsid w:val="00204175"/>
    <w:rsid w:val="00204421"/>
    <w:rsid w:val="002049B1"/>
    <w:rsid w:val="00205AA8"/>
    <w:rsid w:val="00207A1B"/>
    <w:rsid w:val="00213D02"/>
    <w:rsid w:val="002148B6"/>
    <w:rsid w:val="00220B97"/>
    <w:rsid w:val="0022190B"/>
    <w:rsid w:val="00223CC5"/>
    <w:rsid w:val="002242DC"/>
    <w:rsid w:val="00225B0C"/>
    <w:rsid w:val="00226C2D"/>
    <w:rsid w:val="0022771F"/>
    <w:rsid w:val="0023013B"/>
    <w:rsid w:val="0023040F"/>
    <w:rsid w:val="00230B56"/>
    <w:rsid w:val="00232DEF"/>
    <w:rsid w:val="002378FD"/>
    <w:rsid w:val="00242507"/>
    <w:rsid w:val="00246299"/>
    <w:rsid w:val="0025224D"/>
    <w:rsid w:val="0025377D"/>
    <w:rsid w:val="00254949"/>
    <w:rsid w:val="00255566"/>
    <w:rsid w:val="002615E8"/>
    <w:rsid w:val="00261BF6"/>
    <w:rsid w:val="00266623"/>
    <w:rsid w:val="002733F1"/>
    <w:rsid w:val="0027675D"/>
    <w:rsid w:val="00277F12"/>
    <w:rsid w:val="00290749"/>
    <w:rsid w:val="00295C2F"/>
    <w:rsid w:val="002A1E5E"/>
    <w:rsid w:val="002A5496"/>
    <w:rsid w:val="002A7AE0"/>
    <w:rsid w:val="002B4846"/>
    <w:rsid w:val="002C27DD"/>
    <w:rsid w:val="002C7F37"/>
    <w:rsid w:val="002D0B74"/>
    <w:rsid w:val="002D2D63"/>
    <w:rsid w:val="002E41F2"/>
    <w:rsid w:val="002E4E6C"/>
    <w:rsid w:val="002F4839"/>
    <w:rsid w:val="002F4E7F"/>
    <w:rsid w:val="002F6B91"/>
    <w:rsid w:val="003008F5"/>
    <w:rsid w:val="00303A11"/>
    <w:rsid w:val="0030401A"/>
    <w:rsid w:val="00304516"/>
    <w:rsid w:val="00304A81"/>
    <w:rsid w:val="00312611"/>
    <w:rsid w:val="00317B0D"/>
    <w:rsid w:val="003377A7"/>
    <w:rsid w:val="0034159B"/>
    <w:rsid w:val="003576F6"/>
    <w:rsid w:val="00360265"/>
    <w:rsid w:val="00360D21"/>
    <w:rsid w:val="00365827"/>
    <w:rsid w:val="00367C1C"/>
    <w:rsid w:val="00370948"/>
    <w:rsid w:val="00370EAB"/>
    <w:rsid w:val="0037709E"/>
    <w:rsid w:val="00385C7A"/>
    <w:rsid w:val="003868FB"/>
    <w:rsid w:val="00387BF0"/>
    <w:rsid w:val="00387DBB"/>
    <w:rsid w:val="003922B0"/>
    <w:rsid w:val="00394423"/>
    <w:rsid w:val="00397445"/>
    <w:rsid w:val="0039785F"/>
    <w:rsid w:val="003A0A6E"/>
    <w:rsid w:val="003A2A0B"/>
    <w:rsid w:val="003A34C4"/>
    <w:rsid w:val="003B2317"/>
    <w:rsid w:val="003B49BC"/>
    <w:rsid w:val="003B6C5D"/>
    <w:rsid w:val="003B7601"/>
    <w:rsid w:val="003C0784"/>
    <w:rsid w:val="003C0A64"/>
    <w:rsid w:val="003C431E"/>
    <w:rsid w:val="003C5D7C"/>
    <w:rsid w:val="003D2292"/>
    <w:rsid w:val="003D7529"/>
    <w:rsid w:val="003E5552"/>
    <w:rsid w:val="003F0C70"/>
    <w:rsid w:val="003F3622"/>
    <w:rsid w:val="003F3904"/>
    <w:rsid w:val="003F4B6B"/>
    <w:rsid w:val="004026C8"/>
    <w:rsid w:val="00404B7E"/>
    <w:rsid w:val="00406FE3"/>
    <w:rsid w:val="004074AB"/>
    <w:rsid w:val="00411416"/>
    <w:rsid w:val="00414CEE"/>
    <w:rsid w:val="00416BB9"/>
    <w:rsid w:val="00416D16"/>
    <w:rsid w:val="00417571"/>
    <w:rsid w:val="00423AA3"/>
    <w:rsid w:val="00423DA9"/>
    <w:rsid w:val="004261DE"/>
    <w:rsid w:val="0043002F"/>
    <w:rsid w:val="00443496"/>
    <w:rsid w:val="00451023"/>
    <w:rsid w:val="00455627"/>
    <w:rsid w:val="004629D0"/>
    <w:rsid w:val="00482F5A"/>
    <w:rsid w:val="00485374"/>
    <w:rsid w:val="00496B20"/>
    <w:rsid w:val="004A0D2B"/>
    <w:rsid w:val="004A134D"/>
    <w:rsid w:val="004A1EE6"/>
    <w:rsid w:val="004A3672"/>
    <w:rsid w:val="004B0678"/>
    <w:rsid w:val="004B1396"/>
    <w:rsid w:val="004B629A"/>
    <w:rsid w:val="004B7C6D"/>
    <w:rsid w:val="004C0BB4"/>
    <w:rsid w:val="004C30C6"/>
    <w:rsid w:val="004D15A9"/>
    <w:rsid w:val="004D4174"/>
    <w:rsid w:val="004D677E"/>
    <w:rsid w:val="004E0768"/>
    <w:rsid w:val="004E3CE2"/>
    <w:rsid w:val="004F4468"/>
    <w:rsid w:val="004F609F"/>
    <w:rsid w:val="004F63F2"/>
    <w:rsid w:val="00504047"/>
    <w:rsid w:val="00516386"/>
    <w:rsid w:val="00516C19"/>
    <w:rsid w:val="00517488"/>
    <w:rsid w:val="00544332"/>
    <w:rsid w:val="00546488"/>
    <w:rsid w:val="0054765D"/>
    <w:rsid w:val="0055229A"/>
    <w:rsid w:val="00552F82"/>
    <w:rsid w:val="00555B1C"/>
    <w:rsid w:val="00565C1D"/>
    <w:rsid w:val="005669AD"/>
    <w:rsid w:val="00567318"/>
    <w:rsid w:val="00581FC9"/>
    <w:rsid w:val="00583E1A"/>
    <w:rsid w:val="0058719F"/>
    <w:rsid w:val="0059022D"/>
    <w:rsid w:val="00596B6D"/>
    <w:rsid w:val="005A2818"/>
    <w:rsid w:val="005B0B11"/>
    <w:rsid w:val="005B18F4"/>
    <w:rsid w:val="005B3223"/>
    <w:rsid w:val="005B3D1A"/>
    <w:rsid w:val="005B4694"/>
    <w:rsid w:val="005C3726"/>
    <w:rsid w:val="005D2563"/>
    <w:rsid w:val="005D32A2"/>
    <w:rsid w:val="005D342F"/>
    <w:rsid w:val="005D4E8A"/>
    <w:rsid w:val="005D50A9"/>
    <w:rsid w:val="005E3D86"/>
    <w:rsid w:val="005E63CB"/>
    <w:rsid w:val="005E6E69"/>
    <w:rsid w:val="005E7F15"/>
    <w:rsid w:val="005F18B8"/>
    <w:rsid w:val="005F42E9"/>
    <w:rsid w:val="005F65EC"/>
    <w:rsid w:val="00603FA4"/>
    <w:rsid w:val="00604372"/>
    <w:rsid w:val="0061430A"/>
    <w:rsid w:val="00645BF4"/>
    <w:rsid w:val="0065744E"/>
    <w:rsid w:val="006575E8"/>
    <w:rsid w:val="00665CF7"/>
    <w:rsid w:val="00667746"/>
    <w:rsid w:val="00673495"/>
    <w:rsid w:val="00680CE9"/>
    <w:rsid w:val="00690420"/>
    <w:rsid w:val="00694696"/>
    <w:rsid w:val="00695788"/>
    <w:rsid w:val="006974B8"/>
    <w:rsid w:val="006A2D88"/>
    <w:rsid w:val="006A7E9E"/>
    <w:rsid w:val="006B1053"/>
    <w:rsid w:val="006B1C19"/>
    <w:rsid w:val="006D61C6"/>
    <w:rsid w:val="006D71F6"/>
    <w:rsid w:val="006E2B01"/>
    <w:rsid w:val="006E57ED"/>
    <w:rsid w:val="006F1CB8"/>
    <w:rsid w:val="006F2533"/>
    <w:rsid w:val="00703493"/>
    <w:rsid w:val="00705B52"/>
    <w:rsid w:val="00710C7F"/>
    <w:rsid w:val="0071160F"/>
    <w:rsid w:val="00711B9A"/>
    <w:rsid w:val="007125E3"/>
    <w:rsid w:val="00712ECA"/>
    <w:rsid w:val="007237E9"/>
    <w:rsid w:val="00735287"/>
    <w:rsid w:val="00750364"/>
    <w:rsid w:val="00752593"/>
    <w:rsid w:val="00757A95"/>
    <w:rsid w:val="007718F6"/>
    <w:rsid w:val="007746FF"/>
    <w:rsid w:val="00780872"/>
    <w:rsid w:val="00793090"/>
    <w:rsid w:val="007A0632"/>
    <w:rsid w:val="007B0CE5"/>
    <w:rsid w:val="007C7089"/>
    <w:rsid w:val="007C7AC7"/>
    <w:rsid w:val="007D1519"/>
    <w:rsid w:val="007D588C"/>
    <w:rsid w:val="007E46A1"/>
    <w:rsid w:val="007F03CF"/>
    <w:rsid w:val="007F1136"/>
    <w:rsid w:val="007F4392"/>
    <w:rsid w:val="00802F68"/>
    <w:rsid w:val="00803ED6"/>
    <w:rsid w:val="008051A4"/>
    <w:rsid w:val="00806C39"/>
    <w:rsid w:val="00810508"/>
    <w:rsid w:val="0081203F"/>
    <w:rsid w:val="008127D7"/>
    <w:rsid w:val="00812ACA"/>
    <w:rsid w:val="00812BA9"/>
    <w:rsid w:val="00827C96"/>
    <w:rsid w:val="008375CD"/>
    <w:rsid w:val="00840190"/>
    <w:rsid w:val="00843DB0"/>
    <w:rsid w:val="0085060D"/>
    <w:rsid w:val="00852B21"/>
    <w:rsid w:val="00853E6D"/>
    <w:rsid w:val="00860EE8"/>
    <w:rsid w:val="00864AA8"/>
    <w:rsid w:val="00865052"/>
    <w:rsid w:val="00876C64"/>
    <w:rsid w:val="00881882"/>
    <w:rsid w:val="00883AD3"/>
    <w:rsid w:val="0089714F"/>
    <w:rsid w:val="008A2791"/>
    <w:rsid w:val="008A3A71"/>
    <w:rsid w:val="008A480A"/>
    <w:rsid w:val="008A4FFC"/>
    <w:rsid w:val="008A507E"/>
    <w:rsid w:val="008A613F"/>
    <w:rsid w:val="008A7595"/>
    <w:rsid w:val="008B3DCB"/>
    <w:rsid w:val="008B5811"/>
    <w:rsid w:val="008B5B34"/>
    <w:rsid w:val="008B653C"/>
    <w:rsid w:val="008B76DD"/>
    <w:rsid w:val="008C02E6"/>
    <w:rsid w:val="008C10F9"/>
    <w:rsid w:val="008C4BA1"/>
    <w:rsid w:val="008C507D"/>
    <w:rsid w:val="008C7126"/>
    <w:rsid w:val="008D09C3"/>
    <w:rsid w:val="008D2553"/>
    <w:rsid w:val="008D6263"/>
    <w:rsid w:val="008E10B0"/>
    <w:rsid w:val="008E4D19"/>
    <w:rsid w:val="00905826"/>
    <w:rsid w:val="0091013E"/>
    <w:rsid w:val="00911ACE"/>
    <w:rsid w:val="0091391F"/>
    <w:rsid w:val="009155FE"/>
    <w:rsid w:val="009164E5"/>
    <w:rsid w:val="00921F7B"/>
    <w:rsid w:val="009233E2"/>
    <w:rsid w:val="009264AE"/>
    <w:rsid w:val="00926D13"/>
    <w:rsid w:val="009414C9"/>
    <w:rsid w:val="00943D16"/>
    <w:rsid w:val="00954918"/>
    <w:rsid w:val="00960768"/>
    <w:rsid w:val="00961B98"/>
    <w:rsid w:val="00967809"/>
    <w:rsid w:val="0097096F"/>
    <w:rsid w:val="009741FD"/>
    <w:rsid w:val="00990AD5"/>
    <w:rsid w:val="009A5ED5"/>
    <w:rsid w:val="009B0898"/>
    <w:rsid w:val="009E099F"/>
    <w:rsid w:val="009E3C75"/>
    <w:rsid w:val="009F659D"/>
    <w:rsid w:val="00A037EF"/>
    <w:rsid w:val="00A13657"/>
    <w:rsid w:val="00A17C64"/>
    <w:rsid w:val="00A17F56"/>
    <w:rsid w:val="00A2462F"/>
    <w:rsid w:val="00A33487"/>
    <w:rsid w:val="00A351D5"/>
    <w:rsid w:val="00A356DC"/>
    <w:rsid w:val="00A36B8B"/>
    <w:rsid w:val="00A46BC1"/>
    <w:rsid w:val="00A470E7"/>
    <w:rsid w:val="00A55038"/>
    <w:rsid w:val="00A6082C"/>
    <w:rsid w:val="00A71B1A"/>
    <w:rsid w:val="00A729E2"/>
    <w:rsid w:val="00A86DB4"/>
    <w:rsid w:val="00A902D1"/>
    <w:rsid w:val="00A94706"/>
    <w:rsid w:val="00A95C4A"/>
    <w:rsid w:val="00AA31D6"/>
    <w:rsid w:val="00AC225A"/>
    <w:rsid w:val="00AC4BD2"/>
    <w:rsid w:val="00AD28CE"/>
    <w:rsid w:val="00AE48C0"/>
    <w:rsid w:val="00AF01B6"/>
    <w:rsid w:val="00AF2A17"/>
    <w:rsid w:val="00AF676D"/>
    <w:rsid w:val="00B02367"/>
    <w:rsid w:val="00B0313F"/>
    <w:rsid w:val="00B0334B"/>
    <w:rsid w:val="00B04458"/>
    <w:rsid w:val="00B0510E"/>
    <w:rsid w:val="00B0745F"/>
    <w:rsid w:val="00B13743"/>
    <w:rsid w:val="00B17512"/>
    <w:rsid w:val="00B177DA"/>
    <w:rsid w:val="00B17AD6"/>
    <w:rsid w:val="00B21D69"/>
    <w:rsid w:val="00B22BCE"/>
    <w:rsid w:val="00B264DF"/>
    <w:rsid w:val="00B403E8"/>
    <w:rsid w:val="00B479B6"/>
    <w:rsid w:val="00B55CAA"/>
    <w:rsid w:val="00B55FAC"/>
    <w:rsid w:val="00B655DC"/>
    <w:rsid w:val="00B662EC"/>
    <w:rsid w:val="00B71A18"/>
    <w:rsid w:val="00B72D2A"/>
    <w:rsid w:val="00B73F8C"/>
    <w:rsid w:val="00B75C26"/>
    <w:rsid w:val="00B7698A"/>
    <w:rsid w:val="00B82E47"/>
    <w:rsid w:val="00B87E1C"/>
    <w:rsid w:val="00BA0D67"/>
    <w:rsid w:val="00BA351A"/>
    <w:rsid w:val="00BA4018"/>
    <w:rsid w:val="00BB1F46"/>
    <w:rsid w:val="00BB5632"/>
    <w:rsid w:val="00BD580B"/>
    <w:rsid w:val="00C03E5E"/>
    <w:rsid w:val="00C04678"/>
    <w:rsid w:val="00C06625"/>
    <w:rsid w:val="00C071DE"/>
    <w:rsid w:val="00C07AB7"/>
    <w:rsid w:val="00C11E7F"/>
    <w:rsid w:val="00C16009"/>
    <w:rsid w:val="00C17B85"/>
    <w:rsid w:val="00C20ADB"/>
    <w:rsid w:val="00C20B16"/>
    <w:rsid w:val="00C2527B"/>
    <w:rsid w:val="00C26070"/>
    <w:rsid w:val="00C2793C"/>
    <w:rsid w:val="00C27D58"/>
    <w:rsid w:val="00C3292D"/>
    <w:rsid w:val="00C3527F"/>
    <w:rsid w:val="00C35907"/>
    <w:rsid w:val="00C43116"/>
    <w:rsid w:val="00C458C6"/>
    <w:rsid w:val="00C47D8E"/>
    <w:rsid w:val="00C62D27"/>
    <w:rsid w:val="00C66E9E"/>
    <w:rsid w:val="00C7318D"/>
    <w:rsid w:val="00C86AA0"/>
    <w:rsid w:val="00C90134"/>
    <w:rsid w:val="00C92415"/>
    <w:rsid w:val="00C936F6"/>
    <w:rsid w:val="00CA0856"/>
    <w:rsid w:val="00CA28CB"/>
    <w:rsid w:val="00CA7CDC"/>
    <w:rsid w:val="00CC193A"/>
    <w:rsid w:val="00CC3BF9"/>
    <w:rsid w:val="00CC446B"/>
    <w:rsid w:val="00CD26A4"/>
    <w:rsid w:val="00CD2793"/>
    <w:rsid w:val="00CD5C8F"/>
    <w:rsid w:val="00CD72E4"/>
    <w:rsid w:val="00CD79BD"/>
    <w:rsid w:val="00CE33D7"/>
    <w:rsid w:val="00CE53D6"/>
    <w:rsid w:val="00CF056D"/>
    <w:rsid w:val="00CF4A0E"/>
    <w:rsid w:val="00D00EE9"/>
    <w:rsid w:val="00D01472"/>
    <w:rsid w:val="00D05506"/>
    <w:rsid w:val="00D06E0E"/>
    <w:rsid w:val="00D1051A"/>
    <w:rsid w:val="00D12417"/>
    <w:rsid w:val="00D124D2"/>
    <w:rsid w:val="00D1688C"/>
    <w:rsid w:val="00D16D04"/>
    <w:rsid w:val="00D179F8"/>
    <w:rsid w:val="00D258F1"/>
    <w:rsid w:val="00D313D5"/>
    <w:rsid w:val="00D341B7"/>
    <w:rsid w:val="00D47A5C"/>
    <w:rsid w:val="00D5066F"/>
    <w:rsid w:val="00D50736"/>
    <w:rsid w:val="00D50D35"/>
    <w:rsid w:val="00D52B7A"/>
    <w:rsid w:val="00D54216"/>
    <w:rsid w:val="00D61203"/>
    <w:rsid w:val="00D63DA2"/>
    <w:rsid w:val="00D66E51"/>
    <w:rsid w:val="00D7130F"/>
    <w:rsid w:val="00D71AF8"/>
    <w:rsid w:val="00D75E37"/>
    <w:rsid w:val="00D76CEC"/>
    <w:rsid w:val="00D774F4"/>
    <w:rsid w:val="00D7769C"/>
    <w:rsid w:val="00D802DD"/>
    <w:rsid w:val="00D826D1"/>
    <w:rsid w:val="00D82B02"/>
    <w:rsid w:val="00D83A6E"/>
    <w:rsid w:val="00D94B04"/>
    <w:rsid w:val="00DA16BB"/>
    <w:rsid w:val="00DA1AB9"/>
    <w:rsid w:val="00DA3F07"/>
    <w:rsid w:val="00DA596D"/>
    <w:rsid w:val="00DA6E64"/>
    <w:rsid w:val="00DB4A3F"/>
    <w:rsid w:val="00DC0343"/>
    <w:rsid w:val="00DC3F93"/>
    <w:rsid w:val="00DC4500"/>
    <w:rsid w:val="00DC636B"/>
    <w:rsid w:val="00DD78CE"/>
    <w:rsid w:val="00DE265F"/>
    <w:rsid w:val="00DE4A71"/>
    <w:rsid w:val="00DF407B"/>
    <w:rsid w:val="00DF6101"/>
    <w:rsid w:val="00E027B0"/>
    <w:rsid w:val="00E03BD9"/>
    <w:rsid w:val="00E13597"/>
    <w:rsid w:val="00E160BE"/>
    <w:rsid w:val="00E17BDF"/>
    <w:rsid w:val="00E20306"/>
    <w:rsid w:val="00E31FCB"/>
    <w:rsid w:val="00E37F33"/>
    <w:rsid w:val="00E452D0"/>
    <w:rsid w:val="00E55D27"/>
    <w:rsid w:val="00E56445"/>
    <w:rsid w:val="00E60E9C"/>
    <w:rsid w:val="00E62572"/>
    <w:rsid w:val="00E62A7F"/>
    <w:rsid w:val="00E645D5"/>
    <w:rsid w:val="00E66CAB"/>
    <w:rsid w:val="00E742BD"/>
    <w:rsid w:val="00E81B82"/>
    <w:rsid w:val="00E81EBE"/>
    <w:rsid w:val="00E8305A"/>
    <w:rsid w:val="00E86888"/>
    <w:rsid w:val="00E937AD"/>
    <w:rsid w:val="00E95A82"/>
    <w:rsid w:val="00EA4C01"/>
    <w:rsid w:val="00EB0281"/>
    <w:rsid w:val="00EB36BE"/>
    <w:rsid w:val="00EB4DEA"/>
    <w:rsid w:val="00EC0AA1"/>
    <w:rsid w:val="00EC1029"/>
    <w:rsid w:val="00EC30E0"/>
    <w:rsid w:val="00ED25E8"/>
    <w:rsid w:val="00ED58A8"/>
    <w:rsid w:val="00ED5A37"/>
    <w:rsid w:val="00EE4074"/>
    <w:rsid w:val="00EE7409"/>
    <w:rsid w:val="00EE745D"/>
    <w:rsid w:val="00EF3345"/>
    <w:rsid w:val="00EF3347"/>
    <w:rsid w:val="00F15ABF"/>
    <w:rsid w:val="00F24476"/>
    <w:rsid w:val="00F34B6B"/>
    <w:rsid w:val="00F35247"/>
    <w:rsid w:val="00F402A0"/>
    <w:rsid w:val="00F40D81"/>
    <w:rsid w:val="00F47E08"/>
    <w:rsid w:val="00F74B2F"/>
    <w:rsid w:val="00F80310"/>
    <w:rsid w:val="00F8181E"/>
    <w:rsid w:val="00F84A9F"/>
    <w:rsid w:val="00F852A9"/>
    <w:rsid w:val="00F863E3"/>
    <w:rsid w:val="00F87C7F"/>
    <w:rsid w:val="00FA1732"/>
    <w:rsid w:val="00FB009B"/>
    <w:rsid w:val="00FB3789"/>
    <w:rsid w:val="00FB3EA5"/>
    <w:rsid w:val="00FB3F29"/>
    <w:rsid w:val="00FC0A8B"/>
    <w:rsid w:val="00FC589F"/>
    <w:rsid w:val="00FC7B76"/>
    <w:rsid w:val="00FD0E9C"/>
    <w:rsid w:val="00FD1C08"/>
    <w:rsid w:val="00FD2BA8"/>
    <w:rsid w:val="00FD558A"/>
    <w:rsid w:val="00FD5756"/>
    <w:rsid w:val="00FD5B98"/>
    <w:rsid w:val="00FD6C9D"/>
    <w:rsid w:val="00FD77DA"/>
    <w:rsid w:val="00FE1ADF"/>
    <w:rsid w:val="00FE24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Hipersaite">
    <w:name w:val="Hyperlink"/>
    <w:basedOn w:val="Noklusjumarindkopasfonts"/>
    <w:uiPriority w:val="99"/>
    <w:unhideWhenUsed/>
    <w:rsid w:val="002615E8"/>
    <w:rPr>
      <w:color w:val="0000FF" w:themeColor="hyperlink"/>
      <w:u w:val="single"/>
    </w:rPr>
  </w:style>
  <w:style w:type="paragraph" w:customStyle="1" w:styleId="tv2131">
    <w:name w:val="tv2131"/>
    <w:basedOn w:val="Parasts"/>
    <w:rsid w:val="002615E8"/>
    <w:pPr>
      <w:spacing w:after="0" w:line="360" w:lineRule="auto"/>
      <w:ind w:firstLine="300"/>
    </w:pPr>
    <w:rPr>
      <w:rFonts w:ascii="Times New Roman" w:eastAsia="Times New Roman" w:hAnsi="Times New Roman" w:cs="Times New Roman"/>
      <w:color w:val="414142"/>
      <w:sz w:val="20"/>
      <w:szCs w:val="20"/>
      <w:lang w:eastAsia="lv-LV"/>
    </w:rPr>
  </w:style>
  <w:style w:type="paragraph" w:styleId="Vresteksts">
    <w:name w:val="footnote text"/>
    <w:aliases w:val="fn,Footnote,Fußnote"/>
    <w:basedOn w:val="Parasts"/>
    <w:link w:val="VrestekstsRakstz"/>
    <w:uiPriority w:val="99"/>
    <w:unhideWhenUsed/>
    <w:rsid w:val="00EC0AA1"/>
    <w:pPr>
      <w:suppressAutoHyphens/>
      <w:spacing w:after="0" w:line="240" w:lineRule="auto"/>
    </w:pPr>
    <w:rPr>
      <w:rFonts w:ascii="Times New Roman" w:eastAsia="Times New Roman" w:hAnsi="Times New Roman" w:cs="Times New Roman"/>
      <w:sz w:val="20"/>
      <w:szCs w:val="20"/>
      <w:lang w:eastAsia="zh-CN"/>
    </w:rPr>
  </w:style>
  <w:style w:type="character" w:customStyle="1" w:styleId="VrestekstsRakstz">
    <w:name w:val="Vēres teksts Rakstz."/>
    <w:aliases w:val="fn Rakstz.,Footnote Rakstz.,Fußnote Rakstz."/>
    <w:basedOn w:val="Noklusjumarindkopasfonts"/>
    <w:link w:val="Vresteksts"/>
    <w:uiPriority w:val="99"/>
    <w:rsid w:val="00EC0AA1"/>
    <w:rPr>
      <w:rFonts w:ascii="Times New Roman" w:eastAsia="Times New Roman" w:hAnsi="Times New Roman" w:cs="Times New Roman"/>
      <w:sz w:val="20"/>
      <w:szCs w:val="20"/>
      <w:lang w:eastAsia="zh-CN"/>
    </w:rPr>
  </w:style>
  <w:style w:type="character" w:styleId="Vresatsauce">
    <w:name w:val="footnote reference"/>
    <w:aliases w:val="Footnote Reference Number,Footnote symbol"/>
    <w:uiPriority w:val="99"/>
    <w:unhideWhenUsed/>
    <w:rsid w:val="00EC0AA1"/>
    <w:rPr>
      <w:vertAlign w:val="superscript"/>
    </w:rPr>
  </w:style>
  <w:style w:type="character" w:customStyle="1" w:styleId="s6b621b36">
    <w:name w:val="s6b621b36"/>
    <w:uiPriority w:val="99"/>
    <w:rsid w:val="00D50D35"/>
  </w:style>
  <w:style w:type="paragraph" w:styleId="Sarakstarindkopa">
    <w:name w:val="List Paragraph"/>
    <w:basedOn w:val="Parasts"/>
    <w:uiPriority w:val="34"/>
    <w:qFormat/>
    <w:rsid w:val="00014B14"/>
    <w:pPr>
      <w:ind w:left="720"/>
      <w:contextualSpacing/>
    </w:pPr>
  </w:style>
  <w:style w:type="paragraph" w:customStyle="1" w:styleId="naiskr">
    <w:name w:val="naiskr"/>
    <w:basedOn w:val="Parasts"/>
    <w:rsid w:val="00411416"/>
    <w:pPr>
      <w:spacing w:before="75" w:after="75"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411416"/>
    <w:rPr>
      <w:b/>
      <w:bCs/>
    </w:rPr>
  </w:style>
  <w:style w:type="paragraph" w:customStyle="1" w:styleId="Parasts1">
    <w:name w:val="Parasts1"/>
    <w:basedOn w:val="Parasts"/>
    <w:rsid w:val="00810508"/>
    <w:pPr>
      <w:spacing w:before="120" w:after="0" w:line="240" w:lineRule="auto"/>
      <w:jc w:val="both"/>
    </w:pPr>
    <w:rPr>
      <w:rFonts w:ascii="Times New Roman" w:eastAsia="Times New Roman" w:hAnsi="Times New Roman" w:cs="Times New Roman"/>
      <w:sz w:val="24"/>
      <w:szCs w:val="24"/>
      <w:lang w:eastAsia="lv-LV"/>
    </w:rPr>
  </w:style>
  <w:style w:type="character" w:customStyle="1" w:styleId="super">
    <w:name w:val="super"/>
    <w:basedOn w:val="Noklusjumarindkopasfonts"/>
    <w:rsid w:val="00810508"/>
    <w:rPr>
      <w:sz w:val="17"/>
      <w:szCs w:val="17"/>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Hipersaite">
    <w:name w:val="Hyperlink"/>
    <w:basedOn w:val="Noklusjumarindkopasfonts"/>
    <w:uiPriority w:val="99"/>
    <w:unhideWhenUsed/>
    <w:rsid w:val="002615E8"/>
    <w:rPr>
      <w:color w:val="0000FF" w:themeColor="hyperlink"/>
      <w:u w:val="single"/>
    </w:rPr>
  </w:style>
  <w:style w:type="paragraph" w:customStyle="1" w:styleId="tv2131">
    <w:name w:val="tv2131"/>
    <w:basedOn w:val="Parasts"/>
    <w:rsid w:val="002615E8"/>
    <w:pPr>
      <w:spacing w:after="0" w:line="360" w:lineRule="auto"/>
      <w:ind w:firstLine="300"/>
    </w:pPr>
    <w:rPr>
      <w:rFonts w:ascii="Times New Roman" w:eastAsia="Times New Roman" w:hAnsi="Times New Roman" w:cs="Times New Roman"/>
      <w:color w:val="414142"/>
      <w:sz w:val="20"/>
      <w:szCs w:val="20"/>
      <w:lang w:eastAsia="lv-LV"/>
    </w:rPr>
  </w:style>
  <w:style w:type="paragraph" w:styleId="Vresteksts">
    <w:name w:val="footnote text"/>
    <w:aliases w:val="fn,Footnote,Fußnote"/>
    <w:basedOn w:val="Parasts"/>
    <w:link w:val="VrestekstsRakstz"/>
    <w:uiPriority w:val="99"/>
    <w:unhideWhenUsed/>
    <w:rsid w:val="00EC0AA1"/>
    <w:pPr>
      <w:suppressAutoHyphens/>
      <w:spacing w:after="0" w:line="240" w:lineRule="auto"/>
    </w:pPr>
    <w:rPr>
      <w:rFonts w:ascii="Times New Roman" w:eastAsia="Times New Roman" w:hAnsi="Times New Roman" w:cs="Times New Roman"/>
      <w:sz w:val="20"/>
      <w:szCs w:val="20"/>
      <w:lang w:eastAsia="zh-CN"/>
    </w:rPr>
  </w:style>
  <w:style w:type="character" w:customStyle="1" w:styleId="VrestekstsRakstz">
    <w:name w:val="Vēres teksts Rakstz."/>
    <w:aliases w:val="fn Rakstz.,Footnote Rakstz.,Fußnote Rakstz."/>
    <w:basedOn w:val="Noklusjumarindkopasfonts"/>
    <w:link w:val="Vresteksts"/>
    <w:uiPriority w:val="99"/>
    <w:rsid w:val="00EC0AA1"/>
    <w:rPr>
      <w:rFonts w:ascii="Times New Roman" w:eastAsia="Times New Roman" w:hAnsi="Times New Roman" w:cs="Times New Roman"/>
      <w:sz w:val="20"/>
      <w:szCs w:val="20"/>
      <w:lang w:eastAsia="zh-CN"/>
    </w:rPr>
  </w:style>
  <w:style w:type="character" w:styleId="Vresatsauce">
    <w:name w:val="footnote reference"/>
    <w:aliases w:val="Footnote Reference Number,Footnote symbol"/>
    <w:uiPriority w:val="99"/>
    <w:unhideWhenUsed/>
    <w:rsid w:val="00EC0AA1"/>
    <w:rPr>
      <w:vertAlign w:val="superscript"/>
    </w:rPr>
  </w:style>
  <w:style w:type="character" w:customStyle="1" w:styleId="s6b621b36">
    <w:name w:val="s6b621b36"/>
    <w:uiPriority w:val="99"/>
    <w:rsid w:val="00D50D35"/>
  </w:style>
  <w:style w:type="paragraph" w:styleId="Sarakstarindkopa">
    <w:name w:val="List Paragraph"/>
    <w:basedOn w:val="Parasts"/>
    <w:uiPriority w:val="34"/>
    <w:qFormat/>
    <w:rsid w:val="00014B14"/>
    <w:pPr>
      <w:ind w:left="720"/>
      <w:contextualSpacing/>
    </w:pPr>
  </w:style>
  <w:style w:type="paragraph" w:customStyle="1" w:styleId="naiskr">
    <w:name w:val="naiskr"/>
    <w:basedOn w:val="Parasts"/>
    <w:rsid w:val="00411416"/>
    <w:pPr>
      <w:spacing w:before="75" w:after="75"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411416"/>
    <w:rPr>
      <w:b/>
      <w:bCs/>
    </w:rPr>
  </w:style>
  <w:style w:type="paragraph" w:customStyle="1" w:styleId="Parasts1">
    <w:name w:val="Parasts1"/>
    <w:basedOn w:val="Parasts"/>
    <w:rsid w:val="00810508"/>
    <w:pPr>
      <w:spacing w:before="120" w:after="0" w:line="240" w:lineRule="auto"/>
      <w:jc w:val="both"/>
    </w:pPr>
    <w:rPr>
      <w:rFonts w:ascii="Times New Roman" w:eastAsia="Times New Roman" w:hAnsi="Times New Roman" w:cs="Times New Roman"/>
      <w:sz w:val="24"/>
      <w:szCs w:val="24"/>
      <w:lang w:eastAsia="lv-LV"/>
    </w:rPr>
  </w:style>
  <w:style w:type="character" w:customStyle="1" w:styleId="super">
    <w:name w:val="super"/>
    <w:basedOn w:val="Noklusjumarindkopasfonts"/>
    <w:rsid w:val="00810508"/>
    <w:rPr>
      <w:sz w:val="17"/>
      <w:szCs w:val="17"/>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7951">
      <w:bodyDiv w:val="1"/>
      <w:marLeft w:val="0"/>
      <w:marRight w:val="0"/>
      <w:marTop w:val="0"/>
      <w:marBottom w:val="0"/>
      <w:divBdr>
        <w:top w:val="none" w:sz="0" w:space="0" w:color="auto"/>
        <w:left w:val="none" w:sz="0" w:space="0" w:color="auto"/>
        <w:bottom w:val="none" w:sz="0" w:space="0" w:color="auto"/>
        <w:right w:val="none" w:sz="0" w:space="0" w:color="auto"/>
      </w:divBdr>
      <w:divsChild>
        <w:div w:id="1142187832">
          <w:marLeft w:val="0"/>
          <w:marRight w:val="0"/>
          <w:marTop w:val="0"/>
          <w:marBottom w:val="0"/>
          <w:divBdr>
            <w:top w:val="none" w:sz="0" w:space="0" w:color="auto"/>
            <w:left w:val="none" w:sz="0" w:space="0" w:color="auto"/>
            <w:bottom w:val="none" w:sz="0" w:space="0" w:color="auto"/>
            <w:right w:val="none" w:sz="0" w:space="0" w:color="auto"/>
          </w:divBdr>
          <w:divsChild>
            <w:div w:id="1307975941">
              <w:marLeft w:val="0"/>
              <w:marRight w:val="0"/>
              <w:marTop w:val="0"/>
              <w:marBottom w:val="0"/>
              <w:divBdr>
                <w:top w:val="none" w:sz="0" w:space="0" w:color="auto"/>
                <w:left w:val="none" w:sz="0" w:space="0" w:color="auto"/>
                <w:bottom w:val="none" w:sz="0" w:space="0" w:color="auto"/>
                <w:right w:val="none" w:sz="0" w:space="0" w:color="auto"/>
              </w:divBdr>
              <w:divsChild>
                <w:div w:id="1877884077">
                  <w:marLeft w:val="0"/>
                  <w:marRight w:val="0"/>
                  <w:marTop w:val="0"/>
                  <w:marBottom w:val="0"/>
                  <w:divBdr>
                    <w:top w:val="none" w:sz="0" w:space="0" w:color="auto"/>
                    <w:left w:val="none" w:sz="0" w:space="0" w:color="auto"/>
                    <w:bottom w:val="none" w:sz="0" w:space="0" w:color="auto"/>
                    <w:right w:val="none" w:sz="0" w:space="0" w:color="auto"/>
                  </w:divBdr>
                  <w:divsChild>
                    <w:div w:id="1466587035">
                      <w:marLeft w:val="0"/>
                      <w:marRight w:val="0"/>
                      <w:marTop w:val="0"/>
                      <w:marBottom w:val="0"/>
                      <w:divBdr>
                        <w:top w:val="none" w:sz="0" w:space="0" w:color="auto"/>
                        <w:left w:val="none" w:sz="0" w:space="0" w:color="auto"/>
                        <w:bottom w:val="none" w:sz="0" w:space="0" w:color="auto"/>
                        <w:right w:val="none" w:sz="0" w:space="0" w:color="auto"/>
                      </w:divBdr>
                      <w:divsChild>
                        <w:div w:id="473638997">
                          <w:marLeft w:val="0"/>
                          <w:marRight w:val="0"/>
                          <w:marTop w:val="0"/>
                          <w:marBottom w:val="0"/>
                          <w:divBdr>
                            <w:top w:val="none" w:sz="0" w:space="0" w:color="auto"/>
                            <w:left w:val="none" w:sz="0" w:space="0" w:color="auto"/>
                            <w:bottom w:val="none" w:sz="0" w:space="0" w:color="auto"/>
                            <w:right w:val="none" w:sz="0" w:space="0" w:color="auto"/>
                          </w:divBdr>
                          <w:divsChild>
                            <w:div w:id="13370291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94132">
      <w:bodyDiv w:val="1"/>
      <w:marLeft w:val="0"/>
      <w:marRight w:val="0"/>
      <w:marTop w:val="0"/>
      <w:marBottom w:val="0"/>
      <w:divBdr>
        <w:top w:val="none" w:sz="0" w:space="0" w:color="auto"/>
        <w:left w:val="none" w:sz="0" w:space="0" w:color="auto"/>
        <w:bottom w:val="none" w:sz="0" w:space="0" w:color="auto"/>
        <w:right w:val="none" w:sz="0" w:space="0" w:color="auto"/>
      </w:divBdr>
      <w:divsChild>
        <w:div w:id="47457022">
          <w:marLeft w:val="0"/>
          <w:marRight w:val="0"/>
          <w:marTop w:val="0"/>
          <w:marBottom w:val="0"/>
          <w:divBdr>
            <w:top w:val="none" w:sz="0" w:space="0" w:color="auto"/>
            <w:left w:val="none" w:sz="0" w:space="0" w:color="auto"/>
            <w:bottom w:val="none" w:sz="0" w:space="0" w:color="auto"/>
            <w:right w:val="none" w:sz="0" w:space="0" w:color="auto"/>
          </w:divBdr>
          <w:divsChild>
            <w:div w:id="535578275">
              <w:marLeft w:val="0"/>
              <w:marRight w:val="0"/>
              <w:marTop w:val="0"/>
              <w:marBottom w:val="0"/>
              <w:divBdr>
                <w:top w:val="none" w:sz="0" w:space="0" w:color="auto"/>
                <w:left w:val="none" w:sz="0" w:space="0" w:color="auto"/>
                <w:bottom w:val="none" w:sz="0" w:space="0" w:color="auto"/>
                <w:right w:val="none" w:sz="0" w:space="0" w:color="auto"/>
              </w:divBdr>
              <w:divsChild>
                <w:div w:id="239368908">
                  <w:marLeft w:val="0"/>
                  <w:marRight w:val="0"/>
                  <w:marTop w:val="0"/>
                  <w:marBottom w:val="0"/>
                  <w:divBdr>
                    <w:top w:val="none" w:sz="0" w:space="0" w:color="auto"/>
                    <w:left w:val="none" w:sz="0" w:space="0" w:color="auto"/>
                    <w:bottom w:val="none" w:sz="0" w:space="0" w:color="auto"/>
                    <w:right w:val="none" w:sz="0" w:space="0" w:color="auto"/>
                  </w:divBdr>
                  <w:divsChild>
                    <w:div w:id="16281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153645550">
      <w:bodyDiv w:val="1"/>
      <w:marLeft w:val="0"/>
      <w:marRight w:val="0"/>
      <w:marTop w:val="0"/>
      <w:marBottom w:val="0"/>
      <w:divBdr>
        <w:top w:val="none" w:sz="0" w:space="0" w:color="auto"/>
        <w:left w:val="none" w:sz="0" w:space="0" w:color="auto"/>
        <w:bottom w:val="none" w:sz="0" w:space="0" w:color="auto"/>
        <w:right w:val="none" w:sz="0" w:space="0" w:color="auto"/>
      </w:divBdr>
      <w:divsChild>
        <w:div w:id="914555634">
          <w:marLeft w:val="0"/>
          <w:marRight w:val="0"/>
          <w:marTop w:val="0"/>
          <w:marBottom w:val="0"/>
          <w:divBdr>
            <w:top w:val="none" w:sz="0" w:space="0" w:color="auto"/>
            <w:left w:val="none" w:sz="0" w:space="0" w:color="auto"/>
            <w:bottom w:val="none" w:sz="0" w:space="0" w:color="auto"/>
            <w:right w:val="none" w:sz="0" w:space="0" w:color="auto"/>
          </w:divBdr>
          <w:divsChild>
            <w:div w:id="2008707208">
              <w:marLeft w:val="0"/>
              <w:marRight w:val="0"/>
              <w:marTop w:val="0"/>
              <w:marBottom w:val="0"/>
              <w:divBdr>
                <w:top w:val="none" w:sz="0" w:space="0" w:color="auto"/>
                <w:left w:val="none" w:sz="0" w:space="0" w:color="auto"/>
                <w:bottom w:val="none" w:sz="0" w:space="0" w:color="auto"/>
                <w:right w:val="none" w:sz="0" w:space="0" w:color="auto"/>
              </w:divBdr>
              <w:divsChild>
                <w:div w:id="357897858">
                  <w:marLeft w:val="0"/>
                  <w:marRight w:val="0"/>
                  <w:marTop w:val="0"/>
                  <w:marBottom w:val="0"/>
                  <w:divBdr>
                    <w:top w:val="none" w:sz="0" w:space="0" w:color="auto"/>
                    <w:left w:val="none" w:sz="0" w:space="0" w:color="auto"/>
                    <w:bottom w:val="none" w:sz="0" w:space="0" w:color="auto"/>
                    <w:right w:val="none" w:sz="0" w:space="0" w:color="auto"/>
                  </w:divBdr>
                  <w:divsChild>
                    <w:div w:id="170867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88982">
      <w:bodyDiv w:val="1"/>
      <w:marLeft w:val="0"/>
      <w:marRight w:val="0"/>
      <w:marTop w:val="0"/>
      <w:marBottom w:val="0"/>
      <w:divBdr>
        <w:top w:val="none" w:sz="0" w:space="0" w:color="auto"/>
        <w:left w:val="none" w:sz="0" w:space="0" w:color="auto"/>
        <w:bottom w:val="none" w:sz="0" w:space="0" w:color="auto"/>
        <w:right w:val="none" w:sz="0" w:space="0" w:color="auto"/>
      </w:divBdr>
      <w:divsChild>
        <w:div w:id="1531383042">
          <w:marLeft w:val="0"/>
          <w:marRight w:val="0"/>
          <w:marTop w:val="0"/>
          <w:marBottom w:val="0"/>
          <w:divBdr>
            <w:top w:val="none" w:sz="0" w:space="0" w:color="auto"/>
            <w:left w:val="none" w:sz="0" w:space="0" w:color="auto"/>
            <w:bottom w:val="none" w:sz="0" w:space="0" w:color="auto"/>
            <w:right w:val="none" w:sz="0" w:space="0" w:color="auto"/>
          </w:divBdr>
          <w:divsChild>
            <w:div w:id="1212614705">
              <w:marLeft w:val="0"/>
              <w:marRight w:val="0"/>
              <w:marTop w:val="0"/>
              <w:marBottom w:val="0"/>
              <w:divBdr>
                <w:top w:val="none" w:sz="0" w:space="0" w:color="auto"/>
                <w:left w:val="none" w:sz="0" w:space="0" w:color="auto"/>
                <w:bottom w:val="none" w:sz="0" w:space="0" w:color="auto"/>
                <w:right w:val="none" w:sz="0" w:space="0" w:color="auto"/>
              </w:divBdr>
              <w:divsChild>
                <w:div w:id="1438213252">
                  <w:marLeft w:val="0"/>
                  <w:marRight w:val="0"/>
                  <w:marTop w:val="0"/>
                  <w:marBottom w:val="0"/>
                  <w:divBdr>
                    <w:top w:val="none" w:sz="0" w:space="0" w:color="auto"/>
                    <w:left w:val="none" w:sz="0" w:space="0" w:color="auto"/>
                    <w:bottom w:val="none" w:sz="0" w:space="0" w:color="auto"/>
                    <w:right w:val="none" w:sz="0" w:space="0" w:color="auto"/>
                  </w:divBdr>
                  <w:divsChild>
                    <w:div w:id="18937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75545">
      <w:bodyDiv w:val="1"/>
      <w:marLeft w:val="0"/>
      <w:marRight w:val="0"/>
      <w:marTop w:val="0"/>
      <w:marBottom w:val="0"/>
      <w:divBdr>
        <w:top w:val="none" w:sz="0" w:space="0" w:color="auto"/>
        <w:left w:val="none" w:sz="0" w:space="0" w:color="auto"/>
        <w:bottom w:val="none" w:sz="0" w:space="0" w:color="auto"/>
        <w:right w:val="none" w:sz="0" w:space="0" w:color="auto"/>
      </w:divBdr>
      <w:divsChild>
        <w:div w:id="1989282373">
          <w:marLeft w:val="0"/>
          <w:marRight w:val="0"/>
          <w:marTop w:val="0"/>
          <w:marBottom w:val="0"/>
          <w:divBdr>
            <w:top w:val="none" w:sz="0" w:space="0" w:color="auto"/>
            <w:left w:val="none" w:sz="0" w:space="0" w:color="auto"/>
            <w:bottom w:val="none" w:sz="0" w:space="0" w:color="auto"/>
            <w:right w:val="none" w:sz="0" w:space="0" w:color="auto"/>
          </w:divBdr>
          <w:divsChild>
            <w:div w:id="814562088">
              <w:marLeft w:val="0"/>
              <w:marRight w:val="0"/>
              <w:marTop w:val="0"/>
              <w:marBottom w:val="0"/>
              <w:divBdr>
                <w:top w:val="none" w:sz="0" w:space="0" w:color="auto"/>
                <w:left w:val="none" w:sz="0" w:space="0" w:color="auto"/>
                <w:bottom w:val="none" w:sz="0" w:space="0" w:color="auto"/>
                <w:right w:val="none" w:sz="0" w:space="0" w:color="auto"/>
              </w:divBdr>
              <w:divsChild>
                <w:div w:id="1326982071">
                  <w:marLeft w:val="0"/>
                  <w:marRight w:val="0"/>
                  <w:marTop w:val="0"/>
                  <w:marBottom w:val="0"/>
                  <w:divBdr>
                    <w:top w:val="none" w:sz="0" w:space="0" w:color="auto"/>
                    <w:left w:val="none" w:sz="0" w:space="0" w:color="auto"/>
                    <w:bottom w:val="none" w:sz="0" w:space="0" w:color="auto"/>
                    <w:right w:val="none" w:sz="0" w:space="0" w:color="auto"/>
                  </w:divBdr>
                  <w:divsChild>
                    <w:div w:id="617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452833">
      <w:bodyDiv w:val="1"/>
      <w:marLeft w:val="0"/>
      <w:marRight w:val="0"/>
      <w:marTop w:val="0"/>
      <w:marBottom w:val="0"/>
      <w:divBdr>
        <w:top w:val="none" w:sz="0" w:space="0" w:color="auto"/>
        <w:left w:val="none" w:sz="0" w:space="0" w:color="auto"/>
        <w:bottom w:val="none" w:sz="0" w:space="0" w:color="auto"/>
        <w:right w:val="none" w:sz="0" w:space="0" w:color="auto"/>
      </w:divBdr>
      <w:divsChild>
        <w:div w:id="1205604594">
          <w:marLeft w:val="0"/>
          <w:marRight w:val="0"/>
          <w:marTop w:val="0"/>
          <w:marBottom w:val="0"/>
          <w:divBdr>
            <w:top w:val="none" w:sz="0" w:space="0" w:color="auto"/>
            <w:left w:val="none" w:sz="0" w:space="0" w:color="auto"/>
            <w:bottom w:val="none" w:sz="0" w:space="0" w:color="auto"/>
            <w:right w:val="none" w:sz="0" w:space="0" w:color="auto"/>
          </w:divBdr>
          <w:divsChild>
            <w:div w:id="1224559293">
              <w:marLeft w:val="0"/>
              <w:marRight w:val="0"/>
              <w:marTop w:val="0"/>
              <w:marBottom w:val="0"/>
              <w:divBdr>
                <w:top w:val="none" w:sz="0" w:space="0" w:color="auto"/>
                <w:left w:val="none" w:sz="0" w:space="0" w:color="auto"/>
                <w:bottom w:val="none" w:sz="0" w:space="0" w:color="auto"/>
                <w:right w:val="none" w:sz="0" w:space="0" w:color="auto"/>
              </w:divBdr>
              <w:divsChild>
                <w:div w:id="497506796">
                  <w:marLeft w:val="0"/>
                  <w:marRight w:val="0"/>
                  <w:marTop w:val="0"/>
                  <w:marBottom w:val="0"/>
                  <w:divBdr>
                    <w:top w:val="none" w:sz="0" w:space="0" w:color="auto"/>
                    <w:left w:val="none" w:sz="0" w:space="0" w:color="auto"/>
                    <w:bottom w:val="none" w:sz="0" w:space="0" w:color="auto"/>
                    <w:right w:val="none" w:sz="0" w:space="0" w:color="auto"/>
                  </w:divBdr>
                  <w:divsChild>
                    <w:div w:id="21456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64757">
      <w:bodyDiv w:val="1"/>
      <w:marLeft w:val="390"/>
      <w:marRight w:val="390"/>
      <w:marTop w:val="0"/>
      <w:marBottom w:val="0"/>
      <w:divBdr>
        <w:top w:val="none" w:sz="0" w:space="0" w:color="auto"/>
        <w:left w:val="none" w:sz="0" w:space="0" w:color="auto"/>
        <w:bottom w:val="none" w:sz="0" w:space="0" w:color="auto"/>
        <w:right w:val="none" w:sz="0" w:space="0" w:color="auto"/>
      </w:divBdr>
    </w:div>
    <w:div w:id="534537721">
      <w:bodyDiv w:val="1"/>
      <w:marLeft w:val="0"/>
      <w:marRight w:val="0"/>
      <w:marTop w:val="0"/>
      <w:marBottom w:val="0"/>
      <w:divBdr>
        <w:top w:val="none" w:sz="0" w:space="0" w:color="auto"/>
        <w:left w:val="none" w:sz="0" w:space="0" w:color="auto"/>
        <w:bottom w:val="none" w:sz="0" w:space="0" w:color="auto"/>
        <w:right w:val="none" w:sz="0" w:space="0" w:color="auto"/>
      </w:divBdr>
      <w:divsChild>
        <w:div w:id="1278368975">
          <w:marLeft w:val="0"/>
          <w:marRight w:val="0"/>
          <w:marTop w:val="0"/>
          <w:marBottom w:val="0"/>
          <w:divBdr>
            <w:top w:val="none" w:sz="0" w:space="0" w:color="auto"/>
            <w:left w:val="none" w:sz="0" w:space="0" w:color="auto"/>
            <w:bottom w:val="none" w:sz="0" w:space="0" w:color="auto"/>
            <w:right w:val="none" w:sz="0" w:space="0" w:color="auto"/>
          </w:divBdr>
          <w:divsChild>
            <w:div w:id="1970477146">
              <w:marLeft w:val="0"/>
              <w:marRight w:val="0"/>
              <w:marTop w:val="0"/>
              <w:marBottom w:val="0"/>
              <w:divBdr>
                <w:top w:val="none" w:sz="0" w:space="0" w:color="auto"/>
                <w:left w:val="none" w:sz="0" w:space="0" w:color="auto"/>
                <w:bottom w:val="none" w:sz="0" w:space="0" w:color="auto"/>
                <w:right w:val="none" w:sz="0" w:space="0" w:color="auto"/>
              </w:divBdr>
              <w:divsChild>
                <w:div w:id="1136988558">
                  <w:marLeft w:val="0"/>
                  <w:marRight w:val="0"/>
                  <w:marTop w:val="0"/>
                  <w:marBottom w:val="0"/>
                  <w:divBdr>
                    <w:top w:val="none" w:sz="0" w:space="0" w:color="auto"/>
                    <w:left w:val="none" w:sz="0" w:space="0" w:color="auto"/>
                    <w:bottom w:val="none" w:sz="0" w:space="0" w:color="auto"/>
                    <w:right w:val="none" w:sz="0" w:space="0" w:color="auto"/>
                  </w:divBdr>
                  <w:divsChild>
                    <w:div w:id="533231626">
                      <w:marLeft w:val="0"/>
                      <w:marRight w:val="0"/>
                      <w:marTop w:val="0"/>
                      <w:marBottom w:val="0"/>
                      <w:divBdr>
                        <w:top w:val="none" w:sz="0" w:space="0" w:color="auto"/>
                        <w:left w:val="none" w:sz="0" w:space="0" w:color="auto"/>
                        <w:bottom w:val="none" w:sz="0" w:space="0" w:color="auto"/>
                        <w:right w:val="none" w:sz="0" w:space="0" w:color="auto"/>
                      </w:divBdr>
                      <w:divsChild>
                        <w:div w:id="15370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760027">
      <w:bodyDiv w:val="1"/>
      <w:marLeft w:val="0"/>
      <w:marRight w:val="0"/>
      <w:marTop w:val="0"/>
      <w:marBottom w:val="0"/>
      <w:divBdr>
        <w:top w:val="none" w:sz="0" w:space="0" w:color="auto"/>
        <w:left w:val="none" w:sz="0" w:space="0" w:color="auto"/>
        <w:bottom w:val="none" w:sz="0" w:space="0" w:color="auto"/>
        <w:right w:val="none" w:sz="0" w:space="0" w:color="auto"/>
      </w:divBdr>
    </w:div>
    <w:div w:id="553739640">
      <w:bodyDiv w:val="1"/>
      <w:marLeft w:val="0"/>
      <w:marRight w:val="0"/>
      <w:marTop w:val="0"/>
      <w:marBottom w:val="0"/>
      <w:divBdr>
        <w:top w:val="none" w:sz="0" w:space="0" w:color="auto"/>
        <w:left w:val="none" w:sz="0" w:space="0" w:color="auto"/>
        <w:bottom w:val="none" w:sz="0" w:space="0" w:color="auto"/>
        <w:right w:val="none" w:sz="0" w:space="0" w:color="auto"/>
      </w:divBdr>
      <w:divsChild>
        <w:div w:id="1820805740">
          <w:marLeft w:val="0"/>
          <w:marRight w:val="0"/>
          <w:marTop w:val="0"/>
          <w:marBottom w:val="0"/>
          <w:divBdr>
            <w:top w:val="none" w:sz="0" w:space="0" w:color="auto"/>
            <w:left w:val="none" w:sz="0" w:space="0" w:color="auto"/>
            <w:bottom w:val="none" w:sz="0" w:space="0" w:color="auto"/>
            <w:right w:val="none" w:sz="0" w:space="0" w:color="auto"/>
          </w:divBdr>
          <w:divsChild>
            <w:div w:id="895820361">
              <w:marLeft w:val="0"/>
              <w:marRight w:val="0"/>
              <w:marTop w:val="0"/>
              <w:marBottom w:val="0"/>
              <w:divBdr>
                <w:top w:val="none" w:sz="0" w:space="0" w:color="auto"/>
                <w:left w:val="none" w:sz="0" w:space="0" w:color="auto"/>
                <w:bottom w:val="none" w:sz="0" w:space="0" w:color="auto"/>
                <w:right w:val="none" w:sz="0" w:space="0" w:color="auto"/>
              </w:divBdr>
              <w:divsChild>
                <w:div w:id="1231387942">
                  <w:marLeft w:val="0"/>
                  <w:marRight w:val="0"/>
                  <w:marTop w:val="0"/>
                  <w:marBottom w:val="0"/>
                  <w:divBdr>
                    <w:top w:val="none" w:sz="0" w:space="0" w:color="auto"/>
                    <w:left w:val="none" w:sz="0" w:space="0" w:color="auto"/>
                    <w:bottom w:val="none" w:sz="0" w:space="0" w:color="auto"/>
                    <w:right w:val="none" w:sz="0" w:space="0" w:color="auto"/>
                  </w:divBdr>
                  <w:divsChild>
                    <w:div w:id="17669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760653">
      <w:bodyDiv w:val="1"/>
      <w:marLeft w:val="0"/>
      <w:marRight w:val="0"/>
      <w:marTop w:val="0"/>
      <w:marBottom w:val="0"/>
      <w:divBdr>
        <w:top w:val="none" w:sz="0" w:space="0" w:color="auto"/>
        <w:left w:val="none" w:sz="0" w:space="0" w:color="auto"/>
        <w:bottom w:val="none" w:sz="0" w:space="0" w:color="auto"/>
        <w:right w:val="none" w:sz="0" w:space="0" w:color="auto"/>
      </w:divBdr>
      <w:divsChild>
        <w:div w:id="73520562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084687209">
      <w:bodyDiv w:val="1"/>
      <w:marLeft w:val="0"/>
      <w:marRight w:val="0"/>
      <w:marTop w:val="0"/>
      <w:marBottom w:val="0"/>
      <w:divBdr>
        <w:top w:val="none" w:sz="0" w:space="0" w:color="auto"/>
        <w:left w:val="none" w:sz="0" w:space="0" w:color="auto"/>
        <w:bottom w:val="none" w:sz="0" w:space="0" w:color="auto"/>
        <w:right w:val="none" w:sz="0" w:space="0" w:color="auto"/>
      </w:divBdr>
    </w:div>
    <w:div w:id="1117485136">
      <w:bodyDiv w:val="1"/>
      <w:marLeft w:val="0"/>
      <w:marRight w:val="0"/>
      <w:marTop w:val="0"/>
      <w:marBottom w:val="0"/>
      <w:divBdr>
        <w:top w:val="none" w:sz="0" w:space="0" w:color="auto"/>
        <w:left w:val="none" w:sz="0" w:space="0" w:color="auto"/>
        <w:bottom w:val="none" w:sz="0" w:space="0" w:color="auto"/>
        <w:right w:val="none" w:sz="0" w:space="0" w:color="auto"/>
      </w:divBdr>
      <w:divsChild>
        <w:div w:id="462624971">
          <w:marLeft w:val="0"/>
          <w:marRight w:val="0"/>
          <w:marTop w:val="0"/>
          <w:marBottom w:val="0"/>
          <w:divBdr>
            <w:top w:val="none" w:sz="0" w:space="0" w:color="auto"/>
            <w:left w:val="none" w:sz="0" w:space="0" w:color="auto"/>
            <w:bottom w:val="none" w:sz="0" w:space="0" w:color="auto"/>
            <w:right w:val="none" w:sz="0" w:space="0" w:color="auto"/>
          </w:divBdr>
          <w:divsChild>
            <w:div w:id="1988168932">
              <w:marLeft w:val="0"/>
              <w:marRight w:val="0"/>
              <w:marTop w:val="0"/>
              <w:marBottom w:val="0"/>
              <w:divBdr>
                <w:top w:val="none" w:sz="0" w:space="0" w:color="auto"/>
                <w:left w:val="none" w:sz="0" w:space="0" w:color="auto"/>
                <w:bottom w:val="none" w:sz="0" w:space="0" w:color="auto"/>
                <w:right w:val="none" w:sz="0" w:space="0" w:color="auto"/>
              </w:divBdr>
              <w:divsChild>
                <w:div w:id="1195457423">
                  <w:marLeft w:val="0"/>
                  <w:marRight w:val="0"/>
                  <w:marTop w:val="0"/>
                  <w:marBottom w:val="0"/>
                  <w:divBdr>
                    <w:top w:val="none" w:sz="0" w:space="0" w:color="auto"/>
                    <w:left w:val="none" w:sz="0" w:space="0" w:color="auto"/>
                    <w:bottom w:val="none" w:sz="0" w:space="0" w:color="auto"/>
                    <w:right w:val="none" w:sz="0" w:space="0" w:color="auto"/>
                  </w:divBdr>
                  <w:divsChild>
                    <w:div w:id="11259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551920">
      <w:bodyDiv w:val="1"/>
      <w:marLeft w:val="0"/>
      <w:marRight w:val="0"/>
      <w:marTop w:val="0"/>
      <w:marBottom w:val="0"/>
      <w:divBdr>
        <w:top w:val="none" w:sz="0" w:space="0" w:color="auto"/>
        <w:left w:val="none" w:sz="0" w:space="0" w:color="auto"/>
        <w:bottom w:val="none" w:sz="0" w:space="0" w:color="auto"/>
        <w:right w:val="none" w:sz="0" w:space="0" w:color="auto"/>
      </w:divBdr>
      <w:divsChild>
        <w:div w:id="1925453797">
          <w:marLeft w:val="0"/>
          <w:marRight w:val="0"/>
          <w:marTop w:val="0"/>
          <w:marBottom w:val="0"/>
          <w:divBdr>
            <w:top w:val="none" w:sz="0" w:space="0" w:color="auto"/>
            <w:left w:val="none" w:sz="0" w:space="0" w:color="auto"/>
            <w:bottom w:val="none" w:sz="0" w:space="0" w:color="auto"/>
            <w:right w:val="none" w:sz="0" w:space="0" w:color="auto"/>
          </w:divBdr>
          <w:divsChild>
            <w:div w:id="1497962437">
              <w:marLeft w:val="0"/>
              <w:marRight w:val="0"/>
              <w:marTop w:val="0"/>
              <w:marBottom w:val="0"/>
              <w:divBdr>
                <w:top w:val="none" w:sz="0" w:space="0" w:color="auto"/>
                <w:left w:val="none" w:sz="0" w:space="0" w:color="auto"/>
                <w:bottom w:val="none" w:sz="0" w:space="0" w:color="auto"/>
                <w:right w:val="none" w:sz="0" w:space="0" w:color="auto"/>
              </w:divBdr>
              <w:divsChild>
                <w:div w:id="684869252">
                  <w:marLeft w:val="0"/>
                  <w:marRight w:val="0"/>
                  <w:marTop w:val="0"/>
                  <w:marBottom w:val="0"/>
                  <w:divBdr>
                    <w:top w:val="none" w:sz="0" w:space="0" w:color="auto"/>
                    <w:left w:val="none" w:sz="0" w:space="0" w:color="auto"/>
                    <w:bottom w:val="none" w:sz="0" w:space="0" w:color="auto"/>
                    <w:right w:val="none" w:sz="0" w:space="0" w:color="auto"/>
                  </w:divBdr>
                  <w:divsChild>
                    <w:div w:id="163324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693361">
      <w:bodyDiv w:val="1"/>
      <w:marLeft w:val="0"/>
      <w:marRight w:val="0"/>
      <w:marTop w:val="0"/>
      <w:marBottom w:val="0"/>
      <w:divBdr>
        <w:top w:val="none" w:sz="0" w:space="0" w:color="auto"/>
        <w:left w:val="none" w:sz="0" w:space="0" w:color="auto"/>
        <w:bottom w:val="none" w:sz="0" w:space="0" w:color="auto"/>
        <w:right w:val="none" w:sz="0" w:space="0" w:color="auto"/>
      </w:divBdr>
      <w:divsChild>
        <w:div w:id="94055676">
          <w:marLeft w:val="0"/>
          <w:marRight w:val="0"/>
          <w:marTop w:val="0"/>
          <w:marBottom w:val="0"/>
          <w:divBdr>
            <w:top w:val="none" w:sz="0" w:space="0" w:color="auto"/>
            <w:left w:val="none" w:sz="0" w:space="0" w:color="auto"/>
            <w:bottom w:val="none" w:sz="0" w:space="0" w:color="auto"/>
            <w:right w:val="none" w:sz="0" w:space="0" w:color="auto"/>
          </w:divBdr>
          <w:divsChild>
            <w:div w:id="1372143607">
              <w:marLeft w:val="0"/>
              <w:marRight w:val="0"/>
              <w:marTop w:val="0"/>
              <w:marBottom w:val="0"/>
              <w:divBdr>
                <w:top w:val="none" w:sz="0" w:space="0" w:color="auto"/>
                <w:left w:val="none" w:sz="0" w:space="0" w:color="auto"/>
                <w:bottom w:val="none" w:sz="0" w:space="0" w:color="auto"/>
                <w:right w:val="none" w:sz="0" w:space="0" w:color="auto"/>
              </w:divBdr>
              <w:divsChild>
                <w:div w:id="74667593">
                  <w:marLeft w:val="0"/>
                  <w:marRight w:val="0"/>
                  <w:marTop w:val="0"/>
                  <w:marBottom w:val="0"/>
                  <w:divBdr>
                    <w:top w:val="none" w:sz="0" w:space="0" w:color="auto"/>
                    <w:left w:val="none" w:sz="0" w:space="0" w:color="auto"/>
                    <w:bottom w:val="none" w:sz="0" w:space="0" w:color="auto"/>
                    <w:right w:val="none" w:sz="0" w:space="0" w:color="auto"/>
                  </w:divBdr>
                  <w:divsChild>
                    <w:div w:id="112855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291771">
      <w:bodyDiv w:val="1"/>
      <w:marLeft w:val="0"/>
      <w:marRight w:val="0"/>
      <w:marTop w:val="0"/>
      <w:marBottom w:val="0"/>
      <w:divBdr>
        <w:top w:val="none" w:sz="0" w:space="0" w:color="auto"/>
        <w:left w:val="none" w:sz="0" w:space="0" w:color="auto"/>
        <w:bottom w:val="none" w:sz="0" w:space="0" w:color="auto"/>
        <w:right w:val="none" w:sz="0" w:space="0" w:color="auto"/>
      </w:divBdr>
      <w:divsChild>
        <w:div w:id="187283661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369603994">
      <w:bodyDiv w:val="1"/>
      <w:marLeft w:val="0"/>
      <w:marRight w:val="0"/>
      <w:marTop w:val="0"/>
      <w:marBottom w:val="0"/>
      <w:divBdr>
        <w:top w:val="none" w:sz="0" w:space="0" w:color="auto"/>
        <w:left w:val="none" w:sz="0" w:space="0" w:color="auto"/>
        <w:bottom w:val="none" w:sz="0" w:space="0" w:color="auto"/>
        <w:right w:val="none" w:sz="0" w:space="0" w:color="auto"/>
      </w:divBdr>
      <w:divsChild>
        <w:div w:id="2116830502">
          <w:marLeft w:val="0"/>
          <w:marRight w:val="0"/>
          <w:marTop w:val="0"/>
          <w:marBottom w:val="0"/>
          <w:divBdr>
            <w:top w:val="none" w:sz="0" w:space="0" w:color="auto"/>
            <w:left w:val="none" w:sz="0" w:space="0" w:color="auto"/>
            <w:bottom w:val="none" w:sz="0" w:space="0" w:color="auto"/>
            <w:right w:val="none" w:sz="0" w:space="0" w:color="auto"/>
          </w:divBdr>
          <w:divsChild>
            <w:div w:id="1353267177">
              <w:marLeft w:val="0"/>
              <w:marRight w:val="0"/>
              <w:marTop w:val="0"/>
              <w:marBottom w:val="0"/>
              <w:divBdr>
                <w:top w:val="none" w:sz="0" w:space="0" w:color="auto"/>
                <w:left w:val="none" w:sz="0" w:space="0" w:color="auto"/>
                <w:bottom w:val="none" w:sz="0" w:space="0" w:color="auto"/>
                <w:right w:val="none" w:sz="0" w:space="0" w:color="auto"/>
              </w:divBdr>
              <w:divsChild>
                <w:div w:id="2138718481">
                  <w:marLeft w:val="0"/>
                  <w:marRight w:val="0"/>
                  <w:marTop w:val="0"/>
                  <w:marBottom w:val="0"/>
                  <w:divBdr>
                    <w:top w:val="none" w:sz="0" w:space="0" w:color="auto"/>
                    <w:left w:val="none" w:sz="0" w:space="0" w:color="auto"/>
                    <w:bottom w:val="none" w:sz="0" w:space="0" w:color="auto"/>
                    <w:right w:val="none" w:sz="0" w:space="0" w:color="auto"/>
                  </w:divBdr>
                  <w:divsChild>
                    <w:div w:id="644702902">
                      <w:marLeft w:val="0"/>
                      <w:marRight w:val="0"/>
                      <w:marTop w:val="0"/>
                      <w:marBottom w:val="0"/>
                      <w:divBdr>
                        <w:top w:val="none" w:sz="0" w:space="0" w:color="auto"/>
                        <w:left w:val="none" w:sz="0" w:space="0" w:color="auto"/>
                        <w:bottom w:val="none" w:sz="0" w:space="0" w:color="auto"/>
                        <w:right w:val="none" w:sz="0" w:space="0" w:color="auto"/>
                      </w:divBdr>
                      <w:divsChild>
                        <w:div w:id="438843327">
                          <w:marLeft w:val="0"/>
                          <w:marRight w:val="0"/>
                          <w:marTop w:val="0"/>
                          <w:marBottom w:val="0"/>
                          <w:divBdr>
                            <w:top w:val="none" w:sz="0" w:space="0" w:color="auto"/>
                            <w:left w:val="none" w:sz="0" w:space="0" w:color="auto"/>
                            <w:bottom w:val="none" w:sz="0" w:space="0" w:color="auto"/>
                            <w:right w:val="none" w:sz="0" w:space="0" w:color="auto"/>
                          </w:divBdr>
                          <w:divsChild>
                            <w:div w:id="197656888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527280">
      <w:bodyDiv w:val="1"/>
      <w:marLeft w:val="0"/>
      <w:marRight w:val="0"/>
      <w:marTop w:val="0"/>
      <w:marBottom w:val="0"/>
      <w:divBdr>
        <w:top w:val="none" w:sz="0" w:space="0" w:color="auto"/>
        <w:left w:val="none" w:sz="0" w:space="0" w:color="auto"/>
        <w:bottom w:val="none" w:sz="0" w:space="0" w:color="auto"/>
        <w:right w:val="none" w:sz="0" w:space="0" w:color="auto"/>
      </w:divBdr>
    </w:div>
    <w:div w:id="1426462937">
      <w:bodyDiv w:val="1"/>
      <w:marLeft w:val="0"/>
      <w:marRight w:val="0"/>
      <w:marTop w:val="0"/>
      <w:marBottom w:val="0"/>
      <w:divBdr>
        <w:top w:val="none" w:sz="0" w:space="0" w:color="auto"/>
        <w:left w:val="none" w:sz="0" w:space="0" w:color="auto"/>
        <w:bottom w:val="none" w:sz="0" w:space="0" w:color="auto"/>
        <w:right w:val="none" w:sz="0" w:space="0" w:color="auto"/>
      </w:divBdr>
    </w:div>
    <w:div w:id="1488470486">
      <w:bodyDiv w:val="1"/>
      <w:marLeft w:val="0"/>
      <w:marRight w:val="0"/>
      <w:marTop w:val="0"/>
      <w:marBottom w:val="0"/>
      <w:divBdr>
        <w:top w:val="none" w:sz="0" w:space="0" w:color="auto"/>
        <w:left w:val="none" w:sz="0" w:space="0" w:color="auto"/>
        <w:bottom w:val="none" w:sz="0" w:space="0" w:color="auto"/>
        <w:right w:val="none" w:sz="0" w:space="0" w:color="auto"/>
      </w:divBdr>
      <w:divsChild>
        <w:div w:id="309486971">
          <w:marLeft w:val="0"/>
          <w:marRight w:val="0"/>
          <w:marTop w:val="0"/>
          <w:marBottom w:val="0"/>
          <w:divBdr>
            <w:top w:val="none" w:sz="0" w:space="0" w:color="auto"/>
            <w:left w:val="none" w:sz="0" w:space="0" w:color="auto"/>
            <w:bottom w:val="none" w:sz="0" w:space="0" w:color="auto"/>
            <w:right w:val="none" w:sz="0" w:space="0" w:color="auto"/>
          </w:divBdr>
          <w:divsChild>
            <w:div w:id="1882205815">
              <w:marLeft w:val="0"/>
              <w:marRight w:val="0"/>
              <w:marTop w:val="0"/>
              <w:marBottom w:val="0"/>
              <w:divBdr>
                <w:top w:val="none" w:sz="0" w:space="0" w:color="auto"/>
                <w:left w:val="none" w:sz="0" w:space="0" w:color="auto"/>
                <w:bottom w:val="none" w:sz="0" w:space="0" w:color="auto"/>
                <w:right w:val="none" w:sz="0" w:space="0" w:color="auto"/>
              </w:divBdr>
              <w:divsChild>
                <w:div w:id="909005529">
                  <w:marLeft w:val="0"/>
                  <w:marRight w:val="0"/>
                  <w:marTop w:val="0"/>
                  <w:marBottom w:val="0"/>
                  <w:divBdr>
                    <w:top w:val="none" w:sz="0" w:space="0" w:color="auto"/>
                    <w:left w:val="none" w:sz="0" w:space="0" w:color="auto"/>
                    <w:bottom w:val="none" w:sz="0" w:space="0" w:color="auto"/>
                    <w:right w:val="none" w:sz="0" w:space="0" w:color="auto"/>
                  </w:divBdr>
                  <w:divsChild>
                    <w:div w:id="1218973128">
                      <w:marLeft w:val="0"/>
                      <w:marRight w:val="0"/>
                      <w:marTop w:val="0"/>
                      <w:marBottom w:val="0"/>
                      <w:divBdr>
                        <w:top w:val="none" w:sz="0" w:space="0" w:color="auto"/>
                        <w:left w:val="none" w:sz="0" w:space="0" w:color="auto"/>
                        <w:bottom w:val="none" w:sz="0" w:space="0" w:color="auto"/>
                        <w:right w:val="none" w:sz="0" w:space="0" w:color="auto"/>
                      </w:divBdr>
                      <w:divsChild>
                        <w:div w:id="182704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284392">
      <w:bodyDiv w:val="1"/>
      <w:marLeft w:val="0"/>
      <w:marRight w:val="0"/>
      <w:marTop w:val="0"/>
      <w:marBottom w:val="0"/>
      <w:divBdr>
        <w:top w:val="none" w:sz="0" w:space="0" w:color="auto"/>
        <w:left w:val="none" w:sz="0" w:space="0" w:color="auto"/>
        <w:bottom w:val="none" w:sz="0" w:space="0" w:color="auto"/>
        <w:right w:val="none" w:sz="0" w:space="0" w:color="auto"/>
      </w:divBdr>
    </w:div>
    <w:div w:id="1543053088">
      <w:bodyDiv w:val="1"/>
      <w:marLeft w:val="0"/>
      <w:marRight w:val="0"/>
      <w:marTop w:val="0"/>
      <w:marBottom w:val="0"/>
      <w:divBdr>
        <w:top w:val="none" w:sz="0" w:space="0" w:color="auto"/>
        <w:left w:val="none" w:sz="0" w:space="0" w:color="auto"/>
        <w:bottom w:val="none" w:sz="0" w:space="0" w:color="auto"/>
        <w:right w:val="none" w:sz="0" w:space="0" w:color="auto"/>
      </w:divBdr>
    </w:div>
    <w:div w:id="1757361013">
      <w:bodyDiv w:val="1"/>
      <w:marLeft w:val="0"/>
      <w:marRight w:val="0"/>
      <w:marTop w:val="0"/>
      <w:marBottom w:val="0"/>
      <w:divBdr>
        <w:top w:val="none" w:sz="0" w:space="0" w:color="auto"/>
        <w:left w:val="none" w:sz="0" w:space="0" w:color="auto"/>
        <w:bottom w:val="none" w:sz="0" w:space="0" w:color="auto"/>
        <w:right w:val="none" w:sz="0" w:space="0" w:color="auto"/>
      </w:divBdr>
      <w:divsChild>
        <w:div w:id="374156554">
          <w:marLeft w:val="0"/>
          <w:marRight w:val="0"/>
          <w:marTop w:val="0"/>
          <w:marBottom w:val="0"/>
          <w:divBdr>
            <w:top w:val="none" w:sz="0" w:space="0" w:color="auto"/>
            <w:left w:val="none" w:sz="0" w:space="0" w:color="auto"/>
            <w:bottom w:val="none" w:sz="0" w:space="0" w:color="auto"/>
            <w:right w:val="none" w:sz="0" w:space="0" w:color="auto"/>
          </w:divBdr>
          <w:divsChild>
            <w:div w:id="277950598">
              <w:marLeft w:val="0"/>
              <w:marRight w:val="0"/>
              <w:marTop w:val="0"/>
              <w:marBottom w:val="0"/>
              <w:divBdr>
                <w:top w:val="none" w:sz="0" w:space="0" w:color="auto"/>
                <w:left w:val="none" w:sz="0" w:space="0" w:color="auto"/>
                <w:bottom w:val="none" w:sz="0" w:space="0" w:color="auto"/>
                <w:right w:val="none" w:sz="0" w:space="0" w:color="auto"/>
              </w:divBdr>
              <w:divsChild>
                <w:div w:id="1799832998">
                  <w:marLeft w:val="0"/>
                  <w:marRight w:val="0"/>
                  <w:marTop w:val="0"/>
                  <w:marBottom w:val="0"/>
                  <w:divBdr>
                    <w:top w:val="none" w:sz="0" w:space="0" w:color="auto"/>
                    <w:left w:val="none" w:sz="0" w:space="0" w:color="auto"/>
                    <w:bottom w:val="none" w:sz="0" w:space="0" w:color="auto"/>
                    <w:right w:val="none" w:sz="0" w:space="0" w:color="auto"/>
                  </w:divBdr>
                  <w:divsChild>
                    <w:div w:id="12531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047465">
      <w:bodyDiv w:val="1"/>
      <w:marLeft w:val="0"/>
      <w:marRight w:val="0"/>
      <w:marTop w:val="0"/>
      <w:marBottom w:val="0"/>
      <w:divBdr>
        <w:top w:val="none" w:sz="0" w:space="0" w:color="auto"/>
        <w:left w:val="none" w:sz="0" w:space="0" w:color="auto"/>
        <w:bottom w:val="none" w:sz="0" w:space="0" w:color="auto"/>
        <w:right w:val="none" w:sz="0" w:space="0" w:color="auto"/>
      </w:divBdr>
      <w:divsChild>
        <w:div w:id="1230266184">
          <w:marLeft w:val="0"/>
          <w:marRight w:val="0"/>
          <w:marTop w:val="0"/>
          <w:marBottom w:val="0"/>
          <w:divBdr>
            <w:top w:val="none" w:sz="0" w:space="0" w:color="auto"/>
            <w:left w:val="none" w:sz="0" w:space="0" w:color="auto"/>
            <w:bottom w:val="none" w:sz="0" w:space="0" w:color="auto"/>
            <w:right w:val="none" w:sz="0" w:space="0" w:color="auto"/>
          </w:divBdr>
          <w:divsChild>
            <w:div w:id="1175261794">
              <w:marLeft w:val="0"/>
              <w:marRight w:val="0"/>
              <w:marTop w:val="0"/>
              <w:marBottom w:val="0"/>
              <w:divBdr>
                <w:top w:val="none" w:sz="0" w:space="0" w:color="auto"/>
                <w:left w:val="none" w:sz="0" w:space="0" w:color="auto"/>
                <w:bottom w:val="none" w:sz="0" w:space="0" w:color="auto"/>
                <w:right w:val="none" w:sz="0" w:space="0" w:color="auto"/>
              </w:divBdr>
              <w:divsChild>
                <w:div w:id="2012642601">
                  <w:marLeft w:val="0"/>
                  <w:marRight w:val="0"/>
                  <w:marTop w:val="0"/>
                  <w:marBottom w:val="0"/>
                  <w:divBdr>
                    <w:top w:val="none" w:sz="0" w:space="0" w:color="auto"/>
                    <w:left w:val="none" w:sz="0" w:space="0" w:color="auto"/>
                    <w:bottom w:val="none" w:sz="0" w:space="0" w:color="auto"/>
                    <w:right w:val="none" w:sz="0" w:space="0" w:color="auto"/>
                  </w:divBdr>
                  <w:divsChild>
                    <w:div w:id="863715382">
                      <w:marLeft w:val="0"/>
                      <w:marRight w:val="0"/>
                      <w:marTop w:val="0"/>
                      <w:marBottom w:val="0"/>
                      <w:divBdr>
                        <w:top w:val="none" w:sz="0" w:space="0" w:color="auto"/>
                        <w:left w:val="none" w:sz="0" w:space="0" w:color="auto"/>
                        <w:bottom w:val="none" w:sz="0" w:space="0" w:color="auto"/>
                        <w:right w:val="none" w:sz="0" w:space="0" w:color="auto"/>
                      </w:divBdr>
                      <w:divsChild>
                        <w:div w:id="241649289">
                          <w:marLeft w:val="0"/>
                          <w:marRight w:val="0"/>
                          <w:marTop w:val="0"/>
                          <w:marBottom w:val="0"/>
                          <w:divBdr>
                            <w:top w:val="none" w:sz="0" w:space="0" w:color="auto"/>
                            <w:left w:val="none" w:sz="0" w:space="0" w:color="auto"/>
                            <w:bottom w:val="none" w:sz="0" w:space="0" w:color="auto"/>
                            <w:right w:val="none" w:sz="0" w:space="0" w:color="auto"/>
                          </w:divBdr>
                          <w:divsChild>
                            <w:div w:id="178364681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775650">
      <w:bodyDiv w:val="1"/>
      <w:marLeft w:val="0"/>
      <w:marRight w:val="0"/>
      <w:marTop w:val="0"/>
      <w:marBottom w:val="0"/>
      <w:divBdr>
        <w:top w:val="none" w:sz="0" w:space="0" w:color="auto"/>
        <w:left w:val="none" w:sz="0" w:space="0" w:color="auto"/>
        <w:bottom w:val="none" w:sz="0" w:space="0" w:color="auto"/>
        <w:right w:val="none" w:sz="0" w:space="0" w:color="auto"/>
      </w:divBdr>
      <w:divsChild>
        <w:div w:id="1470435035">
          <w:marLeft w:val="0"/>
          <w:marRight w:val="0"/>
          <w:marTop w:val="0"/>
          <w:marBottom w:val="0"/>
          <w:divBdr>
            <w:top w:val="none" w:sz="0" w:space="0" w:color="auto"/>
            <w:left w:val="none" w:sz="0" w:space="0" w:color="auto"/>
            <w:bottom w:val="none" w:sz="0" w:space="0" w:color="auto"/>
            <w:right w:val="none" w:sz="0" w:space="0" w:color="auto"/>
          </w:divBdr>
          <w:divsChild>
            <w:div w:id="1137994541">
              <w:marLeft w:val="0"/>
              <w:marRight w:val="0"/>
              <w:marTop w:val="0"/>
              <w:marBottom w:val="0"/>
              <w:divBdr>
                <w:top w:val="none" w:sz="0" w:space="0" w:color="auto"/>
                <w:left w:val="none" w:sz="0" w:space="0" w:color="auto"/>
                <w:bottom w:val="none" w:sz="0" w:space="0" w:color="auto"/>
                <w:right w:val="none" w:sz="0" w:space="0" w:color="auto"/>
              </w:divBdr>
              <w:divsChild>
                <w:div w:id="1279724263">
                  <w:marLeft w:val="0"/>
                  <w:marRight w:val="0"/>
                  <w:marTop w:val="0"/>
                  <w:marBottom w:val="0"/>
                  <w:divBdr>
                    <w:top w:val="none" w:sz="0" w:space="0" w:color="auto"/>
                    <w:left w:val="none" w:sz="0" w:space="0" w:color="auto"/>
                    <w:bottom w:val="none" w:sz="0" w:space="0" w:color="auto"/>
                    <w:right w:val="none" w:sz="0" w:space="0" w:color="auto"/>
                  </w:divBdr>
                  <w:divsChild>
                    <w:div w:id="10274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93740">
      <w:bodyDiv w:val="1"/>
      <w:marLeft w:val="0"/>
      <w:marRight w:val="0"/>
      <w:marTop w:val="0"/>
      <w:marBottom w:val="0"/>
      <w:divBdr>
        <w:top w:val="none" w:sz="0" w:space="0" w:color="auto"/>
        <w:left w:val="none" w:sz="0" w:space="0" w:color="auto"/>
        <w:bottom w:val="none" w:sz="0" w:space="0" w:color="auto"/>
        <w:right w:val="none" w:sz="0" w:space="0" w:color="auto"/>
      </w:divBdr>
    </w:div>
    <w:div w:id="2014067764">
      <w:bodyDiv w:val="1"/>
      <w:marLeft w:val="0"/>
      <w:marRight w:val="0"/>
      <w:marTop w:val="0"/>
      <w:marBottom w:val="0"/>
      <w:divBdr>
        <w:top w:val="none" w:sz="0" w:space="0" w:color="auto"/>
        <w:left w:val="none" w:sz="0" w:space="0" w:color="auto"/>
        <w:bottom w:val="none" w:sz="0" w:space="0" w:color="auto"/>
        <w:right w:val="none" w:sz="0" w:space="0" w:color="auto"/>
      </w:divBdr>
      <w:divsChild>
        <w:div w:id="1520387420">
          <w:marLeft w:val="0"/>
          <w:marRight w:val="0"/>
          <w:marTop w:val="0"/>
          <w:marBottom w:val="0"/>
          <w:divBdr>
            <w:top w:val="none" w:sz="0" w:space="0" w:color="auto"/>
            <w:left w:val="none" w:sz="0" w:space="0" w:color="auto"/>
            <w:bottom w:val="none" w:sz="0" w:space="0" w:color="auto"/>
            <w:right w:val="none" w:sz="0" w:space="0" w:color="auto"/>
          </w:divBdr>
          <w:divsChild>
            <w:div w:id="1316374212">
              <w:marLeft w:val="0"/>
              <w:marRight w:val="0"/>
              <w:marTop w:val="0"/>
              <w:marBottom w:val="0"/>
              <w:divBdr>
                <w:top w:val="none" w:sz="0" w:space="0" w:color="auto"/>
                <w:left w:val="none" w:sz="0" w:space="0" w:color="auto"/>
                <w:bottom w:val="none" w:sz="0" w:space="0" w:color="auto"/>
                <w:right w:val="none" w:sz="0" w:space="0" w:color="auto"/>
              </w:divBdr>
              <w:divsChild>
                <w:div w:id="161747221">
                  <w:marLeft w:val="0"/>
                  <w:marRight w:val="0"/>
                  <w:marTop w:val="0"/>
                  <w:marBottom w:val="0"/>
                  <w:divBdr>
                    <w:top w:val="none" w:sz="0" w:space="0" w:color="auto"/>
                    <w:left w:val="none" w:sz="0" w:space="0" w:color="auto"/>
                    <w:bottom w:val="none" w:sz="0" w:space="0" w:color="auto"/>
                    <w:right w:val="none" w:sz="0" w:space="0" w:color="auto"/>
                  </w:divBdr>
                  <w:divsChild>
                    <w:div w:id="709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66138">
      <w:bodyDiv w:val="1"/>
      <w:marLeft w:val="0"/>
      <w:marRight w:val="0"/>
      <w:marTop w:val="0"/>
      <w:marBottom w:val="0"/>
      <w:divBdr>
        <w:top w:val="none" w:sz="0" w:space="0" w:color="auto"/>
        <w:left w:val="none" w:sz="0" w:space="0" w:color="auto"/>
        <w:bottom w:val="none" w:sz="0" w:space="0" w:color="auto"/>
        <w:right w:val="none" w:sz="0" w:space="0" w:color="auto"/>
      </w:divBdr>
      <w:divsChild>
        <w:div w:id="1717463047">
          <w:marLeft w:val="0"/>
          <w:marRight w:val="0"/>
          <w:marTop w:val="0"/>
          <w:marBottom w:val="0"/>
          <w:divBdr>
            <w:top w:val="none" w:sz="0" w:space="0" w:color="auto"/>
            <w:left w:val="none" w:sz="0" w:space="0" w:color="auto"/>
            <w:bottom w:val="none" w:sz="0" w:space="0" w:color="auto"/>
            <w:right w:val="none" w:sz="0" w:space="0" w:color="auto"/>
          </w:divBdr>
          <w:divsChild>
            <w:div w:id="1231382568">
              <w:marLeft w:val="0"/>
              <w:marRight w:val="0"/>
              <w:marTop w:val="0"/>
              <w:marBottom w:val="0"/>
              <w:divBdr>
                <w:top w:val="none" w:sz="0" w:space="0" w:color="auto"/>
                <w:left w:val="none" w:sz="0" w:space="0" w:color="auto"/>
                <w:bottom w:val="none" w:sz="0" w:space="0" w:color="auto"/>
                <w:right w:val="none" w:sz="0" w:space="0" w:color="auto"/>
              </w:divBdr>
              <w:divsChild>
                <w:div w:id="473911066">
                  <w:marLeft w:val="0"/>
                  <w:marRight w:val="0"/>
                  <w:marTop w:val="0"/>
                  <w:marBottom w:val="0"/>
                  <w:divBdr>
                    <w:top w:val="none" w:sz="0" w:space="0" w:color="auto"/>
                    <w:left w:val="none" w:sz="0" w:space="0" w:color="auto"/>
                    <w:bottom w:val="none" w:sz="0" w:space="0" w:color="auto"/>
                    <w:right w:val="none" w:sz="0" w:space="0" w:color="auto"/>
                  </w:divBdr>
                  <w:divsChild>
                    <w:div w:id="93013374">
                      <w:marLeft w:val="0"/>
                      <w:marRight w:val="0"/>
                      <w:marTop w:val="0"/>
                      <w:marBottom w:val="0"/>
                      <w:divBdr>
                        <w:top w:val="none" w:sz="0" w:space="0" w:color="auto"/>
                        <w:left w:val="none" w:sz="0" w:space="0" w:color="auto"/>
                        <w:bottom w:val="none" w:sz="0" w:space="0" w:color="auto"/>
                        <w:right w:val="none" w:sz="0" w:space="0" w:color="auto"/>
                      </w:divBdr>
                      <w:divsChild>
                        <w:div w:id="1603225236">
                          <w:marLeft w:val="0"/>
                          <w:marRight w:val="0"/>
                          <w:marTop w:val="0"/>
                          <w:marBottom w:val="0"/>
                          <w:divBdr>
                            <w:top w:val="none" w:sz="0" w:space="0" w:color="auto"/>
                            <w:left w:val="none" w:sz="0" w:space="0" w:color="auto"/>
                            <w:bottom w:val="none" w:sz="0" w:space="0" w:color="auto"/>
                            <w:right w:val="none" w:sz="0" w:space="0" w:color="auto"/>
                          </w:divBdr>
                          <w:divsChild>
                            <w:div w:id="115692068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70798">
      <w:bodyDiv w:val="1"/>
      <w:marLeft w:val="0"/>
      <w:marRight w:val="0"/>
      <w:marTop w:val="0"/>
      <w:marBottom w:val="0"/>
      <w:divBdr>
        <w:top w:val="none" w:sz="0" w:space="0" w:color="auto"/>
        <w:left w:val="none" w:sz="0" w:space="0" w:color="auto"/>
        <w:bottom w:val="none" w:sz="0" w:space="0" w:color="auto"/>
        <w:right w:val="none" w:sz="0" w:space="0" w:color="auto"/>
      </w:divBdr>
      <w:divsChild>
        <w:div w:id="1220746762">
          <w:marLeft w:val="0"/>
          <w:marRight w:val="0"/>
          <w:marTop w:val="0"/>
          <w:marBottom w:val="0"/>
          <w:divBdr>
            <w:top w:val="none" w:sz="0" w:space="0" w:color="auto"/>
            <w:left w:val="none" w:sz="0" w:space="0" w:color="auto"/>
            <w:bottom w:val="none" w:sz="0" w:space="0" w:color="auto"/>
            <w:right w:val="none" w:sz="0" w:space="0" w:color="auto"/>
          </w:divBdr>
          <w:divsChild>
            <w:div w:id="1815490959">
              <w:marLeft w:val="0"/>
              <w:marRight w:val="0"/>
              <w:marTop w:val="0"/>
              <w:marBottom w:val="0"/>
              <w:divBdr>
                <w:top w:val="none" w:sz="0" w:space="0" w:color="auto"/>
                <w:left w:val="none" w:sz="0" w:space="0" w:color="auto"/>
                <w:bottom w:val="none" w:sz="0" w:space="0" w:color="auto"/>
                <w:right w:val="none" w:sz="0" w:space="0" w:color="auto"/>
              </w:divBdr>
              <w:divsChild>
                <w:div w:id="1860125603">
                  <w:marLeft w:val="0"/>
                  <w:marRight w:val="0"/>
                  <w:marTop w:val="0"/>
                  <w:marBottom w:val="0"/>
                  <w:divBdr>
                    <w:top w:val="none" w:sz="0" w:space="0" w:color="auto"/>
                    <w:left w:val="none" w:sz="0" w:space="0" w:color="auto"/>
                    <w:bottom w:val="none" w:sz="0" w:space="0" w:color="auto"/>
                    <w:right w:val="none" w:sz="0" w:space="0" w:color="auto"/>
                  </w:divBdr>
                  <w:divsChild>
                    <w:div w:id="20686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lina.Feldmane@tm.gov.lv" TargetMode="External"/><Relationship Id="rId4" Type="http://schemas.microsoft.com/office/2007/relationships/stylesWithEffects" Target="stylesWithEffects.xml"/><Relationship Id="rId9" Type="http://schemas.openxmlformats.org/officeDocument/2006/relationships/hyperlink" Target="http://eur-lex.europa.eu/legal-content/LV/TXT/HTML/?uri=CELEX:32014L0041&amp;from=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67675-2EF3-48CB-8DCF-70203F11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37567</Words>
  <Characters>21414</Characters>
  <Application>Microsoft Office Word</Application>
  <DocSecurity>4</DocSecurity>
  <Lines>178</Lines>
  <Paragraphs>117</Paragraphs>
  <ScaleCrop>false</ScaleCrop>
  <HeadingPairs>
    <vt:vector size="2" baseType="variant">
      <vt:variant>
        <vt:lpstr>Nosaukums</vt:lpstr>
      </vt:variant>
      <vt:variant>
        <vt:i4>1</vt:i4>
      </vt:variant>
    </vt:vector>
  </HeadingPairs>
  <TitlesOfParts>
    <vt:vector size="1" baseType="lpstr">
      <vt:lpstr>Likumprojekta "Grozījumi Civilprocesa likumā" sākotnējās ietekmes izvērtējuma ziņojums (anotācija)</vt:lpstr>
    </vt:vector>
  </TitlesOfParts>
  <Company>Tieslietu ministrija</Company>
  <LinksUpToDate>false</LinksUpToDate>
  <CharactersWithSpaces>58864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Civilprocesa likumā" sākotnējās ietekmes izvērtējuma ziņojums (anotācija)</dc:title>
  <dc:subject>Anotācija</dc:subject>
  <dc:creator>Inese.Rudzite@tm.gov.lv</dc:creator>
  <dc:description>I. Rudzīte, Inese.Rudzite@tm.gov.lv; 67036931</dc:description>
  <cp:lastModifiedBy>Zane Ozola</cp:lastModifiedBy>
  <cp:revision>2</cp:revision>
  <cp:lastPrinted>2016-05-06T07:17:00Z</cp:lastPrinted>
  <dcterms:created xsi:type="dcterms:W3CDTF">2016-05-09T09:38:00Z</dcterms:created>
  <dcterms:modified xsi:type="dcterms:W3CDTF">2016-05-09T09:38:00Z</dcterms:modified>
</cp:coreProperties>
</file>