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565" w:rsidRPr="008A6DE4" w:rsidRDefault="00731565" w:rsidP="00731565">
      <w:pPr>
        <w:tabs>
          <w:tab w:val="left" w:pos="7088"/>
        </w:tabs>
        <w:spacing w:after="0" w:line="240" w:lineRule="auto"/>
        <w:jc w:val="center"/>
        <w:rPr>
          <w:rFonts w:ascii="Times New Roman" w:eastAsia="Times New Roman" w:hAnsi="Times New Roman" w:cs="Times New Roman"/>
          <w:b/>
          <w:sz w:val="24"/>
          <w:szCs w:val="24"/>
          <w:lang w:eastAsia="lv-LV"/>
        </w:rPr>
      </w:pPr>
      <w:bookmarkStart w:id="0" w:name="OLE_LINK3"/>
      <w:bookmarkStart w:id="1" w:name="OLE_LINK4"/>
      <w:bookmarkStart w:id="2" w:name="OLE_LINK5"/>
      <w:bookmarkStart w:id="3" w:name="OLE_LINK1"/>
      <w:bookmarkStart w:id="4" w:name="OLE_LINK2"/>
      <w:r w:rsidRPr="008A6DE4">
        <w:rPr>
          <w:rFonts w:ascii="Times New Roman" w:eastAsia="Times New Roman" w:hAnsi="Times New Roman" w:cs="Times New Roman"/>
          <w:b/>
          <w:sz w:val="24"/>
          <w:szCs w:val="24"/>
          <w:lang w:eastAsia="lv-LV"/>
        </w:rPr>
        <w:t>Ministru kabineta noteikumu projekta</w:t>
      </w:r>
    </w:p>
    <w:p w:rsidR="00731565" w:rsidRPr="008A6DE4" w:rsidRDefault="00731565" w:rsidP="00731565">
      <w:pPr>
        <w:spacing w:after="0" w:line="240" w:lineRule="auto"/>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b/>
          <w:sz w:val="24"/>
          <w:szCs w:val="24"/>
          <w:lang w:eastAsia="lv-LV"/>
        </w:rPr>
        <w:t>"</w:t>
      </w:r>
      <w:r w:rsidRPr="008A6DE4">
        <w:rPr>
          <w:rFonts w:ascii="Times New Roman" w:eastAsia="Times New Roman" w:hAnsi="Times New Roman" w:cs="Times New Roman"/>
          <w:b/>
          <w:bCs/>
          <w:sz w:val="24"/>
          <w:szCs w:val="24"/>
          <w:lang w:eastAsia="lv-LV"/>
        </w:rPr>
        <w:t>Grozījumi Ministru kabineta 201</w:t>
      </w:r>
      <w:r w:rsidR="00503917">
        <w:rPr>
          <w:rFonts w:ascii="Times New Roman" w:eastAsia="Times New Roman" w:hAnsi="Times New Roman" w:cs="Times New Roman"/>
          <w:b/>
          <w:bCs/>
          <w:sz w:val="24"/>
          <w:szCs w:val="24"/>
          <w:lang w:eastAsia="lv-LV"/>
        </w:rPr>
        <w:t>2</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Pr="008A6DE4">
        <w:rPr>
          <w:rFonts w:ascii="Times New Roman" w:eastAsia="Times New Roman" w:hAnsi="Times New Roman" w:cs="Times New Roman"/>
          <w:b/>
          <w:bCs/>
          <w:sz w:val="24"/>
          <w:szCs w:val="24"/>
          <w:lang w:eastAsia="lv-LV"/>
        </w:rPr>
        <w:t xml:space="preserve">gada </w:t>
      </w:r>
      <w:r w:rsidR="00503917">
        <w:rPr>
          <w:rFonts w:ascii="Times New Roman" w:eastAsia="Times New Roman" w:hAnsi="Times New Roman" w:cs="Times New Roman"/>
          <w:b/>
          <w:bCs/>
          <w:sz w:val="24"/>
          <w:szCs w:val="24"/>
          <w:lang w:eastAsia="lv-LV"/>
        </w:rPr>
        <w:t>10</w:t>
      </w:r>
      <w:r w:rsidRPr="008A6DE4">
        <w:rPr>
          <w:rFonts w:ascii="Times New Roman" w:eastAsia="Times New Roman" w:hAnsi="Times New Roman" w:cs="Times New Roman"/>
          <w:b/>
          <w:bCs/>
          <w:sz w:val="24"/>
          <w:szCs w:val="24"/>
          <w:lang w:eastAsia="lv-LV"/>
        </w:rPr>
        <w:t>.</w:t>
      </w:r>
      <w:r w:rsidRPr="008A6DE4">
        <w:rPr>
          <w:rFonts w:ascii="Times New Roman" w:hAnsi="Times New Roman"/>
          <w:sz w:val="24"/>
          <w:szCs w:val="24"/>
        </w:rPr>
        <w:t> </w:t>
      </w:r>
      <w:r w:rsidR="00503917">
        <w:rPr>
          <w:rFonts w:ascii="Times New Roman" w:eastAsia="Times New Roman" w:hAnsi="Times New Roman" w:cs="Times New Roman"/>
          <w:b/>
          <w:bCs/>
          <w:sz w:val="24"/>
          <w:szCs w:val="24"/>
          <w:lang w:eastAsia="lv-LV"/>
        </w:rPr>
        <w:t>janvā</w:t>
      </w:r>
      <w:r w:rsidRPr="008A6DE4">
        <w:rPr>
          <w:rFonts w:ascii="Times New Roman" w:eastAsia="Times New Roman" w:hAnsi="Times New Roman" w:cs="Times New Roman"/>
          <w:b/>
          <w:bCs/>
          <w:sz w:val="24"/>
          <w:szCs w:val="24"/>
          <w:lang w:eastAsia="lv-LV"/>
        </w:rPr>
        <w:t>ra noteikumos Nr.</w:t>
      </w:r>
      <w:r w:rsidRPr="008A6DE4">
        <w:rPr>
          <w:rFonts w:ascii="Times New Roman" w:hAnsi="Times New Roman"/>
          <w:sz w:val="24"/>
          <w:szCs w:val="24"/>
        </w:rPr>
        <w:t> </w:t>
      </w:r>
      <w:r w:rsidR="00503917">
        <w:rPr>
          <w:rFonts w:ascii="Times New Roman" w:eastAsia="Times New Roman" w:hAnsi="Times New Roman" w:cs="Times New Roman"/>
          <w:b/>
          <w:bCs/>
          <w:sz w:val="24"/>
          <w:szCs w:val="24"/>
          <w:lang w:eastAsia="lv-LV"/>
        </w:rPr>
        <w:t>50</w:t>
      </w:r>
      <w:r w:rsidRPr="008A6DE4">
        <w:rPr>
          <w:rFonts w:ascii="Times New Roman" w:eastAsia="Times New Roman" w:hAnsi="Times New Roman" w:cs="Times New Roman"/>
          <w:b/>
          <w:bCs/>
          <w:sz w:val="24"/>
          <w:szCs w:val="24"/>
          <w:lang w:eastAsia="lv-LV"/>
        </w:rPr>
        <w:t xml:space="preserve"> "</w:t>
      </w:r>
      <w:r w:rsidR="00503917">
        <w:rPr>
          <w:rFonts w:ascii="Times New Roman" w:eastAsia="Times New Roman" w:hAnsi="Times New Roman" w:cs="Times New Roman"/>
          <w:b/>
          <w:bCs/>
          <w:sz w:val="24"/>
          <w:szCs w:val="24"/>
          <w:lang w:eastAsia="lv-LV"/>
        </w:rPr>
        <w:t>Vietvārdu informācijas noteikumi</w:t>
      </w:r>
      <w:r w:rsidRPr="008A6DE4">
        <w:rPr>
          <w:rFonts w:ascii="Times New Roman" w:eastAsia="Times New Roman" w:hAnsi="Times New Roman" w:cs="Times New Roman"/>
          <w:b/>
          <w:sz w:val="24"/>
          <w:szCs w:val="24"/>
          <w:lang w:eastAsia="lv-LV"/>
        </w:rPr>
        <w:t>"" sākotnējās ietekmes novērtējuma ziņojums (</w:t>
      </w:r>
      <w:r w:rsidRPr="008A6DE4">
        <w:rPr>
          <w:rFonts w:ascii="Times New Roman" w:eastAsia="Times New Roman" w:hAnsi="Times New Roman" w:cs="Times New Roman"/>
          <w:b/>
          <w:bCs/>
          <w:sz w:val="24"/>
          <w:szCs w:val="24"/>
          <w:lang w:eastAsia="lv-LV"/>
        </w:rPr>
        <w:t>anotācija)</w:t>
      </w:r>
      <w:bookmarkEnd w:id="0"/>
      <w:bookmarkEnd w:id="1"/>
      <w:bookmarkEnd w:id="2"/>
      <w:bookmarkEnd w:id="3"/>
      <w:bookmarkEnd w:id="4"/>
    </w:p>
    <w:tbl>
      <w:tblPr>
        <w:tblpPr w:leftFromText="180" w:rightFromText="180" w:vertAnchor="text" w:horzAnchor="margin" w:tblpXSpec="center" w:tblpY="16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126"/>
        <w:gridCol w:w="6520"/>
      </w:tblGrid>
      <w:tr w:rsidR="008A6DE4" w:rsidRPr="008A6DE4" w:rsidTr="002B14EE">
        <w:trPr>
          <w:trHeight w:val="1"/>
        </w:trPr>
        <w:tc>
          <w:tcPr>
            <w:tcW w:w="9077" w:type="dxa"/>
            <w:gridSpan w:val="3"/>
            <w:vAlign w:val="center"/>
          </w:tcPr>
          <w:p w:rsidR="00731565" w:rsidRPr="008A6DE4" w:rsidRDefault="00503917" w:rsidP="0016261C">
            <w:pPr>
              <w:spacing w:after="60" w:line="240" w:lineRule="auto"/>
              <w:ind w:left="1077" w:hanging="94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 </w:t>
            </w:r>
            <w:r w:rsidR="00731565" w:rsidRPr="008A6DE4">
              <w:rPr>
                <w:rFonts w:ascii="Times New Roman" w:eastAsia="Times New Roman" w:hAnsi="Times New Roman" w:cs="Times New Roman"/>
                <w:b/>
                <w:bCs/>
                <w:sz w:val="24"/>
                <w:szCs w:val="24"/>
                <w:lang w:eastAsia="lv-LV"/>
              </w:rPr>
              <w:t>Tiesību akta projekta izstrādes nepieciešamība</w:t>
            </w:r>
          </w:p>
        </w:tc>
      </w:tr>
      <w:tr w:rsidR="008A6DE4" w:rsidRPr="008A6DE4" w:rsidTr="002B14EE">
        <w:trPr>
          <w:trHeight w:val="9"/>
        </w:trPr>
        <w:tc>
          <w:tcPr>
            <w:tcW w:w="431" w:type="dxa"/>
          </w:tcPr>
          <w:p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126" w:type="dxa"/>
          </w:tcPr>
          <w:p w:rsidR="00731565" w:rsidRPr="008A6DE4" w:rsidRDefault="00731565" w:rsidP="00503917">
            <w:pPr>
              <w:spacing w:after="0" w:line="240" w:lineRule="auto"/>
              <w:ind w:left="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Pamatojums</w:t>
            </w:r>
          </w:p>
        </w:tc>
        <w:tc>
          <w:tcPr>
            <w:tcW w:w="6520" w:type="dxa"/>
          </w:tcPr>
          <w:p w:rsidR="00731565" w:rsidRPr="008A6DE4" w:rsidRDefault="00107D69" w:rsidP="00107D69">
            <w:pPr>
              <w:spacing w:after="60" w:line="240" w:lineRule="auto"/>
              <w:ind w:left="130" w:right="153" w:firstLine="284"/>
              <w:jc w:val="both"/>
              <w:rPr>
                <w:rFonts w:ascii="Times New Roman" w:eastAsia="Times New Roman" w:hAnsi="Times New Roman" w:cs="Times New Roman"/>
                <w:sz w:val="24"/>
                <w:szCs w:val="24"/>
                <w:lang w:eastAsia="lv-LV"/>
              </w:rPr>
            </w:pPr>
            <w:r w:rsidRPr="00931420">
              <w:rPr>
                <w:rFonts w:ascii="Times New Roman" w:eastAsia="Times New Roman" w:hAnsi="Times New Roman" w:cs="Times New Roman"/>
                <w:sz w:val="24"/>
                <w:szCs w:val="24"/>
                <w:lang w:eastAsia="lv-LV"/>
              </w:rPr>
              <w:t xml:space="preserve">Ministru kabineta noteikumu projekts "Grozījumi Ministru kabineta </w:t>
            </w:r>
            <w:proofErr w:type="gramStart"/>
            <w:r w:rsidRPr="00931420">
              <w:rPr>
                <w:rFonts w:ascii="Times New Roman" w:eastAsia="Times New Roman" w:hAnsi="Times New Roman" w:cs="Times New Roman"/>
                <w:sz w:val="24"/>
                <w:szCs w:val="24"/>
                <w:lang w:eastAsia="lv-LV"/>
              </w:rPr>
              <w:t>2012.gada</w:t>
            </w:r>
            <w:proofErr w:type="gramEnd"/>
            <w:r w:rsidRPr="00931420">
              <w:rPr>
                <w:rFonts w:ascii="Times New Roman" w:eastAsia="Times New Roman" w:hAnsi="Times New Roman" w:cs="Times New Roman"/>
                <w:sz w:val="24"/>
                <w:szCs w:val="24"/>
                <w:lang w:eastAsia="lv-LV"/>
              </w:rPr>
              <w:t xml:space="preserve"> 10.janvāra noteikumos Nr.50 "Vietvārdu informācijas noteikumi"" (turpmāk – projekts)</w:t>
            </w:r>
            <w:r w:rsidR="00C866E4" w:rsidRPr="00931420">
              <w:rPr>
                <w:rFonts w:ascii="Times New Roman" w:eastAsia="Times New Roman" w:hAnsi="Times New Roman" w:cs="Times New Roman"/>
                <w:sz w:val="24"/>
                <w:szCs w:val="24"/>
                <w:lang w:eastAsia="lv-LV"/>
              </w:rPr>
              <w:t xml:space="preserve"> </w:t>
            </w:r>
            <w:r w:rsidR="00C866E4" w:rsidRPr="008A6DE4">
              <w:rPr>
                <w:rFonts w:ascii="Times New Roman" w:eastAsia="Times New Roman" w:hAnsi="Times New Roman" w:cs="Times New Roman"/>
                <w:sz w:val="24"/>
                <w:szCs w:val="24"/>
                <w:lang w:eastAsia="lv-LV"/>
              </w:rPr>
              <w:t xml:space="preserve">izstrādāts, </w:t>
            </w:r>
            <w:r w:rsidR="00503917">
              <w:rPr>
                <w:rFonts w:ascii="Times New Roman" w:eastAsia="Times New Roman" w:hAnsi="Times New Roman" w:cs="Times New Roman"/>
                <w:sz w:val="24"/>
                <w:szCs w:val="24"/>
                <w:lang w:eastAsia="lv-LV"/>
              </w:rPr>
              <w:t>izpildot</w:t>
            </w:r>
            <w:r w:rsidR="00425467" w:rsidRPr="008A6DE4">
              <w:rPr>
                <w:rFonts w:ascii="Times New Roman" w:eastAsia="Times New Roman" w:hAnsi="Times New Roman" w:cs="Times New Roman"/>
                <w:sz w:val="24"/>
                <w:szCs w:val="24"/>
                <w:lang w:eastAsia="lv-LV"/>
              </w:rPr>
              <w:t xml:space="preserve"> </w:t>
            </w:r>
            <w:r w:rsidR="00503917">
              <w:rPr>
                <w:rFonts w:ascii="Times New Roman" w:eastAsia="Times New Roman" w:hAnsi="Times New Roman" w:cs="Times New Roman"/>
                <w:sz w:val="24"/>
                <w:szCs w:val="24"/>
                <w:lang w:eastAsia="lv-LV"/>
              </w:rPr>
              <w:t>Ministru kabineta 2016. </w:t>
            </w:r>
            <w:r w:rsidR="0064007B" w:rsidRPr="008A6DE4">
              <w:rPr>
                <w:rFonts w:ascii="Times New Roman" w:eastAsia="Times New Roman" w:hAnsi="Times New Roman" w:cs="Times New Roman"/>
                <w:sz w:val="24"/>
                <w:szCs w:val="24"/>
                <w:lang w:eastAsia="lv-LV"/>
              </w:rPr>
              <w:t>gada 1.</w:t>
            </w:r>
            <w:r w:rsidR="00425467" w:rsidRPr="008A6DE4">
              <w:rPr>
                <w:rFonts w:ascii="Times New Roman" w:eastAsia="Times New Roman" w:hAnsi="Times New Roman" w:cs="Times New Roman"/>
                <w:sz w:val="24"/>
                <w:szCs w:val="24"/>
                <w:lang w:eastAsia="lv-LV"/>
              </w:rPr>
              <w:t> </w:t>
            </w:r>
            <w:r w:rsidR="0064007B" w:rsidRPr="008A6DE4">
              <w:rPr>
                <w:rFonts w:ascii="Times New Roman" w:eastAsia="Times New Roman" w:hAnsi="Times New Roman" w:cs="Times New Roman"/>
                <w:sz w:val="24"/>
                <w:szCs w:val="24"/>
                <w:lang w:eastAsia="lv-LV"/>
              </w:rPr>
              <w:t>novembr</w:t>
            </w:r>
            <w:r w:rsidR="00503917">
              <w:rPr>
                <w:rFonts w:ascii="Times New Roman" w:eastAsia="Times New Roman" w:hAnsi="Times New Roman" w:cs="Times New Roman"/>
                <w:sz w:val="24"/>
                <w:szCs w:val="24"/>
                <w:lang w:eastAsia="lv-LV"/>
              </w:rPr>
              <w:t>a sēdes protokollēmumā (prot. Nr. 58 39. </w:t>
            </w:r>
            <w:r w:rsidR="00503917">
              <w:rPr>
                <w:rFonts w:ascii="Palemonas" w:eastAsia="Times New Roman" w:hAnsi="Palemonas" w:cs="Times New Roman"/>
                <w:sz w:val="24"/>
                <w:szCs w:val="24"/>
                <w:lang w:eastAsia="lv-LV"/>
              </w:rPr>
              <w:t>§</w:t>
            </w:r>
            <w:r w:rsidR="00503917">
              <w:rPr>
                <w:rFonts w:ascii="Times New Roman" w:eastAsia="Times New Roman" w:hAnsi="Times New Roman" w:cs="Times New Roman"/>
                <w:sz w:val="24"/>
                <w:szCs w:val="24"/>
                <w:lang w:eastAsia="lv-LV"/>
              </w:rPr>
              <w:t xml:space="preserve">) doto uzdevumu – </w:t>
            </w:r>
            <w:r w:rsidR="00503917" w:rsidRPr="00503917">
              <w:rPr>
                <w:rFonts w:ascii="Times New Roman" w:hAnsi="Times New Roman" w:cs="Times New Roman"/>
                <w:sz w:val="24"/>
                <w:szCs w:val="24"/>
              </w:rPr>
              <w:t>Tieslietu ministrijai līdz 2017. gada 1. martam izvērtēt nepieciešamību izdarīt grozījumus Ministru kabineta 2012. gada 10. janvāra noteikumos Nr. 50 "Vietvārdu informācijas noteikumi"</w:t>
            </w:r>
            <w:r w:rsidR="00386EBD">
              <w:rPr>
                <w:rFonts w:ascii="Times New Roman" w:hAnsi="Times New Roman" w:cs="Times New Roman"/>
                <w:sz w:val="24"/>
                <w:szCs w:val="24"/>
              </w:rPr>
              <w:t xml:space="preserve"> (turpmāk – MK noteikumi Nr.</w:t>
            </w:r>
            <w:r w:rsidR="00C95BF2">
              <w:rPr>
                <w:rFonts w:ascii="Times New Roman" w:hAnsi="Times New Roman" w:cs="Times New Roman"/>
                <w:sz w:val="24"/>
                <w:szCs w:val="24"/>
              </w:rPr>
              <w:t> </w:t>
            </w:r>
            <w:r w:rsidR="00386EBD">
              <w:rPr>
                <w:rFonts w:ascii="Times New Roman" w:hAnsi="Times New Roman" w:cs="Times New Roman"/>
                <w:sz w:val="24"/>
                <w:szCs w:val="24"/>
              </w:rPr>
              <w:t>50)</w:t>
            </w:r>
            <w:r w:rsidR="00503917" w:rsidRPr="00503917">
              <w:rPr>
                <w:rFonts w:ascii="Times New Roman" w:hAnsi="Times New Roman" w:cs="Times New Roman"/>
                <w:sz w:val="24"/>
                <w:szCs w:val="24"/>
              </w:rPr>
              <w:t>, paredzot precīzāk noteikt oficiālo vietvārdu un oficiālo paralēlnosaukumu izvietojumu un samēru publiskajā informācijā.</w:t>
            </w:r>
          </w:p>
        </w:tc>
      </w:tr>
      <w:tr w:rsidR="008A6DE4" w:rsidRPr="008A6DE4" w:rsidTr="002B14EE">
        <w:trPr>
          <w:trHeight w:val="5"/>
        </w:trPr>
        <w:tc>
          <w:tcPr>
            <w:tcW w:w="431" w:type="dxa"/>
          </w:tcPr>
          <w:p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126" w:type="dxa"/>
          </w:tcPr>
          <w:p w:rsidR="00731565" w:rsidRPr="008A6DE4" w:rsidRDefault="00731565" w:rsidP="00503917">
            <w:pPr>
              <w:tabs>
                <w:tab w:val="left" w:pos="170"/>
              </w:tabs>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6520" w:type="dxa"/>
          </w:tcPr>
          <w:p w:rsidR="00C95BF2" w:rsidRDefault="00503917" w:rsidP="001C4C48">
            <w:pPr>
              <w:pStyle w:val="Pamattekstsaratkpi"/>
              <w:tabs>
                <w:tab w:val="left" w:pos="415"/>
              </w:tabs>
              <w:spacing w:after="60"/>
              <w:ind w:left="130" w:right="153"/>
              <w:jc w:val="both"/>
              <w:rPr>
                <w:lang w:val="lv-LV"/>
              </w:rPr>
            </w:pPr>
            <w:r w:rsidRPr="00503917">
              <w:rPr>
                <w:lang w:val="lv-LV"/>
              </w:rPr>
              <w:tab/>
            </w:r>
            <w:r w:rsidR="00C95BF2">
              <w:rPr>
                <w:lang w:val="lv-LV"/>
              </w:rPr>
              <w:t>I</w:t>
            </w:r>
            <w:r w:rsidRPr="00503917">
              <w:rPr>
                <w:lang w:val="lv-LV"/>
              </w:rPr>
              <w:t xml:space="preserve">r identificēta problēma, ka vietvārdu </w:t>
            </w:r>
            <w:proofErr w:type="spellStart"/>
            <w:r w:rsidRPr="00503917">
              <w:rPr>
                <w:lang w:val="lv-LV"/>
              </w:rPr>
              <w:t>piešķīrēj</w:t>
            </w:r>
            <w:r>
              <w:rPr>
                <w:lang w:val="lv-LV"/>
              </w:rPr>
              <w:softHyphen/>
            </w:r>
            <w:r w:rsidRPr="00503917">
              <w:rPr>
                <w:lang w:val="lv-LV"/>
              </w:rPr>
              <w:t>institūcijas</w:t>
            </w:r>
            <w:proofErr w:type="spellEnd"/>
            <w:r w:rsidRPr="00503917">
              <w:rPr>
                <w:lang w:val="lv-LV"/>
              </w:rPr>
              <w:t xml:space="preserve"> re</w:t>
            </w:r>
            <w:r w:rsidR="003F65C0">
              <w:rPr>
                <w:lang w:val="lv-LV"/>
              </w:rPr>
              <w:t>izēm</w:t>
            </w:r>
            <w:r w:rsidRPr="00503917">
              <w:rPr>
                <w:lang w:val="lv-LV"/>
              </w:rPr>
              <w:t xml:space="preserve"> pieņem lēmumu par oficiālo vietvārdu un oficiālo paralēl</w:t>
            </w:r>
            <w:r w:rsidR="00C95BF2">
              <w:rPr>
                <w:lang w:val="lv-LV"/>
              </w:rPr>
              <w:softHyphen/>
            </w:r>
            <w:r w:rsidRPr="00503917">
              <w:rPr>
                <w:lang w:val="lv-LV"/>
              </w:rPr>
              <w:t xml:space="preserve">nosaukumu piešķiršanu, vietvārdu statusa maiņu un rakstības formas precizēšanu, nenoskaidrojot vai neņemot vērā vietvārdu informācijas jomā kompetentās iestādes </w:t>
            </w:r>
            <w:r w:rsidR="003F65C0">
              <w:rPr>
                <w:lang w:val="lv-LV"/>
              </w:rPr>
              <w:t xml:space="preserve">– Valsts valodas centra – </w:t>
            </w:r>
            <w:r w:rsidRPr="00503917">
              <w:rPr>
                <w:lang w:val="lv-LV"/>
              </w:rPr>
              <w:t xml:space="preserve">viedokli. </w:t>
            </w:r>
            <w:r w:rsidR="003F65C0">
              <w:rPr>
                <w:lang w:val="lv-LV"/>
              </w:rPr>
              <w:t xml:space="preserve">Šādos gadījumos </w:t>
            </w:r>
            <w:r w:rsidR="001C4C48" w:rsidRPr="00503917">
              <w:rPr>
                <w:lang w:val="lv-LV"/>
              </w:rPr>
              <w:t xml:space="preserve">vietvārdu </w:t>
            </w:r>
            <w:proofErr w:type="spellStart"/>
            <w:r w:rsidR="001C4C48" w:rsidRPr="00503917">
              <w:rPr>
                <w:lang w:val="lv-LV"/>
              </w:rPr>
              <w:t>piešķīrēj</w:t>
            </w:r>
            <w:r w:rsidR="001C4C48">
              <w:rPr>
                <w:lang w:val="lv-LV"/>
              </w:rPr>
              <w:softHyphen/>
            </w:r>
            <w:r w:rsidR="001C4C48" w:rsidRPr="00503917">
              <w:rPr>
                <w:lang w:val="lv-LV"/>
              </w:rPr>
              <w:t>institūcijas</w:t>
            </w:r>
            <w:proofErr w:type="spellEnd"/>
            <w:r w:rsidR="001C4C48">
              <w:rPr>
                <w:lang w:val="lv-LV"/>
              </w:rPr>
              <w:t xml:space="preserve"> </w:t>
            </w:r>
            <w:r w:rsidR="003F65C0">
              <w:rPr>
                <w:lang w:val="lv-LV"/>
              </w:rPr>
              <w:t>pieņemtais lēmums neat</w:t>
            </w:r>
            <w:r w:rsidR="001C4C48">
              <w:rPr>
                <w:lang w:val="lv-LV"/>
              </w:rPr>
              <w:t>spoguļo</w:t>
            </w:r>
            <w:r w:rsidR="003F65C0">
              <w:rPr>
                <w:lang w:val="lv-LV"/>
              </w:rPr>
              <w:t xml:space="preserve"> sabiedrības vairākuma viedokli un</w:t>
            </w:r>
            <w:r w:rsidR="001C4C48">
              <w:rPr>
                <w:lang w:val="lv-LV"/>
              </w:rPr>
              <w:t xml:space="preserve"> neatbilst sabiedrības interesēm, ja netiek nodrošināta </w:t>
            </w:r>
            <w:r w:rsidR="001C4C48" w:rsidRPr="001C4C48">
              <w:rPr>
                <w:lang w:val="lv-LV" w:eastAsia="lv-LV"/>
              </w:rPr>
              <w:t>precīzas un korektas vietvārdu informācijas aprit</w:t>
            </w:r>
            <w:r w:rsidR="001C4C48">
              <w:rPr>
                <w:lang w:val="lv-LV" w:eastAsia="lv-LV"/>
              </w:rPr>
              <w:t>e</w:t>
            </w:r>
            <w:r w:rsidR="001C4C48" w:rsidRPr="001C4C48">
              <w:rPr>
                <w:lang w:val="lv-LV" w:eastAsia="lv-LV"/>
              </w:rPr>
              <w:t xml:space="preserve">. </w:t>
            </w:r>
            <w:r w:rsidRPr="00503917">
              <w:rPr>
                <w:lang w:val="lv-LV"/>
              </w:rPr>
              <w:t xml:space="preserve">Šo problēmu tiek piedāvāts risināt, izsakot </w:t>
            </w:r>
            <w:r w:rsidR="00386EBD" w:rsidRPr="00503917">
              <w:rPr>
                <w:lang w:val="lv-LV"/>
              </w:rPr>
              <w:t xml:space="preserve">jaunā redakcijā </w:t>
            </w:r>
            <w:r w:rsidR="00F46C17">
              <w:rPr>
                <w:lang w:val="lv-LV"/>
              </w:rPr>
              <w:t xml:space="preserve">attiecīgās </w:t>
            </w:r>
            <w:r w:rsidRPr="00503917">
              <w:rPr>
                <w:lang w:val="lv-LV"/>
              </w:rPr>
              <w:t xml:space="preserve">MK noteikumu Nr. 50 </w:t>
            </w:r>
            <w:r w:rsidR="00F46C17">
              <w:rPr>
                <w:lang w:val="lv-LV"/>
              </w:rPr>
              <w:t>tiesību normas (</w:t>
            </w:r>
            <w:r w:rsidRPr="00503917">
              <w:rPr>
                <w:lang w:val="lv-LV"/>
              </w:rPr>
              <w:t>21. punkt</w:t>
            </w:r>
            <w:r w:rsidR="00F46C17">
              <w:rPr>
                <w:lang w:val="lv-LV"/>
              </w:rPr>
              <w:t>s</w:t>
            </w:r>
            <w:r w:rsidRPr="00503917">
              <w:rPr>
                <w:lang w:val="lv-LV"/>
              </w:rPr>
              <w:t xml:space="preserve"> un 23. punkt</w:t>
            </w:r>
            <w:r w:rsidR="00404FDC">
              <w:rPr>
                <w:lang w:val="lv-LV"/>
              </w:rPr>
              <w:t>a ievad</w:t>
            </w:r>
            <w:r w:rsidR="00F46C17">
              <w:rPr>
                <w:lang w:val="lv-LV"/>
              </w:rPr>
              <w:softHyphen/>
            </w:r>
            <w:r w:rsidR="00404FDC">
              <w:rPr>
                <w:lang w:val="lv-LV"/>
              </w:rPr>
              <w:t>daļ</w:t>
            </w:r>
            <w:r w:rsidR="00F46C17">
              <w:rPr>
                <w:lang w:val="lv-LV"/>
              </w:rPr>
              <w:t>a)</w:t>
            </w:r>
            <w:r w:rsidRPr="00503917">
              <w:rPr>
                <w:lang w:val="lv-LV"/>
              </w:rPr>
              <w:t>.</w:t>
            </w:r>
            <w:r w:rsidR="00386EBD">
              <w:rPr>
                <w:lang w:val="lv-LV"/>
              </w:rPr>
              <w:t xml:space="preserve"> Projekts paredz noteikt vietvārdu </w:t>
            </w:r>
            <w:proofErr w:type="spellStart"/>
            <w:r w:rsidR="00386EBD">
              <w:rPr>
                <w:lang w:val="lv-LV"/>
              </w:rPr>
              <w:t>piešķīrēj</w:t>
            </w:r>
            <w:r w:rsidR="00F46C17">
              <w:rPr>
                <w:lang w:val="lv-LV"/>
              </w:rPr>
              <w:softHyphen/>
            </w:r>
            <w:r w:rsidR="00386EBD">
              <w:rPr>
                <w:lang w:val="lv-LV"/>
              </w:rPr>
              <w:t>institūcijām</w:t>
            </w:r>
            <w:proofErr w:type="spellEnd"/>
            <w:r w:rsidR="00386EBD">
              <w:rPr>
                <w:lang w:val="lv-LV"/>
              </w:rPr>
              <w:t xml:space="preserve"> pienākumu pamatoties uz Valsts valodas centra atzinumu </w:t>
            </w:r>
            <w:r w:rsidR="00F46C17">
              <w:rPr>
                <w:lang w:val="lv-LV"/>
              </w:rPr>
              <w:t xml:space="preserve">visos </w:t>
            </w:r>
            <w:r w:rsidR="00386EBD">
              <w:rPr>
                <w:lang w:val="lv-LV"/>
              </w:rPr>
              <w:t xml:space="preserve">gadījumos, kad tās </w:t>
            </w:r>
            <w:r w:rsidR="00386EBD" w:rsidRPr="00931420">
              <w:rPr>
                <w:lang w:val="lv-LV"/>
              </w:rPr>
              <w:t>piešķir</w:t>
            </w:r>
            <w:r w:rsidR="007237A3" w:rsidRPr="00931420">
              <w:rPr>
                <w:lang w:val="lv-LV"/>
              </w:rPr>
              <w:t xml:space="preserve"> ciemiem un viensētām, kā arī MK noteikumu Nr.50 23.punktā ietvertajiem ģeogrāfiskajiem objektiem</w:t>
            </w:r>
            <w:r w:rsidR="00386EBD" w:rsidRPr="00931420">
              <w:rPr>
                <w:lang w:val="lv-LV"/>
              </w:rPr>
              <w:t xml:space="preserve"> </w:t>
            </w:r>
            <w:r w:rsidR="00386EBD">
              <w:rPr>
                <w:lang w:val="lv-LV"/>
              </w:rPr>
              <w:t>oficiālos vietvārdus un oficiālos paralēlnosaukumus,</w:t>
            </w:r>
            <w:r w:rsidR="00C95BF2">
              <w:rPr>
                <w:lang w:val="lv-LV"/>
              </w:rPr>
              <w:t xml:space="preserve"> maina vietvārdu statusu un precizē to rakstības formu.</w:t>
            </w:r>
          </w:p>
          <w:p w:rsidR="00731565" w:rsidRDefault="003F65C0" w:rsidP="003F65C0">
            <w:pPr>
              <w:pStyle w:val="Pamattekstsaratkpi"/>
              <w:tabs>
                <w:tab w:val="left" w:pos="720"/>
              </w:tabs>
              <w:spacing w:after="0"/>
              <w:ind w:left="132" w:right="151" w:firstLine="283"/>
              <w:jc w:val="both"/>
              <w:rPr>
                <w:lang w:val="lv-LV"/>
              </w:rPr>
            </w:pPr>
            <w:r>
              <w:rPr>
                <w:lang w:val="lv-LV"/>
              </w:rPr>
              <w:t>Ir konstatēts</w:t>
            </w:r>
            <w:r w:rsidR="001C4C48">
              <w:rPr>
                <w:lang w:val="lv-LV"/>
              </w:rPr>
              <w:t xml:space="preserve"> arī</w:t>
            </w:r>
            <w:r>
              <w:rPr>
                <w:lang w:val="lv-LV"/>
              </w:rPr>
              <w:t xml:space="preserve">, ka pašreizējais tiesiskais regulējums nepietiekami precīzi reglamentē </w:t>
            </w:r>
            <w:r w:rsidRPr="00503917">
              <w:rPr>
                <w:lang w:val="lv-LV"/>
              </w:rPr>
              <w:t>oficiālo vietvārdu un oficiālo paralēl</w:t>
            </w:r>
            <w:r>
              <w:rPr>
                <w:lang w:val="lv-LV"/>
              </w:rPr>
              <w:softHyphen/>
            </w:r>
            <w:r w:rsidRPr="00503917">
              <w:rPr>
                <w:lang w:val="lv-LV"/>
              </w:rPr>
              <w:t>nosaukumu izvietojumu un samēru publiskajā informācijā</w:t>
            </w:r>
            <w:r>
              <w:rPr>
                <w:lang w:val="lv-LV"/>
              </w:rPr>
              <w:t>, it īpaši gadījumos, kad tā sniegta sabiedrībai pieejamās vietās. Projektā piedāvātais risinājums paredz šo nepilnību novērst,</w:t>
            </w:r>
            <w:r w:rsidRPr="00503917">
              <w:rPr>
                <w:lang w:val="lv-LV"/>
              </w:rPr>
              <w:t xml:space="preserve"> papildin</w:t>
            </w:r>
            <w:r>
              <w:rPr>
                <w:lang w:val="lv-LV"/>
              </w:rPr>
              <w:t>o</w:t>
            </w:r>
            <w:r w:rsidRPr="00503917">
              <w:rPr>
                <w:lang w:val="lv-LV"/>
              </w:rPr>
              <w:t xml:space="preserve">t MK noteikumus Nr. 50 ar jaunu </w:t>
            </w:r>
            <w:r>
              <w:rPr>
                <w:lang w:val="lv-LV"/>
              </w:rPr>
              <w:t>tiesību normu (</w:t>
            </w:r>
            <w:r w:rsidRPr="00503917">
              <w:rPr>
                <w:lang w:val="lv-LV"/>
              </w:rPr>
              <w:t>68.</w:t>
            </w:r>
            <w:r w:rsidRPr="00503917">
              <w:rPr>
                <w:vertAlign w:val="superscript"/>
                <w:lang w:val="lv-LV"/>
              </w:rPr>
              <w:t>1</w:t>
            </w:r>
            <w:r>
              <w:rPr>
                <w:lang w:val="lv-LV"/>
              </w:rPr>
              <w:t xml:space="preserve"> punkts), kas noteic, ka gadījumos, </w:t>
            </w:r>
            <w:proofErr w:type="gramStart"/>
            <w:r>
              <w:rPr>
                <w:lang w:val="lv-LV"/>
              </w:rPr>
              <w:t>kad</w:t>
            </w:r>
            <w:r w:rsidRPr="00386EBD">
              <w:rPr>
                <w:lang w:val="lv-LV"/>
              </w:rPr>
              <w:t xml:space="preserve"> sabiedrības informēšanai paredzētajā atklātajā informācijā līdzās</w:t>
            </w:r>
            <w:proofErr w:type="gramEnd"/>
            <w:r w:rsidRPr="00386EBD">
              <w:rPr>
                <w:lang w:val="lv-LV"/>
              </w:rPr>
              <w:t xml:space="preserve"> oficiālajam vietvārdam lieto arī oficiālo paralēlnosaukumu, oficiālajam vietvārdam ierādāma galvenā vieta, un formas ziņā tas nedrīkst būt mazāks vai šaurāks par oficiālo paralēlnosaukumu.</w:t>
            </w:r>
          </w:p>
          <w:p w:rsidR="003F65C0" w:rsidRPr="003F65C0" w:rsidRDefault="003F65C0" w:rsidP="00F46C17">
            <w:pPr>
              <w:pStyle w:val="Pamattekstsaratkpi"/>
              <w:tabs>
                <w:tab w:val="left" w:pos="720"/>
              </w:tabs>
              <w:spacing w:after="0"/>
              <w:ind w:left="132" w:right="151" w:firstLine="283"/>
              <w:jc w:val="both"/>
              <w:rPr>
                <w:lang w:val="lv-LV"/>
              </w:rPr>
            </w:pPr>
            <w:r w:rsidRPr="003F65C0">
              <w:rPr>
                <w:lang w:val="lv-LV"/>
              </w:rPr>
              <w:t xml:space="preserve">Tā kā ar 2015. gada 11. decembri ir zaudējuši spēku Ministru kabineta 2009. gada 3. novembra noteikumi Nr. 1269 "Adresācijas sistēmas noteikumi" un to vietā ir spēkā Ministru kabineta 2015. gada 8. decembra noteikumi Nr. 698 </w:t>
            </w:r>
            <w:r w:rsidRPr="003F65C0">
              <w:rPr>
                <w:lang w:val="lv-LV"/>
              </w:rPr>
              <w:lastRenderedPageBreak/>
              <w:t xml:space="preserve">"Adresācijas noteikumi", projekts kā tehnisku grozījumu piedāvā izteikt jaunā redakcijā MK noteikumu Nr. 50 </w:t>
            </w:r>
            <w:r w:rsidR="00F1224A">
              <w:rPr>
                <w:lang w:val="lv-LV"/>
              </w:rPr>
              <w:t xml:space="preserve">tiesību normu </w:t>
            </w:r>
            <w:proofErr w:type="gramStart"/>
            <w:r w:rsidR="00F1224A">
              <w:rPr>
                <w:lang w:val="lv-LV"/>
              </w:rPr>
              <w:t>(</w:t>
            </w:r>
            <w:proofErr w:type="gramEnd"/>
            <w:r w:rsidRPr="003F65C0">
              <w:rPr>
                <w:lang w:val="lv-LV"/>
              </w:rPr>
              <w:t>24.1. apakš</w:t>
            </w:r>
            <w:r w:rsidR="001C4C48">
              <w:rPr>
                <w:lang w:val="lv-LV"/>
              </w:rPr>
              <w:softHyphen/>
            </w:r>
            <w:r w:rsidRPr="003F65C0">
              <w:rPr>
                <w:lang w:val="lv-LV"/>
              </w:rPr>
              <w:t>punkt</w:t>
            </w:r>
            <w:r w:rsidR="001C4C48">
              <w:rPr>
                <w:lang w:val="lv-LV"/>
              </w:rPr>
              <w:t>s)</w:t>
            </w:r>
            <w:r w:rsidRPr="003F65C0">
              <w:rPr>
                <w:lang w:val="lv-LV"/>
              </w:rPr>
              <w:t xml:space="preserve">, kurā bija ietverta atsauce uz </w:t>
            </w:r>
            <w:r w:rsidR="00F46C17">
              <w:rPr>
                <w:lang w:val="lv-LV"/>
              </w:rPr>
              <w:t>spēku zaudējušajiem</w:t>
            </w:r>
            <w:r w:rsidRPr="003F65C0">
              <w:rPr>
                <w:lang w:val="lv-LV"/>
              </w:rPr>
              <w:t xml:space="preserve"> noteikumiem.</w:t>
            </w:r>
          </w:p>
        </w:tc>
      </w:tr>
      <w:tr w:rsidR="008A6DE4" w:rsidRPr="008A6DE4" w:rsidTr="002B14EE">
        <w:trPr>
          <w:trHeight w:val="8"/>
        </w:trPr>
        <w:tc>
          <w:tcPr>
            <w:tcW w:w="431" w:type="dxa"/>
          </w:tcPr>
          <w:p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lastRenderedPageBreak/>
              <w:t>3.</w:t>
            </w:r>
          </w:p>
        </w:tc>
        <w:tc>
          <w:tcPr>
            <w:tcW w:w="2126" w:type="dxa"/>
          </w:tcPr>
          <w:p w:rsidR="00731565" w:rsidRPr="008A6DE4" w:rsidRDefault="00731565" w:rsidP="0016261C">
            <w:pPr>
              <w:spacing w:after="0" w:line="240" w:lineRule="auto"/>
              <w:ind w:left="131" w:right="15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Projekta izstrādē iesaistītās institūcijas</w:t>
            </w:r>
          </w:p>
        </w:tc>
        <w:tc>
          <w:tcPr>
            <w:tcW w:w="6520" w:type="dxa"/>
          </w:tcPr>
          <w:p w:rsidR="00731565" w:rsidRPr="008A6DE4" w:rsidRDefault="00731565" w:rsidP="0016261C">
            <w:pPr>
              <w:spacing w:after="0" w:line="240" w:lineRule="auto"/>
              <w:ind w:left="132" w:right="151" w:firstLine="281"/>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Projektu i</w:t>
            </w:r>
            <w:r w:rsidR="00905040" w:rsidRPr="008A6DE4">
              <w:rPr>
                <w:rFonts w:ascii="Times New Roman" w:eastAsia="Times New Roman" w:hAnsi="Times New Roman" w:cs="Times New Roman"/>
                <w:sz w:val="24"/>
                <w:szCs w:val="24"/>
                <w:lang w:eastAsia="lv-LV"/>
              </w:rPr>
              <w:t xml:space="preserve">zstrādāja </w:t>
            </w:r>
            <w:r w:rsidR="0016261C">
              <w:rPr>
                <w:rFonts w:ascii="Times New Roman" w:eastAsia="Times New Roman" w:hAnsi="Times New Roman" w:cs="Times New Roman"/>
                <w:sz w:val="24"/>
                <w:szCs w:val="24"/>
                <w:lang w:eastAsia="lv-LV"/>
              </w:rPr>
              <w:t>Valsts valodas centrs</w:t>
            </w:r>
            <w:r w:rsidR="00905040" w:rsidRPr="008A6DE4">
              <w:rPr>
                <w:rFonts w:ascii="Times New Roman" w:eastAsia="Times New Roman" w:hAnsi="Times New Roman" w:cs="Times New Roman"/>
                <w:sz w:val="24"/>
                <w:szCs w:val="24"/>
                <w:lang w:eastAsia="lv-LV"/>
              </w:rPr>
              <w:t xml:space="preserve">, konsultējoties ar </w:t>
            </w:r>
            <w:r w:rsidR="0016261C">
              <w:rPr>
                <w:rFonts w:ascii="Times New Roman" w:eastAsia="Times New Roman" w:hAnsi="Times New Roman" w:cs="Times New Roman"/>
                <w:sz w:val="24"/>
                <w:szCs w:val="24"/>
                <w:lang w:eastAsia="lv-LV"/>
              </w:rPr>
              <w:t>Tieslietu ministriju</w:t>
            </w:r>
            <w:r w:rsidR="00905040" w:rsidRPr="008A6DE4">
              <w:rPr>
                <w:rFonts w:ascii="Times New Roman" w:eastAsia="Times New Roman" w:hAnsi="Times New Roman" w:cs="Times New Roman"/>
                <w:sz w:val="24"/>
                <w:szCs w:val="24"/>
                <w:lang w:eastAsia="lv-LV"/>
              </w:rPr>
              <w:t>.</w:t>
            </w:r>
          </w:p>
        </w:tc>
      </w:tr>
      <w:tr w:rsidR="008A6DE4" w:rsidRPr="008A6DE4" w:rsidTr="002B14EE">
        <w:trPr>
          <w:trHeight w:val="246"/>
        </w:trPr>
        <w:tc>
          <w:tcPr>
            <w:tcW w:w="431" w:type="dxa"/>
          </w:tcPr>
          <w:p w:rsidR="00731565" w:rsidRPr="008A6DE4" w:rsidRDefault="00731565" w:rsidP="002E2DC1">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126" w:type="dxa"/>
          </w:tcPr>
          <w:p w:rsidR="00731565" w:rsidRPr="008A6DE4" w:rsidRDefault="00731565" w:rsidP="0016261C">
            <w:pPr>
              <w:spacing w:after="0" w:line="240" w:lineRule="auto"/>
              <w:ind w:firstLine="13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520" w:type="dxa"/>
          </w:tcPr>
          <w:p w:rsidR="00731565" w:rsidRPr="008A6DE4" w:rsidRDefault="00731565" w:rsidP="002E2DC1">
            <w:pPr>
              <w:spacing w:after="0" w:line="240" w:lineRule="auto"/>
              <w:ind w:firstLine="413"/>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rsidR="00731565" w:rsidRPr="008A6DE4" w:rsidRDefault="00731565" w:rsidP="0016261C">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8A6DE4" w:rsidRPr="008A6DE4" w:rsidTr="002B14EE">
        <w:trPr>
          <w:trHeight w:val="195"/>
        </w:trPr>
        <w:tc>
          <w:tcPr>
            <w:tcW w:w="9077" w:type="dxa"/>
            <w:gridSpan w:val="3"/>
            <w:vAlign w:val="center"/>
          </w:tcPr>
          <w:p w:rsidR="00731565" w:rsidRPr="008A6DE4" w:rsidRDefault="00C95BF2" w:rsidP="00C95BF2">
            <w:pPr>
              <w:spacing w:after="0" w:line="240" w:lineRule="auto"/>
              <w:ind w:left="421"/>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 xml:space="preserve">II. </w:t>
            </w:r>
            <w:r w:rsidR="00731565" w:rsidRPr="008A6DE4">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8A6DE4" w:rsidRPr="008A6DE4" w:rsidTr="002B14EE">
        <w:trPr>
          <w:trHeight w:val="331"/>
        </w:trPr>
        <w:tc>
          <w:tcPr>
            <w:tcW w:w="431" w:type="dxa"/>
          </w:tcPr>
          <w:p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2409" w:type="dxa"/>
          </w:tcPr>
          <w:p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mērķgrupas, kuras tiesiskais regulējums ietekmē vai varētu ietekmēt</w:t>
            </w:r>
          </w:p>
        </w:tc>
        <w:tc>
          <w:tcPr>
            <w:tcW w:w="6237" w:type="dxa"/>
          </w:tcPr>
          <w:p w:rsidR="00F1224A" w:rsidRPr="00931420" w:rsidRDefault="00731565" w:rsidP="003F65C0">
            <w:pPr>
              <w:spacing w:after="0" w:line="240" w:lineRule="auto"/>
              <w:ind w:left="132" w:right="151" w:firstLine="280"/>
              <w:jc w:val="both"/>
              <w:rPr>
                <w:rFonts w:ascii="Times New Roman" w:eastAsia="Times New Roman" w:hAnsi="Times New Roman" w:cs="Times New Roman"/>
                <w:sz w:val="24"/>
                <w:szCs w:val="24"/>
                <w:lang w:eastAsia="lv-LV"/>
              </w:rPr>
            </w:pPr>
            <w:r w:rsidRPr="00931420">
              <w:rPr>
                <w:rFonts w:ascii="Times New Roman" w:eastAsia="Times New Roman" w:hAnsi="Times New Roman" w:cs="Times New Roman"/>
                <w:sz w:val="24"/>
                <w:szCs w:val="24"/>
                <w:lang w:eastAsia="lv-LV"/>
              </w:rPr>
              <w:t xml:space="preserve">Projekts attiecas uz </w:t>
            </w:r>
            <w:r w:rsidR="00C95BF2" w:rsidRPr="00931420">
              <w:rPr>
                <w:rFonts w:ascii="Times New Roman" w:eastAsia="Times New Roman" w:hAnsi="Times New Roman" w:cs="Times New Roman"/>
                <w:sz w:val="24"/>
                <w:szCs w:val="24"/>
                <w:lang w:eastAsia="lv-LV"/>
              </w:rPr>
              <w:t xml:space="preserve">vietvārdu </w:t>
            </w:r>
            <w:proofErr w:type="spellStart"/>
            <w:r w:rsidR="00C95BF2" w:rsidRPr="00931420">
              <w:rPr>
                <w:rFonts w:ascii="Times New Roman" w:eastAsia="Times New Roman" w:hAnsi="Times New Roman" w:cs="Times New Roman"/>
                <w:sz w:val="24"/>
                <w:szCs w:val="24"/>
                <w:lang w:eastAsia="lv-LV"/>
              </w:rPr>
              <w:t>piešķīrējinstitūcijām</w:t>
            </w:r>
            <w:proofErr w:type="spellEnd"/>
            <w:proofErr w:type="gramStart"/>
            <w:r w:rsidR="00BA2F6D" w:rsidRPr="00931420">
              <w:rPr>
                <w:rFonts w:ascii="Times New Roman" w:eastAsia="Times New Roman" w:hAnsi="Times New Roman" w:cs="Times New Roman"/>
                <w:sz w:val="24"/>
                <w:szCs w:val="24"/>
                <w:lang w:eastAsia="lv-LV"/>
              </w:rPr>
              <w:t xml:space="preserve"> </w:t>
            </w:r>
            <w:r w:rsidR="00F1224A" w:rsidRPr="00931420">
              <w:rPr>
                <w:rFonts w:ascii="Times New Roman" w:eastAsia="Times New Roman" w:hAnsi="Times New Roman" w:cs="Times New Roman"/>
                <w:sz w:val="24"/>
                <w:szCs w:val="24"/>
                <w:lang w:eastAsia="lv-LV"/>
              </w:rPr>
              <w:t xml:space="preserve"> </w:t>
            </w:r>
            <w:proofErr w:type="gramEnd"/>
            <w:r w:rsidR="00F1224A" w:rsidRPr="00931420">
              <w:rPr>
                <w:rFonts w:ascii="Times New Roman" w:eastAsia="Times New Roman" w:hAnsi="Times New Roman" w:cs="Times New Roman"/>
                <w:sz w:val="24"/>
                <w:szCs w:val="24"/>
                <w:lang w:eastAsia="lv-LV"/>
              </w:rPr>
              <w:t>- pašvaldības domi un atbildīgajām ministrijām (Kultūras ministriju, Satiksmes ministriju, Vides aizsardzības un reģionālās attīstības ministriju un Zemkopības ministriju).</w:t>
            </w:r>
          </w:p>
          <w:p w:rsidR="003F65C0" w:rsidRPr="008A6DE4" w:rsidRDefault="003F65C0" w:rsidP="003F65C0">
            <w:pPr>
              <w:spacing w:after="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Projektā paredzētais tiesiskais regulējums tieši skar</w:t>
            </w:r>
            <w:r w:rsidR="001C4C48">
              <w:rPr>
                <w:rFonts w:ascii="Times New Roman" w:eastAsia="Times New Roman" w:hAnsi="Times New Roman" w:cs="Times New Roman"/>
                <w:sz w:val="24"/>
                <w:szCs w:val="24"/>
                <w:lang w:eastAsia="lv-LV"/>
              </w:rPr>
              <w:t xml:space="preserve"> vietvārdu </w:t>
            </w:r>
            <w:proofErr w:type="spellStart"/>
            <w:r w:rsidR="001C4C48">
              <w:rPr>
                <w:rFonts w:ascii="Times New Roman" w:eastAsia="Times New Roman" w:hAnsi="Times New Roman" w:cs="Times New Roman"/>
                <w:sz w:val="24"/>
                <w:szCs w:val="24"/>
                <w:lang w:eastAsia="lv-LV"/>
              </w:rPr>
              <w:t>piešķirējinstitūcijas</w:t>
            </w:r>
            <w:proofErr w:type="spellEnd"/>
            <w:r w:rsidR="001C4C48">
              <w:rPr>
                <w:rFonts w:ascii="Times New Roman" w:eastAsia="Times New Roman" w:hAnsi="Times New Roman" w:cs="Times New Roman"/>
                <w:sz w:val="24"/>
                <w:szCs w:val="24"/>
                <w:lang w:eastAsia="lv-LV"/>
              </w:rPr>
              <w:t>, netieši – visu sabiedrību jeb visus valsts valodas lietotājus.</w:t>
            </w:r>
          </w:p>
        </w:tc>
      </w:tr>
      <w:tr w:rsidR="008A6DE4" w:rsidRPr="008A6DE4" w:rsidTr="002B14EE">
        <w:trPr>
          <w:trHeight w:val="367"/>
        </w:trPr>
        <w:tc>
          <w:tcPr>
            <w:tcW w:w="431" w:type="dxa"/>
          </w:tcPr>
          <w:p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2409" w:type="dxa"/>
          </w:tcPr>
          <w:p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Tiesiskā regulējuma ietekme uz tautsaimniecību un administratīvo slogu</w:t>
            </w:r>
          </w:p>
        </w:tc>
        <w:tc>
          <w:tcPr>
            <w:tcW w:w="6237" w:type="dxa"/>
          </w:tcPr>
          <w:p w:rsidR="00BA2F6D" w:rsidRDefault="00BA2F6D" w:rsidP="00BA2F6D">
            <w:pPr>
              <w:spacing w:after="0" w:line="240" w:lineRule="auto"/>
              <w:ind w:left="132" w:right="151" w:firstLine="28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tiesiskajam regulējumam nav ietekmes uz tautsaimniecību.</w:t>
            </w:r>
          </w:p>
          <w:p w:rsidR="00ED64D9" w:rsidRPr="008A6DE4" w:rsidRDefault="00ED64D9" w:rsidP="001C4C48">
            <w:pPr>
              <w:spacing w:after="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Projekt</w:t>
            </w:r>
            <w:r w:rsidR="00BA2F6D">
              <w:rPr>
                <w:rFonts w:ascii="Times New Roman" w:eastAsia="Times New Roman" w:hAnsi="Times New Roman" w:cs="Times New Roman"/>
                <w:sz w:val="24"/>
                <w:szCs w:val="24"/>
                <w:lang w:eastAsia="lv-LV"/>
              </w:rPr>
              <w:t>a tiesiskais regulējums</w:t>
            </w:r>
            <w:r w:rsidRPr="008A6DE4">
              <w:rPr>
                <w:rFonts w:ascii="Times New Roman" w:eastAsia="Times New Roman" w:hAnsi="Times New Roman" w:cs="Times New Roman"/>
                <w:sz w:val="24"/>
                <w:szCs w:val="24"/>
                <w:lang w:eastAsia="lv-LV"/>
              </w:rPr>
              <w:t xml:space="preserve"> </w:t>
            </w:r>
            <w:r w:rsidR="001C4C48">
              <w:rPr>
                <w:rFonts w:ascii="Times New Roman" w:eastAsia="Times New Roman" w:hAnsi="Times New Roman" w:cs="Times New Roman"/>
                <w:sz w:val="24"/>
                <w:szCs w:val="24"/>
                <w:lang w:eastAsia="lv-LV"/>
              </w:rPr>
              <w:t>palielinās</w:t>
            </w:r>
            <w:r w:rsidR="00BA2F6D">
              <w:rPr>
                <w:rFonts w:ascii="Times New Roman" w:eastAsia="Times New Roman" w:hAnsi="Times New Roman" w:cs="Times New Roman"/>
                <w:sz w:val="24"/>
                <w:szCs w:val="24"/>
                <w:lang w:eastAsia="lv-LV"/>
              </w:rPr>
              <w:t xml:space="preserve"> </w:t>
            </w:r>
            <w:r w:rsidR="00731565" w:rsidRPr="008A6DE4">
              <w:rPr>
                <w:rFonts w:ascii="Times New Roman" w:eastAsia="Times New Roman" w:hAnsi="Times New Roman" w:cs="Times New Roman"/>
                <w:sz w:val="24"/>
                <w:szCs w:val="24"/>
                <w:lang w:eastAsia="lv-LV"/>
              </w:rPr>
              <w:t>administratīv</w:t>
            </w:r>
            <w:r w:rsidRPr="008A6DE4">
              <w:rPr>
                <w:rFonts w:ascii="Times New Roman" w:eastAsia="Times New Roman" w:hAnsi="Times New Roman" w:cs="Times New Roman"/>
                <w:sz w:val="24"/>
                <w:szCs w:val="24"/>
                <w:lang w:eastAsia="lv-LV"/>
              </w:rPr>
              <w:t>o slogu</w:t>
            </w:r>
            <w:r w:rsidR="00731565" w:rsidRPr="008A6DE4">
              <w:rPr>
                <w:rFonts w:ascii="Times New Roman" w:eastAsia="Times New Roman" w:hAnsi="Times New Roman" w:cs="Times New Roman"/>
                <w:sz w:val="24"/>
                <w:szCs w:val="24"/>
                <w:lang w:eastAsia="lv-LV"/>
              </w:rPr>
              <w:t xml:space="preserve"> </w:t>
            </w:r>
            <w:r w:rsidR="001C4C48">
              <w:rPr>
                <w:rFonts w:ascii="Times New Roman" w:eastAsia="Times New Roman" w:hAnsi="Times New Roman" w:cs="Times New Roman"/>
                <w:sz w:val="24"/>
                <w:szCs w:val="24"/>
                <w:lang w:eastAsia="lv-LV"/>
              </w:rPr>
              <w:t xml:space="preserve">vietvārdu </w:t>
            </w:r>
            <w:proofErr w:type="spellStart"/>
            <w:r w:rsidR="001C4C48">
              <w:rPr>
                <w:rFonts w:ascii="Times New Roman" w:eastAsia="Times New Roman" w:hAnsi="Times New Roman" w:cs="Times New Roman"/>
                <w:sz w:val="24"/>
                <w:szCs w:val="24"/>
                <w:lang w:eastAsia="lv-LV"/>
              </w:rPr>
              <w:t>piešķīrējinstitūcijām</w:t>
            </w:r>
            <w:proofErr w:type="spellEnd"/>
            <w:r w:rsidR="001C4C48">
              <w:rPr>
                <w:rFonts w:ascii="Times New Roman" w:eastAsia="Times New Roman" w:hAnsi="Times New Roman" w:cs="Times New Roman"/>
                <w:sz w:val="24"/>
                <w:szCs w:val="24"/>
                <w:lang w:eastAsia="lv-LV"/>
              </w:rPr>
              <w:t>, uzliekot tām pienākumu visos gadījumos ņemt vērā Valsts valodas centra atzinumu.</w:t>
            </w:r>
          </w:p>
        </w:tc>
      </w:tr>
      <w:tr w:rsidR="008A6DE4" w:rsidRPr="008A6DE4" w:rsidTr="002B14EE">
        <w:trPr>
          <w:trHeight w:val="253"/>
        </w:trPr>
        <w:tc>
          <w:tcPr>
            <w:tcW w:w="431" w:type="dxa"/>
          </w:tcPr>
          <w:p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2409" w:type="dxa"/>
          </w:tcPr>
          <w:p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Administratīvo izmaksu monetārs novērtējums</w:t>
            </w:r>
          </w:p>
        </w:tc>
        <w:tc>
          <w:tcPr>
            <w:tcW w:w="6237" w:type="dxa"/>
          </w:tcPr>
          <w:p w:rsidR="00731565" w:rsidRPr="008A6DE4" w:rsidRDefault="00731565" w:rsidP="00C95BF2">
            <w:pPr>
              <w:spacing w:after="0" w:line="240" w:lineRule="auto"/>
              <w:ind w:left="132" w:right="151" w:firstLine="280"/>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No projektā ietvertā regulējuma jaunas administratīvās izmaksas neveidosies.</w:t>
            </w:r>
          </w:p>
        </w:tc>
      </w:tr>
      <w:tr w:rsidR="008A6DE4" w:rsidRPr="008A6DE4" w:rsidTr="002B14EE">
        <w:trPr>
          <w:trHeight w:val="204"/>
        </w:trPr>
        <w:tc>
          <w:tcPr>
            <w:tcW w:w="431" w:type="dxa"/>
          </w:tcPr>
          <w:p w:rsidR="00731565" w:rsidRPr="008A6DE4" w:rsidRDefault="00731565" w:rsidP="00731565">
            <w:pPr>
              <w:spacing w:after="0" w:line="240" w:lineRule="auto"/>
              <w:jc w:val="center"/>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2409" w:type="dxa"/>
          </w:tcPr>
          <w:p w:rsidR="00731565" w:rsidRPr="008A6DE4" w:rsidRDefault="00731565" w:rsidP="00C95BF2">
            <w:pPr>
              <w:spacing w:after="0" w:line="240" w:lineRule="auto"/>
              <w:ind w:left="131" w:right="151"/>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6237" w:type="dxa"/>
          </w:tcPr>
          <w:p w:rsidR="00731565" w:rsidRPr="008A6DE4" w:rsidRDefault="00731565" w:rsidP="00C866E4">
            <w:pPr>
              <w:spacing w:after="0" w:line="240" w:lineRule="auto"/>
              <w:ind w:firstLine="412"/>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rsidR="00731565" w:rsidRPr="008A6DE4" w:rsidRDefault="00731565" w:rsidP="00731565">
      <w:pPr>
        <w:spacing w:after="0" w:line="240" w:lineRule="auto"/>
        <w:jc w:val="both"/>
        <w:rPr>
          <w:rFonts w:ascii="Times New Roman" w:eastAsia="Times New Roman" w:hAnsi="Times New Roman" w:cs="Times New Roman"/>
          <w:sz w:val="24"/>
          <w:szCs w:val="24"/>
          <w:lang w:eastAsia="lv-LV"/>
        </w:rPr>
      </w:pP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760"/>
        <w:gridCol w:w="6023"/>
      </w:tblGrid>
      <w:tr w:rsidR="008A6DE4" w:rsidRPr="008A6DE4" w:rsidTr="006F3752">
        <w:trPr>
          <w:trHeight w:val="420"/>
        </w:trPr>
        <w:tc>
          <w:tcPr>
            <w:tcW w:w="5000" w:type="pct"/>
            <w:gridSpan w:val="3"/>
            <w:shd w:val="clear" w:color="auto" w:fill="auto"/>
            <w:hideMark/>
          </w:tcPr>
          <w:p w:rsidR="00731565" w:rsidRPr="008A6DE4" w:rsidRDefault="00731565" w:rsidP="002E2DC1">
            <w:pPr>
              <w:spacing w:after="0" w:line="240" w:lineRule="auto"/>
              <w:jc w:val="center"/>
              <w:rPr>
                <w:rFonts w:ascii="Times New Roman" w:eastAsia="Times New Roman" w:hAnsi="Times New Roman" w:cs="Times New Roman"/>
                <w:b/>
                <w:bCs/>
                <w:sz w:val="24"/>
                <w:szCs w:val="24"/>
                <w:lang w:eastAsia="lv-LV"/>
              </w:rPr>
            </w:pPr>
            <w:r w:rsidRPr="008A6DE4">
              <w:rPr>
                <w:rFonts w:ascii="Times New Roman" w:eastAsia="Times New Roman" w:hAnsi="Times New Roman" w:cs="Times New Roman"/>
                <w:sz w:val="24"/>
                <w:szCs w:val="24"/>
                <w:lang w:eastAsia="lv-LV"/>
              </w:rPr>
              <w:t> </w:t>
            </w:r>
            <w:r w:rsidRPr="008A6DE4">
              <w:rPr>
                <w:rFonts w:ascii="Times New Roman" w:eastAsia="Times New Roman" w:hAnsi="Times New Roman" w:cs="Times New Roman"/>
                <w:b/>
                <w:bCs/>
                <w:sz w:val="24"/>
                <w:szCs w:val="24"/>
                <w:lang w:eastAsia="lv-LV"/>
              </w:rPr>
              <w:t>VI. Sabiedrības līdzdalība un komunikācijas aktivitātes</w:t>
            </w:r>
          </w:p>
        </w:tc>
      </w:tr>
      <w:tr w:rsidR="008A6DE4" w:rsidRPr="008A6DE4" w:rsidTr="006F3752">
        <w:trPr>
          <w:trHeight w:val="540"/>
        </w:trPr>
        <w:tc>
          <w:tcPr>
            <w:tcW w:w="23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1.</w:t>
            </w:r>
          </w:p>
        </w:tc>
        <w:tc>
          <w:tcPr>
            <w:tcW w:w="149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Plānotās sabiedrības līdzdalības un komunikācijas aktivitātes saistībā ar projektu</w:t>
            </w:r>
          </w:p>
        </w:tc>
        <w:tc>
          <w:tcPr>
            <w:tcW w:w="3266" w:type="pct"/>
            <w:shd w:val="clear" w:color="auto" w:fill="auto"/>
            <w:hideMark/>
          </w:tcPr>
          <w:p w:rsidR="00731565" w:rsidRPr="008A6DE4" w:rsidRDefault="00FD0A00" w:rsidP="00FD0A00">
            <w:pPr>
              <w:spacing w:after="0" w:line="240" w:lineRule="auto"/>
              <w:ind w:firstLine="372"/>
              <w:jc w:val="both"/>
              <w:rPr>
                <w:rFonts w:ascii="Times New Roman" w:eastAsia="Times New Roman" w:hAnsi="Times New Roman" w:cs="Times New Roman"/>
                <w:sz w:val="24"/>
                <w:szCs w:val="24"/>
                <w:lang w:eastAsia="lv-LV"/>
              </w:rPr>
            </w:pPr>
            <w:r w:rsidRPr="00931420">
              <w:rPr>
                <w:rFonts w:ascii="Times New Roman" w:eastAsia="Times New Roman" w:hAnsi="Times New Roman" w:cs="Times New Roman"/>
                <w:bCs/>
                <w:sz w:val="24"/>
                <w:szCs w:val="24"/>
                <w:lang w:eastAsia="lv-LV"/>
              </w:rPr>
              <w:t>Projekts</w:t>
            </w:r>
            <w:r w:rsidR="00DD63CA">
              <w:rPr>
                <w:rFonts w:ascii="Times New Roman" w:eastAsia="Times New Roman" w:hAnsi="Times New Roman" w:cs="Times New Roman"/>
                <w:bCs/>
                <w:sz w:val="24"/>
                <w:szCs w:val="24"/>
                <w:lang w:eastAsia="lv-LV"/>
              </w:rPr>
              <w:t xml:space="preserve"> </w:t>
            </w:r>
            <w:proofErr w:type="gramStart"/>
            <w:r w:rsidR="00DD63CA">
              <w:rPr>
                <w:rFonts w:ascii="Times New Roman" w:eastAsia="Times New Roman" w:hAnsi="Times New Roman" w:cs="Times New Roman"/>
                <w:bCs/>
                <w:sz w:val="24"/>
                <w:szCs w:val="24"/>
                <w:lang w:eastAsia="lv-LV"/>
              </w:rPr>
              <w:t>publicēt</w:t>
            </w:r>
            <w:r>
              <w:rPr>
                <w:rFonts w:ascii="Times New Roman" w:eastAsia="Times New Roman" w:hAnsi="Times New Roman" w:cs="Times New Roman"/>
                <w:bCs/>
                <w:sz w:val="24"/>
                <w:szCs w:val="24"/>
                <w:lang w:eastAsia="lv-LV"/>
              </w:rPr>
              <w:t>s</w:t>
            </w:r>
            <w:r w:rsidR="00DD63CA">
              <w:rPr>
                <w:rFonts w:ascii="Times New Roman" w:eastAsia="Times New Roman" w:hAnsi="Times New Roman" w:cs="Times New Roman"/>
                <w:bCs/>
                <w:sz w:val="24"/>
                <w:szCs w:val="24"/>
                <w:lang w:eastAsia="lv-LV"/>
              </w:rPr>
              <w:t xml:space="preserve"> </w:t>
            </w:r>
            <w:r w:rsidR="00731565" w:rsidRPr="008A6DE4">
              <w:rPr>
                <w:rFonts w:ascii="Times New Roman" w:eastAsia="Times New Roman" w:hAnsi="Times New Roman" w:cs="Times New Roman"/>
                <w:bCs/>
                <w:sz w:val="24"/>
                <w:szCs w:val="24"/>
                <w:lang w:eastAsia="lv-LV"/>
              </w:rPr>
              <w:t>Tieslietu ministrija</w:t>
            </w:r>
            <w:r w:rsidR="00DD63CA">
              <w:rPr>
                <w:rFonts w:ascii="Times New Roman" w:eastAsia="Times New Roman" w:hAnsi="Times New Roman" w:cs="Times New Roman"/>
                <w:bCs/>
                <w:sz w:val="24"/>
                <w:szCs w:val="24"/>
                <w:lang w:eastAsia="lv-LV"/>
              </w:rPr>
              <w:t>s tīmekļa vietnē</w:t>
            </w:r>
            <w:r w:rsidR="00731565" w:rsidRPr="008A6DE4">
              <w:rPr>
                <w:rFonts w:ascii="Times New Roman" w:eastAsia="Times New Roman" w:hAnsi="Times New Roman" w:cs="Times New Roman"/>
                <w:sz w:val="24"/>
                <w:szCs w:val="24"/>
                <w:lang w:eastAsia="lv-LV"/>
              </w:rPr>
              <w:t xml:space="preserve"> sadaļā "Sabiedrības līdzdalība"</w:t>
            </w:r>
            <w:proofErr w:type="gramEnd"/>
            <w:r w:rsidR="00731565" w:rsidRPr="008A6DE4">
              <w:rPr>
                <w:rFonts w:ascii="Times New Roman" w:eastAsia="Times New Roman" w:hAnsi="Times New Roman" w:cs="Times New Roman"/>
                <w:sz w:val="24"/>
                <w:szCs w:val="24"/>
                <w:lang w:eastAsia="lv-LV"/>
              </w:rPr>
              <w:t xml:space="preserve">, </w:t>
            </w:r>
            <w:r w:rsidR="00DD63CA">
              <w:rPr>
                <w:rFonts w:ascii="Times New Roman" w:eastAsia="Times New Roman" w:hAnsi="Times New Roman" w:cs="Times New Roman"/>
                <w:sz w:val="24"/>
                <w:szCs w:val="24"/>
                <w:lang w:eastAsia="lv-LV"/>
              </w:rPr>
              <w:t>tādējādi dodot iespēju sabiedrībai līdzdarboties tiesību akta izstrādes procesā</w:t>
            </w:r>
            <w:r w:rsidR="00731565" w:rsidRPr="008A6DE4">
              <w:rPr>
                <w:rFonts w:ascii="Times New Roman" w:hAnsi="Times New Roman" w:cs="Times New Roman"/>
                <w:bCs/>
                <w:spacing w:val="7"/>
                <w:kern w:val="36"/>
                <w:sz w:val="24"/>
                <w:szCs w:val="24"/>
              </w:rPr>
              <w:t>.</w:t>
            </w:r>
          </w:p>
        </w:tc>
      </w:tr>
      <w:tr w:rsidR="008A6DE4" w:rsidRPr="008A6DE4" w:rsidTr="006F3752">
        <w:trPr>
          <w:trHeight w:val="330"/>
        </w:trPr>
        <w:tc>
          <w:tcPr>
            <w:tcW w:w="23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2.</w:t>
            </w:r>
          </w:p>
        </w:tc>
        <w:tc>
          <w:tcPr>
            <w:tcW w:w="149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 projekta izstrādē</w:t>
            </w:r>
          </w:p>
        </w:tc>
        <w:tc>
          <w:tcPr>
            <w:tcW w:w="3266" w:type="pct"/>
            <w:shd w:val="clear" w:color="auto" w:fill="auto"/>
          </w:tcPr>
          <w:p w:rsidR="00731565" w:rsidRPr="008A6DE4" w:rsidRDefault="00DD63CA" w:rsidP="00931420">
            <w:pPr>
              <w:spacing w:after="0" w:line="240" w:lineRule="auto"/>
              <w:ind w:firstLine="372"/>
              <w:jc w:val="both"/>
              <w:rPr>
                <w:rFonts w:ascii="Times New Roman" w:hAnsi="Times New Roman" w:cs="Times New Roman"/>
                <w:sz w:val="24"/>
                <w:szCs w:val="24"/>
              </w:rPr>
            </w:pPr>
            <w:r>
              <w:rPr>
                <w:rFonts w:ascii="Times New Roman" w:hAnsi="Times New Roman" w:cs="Times New Roman"/>
                <w:sz w:val="24"/>
                <w:szCs w:val="24"/>
              </w:rPr>
              <w:t xml:space="preserve">Lai informētu sabiedrību par </w:t>
            </w:r>
            <w:r w:rsidR="00FD0A00" w:rsidRPr="00931420">
              <w:rPr>
                <w:rFonts w:ascii="Times New Roman" w:hAnsi="Times New Roman" w:cs="Times New Roman"/>
                <w:sz w:val="24"/>
                <w:szCs w:val="24"/>
              </w:rPr>
              <w:t xml:space="preserve">projektu </w:t>
            </w:r>
            <w:r>
              <w:rPr>
                <w:rFonts w:ascii="Times New Roman" w:hAnsi="Times New Roman" w:cs="Times New Roman"/>
                <w:sz w:val="24"/>
                <w:szCs w:val="24"/>
              </w:rPr>
              <w:t>un dotu iespēju izteikt par to viedokļus</w:t>
            </w:r>
            <w:r w:rsidR="00931420">
              <w:rPr>
                <w:rFonts w:ascii="Times New Roman" w:hAnsi="Times New Roman" w:cs="Times New Roman"/>
                <w:color w:val="C00000"/>
                <w:sz w:val="24"/>
                <w:szCs w:val="24"/>
              </w:rPr>
              <w:t xml:space="preserve">, </w:t>
            </w:r>
            <w:r>
              <w:rPr>
                <w:rFonts w:ascii="Times New Roman" w:hAnsi="Times New Roman" w:cs="Times New Roman"/>
                <w:sz w:val="24"/>
                <w:szCs w:val="24"/>
              </w:rPr>
              <w:t>projekts saskaņā ar Ministru kabineta 2009. gada 25. augusta noteikumiem Nr. 970 "Sabiedrības līdzdalības kārtība attīstības plānošanas procesā" 2017. gada … martā tika ievietots</w:t>
            </w:r>
            <w:r w:rsidR="00F068B9" w:rsidRPr="008A6DE4">
              <w:rPr>
                <w:rFonts w:ascii="Times New Roman" w:hAnsi="Times New Roman" w:cs="Times New Roman"/>
                <w:sz w:val="24"/>
                <w:szCs w:val="24"/>
              </w:rPr>
              <w:t xml:space="preserve"> Tieslietu ministrijas </w:t>
            </w:r>
            <w:r>
              <w:rPr>
                <w:rFonts w:ascii="Times New Roman" w:hAnsi="Times New Roman" w:cs="Times New Roman"/>
                <w:sz w:val="24"/>
                <w:szCs w:val="24"/>
              </w:rPr>
              <w:t>tīmekļa vietnē</w:t>
            </w:r>
            <w:r w:rsidR="00F068B9" w:rsidRPr="008A6DE4">
              <w:rPr>
                <w:rFonts w:ascii="Times New Roman" w:hAnsi="Times New Roman" w:cs="Times New Roman"/>
                <w:sz w:val="24"/>
                <w:szCs w:val="24"/>
              </w:rPr>
              <w:t xml:space="preserve">. </w:t>
            </w:r>
          </w:p>
        </w:tc>
      </w:tr>
      <w:tr w:rsidR="008A6DE4" w:rsidRPr="008A6DE4" w:rsidTr="006F3752">
        <w:trPr>
          <w:trHeight w:val="465"/>
        </w:trPr>
        <w:tc>
          <w:tcPr>
            <w:tcW w:w="23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3.</w:t>
            </w:r>
          </w:p>
        </w:tc>
        <w:tc>
          <w:tcPr>
            <w:tcW w:w="149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Sabiedrības līdzdalības rezultāti</w:t>
            </w:r>
          </w:p>
        </w:tc>
        <w:tc>
          <w:tcPr>
            <w:tcW w:w="3266" w:type="pct"/>
            <w:shd w:val="clear" w:color="auto" w:fill="auto"/>
          </w:tcPr>
          <w:p w:rsidR="00013BDC" w:rsidRPr="00FD0A00" w:rsidRDefault="00013BDC" w:rsidP="00DD63CA">
            <w:pPr>
              <w:spacing w:after="0" w:line="240" w:lineRule="auto"/>
              <w:ind w:firstLine="372"/>
              <w:jc w:val="both"/>
              <w:rPr>
                <w:rFonts w:ascii="Times New Roman" w:eastAsia="Times New Roman" w:hAnsi="Times New Roman" w:cs="Times New Roman"/>
                <w:strike/>
                <w:sz w:val="24"/>
                <w:szCs w:val="24"/>
                <w:lang w:eastAsia="lv-LV"/>
              </w:rPr>
            </w:pPr>
          </w:p>
        </w:tc>
      </w:tr>
      <w:tr w:rsidR="008A6DE4" w:rsidRPr="008A6DE4" w:rsidTr="006F3752">
        <w:trPr>
          <w:trHeight w:val="465"/>
        </w:trPr>
        <w:tc>
          <w:tcPr>
            <w:tcW w:w="23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4.</w:t>
            </w:r>
          </w:p>
        </w:tc>
        <w:tc>
          <w:tcPr>
            <w:tcW w:w="1497" w:type="pct"/>
            <w:shd w:val="clear" w:color="auto" w:fill="auto"/>
            <w:hideMark/>
          </w:tcPr>
          <w:p w:rsidR="00731565" w:rsidRPr="008A6DE4" w:rsidRDefault="00731565" w:rsidP="002E2DC1">
            <w:pPr>
              <w:spacing w:after="0" w:line="240" w:lineRule="auto"/>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Cita informācija</w:t>
            </w:r>
          </w:p>
        </w:tc>
        <w:tc>
          <w:tcPr>
            <w:tcW w:w="3266" w:type="pct"/>
            <w:shd w:val="clear" w:color="auto" w:fill="auto"/>
          </w:tcPr>
          <w:p w:rsidR="00731565" w:rsidRPr="008A6DE4" w:rsidRDefault="00731565" w:rsidP="002E2DC1">
            <w:pPr>
              <w:spacing w:after="0" w:line="240" w:lineRule="auto"/>
              <w:ind w:firstLine="372"/>
              <w:jc w:val="both"/>
              <w:rPr>
                <w:rFonts w:ascii="Times New Roman" w:eastAsia="Times New Roman" w:hAnsi="Times New Roman" w:cs="Times New Roman"/>
                <w:sz w:val="24"/>
                <w:szCs w:val="24"/>
                <w:lang w:eastAsia="lv-LV"/>
              </w:rPr>
            </w:pPr>
            <w:r w:rsidRPr="008A6DE4">
              <w:rPr>
                <w:rFonts w:ascii="Times New Roman" w:eastAsia="Times New Roman" w:hAnsi="Times New Roman" w:cs="Times New Roman"/>
                <w:sz w:val="24"/>
                <w:szCs w:val="24"/>
                <w:lang w:eastAsia="lv-LV"/>
              </w:rPr>
              <w:t>Nav.</w:t>
            </w:r>
          </w:p>
        </w:tc>
      </w:tr>
    </w:tbl>
    <w:p w:rsidR="006F3752" w:rsidRDefault="006F3752" w:rsidP="00731565">
      <w:pPr>
        <w:spacing w:after="0" w:line="240" w:lineRule="auto"/>
        <w:rPr>
          <w:rFonts w:ascii="Times New Roman" w:eastAsia="Times New Roman" w:hAnsi="Times New Roman" w:cs="Times New Roman"/>
          <w:sz w:val="24"/>
          <w:szCs w:val="24"/>
          <w:lang w:eastAsia="lv-LV"/>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78"/>
        <w:gridCol w:w="3274"/>
        <w:gridCol w:w="5174"/>
      </w:tblGrid>
      <w:tr w:rsidR="00FC40A9" w:rsidRPr="00755C34" w:rsidTr="00FC40A9">
        <w:trPr>
          <w:trHeight w:val="381"/>
          <w:jc w:val="center"/>
        </w:trPr>
        <w:tc>
          <w:tcPr>
            <w:tcW w:w="8926" w:type="dxa"/>
            <w:gridSpan w:val="3"/>
            <w:vAlign w:val="center"/>
          </w:tcPr>
          <w:p w:rsidR="00FC40A9" w:rsidRPr="00755C34" w:rsidRDefault="00FC40A9" w:rsidP="00DB3939">
            <w:pPr>
              <w:pStyle w:val="naisnod"/>
              <w:spacing w:before="0" w:beforeAutospacing="0" w:after="0" w:afterAutospacing="0"/>
              <w:ind w:left="57" w:right="57"/>
              <w:jc w:val="center"/>
            </w:pPr>
            <w:r w:rsidRPr="00755C34">
              <w:rPr>
                <w:b/>
              </w:rPr>
              <w:t>VII. Tiesību akta projekta izpildes nodrošināšana un tās ietekme uz institūcijām</w:t>
            </w:r>
          </w:p>
        </w:tc>
      </w:tr>
      <w:tr w:rsidR="00FC40A9" w:rsidRPr="00755C34" w:rsidTr="00FC40A9">
        <w:trPr>
          <w:trHeight w:val="427"/>
          <w:jc w:val="center"/>
        </w:trPr>
        <w:tc>
          <w:tcPr>
            <w:tcW w:w="478" w:type="dxa"/>
          </w:tcPr>
          <w:p w:rsidR="00FC40A9" w:rsidRPr="00755C34" w:rsidRDefault="00FC40A9" w:rsidP="00FC40A9">
            <w:pPr>
              <w:pStyle w:val="naisnod"/>
              <w:spacing w:before="0" w:beforeAutospacing="0" w:after="60" w:afterAutospacing="0"/>
              <w:ind w:left="57" w:right="57"/>
              <w:jc w:val="both"/>
            </w:pPr>
            <w:r w:rsidRPr="00755C34">
              <w:t>1.</w:t>
            </w:r>
          </w:p>
        </w:tc>
        <w:tc>
          <w:tcPr>
            <w:tcW w:w="3274" w:type="dxa"/>
          </w:tcPr>
          <w:p w:rsidR="00FC40A9" w:rsidRPr="00755C34" w:rsidRDefault="00FC40A9" w:rsidP="00FC40A9">
            <w:pPr>
              <w:pStyle w:val="naisf"/>
              <w:spacing w:before="0" w:after="60"/>
              <w:ind w:left="57" w:right="57" w:firstLine="0"/>
            </w:pPr>
            <w:r w:rsidRPr="00755C34">
              <w:t>Projekta izpildē iesaistītās institūcijas</w:t>
            </w:r>
          </w:p>
        </w:tc>
        <w:tc>
          <w:tcPr>
            <w:tcW w:w="5174" w:type="dxa"/>
          </w:tcPr>
          <w:p w:rsidR="00FC40A9" w:rsidRPr="00FC40A9" w:rsidRDefault="00FC40A9" w:rsidP="00FC40A9">
            <w:pPr>
              <w:spacing w:after="60"/>
              <w:ind w:left="121" w:right="114"/>
              <w:jc w:val="both"/>
              <w:rPr>
                <w:rFonts w:ascii="Times New Roman" w:hAnsi="Times New Roman" w:cs="Times New Roman"/>
                <w:sz w:val="24"/>
                <w:szCs w:val="24"/>
              </w:rPr>
            </w:pPr>
            <w:bookmarkStart w:id="5" w:name="p66"/>
            <w:bookmarkStart w:id="6" w:name="p67"/>
            <w:bookmarkStart w:id="7" w:name="p68"/>
            <w:bookmarkStart w:id="8" w:name="p69"/>
            <w:bookmarkEnd w:id="5"/>
            <w:bookmarkEnd w:id="6"/>
            <w:bookmarkEnd w:id="7"/>
            <w:bookmarkEnd w:id="8"/>
            <w:r>
              <w:rPr>
                <w:rFonts w:ascii="Times New Roman" w:hAnsi="Times New Roman" w:cs="Times New Roman"/>
                <w:sz w:val="24"/>
                <w:szCs w:val="24"/>
              </w:rPr>
              <w:t xml:space="preserve">Vietvārdu </w:t>
            </w:r>
            <w:proofErr w:type="spellStart"/>
            <w:r>
              <w:rPr>
                <w:rFonts w:ascii="Times New Roman" w:hAnsi="Times New Roman" w:cs="Times New Roman"/>
                <w:sz w:val="24"/>
                <w:szCs w:val="24"/>
              </w:rPr>
              <w:t>piešķīrējinstitūcijas</w:t>
            </w:r>
            <w:proofErr w:type="spellEnd"/>
            <w:r>
              <w:rPr>
                <w:rFonts w:ascii="Times New Roman" w:hAnsi="Times New Roman" w:cs="Times New Roman"/>
                <w:sz w:val="24"/>
                <w:szCs w:val="24"/>
              </w:rPr>
              <w:t xml:space="preserve">, </w:t>
            </w:r>
            <w:r w:rsidRPr="00FC40A9">
              <w:rPr>
                <w:rFonts w:ascii="Times New Roman" w:hAnsi="Times New Roman" w:cs="Times New Roman"/>
                <w:sz w:val="24"/>
                <w:szCs w:val="24"/>
              </w:rPr>
              <w:t xml:space="preserve">Valsts valodas </w:t>
            </w:r>
            <w:r w:rsidRPr="00FC40A9">
              <w:rPr>
                <w:rFonts w:ascii="Times New Roman" w:hAnsi="Times New Roman" w:cs="Times New Roman"/>
                <w:sz w:val="24"/>
                <w:szCs w:val="24"/>
              </w:rPr>
              <w:lastRenderedPageBreak/>
              <w:t>centrs.</w:t>
            </w:r>
          </w:p>
        </w:tc>
      </w:tr>
      <w:tr w:rsidR="00FC40A9" w:rsidRPr="00755C34" w:rsidTr="00FC40A9">
        <w:trPr>
          <w:trHeight w:val="463"/>
          <w:jc w:val="center"/>
        </w:trPr>
        <w:tc>
          <w:tcPr>
            <w:tcW w:w="478" w:type="dxa"/>
          </w:tcPr>
          <w:p w:rsidR="00FC40A9" w:rsidRPr="00755C34" w:rsidRDefault="00FC40A9" w:rsidP="00DB3939">
            <w:pPr>
              <w:pStyle w:val="naisnod"/>
              <w:spacing w:before="0" w:beforeAutospacing="0" w:after="0" w:afterAutospacing="0"/>
              <w:ind w:left="57" w:right="57"/>
              <w:jc w:val="both"/>
            </w:pPr>
            <w:r w:rsidRPr="00755C34">
              <w:lastRenderedPageBreak/>
              <w:t>2.</w:t>
            </w:r>
          </w:p>
        </w:tc>
        <w:tc>
          <w:tcPr>
            <w:tcW w:w="3274" w:type="dxa"/>
          </w:tcPr>
          <w:p w:rsidR="00FC40A9" w:rsidRPr="00755C34" w:rsidRDefault="00FC40A9" w:rsidP="00FC40A9">
            <w:pPr>
              <w:pStyle w:val="naisf"/>
              <w:spacing w:before="0" w:after="0"/>
              <w:ind w:left="57" w:right="57" w:firstLine="0"/>
              <w:jc w:val="left"/>
            </w:pPr>
            <w:r w:rsidRPr="00755C34">
              <w:t>Projekta izpildes ietekme uz pār</w:t>
            </w:r>
            <w:r w:rsidRPr="00755C34">
              <w:softHyphen/>
              <w:t>valdes funkcijām un institucionālo struktūru.</w:t>
            </w:r>
          </w:p>
          <w:p w:rsidR="00FC40A9" w:rsidRPr="00755C34" w:rsidRDefault="00FC40A9" w:rsidP="00FC40A9">
            <w:pPr>
              <w:pStyle w:val="naisf"/>
              <w:spacing w:before="0" w:after="0"/>
              <w:ind w:left="57" w:right="57" w:firstLine="0"/>
              <w:jc w:val="left"/>
            </w:pPr>
            <w:r w:rsidRPr="00755C34">
              <w:t>Jaunu institūciju izveide, esošu institūciju likvidācija vai reorga</w:t>
            </w:r>
            <w:r w:rsidRPr="00755C34">
              <w:softHyphen/>
              <w:t>nizācija, to ietekme uz institūcijas cilvēkresursiem</w:t>
            </w:r>
          </w:p>
        </w:tc>
        <w:tc>
          <w:tcPr>
            <w:tcW w:w="5174" w:type="dxa"/>
          </w:tcPr>
          <w:p w:rsidR="00FC40A9" w:rsidRPr="00FC40A9" w:rsidRDefault="00FC40A9" w:rsidP="00FC40A9">
            <w:pPr>
              <w:ind w:left="121" w:right="114"/>
              <w:jc w:val="both"/>
              <w:rPr>
                <w:rFonts w:ascii="Times New Roman" w:hAnsi="Times New Roman" w:cs="Times New Roman"/>
                <w:sz w:val="24"/>
                <w:szCs w:val="24"/>
              </w:rPr>
            </w:pPr>
            <w:r w:rsidRPr="00FC40A9">
              <w:rPr>
                <w:rFonts w:ascii="Times New Roman" w:hAnsi="Times New Roman" w:cs="Times New Roman"/>
                <w:sz w:val="24"/>
                <w:szCs w:val="24"/>
              </w:rPr>
              <w:t>Saistībā ar projekta izpildi nav nepieciešams veidot jaunas institūcijas, likvidēt vai reorganizēt esošās.</w:t>
            </w:r>
          </w:p>
        </w:tc>
      </w:tr>
      <w:tr w:rsidR="00FC40A9" w:rsidRPr="00755C34" w:rsidTr="00FC40A9">
        <w:trPr>
          <w:trHeight w:val="402"/>
          <w:jc w:val="center"/>
        </w:trPr>
        <w:tc>
          <w:tcPr>
            <w:tcW w:w="478" w:type="dxa"/>
            <w:tcBorders>
              <w:top w:val="single" w:sz="4" w:space="0" w:color="auto"/>
              <w:left w:val="single" w:sz="4" w:space="0" w:color="auto"/>
              <w:bottom w:val="single" w:sz="4" w:space="0" w:color="auto"/>
              <w:right w:val="single" w:sz="4" w:space="0" w:color="auto"/>
            </w:tcBorders>
          </w:tcPr>
          <w:p w:rsidR="00FC40A9" w:rsidRPr="00755C34" w:rsidRDefault="00FC40A9" w:rsidP="00DB3939">
            <w:pPr>
              <w:pStyle w:val="naisnod"/>
              <w:spacing w:before="0" w:beforeAutospacing="0" w:after="0" w:afterAutospacing="0"/>
              <w:ind w:left="57" w:right="57"/>
              <w:jc w:val="both"/>
            </w:pPr>
            <w:r w:rsidRPr="00755C34">
              <w:t>3.</w:t>
            </w:r>
          </w:p>
        </w:tc>
        <w:tc>
          <w:tcPr>
            <w:tcW w:w="3274" w:type="dxa"/>
            <w:tcBorders>
              <w:top w:val="single" w:sz="4" w:space="0" w:color="auto"/>
              <w:left w:val="single" w:sz="4" w:space="0" w:color="auto"/>
              <w:bottom w:val="single" w:sz="4" w:space="0" w:color="auto"/>
              <w:right w:val="single" w:sz="4" w:space="0" w:color="auto"/>
            </w:tcBorders>
          </w:tcPr>
          <w:p w:rsidR="00FC40A9" w:rsidRPr="00755C34" w:rsidRDefault="00FC40A9" w:rsidP="00FC40A9">
            <w:pPr>
              <w:pStyle w:val="naisf"/>
              <w:spacing w:before="0" w:after="0"/>
              <w:ind w:right="57" w:firstLine="74"/>
            </w:pPr>
            <w:r w:rsidRPr="00755C34">
              <w:t>Cita informācija</w:t>
            </w:r>
          </w:p>
        </w:tc>
        <w:tc>
          <w:tcPr>
            <w:tcW w:w="5174" w:type="dxa"/>
            <w:tcBorders>
              <w:top w:val="single" w:sz="4" w:space="0" w:color="auto"/>
              <w:left w:val="single" w:sz="4" w:space="0" w:color="auto"/>
              <w:bottom w:val="single" w:sz="4" w:space="0" w:color="auto"/>
              <w:right w:val="single" w:sz="4" w:space="0" w:color="auto"/>
            </w:tcBorders>
          </w:tcPr>
          <w:p w:rsidR="00FC40A9" w:rsidRPr="00FC40A9" w:rsidRDefault="00FC40A9" w:rsidP="00DB3939">
            <w:pPr>
              <w:ind w:left="57" w:right="57"/>
              <w:jc w:val="both"/>
              <w:rPr>
                <w:rFonts w:ascii="Times New Roman" w:hAnsi="Times New Roman" w:cs="Times New Roman"/>
                <w:sz w:val="24"/>
                <w:szCs w:val="24"/>
              </w:rPr>
            </w:pPr>
            <w:r w:rsidRPr="00FC40A9">
              <w:rPr>
                <w:rFonts w:ascii="Times New Roman" w:hAnsi="Times New Roman" w:cs="Times New Roman"/>
                <w:sz w:val="24"/>
                <w:szCs w:val="24"/>
              </w:rPr>
              <w:t>Nav.</w:t>
            </w:r>
          </w:p>
        </w:tc>
      </w:tr>
    </w:tbl>
    <w:p w:rsidR="00FC40A9" w:rsidRDefault="00FC40A9" w:rsidP="00731565">
      <w:pPr>
        <w:spacing w:after="0" w:line="240" w:lineRule="auto"/>
        <w:rPr>
          <w:rFonts w:ascii="Times New Roman" w:eastAsia="Times New Roman" w:hAnsi="Times New Roman" w:cs="Times New Roman"/>
          <w:sz w:val="24"/>
          <w:szCs w:val="24"/>
          <w:lang w:eastAsia="lv-LV"/>
        </w:rPr>
      </w:pPr>
    </w:p>
    <w:p w:rsidR="00DD63CA" w:rsidRPr="008A6DE4" w:rsidRDefault="00DD63CA" w:rsidP="00731565">
      <w:pPr>
        <w:spacing w:after="0" w:line="240" w:lineRule="auto"/>
        <w:rPr>
          <w:rFonts w:ascii="Times New Roman" w:eastAsia="Times New Roman" w:hAnsi="Times New Roman" w:cs="Times New Roman"/>
          <w:sz w:val="24"/>
          <w:szCs w:val="24"/>
          <w:lang w:eastAsia="lv-LV"/>
        </w:rPr>
      </w:pPr>
    </w:p>
    <w:p w:rsidR="00F068B9" w:rsidRPr="008A6DE4" w:rsidRDefault="00F068B9" w:rsidP="00731565">
      <w:pPr>
        <w:spacing w:after="0" w:line="240" w:lineRule="auto"/>
        <w:rPr>
          <w:rFonts w:ascii="Times New Roman" w:eastAsia="Times New Roman" w:hAnsi="Times New Roman" w:cs="Times New Roman"/>
          <w:vanish/>
          <w:sz w:val="24"/>
          <w:szCs w:val="24"/>
          <w:lang w:eastAsia="lv-LV"/>
        </w:rPr>
      </w:pPr>
    </w:p>
    <w:p w:rsidR="00731565" w:rsidRPr="008A6DE4" w:rsidRDefault="00731565" w:rsidP="00731565">
      <w:pPr>
        <w:spacing w:after="0" w:line="240" w:lineRule="auto"/>
        <w:rPr>
          <w:rFonts w:ascii="Times New Roman" w:eastAsia="Times New Roman" w:hAnsi="Times New Roman" w:cs="Times New Roman"/>
          <w:i/>
          <w:sz w:val="24"/>
          <w:szCs w:val="24"/>
          <w:lang w:eastAsia="lv-LV"/>
        </w:rPr>
      </w:pPr>
      <w:r w:rsidRPr="008A6DE4">
        <w:rPr>
          <w:rFonts w:ascii="Times New Roman" w:eastAsia="Times New Roman" w:hAnsi="Times New Roman" w:cs="Times New Roman"/>
          <w:i/>
          <w:sz w:val="24"/>
          <w:szCs w:val="24"/>
          <w:lang w:eastAsia="lv-LV"/>
        </w:rPr>
        <w:t xml:space="preserve">Anotācijas III, </w:t>
      </w:r>
      <w:r w:rsidR="006F3752" w:rsidRPr="008A6DE4">
        <w:rPr>
          <w:rFonts w:ascii="Times New Roman" w:eastAsia="Times New Roman" w:hAnsi="Times New Roman" w:cs="Times New Roman"/>
          <w:i/>
          <w:sz w:val="24"/>
          <w:szCs w:val="24"/>
          <w:lang w:eastAsia="lv-LV"/>
        </w:rPr>
        <w:t>IV</w:t>
      </w:r>
      <w:r w:rsidR="00FC40A9">
        <w:rPr>
          <w:rFonts w:ascii="Times New Roman" w:eastAsia="Times New Roman" w:hAnsi="Times New Roman" w:cs="Times New Roman"/>
          <w:i/>
          <w:sz w:val="24"/>
          <w:szCs w:val="24"/>
          <w:lang w:eastAsia="lv-LV"/>
        </w:rPr>
        <w:t xml:space="preserve"> un</w:t>
      </w:r>
      <w:r w:rsidR="006F3752" w:rsidRPr="008A6DE4">
        <w:rPr>
          <w:rFonts w:ascii="Times New Roman" w:eastAsia="Times New Roman" w:hAnsi="Times New Roman" w:cs="Times New Roman"/>
          <w:i/>
          <w:sz w:val="24"/>
          <w:szCs w:val="24"/>
          <w:lang w:eastAsia="lv-LV"/>
        </w:rPr>
        <w:t xml:space="preserve"> </w:t>
      </w:r>
      <w:r w:rsidRPr="008A6DE4">
        <w:rPr>
          <w:rFonts w:ascii="Times New Roman" w:eastAsia="Times New Roman" w:hAnsi="Times New Roman" w:cs="Times New Roman"/>
          <w:i/>
          <w:sz w:val="24"/>
          <w:szCs w:val="24"/>
          <w:lang w:eastAsia="lv-LV"/>
        </w:rPr>
        <w:t>V sadaļa – projekts šīs jomas neskar.</w:t>
      </w:r>
    </w:p>
    <w:p w:rsidR="00731565" w:rsidRPr="008A6DE4" w:rsidRDefault="00731565" w:rsidP="00731565">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731565" w:rsidRPr="008A6DE4" w:rsidRDefault="00731565" w:rsidP="00731565">
      <w:pPr>
        <w:tabs>
          <w:tab w:val="center" w:pos="-142"/>
          <w:tab w:val="center" w:pos="4153"/>
          <w:tab w:val="right" w:pos="7230"/>
          <w:tab w:val="right" w:pos="7740"/>
        </w:tabs>
        <w:spacing w:after="0" w:line="240" w:lineRule="auto"/>
        <w:jc w:val="both"/>
        <w:rPr>
          <w:rFonts w:ascii="Times New Roman" w:eastAsia="Times New Roman" w:hAnsi="Times New Roman" w:cs="Times New Roman"/>
          <w:sz w:val="24"/>
          <w:szCs w:val="24"/>
          <w:lang w:eastAsia="x-none"/>
        </w:rPr>
      </w:pPr>
    </w:p>
    <w:p w:rsidR="00731565" w:rsidRPr="008A6DE4" w:rsidRDefault="00731565" w:rsidP="00731565">
      <w:pPr>
        <w:spacing w:after="0" w:line="240" w:lineRule="auto"/>
        <w:jc w:val="both"/>
        <w:rPr>
          <w:rFonts w:ascii="Times New Roman" w:eastAsia="Times New Roman" w:hAnsi="Times New Roman" w:cs="Times New Roman"/>
          <w:sz w:val="24"/>
          <w:szCs w:val="24"/>
        </w:rPr>
      </w:pPr>
      <w:r w:rsidRPr="008A6DE4">
        <w:rPr>
          <w:rFonts w:ascii="Times New Roman" w:eastAsia="Times New Roman" w:hAnsi="Times New Roman" w:cs="Times New Roman"/>
          <w:sz w:val="24"/>
          <w:szCs w:val="24"/>
        </w:rPr>
        <w:t>Iesniedzējs:</w:t>
      </w:r>
    </w:p>
    <w:p w:rsidR="008625DA" w:rsidRPr="008A6DE4" w:rsidRDefault="008625DA" w:rsidP="008625DA">
      <w:pPr>
        <w:pStyle w:val="naisf"/>
        <w:tabs>
          <w:tab w:val="left" w:pos="6804"/>
        </w:tabs>
        <w:spacing w:before="0" w:after="0"/>
        <w:ind w:firstLine="0"/>
      </w:pPr>
      <w:r w:rsidRPr="008A6DE4">
        <w:t>tieslietu ministrs</w:t>
      </w:r>
      <w:r w:rsidRPr="008A6DE4">
        <w:tab/>
      </w:r>
      <w:r w:rsidRPr="008A6DE4">
        <w:tab/>
        <w:t>Dzintars Rasnačs</w:t>
      </w:r>
    </w:p>
    <w:p w:rsidR="00731565" w:rsidRPr="008A6DE4" w:rsidRDefault="00731565" w:rsidP="00731565">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731565" w:rsidRPr="008A6DE4" w:rsidRDefault="00731565" w:rsidP="00731565">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DD63CA" w:rsidRDefault="00DD63CA" w:rsidP="00560A4E">
      <w:pPr>
        <w:tabs>
          <w:tab w:val="center" w:pos="4394"/>
        </w:tabs>
        <w:spacing w:after="0" w:line="240" w:lineRule="auto"/>
        <w:ind w:right="-4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w:t>
      </w:r>
      <w:r w:rsidR="00931420">
        <w:rPr>
          <w:rFonts w:ascii="Times New Roman" w:eastAsia="Times New Roman" w:hAnsi="Times New Roman" w:cs="Times New Roman"/>
          <w:sz w:val="20"/>
          <w:szCs w:val="20"/>
          <w:lang w:eastAsia="lv-LV"/>
        </w:rPr>
        <w:t>8</w:t>
      </w:r>
      <w:r>
        <w:rPr>
          <w:rFonts w:ascii="Times New Roman" w:eastAsia="Times New Roman" w:hAnsi="Times New Roman" w:cs="Times New Roman"/>
          <w:sz w:val="20"/>
          <w:szCs w:val="20"/>
          <w:lang w:eastAsia="lv-LV"/>
        </w:rPr>
        <w:t>.03.2017. 1</w:t>
      </w:r>
      <w:r w:rsidR="00F46C17">
        <w:rPr>
          <w:rFonts w:ascii="Times New Roman" w:eastAsia="Times New Roman" w:hAnsi="Times New Roman" w:cs="Times New Roman"/>
          <w:sz w:val="20"/>
          <w:szCs w:val="20"/>
          <w:lang w:eastAsia="lv-LV"/>
        </w:rPr>
        <w:t>3</w:t>
      </w:r>
      <w:r>
        <w:rPr>
          <w:rFonts w:ascii="Times New Roman" w:eastAsia="Times New Roman" w:hAnsi="Times New Roman" w:cs="Times New Roman"/>
          <w:sz w:val="20"/>
          <w:szCs w:val="20"/>
          <w:lang w:eastAsia="lv-LV"/>
        </w:rPr>
        <w:t>:</w:t>
      </w:r>
      <w:r w:rsidR="00F46C17">
        <w:rPr>
          <w:rFonts w:ascii="Times New Roman" w:eastAsia="Times New Roman" w:hAnsi="Times New Roman" w:cs="Times New Roman"/>
          <w:sz w:val="20"/>
          <w:szCs w:val="20"/>
          <w:lang w:eastAsia="lv-LV"/>
        </w:rPr>
        <w:t>2</w:t>
      </w:r>
      <w:r>
        <w:rPr>
          <w:rFonts w:ascii="Times New Roman" w:eastAsia="Times New Roman" w:hAnsi="Times New Roman" w:cs="Times New Roman"/>
          <w:sz w:val="20"/>
          <w:szCs w:val="20"/>
          <w:lang w:eastAsia="lv-LV"/>
        </w:rPr>
        <w:t>5</w:t>
      </w:r>
    </w:p>
    <w:p w:rsidR="00DD63CA" w:rsidRDefault="00931420" w:rsidP="00560A4E">
      <w:pPr>
        <w:tabs>
          <w:tab w:val="center" w:pos="4394"/>
        </w:tabs>
        <w:spacing w:after="0" w:line="240" w:lineRule="auto"/>
        <w:ind w:right="-4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686</w:t>
      </w:r>
    </w:p>
    <w:p w:rsidR="00DD63CA" w:rsidRDefault="00DD63CA" w:rsidP="00560A4E">
      <w:pPr>
        <w:tabs>
          <w:tab w:val="center" w:pos="4394"/>
        </w:tabs>
        <w:spacing w:after="0" w:line="240" w:lineRule="auto"/>
        <w:ind w:right="-483"/>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M.</w:t>
      </w:r>
      <w:r w:rsidR="00BA2F6D">
        <w:rPr>
          <w:rFonts w:ascii="Times New Roman" w:eastAsia="Times New Roman" w:hAnsi="Times New Roman" w:cs="Times New Roman"/>
          <w:sz w:val="20"/>
          <w:szCs w:val="20"/>
          <w:lang w:eastAsia="lv-LV"/>
        </w:rPr>
        <w:t>Baltiņš</w:t>
      </w:r>
      <w:r w:rsidR="00560A4E" w:rsidRPr="008A6DE4">
        <w:rPr>
          <w:rFonts w:ascii="Times New Roman" w:eastAsia="Times New Roman" w:hAnsi="Times New Roman" w:cs="Times New Roman"/>
          <w:sz w:val="20"/>
          <w:szCs w:val="20"/>
          <w:lang w:eastAsia="lv-LV"/>
        </w:rPr>
        <w:t xml:space="preserve"> </w:t>
      </w:r>
    </w:p>
    <w:p w:rsidR="00C1317C" w:rsidRPr="00DD63CA" w:rsidRDefault="00731565" w:rsidP="00560A4E">
      <w:pPr>
        <w:tabs>
          <w:tab w:val="center" w:pos="4394"/>
        </w:tabs>
        <w:spacing w:after="0" w:line="240" w:lineRule="auto"/>
        <w:ind w:right="-483"/>
        <w:rPr>
          <w:rFonts w:ascii="Times New Roman" w:eastAsia="Times New Roman" w:hAnsi="Times New Roman" w:cs="Times New Roman"/>
          <w:sz w:val="20"/>
          <w:szCs w:val="20"/>
          <w:lang w:eastAsia="lv-LV"/>
        </w:rPr>
      </w:pPr>
      <w:r w:rsidRPr="008A6DE4">
        <w:rPr>
          <w:rFonts w:ascii="Times New Roman" w:eastAsia="Times New Roman" w:hAnsi="Times New Roman" w:cs="Times New Roman"/>
          <w:sz w:val="20"/>
          <w:szCs w:val="20"/>
          <w:lang w:eastAsia="lv-LV"/>
        </w:rPr>
        <w:t>67</w:t>
      </w:r>
      <w:r w:rsidR="00BA2F6D">
        <w:rPr>
          <w:rFonts w:ascii="Times New Roman" w:eastAsia="Times New Roman" w:hAnsi="Times New Roman" w:cs="Times New Roman"/>
          <w:sz w:val="20"/>
          <w:szCs w:val="20"/>
          <w:lang w:eastAsia="lv-LV"/>
        </w:rPr>
        <w:t>331814</w:t>
      </w:r>
      <w:r w:rsidR="00DD63CA">
        <w:rPr>
          <w:rFonts w:ascii="Times New Roman" w:eastAsia="Times New Roman" w:hAnsi="Times New Roman" w:cs="Times New Roman"/>
          <w:sz w:val="20"/>
          <w:szCs w:val="20"/>
          <w:lang w:eastAsia="lv-LV"/>
        </w:rPr>
        <w:t xml:space="preserve">; </w:t>
      </w:r>
      <w:r w:rsidR="00BA2F6D" w:rsidRPr="0016261C">
        <w:rPr>
          <w:rFonts w:ascii="Times New Roman" w:eastAsia="Times New Roman" w:hAnsi="Times New Roman" w:cs="Times New Roman"/>
          <w:sz w:val="20"/>
          <w:szCs w:val="20"/>
          <w:lang w:eastAsia="lv-LV"/>
        </w:rPr>
        <w:t>Maris.Baltins@vvc.gov.lv</w:t>
      </w:r>
    </w:p>
    <w:sectPr w:rsidR="00C1317C" w:rsidRPr="00DD63CA" w:rsidSect="002B14EE">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14E" w:rsidRDefault="00CE414E">
      <w:pPr>
        <w:spacing w:after="0" w:line="240" w:lineRule="auto"/>
      </w:pPr>
      <w:r>
        <w:separator/>
      </w:r>
    </w:p>
  </w:endnote>
  <w:endnote w:type="continuationSeparator" w:id="0">
    <w:p w:rsidR="00CE414E" w:rsidRDefault="00CE4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Palemonas">
    <w:altName w:val="Times New Roman"/>
    <w:charset w:val="BA"/>
    <w:family w:val="roman"/>
    <w:pitch w:val="variable"/>
    <w:sig w:usb0="00000001" w:usb1="500028EF" w:usb2="00000024"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20" w:rsidRDefault="0093142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EE" w:rsidRPr="00DD63CA" w:rsidRDefault="000317AE" w:rsidP="00DD63CA">
    <w:pPr>
      <w:tabs>
        <w:tab w:val="left" w:pos="7088"/>
      </w:tabs>
      <w:spacing w:after="0"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TMA</w:t>
    </w:r>
    <w:bookmarkStart w:id="9" w:name="_GoBack"/>
    <w:bookmarkEnd w:id="9"/>
    <w:r w:rsidR="00DD63CA">
      <w:rPr>
        <w:rFonts w:ascii="Times New Roman" w:hAnsi="Times New Roman" w:cs="Times New Roman"/>
        <w:sz w:val="20"/>
        <w:szCs w:val="20"/>
      </w:rPr>
      <w:t>not_</w:t>
    </w:r>
    <w:r w:rsidR="00931420">
      <w:rPr>
        <w:rFonts w:ascii="Times New Roman" w:hAnsi="Times New Roman" w:cs="Times New Roman"/>
        <w:sz w:val="20"/>
        <w:szCs w:val="20"/>
      </w:rPr>
      <w:t>08</w:t>
    </w:r>
    <w:r w:rsidR="00DD63CA">
      <w:rPr>
        <w:rFonts w:ascii="Times New Roman" w:hAnsi="Times New Roman" w:cs="Times New Roman"/>
        <w:sz w:val="20"/>
        <w:szCs w:val="20"/>
      </w:rPr>
      <w:t>0317</w:t>
    </w:r>
    <w:r w:rsidR="00DD63CA" w:rsidRPr="00425467">
      <w:rPr>
        <w:rFonts w:ascii="Times New Roman" w:hAnsi="Times New Roman" w:cs="Times New Roman"/>
        <w:sz w:val="20"/>
        <w:szCs w:val="20"/>
      </w:rPr>
      <w:t>_</w:t>
    </w:r>
    <w:r w:rsidR="00DD63CA">
      <w:rPr>
        <w:rFonts w:ascii="Times New Roman" w:hAnsi="Times New Roman" w:cs="Times New Roman"/>
        <w:sz w:val="20"/>
        <w:szCs w:val="20"/>
      </w:rPr>
      <w:t xml:space="preserve">vietvardi; </w:t>
    </w:r>
    <w:r w:rsidR="00DD63CA" w:rsidRPr="00DD63CA">
      <w:rPr>
        <w:rFonts w:ascii="Times New Roman" w:eastAsia="Times New Roman" w:hAnsi="Times New Roman" w:cs="Times New Roman"/>
        <w:sz w:val="20"/>
        <w:szCs w:val="20"/>
        <w:lang w:eastAsia="lv-LV"/>
      </w:rPr>
      <w:t>Ministru kabineta noteikumu projekta</w:t>
    </w:r>
    <w:r w:rsidR="00DD63CA">
      <w:rPr>
        <w:rFonts w:ascii="Times New Roman" w:eastAsia="Times New Roman" w:hAnsi="Times New Roman" w:cs="Times New Roman"/>
        <w:sz w:val="20"/>
        <w:szCs w:val="20"/>
        <w:lang w:eastAsia="lv-LV"/>
      </w:rPr>
      <w:t xml:space="preserve"> </w:t>
    </w:r>
    <w:r w:rsidR="00DD63CA" w:rsidRPr="00DD63CA">
      <w:rPr>
        <w:rFonts w:ascii="Times New Roman" w:eastAsia="Times New Roman" w:hAnsi="Times New Roman" w:cs="Times New Roman"/>
        <w:sz w:val="20"/>
        <w:szCs w:val="20"/>
        <w:lang w:eastAsia="lv-LV"/>
      </w:rPr>
      <w:t>"</w:t>
    </w:r>
    <w:r w:rsidR="00DD63CA" w:rsidRPr="00DD63CA">
      <w:rPr>
        <w:rFonts w:ascii="Times New Roman" w:eastAsia="Times New Roman" w:hAnsi="Times New Roman" w:cs="Times New Roman"/>
        <w:bCs/>
        <w:sz w:val="20"/>
        <w:szCs w:val="20"/>
        <w:lang w:eastAsia="lv-LV"/>
      </w:rPr>
      <w:t>Grozījumi Ministru kabineta 2012.</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gada 10.</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janvāra noteikumos Nr.</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50 "Vietvārdu informācijas noteikumi</w:t>
    </w:r>
    <w:r w:rsidR="00DD63CA" w:rsidRPr="00DD63CA">
      <w:rPr>
        <w:rFonts w:ascii="Times New Roman" w:eastAsia="Times New Roman" w:hAnsi="Times New Roman" w:cs="Times New Roman"/>
        <w:sz w:val="20"/>
        <w:szCs w:val="20"/>
        <w:lang w:eastAsia="lv-LV"/>
      </w:rPr>
      <w:t>"" sākotnējās ietekmes novērtējuma ziņojums (</w:t>
    </w:r>
    <w:r w:rsidR="00DD63CA" w:rsidRPr="00DD63CA">
      <w:rPr>
        <w:rFonts w:ascii="Times New Roman" w:eastAsia="Times New Roman" w:hAnsi="Times New Roman" w:cs="Times New Roman"/>
        <w:bCs/>
        <w:sz w:val="20"/>
        <w:szCs w:val="20"/>
        <w:lang w:eastAsia="lv-LV"/>
      </w:rPr>
      <w:t>anotācija)</w:t>
    </w:r>
    <w:r w:rsidR="00DD63CA">
      <w:rPr>
        <w:rFonts w:ascii="Times New Roman" w:hAnsi="Times New Roman" w:cs="Times New Roman"/>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EE" w:rsidRPr="00DD63CA" w:rsidRDefault="00F7714F" w:rsidP="00DD63CA">
    <w:pPr>
      <w:tabs>
        <w:tab w:val="left" w:pos="7088"/>
      </w:tabs>
      <w:spacing w:after="0" w:line="240" w:lineRule="auto"/>
      <w:jc w:val="both"/>
      <w:rPr>
        <w:rFonts w:ascii="Times New Roman" w:eastAsia="Times New Roman" w:hAnsi="Times New Roman" w:cs="Times New Roman"/>
        <w:sz w:val="20"/>
        <w:szCs w:val="20"/>
        <w:lang w:eastAsia="lv-LV"/>
      </w:rPr>
    </w:pPr>
    <w:r>
      <w:rPr>
        <w:rFonts w:ascii="Times New Roman" w:hAnsi="Times New Roman" w:cs="Times New Roman"/>
        <w:sz w:val="20"/>
        <w:szCs w:val="20"/>
      </w:rPr>
      <w:t>TM</w:t>
    </w:r>
    <w:r w:rsidR="000317AE">
      <w:rPr>
        <w:rFonts w:ascii="Times New Roman" w:hAnsi="Times New Roman" w:cs="Times New Roman"/>
        <w:sz w:val="20"/>
        <w:szCs w:val="20"/>
      </w:rPr>
      <w:t>A</w:t>
    </w:r>
    <w:r>
      <w:rPr>
        <w:rFonts w:ascii="Times New Roman" w:hAnsi="Times New Roman" w:cs="Times New Roman"/>
        <w:sz w:val="20"/>
        <w:szCs w:val="20"/>
      </w:rPr>
      <w:t>not_</w:t>
    </w:r>
    <w:r w:rsidR="00BB7C12">
      <w:rPr>
        <w:rFonts w:ascii="Times New Roman" w:hAnsi="Times New Roman" w:cs="Times New Roman"/>
        <w:sz w:val="20"/>
        <w:szCs w:val="20"/>
      </w:rPr>
      <w:t>0</w:t>
    </w:r>
    <w:r w:rsidR="00931420">
      <w:rPr>
        <w:rFonts w:ascii="Times New Roman" w:hAnsi="Times New Roman" w:cs="Times New Roman"/>
        <w:sz w:val="20"/>
        <w:szCs w:val="20"/>
      </w:rPr>
      <w:t>8</w:t>
    </w:r>
    <w:r w:rsidR="00BB7C12">
      <w:rPr>
        <w:rFonts w:ascii="Times New Roman" w:hAnsi="Times New Roman" w:cs="Times New Roman"/>
        <w:sz w:val="20"/>
        <w:szCs w:val="20"/>
      </w:rPr>
      <w:t>0</w:t>
    </w:r>
    <w:r w:rsidR="0016261C">
      <w:rPr>
        <w:rFonts w:ascii="Times New Roman" w:hAnsi="Times New Roman" w:cs="Times New Roman"/>
        <w:sz w:val="20"/>
        <w:szCs w:val="20"/>
      </w:rPr>
      <w:t>3</w:t>
    </w:r>
    <w:r w:rsidR="001841AF">
      <w:rPr>
        <w:rFonts w:ascii="Times New Roman" w:hAnsi="Times New Roman" w:cs="Times New Roman"/>
        <w:sz w:val="20"/>
        <w:szCs w:val="20"/>
      </w:rPr>
      <w:t>17</w:t>
    </w:r>
    <w:r w:rsidR="00425467" w:rsidRPr="00425467">
      <w:rPr>
        <w:rFonts w:ascii="Times New Roman" w:hAnsi="Times New Roman" w:cs="Times New Roman"/>
        <w:sz w:val="20"/>
        <w:szCs w:val="20"/>
      </w:rPr>
      <w:t>_</w:t>
    </w:r>
    <w:r w:rsidR="0016261C">
      <w:rPr>
        <w:rFonts w:ascii="Times New Roman" w:hAnsi="Times New Roman" w:cs="Times New Roman"/>
        <w:sz w:val="20"/>
        <w:szCs w:val="20"/>
      </w:rPr>
      <w:t>vietvardi</w:t>
    </w:r>
    <w:r w:rsidR="00DD63CA">
      <w:rPr>
        <w:rFonts w:ascii="Times New Roman" w:hAnsi="Times New Roman" w:cs="Times New Roman"/>
        <w:sz w:val="20"/>
        <w:szCs w:val="20"/>
      </w:rPr>
      <w:t xml:space="preserve">; </w:t>
    </w:r>
    <w:r w:rsidR="00DD63CA" w:rsidRPr="00DD63CA">
      <w:rPr>
        <w:rFonts w:ascii="Times New Roman" w:eastAsia="Times New Roman" w:hAnsi="Times New Roman" w:cs="Times New Roman"/>
        <w:sz w:val="20"/>
        <w:szCs w:val="20"/>
        <w:lang w:eastAsia="lv-LV"/>
      </w:rPr>
      <w:t>Ministru kabineta noteikumu projekta</w:t>
    </w:r>
    <w:r w:rsidR="00DD63CA">
      <w:rPr>
        <w:rFonts w:ascii="Times New Roman" w:eastAsia="Times New Roman" w:hAnsi="Times New Roman" w:cs="Times New Roman"/>
        <w:sz w:val="20"/>
        <w:szCs w:val="20"/>
        <w:lang w:eastAsia="lv-LV"/>
      </w:rPr>
      <w:t xml:space="preserve"> </w:t>
    </w:r>
    <w:r w:rsidR="00DD63CA" w:rsidRPr="00DD63CA">
      <w:rPr>
        <w:rFonts w:ascii="Times New Roman" w:eastAsia="Times New Roman" w:hAnsi="Times New Roman" w:cs="Times New Roman"/>
        <w:sz w:val="20"/>
        <w:szCs w:val="20"/>
        <w:lang w:eastAsia="lv-LV"/>
      </w:rPr>
      <w:t>"</w:t>
    </w:r>
    <w:r w:rsidR="00DD63CA" w:rsidRPr="00DD63CA">
      <w:rPr>
        <w:rFonts w:ascii="Times New Roman" w:eastAsia="Times New Roman" w:hAnsi="Times New Roman" w:cs="Times New Roman"/>
        <w:bCs/>
        <w:sz w:val="20"/>
        <w:szCs w:val="20"/>
        <w:lang w:eastAsia="lv-LV"/>
      </w:rPr>
      <w:t>Grozījumi Ministru kabineta 2012.</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gada 10.</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janvāra noteikumos Nr.</w:t>
    </w:r>
    <w:r w:rsidR="00DD63CA" w:rsidRPr="00DD63CA">
      <w:rPr>
        <w:rFonts w:ascii="Times New Roman" w:hAnsi="Times New Roman"/>
        <w:sz w:val="20"/>
        <w:szCs w:val="20"/>
      </w:rPr>
      <w:t> </w:t>
    </w:r>
    <w:r w:rsidR="00DD63CA" w:rsidRPr="00DD63CA">
      <w:rPr>
        <w:rFonts w:ascii="Times New Roman" w:eastAsia="Times New Roman" w:hAnsi="Times New Roman" w:cs="Times New Roman"/>
        <w:bCs/>
        <w:sz w:val="20"/>
        <w:szCs w:val="20"/>
        <w:lang w:eastAsia="lv-LV"/>
      </w:rPr>
      <w:t>50 "Vietvārdu informācijas noteikumi</w:t>
    </w:r>
    <w:r w:rsidR="00DD63CA" w:rsidRPr="00DD63CA">
      <w:rPr>
        <w:rFonts w:ascii="Times New Roman" w:eastAsia="Times New Roman" w:hAnsi="Times New Roman" w:cs="Times New Roman"/>
        <w:sz w:val="20"/>
        <w:szCs w:val="20"/>
        <w:lang w:eastAsia="lv-LV"/>
      </w:rPr>
      <w:t>"" sākotnējās ietekmes novērtējuma ziņojums (</w:t>
    </w:r>
    <w:r w:rsidR="00DD63CA" w:rsidRPr="00DD63CA">
      <w:rPr>
        <w:rFonts w:ascii="Times New Roman" w:eastAsia="Times New Roman" w:hAnsi="Times New Roman" w:cs="Times New Roman"/>
        <w:bCs/>
        <w:sz w:val="20"/>
        <w:szCs w:val="20"/>
        <w:lang w:eastAsia="lv-LV"/>
      </w:rPr>
      <w:t>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14E" w:rsidRDefault="00CE414E">
      <w:pPr>
        <w:spacing w:after="0" w:line="240" w:lineRule="auto"/>
      </w:pPr>
      <w:r>
        <w:separator/>
      </w:r>
    </w:p>
  </w:footnote>
  <w:footnote w:type="continuationSeparator" w:id="0">
    <w:p w:rsidR="00CE414E" w:rsidRDefault="00CE4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EE" w:rsidRDefault="002B14EE" w:rsidP="002B14E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2B14EE" w:rsidRDefault="002B14E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4EE" w:rsidRPr="00DD58BB" w:rsidRDefault="002B14EE" w:rsidP="002B14EE">
    <w:pPr>
      <w:pStyle w:val="Galvene"/>
      <w:framePr w:wrap="around" w:vAnchor="text" w:hAnchor="margin" w:xAlign="center" w:y="1"/>
      <w:rPr>
        <w:rStyle w:val="Lappusesnumurs"/>
        <w:rFonts w:ascii="Times New Roman" w:hAnsi="Times New Roman" w:cs="Times New Roman"/>
        <w:sz w:val="24"/>
        <w:szCs w:val="24"/>
      </w:rPr>
    </w:pPr>
    <w:r w:rsidRPr="00DD58BB">
      <w:rPr>
        <w:rStyle w:val="Lappusesnumurs"/>
        <w:rFonts w:ascii="Times New Roman" w:hAnsi="Times New Roman" w:cs="Times New Roman"/>
        <w:sz w:val="24"/>
        <w:szCs w:val="24"/>
      </w:rPr>
      <w:fldChar w:fldCharType="begin"/>
    </w:r>
    <w:r w:rsidRPr="00DD58BB">
      <w:rPr>
        <w:rStyle w:val="Lappusesnumurs"/>
        <w:rFonts w:ascii="Times New Roman" w:hAnsi="Times New Roman" w:cs="Times New Roman"/>
        <w:sz w:val="24"/>
        <w:szCs w:val="24"/>
      </w:rPr>
      <w:instrText xml:space="preserve">PAGE  </w:instrText>
    </w:r>
    <w:r w:rsidRPr="00DD58BB">
      <w:rPr>
        <w:rStyle w:val="Lappusesnumurs"/>
        <w:rFonts w:ascii="Times New Roman" w:hAnsi="Times New Roman" w:cs="Times New Roman"/>
        <w:sz w:val="24"/>
        <w:szCs w:val="24"/>
      </w:rPr>
      <w:fldChar w:fldCharType="separate"/>
    </w:r>
    <w:r w:rsidR="000317AE">
      <w:rPr>
        <w:rStyle w:val="Lappusesnumurs"/>
        <w:rFonts w:ascii="Times New Roman" w:hAnsi="Times New Roman" w:cs="Times New Roman"/>
        <w:noProof/>
        <w:sz w:val="24"/>
        <w:szCs w:val="24"/>
      </w:rPr>
      <w:t>2</w:t>
    </w:r>
    <w:r w:rsidRPr="00DD58BB">
      <w:rPr>
        <w:rStyle w:val="Lappusesnumurs"/>
        <w:rFonts w:ascii="Times New Roman" w:hAnsi="Times New Roman" w:cs="Times New Roman"/>
        <w:sz w:val="24"/>
        <w:szCs w:val="24"/>
      </w:rPr>
      <w:fldChar w:fldCharType="end"/>
    </w:r>
  </w:p>
  <w:p w:rsidR="002B14EE" w:rsidRDefault="002B14E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1420" w:rsidRDefault="0093142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3A0"/>
    <w:multiLevelType w:val="hybridMultilevel"/>
    <w:tmpl w:val="EAD6972A"/>
    <w:lvl w:ilvl="0" w:tplc="4F40DBD4">
      <w:start w:val="1"/>
      <w:numFmt w:val="decimal"/>
      <w:lvlText w:val="%1."/>
      <w:lvlJc w:val="left"/>
      <w:pPr>
        <w:ind w:left="786" w:hanging="360"/>
      </w:pPr>
      <w:rPr>
        <w:rFonts w:hint="default"/>
        <w:color w:val="auto"/>
      </w:rPr>
    </w:lvl>
    <w:lvl w:ilvl="1" w:tplc="04260019" w:tentative="1">
      <w:start w:val="1"/>
      <w:numFmt w:val="lowerLetter"/>
      <w:lvlText w:val="%2."/>
      <w:lvlJc w:val="left"/>
      <w:pPr>
        <w:ind w:left="1482" w:hanging="360"/>
      </w:pPr>
    </w:lvl>
    <w:lvl w:ilvl="2" w:tplc="0426001B" w:tentative="1">
      <w:start w:val="1"/>
      <w:numFmt w:val="lowerRoman"/>
      <w:lvlText w:val="%3."/>
      <w:lvlJc w:val="right"/>
      <w:pPr>
        <w:ind w:left="2202" w:hanging="180"/>
      </w:pPr>
    </w:lvl>
    <w:lvl w:ilvl="3" w:tplc="0426000F" w:tentative="1">
      <w:start w:val="1"/>
      <w:numFmt w:val="decimal"/>
      <w:lvlText w:val="%4."/>
      <w:lvlJc w:val="left"/>
      <w:pPr>
        <w:ind w:left="2922" w:hanging="360"/>
      </w:pPr>
    </w:lvl>
    <w:lvl w:ilvl="4" w:tplc="04260019" w:tentative="1">
      <w:start w:val="1"/>
      <w:numFmt w:val="lowerLetter"/>
      <w:lvlText w:val="%5."/>
      <w:lvlJc w:val="left"/>
      <w:pPr>
        <w:ind w:left="3642" w:hanging="360"/>
      </w:pPr>
    </w:lvl>
    <w:lvl w:ilvl="5" w:tplc="0426001B" w:tentative="1">
      <w:start w:val="1"/>
      <w:numFmt w:val="lowerRoman"/>
      <w:lvlText w:val="%6."/>
      <w:lvlJc w:val="right"/>
      <w:pPr>
        <w:ind w:left="4362" w:hanging="180"/>
      </w:pPr>
    </w:lvl>
    <w:lvl w:ilvl="6" w:tplc="0426000F" w:tentative="1">
      <w:start w:val="1"/>
      <w:numFmt w:val="decimal"/>
      <w:lvlText w:val="%7."/>
      <w:lvlJc w:val="left"/>
      <w:pPr>
        <w:ind w:left="5082" w:hanging="360"/>
      </w:pPr>
    </w:lvl>
    <w:lvl w:ilvl="7" w:tplc="04260019" w:tentative="1">
      <w:start w:val="1"/>
      <w:numFmt w:val="lowerLetter"/>
      <w:lvlText w:val="%8."/>
      <w:lvlJc w:val="left"/>
      <w:pPr>
        <w:ind w:left="5802" w:hanging="360"/>
      </w:pPr>
    </w:lvl>
    <w:lvl w:ilvl="8" w:tplc="0426001B" w:tentative="1">
      <w:start w:val="1"/>
      <w:numFmt w:val="lowerRoman"/>
      <w:lvlText w:val="%9."/>
      <w:lvlJc w:val="right"/>
      <w:pPr>
        <w:ind w:left="6522" w:hanging="180"/>
      </w:pPr>
    </w:lvl>
  </w:abstractNum>
  <w:abstractNum w:abstractNumId="1">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565"/>
    <w:rsid w:val="00013BDC"/>
    <w:rsid w:val="00023238"/>
    <w:rsid w:val="000317AE"/>
    <w:rsid w:val="00032486"/>
    <w:rsid w:val="00060778"/>
    <w:rsid w:val="00107D69"/>
    <w:rsid w:val="00137F76"/>
    <w:rsid w:val="00156290"/>
    <w:rsid w:val="0016261C"/>
    <w:rsid w:val="00177368"/>
    <w:rsid w:val="001841AF"/>
    <w:rsid w:val="001A5642"/>
    <w:rsid w:val="001C4C48"/>
    <w:rsid w:val="00276CBD"/>
    <w:rsid w:val="00293613"/>
    <w:rsid w:val="002B14EE"/>
    <w:rsid w:val="002B37A2"/>
    <w:rsid w:val="002E2DC1"/>
    <w:rsid w:val="003104B8"/>
    <w:rsid w:val="00321FF4"/>
    <w:rsid w:val="00343012"/>
    <w:rsid w:val="00386495"/>
    <w:rsid w:val="00386EBD"/>
    <w:rsid w:val="003A2EFA"/>
    <w:rsid w:val="003A55C4"/>
    <w:rsid w:val="003B08EE"/>
    <w:rsid w:val="003B35E1"/>
    <w:rsid w:val="003C41A3"/>
    <w:rsid w:val="003F3BD7"/>
    <w:rsid w:val="003F65C0"/>
    <w:rsid w:val="004043DE"/>
    <w:rsid w:val="00404FDC"/>
    <w:rsid w:val="00425467"/>
    <w:rsid w:val="00503917"/>
    <w:rsid w:val="0055360B"/>
    <w:rsid w:val="00560883"/>
    <w:rsid w:val="00560A4E"/>
    <w:rsid w:val="005A49B9"/>
    <w:rsid w:val="005D26C9"/>
    <w:rsid w:val="00617ECC"/>
    <w:rsid w:val="006205B5"/>
    <w:rsid w:val="00627FF2"/>
    <w:rsid w:val="0064007B"/>
    <w:rsid w:val="00645D77"/>
    <w:rsid w:val="006554C4"/>
    <w:rsid w:val="00694147"/>
    <w:rsid w:val="006970DB"/>
    <w:rsid w:val="006B22ED"/>
    <w:rsid w:val="006F3752"/>
    <w:rsid w:val="006F3DE8"/>
    <w:rsid w:val="00706B1D"/>
    <w:rsid w:val="00710255"/>
    <w:rsid w:val="007237A3"/>
    <w:rsid w:val="00731565"/>
    <w:rsid w:val="00754540"/>
    <w:rsid w:val="00761A17"/>
    <w:rsid w:val="007F284A"/>
    <w:rsid w:val="00802FE0"/>
    <w:rsid w:val="00824CCC"/>
    <w:rsid w:val="00825FA0"/>
    <w:rsid w:val="00835319"/>
    <w:rsid w:val="008625DA"/>
    <w:rsid w:val="00875AF3"/>
    <w:rsid w:val="008865CB"/>
    <w:rsid w:val="008A6DE4"/>
    <w:rsid w:val="008C1CA9"/>
    <w:rsid w:val="008C54AB"/>
    <w:rsid w:val="008F544D"/>
    <w:rsid w:val="00905040"/>
    <w:rsid w:val="00931420"/>
    <w:rsid w:val="00932145"/>
    <w:rsid w:val="00932593"/>
    <w:rsid w:val="009412BC"/>
    <w:rsid w:val="009835D5"/>
    <w:rsid w:val="009B3A60"/>
    <w:rsid w:val="00A22055"/>
    <w:rsid w:val="00A50C94"/>
    <w:rsid w:val="00A63E47"/>
    <w:rsid w:val="00AC52A6"/>
    <w:rsid w:val="00AD5B98"/>
    <w:rsid w:val="00AD636E"/>
    <w:rsid w:val="00AE3346"/>
    <w:rsid w:val="00B01E65"/>
    <w:rsid w:val="00B50D2A"/>
    <w:rsid w:val="00B62400"/>
    <w:rsid w:val="00B62983"/>
    <w:rsid w:val="00B8251A"/>
    <w:rsid w:val="00B93687"/>
    <w:rsid w:val="00BA2F6D"/>
    <w:rsid w:val="00BB7C12"/>
    <w:rsid w:val="00BF2786"/>
    <w:rsid w:val="00C1317C"/>
    <w:rsid w:val="00C43B2D"/>
    <w:rsid w:val="00C73B67"/>
    <w:rsid w:val="00C763D8"/>
    <w:rsid w:val="00C866E4"/>
    <w:rsid w:val="00C95BF2"/>
    <w:rsid w:val="00CB5B1A"/>
    <w:rsid w:val="00CB6AFE"/>
    <w:rsid w:val="00CB7667"/>
    <w:rsid w:val="00CD0FBA"/>
    <w:rsid w:val="00CE414E"/>
    <w:rsid w:val="00D04CF3"/>
    <w:rsid w:val="00D05DE5"/>
    <w:rsid w:val="00D1608F"/>
    <w:rsid w:val="00D21647"/>
    <w:rsid w:val="00D61147"/>
    <w:rsid w:val="00DD58BB"/>
    <w:rsid w:val="00DD63CA"/>
    <w:rsid w:val="00DE4CB4"/>
    <w:rsid w:val="00DF2687"/>
    <w:rsid w:val="00DF44F3"/>
    <w:rsid w:val="00E04EE9"/>
    <w:rsid w:val="00EA583E"/>
    <w:rsid w:val="00ED64D9"/>
    <w:rsid w:val="00EE491E"/>
    <w:rsid w:val="00F068B9"/>
    <w:rsid w:val="00F1224A"/>
    <w:rsid w:val="00F14B7A"/>
    <w:rsid w:val="00F46C17"/>
    <w:rsid w:val="00F7714F"/>
    <w:rsid w:val="00FC40A9"/>
    <w:rsid w:val="00FD0A00"/>
    <w:rsid w:val="00FD40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315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1565"/>
  </w:style>
  <w:style w:type="character" w:styleId="Lappusesnumurs">
    <w:name w:val="page number"/>
    <w:basedOn w:val="Noklusjumarindkopasfonts"/>
    <w:rsid w:val="00731565"/>
  </w:style>
  <w:style w:type="paragraph" w:styleId="Sarakstarindkopa">
    <w:name w:val="List Paragraph"/>
    <w:basedOn w:val="Parasts"/>
    <w:uiPriority w:val="34"/>
    <w:qFormat/>
    <w:rsid w:val="003C41A3"/>
    <w:pPr>
      <w:spacing w:after="0" w:line="240" w:lineRule="auto"/>
      <w:ind w:left="720"/>
    </w:pPr>
    <w:rPr>
      <w:rFonts w:ascii="Calibri" w:hAnsi="Calibri" w:cs="Times New Roman"/>
    </w:rPr>
  </w:style>
  <w:style w:type="paragraph" w:styleId="Kjene">
    <w:name w:val="footer"/>
    <w:basedOn w:val="Parasts"/>
    <w:link w:val="KjeneRakstz"/>
    <w:uiPriority w:val="99"/>
    <w:unhideWhenUsed/>
    <w:rsid w:val="00B9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3687"/>
  </w:style>
  <w:style w:type="paragraph" w:styleId="Vresteksts">
    <w:name w:val="footnote text"/>
    <w:basedOn w:val="Parasts"/>
    <w:link w:val="VrestekstsRakstz"/>
    <w:uiPriority w:val="99"/>
    <w:semiHidden/>
    <w:unhideWhenUsed/>
    <w:rsid w:val="008625DA"/>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8625DA"/>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625DA"/>
    <w:rPr>
      <w:vertAlign w:val="superscript"/>
    </w:rPr>
  </w:style>
  <w:style w:type="paragraph" w:customStyle="1" w:styleId="naisf">
    <w:name w:val="naisf"/>
    <w:basedOn w:val="Parasts"/>
    <w:rsid w:val="008625DA"/>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865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65CB"/>
    <w:rPr>
      <w:rFonts w:ascii="Tahoma" w:hAnsi="Tahoma" w:cs="Tahoma"/>
      <w:sz w:val="16"/>
      <w:szCs w:val="16"/>
    </w:rPr>
  </w:style>
  <w:style w:type="paragraph" w:styleId="Pamattekstsaratkpi">
    <w:name w:val="Body Text Indent"/>
    <w:basedOn w:val="Parasts"/>
    <w:link w:val="PamattekstsaratkpiRakstz"/>
    <w:unhideWhenUsed/>
    <w:rsid w:val="00503917"/>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503917"/>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BA2F6D"/>
    <w:rPr>
      <w:color w:val="0000FF" w:themeColor="hyperlink"/>
      <w:u w:val="single"/>
    </w:rPr>
  </w:style>
  <w:style w:type="paragraph" w:customStyle="1" w:styleId="naisnod">
    <w:name w:val="naisnod"/>
    <w:basedOn w:val="Parasts"/>
    <w:rsid w:val="00FC40A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315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31565"/>
  </w:style>
  <w:style w:type="character" w:styleId="Lappusesnumurs">
    <w:name w:val="page number"/>
    <w:basedOn w:val="Noklusjumarindkopasfonts"/>
    <w:rsid w:val="00731565"/>
  </w:style>
  <w:style w:type="paragraph" w:styleId="Sarakstarindkopa">
    <w:name w:val="List Paragraph"/>
    <w:basedOn w:val="Parasts"/>
    <w:uiPriority w:val="34"/>
    <w:qFormat/>
    <w:rsid w:val="003C41A3"/>
    <w:pPr>
      <w:spacing w:after="0" w:line="240" w:lineRule="auto"/>
      <w:ind w:left="720"/>
    </w:pPr>
    <w:rPr>
      <w:rFonts w:ascii="Calibri" w:hAnsi="Calibri" w:cs="Times New Roman"/>
    </w:rPr>
  </w:style>
  <w:style w:type="paragraph" w:styleId="Kjene">
    <w:name w:val="footer"/>
    <w:basedOn w:val="Parasts"/>
    <w:link w:val="KjeneRakstz"/>
    <w:uiPriority w:val="99"/>
    <w:unhideWhenUsed/>
    <w:rsid w:val="00B936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93687"/>
  </w:style>
  <w:style w:type="paragraph" w:styleId="Vresteksts">
    <w:name w:val="footnote text"/>
    <w:basedOn w:val="Parasts"/>
    <w:link w:val="VrestekstsRakstz"/>
    <w:uiPriority w:val="99"/>
    <w:semiHidden/>
    <w:unhideWhenUsed/>
    <w:rsid w:val="008625DA"/>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8625DA"/>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625DA"/>
    <w:rPr>
      <w:vertAlign w:val="superscript"/>
    </w:rPr>
  </w:style>
  <w:style w:type="paragraph" w:customStyle="1" w:styleId="naisf">
    <w:name w:val="naisf"/>
    <w:basedOn w:val="Parasts"/>
    <w:rsid w:val="008625DA"/>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8865C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865CB"/>
    <w:rPr>
      <w:rFonts w:ascii="Tahoma" w:hAnsi="Tahoma" w:cs="Tahoma"/>
      <w:sz w:val="16"/>
      <w:szCs w:val="16"/>
    </w:rPr>
  </w:style>
  <w:style w:type="paragraph" w:styleId="Pamattekstsaratkpi">
    <w:name w:val="Body Text Indent"/>
    <w:basedOn w:val="Parasts"/>
    <w:link w:val="PamattekstsaratkpiRakstz"/>
    <w:unhideWhenUsed/>
    <w:rsid w:val="00503917"/>
    <w:pPr>
      <w:spacing w:after="120" w:line="240" w:lineRule="auto"/>
      <w:ind w:left="283"/>
    </w:pPr>
    <w:rPr>
      <w:rFonts w:ascii="Times New Roman" w:eastAsia="Times New Roman" w:hAnsi="Times New Roman" w:cs="Times New Roman"/>
      <w:sz w:val="24"/>
      <w:szCs w:val="24"/>
      <w:lang w:val="en-GB"/>
    </w:rPr>
  </w:style>
  <w:style w:type="character" w:customStyle="1" w:styleId="PamattekstsaratkpiRakstz">
    <w:name w:val="Pamatteksts ar atkāpi Rakstz."/>
    <w:basedOn w:val="Noklusjumarindkopasfonts"/>
    <w:link w:val="Pamattekstsaratkpi"/>
    <w:rsid w:val="00503917"/>
    <w:rPr>
      <w:rFonts w:ascii="Times New Roman" w:eastAsia="Times New Roman" w:hAnsi="Times New Roman" w:cs="Times New Roman"/>
      <w:sz w:val="24"/>
      <w:szCs w:val="24"/>
      <w:lang w:val="en-GB"/>
    </w:rPr>
  </w:style>
  <w:style w:type="character" w:styleId="Hipersaite">
    <w:name w:val="Hyperlink"/>
    <w:basedOn w:val="Noklusjumarindkopasfonts"/>
    <w:uiPriority w:val="99"/>
    <w:unhideWhenUsed/>
    <w:rsid w:val="00BA2F6D"/>
    <w:rPr>
      <w:color w:val="0000FF" w:themeColor="hyperlink"/>
      <w:u w:val="single"/>
    </w:rPr>
  </w:style>
  <w:style w:type="paragraph" w:customStyle="1" w:styleId="naisnod">
    <w:name w:val="naisnod"/>
    <w:basedOn w:val="Parasts"/>
    <w:rsid w:val="00FC40A9"/>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7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3670</Words>
  <Characters>2093</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Grozījumi Ministru kabineta 2010. gada 28. septembra noteikumos Nr. 916 "Dokumentu izstrādāšanas un noformēšanas kārtība"</vt:lpstr>
      <vt:lpstr>Grozījumi Ministru kabineta 2010. gada 28. septembra noteikumos Nr. 916 "Dokumentu izstrādāšanas un noformēšanas kārtība"</vt:lpstr>
    </vt:vector>
  </TitlesOfParts>
  <Company>Tieslietu ministrija</Company>
  <LinksUpToDate>false</LinksUpToDate>
  <CharactersWithSpaces>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2010. gada 28. septembra noteikumos Nr. 916 "Dokumentu izstrādāšanas un noformēšanas kārtība"</dc:title>
  <dc:subject>MK noteikumu projekta anotācija</dc:subject>
  <dc:creator>Ērika Inkina</dc:creator>
  <dc:description>67036969, erika.inkina@tm.gov.lv</dc:description>
  <cp:lastModifiedBy>Agnese Serma</cp:lastModifiedBy>
  <cp:revision>8</cp:revision>
  <cp:lastPrinted>2017-03-02T08:02:00Z</cp:lastPrinted>
  <dcterms:created xsi:type="dcterms:W3CDTF">2017-03-08T07:37:00Z</dcterms:created>
  <dcterms:modified xsi:type="dcterms:W3CDTF">2017-03-08T08:33:00Z</dcterms:modified>
</cp:coreProperties>
</file>