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BF" w:rsidRDefault="00394159" w:rsidP="005A735D">
      <w:pPr>
        <w:spacing w:after="0" w:line="240" w:lineRule="auto"/>
        <w:jc w:val="center"/>
        <w:rPr>
          <w:rFonts w:ascii="Times New Roman" w:hAnsi="Times New Roman" w:cs="Times New Roman"/>
          <w:b/>
          <w:sz w:val="24"/>
          <w:szCs w:val="24"/>
        </w:rPr>
      </w:pPr>
      <w:r w:rsidRPr="005A735D">
        <w:rPr>
          <w:rFonts w:ascii="Times New Roman" w:hAnsi="Times New Roman" w:cs="Times New Roman"/>
          <w:b/>
          <w:sz w:val="24"/>
          <w:szCs w:val="24"/>
        </w:rPr>
        <w:t>Minist</w:t>
      </w:r>
      <w:r w:rsidR="00601D39" w:rsidRPr="005A735D">
        <w:rPr>
          <w:rFonts w:ascii="Times New Roman" w:hAnsi="Times New Roman" w:cs="Times New Roman"/>
          <w:b/>
          <w:sz w:val="24"/>
          <w:szCs w:val="24"/>
        </w:rPr>
        <w:t xml:space="preserve">ru kabineta noteikumu projekta </w:t>
      </w:r>
    </w:p>
    <w:p w:rsidR="00DA596D" w:rsidRPr="005A735D" w:rsidRDefault="008C4265" w:rsidP="00113ABF">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w:t>
      </w:r>
      <w:r w:rsidRPr="008C4265">
        <w:rPr>
          <w:rFonts w:ascii="Times New Roman" w:hAnsi="Times New Roman" w:cs="Times New Roman"/>
          <w:b/>
          <w:sz w:val="24"/>
          <w:szCs w:val="24"/>
        </w:rPr>
        <w:t>Noteikumi par iemaksas par valsts nodrošinātās juridiskās palīdzības saņemšanu apmēru, tās samaksas un atmaksas kārtību</w:t>
      </w:r>
      <w:r>
        <w:rPr>
          <w:rFonts w:ascii="Times New Roman" w:hAnsi="Times New Roman" w:cs="Times New Roman"/>
          <w:b/>
          <w:sz w:val="24"/>
          <w:szCs w:val="24"/>
        </w:rPr>
        <w:t>”</w:t>
      </w:r>
      <w:r w:rsidR="004D15A9" w:rsidRPr="005A735D">
        <w:rPr>
          <w:rFonts w:ascii="Times New Roman" w:eastAsia="Times New Roman" w:hAnsi="Times New Roman" w:cs="Times New Roman"/>
          <w:b/>
          <w:bCs/>
          <w:sz w:val="24"/>
          <w:szCs w:val="24"/>
          <w:lang w:eastAsia="lv-LV"/>
        </w:rPr>
        <w:t xml:space="preserve"> sākotnējās ietekmes novērtējuma ziņojums (anotācija)</w:t>
      </w:r>
    </w:p>
    <w:p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rsidTr="00685336">
        <w:tc>
          <w:tcPr>
            <w:tcW w:w="2000" w:type="pct"/>
            <w:tcBorders>
              <w:top w:val="outset" w:sz="6" w:space="0" w:color="414142"/>
              <w:left w:val="outset" w:sz="6" w:space="0" w:color="414142"/>
              <w:bottom w:val="outset" w:sz="6" w:space="0" w:color="414142"/>
              <w:right w:val="outset" w:sz="6" w:space="0" w:color="414142"/>
            </w:tcBorders>
            <w:hideMark/>
          </w:tcPr>
          <w:p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rsidR="005F128E" w:rsidRDefault="00CF5440" w:rsidP="005F128E">
            <w:pPr>
              <w:spacing w:after="0" w:line="240" w:lineRule="auto"/>
              <w:ind w:firstLine="310"/>
              <w:jc w:val="both"/>
              <w:rPr>
                <w:rFonts w:ascii="Times New Roman" w:eastAsia="Times New Roman" w:hAnsi="Times New Roman" w:cs="Times New Roman"/>
                <w:sz w:val="24"/>
                <w:szCs w:val="24"/>
                <w:lang w:eastAsia="lv-LV"/>
              </w:rPr>
            </w:pPr>
            <w:bookmarkStart w:id="0" w:name="_Hlk504569437"/>
            <w:r w:rsidRPr="005A735D">
              <w:rPr>
                <w:rFonts w:ascii="Times New Roman" w:eastAsia="Times New Roman" w:hAnsi="Times New Roman" w:cs="Times New Roman"/>
                <w:sz w:val="24"/>
                <w:szCs w:val="24"/>
                <w:lang w:eastAsia="lv-LV"/>
              </w:rPr>
              <w:t xml:space="preserve">Noteikumu projekta mērķis ir </w:t>
            </w:r>
            <w:r w:rsidR="00946E87">
              <w:rPr>
                <w:rFonts w:ascii="Times New Roman" w:eastAsia="Times New Roman" w:hAnsi="Times New Roman" w:cs="Times New Roman"/>
                <w:sz w:val="24"/>
                <w:szCs w:val="24"/>
                <w:lang w:eastAsia="lv-LV"/>
              </w:rPr>
              <w:t>noteikt iemaksas par valsts nodrošinātās juridiskās palīdzības saņemšanu apmēru, kā arī noteikt šīs iemaksas samaksas un atmaksas kārtību un nosacījumus</w:t>
            </w:r>
            <w:r w:rsidR="005F128E">
              <w:rPr>
                <w:rFonts w:ascii="Times New Roman" w:eastAsia="Times New Roman" w:hAnsi="Times New Roman" w:cs="Times New Roman"/>
                <w:sz w:val="24"/>
                <w:szCs w:val="24"/>
                <w:lang w:eastAsia="lv-LV"/>
              </w:rPr>
              <w:t>.</w:t>
            </w:r>
          </w:p>
          <w:p w:rsidR="00CF5440" w:rsidRPr="005A735D" w:rsidRDefault="00CF5440" w:rsidP="005F128E">
            <w:pPr>
              <w:spacing w:after="0" w:line="240" w:lineRule="auto"/>
              <w:ind w:firstLine="310"/>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projekta plānotais spēkā stāšanās laiks – 201</w:t>
            </w:r>
            <w:r w:rsidR="005F128E">
              <w:rPr>
                <w:rFonts w:ascii="Times New Roman" w:eastAsia="Times New Roman" w:hAnsi="Times New Roman" w:cs="Times New Roman"/>
                <w:sz w:val="24"/>
                <w:szCs w:val="24"/>
                <w:lang w:eastAsia="lv-LV"/>
              </w:rPr>
              <w:t>9</w:t>
            </w:r>
            <w:r w:rsidRPr="005A735D">
              <w:rPr>
                <w:rFonts w:ascii="Times New Roman" w:eastAsia="Times New Roman" w:hAnsi="Times New Roman" w:cs="Times New Roman"/>
                <w:sz w:val="24"/>
                <w:szCs w:val="24"/>
                <w:lang w:eastAsia="lv-LV"/>
              </w:rPr>
              <w:t>.</w:t>
            </w:r>
            <w:r w:rsidR="00C0628F" w:rsidRPr="0003172F">
              <w:rPr>
                <w:rFonts w:ascii="Times New Roman" w:hAnsi="Times New Roman" w:cs="Times New Roman"/>
                <w:sz w:val="24"/>
                <w:szCs w:val="24"/>
              </w:rPr>
              <w:t> </w:t>
            </w:r>
            <w:r w:rsidRPr="005A735D">
              <w:rPr>
                <w:rFonts w:ascii="Times New Roman" w:eastAsia="Times New Roman" w:hAnsi="Times New Roman" w:cs="Times New Roman"/>
                <w:sz w:val="24"/>
                <w:szCs w:val="24"/>
                <w:lang w:eastAsia="lv-LV"/>
              </w:rPr>
              <w:t>gada 1.</w:t>
            </w:r>
            <w:r w:rsidR="00C0628F" w:rsidRPr="0003172F">
              <w:rPr>
                <w:rFonts w:ascii="Times New Roman" w:hAnsi="Times New Roman" w:cs="Times New Roman"/>
                <w:sz w:val="24"/>
                <w:szCs w:val="24"/>
              </w:rPr>
              <w:t> </w:t>
            </w:r>
            <w:r w:rsidR="005F128E">
              <w:rPr>
                <w:rFonts w:ascii="Times New Roman" w:hAnsi="Times New Roman" w:cs="Times New Roman"/>
                <w:sz w:val="24"/>
                <w:szCs w:val="24"/>
              </w:rPr>
              <w:t>janvāris</w:t>
            </w:r>
            <w:r w:rsidRPr="005A735D">
              <w:rPr>
                <w:rFonts w:ascii="Times New Roman" w:eastAsia="Times New Roman" w:hAnsi="Times New Roman" w:cs="Times New Roman"/>
                <w:sz w:val="24"/>
                <w:szCs w:val="24"/>
                <w:lang w:eastAsia="lv-LV"/>
              </w:rPr>
              <w:t>.</w:t>
            </w:r>
            <w:bookmarkEnd w:id="0"/>
          </w:p>
        </w:tc>
      </w:tr>
    </w:tbl>
    <w:p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EE57C0" w:rsidRPr="005D70C7" w:rsidRDefault="00D61704" w:rsidP="005D70C7">
            <w:pPr>
              <w:spacing w:after="0" w:line="240" w:lineRule="auto"/>
              <w:ind w:firstLine="254"/>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2018.gada</w:t>
            </w:r>
            <w:proofErr w:type="gramEnd"/>
            <w:r>
              <w:rPr>
                <w:rFonts w:ascii="Times New Roman" w:eastAsia="Times New Roman" w:hAnsi="Times New Roman" w:cs="Times New Roman"/>
                <w:sz w:val="24"/>
                <w:szCs w:val="24"/>
                <w:lang w:eastAsia="lv-LV"/>
              </w:rPr>
              <w:t xml:space="preserve"> 6.septembrī Saeimā pieņemts likums “Grozījumi Valsts nodrošinātās juridiskās palīdzības likumā” (publicēts Latvijas Vēstnesī Nr.188 2018.gada 21.septembrī), kas stāsies spēkā 2019.gada 1.janvārī</w:t>
            </w:r>
            <w:r w:rsidR="00845E23">
              <w:rPr>
                <w:rFonts w:ascii="Times New Roman" w:eastAsia="Times New Roman" w:hAnsi="Times New Roman" w:cs="Times New Roman"/>
                <w:sz w:val="24"/>
                <w:szCs w:val="24"/>
                <w:lang w:eastAsia="lv-LV"/>
              </w:rPr>
              <w:t xml:space="preserve"> (turpmāk – Likums)</w:t>
            </w:r>
            <w:r>
              <w:rPr>
                <w:rFonts w:ascii="Times New Roman" w:eastAsia="Times New Roman" w:hAnsi="Times New Roman" w:cs="Times New Roman"/>
                <w:sz w:val="24"/>
                <w:szCs w:val="24"/>
                <w:lang w:eastAsia="lv-LV"/>
              </w:rPr>
              <w:t>.</w:t>
            </w:r>
            <w:r w:rsidR="00BA52C9">
              <w:rPr>
                <w:rFonts w:ascii="Times New Roman" w:eastAsia="Times New Roman" w:hAnsi="Times New Roman" w:cs="Times New Roman"/>
                <w:sz w:val="24"/>
                <w:szCs w:val="24"/>
                <w:lang w:eastAsia="lv-LV"/>
              </w:rPr>
              <w:t xml:space="preserve"> </w:t>
            </w:r>
            <w:r w:rsidR="00845E23">
              <w:rPr>
                <w:rFonts w:ascii="Times New Roman" w:eastAsia="Times New Roman" w:hAnsi="Times New Roman" w:cs="Times New Roman"/>
                <w:sz w:val="24"/>
                <w:szCs w:val="24"/>
                <w:lang w:eastAsia="lv-LV"/>
              </w:rPr>
              <w:t>L</w:t>
            </w:r>
            <w:r w:rsidR="00BA52C9">
              <w:rPr>
                <w:rFonts w:ascii="Times New Roman" w:eastAsia="Times New Roman" w:hAnsi="Times New Roman" w:cs="Times New Roman"/>
                <w:sz w:val="24"/>
                <w:szCs w:val="24"/>
                <w:lang w:eastAsia="lv-LV"/>
              </w:rPr>
              <w:t xml:space="preserve">ikuma </w:t>
            </w:r>
            <w:proofErr w:type="gramStart"/>
            <w:r w:rsidR="00BA52C9">
              <w:rPr>
                <w:rFonts w:ascii="Times New Roman" w:eastAsia="Times New Roman" w:hAnsi="Times New Roman" w:cs="Times New Roman"/>
                <w:sz w:val="24"/>
                <w:szCs w:val="24"/>
                <w:lang w:eastAsia="lv-LV"/>
              </w:rPr>
              <w:t>2.pants</w:t>
            </w:r>
            <w:proofErr w:type="gramEnd"/>
            <w:r w:rsidR="00BA52C9">
              <w:rPr>
                <w:rFonts w:ascii="Times New Roman" w:eastAsia="Times New Roman" w:hAnsi="Times New Roman" w:cs="Times New Roman"/>
                <w:sz w:val="24"/>
                <w:szCs w:val="24"/>
                <w:lang w:eastAsia="lv-LV"/>
              </w:rPr>
              <w:t xml:space="preserve"> paredz Ministru kabineta</w:t>
            </w:r>
            <w:r w:rsidR="00A81010">
              <w:rPr>
                <w:rFonts w:ascii="Times New Roman" w:eastAsia="Times New Roman" w:hAnsi="Times New Roman" w:cs="Times New Roman"/>
                <w:sz w:val="24"/>
                <w:szCs w:val="24"/>
                <w:lang w:eastAsia="lv-LV"/>
              </w:rPr>
              <w:t>m</w:t>
            </w:r>
            <w:r w:rsidR="00BA52C9">
              <w:rPr>
                <w:rFonts w:ascii="Times New Roman" w:eastAsia="Times New Roman" w:hAnsi="Times New Roman" w:cs="Times New Roman"/>
                <w:sz w:val="24"/>
                <w:szCs w:val="24"/>
                <w:lang w:eastAsia="lv-LV"/>
              </w:rPr>
              <w:t xml:space="preserve"> deleģējumu izdot jaunus Ministru kabineta noteikumus, kas noteic iemaksas par juridiskās palīdzības saņemšanu apmēru un tās samaksas un atmaksas kārtību.</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rsidR="00DB4230"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DB4230" w:rsidRPr="00DB4230"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DB4230" w:rsidRPr="00144D69" w:rsidRDefault="00DB4230" w:rsidP="00726384">
            <w:pPr>
              <w:rPr>
                <w:rFonts w:ascii="Times New Roman" w:eastAsia="Times New Roman" w:hAnsi="Times New Roman" w:cs="Times New Roman"/>
                <w:sz w:val="24"/>
                <w:szCs w:val="24"/>
                <w:lang w:eastAsia="lv-LV"/>
              </w:rPr>
            </w:pPr>
          </w:p>
          <w:p w:rsidR="00DB4230" w:rsidRPr="00A826DE" w:rsidRDefault="00DB4230" w:rsidP="00726384">
            <w:pPr>
              <w:rPr>
                <w:rFonts w:ascii="Times New Roman" w:eastAsia="Times New Roman" w:hAnsi="Times New Roman" w:cs="Times New Roman"/>
                <w:sz w:val="24"/>
                <w:szCs w:val="24"/>
                <w:lang w:eastAsia="lv-LV"/>
              </w:rPr>
            </w:pPr>
          </w:p>
          <w:p w:rsidR="00DB4230" w:rsidRPr="00DB4230" w:rsidRDefault="00DB4230" w:rsidP="00726384">
            <w:pPr>
              <w:rPr>
                <w:rFonts w:ascii="Times New Roman" w:eastAsia="Times New Roman" w:hAnsi="Times New Roman" w:cs="Times New Roman"/>
                <w:sz w:val="24"/>
                <w:szCs w:val="24"/>
                <w:lang w:eastAsia="lv-LV"/>
              </w:rPr>
            </w:pPr>
          </w:p>
          <w:p w:rsidR="004D15A9" w:rsidRPr="00DB4230" w:rsidRDefault="004D15A9" w:rsidP="00726384">
            <w:pPr>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hideMark/>
          </w:tcPr>
          <w:p w:rsidR="00C344E2" w:rsidRDefault="00845E23" w:rsidP="00935BA6">
            <w:pPr>
              <w:pStyle w:val="Sarakstarindkopa"/>
              <w:ind w:left="0"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Likum</w:t>
            </w:r>
            <w:r w:rsidR="00412164">
              <w:rPr>
                <w:rFonts w:ascii="Times New Roman" w:eastAsia="Times New Roman" w:hAnsi="Times New Roman"/>
                <w:bCs/>
                <w:sz w:val="24"/>
                <w:szCs w:val="24"/>
                <w:lang w:eastAsia="lv-LV"/>
              </w:rPr>
              <w:t>s izstrādāts un pieņemts, l</w:t>
            </w:r>
            <w:r w:rsidRPr="00845E23">
              <w:rPr>
                <w:rFonts w:ascii="Times New Roman" w:eastAsia="Times New Roman" w:hAnsi="Times New Roman"/>
                <w:bCs/>
                <w:sz w:val="24"/>
                <w:szCs w:val="24"/>
                <w:lang w:eastAsia="lv-LV"/>
              </w:rPr>
              <w:t>ai sekmīgi ieviestu advokātu procesu atsevišķās civillietu kategorijās jau no pirmās instances tiesas</w:t>
            </w:r>
            <w:proofErr w:type="gramStart"/>
            <w:r w:rsidR="00412164">
              <w:rPr>
                <w:rFonts w:ascii="Times New Roman" w:eastAsia="Times New Roman" w:hAnsi="Times New Roman"/>
                <w:bCs/>
                <w:sz w:val="24"/>
                <w:szCs w:val="24"/>
                <w:lang w:eastAsia="lv-LV"/>
              </w:rPr>
              <w:t xml:space="preserve"> un</w:t>
            </w:r>
            <w:proofErr w:type="gramEnd"/>
            <w:r w:rsidR="00412164">
              <w:rPr>
                <w:rFonts w:ascii="Times New Roman" w:eastAsia="Times New Roman" w:hAnsi="Times New Roman"/>
                <w:bCs/>
                <w:sz w:val="24"/>
                <w:szCs w:val="24"/>
                <w:lang w:eastAsia="lv-LV"/>
              </w:rPr>
              <w:t xml:space="preserve"> </w:t>
            </w:r>
            <w:r w:rsidRPr="00845E23">
              <w:rPr>
                <w:rFonts w:ascii="Times New Roman" w:eastAsia="Times New Roman" w:hAnsi="Times New Roman"/>
                <w:bCs/>
                <w:sz w:val="24"/>
                <w:szCs w:val="24"/>
                <w:lang w:eastAsia="lv-LV"/>
              </w:rPr>
              <w:t>paplašin</w:t>
            </w:r>
            <w:r w:rsidR="00412164">
              <w:rPr>
                <w:rFonts w:ascii="Times New Roman" w:eastAsia="Times New Roman" w:hAnsi="Times New Roman"/>
                <w:bCs/>
                <w:sz w:val="24"/>
                <w:szCs w:val="24"/>
                <w:lang w:eastAsia="lv-LV"/>
              </w:rPr>
              <w:t>a</w:t>
            </w:r>
            <w:r w:rsidRPr="00845E23">
              <w:rPr>
                <w:rFonts w:ascii="Times New Roman" w:eastAsia="Times New Roman" w:hAnsi="Times New Roman"/>
                <w:bCs/>
                <w:sz w:val="24"/>
                <w:szCs w:val="24"/>
                <w:lang w:eastAsia="lv-LV"/>
              </w:rPr>
              <w:t xml:space="preserve"> to subjektu lok</w:t>
            </w:r>
            <w:r w:rsidR="00412164">
              <w:rPr>
                <w:rFonts w:ascii="Times New Roman" w:eastAsia="Times New Roman" w:hAnsi="Times New Roman"/>
                <w:bCs/>
                <w:sz w:val="24"/>
                <w:szCs w:val="24"/>
                <w:lang w:eastAsia="lv-LV"/>
              </w:rPr>
              <w:t>u</w:t>
            </w:r>
            <w:r w:rsidRPr="00845E23">
              <w:rPr>
                <w:rFonts w:ascii="Times New Roman" w:eastAsia="Times New Roman" w:hAnsi="Times New Roman"/>
                <w:bCs/>
                <w:sz w:val="24"/>
                <w:szCs w:val="24"/>
                <w:lang w:eastAsia="lv-LV"/>
              </w:rPr>
              <w:t>, kas var pretendēt uz valsts nodrošināto juridisko palīdzību.</w:t>
            </w:r>
            <w:r w:rsidR="00412164">
              <w:rPr>
                <w:rFonts w:ascii="Times New Roman" w:eastAsia="Times New Roman" w:hAnsi="Times New Roman"/>
                <w:bCs/>
                <w:sz w:val="24"/>
                <w:szCs w:val="24"/>
                <w:lang w:eastAsia="lv-LV"/>
              </w:rPr>
              <w:t xml:space="preserve"> Likuma regulējums noteic difere</w:t>
            </w:r>
            <w:r w:rsidRPr="00845E23">
              <w:rPr>
                <w:rFonts w:ascii="Times New Roman" w:eastAsia="Times New Roman" w:hAnsi="Times New Roman"/>
                <w:bCs/>
                <w:sz w:val="24"/>
                <w:szCs w:val="24"/>
                <w:lang w:eastAsia="lv-LV"/>
              </w:rPr>
              <w:t>ncēt</w:t>
            </w:r>
            <w:r w:rsidR="00412164">
              <w:rPr>
                <w:rFonts w:ascii="Times New Roman" w:eastAsia="Times New Roman" w:hAnsi="Times New Roman"/>
                <w:bCs/>
                <w:sz w:val="24"/>
                <w:szCs w:val="24"/>
                <w:lang w:eastAsia="lv-LV"/>
              </w:rPr>
              <w:t>u</w:t>
            </w:r>
            <w:r w:rsidRPr="00845E23">
              <w:rPr>
                <w:rFonts w:ascii="Times New Roman" w:eastAsia="Times New Roman" w:hAnsi="Times New Roman"/>
                <w:bCs/>
                <w:sz w:val="24"/>
                <w:szCs w:val="24"/>
                <w:lang w:eastAsia="lv-LV"/>
              </w:rPr>
              <w:t xml:space="preserve"> subjektu lok</w:t>
            </w:r>
            <w:r w:rsidR="00412164">
              <w:rPr>
                <w:rFonts w:ascii="Times New Roman" w:eastAsia="Times New Roman" w:hAnsi="Times New Roman"/>
                <w:bCs/>
                <w:sz w:val="24"/>
                <w:szCs w:val="24"/>
                <w:lang w:eastAsia="lv-LV"/>
              </w:rPr>
              <w:t>u</w:t>
            </w:r>
            <w:r w:rsidRPr="00845E23">
              <w:rPr>
                <w:rFonts w:ascii="Times New Roman" w:eastAsia="Times New Roman" w:hAnsi="Times New Roman"/>
                <w:bCs/>
                <w:sz w:val="24"/>
                <w:szCs w:val="24"/>
                <w:lang w:eastAsia="lv-LV"/>
              </w:rPr>
              <w:t>, kuri var pretendēt uz valsts garantēto juridisko palīdzību, kā arī notei</w:t>
            </w:r>
            <w:r w:rsidR="00412164">
              <w:rPr>
                <w:rFonts w:ascii="Times New Roman" w:eastAsia="Times New Roman" w:hAnsi="Times New Roman"/>
                <w:bCs/>
                <w:sz w:val="24"/>
                <w:szCs w:val="24"/>
                <w:lang w:eastAsia="lv-LV"/>
              </w:rPr>
              <w:t>c</w:t>
            </w:r>
            <w:r w:rsidRPr="00845E23">
              <w:rPr>
                <w:rFonts w:ascii="Times New Roman" w:eastAsia="Times New Roman" w:hAnsi="Times New Roman"/>
                <w:bCs/>
                <w:sz w:val="24"/>
                <w:szCs w:val="24"/>
                <w:lang w:eastAsia="lv-LV"/>
              </w:rPr>
              <w:t xml:space="preserve"> valsts nodrošinātās juridiskās palīdzības sniegšanas kārtīb</w:t>
            </w:r>
            <w:r w:rsidR="00C64372">
              <w:rPr>
                <w:rFonts w:ascii="Times New Roman" w:eastAsia="Times New Roman" w:hAnsi="Times New Roman"/>
                <w:bCs/>
                <w:sz w:val="24"/>
                <w:szCs w:val="24"/>
                <w:lang w:eastAsia="lv-LV"/>
              </w:rPr>
              <w:t>u</w:t>
            </w:r>
            <w:r w:rsidRPr="00845E23">
              <w:rPr>
                <w:rFonts w:ascii="Times New Roman" w:eastAsia="Times New Roman" w:hAnsi="Times New Roman"/>
                <w:bCs/>
                <w:sz w:val="24"/>
                <w:szCs w:val="24"/>
                <w:lang w:eastAsia="lv-LV"/>
              </w:rPr>
              <w:t xml:space="preserve"> un nosacījum</w:t>
            </w:r>
            <w:r w:rsidR="00C64372">
              <w:rPr>
                <w:rFonts w:ascii="Times New Roman" w:eastAsia="Times New Roman" w:hAnsi="Times New Roman"/>
                <w:bCs/>
                <w:sz w:val="24"/>
                <w:szCs w:val="24"/>
                <w:lang w:eastAsia="lv-LV"/>
              </w:rPr>
              <w:t>us</w:t>
            </w:r>
            <w:r w:rsidRPr="00845E23">
              <w:rPr>
                <w:rFonts w:ascii="Times New Roman" w:eastAsia="Times New Roman" w:hAnsi="Times New Roman"/>
                <w:bCs/>
                <w:sz w:val="24"/>
                <w:szCs w:val="24"/>
                <w:lang w:eastAsia="lv-LV"/>
              </w:rPr>
              <w:t xml:space="preserve"> identificētajam subjektu lokam.</w:t>
            </w:r>
            <w:r w:rsidR="00412164">
              <w:rPr>
                <w:rFonts w:ascii="Times New Roman" w:eastAsia="Times New Roman" w:hAnsi="Times New Roman"/>
                <w:bCs/>
                <w:sz w:val="24"/>
                <w:szCs w:val="24"/>
                <w:lang w:eastAsia="lv-LV"/>
              </w:rPr>
              <w:t xml:space="preserve"> Tas ir, ar Likumu noteikts, ka </w:t>
            </w:r>
            <w:r w:rsidRPr="00845E23">
              <w:rPr>
                <w:rFonts w:ascii="Times New Roman" w:eastAsia="Times New Roman" w:hAnsi="Times New Roman"/>
                <w:bCs/>
                <w:sz w:val="24"/>
                <w:szCs w:val="24"/>
                <w:lang w:eastAsia="lv-LV"/>
              </w:rPr>
              <w:t xml:space="preserve">līdzās jau esošajām personu grupām, kas ir tiesīgas saņemt valsts nodrošināto juridisko palīdzību, </w:t>
            </w:r>
            <w:r w:rsidR="00412164">
              <w:rPr>
                <w:rFonts w:ascii="Times New Roman" w:eastAsia="Times New Roman" w:hAnsi="Times New Roman"/>
                <w:bCs/>
                <w:sz w:val="24"/>
                <w:szCs w:val="24"/>
                <w:lang w:eastAsia="lv-LV"/>
              </w:rPr>
              <w:t xml:space="preserve">no </w:t>
            </w:r>
            <w:proofErr w:type="gramStart"/>
            <w:r w:rsidR="00412164">
              <w:rPr>
                <w:rFonts w:ascii="Times New Roman" w:eastAsia="Times New Roman" w:hAnsi="Times New Roman"/>
                <w:bCs/>
                <w:sz w:val="24"/>
                <w:szCs w:val="24"/>
                <w:lang w:eastAsia="lv-LV"/>
              </w:rPr>
              <w:t>2019.gada</w:t>
            </w:r>
            <w:proofErr w:type="gramEnd"/>
            <w:r w:rsidR="00412164">
              <w:rPr>
                <w:rFonts w:ascii="Times New Roman" w:eastAsia="Times New Roman" w:hAnsi="Times New Roman"/>
                <w:bCs/>
                <w:sz w:val="24"/>
                <w:szCs w:val="24"/>
                <w:lang w:eastAsia="lv-LV"/>
              </w:rPr>
              <w:t xml:space="preserve"> 1.janvāra tiks </w:t>
            </w:r>
            <w:r w:rsidRPr="00845E23">
              <w:rPr>
                <w:rFonts w:ascii="Times New Roman" w:eastAsia="Times New Roman" w:hAnsi="Times New Roman"/>
                <w:bCs/>
                <w:sz w:val="24"/>
                <w:szCs w:val="24"/>
                <w:lang w:eastAsia="lv-LV"/>
              </w:rPr>
              <w:t>ieviest</w:t>
            </w:r>
            <w:r w:rsidR="00412164">
              <w:rPr>
                <w:rFonts w:ascii="Times New Roman" w:eastAsia="Times New Roman" w:hAnsi="Times New Roman"/>
                <w:bCs/>
                <w:sz w:val="24"/>
                <w:szCs w:val="24"/>
                <w:lang w:eastAsia="lv-LV"/>
              </w:rPr>
              <w:t>a</w:t>
            </w:r>
            <w:r w:rsidRPr="00845E23">
              <w:rPr>
                <w:rFonts w:ascii="Times New Roman" w:eastAsia="Times New Roman" w:hAnsi="Times New Roman"/>
                <w:bCs/>
                <w:sz w:val="24"/>
                <w:szCs w:val="24"/>
                <w:lang w:eastAsia="lv-LV"/>
              </w:rPr>
              <w:t xml:space="preserve"> jaunu personu grup</w:t>
            </w:r>
            <w:r w:rsidR="00412164">
              <w:rPr>
                <w:rFonts w:ascii="Times New Roman" w:eastAsia="Times New Roman" w:hAnsi="Times New Roman"/>
                <w:bCs/>
                <w:sz w:val="24"/>
                <w:szCs w:val="24"/>
                <w:lang w:eastAsia="lv-LV"/>
              </w:rPr>
              <w:t>a</w:t>
            </w:r>
            <w:r w:rsidRPr="00845E23">
              <w:rPr>
                <w:rFonts w:ascii="Times New Roman" w:eastAsia="Times New Roman" w:hAnsi="Times New Roman"/>
                <w:bCs/>
                <w:sz w:val="24"/>
                <w:szCs w:val="24"/>
                <w:lang w:eastAsia="lv-LV"/>
              </w:rPr>
              <w:t xml:space="preserve"> – personas ar ienākumiem, kas nepārsniedz valstī noteiktās minimālās mēnešalgas apmēru, kā arī noteikt</w:t>
            </w:r>
            <w:r w:rsidR="00412164">
              <w:rPr>
                <w:rFonts w:ascii="Times New Roman" w:eastAsia="Times New Roman" w:hAnsi="Times New Roman"/>
                <w:bCs/>
                <w:sz w:val="24"/>
                <w:szCs w:val="24"/>
                <w:lang w:eastAsia="lv-LV"/>
              </w:rPr>
              <w:t>s</w:t>
            </w:r>
            <w:r w:rsidRPr="00845E23">
              <w:rPr>
                <w:rFonts w:ascii="Times New Roman" w:eastAsia="Times New Roman" w:hAnsi="Times New Roman"/>
                <w:bCs/>
                <w:sz w:val="24"/>
                <w:szCs w:val="24"/>
                <w:lang w:eastAsia="lv-LV"/>
              </w:rPr>
              <w:t>, ka šīs personas valsts nodrošināto juridisko palīdzību varēs saņemt samaksājot iemaksu par juridiskās palīdzības saņemšanu (līdzmaksājumu).</w:t>
            </w:r>
            <w:r w:rsidR="00774148">
              <w:rPr>
                <w:rFonts w:ascii="Times New Roman" w:eastAsia="Times New Roman" w:hAnsi="Times New Roman"/>
                <w:bCs/>
                <w:sz w:val="24"/>
                <w:szCs w:val="24"/>
                <w:lang w:eastAsia="lv-LV"/>
              </w:rPr>
              <w:t xml:space="preserve"> Tādejādi valstī tiek ieviesta daļēja juridiskā palīdzība</w:t>
            </w:r>
            <w:r w:rsidR="00126D85">
              <w:rPr>
                <w:rFonts w:ascii="Times New Roman" w:eastAsia="Times New Roman" w:hAnsi="Times New Roman"/>
                <w:bCs/>
                <w:sz w:val="24"/>
                <w:szCs w:val="24"/>
                <w:lang w:eastAsia="lv-LV"/>
              </w:rPr>
              <w:t>.</w:t>
            </w:r>
          </w:p>
          <w:p w:rsidR="00C64372" w:rsidRPr="00C64372" w:rsidRDefault="00C64372" w:rsidP="00935BA6">
            <w:pPr>
              <w:spacing w:after="0" w:line="240" w:lineRule="auto"/>
              <w:ind w:firstLine="360"/>
              <w:jc w:val="both"/>
              <w:rPr>
                <w:rFonts w:ascii="Times New Roman" w:eastAsia="Times New Roman" w:hAnsi="Times New Roman" w:cs="Times New Roman"/>
                <w:bCs/>
                <w:sz w:val="24"/>
                <w:szCs w:val="24"/>
                <w:lang w:eastAsia="lv-LV"/>
              </w:rPr>
            </w:pPr>
            <w:r>
              <w:rPr>
                <w:rFonts w:ascii="Times New Roman" w:eastAsia="Times New Roman" w:hAnsi="Times New Roman"/>
                <w:bCs/>
                <w:sz w:val="24"/>
                <w:szCs w:val="24"/>
                <w:lang w:eastAsia="lv-LV"/>
              </w:rPr>
              <w:t xml:space="preserve">Norādāms, ka šobrīd </w:t>
            </w:r>
            <w:proofErr w:type="spellStart"/>
            <w:r>
              <w:rPr>
                <w:rFonts w:ascii="Times New Roman" w:eastAsia="Times New Roman" w:hAnsi="Times New Roman"/>
                <w:bCs/>
                <w:sz w:val="24"/>
                <w:szCs w:val="24"/>
                <w:lang w:eastAsia="lv-LV"/>
              </w:rPr>
              <w:t>indentificētā</w:t>
            </w:r>
            <w:proofErr w:type="spellEnd"/>
            <w:r>
              <w:rPr>
                <w:rFonts w:ascii="Times New Roman" w:eastAsia="Times New Roman" w:hAnsi="Times New Roman"/>
                <w:bCs/>
                <w:sz w:val="24"/>
                <w:szCs w:val="24"/>
                <w:lang w:eastAsia="lv-LV"/>
              </w:rPr>
              <w:t xml:space="preserve"> personu grupa attiecas uz lietu kategorijām, kuras minētas Civilprocesa likuma 82.</w:t>
            </w:r>
            <w:r w:rsidRPr="00C64372">
              <w:rPr>
                <w:rFonts w:ascii="Times New Roman" w:eastAsia="Times New Roman" w:hAnsi="Times New Roman"/>
                <w:bCs/>
                <w:sz w:val="24"/>
                <w:szCs w:val="24"/>
                <w:vertAlign w:val="superscript"/>
                <w:lang w:eastAsia="lv-LV"/>
              </w:rPr>
              <w:t>1</w:t>
            </w:r>
            <w:r>
              <w:rPr>
                <w:rFonts w:ascii="Times New Roman" w:eastAsia="Times New Roman" w:hAnsi="Times New Roman"/>
                <w:bCs/>
                <w:sz w:val="24"/>
                <w:szCs w:val="24"/>
                <w:lang w:eastAsia="lv-LV"/>
              </w:rPr>
              <w:t xml:space="preserve"> pantā paredzētajos </w:t>
            </w:r>
            <w:r w:rsidRPr="00C64372">
              <w:rPr>
                <w:rFonts w:ascii="Times New Roman" w:eastAsia="Times New Roman" w:hAnsi="Times New Roman" w:cs="Times New Roman"/>
                <w:bCs/>
                <w:sz w:val="24"/>
                <w:szCs w:val="24"/>
                <w:lang w:eastAsia="lv-LV"/>
              </w:rPr>
              <w:t>tiesību uz pārstāvību izņēmumos. Tas ir:</w:t>
            </w:r>
          </w:p>
          <w:p w:rsidR="00C64372" w:rsidRPr="00C64372" w:rsidRDefault="00C64372" w:rsidP="00935BA6">
            <w:pPr>
              <w:pStyle w:val="Sarakstarindkopa"/>
              <w:numPr>
                <w:ilvl w:val="0"/>
                <w:numId w:val="10"/>
              </w:numPr>
              <w:tabs>
                <w:tab w:val="left" w:pos="1107"/>
              </w:tabs>
              <w:ind w:hanging="38"/>
              <w:jc w:val="both"/>
              <w:rPr>
                <w:rFonts w:ascii="Times New Roman" w:eastAsia="Times New Roman" w:hAnsi="Times New Roman"/>
                <w:bCs/>
                <w:sz w:val="24"/>
                <w:szCs w:val="24"/>
                <w:lang w:eastAsia="lv-LV"/>
              </w:rPr>
            </w:pPr>
            <w:r w:rsidRPr="00C64372">
              <w:rPr>
                <w:rFonts w:ascii="Times New Roman" w:hAnsi="Times New Roman"/>
                <w:sz w:val="24"/>
                <w:szCs w:val="24"/>
              </w:rPr>
              <w:t>lietas par dalībnieku (akcionāru) sapulces lēmumu atzīšanu par spēkā neesošu;</w:t>
            </w:r>
          </w:p>
          <w:p w:rsidR="00C64372" w:rsidRPr="00BB5368" w:rsidRDefault="00C64372" w:rsidP="00935BA6">
            <w:pPr>
              <w:pStyle w:val="Sarakstarindkopa"/>
              <w:numPr>
                <w:ilvl w:val="0"/>
                <w:numId w:val="10"/>
              </w:numPr>
              <w:tabs>
                <w:tab w:val="left" w:pos="1107"/>
              </w:tabs>
              <w:ind w:hanging="38"/>
              <w:jc w:val="both"/>
              <w:rPr>
                <w:rFonts w:ascii="Times New Roman" w:eastAsia="Times New Roman" w:hAnsi="Times New Roman"/>
                <w:bCs/>
                <w:sz w:val="24"/>
                <w:szCs w:val="24"/>
                <w:lang w:eastAsia="lv-LV"/>
              </w:rPr>
            </w:pPr>
            <w:r w:rsidRPr="00C64372">
              <w:rPr>
                <w:rFonts w:ascii="Times New Roman" w:hAnsi="Times New Roman"/>
                <w:sz w:val="24"/>
                <w:szCs w:val="24"/>
              </w:rPr>
              <w:t xml:space="preserve">lietas, kurās ir strīds, kas izriet no saistību tiesībām, un kurās prasības summa pārsniedz 150 000 </w:t>
            </w:r>
            <w:proofErr w:type="spellStart"/>
            <w:r w:rsidRPr="00C64372">
              <w:rPr>
                <w:rFonts w:ascii="Times New Roman" w:hAnsi="Times New Roman"/>
                <w:sz w:val="24"/>
                <w:szCs w:val="24"/>
              </w:rPr>
              <w:t>euro</w:t>
            </w:r>
            <w:proofErr w:type="spellEnd"/>
            <w:r w:rsidRPr="00C64372">
              <w:rPr>
                <w:rFonts w:ascii="Times New Roman" w:hAnsi="Times New Roman"/>
                <w:sz w:val="24"/>
                <w:szCs w:val="24"/>
              </w:rPr>
              <w:t>.</w:t>
            </w:r>
          </w:p>
          <w:p w:rsidR="00BB5368" w:rsidRDefault="00A15D80" w:rsidP="00935BA6">
            <w:pPr>
              <w:spacing w:after="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Noteikumu projekts “</w:t>
            </w:r>
            <w:r w:rsidRPr="00A15D80">
              <w:rPr>
                <w:rFonts w:ascii="Times New Roman" w:eastAsia="Times New Roman" w:hAnsi="Times New Roman"/>
                <w:bCs/>
                <w:sz w:val="24"/>
                <w:szCs w:val="24"/>
                <w:lang w:eastAsia="lv-LV"/>
              </w:rPr>
              <w:t>Noteikumi par iemaksas par valsts nodrošinātās juridiskās palīdzības saņemšanu apmēru, tās samaksas un atmaksas kārtību</w:t>
            </w:r>
            <w:r>
              <w:rPr>
                <w:rFonts w:ascii="Times New Roman" w:eastAsia="Times New Roman" w:hAnsi="Times New Roman"/>
                <w:bCs/>
                <w:sz w:val="24"/>
                <w:szCs w:val="24"/>
                <w:lang w:eastAsia="lv-LV"/>
              </w:rPr>
              <w:t>”</w:t>
            </w:r>
            <w:r w:rsidR="00833FA5">
              <w:rPr>
                <w:rFonts w:ascii="Times New Roman" w:eastAsia="Times New Roman" w:hAnsi="Times New Roman"/>
                <w:bCs/>
                <w:sz w:val="24"/>
                <w:szCs w:val="24"/>
                <w:lang w:eastAsia="lv-LV"/>
              </w:rPr>
              <w:t xml:space="preserve"> (turpmāk – Noteikumu projekts)</w:t>
            </w:r>
            <w:r>
              <w:rPr>
                <w:rFonts w:ascii="Times New Roman" w:eastAsia="Times New Roman" w:hAnsi="Times New Roman"/>
                <w:bCs/>
                <w:sz w:val="24"/>
                <w:szCs w:val="24"/>
                <w:lang w:eastAsia="lv-LV"/>
              </w:rPr>
              <w:t xml:space="preserve"> noteic iemaksas par valsts nodrošinātās juridiskās palīdzības saņemšanu apmēru kā ārpustiesas, tā tiesvedības procesā.</w:t>
            </w:r>
          </w:p>
          <w:p w:rsidR="00A15D80" w:rsidRDefault="00A15D80" w:rsidP="00935BA6">
            <w:pPr>
              <w:spacing w:after="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 xml:space="preserve">Iemaksas apmērs </w:t>
            </w:r>
            <w:r w:rsidR="00EF1DC9">
              <w:rPr>
                <w:rFonts w:ascii="Times New Roman" w:eastAsia="Times New Roman" w:hAnsi="Times New Roman"/>
                <w:bCs/>
                <w:sz w:val="24"/>
                <w:szCs w:val="24"/>
                <w:lang w:eastAsia="lv-LV"/>
              </w:rPr>
              <w:t xml:space="preserve">noteikts, ņemot vērā </w:t>
            </w:r>
            <w:r>
              <w:rPr>
                <w:rFonts w:ascii="Times New Roman" w:eastAsia="Times New Roman" w:hAnsi="Times New Roman"/>
                <w:bCs/>
                <w:sz w:val="24"/>
                <w:szCs w:val="24"/>
                <w:lang w:eastAsia="lv-LV"/>
              </w:rPr>
              <w:t>šā brīža vidējo izmaksu apmēru vienā valsts nodrošinātās juridiskās palīdzības lietā</w:t>
            </w:r>
            <w:r w:rsidR="00EF1DC9">
              <w:rPr>
                <w:rFonts w:ascii="Times New Roman" w:eastAsia="Times New Roman" w:hAnsi="Times New Roman"/>
                <w:bCs/>
                <w:sz w:val="24"/>
                <w:szCs w:val="24"/>
                <w:lang w:eastAsia="lv-LV"/>
              </w:rPr>
              <w:t>,</w:t>
            </w:r>
            <w:r w:rsidR="00126D85">
              <w:rPr>
                <w:rFonts w:ascii="Times New Roman" w:eastAsia="Times New Roman" w:hAnsi="Times New Roman"/>
                <w:bCs/>
                <w:sz w:val="24"/>
                <w:szCs w:val="24"/>
                <w:lang w:eastAsia="lv-LV"/>
              </w:rPr>
              <w:t xml:space="preserve"> samērojot to ar personu maksātspēju</w:t>
            </w:r>
            <w:r>
              <w:rPr>
                <w:rFonts w:ascii="Times New Roman" w:eastAsia="Times New Roman" w:hAnsi="Times New Roman"/>
                <w:bCs/>
                <w:sz w:val="24"/>
                <w:szCs w:val="24"/>
                <w:lang w:eastAsia="lv-LV"/>
              </w:rPr>
              <w:t xml:space="preserve">. </w:t>
            </w:r>
          </w:p>
          <w:p w:rsidR="00EF1DC9" w:rsidRDefault="00EF1DC9" w:rsidP="00EF1DC9">
            <w:pPr>
              <w:spacing w:after="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Norādāms, ka vienas lietas izmaksas rēķinātas ņemot vērā šobrīd spēkā esošos valsts nodrošinātās juridiskās palīdzības samaksas apmērus atbilstoši Ministru kabineta </w:t>
            </w:r>
            <w:proofErr w:type="gramStart"/>
            <w:r>
              <w:rPr>
                <w:rFonts w:ascii="Times New Roman" w:eastAsia="Times New Roman" w:hAnsi="Times New Roman"/>
                <w:bCs/>
                <w:sz w:val="24"/>
                <w:szCs w:val="24"/>
                <w:lang w:eastAsia="lv-LV"/>
              </w:rPr>
              <w:t>2009.gada</w:t>
            </w:r>
            <w:proofErr w:type="gramEnd"/>
            <w:r>
              <w:rPr>
                <w:rFonts w:ascii="Times New Roman" w:eastAsia="Times New Roman" w:hAnsi="Times New Roman"/>
                <w:bCs/>
                <w:sz w:val="24"/>
                <w:szCs w:val="24"/>
                <w:lang w:eastAsia="lv-LV"/>
              </w:rPr>
              <w:t xml:space="preserve"> 22.decembra noteikumos Nr.1493 “</w:t>
            </w:r>
            <w:r w:rsidRPr="00474553">
              <w:rPr>
                <w:rFonts w:ascii="Times New Roman" w:eastAsia="Times New Roman" w:hAnsi="Times New Roman"/>
                <w:bCs/>
                <w:sz w:val="24"/>
                <w:szCs w:val="24"/>
                <w:lang w:eastAsia="lv-LV"/>
              </w:rPr>
              <w:t>Noteikumi par valsts nodrošinātās juridiskās palīdzības apjomu, samaksas apmēru, atlīdzināmajiem izdevumiem un to izmaksas kārtību</w:t>
            </w:r>
            <w:r>
              <w:rPr>
                <w:rFonts w:ascii="Times New Roman" w:eastAsia="Times New Roman" w:hAnsi="Times New Roman"/>
                <w:bCs/>
                <w:sz w:val="24"/>
                <w:szCs w:val="24"/>
                <w:lang w:eastAsia="lv-LV"/>
              </w:rPr>
              <w:t>” noteiktajam. Vērtējot iemaksas apmēru un nosakot to 25% apmērā no vienas valsts nodrošinātās juridiskās palīdzības lietas izmaksām, konstatēts, ka tas ir adekvāts un salīdzināms iemaksas apmēra risinājums salīdzinājuma ar personu maksātspēju.</w:t>
            </w:r>
          </w:p>
          <w:p w:rsidR="007E6312" w:rsidRPr="007E6312" w:rsidRDefault="00EF1DC9" w:rsidP="00935BA6">
            <w:pPr>
              <w:spacing w:after="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Ievērojot minēto, i</w:t>
            </w:r>
            <w:r w:rsidR="007E6312">
              <w:rPr>
                <w:rFonts w:ascii="Times New Roman" w:eastAsia="Times New Roman" w:hAnsi="Times New Roman"/>
                <w:bCs/>
                <w:sz w:val="24"/>
                <w:szCs w:val="24"/>
                <w:lang w:eastAsia="lv-LV"/>
              </w:rPr>
              <w:t>emaksas</w:t>
            </w:r>
            <w:r w:rsidR="007E6312" w:rsidRPr="007E6312">
              <w:rPr>
                <w:rFonts w:ascii="Times New Roman" w:eastAsia="Times New Roman" w:hAnsi="Times New Roman"/>
                <w:bCs/>
                <w:sz w:val="24"/>
                <w:szCs w:val="24"/>
                <w:lang w:eastAsia="lv-LV"/>
              </w:rPr>
              <w:t xml:space="preserve"> apmēra ekonomiskais pamatojums: </w:t>
            </w:r>
          </w:p>
          <w:p w:rsidR="007E6312" w:rsidRPr="007E6312" w:rsidRDefault="007E6312" w:rsidP="00935BA6">
            <w:pPr>
              <w:spacing w:after="0" w:line="240" w:lineRule="auto"/>
              <w:ind w:firstLine="360"/>
              <w:jc w:val="both"/>
              <w:rPr>
                <w:rFonts w:ascii="Times New Roman" w:eastAsia="Times New Roman" w:hAnsi="Times New Roman"/>
                <w:bCs/>
                <w:sz w:val="24"/>
                <w:szCs w:val="24"/>
                <w:lang w:eastAsia="lv-LV"/>
              </w:rPr>
            </w:pPr>
            <w:r w:rsidRPr="007E6312">
              <w:rPr>
                <w:rFonts w:ascii="Times New Roman" w:eastAsia="Times New Roman" w:hAnsi="Times New Roman"/>
                <w:bCs/>
                <w:sz w:val="24"/>
                <w:szCs w:val="24"/>
                <w:lang w:eastAsia="lv-LV"/>
              </w:rPr>
              <w:t>1.</w:t>
            </w:r>
            <w:r w:rsidRPr="007E6312">
              <w:rPr>
                <w:rFonts w:ascii="Times New Roman" w:eastAsia="Times New Roman" w:hAnsi="Times New Roman"/>
                <w:bCs/>
                <w:sz w:val="24"/>
                <w:szCs w:val="24"/>
                <w:lang w:eastAsia="lv-LV"/>
              </w:rPr>
              <w:tab/>
              <w:t xml:space="preserve">ārpustiesas procesā – vidējais izmantojamais juridiskās palīdzības apjoms ir 2 juridiskās konsultācijas, prasības pieteikuma/pieteikuma sagatavošana – kopā valsts budžeta līdzekļu izmaksa ir 90 </w:t>
            </w:r>
            <w:proofErr w:type="spellStart"/>
            <w:r w:rsidRPr="007E6312">
              <w:rPr>
                <w:rFonts w:ascii="Times New Roman" w:eastAsia="Times New Roman" w:hAnsi="Times New Roman"/>
                <w:bCs/>
                <w:sz w:val="24"/>
                <w:szCs w:val="24"/>
                <w:lang w:eastAsia="lv-LV"/>
              </w:rPr>
              <w:t>euro</w:t>
            </w:r>
            <w:proofErr w:type="spellEnd"/>
            <w:r w:rsidRPr="007E6312">
              <w:rPr>
                <w:rFonts w:ascii="Times New Roman" w:eastAsia="Times New Roman" w:hAnsi="Times New Roman"/>
                <w:bCs/>
                <w:sz w:val="24"/>
                <w:szCs w:val="24"/>
                <w:lang w:eastAsia="lv-LV"/>
              </w:rPr>
              <w:t xml:space="preserve">, tātad </w:t>
            </w:r>
            <w:r w:rsidR="00474553">
              <w:rPr>
                <w:rFonts w:ascii="Times New Roman" w:eastAsia="Times New Roman" w:hAnsi="Times New Roman"/>
                <w:bCs/>
                <w:sz w:val="24"/>
                <w:szCs w:val="24"/>
                <w:lang w:eastAsia="lv-LV"/>
              </w:rPr>
              <w:t>iemaksa personām ārpustiesas procesā</w:t>
            </w:r>
            <w:r w:rsidRPr="007E6312">
              <w:rPr>
                <w:rFonts w:ascii="Times New Roman" w:eastAsia="Times New Roman" w:hAnsi="Times New Roman"/>
                <w:bCs/>
                <w:sz w:val="24"/>
                <w:szCs w:val="24"/>
                <w:lang w:eastAsia="lv-LV"/>
              </w:rPr>
              <w:t xml:space="preserve"> 25%</w:t>
            </w:r>
            <w:r w:rsidR="00833FA5">
              <w:rPr>
                <w:rFonts w:ascii="Times New Roman" w:eastAsia="Times New Roman" w:hAnsi="Times New Roman"/>
                <w:bCs/>
                <w:sz w:val="24"/>
                <w:szCs w:val="24"/>
                <w:lang w:eastAsia="lv-LV"/>
              </w:rPr>
              <w:t xml:space="preserve"> apmērā </w:t>
            </w:r>
            <w:r w:rsidRPr="007E6312">
              <w:rPr>
                <w:rFonts w:ascii="Times New Roman" w:eastAsia="Times New Roman" w:hAnsi="Times New Roman"/>
                <w:bCs/>
                <w:sz w:val="24"/>
                <w:szCs w:val="24"/>
                <w:lang w:eastAsia="lv-LV"/>
              </w:rPr>
              <w:t xml:space="preserve">noapaļojot būtu </w:t>
            </w:r>
            <w:r w:rsidR="00833FA5">
              <w:rPr>
                <w:rFonts w:ascii="Times New Roman" w:eastAsia="Times New Roman" w:hAnsi="Times New Roman"/>
                <w:bCs/>
                <w:sz w:val="24"/>
                <w:szCs w:val="24"/>
                <w:lang w:eastAsia="lv-LV"/>
              </w:rPr>
              <w:t xml:space="preserve">nosakāma </w:t>
            </w:r>
            <w:r w:rsidRPr="007E6312">
              <w:rPr>
                <w:rFonts w:ascii="Times New Roman" w:eastAsia="Times New Roman" w:hAnsi="Times New Roman"/>
                <w:bCs/>
                <w:sz w:val="24"/>
                <w:szCs w:val="24"/>
                <w:lang w:eastAsia="lv-LV"/>
              </w:rPr>
              <w:t xml:space="preserve">25 </w:t>
            </w:r>
            <w:proofErr w:type="spellStart"/>
            <w:r w:rsidRPr="007E6312">
              <w:rPr>
                <w:rFonts w:ascii="Times New Roman" w:eastAsia="Times New Roman" w:hAnsi="Times New Roman"/>
                <w:bCs/>
                <w:sz w:val="24"/>
                <w:szCs w:val="24"/>
                <w:lang w:eastAsia="lv-LV"/>
              </w:rPr>
              <w:t>euro</w:t>
            </w:r>
            <w:proofErr w:type="spellEnd"/>
            <w:r w:rsidRPr="007E6312">
              <w:rPr>
                <w:rFonts w:ascii="Times New Roman" w:eastAsia="Times New Roman" w:hAnsi="Times New Roman"/>
                <w:bCs/>
                <w:sz w:val="24"/>
                <w:szCs w:val="24"/>
                <w:lang w:eastAsia="lv-LV"/>
              </w:rPr>
              <w:t>;</w:t>
            </w:r>
          </w:p>
          <w:p w:rsidR="007E6312" w:rsidRDefault="007E6312" w:rsidP="00935BA6">
            <w:pPr>
              <w:spacing w:after="0" w:line="240" w:lineRule="auto"/>
              <w:ind w:firstLine="360"/>
              <w:jc w:val="both"/>
              <w:rPr>
                <w:rFonts w:ascii="Times New Roman" w:eastAsia="Times New Roman" w:hAnsi="Times New Roman"/>
                <w:bCs/>
                <w:sz w:val="24"/>
                <w:szCs w:val="24"/>
                <w:lang w:eastAsia="lv-LV"/>
              </w:rPr>
            </w:pPr>
            <w:r w:rsidRPr="007E6312">
              <w:rPr>
                <w:rFonts w:ascii="Times New Roman" w:eastAsia="Times New Roman" w:hAnsi="Times New Roman"/>
                <w:bCs/>
                <w:sz w:val="24"/>
                <w:szCs w:val="24"/>
                <w:lang w:eastAsia="lv-LV"/>
              </w:rPr>
              <w:t>2.</w:t>
            </w:r>
            <w:r w:rsidRPr="007E6312">
              <w:rPr>
                <w:rFonts w:ascii="Times New Roman" w:eastAsia="Times New Roman" w:hAnsi="Times New Roman"/>
                <w:bCs/>
                <w:sz w:val="24"/>
                <w:szCs w:val="24"/>
                <w:lang w:eastAsia="lv-LV"/>
              </w:rPr>
              <w:tab/>
              <w:t>par juridisko palīdzību tiesvedībā – vidējais izmantojamais juridiskās palīdzības apjoms ir 3 juridiskās konsultācijas, 2 procesuālo dokumentu (papildinājumi, paskaidrojumi un tml., apelācijas sūdzība) sagatavošana, pārstāvība tiesas sēdē 3 stundas, iepazīšanās ar 1 lietas materiālu sējumu</w:t>
            </w:r>
            <w:r w:rsidR="00474553">
              <w:rPr>
                <w:rFonts w:ascii="Times New Roman" w:eastAsia="Times New Roman" w:hAnsi="Times New Roman"/>
                <w:bCs/>
                <w:sz w:val="24"/>
                <w:szCs w:val="24"/>
                <w:lang w:eastAsia="lv-LV"/>
              </w:rPr>
              <w:t>. Norādāms, ka</w:t>
            </w:r>
            <w:r w:rsidRPr="007E6312">
              <w:rPr>
                <w:rFonts w:ascii="Times New Roman" w:eastAsia="Times New Roman" w:hAnsi="Times New Roman"/>
                <w:bCs/>
                <w:sz w:val="24"/>
                <w:szCs w:val="24"/>
                <w:lang w:eastAsia="lv-LV"/>
              </w:rPr>
              <w:t xml:space="preserve"> šis apjoms ir ļoti svārstīgs, kas ir atkarīgs no lietas procesuālās kārtības (rakstveida, mutvārdu process), katras lietas būtības un sarežģītības pakāpes </w:t>
            </w:r>
            <w:r w:rsidR="00474553">
              <w:rPr>
                <w:rFonts w:ascii="Times New Roman" w:eastAsia="Times New Roman" w:hAnsi="Times New Roman"/>
                <w:bCs/>
                <w:sz w:val="24"/>
                <w:szCs w:val="24"/>
                <w:lang w:eastAsia="lv-LV"/>
              </w:rPr>
              <w:t>– tomēr</w:t>
            </w:r>
            <w:r w:rsidRPr="007E6312">
              <w:rPr>
                <w:rFonts w:ascii="Times New Roman" w:eastAsia="Times New Roman" w:hAnsi="Times New Roman"/>
                <w:bCs/>
                <w:sz w:val="24"/>
                <w:szCs w:val="24"/>
                <w:lang w:eastAsia="lv-LV"/>
              </w:rPr>
              <w:t xml:space="preserve"> </w:t>
            </w:r>
            <w:r w:rsidR="00474553">
              <w:rPr>
                <w:rFonts w:ascii="Times New Roman" w:eastAsia="Times New Roman" w:hAnsi="Times New Roman"/>
                <w:bCs/>
                <w:sz w:val="24"/>
                <w:szCs w:val="24"/>
                <w:lang w:eastAsia="lv-LV"/>
              </w:rPr>
              <w:t xml:space="preserve">vidēji </w:t>
            </w:r>
            <w:r w:rsidRPr="007E6312">
              <w:rPr>
                <w:rFonts w:ascii="Times New Roman" w:eastAsia="Times New Roman" w:hAnsi="Times New Roman"/>
                <w:bCs/>
                <w:sz w:val="24"/>
                <w:szCs w:val="24"/>
                <w:lang w:eastAsia="lv-LV"/>
              </w:rPr>
              <w:t xml:space="preserve">kopā valsts budžeta līdzekļu izmaksa ir </w:t>
            </w:r>
            <w:r w:rsidR="00474553">
              <w:rPr>
                <w:rFonts w:ascii="Times New Roman" w:eastAsia="Times New Roman" w:hAnsi="Times New Roman"/>
                <w:bCs/>
                <w:sz w:val="24"/>
                <w:szCs w:val="24"/>
                <w:lang w:eastAsia="lv-LV"/>
              </w:rPr>
              <w:t xml:space="preserve">tiesvedībā ir </w:t>
            </w:r>
            <w:r w:rsidRPr="007E6312">
              <w:rPr>
                <w:rFonts w:ascii="Times New Roman" w:eastAsia="Times New Roman" w:hAnsi="Times New Roman"/>
                <w:bCs/>
                <w:sz w:val="24"/>
                <w:szCs w:val="24"/>
                <w:lang w:eastAsia="lv-LV"/>
              </w:rPr>
              <w:t xml:space="preserve">290 </w:t>
            </w:r>
            <w:proofErr w:type="spellStart"/>
            <w:r w:rsidRPr="007E6312">
              <w:rPr>
                <w:rFonts w:ascii="Times New Roman" w:eastAsia="Times New Roman" w:hAnsi="Times New Roman"/>
                <w:bCs/>
                <w:sz w:val="24"/>
                <w:szCs w:val="24"/>
                <w:lang w:eastAsia="lv-LV"/>
              </w:rPr>
              <w:t>euro</w:t>
            </w:r>
            <w:proofErr w:type="spellEnd"/>
            <w:r w:rsidRPr="007E6312">
              <w:rPr>
                <w:rFonts w:ascii="Times New Roman" w:eastAsia="Times New Roman" w:hAnsi="Times New Roman"/>
                <w:bCs/>
                <w:sz w:val="24"/>
                <w:szCs w:val="24"/>
                <w:lang w:eastAsia="lv-LV"/>
              </w:rPr>
              <w:t xml:space="preserve">, tātad </w:t>
            </w:r>
            <w:r w:rsidR="00474553">
              <w:rPr>
                <w:rFonts w:ascii="Times New Roman" w:eastAsia="Times New Roman" w:hAnsi="Times New Roman"/>
                <w:bCs/>
                <w:sz w:val="24"/>
                <w:szCs w:val="24"/>
                <w:lang w:eastAsia="lv-LV"/>
              </w:rPr>
              <w:t>iemaksa personām tiesvedības procesā</w:t>
            </w:r>
            <w:r w:rsidRPr="007E6312">
              <w:rPr>
                <w:rFonts w:ascii="Times New Roman" w:eastAsia="Times New Roman" w:hAnsi="Times New Roman"/>
                <w:bCs/>
                <w:sz w:val="24"/>
                <w:szCs w:val="24"/>
                <w:lang w:eastAsia="lv-LV"/>
              </w:rPr>
              <w:t xml:space="preserve"> 25%</w:t>
            </w:r>
            <w:r w:rsidR="00833FA5">
              <w:rPr>
                <w:rFonts w:ascii="Times New Roman" w:eastAsia="Times New Roman" w:hAnsi="Times New Roman"/>
                <w:bCs/>
                <w:sz w:val="24"/>
                <w:szCs w:val="24"/>
                <w:lang w:eastAsia="lv-LV"/>
              </w:rPr>
              <w:t xml:space="preserve"> apmērā noapaļojot</w:t>
            </w:r>
            <w:r w:rsidRPr="007E6312">
              <w:rPr>
                <w:rFonts w:ascii="Times New Roman" w:eastAsia="Times New Roman" w:hAnsi="Times New Roman"/>
                <w:bCs/>
                <w:sz w:val="24"/>
                <w:szCs w:val="24"/>
                <w:lang w:eastAsia="lv-LV"/>
              </w:rPr>
              <w:t xml:space="preserve"> būtu</w:t>
            </w:r>
            <w:r w:rsidR="00833FA5">
              <w:rPr>
                <w:rFonts w:ascii="Times New Roman" w:eastAsia="Times New Roman" w:hAnsi="Times New Roman"/>
                <w:bCs/>
                <w:sz w:val="24"/>
                <w:szCs w:val="24"/>
                <w:lang w:eastAsia="lv-LV"/>
              </w:rPr>
              <w:t xml:space="preserve"> nosakāma</w:t>
            </w:r>
            <w:r w:rsidRPr="007E6312">
              <w:rPr>
                <w:rFonts w:ascii="Times New Roman" w:eastAsia="Times New Roman" w:hAnsi="Times New Roman"/>
                <w:bCs/>
                <w:sz w:val="24"/>
                <w:szCs w:val="24"/>
                <w:lang w:eastAsia="lv-LV"/>
              </w:rPr>
              <w:t xml:space="preserve"> 75 </w:t>
            </w:r>
            <w:proofErr w:type="spellStart"/>
            <w:r w:rsidRPr="007E6312">
              <w:rPr>
                <w:rFonts w:ascii="Times New Roman" w:eastAsia="Times New Roman" w:hAnsi="Times New Roman"/>
                <w:bCs/>
                <w:sz w:val="24"/>
                <w:szCs w:val="24"/>
                <w:lang w:eastAsia="lv-LV"/>
              </w:rPr>
              <w:t>euro</w:t>
            </w:r>
            <w:proofErr w:type="spellEnd"/>
            <w:r w:rsidR="00474553">
              <w:rPr>
                <w:rFonts w:ascii="Times New Roman" w:eastAsia="Times New Roman" w:hAnsi="Times New Roman"/>
                <w:bCs/>
                <w:sz w:val="24"/>
                <w:szCs w:val="24"/>
                <w:lang w:eastAsia="lv-LV"/>
              </w:rPr>
              <w:t>.</w:t>
            </w:r>
          </w:p>
          <w:p w:rsidR="00085532" w:rsidRDefault="00085532" w:rsidP="00935BA6">
            <w:pPr>
              <w:spacing w:after="0" w:line="240" w:lineRule="auto"/>
              <w:ind w:firstLine="360"/>
              <w:jc w:val="both"/>
              <w:rPr>
                <w:rFonts w:ascii="Times New Roman" w:eastAsia="Times New Roman" w:hAnsi="Times New Roman"/>
                <w:bCs/>
                <w:sz w:val="24"/>
                <w:szCs w:val="24"/>
                <w:lang w:eastAsia="lv-LV"/>
              </w:rPr>
            </w:pPr>
            <w:bookmarkStart w:id="1" w:name="_GoBack"/>
            <w:bookmarkEnd w:id="1"/>
            <w:r w:rsidRPr="00085532">
              <w:rPr>
                <w:rFonts w:ascii="Times New Roman" w:eastAsia="Times New Roman" w:hAnsi="Times New Roman"/>
                <w:bCs/>
                <w:sz w:val="24"/>
                <w:szCs w:val="24"/>
                <w:lang w:eastAsia="lv-LV"/>
              </w:rPr>
              <w:t xml:space="preserve">Ievērojot to, ka valsts nodrošinātās juridiskās palīdzības sistēma ir valsts sniegtais pakalpojums, tātad publisko tiesību jomā, to, ka personu atbilstību pakalpojuma saņemšanai vērtēs Juridiskās palīdzības administrācija, īstenojot administratīvo procesu, mazinot risku no pakalpojuma sniedzēju puses manipulēt ar personu </w:t>
            </w:r>
            <w:r>
              <w:rPr>
                <w:rFonts w:ascii="Times New Roman" w:eastAsia="Times New Roman" w:hAnsi="Times New Roman"/>
                <w:bCs/>
                <w:sz w:val="24"/>
                <w:szCs w:val="24"/>
                <w:lang w:eastAsia="lv-LV"/>
              </w:rPr>
              <w:t>iemaksu apmēru</w:t>
            </w:r>
            <w:r w:rsidR="003641EC">
              <w:rPr>
                <w:rFonts w:ascii="Times New Roman" w:eastAsia="Times New Roman" w:hAnsi="Times New Roman"/>
                <w:bCs/>
                <w:sz w:val="24"/>
                <w:szCs w:val="24"/>
                <w:lang w:eastAsia="lv-LV"/>
              </w:rPr>
              <w:t xml:space="preserve"> un</w:t>
            </w:r>
            <w:r w:rsidRPr="00085532">
              <w:rPr>
                <w:rFonts w:ascii="Times New Roman" w:eastAsia="Times New Roman" w:hAnsi="Times New Roman"/>
                <w:bCs/>
                <w:sz w:val="24"/>
                <w:szCs w:val="24"/>
                <w:lang w:eastAsia="lv-LV"/>
              </w:rPr>
              <w:t xml:space="preserve"> iepazīstoties ar ārvalstu praksi, secināms, ka </w:t>
            </w:r>
            <w:r>
              <w:rPr>
                <w:rFonts w:ascii="Times New Roman" w:eastAsia="Times New Roman" w:hAnsi="Times New Roman"/>
                <w:bCs/>
                <w:sz w:val="24"/>
                <w:szCs w:val="24"/>
                <w:lang w:eastAsia="lv-LV"/>
              </w:rPr>
              <w:t>iemaksas</w:t>
            </w:r>
            <w:r w:rsidRPr="00085532">
              <w:rPr>
                <w:rFonts w:ascii="Times New Roman" w:eastAsia="Times New Roman" w:hAnsi="Times New Roman"/>
                <w:bCs/>
                <w:sz w:val="24"/>
                <w:szCs w:val="24"/>
                <w:lang w:eastAsia="lv-LV"/>
              </w:rPr>
              <w:t xml:space="preserve"> administrēšana </w:t>
            </w:r>
            <w:r>
              <w:rPr>
                <w:rFonts w:ascii="Times New Roman" w:eastAsia="Times New Roman" w:hAnsi="Times New Roman"/>
                <w:bCs/>
                <w:sz w:val="24"/>
                <w:szCs w:val="24"/>
                <w:lang w:eastAsia="lv-LV"/>
              </w:rPr>
              <w:t>ir nosakāma</w:t>
            </w:r>
            <w:r w:rsidRPr="00085532">
              <w:rPr>
                <w:rFonts w:ascii="Times New Roman" w:eastAsia="Times New Roman" w:hAnsi="Times New Roman"/>
                <w:bCs/>
                <w:sz w:val="24"/>
                <w:szCs w:val="24"/>
                <w:lang w:eastAsia="lv-LV"/>
              </w:rPr>
              <w:t xml:space="preserve"> Juridiskās palīdzības administrācijas kompetencē, kura savukārt par pakalpojuma sniegšanu</w:t>
            </w:r>
            <w:r w:rsidR="003641EC">
              <w:rPr>
                <w:rFonts w:ascii="Times New Roman" w:eastAsia="Times New Roman" w:hAnsi="Times New Roman"/>
                <w:bCs/>
                <w:sz w:val="24"/>
                <w:szCs w:val="24"/>
                <w:lang w:eastAsia="lv-LV"/>
              </w:rPr>
              <w:t xml:space="preserve"> attiecīgi</w:t>
            </w:r>
            <w:r w:rsidRPr="00085532">
              <w:rPr>
                <w:rFonts w:ascii="Times New Roman" w:eastAsia="Times New Roman" w:hAnsi="Times New Roman"/>
                <w:bCs/>
                <w:sz w:val="24"/>
                <w:szCs w:val="24"/>
                <w:lang w:eastAsia="lv-LV"/>
              </w:rPr>
              <w:t xml:space="preserve"> vei</w:t>
            </w:r>
            <w:r w:rsidR="003641EC">
              <w:rPr>
                <w:rFonts w:ascii="Times New Roman" w:eastAsia="Times New Roman" w:hAnsi="Times New Roman"/>
                <w:bCs/>
                <w:sz w:val="24"/>
                <w:szCs w:val="24"/>
                <w:lang w:eastAsia="lv-LV"/>
              </w:rPr>
              <w:t>c</w:t>
            </w:r>
            <w:r w:rsidRPr="00085532">
              <w:rPr>
                <w:rFonts w:ascii="Times New Roman" w:eastAsia="Times New Roman" w:hAnsi="Times New Roman"/>
                <w:bCs/>
                <w:sz w:val="24"/>
                <w:szCs w:val="24"/>
                <w:lang w:eastAsia="lv-LV"/>
              </w:rPr>
              <w:t xml:space="preserve"> samaksu valsts nodrošinātās juridiskās palīdzības sniedzējam.</w:t>
            </w:r>
          </w:p>
          <w:p w:rsidR="00AF7075" w:rsidRPr="00BB5368" w:rsidRDefault="00AF7075" w:rsidP="00935BA6">
            <w:pPr>
              <w:spacing w:after="0" w:line="240" w:lineRule="auto"/>
              <w:ind w:firstLine="36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Tāpat paredzēts, ka persona iemaksu Juridiskās palīdzības administrācijas kontā iemaksā pilnā apjomā atbilstoši lēmumā par juridiskās palīdzības piešķiršanu noteiktajam un pēc iemaksas saņemšanas Juridiskās palīdzības administrācija norīkos personai juridiskās palīdzības sniedzēju</w:t>
            </w:r>
            <w:r w:rsidR="00833FA5">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attiecīgi uzsākot juridiskās palīdzības sniegšanu. Gadījumā, ja persona nebūs uzsākusi saņemt juridisko palīdzību (piemēram, pārdomājusi par vēlmi uzsākt tiesvedību), Juridiskās palīdzības administrācija atmaksās personai tās veikto iemaksu. Tāpat Juridiskās palīdzības administrācija atmaksās personai iemaksu tās pārmaksātajā daļā, gadījumā, ja tā kļūdas pēc būs iemaksājusi lielāku summu, nekā noteikts lēmumā par juridiskās palīdzības piešķiršanu. </w:t>
            </w:r>
            <w:r w:rsidR="00DE76FD">
              <w:rPr>
                <w:rFonts w:ascii="Times New Roman" w:eastAsia="Times New Roman" w:hAnsi="Times New Roman"/>
                <w:bCs/>
                <w:sz w:val="24"/>
                <w:szCs w:val="24"/>
                <w:lang w:eastAsia="lv-LV"/>
              </w:rPr>
              <w:t xml:space="preserve">Lai persona varētu saņemt </w:t>
            </w:r>
            <w:r w:rsidR="00DE76FD">
              <w:rPr>
                <w:rFonts w:ascii="Times New Roman" w:eastAsia="Times New Roman" w:hAnsi="Times New Roman"/>
                <w:bCs/>
                <w:sz w:val="24"/>
                <w:szCs w:val="24"/>
                <w:lang w:eastAsia="lv-LV"/>
              </w:rPr>
              <w:lastRenderedPageBreak/>
              <w:t>atbilstoši nosacījumiem iemaksu vai iemaksu tās pārmaksātajā daļā atpakaļ, tai būs jāiesniedz Juridiskās palīdzības administrācijā attiecīgs iesniegums.</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E2346A" w:rsidP="0003172F">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CA7F10" w:rsidRPr="005A735D">
              <w:rPr>
                <w:rFonts w:ascii="Times New Roman" w:eastAsia="Times New Roman" w:hAnsi="Times New Roman" w:cs="Times New Roman"/>
                <w:sz w:val="24"/>
                <w:szCs w:val="24"/>
                <w:lang w:eastAsia="lv-LV"/>
              </w:rPr>
              <w:t>dministrācija</w:t>
            </w:r>
            <w:r w:rsidRPr="005A735D">
              <w:rPr>
                <w:rFonts w:ascii="Times New Roman" w:eastAsia="Times New Roman" w:hAnsi="Times New Roman" w:cs="Times New Roman"/>
                <w:sz w:val="24"/>
                <w:szCs w:val="24"/>
                <w:lang w:eastAsia="lv-LV"/>
              </w:rPr>
              <w:t>.</w:t>
            </w:r>
          </w:p>
        </w:tc>
      </w:tr>
      <w:tr w:rsidR="00873A7C" w:rsidRPr="005A735D" w:rsidTr="0095662E">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rsidTr="00670710">
        <w:trPr>
          <w:trHeight w:val="128"/>
        </w:trPr>
        <w:tc>
          <w:tcPr>
            <w:tcW w:w="5000" w:type="pct"/>
            <w:gridSpan w:val="5"/>
            <w:tcBorders>
              <w:top w:val="outset" w:sz="6" w:space="0" w:color="414142"/>
              <w:left w:val="nil"/>
              <w:bottom w:val="outset" w:sz="6" w:space="0" w:color="414142"/>
              <w:right w:val="nil"/>
            </w:tcBorders>
          </w:tcPr>
          <w:p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rsidR="00661BFC" w:rsidRDefault="00EE3E3D" w:rsidP="00661BFC">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w:t>
            </w:r>
            <w:r w:rsidR="00661BFC" w:rsidRPr="00661BFC">
              <w:rPr>
                <w:rFonts w:ascii="Times New Roman" w:hAnsi="Times New Roman" w:cs="Times New Roman"/>
                <w:iCs/>
                <w:sz w:val="24"/>
                <w:szCs w:val="24"/>
              </w:rPr>
              <w:t>personas, kurām ir tiesības pieprasīt juridisko palīdzību lietu kategorijās atbilstoši Civilprocesa likuma 82.</w:t>
            </w:r>
            <w:r w:rsidR="00661BFC" w:rsidRPr="00661BFC">
              <w:rPr>
                <w:rFonts w:ascii="Times New Roman" w:hAnsi="Times New Roman" w:cs="Times New Roman"/>
                <w:iCs/>
                <w:sz w:val="24"/>
                <w:szCs w:val="24"/>
                <w:vertAlign w:val="superscript"/>
              </w:rPr>
              <w:t>1</w:t>
            </w:r>
            <w:r w:rsidR="00661BFC">
              <w:rPr>
                <w:rFonts w:ascii="Times New Roman" w:hAnsi="Times New Roman" w:cs="Times New Roman"/>
                <w:iCs/>
                <w:sz w:val="24"/>
                <w:szCs w:val="24"/>
                <w:vertAlign w:val="superscript"/>
              </w:rPr>
              <w:t> </w:t>
            </w:r>
            <w:r w:rsidR="00661BFC" w:rsidRPr="00661BFC">
              <w:rPr>
                <w:rFonts w:ascii="Times New Roman" w:hAnsi="Times New Roman" w:cs="Times New Roman"/>
                <w:iCs/>
                <w:sz w:val="24"/>
                <w:szCs w:val="24"/>
              </w:rPr>
              <w:t xml:space="preserve">pantā paredzētajiem tiesību uz pārstāvību </w:t>
            </w:r>
            <w:proofErr w:type="gramStart"/>
            <w:r w:rsidR="00661BFC" w:rsidRPr="00661BFC">
              <w:rPr>
                <w:rFonts w:ascii="Times New Roman" w:hAnsi="Times New Roman" w:cs="Times New Roman"/>
                <w:iCs/>
                <w:sz w:val="24"/>
                <w:szCs w:val="24"/>
              </w:rPr>
              <w:t>izņēmumiem –</w:t>
            </w:r>
            <w:r w:rsidR="00661BFC">
              <w:rPr>
                <w:rFonts w:ascii="Times New Roman" w:hAnsi="Times New Roman" w:cs="Times New Roman"/>
                <w:iCs/>
                <w:sz w:val="24"/>
                <w:szCs w:val="24"/>
              </w:rPr>
              <w:t>ta</w:t>
            </w:r>
            <w:proofErr w:type="gramEnd"/>
            <w:r w:rsidR="00661BFC">
              <w:rPr>
                <w:rFonts w:ascii="Times New Roman" w:hAnsi="Times New Roman" w:cs="Times New Roman"/>
                <w:iCs/>
                <w:sz w:val="24"/>
                <w:szCs w:val="24"/>
              </w:rPr>
              <w:t xml:space="preserve">s ir – </w:t>
            </w:r>
            <w:r w:rsidR="00661BFC" w:rsidRPr="00661BFC">
              <w:rPr>
                <w:rFonts w:ascii="Times New Roman" w:hAnsi="Times New Roman" w:cs="Times New Roman"/>
                <w:iCs/>
                <w:sz w:val="24"/>
                <w:szCs w:val="24"/>
              </w:rPr>
              <w:t>personas</w:t>
            </w:r>
            <w:r w:rsidR="00661BFC">
              <w:rPr>
                <w:rFonts w:ascii="Times New Roman" w:hAnsi="Times New Roman" w:cs="Times New Roman"/>
                <w:iCs/>
                <w:sz w:val="24"/>
                <w:szCs w:val="24"/>
              </w:rPr>
              <w:t>, kuru</w:t>
            </w:r>
            <w:r w:rsidR="00661BFC" w:rsidRPr="00661BFC">
              <w:rPr>
                <w:rFonts w:ascii="Times New Roman" w:hAnsi="Times New Roman" w:cs="Times New Roman"/>
                <w:iCs/>
                <w:sz w:val="24"/>
                <w:szCs w:val="24"/>
              </w:rPr>
              <w:t xml:space="preserve"> vidējie mēneša ienākumi pēdējo triju mēnešu laikā nepārsniedz Latvijas Republikā noteiktās minimālās mēneša darba algas apmēru valsts nodrošinātās juridiskās palīdzības pieprasīšanas dienā un kuri neatbilst Valsts nodrošinātās juridiskās palīdzības likuma 3.panta otrajā daļā noteiktajiem kritērijiem (nav ieguvuši maznodrošinātas un trūcīgas personas statusu, nav valsts vai pašvaldības apgādībā un nav nokļuvušas īpašā situācijā, kas tām liedz nodrošināt savu tiesību aizsardzību</w:t>
            </w:r>
            <w:r w:rsidR="00661BFC">
              <w:rPr>
                <w:rFonts w:ascii="Times New Roman" w:hAnsi="Times New Roman" w:cs="Times New Roman"/>
                <w:iCs/>
                <w:sz w:val="24"/>
                <w:szCs w:val="24"/>
              </w:rPr>
              <w:t>).</w:t>
            </w:r>
            <w:r w:rsidR="00661BFC" w:rsidRPr="00661BFC">
              <w:rPr>
                <w:rFonts w:ascii="Times New Roman" w:hAnsi="Times New Roman" w:cs="Times New Roman"/>
                <w:iCs/>
                <w:sz w:val="24"/>
                <w:szCs w:val="24"/>
              </w:rPr>
              <w:t xml:space="preserve"> </w:t>
            </w:r>
          </w:p>
          <w:p w:rsidR="002061CB" w:rsidRDefault="002061CB" w:rsidP="00661BFC">
            <w:pPr>
              <w:spacing w:after="0" w:line="240" w:lineRule="auto"/>
              <w:ind w:firstLine="245"/>
              <w:jc w:val="both"/>
              <w:rPr>
                <w:rFonts w:ascii="Times New Roman" w:hAnsi="Times New Roman" w:cs="Times New Roman"/>
                <w:iCs/>
                <w:sz w:val="24"/>
                <w:szCs w:val="24"/>
              </w:rPr>
            </w:pPr>
            <w:r w:rsidRPr="002061CB">
              <w:rPr>
                <w:rFonts w:ascii="Times New Roman" w:hAnsi="Times New Roman" w:cs="Times New Roman"/>
                <w:iCs/>
                <w:sz w:val="24"/>
                <w:szCs w:val="24"/>
              </w:rPr>
              <w:t xml:space="preserve">Saskaņā ar </w:t>
            </w:r>
            <w:r>
              <w:rPr>
                <w:rFonts w:ascii="Times New Roman" w:hAnsi="Times New Roman" w:cs="Times New Roman"/>
                <w:iCs/>
                <w:sz w:val="24"/>
                <w:szCs w:val="24"/>
              </w:rPr>
              <w:t>K</w:t>
            </w:r>
            <w:r w:rsidRPr="002061CB">
              <w:rPr>
                <w:rFonts w:ascii="Times New Roman" w:hAnsi="Times New Roman" w:cs="Times New Roman"/>
                <w:iCs/>
                <w:sz w:val="24"/>
                <w:szCs w:val="24"/>
              </w:rPr>
              <w:t>onceptuāl</w:t>
            </w:r>
            <w:r>
              <w:rPr>
                <w:rFonts w:ascii="Times New Roman" w:hAnsi="Times New Roman" w:cs="Times New Roman"/>
                <w:iCs/>
                <w:sz w:val="24"/>
                <w:szCs w:val="24"/>
              </w:rPr>
              <w:t>ajā</w:t>
            </w:r>
            <w:r w:rsidRPr="002061CB">
              <w:rPr>
                <w:rFonts w:ascii="Times New Roman" w:hAnsi="Times New Roman" w:cs="Times New Roman"/>
                <w:iCs/>
                <w:sz w:val="24"/>
                <w:szCs w:val="24"/>
              </w:rPr>
              <w:t xml:space="preserve"> ziņojum</w:t>
            </w:r>
            <w:r>
              <w:rPr>
                <w:rFonts w:ascii="Times New Roman" w:hAnsi="Times New Roman" w:cs="Times New Roman"/>
                <w:iCs/>
                <w:sz w:val="24"/>
                <w:szCs w:val="24"/>
              </w:rPr>
              <w:t>ā</w:t>
            </w:r>
            <w:r w:rsidRPr="002061CB">
              <w:rPr>
                <w:rFonts w:ascii="Times New Roman" w:hAnsi="Times New Roman" w:cs="Times New Roman"/>
                <w:iCs/>
                <w:sz w:val="24"/>
                <w:szCs w:val="24"/>
              </w:rPr>
              <w:t xml:space="preserve"> “Par advokātu procesa ieviešanu atsevišķās civillietu kategorijās” (MK 14.02.2017. Prot.Nr.7 41.§)</w:t>
            </w:r>
            <w:r w:rsidR="003641EC">
              <w:rPr>
                <w:rFonts w:ascii="Times New Roman" w:hAnsi="Times New Roman" w:cs="Times New Roman"/>
                <w:iCs/>
                <w:sz w:val="24"/>
                <w:szCs w:val="24"/>
              </w:rPr>
              <w:t xml:space="preserve"> (turpmāk – Advokātu procesa konceptuālais ziņojums)</w:t>
            </w:r>
            <w:r w:rsidRPr="002061CB">
              <w:rPr>
                <w:rFonts w:ascii="Times New Roman" w:hAnsi="Times New Roman" w:cs="Times New Roman"/>
                <w:iCs/>
                <w:sz w:val="24"/>
                <w:szCs w:val="24"/>
              </w:rPr>
              <w:t xml:space="preserve"> iekļautajiem statistikas datiem, Ministru kabineta atbalstītā varianta ietvaros advokātu procesam tiks pakļautas indikatīvi 296 lietas gadā </w:t>
            </w:r>
            <w:proofErr w:type="gramStart"/>
            <w:r w:rsidRPr="002061CB">
              <w:rPr>
                <w:rFonts w:ascii="Times New Roman" w:hAnsi="Times New Roman" w:cs="Times New Roman"/>
                <w:iCs/>
                <w:sz w:val="24"/>
                <w:szCs w:val="24"/>
              </w:rPr>
              <w:t>(</w:t>
            </w:r>
            <w:proofErr w:type="gramEnd"/>
            <w:r w:rsidRPr="002061CB">
              <w:rPr>
                <w:rFonts w:ascii="Times New Roman" w:hAnsi="Times New Roman" w:cs="Times New Roman"/>
                <w:iCs/>
                <w:sz w:val="24"/>
                <w:szCs w:val="24"/>
              </w:rPr>
              <w:t xml:space="preserve">2015./2016.gada dati), kas aptver tādas lietu kategorijas kā lietas par dalībnieku (akcionāru) sapulces lēmumu atzīšanu par spēkā neesošu un lietas, kurās ir strīds, kas izriet no saistību tiesībām, un kurās prasības summa pārsniedz 150 000 </w:t>
            </w:r>
            <w:proofErr w:type="spellStart"/>
            <w:r w:rsidRPr="002061CB">
              <w:rPr>
                <w:rFonts w:ascii="Times New Roman" w:hAnsi="Times New Roman" w:cs="Times New Roman"/>
                <w:iCs/>
                <w:sz w:val="24"/>
                <w:szCs w:val="24"/>
              </w:rPr>
              <w:t>euro</w:t>
            </w:r>
            <w:proofErr w:type="spellEnd"/>
            <w:r w:rsidRPr="002061CB">
              <w:rPr>
                <w:rFonts w:ascii="Times New Roman" w:hAnsi="Times New Roman" w:cs="Times New Roman"/>
                <w:iCs/>
                <w:sz w:val="24"/>
                <w:szCs w:val="24"/>
              </w:rPr>
              <w:t>. Par personu skaitu, kas šajās lietās varētu pieprasīt un saņemt valsts nodrošināto juridisko palīdzību, ir grūti spriest, jo līdz šim nav tikusi apkopota statistika, cik no personām, kas līdz šim ir vērsušās tiesā par advokātu procesam pakļautajām lietu kategorijām, ir ar minimālās algas ienākumu līmeni.</w:t>
            </w:r>
          </w:p>
          <w:p w:rsidR="00075D9C" w:rsidRPr="005A735D" w:rsidRDefault="008031B6" w:rsidP="00661BFC">
            <w:pPr>
              <w:spacing w:after="0" w:line="240" w:lineRule="auto"/>
              <w:ind w:firstLine="245"/>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Tāpat </w:t>
            </w:r>
            <w:r w:rsidR="00CB0717">
              <w:rPr>
                <w:rFonts w:ascii="Times New Roman" w:eastAsia="Times New Roman" w:hAnsi="Times New Roman" w:cs="Times New Roman"/>
                <w:sz w:val="24"/>
                <w:szCs w:val="24"/>
                <w:lang w:eastAsia="lv-LV"/>
              </w:rPr>
              <w:t>N</w:t>
            </w:r>
            <w:r w:rsidRPr="00CB0717">
              <w:rPr>
                <w:rFonts w:ascii="Times New Roman" w:eastAsia="Times New Roman" w:hAnsi="Times New Roman" w:cs="Times New Roman"/>
                <w:sz w:val="24"/>
                <w:szCs w:val="24"/>
                <w:lang w:eastAsia="lv-LV"/>
              </w:rPr>
              <w:t xml:space="preserve">oteikumu projekta regulējums ietekmē </w:t>
            </w:r>
            <w:r w:rsidR="00EE3E3D" w:rsidRPr="00CB0717">
              <w:rPr>
                <w:rFonts w:ascii="Times New Roman" w:hAnsi="Times New Roman" w:cs="Times New Roman"/>
                <w:iCs/>
                <w:sz w:val="24"/>
                <w:szCs w:val="24"/>
              </w:rPr>
              <w:t>Juridiskās palīdzības administrācij</w:t>
            </w:r>
            <w:r w:rsidRPr="005A735D">
              <w:rPr>
                <w:rFonts w:ascii="Times New Roman" w:hAnsi="Times New Roman" w:cs="Times New Roman"/>
                <w:iCs/>
                <w:sz w:val="24"/>
                <w:szCs w:val="24"/>
              </w:rPr>
              <w:t>u, jo tā</w:t>
            </w:r>
            <w:r w:rsidR="00661BFC">
              <w:rPr>
                <w:rFonts w:ascii="Times New Roman" w:hAnsi="Times New Roman" w:cs="Times New Roman"/>
                <w:iCs/>
                <w:sz w:val="24"/>
                <w:szCs w:val="24"/>
              </w:rPr>
              <w:t xml:space="preserve"> </w:t>
            </w:r>
            <w:r w:rsidR="00530892">
              <w:rPr>
                <w:rFonts w:ascii="Times New Roman" w:hAnsi="Times New Roman" w:cs="Times New Roman"/>
                <w:iCs/>
                <w:sz w:val="24"/>
                <w:szCs w:val="24"/>
              </w:rPr>
              <w:t>veiks šo iemaksu administrēšanu</w:t>
            </w:r>
            <w:r w:rsidRPr="005A735D">
              <w:rPr>
                <w:rFonts w:ascii="Times New Roman" w:hAnsi="Times New Roman" w:cs="Times New Roman"/>
                <w:iCs/>
                <w:sz w:val="24"/>
                <w:szCs w:val="24"/>
              </w:rPr>
              <w:t>.</w:t>
            </w:r>
          </w:p>
        </w:tc>
      </w:tr>
      <w:tr w:rsidR="00873A7C"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Default="00BA299C" w:rsidP="005D70C7">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706E7F">
              <w:rPr>
                <w:rFonts w:ascii="Times New Roman" w:hAnsi="Times New Roman" w:cs="Times New Roman"/>
                <w:sz w:val="24"/>
                <w:szCs w:val="24"/>
              </w:rPr>
              <w:t>ā</w:t>
            </w:r>
            <w:r w:rsidR="00BB60EA" w:rsidRPr="005A735D">
              <w:rPr>
                <w:rFonts w:ascii="Times New Roman" w:hAnsi="Times New Roman" w:cs="Times New Roman"/>
                <w:sz w:val="24"/>
                <w:szCs w:val="24"/>
              </w:rPr>
              <w:t xml:space="preserve"> </w:t>
            </w:r>
            <w:r w:rsidR="00347C71" w:rsidRPr="00F504D5">
              <w:rPr>
                <w:rFonts w:ascii="Times New Roman" w:hAnsi="Times New Roman" w:cs="Times New Roman"/>
                <w:sz w:val="24"/>
                <w:szCs w:val="24"/>
              </w:rPr>
              <w:t>minētajām personām</w:t>
            </w:r>
            <w:r w:rsidR="004A474D" w:rsidRPr="00F504D5">
              <w:rPr>
                <w:rFonts w:ascii="Times New Roman" w:hAnsi="Times New Roman" w:cs="Times New Roman"/>
                <w:sz w:val="24"/>
                <w:szCs w:val="24"/>
              </w:rPr>
              <w:t>, izņemot Juridiskās palīdzības administrāciju, tiks labvēlīgi ietekmēta viņu</w:t>
            </w:r>
            <w:r w:rsidR="00706E7F">
              <w:rPr>
                <w:rFonts w:ascii="Times New Roman" w:hAnsi="Times New Roman" w:cs="Times New Roman"/>
                <w:sz w:val="24"/>
                <w:szCs w:val="24"/>
              </w:rPr>
              <w:t xml:space="preserve"> spēja realizēt savu aizskarto tiesību aizstāvību, jo tām būs iespēja</w:t>
            </w:r>
            <w:r w:rsidR="00833FA5">
              <w:rPr>
                <w:rFonts w:ascii="Times New Roman" w:hAnsi="Times New Roman" w:cs="Times New Roman"/>
                <w:sz w:val="24"/>
                <w:szCs w:val="24"/>
              </w:rPr>
              <w:t xml:space="preserve"> </w:t>
            </w:r>
            <w:r w:rsidR="00706E7F">
              <w:rPr>
                <w:rFonts w:ascii="Times New Roman" w:hAnsi="Times New Roman" w:cs="Times New Roman"/>
                <w:sz w:val="24"/>
                <w:szCs w:val="24"/>
              </w:rPr>
              <w:t>saņem</w:t>
            </w:r>
            <w:r w:rsidR="00833FA5">
              <w:rPr>
                <w:rFonts w:ascii="Times New Roman" w:hAnsi="Times New Roman" w:cs="Times New Roman"/>
                <w:sz w:val="24"/>
                <w:szCs w:val="24"/>
              </w:rPr>
              <w:t>ot</w:t>
            </w:r>
            <w:r w:rsidR="00706E7F">
              <w:rPr>
                <w:rFonts w:ascii="Times New Roman" w:hAnsi="Times New Roman" w:cs="Times New Roman"/>
                <w:sz w:val="24"/>
                <w:szCs w:val="24"/>
              </w:rPr>
              <w:t xml:space="preserve"> valsts nodrošināto juridisko palīdzību, veicot konkrētas summas iemaksu par juridiskās palīdzības saņemšanu un nebūs nepieciešamība slēgt vienošanos ar zvērinātu advokātu par tirgus cenām, kas ir ievērojami augstākas</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p>
          <w:p w:rsidR="00DA757C" w:rsidRPr="00DA757C" w:rsidRDefault="00E15921" w:rsidP="00706E7F">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Juridiskās palīdzības administrācija </w:t>
            </w:r>
            <w:r w:rsidR="00706E7F">
              <w:rPr>
                <w:rFonts w:ascii="Times New Roman" w:eastAsia="Times New Roman" w:hAnsi="Times New Roman" w:cs="Times New Roman"/>
                <w:sz w:val="24"/>
                <w:szCs w:val="24"/>
                <w:lang w:eastAsia="lv-LV"/>
              </w:rPr>
              <w:t>veiks personu iemaksu administrēšanu, tas ir, noteiks un iekasēs personu iemaksas par juridiskās palīdzības saņemšanu.</w:t>
            </w:r>
          </w:p>
        </w:tc>
      </w:tr>
      <w:tr w:rsidR="00873A7C"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5A735D" w:rsidRDefault="00512075"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Noteikumu p</w:t>
            </w:r>
            <w:r w:rsidR="004C38EB" w:rsidRPr="005A735D">
              <w:rPr>
                <w:rFonts w:ascii="Times New Roman" w:eastAsia="Times New Roman" w:hAnsi="Times New Roman" w:cs="Times New Roman"/>
                <w:sz w:val="24"/>
                <w:szCs w:val="24"/>
                <w:lang w:eastAsia="lv-LV"/>
              </w:rPr>
              <w:t>rojekts šo jomu neskar.</w:t>
            </w:r>
          </w:p>
        </w:tc>
      </w:tr>
      <w:tr w:rsidR="00421A13" w:rsidRPr="005A735D"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rsidR="00421A13" w:rsidRPr="005A735D" w:rsidRDefault="006369F5"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873A7C" w:rsidRPr="005A735D"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rsidTr="00670710">
        <w:trPr>
          <w:trHeight w:val="360"/>
        </w:trPr>
        <w:tc>
          <w:tcPr>
            <w:tcW w:w="5000" w:type="pct"/>
            <w:gridSpan w:val="5"/>
            <w:tcBorders>
              <w:top w:val="nil"/>
              <w:left w:val="nil"/>
              <w:bottom w:val="outset" w:sz="6" w:space="0" w:color="414142"/>
              <w:right w:val="nil"/>
            </w:tcBorders>
            <w:vAlign w:val="center"/>
          </w:tcPr>
          <w:p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90"/>
              <w:gridCol w:w="1046"/>
              <w:gridCol w:w="1050"/>
              <w:gridCol w:w="917"/>
              <w:gridCol w:w="990"/>
              <w:gridCol w:w="916"/>
              <w:gridCol w:w="990"/>
              <w:gridCol w:w="990"/>
            </w:tblGrid>
            <w:tr w:rsidR="00B90911" w:rsidRPr="0095662E" w:rsidTr="0000093C">
              <w:trPr>
                <w:cantSplit/>
              </w:trPr>
              <w:tc>
                <w:tcPr>
                  <w:tcW w:w="8989" w:type="dxa"/>
                  <w:gridSpan w:val="8"/>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B90911" w:rsidRPr="0095662E" w:rsidTr="0000093C">
              <w:trPr>
                <w:cantSplit/>
              </w:trPr>
              <w:tc>
                <w:tcPr>
                  <w:tcW w:w="2121" w:type="dxa"/>
                  <w:vMerge w:val="restart"/>
                  <w:shd w:val="clear" w:color="auto" w:fill="FFFFFF"/>
                  <w:vAlign w:val="center"/>
                </w:tcPr>
                <w:p w:rsidR="00B90911" w:rsidRPr="0095662E" w:rsidRDefault="00B90911"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Rādītāji</w:t>
                  </w:r>
                </w:p>
              </w:tc>
              <w:tc>
                <w:tcPr>
                  <w:tcW w:w="2107" w:type="dxa"/>
                  <w:gridSpan w:val="2"/>
                  <w:vMerge w:val="restart"/>
                  <w:shd w:val="clear" w:color="auto" w:fill="FFFFFF"/>
                  <w:vAlign w:val="center"/>
                  <w:hideMark/>
                </w:tcPr>
                <w:p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2018.</w:t>
                  </w:r>
                  <w:r w:rsidR="00B90911" w:rsidRPr="0095662E">
                    <w:rPr>
                      <w:rFonts w:ascii="Times New Roman" w:hAnsi="Times New Roman" w:cs="Times New Roman"/>
                      <w:bCs/>
                      <w:sz w:val="24"/>
                      <w:szCs w:val="24"/>
                    </w:rPr>
                    <w:t>gads</w:t>
                  </w:r>
                </w:p>
              </w:tc>
              <w:tc>
                <w:tcPr>
                  <w:tcW w:w="4761" w:type="dxa"/>
                  <w:gridSpan w:val="5"/>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Turpmākie trīs gadi (</w:t>
                  </w:r>
                  <w:proofErr w:type="spellStart"/>
                  <w:r w:rsidRPr="0095662E">
                    <w:rPr>
                      <w:rFonts w:ascii="Times New Roman" w:hAnsi="Times New Roman" w:cs="Times New Roman"/>
                      <w:i/>
                      <w:iCs/>
                      <w:sz w:val="24"/>
                      <w:szCs w:val="24"/>
                    </w:rPr>
                    <w:t>euro</w:t>
                  </w:r>
                  <w:proofErr w:type="spellEnd"/>
                  <w:r w:rsidRPr="0095662E">
                    <w:rPr>
                      <w:rFonts w:ascii="Times New Roman" w:hAnsi="Times New Roman" w:cs="Times New Roman"/>
                      <w:sz w:val="24"/>
                      <w:szCs w:val="24"/>
                    </w:rPr>
                    <w:t>)</w:t>
                  </w:r>
                </w:p>
              </w:tc>
            </w:tr>
            <w:tr w:rsidR="00B90911" w:rsidRPr="0095662E" w:rsidTr="0000093C">
              <w:trPr>
                <w:cantSplit/>
              </w:trPr>
              <w:tc>
                <w:tcPr>
                  <w:tcW w:w="2121"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bCs/>
                      <w:sz w:val="24"/>
                      <w:szCs w:val="24"/>
                    </w:rPr>
                  </w:pPr>
                </w:p>
              </w:tc>
              <w:tc>
                <w:tcPr>
                  <w:tcW w:w="2107" w:type="dxa"/>
                  <w:gridSpan w:val="2"/>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bCs/>
                      <w:sz w:val="24"/>
                      <w:szCs w:val="24"/>
                    </w:rPr>
                  </w:pPr>
                </w:p>
              </w:tc>
              <w:tc>
                <w:tcPr>
                  <w:tcW w:w="1893" w:type="dxa"/>
                  <w:gridSpan w:val="2"/>
                  <w:shd w:val="clear" w:color="auto" w:fill="FFFFFF"/>
                  <w:vAlign w:val="center"/>
                  <w:hideMark/>
                </w:tcPr>
                <w:p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2019.</w:t>
                  </w:r>
                </w:p>
              </w:tc>
              <w:tc>
                <w:tcPr>
                  <w:tcW w:w="1892" w:type="dxa"/>
                  <w:gridSpan w:val="2"/>
                  <w:shd w:val="clear" w:color="auto" w:fill="FFFFFF"/>
                  <w:vAlign w:val="center"/>
                  <w:hideMark/>
                </w:tcPr>
                <w:p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2020.</w:t>
                  </w:r>
                </w:p>
              </w:tc>
              <w:tc>
                <w:tcPr>
                  <w:tcW w:w="976" w:type="dxa"/>
                  <w:shd w:val="clear" w:color="auto" w:fill="FFFFFF"/>
                  <w:vAlign w:val="center"/>
                  <w:hideMark/>
                </w:tcPr>
                <w:p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2021.</w:t>
                  </w:r>
                </w:p>
              </w:tc>
            </w:tr>
            <w:tr w:rsidR="0000093C" w:rsidRPr="0095662E" w:rsidTr="0000093C">
              <w:trPr>
                <w:cantSplit/>
              </w:trPr>
              <w:tc>
                <w:tcPr>
                  <w:tcW w:w="2121"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b/>
                      <w:bCs/>
                      <w:sz w:val="24"/>
                      <w:szCs w:val="24"/>
                    </w:rPr>
                  </w:pPr>
                </w:p>
              </w:tc>
              <w:tc>
                <w:tcPr>
                  <w:tcW w:w="1054"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valsts budžetu kārtējam gadam</w:t>
                  </w:r>
                </w:p>
              </w:tc>
              <w:tc>
                <w:tcPr>
                  <w:tcW w:w="1053"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kārtējā gadā, salīdzinot ar valsts budžetu kārtējam gadam</w:t>
                  </w:r>
                </w:p>
              </w:tc>
              <w:tc>
                <w:tcPr>
                  <w:tcW w:w="923"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n+1 gadam</w:t>
                  </w:r>
                </w:p>
              </w:tc>
              <w:tc>
                <w:tcPr>
                  <w:tcW w:w="922"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n+2 gadam</w:t>
                  </w:r>
                </w:p>
              </w:tc>
              <w:tc>
                <w:tcPr>
                  <w:tcW w:w="976"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 xml:space="preserve">izmaiņas, salīdzinot ar vidēja termiņa budžeta ietvaru </w:t>
                  </w:r>
                  <w:r w:rsidRPr="0095662E">
                    <w:rPr>
                      <w:rFonts w:ascii="Times New Roman" w:hAnsi="Times New Roman" w:cs="Times New Roman"/>
                      <w:sz w:val="24"/>
                      <w:szCs w:val="24"/>
                    </w:rPr>
                    <w:br/>
                    <w:t>n+2 gadam</w:t>
                  </w:r>
                </w:p>
              </w:tc>
            </w:tr>
            <w:tr w:rsidR="0000093C" w:rsidRPr="0095662E" w:rsidTr="0000093C">
              <w:trPr>
                <w:cantSplit/>
              </w:trPr>
              <w:tc>
                <w:tcPr>
                  <w:tcW w:w="2121"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1</w:t>
                  </w:r>
                </w:p>
              </w:tc>
              <w:tc>
                <w:tcPr>
                  <w:tcW w:w="1054"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w:t>
                  </w:r>
                </w:p>
              </w:tc>
              <w:tc>
                <w:tcPr>
                  <w:tcW w:w="1053"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3</w:t>
                  </w:r>
                </w:p>
              </w:tc>
              <w:tc>
                <w:tcPr>
                  <w:tcW w:w="923"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4</w:t>
                  </w:r>
                </w:p>
              </w:tc>
              <w:tc>
                <w:tcPr>
                  <w:tcW w:w="970"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5</w:t>
                  </w:r>
                </w:p>
              </w:tc>
              <w:tc>
                <w:tcPr>
                  <w:tcW w:w="922"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6</w:t>
                  </w:r>
                </w:p>
              </w:tc>
              <w:tc>
                <w:tcPr>
                  <w:tcW w:w="970"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7</w:t>
                  </w:r>
                </w:p>
              </w:tc>
              <w:tc>
                <w:tcPr>
                  <w:tcW w:w="976" w:type="dxa"/>
                  <w:shd w:val="clear" w:color="auto" w:fill="FFFFFF"/>
                  <w:vAlign w:val="center"/>
                  <w:hideMark/>
                </w:tcPr>
                <w:p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8</w:t>
                  </w:r>
                </w:p>
              </w:tc>
            </w:tr>
            <w:tr w:rsidR="0000093C" w:rsidRPr="0095662E" w:rsidTr="0000093C">
              <w:trPr>
                <w:cantSplit/>
              </w:trPr>
              <w:tc>
                <w:tcPr>
                  <w:tcW w:w="2121" w:type="dxa"/>
                  <w:shd w:val="clear" w:color="auto" w:fill="FFFFFF"/>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 Budžeta ieņēmumi</w:t>
                  </w:r>
                </w:p>
              </w:tc>
              <w:tc>
                <w:tcPr>
                  <w:tcW w:w="1054" w:type="dxa"/>
                  <w:shd w:val="clear" w:color="auto" w:fill="FFFFFF"/>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1053" w:type="dxa"/>
                  <w:shd w:val="clear" w:color="auto" w:fill="FFFFFF"/>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FFFFFF"/>
                  <w:vAlign w:val="center"/>
                  <w:hideMark/>
                </w:tcPr>
                <w:p w:rsidR="00B90911" w:rsidRPr="0095662E" w:rsidRDefault="00B76DE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FFFFFF"/>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FFFFFF"/>
                  <w:vAlign w:val="center"/>
                  <w:hideMark/>
                </w:tcPr>
                <w:p w:rsidR="00B90911" w:rsidRPr="0095662E" w:rsidRDefault="00B76DE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FFFFFF"/>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FFFFFF"/>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1.1. valsts pamatbudžets, tai skaitā ieņēmumi no maksas pakalpojumiem un citi pašu ieņēmumi</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B76DE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B76DE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1.2. valsts speciālais budžets</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1.3. pašvaldību budžets</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 Budžeta izdevumi</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B76DE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CF5AA7"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2.1. valsts pamatbudžets</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CF5AA7"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CF5AA7"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2 298 918</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2.2. valsts speciālais budžets</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2.3. pašvaldību budžets</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 Finansiālā ietekme</w:t>
                  </w:r>
                </w:p>
              </w:tc>
              <w:tc>
                <w:tcPr>
                  <w:tcW w:w="1054"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3.1. valsts pamatbudžets</w:t>
                  </w:r>
                </w:p>
              </w:tc>
              <w:tc>
                <w:tcPr>
                  <w:tcW w:w="1054"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3.2. speciālais budžets</w:t>
                  </w:r>
                </w:p>
              </w:tc>
              <w:tc>
                <w:tcPr>
                  <w:tcW w:w="1054"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3.3. pašvaldību budžets</w:t>
                  </w:r>
                </w:p>
              </w:tc>
              <w:tc>
                <w:tcPr>
                  <w:tcW w:w="1054"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4. Finanšu līdzekļi papildu izdevumu finansēšanai (kompensējošu izdevumu samazinājumu norāda ar "+" zīmi)</w:t>
                  </w:r>
                </w:p>
              </w:tc>
              <w:tc>
                <w:tcPr>
                  <w:tcW w:w="1054"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 Precizēta finansiālā ietekme</w:t>
                  </w:r>
                </w:p>
              </w:tc>
              <w:tc>
                <w:tcPr>
                  <w:tcW w:w="1054" w:type="dxa"/>
                  <w:vMerge w:val="restart"/>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val="restart"/>
                  <w:shd w:val="clear" w:color="auto" w:fill="auto"/>
                  <w:vAlign w:val="center"/>
                  <w:hideMark/>
                </w:tcPr>
                <w:p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val="restart"/>
                  <w:shd w:val="clear" w:color="auto" w:fill="auto"/>
                  <w:vAlign w:val="center"/>
                  <w:hideMark/>
                </w:tcPr>
                <w:p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5.1. valsts pamatbudžets</w:t>
                  </w:r>
                </w:p>
              </w:tc>
              <w:tc>
                <w:tcPr>
                  <w:tcW w:w="1054"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5.2. speciālais budžets</w:t>
                  </w:r>
                </w:p>
              </w:tc>
              <w:tc>
                <w:tcPr>
                  <w:tcW w:w="1054"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5.3. pašvaldību budžets</w:t>
                  </w:r>
                </w:p>
              </w:tc>
              <w:tc>
                <w:tcPr>
                  <w:tcW w:w="1054"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6868" w:type="dxa"/>
                  <w:gridSpan w:val="7"/>
                  <w:vMerge w:val="restart"/>
                  <w:shd w:val="clear" w:color="auto" w:fill="auto"/>
                  <w:vAlign w:val="center"/>
                  <w:hideMark/>
                </w:tcPr>
                <w:p w:rsidR="00B90911" w:rsidRPr="0095662E" w:rsidRDefault="00936CB1" w:rsidP="0003172F">
                  <w:pPr>
                    <w:spacing w:after="0" w:line="240" w:lineRule="auto"/>
                    <w:jc w:val="center"/>
                    <w:rPr>
                      <w:rFonts w:ascii="Times New Roman" w:hAnsi="Times New Roman" w:cs="Times New Roman"/>
                      <w:sz w:val="24"/>
                      <w:szCs w:val="24"/>
                    </w:rPr>
                  </w:pPr>
                  <w:r w:rsidRPr="00F504D5">
                    <w:rPr>
                      <w:rFonts w:ascii="Times New Roman" w:eastAsia="Times New Roman" w:hAnsi="Times New Roman" w:cs="Times New Roman"/>
                      <w:sz w:val="24"/>
                      <w:szCs w:val="24"/>
                      <w:lang w:eastAsia="lv-LV"/>
                    </w:rPr>
                    <w:t>Noteikumu projekts šo jomu neskar</w:t>
                  </w: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6.1. detalizēts ieņēmumu aprēķins</w:t>
                  </w:r>
                </w:p>
              </w:tc>
              <w:tc>
                <w:tcPr>
                  <w:tcW w:w="6868" w:type="dxa"/>
                  <w:gridSpan w:val="7"/>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r>
            <w:tr w:rsidR="00B90911" w:rsidRPr="0095662E" w:rsidTr="0000093C">
              <w:trPr>
                <w:cantSplit/>
              </w:trPr>
              <w:tc>
                <w:tcPr>
                  <w:tcW w:w="2121" w:type="dxa"/>
                  <w:shd w:val="clear" w:color="auto" w:fill="auto"/>
                  <w:hideMark/>
                </w:tcPr>
                <w:p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6.2. detalizēts izdevumu aprēķins</w:t>
                  </w:r>
                </w:p>
              </w:tc>
              <w:tc>
                <w:tcPr>
                  <w:tcW w:w="6868" w:type="dxa"/>
                  <w:gridSpan w:val="7"/>
                  <w:vMerge/>
                  <w:shd w:val="clear" w:color="auto" w:fill="auto"/>
                  <w:vAlign w:val="center"/>
                  <w:hideMark/>
                </w:tcPr>
                <w:p w:rsidR="00B90911" w:rsidRPr="0095662E" w:rsidRDefault="00B90911" w:rsidP="0003172F">
                  <w:pPr>
                    <w:spacing w:after="0" w:line="240" w:lineRule="auto"/>
                    <w:jc w:val="center"/>
                    <w:rPr>
                      <w:rFonts w:ascii="Times New Roman" w:hAnsi="Times New Roman" w:cs="Times New Roman"/>
                      <w:sz w:val="24"/>
                      <w:szCs w:val="24"/>
                    </w:rPr>
                  </w:pPr>
                </w:p>
              </w:tc>
            </w:tr>
            <w:tr w:rsidR="00E44DBD" w:rsidRPr="0095662E" w:rsidTr="0000093C">
              <w:trPr>
                <w:cantSplit/>
              </w:trPr>
              <w:tc>
                <w:tcPr>
                  <w:tcW w:w="2121" w:type="dxa"/>
                  <w:shd w:val="clear" w:color="auto" w:fill="auto"/>
                  <w:hideMark/>
                </w:tcPr>
                <w:p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7. Amata vietu skaita izmaiņas</w:t>
                  </w:r>
                </w:p>
              </w:tc>
              <w:tc>
                <w:tcPr>
                  <w:tcW w:w="6868" w:type="dxa"/>
                  <w:gridSpan w:val="7"/>
                  <w:vMerge w:val="restart"/>
                  <w:shd w:val="clear" w:color="auto" w:fill="auto"/>
                  <w:hideMark/>
                </w:tcPr>
                <w:p w:rsidR="00706E7F" w:rsidRDefault="00706E7F" w:rsidP="0003172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Norādām, ka personu veiktās iemaksas ir noteiktas kā Juridiskās palīdzības administrācijas pašu ieņēmums un līdz ar to prognozējama </w:t>
                  </w:r>
                  <w:r>
                    <w:rPr>
                      <w:rFonts w:ascii="Times New Roman" w:hAnsi="Times New Roman" w:cs="Times New Roman"/>
                      <w:sz w:val="24"/>
                      <w:szCs w:val="24"/>
                    </w:rPr>
                    <w:lastRenderedPageBreak/>
                    <w:t xml:space="preserve">pozitīva ietekme uz Juridiskās palīdzības </w:t>
                  </w:r>
                  <w:r w:rsidR="00F83D07">
                    <w:rPr>
                      <w:rFonts w:ascii="Times New Roman" w:hAnsi="Times New Roman" w:cs="Times New Roman"/>
                      <w:sz w:val="24"/>
                      <w:szCs w:val="24"/>
                    </w:rPr>
                    <w:t>administrācijas budžetu. Tomēr norādāms, ka s</w:t>
                  </w:r>
                  <w:r w:rsidR="00F83D07" w:rsidRPr="00F83D07">
                    <w:rPr>
                      <w:rFonts w:ascii="Times New Roman" w:hAnsi="Times New Roman" w:cs="Times New Roman"/>
                      <w:sz w:val="24"/>
                      <w:szCs w:val="24"/>
                    </w:rPr>
                    <w:t xml:space="preserve">trīdu skaits, kuros </w:t>
                  </w:r>
                  <w:r w:rsidR="00F83D07">
                    <w:rPr>
                      <w:rFonts w:ascii="Times New Roman" w:hAnsi="Times New Roman" w:cs="Times New Roman"/>
                      <w:sz w:val="24"/>
                      <w:szCs w:val="24"/>
                    </w:rPr>
                    <w:t>personas atbilstoši Civilprocesa likuma 82.</w:t>
                  </w:r>
                  <w:r w:rsidR="00F83D07" w:rsidRPr="00F83D07">
                    <w:rPr>
                      <w:rFonts w:ascii="Times New Roman" w:hAnsi="Times New Roman" w:cs="Times New Roman"/>
                      <w:sz w:val="24"/>
                      <w:szCs w:val="24"/>
                      <w:vertAlign w:val="superscript"/>
                    </w:rPr>
                    <w:t>1</w:t>
                  </w:r>
                  <w:r w:rsidR="00F83D07">
                    <w:rPr>
                      <w:rFonts w:ascii="Times New Roman" w:hAnsi="Times New Roman" w:cs="Times New Roman"/>
                      <w:sz w:val="24"/>
                      <w:szCs w:val="24"/>
                      <w:vertAlign w:val="superscript"/>
                    </w:rPr>
                    <w:t> </w:t>
                  </w:r>
                  <w:r w:rsidR="00F83D07">
                    <w:rPr>
                      <w:rFonts w:ascii="Times New Roman" w:hAnsi="Times New Roman" w:cs="Times New Roman"/>
                      <w:sz w:val="24"/>
                      <w:szCs w:val="24"/>
                    </w:rPr>
                    <w:t>pantā paredzētajiem tiesību uz pārstāvību izņēmumiem, kuros</w:t>
                  </w:r>
                  <w:r w:rsidR="00F83D07" w:rsidRPr="00F83D07">
                    <w:rPr>
                      <w:rFonts w:ascii="Times New Roman" w:hAnsi="Times New Roman" w:cs="Times New Roman"/>
                      <w:sz w:val="24"/>
                      <w:szCs w:val="24"/>
                    </w:rPr>
                    <w:t xml:space="preserve"> juridiskā palīdzība būtu nodrošināma </w:t>
                  </w:r>
                  <w:r w:rsidR="00F83D07">
                    <w:rPr>
                      <w:rFonts w:ascii="Times New Roman" w:hAnsi="Times New Roman" w:cs="Times New Roman"/>
                      <w:sz w:val="24"/>
                      <w:szCs w:val="24"/>
                    </w:rPr>
                    <w:t>attiecīgajam</w:t>
                  </w:r>
                  <w:r w:rsidR="00F83D07" w:rsidRPr="00F83D07">
                    <w:rPr>
                      <w:rFonts w:ascii="Times New Roman" w:hAnsi="Times New Roman" w:cs="Times New Roman"/>
                      <w:sz w:val="24"/>
                      <w:szCs w:val="24"/>
                    </w:rPr>
                    <w:t xml:space="preserve"> personu lokam, nav zināms un prognozējams, jo ir atkarīgs no ārējiem faktoriem </w:t>
                  </w:r>
                  <w:proofErr w:type="gramStart"/>
                  <w:r w:rsidR="00F83D07" w:rsidRPr="00F83D07">
                    <w:rPr>
                      <w:rFonts w:ascii="Times New Roman" w:hAnsi="Times New Roman" w:cs="Times New Roman"/>
                      <w:sz w:val="24"/>
                      <w:szCs w:val="24"/>
                    </w:rPr>
                    <w:t>(</w:t>
                  </w:r>
                  <w:proofErr w:type="gramEnd"/>
                  <w:r w:rsidR="00F83D07" w:rsidRPr="00F83D07">
                    <w:rPr>
                      <w:rFonts w:ascii="Times New Roman" w:hAnsi="Times New Roman" w:cs="Times New Roman"/>
                      <w:sz w:val="24"/>
                      <w:szCs w:val="24"/>
                    </w:rPr>
                    <w:t>piemēram, no personu spējām risināt strīdus vienojoties vai iesaistot attiecīgās institūcijas</w:t>
                  </w:r>
                  <w:r w:rsidR="00F83D07">
                    <w:rPr>
                      <w:rFonts w:ascii="Times New Roman" w:hAnsi="Times New Roman" w:cs="Times New Roman"/>
                      <w:sz w:val="24"/>
                      <w:szCs w:val="24"/>
                    </w:rPr>
                    <w:t>, tiesā iesniegtajām prasībām</w:t>
                  </w:r>
                  <w:r w:rsidR="00F83D07" w:rsidRPr="00F83D07">
                    <w:rPr>
                      <w:rFonts w:ascii="Times New Roman" w:hAnsi="Times New Roman" w:cs="Times New Roman"/>
                      <w:sz w:val="24"/>
                      <w:szCs w:val="24"/>
                    </w:rPr>
                    <w:t xml:space="preserve"> u.c.).</w:t>
                  </w:r>
                  <w:r w:rsidR="003641EC">
                    <w:t xml:space="preserve"> Saskaņā ar Advokātu procesa konceptuālajā ziņojumā norādīto, </w:t>
                  </w:r>
                  <w:r w:rsidR="003641EC" w:rsidRPr="003641EC">
                    <w:rPr>
                      <w:rFonts w:ascii="Times New Roman" w:hAnsi="Times New Roman" w:cs="Times New Roman"/>
                      <w:sz w:val="24"/>
                      <w:szCs w:val="24"/>
                    </w:rPr>
                    <w:t xml:space="preserve">advokātu procesam tiks pakļautas indikatīvi </w:t>
                  </w:r>
                  <w:r w:rsidR="003641EC">
                    <w:rPr>
                      <w:rFonts w:ascii="Times New Roman" w:hAnsi="Times New Roman" w:cs="Times New Roman"/>
                      <w:sz w:val="24"/>
                      <w:szCs w:val="24"/>
                    </w:rPr>
                    <w:t xml:space="preserve">ap 300 </w:t>
                  </w:r>
                  <w:r w:rsidR="003641EC" w:rsidRPr="003641EC">
                    <w:rPr>
                      <w:rFonts w:ascii="Times New Roman" w:hAnsi="Times New Roman" w:cs="Times New Roman"/>
                      <w:sz w:val="24"/>
                      <w:szCs w:val="24"/>
                    </w:rPr>
                    <w:t>lietas gadā</w:t>
                  </w:r>
                  <w:r w:rsidR="003641EC">
                    <w:rPr>
                      <w:rFonts w:ascii="Times New Roman" w:hAnsi="Times New Roman" w:cs="Times New Roman"/>
                      <w:sz w:val="24"/>
                      <w:szCs w:val="24"/>
                    </w:rPr>
                    <w:t>. Šobrīd nav iespējams prognozēt</w:t>
                  </w:r>
                  <w:r w:rsidR="00377DE2">
                    <w:rPr>
                      <w:rFonts w:ascii="Times New Roman" w:hAnsi="Times New Roman" w:cs="Times New Roman"/>
                      <w:sz w:val="24"/>
                      <w:szCs w:val="24"/>
                    </w:rPr>
                    <w:t>, jo</w:t>
                  </w:r>
                  <w:r w:rsidR="00F83D07" w:rsidRPr="00F83D07">
                    <w:rPr>
                      <w:rFonts w:ascii="Times New Roman" w:hAnsi="Times New Roman" w:cs="Times New Roman"/>
                      <w:sz w:val="24"/>
                      <w:szCs w:val="24"/>
                    </w:rPr>
                    <w:t xml:space="preserve"> </w:t>
                  </w:r>
                  <w:r w:rsidR="003641EC">
                    <w:rPr>
                      <w:rFonts w:ascii="Times New Roman" w:hAnsi="Times New Roman" w:cs="Times New Roman"/>
                      <w:sz w:val="24"/>
                      <w:szCs w:val="24"/>
                    </w:rPr>
                    <w:t xml:space="preserve">cik būs tādu personu, kas vēlēsies </w:t>
                  </w:r>
                  <w:r w:rsidR="00377DE2">
                    <w:rPr>
                      <w:rFonts w:ascii="Times New Roman" w:hAnsi="Times New Roman" w:cs="Times New Roman"/>
                      <w:sz w:val="24"/>
                      <w:szCs w:val="24"/>
                    </w:rPr>
                    <w:t xml:space="preserve">un būs tiesīgi </w:t>
                  </w:r>
                  <w:r w:rsidR="003641EC">
                    <w:rPr>
                      <w:rFonts w:ascii="Times New Roman" w:hAnsi="Times New Roman" w:cs="Times New Roman"/>
                      <w:sz w:val="24"/>
                      <w:szCs w:val="24"/>
                    </w:rPr>
                    <w:t>saņemt valsts nodrošināto juridisko palīdzību minētajās lietu kategorijās</w:t>
                  </w:r>
                  <w:r w:rsidR="00377DE2">
                    <w:rPr>
                      <w:rFonts w:ascii="Times New Roman" w:hAnsi="Times New Roman" w:cs="Times New Roman"/>
                      <w:sz w:val="24"/>
                      <w:szCs w:val="24"/>
                    </w:rPr>
                    <w:t>, jo tāda statistika nav tikusi apkopota, proti, cik personas, kas tiesājas šādās lietu kategorijās ir ar ienākumiem vienas minimālās mēneša algas apmērā, bet nav maznodrošinātas vai trūcīgas</w:t>
                  </w:r>
                  <w:r w:rsidR="003641EC" w:rsidRPr="00F83D07">
                    <w:rPr>
                      <w:rFonts w:ascii="Times New Roman" w:hAnsi="Times New Roman" w:cs="Times New Roman"/>
                      <w:sz w:val="24"/>
                      <w:szCs w:val="24"/>
                    </w:rPr>
                    <w:t>.</w:t>
                  </w:r>
                  <w:r w:rsidR="003641EC">
                    <w:rPr>
                      <w:rFonts w:ascii="Times New Roman" w:hAnsi="Times New Roman" w:cs="Times New Roman"/>
                      <w:sz w:val="24"/>
                      <w:szCs w:val="24"/>
                    </w:rPr>
                    <w:t xml:space="preserve"> </w:t>
                  </w:r>
                  <w:r w:rsidR="00F83D07" w:rsidRPr="00F83D07">
                    <w:rPr>
                      <w:rFonts w:ascii="Times New Roman" w:hAnsi="Times New Roman" w:cs="Times New Roman"/>
                      <w:sz w:val="24"/>
                      <w:szCs w:val="24"/>
                    </w:rPr>
                    <w:t xml:space="preserve">Līdz ar to nav iespējams sniegt informāciju par </w:t>
                  </w:r>
                  <w:r w:rsidR="00F83D07">
                    <w:rPr>
                      <w:rFonts w:ascii="Times New Roman" w:hAnsi="Times New Roman" w:cs="Times New Roman"/>
                      <w:sz w:val="24"/>
                      <w:szCs w:val="24"/>
                    </w:rPr>
                    <w:t>N</w:t>
                  </w:r>
                  <w:r w:rsidR="00F83D07" w:rsidRPr="00F83D07">
                    <w:rPr>
                      <w:rFonts w:ascii="Times New Roman" w:hAnsi="Times New Roman" w:cs="Times New Roman"/>
                      <w:sz w:val="24"/>
                      <w:szCs w:val="24"/>
                    </w:rPr>
                    <w:t>oteikumu projekta mērķa grupas skaitlisko lielumu</w:t>
                  </w:r>
                  <w:r w:rsidR="00F83D07">
                    <w:rPr>
                      <w:rFonts w:ascii="Times New Roman" w:hAnsi="Times New Roman" w:cs="Times New Roman"/>
                      <w:sz w:val="24"/>
                      <w:szCs w:val="24"/>
                    </w:rPr>
                    <w:t>, kā arī</w:t>
                  </w:r>
                  <w:r w:rsidR="00F83D07" w:rsidRPr="00F83D07">
                    <w:rPr>
                      <w:rFonts w:ascii="Times New Roman" w:hAnsi="Times New Roman" w:cs="Times New Roman"/>
                      <w:sz w:val="24"/>
                      <w:szCs w:val="24"/>
                    </w:rPr>
                    <w:t xml:space="preserve"> pašlaik nav iespējams prognozēt, uz kādu personu skaitu Ministru kabineta noteikumu projektā ietvertie izvērtēšanas kritēriji un kārtība attieksies</w:t>
                  </w:r>
                  <w:r w:rsidR="00377DE2">
                    <w:rPr>
                      <w:rFonts w:ascii="Times New Roman" w:hAnsi="Times New Roman" w:cs="Times New Roman"/>
                      <w:sz w:val="24"/>
                      <w:szCs w:val="24"/>
                    </w:rPr>
                    <w:t>.</w:t>
                  </w:r>
                  <w:r w:rsidR="00F83D07">
                    <w:rPr>
                      <w:rFonts w:ascii="Times New Roman" w:hAnsi="Times New Roman" w:cs="Times New Roman"/>
                      <w:sz w:val="24"/>
                      <w:szCs w:val="24"/>
                    </w:rPr>
                    <w:t xml:space="preserve"> Ņemot vērā minēto</w:t>
                  </w:r>
                  <w:r w:rsidR="00377DE2">
                    <w:rPr>
                      <w:rFonts w:ascii="Times New Roman" w:hAnsi="Times New Roman" w:cs="Times New Roman"/>
                      <w:sz w:val="24"/>
                      <w:szCs w:val="24"/>
                    </w:rPr>
                    <w:t>,</w:t>
                  </w:r>
                  <w:r w:rsidR="00F83D07">
                    <w:rPr>
                      <w:rFonts w:ascii="Times New Roman" w:hAnsi="Times New Roman" w:cs="Times New Roman"/>
                      <w:sz w:val="24"/>
                      <w:szCs w:val="24"/>
                    </w:rPr>
                    <w:t xml:space="preserve"> nav iespējams arī noteikt veikto iemaksu kopsummu</w:t>
                  </w:r>
                  <w:r w:rsidR="00377DE2">
                    <w:rPr>
                      <w:rFonts w:ascii="Times New Roman" w:hAnsi="Times New Roman" w:cs="Times New Roman"/>
                      <w:sz w:val="24"/>
                      <w:szCs w:val="24"/>
                    </w:rPr>
                    <w:t xml:space="preserve"> un vērtēt iemaksu ietekmi uz Juridiskās palīdzības administrācijas ieņēmumiem.</w:t>
                  </w:r>
                </w:p>
                <w:p w:rsidR="003641EC" w:rsidRPr="0095662E" w:rsidRDefault="003641EC" w:rsidP="0003172F">
                  <w:pPr>
                    <w:spacing w:after="0" w:line="240" w:lineRule="auto"/>
                    <w:ind w:firstLine="348"/>
                    <w:jc w:val="both"/>
                    <w:rPr>
                      <w:rFonts w:ascii="Times New Roman" w:hAnsi="Times New Roman" w:cs="Times New Roman"/>
                      <w:sz w:val="24"/>
                      <w:szCs w:val="24"/>
                    </w:rPr>
                  </w:pPr>
                  <w:r w:rsidRPr="003641EC">
                    <w:rPr>
                      <w:rFonts w:ascii="Times New Roman" w:hAnsi="Times New Roman" w:cs="Times New Roman"/>
                      <w:sz w:val="24"/>
                      <w:szCs w:val="24"/>
                    </w:rPr>
                    <w:t>Noteikumu projekta ieviešanai papildu līdzekļi no valsts budžeta netiks prasīti.</w:t>
                  </w:r>
                </w:p>
              </w:tc>
            </w:tr>
            <w:tr w:rsidR="00E44DBD" w:rsidRPr="0095662E" w:rsidTr="0000093C">
              <w:trPr>
                <w:cantSplit/>
              </w:trPr>
              <w:tc>
                <w:tcPr>
                  <w:tcW w:w="2121" w:type="dxa"/>
                  <w:shd w:val="clear" w:color="auto" w:fill="auto"/>
                </w:tcPr>
                <w:p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8. Cita informācija</w:t>
                  </w:r>
                </w:p>
              </w:tc>
              <w:tc>
                <w:tcPr>
                  <w:tcW w:w="6868" w:type="dxa"/>
                  <w:gridSpan w:val="7"/>
                  <w:vMerge/>
                  <w:shd w:val="clear" w:color="auto" w:fill="auto"/>
                </w:tcPr>
                <w:p w:rsidR="00E44DBD" w:rsidRPr="0095662E" w:rsidRDefault="00E44DBD" w:rsidP="0003172F">
                  <w:pPr>
                    <w:spacing w:after="0" w:line="240" w:lineRule="auto"/>
                    <w:rPr>
                      <w:rFonts w:ascii="Times New Roman" w:hAnsi="Times New Roman" w:cs="Times New Roman"/>
                      <w:sz w:val="24"/>
                      <w:szCs w:val="24"/>
                    </w:rPr>
                  </w:pPr>
                </w:p>
              </w:tc>
            </w:tr>
          </w:tbl>
          <w:p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rsidTr="0095662E">
              <w:tc>
                <w:tcPr>
                  <w:tcW w:w="8985" w:type="dxa"/>
                </w:tcPr>
                <w:p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95662E" w:rsidTr="0095662E">
              <w:tc>
                <w:tcPr>
                  <w:tcW w:w="8985" w:type="dxa"/>
                </w:tcPr>
                <w:p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r w:rsidR="0095662E" w:rsidTr="0095662E">
              <w:tc>
                <w:tcPr>
                  <w:tcW w:w="8985" w:type="dxa"/>
                </w:tcPr>
                <w:p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rsidTr="0095662E">
              <w:tc>
                <w:tcPr>
                  <w:tcW w:w="8985" w:type="dxa"/>
                </w:tcPr>
                <w:p w:rsidR="0095662E" w:rsidRPr="0095662E" w:rsidRDefault="00936CB1"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0095662E" w:rsidRPr="0095662E">
                    <w:rPr>
                      <w:rFonts w:ascii="Times New Roman" w:eastAsia="Times New Roman" w:hAnsi="Times New Roman" w:cs="Times New Roman"/>
                      <w:bCs/>
                      <w:sz w:val="24"/>
                      <w:szCs w:val="24"/>
                      <w:lang w:eastAsia="lv-LV"/>
                    </w:rPr>
                    <w:t>rojekts šo jomu neskar</w:t>
                  </w:r>
                </w:p>
              </w:tc>
            </w:tr>
          </w:tbl>
          <w:p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projektu un dotu iespēju izteikt viedokli, </w:t>
            </w:r>
            <w:r>
              <w:rPr>
                <w:rFonts w:ascii="Times New Roman" w:eastAsia="Times New Roman" w:hAnsi="Times New Roman" w:cs="Times New Roman"/>
                <w:sz w:val="24"/>
                <w:szCs w:val="24"/>
                <w:lang w:eastAsia="lv-LV"/>
              </w:rPr>
              <w:t xml:space="preserve">Noteikumu </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2018.</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proofErr w:type="gramStart"/>
            <w:r w:rsidR="006A0640">
              <w:rPr>
                <w:rFonts w:ascii="Times New Roman" w:eastAsia="Times New Roman" w:hAnsi="Times New Roman" w:cs="Times New Roman"/>
                <w:bCs/>
                <w:sz w:val="24"/>
                <w:szCs w:val="24"/>
                <w:lang w:eastAsia="lv-LV"/>
              </w:rPr>
              <w:t>4.oktobrī</w:t>
            </w:r>
            <w:proofErr w:type="gramEnd"/>
            <w:r w:rsidRPr="0003172F">
              <w:rPr>
                <w:rFonts w:ascii="Times New Roman" w:eastAsia="Times New Roman" w:hAnsi="Times New Roman" w:cs="Times New Roman"/>
                <w:bCs/>
                <w:sz w:val="24"/>
                <w:szCs w:val="24"/>
                <w:lang w:eastAsia="lv-LV"/>
              </w:rPr>
              <w:t xml:space="preserve"> </w:t>
            </w:r>
            <w:r w:rsidR="00421A13">
              <w:rPr>
                <w:rFonts w:ascii="Times New Roman" w:eastAsia="Times New Roman" w:hAnsi="Times New Roman" w:cs="Times New Roman"/>
                <w:bCs/>
                <w:sz w:val="24"/>
                <w:szCs w:val="24"/>
                <w:lang w:eastAsia="lv-LV"/>
              </w:rPr>
              <w:t xml:space="preserve">Noteikumu </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rsidR="00421A13" w:rsidRPr="008E78EF" w:rsidRDefault="00421A13" w:rsidP="00386B4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lang w:eastAsia="lv-LV"/>
              </w:rPr>
              <w:t>Noteikumu projekt</w:t>
            </w:r>
            <w:r w:rsidR="006A0640">
              <w:rPr>
                <w:rFonts w:ascii="Times New Roman" w:hAnsi="Times New Roman" w:cs="Times New Roman"/>
                <w:sz w:val="24"/>
                <w:szCs w:val="24"/>
                <w:lang w:eastAsia="lv-LV"/>
              </w:rPr>
              <w:t>s izstrādāts sadarbībā ar Juridiskās palīdzības administrāciju.</w:t>
            </w:r>
          </w:p>
        </w:tc>
      </w:tr>
      <w:tr w:rsidR="00873A7C" w:rsidRPr="005A735D"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Noteikumu 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Noteikumu projektu no sabiedrības pārstāvju puses </w:t>
            </w:r>
            <w:r w:rsidR="006A0640">
              <w:rPr>
                <w:rFonts w:ascii="Times New Roman" w:eastAsia="Times New Roman" w:hAnsi="Times New Roman" w:cs="Times New Roman"/>
                <w:sz w:val="24"/>
                <w:szCs w:val="24"/>
                <w:lang w:eastAsia="lv-LV"/>
              </w:rPr>
              <w:t>…..saņemti</w:t>
            </w:r>
            <w:r w:rsidRPr="005A735D">
              <w:rPr>
                <w:rFonts w:ascii="Times New Roman" w:eastAsia="Times New Roman" w:hAnsi="Times New Roman" w:cs="Times New Roman"/>
                <w:sz w:val="24"/>
                <w:szCs w:val="24"/>
                <w:lang w:eastAsia="lv-LV"/>
              </w:rPr>
              <w:t>.</w:t>
            </w:r>
          </w:p>
          <w:p w:rsidR="005D70C7" w:rsidRPr="008C774E" w:rsidRDefault="008E78EF" w:rsidP="008C774E">
            <w:pPr>
              <w:spacing w:after="0" w:line="240" w:lineRule="auto"/>
              <w:ind w:firstLine="348"/>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r w:rsidR="00421A13">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421A13">
              <w:rPr>
                <w:rFonts w:ascii="Times New Roman" w:hAnsi="Times New Roman" w:cs="Times New Roman"/>
                <w:sz w:val="24"/>
                <w:szCs w:val="24"/>
                <w:lang w:eastAsia="lv-LV"/>
              </w:rPr>
              <w:t>sniegtie ierosinājumi Noteikumu projekta izstrādē ņemti vērā.</w:t>
            </w:r>
            <w:r w:rsidR="00386B4F">
              <w:rPr>
                <w:rFonts w:ascii="Times New Roman" w:hAnsi="Times New Roman" w:cs="Times New Roman"/>
                <w:sz w:val="24"/>
                <w:szCs w:val="24"/>
                <w:lang w:eastAsia="lv-LV"/>
              </w:rPr>
              <w:t xml:space="preserve"> </w:t>
            </w:r>
          </w:p>
        </w:tc>
      </w:tr>
      <w:tr w:rsidR="00873A7C" w:rsidRPr="005A735D"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rsidR="000A3BE5" w:rsidRPr="005A735D" w:rsidRDefault="000A3BE5" w:rsidP="00F504D5">
            <w:pPr>
              <w:pStyle w:val="naiskr"/>
              <w:spacing w:before="0" w:after="0"/>
              <w:ind w:firstLine="348"/>
              <w:jc w:val="both"/>
              <w:rPr>
                <w:u w:val="single"/>
              </w:rPr>
            </w:pPr>
            <w:r w:rsidRPr="005A735D">
              <w:t>Nav.</w:t>
            </w:r>
          </w:p>
        </w:tc>
      </w:tr>
    </w:tbl>
    <w:p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lastRenderedPageBreak/>
              <w:t>VII. Tiesību akta projekta izpildes nodrošināšana un tās ietekme uz institūcijām</w:t>
            </w:r>
          </w:p>
        </w:tc>
      </w:tr>
      <w:tr w:rsidR="00873A7C" w:rsidRPr="005A735D"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5A735D" w:rsidRDefault="004A474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Juridiskās palīdzības a</w:t>
            </w:r>
            <w:r w:rsidR="005336BD" w:rsidRPr="005A735D">
              <w:rPr>
                <w:rFonts w:ascii="Times New Roman" w:eastAsia="Times New Roman" w:hAnsi="Times New Roman" w:cs="Times New Roman"/>
                <w:sz w:val="24"/>
                <w:szCs w:val="24"/>
                <w:lang w:eastAsia="lv-LV"/>
              </w:rPr>
              <w:t>dministrācija.</w:t>
            </w:r>
          </w:p>
        </w:tc>
      </w:tr>
      <w:tr w:rsidR="00873A7C" w:rsidRPr="005A735D"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F504D5" w:rsidRDefault="00E86601" w:rsidP="00F504D5">
            <w:pPr>
              <w:spacing w:after="0" w:line="240" w:lineRule="auto"/>
              <w:ind w:firstLine="327"/>
              <w:rPr>
                <w:rFonts w:ascii="Times New Roman" w:eastAsia="Times New Roman" w:hAnsi="Times New Roman" w:cs="Times New Roman"/>
                <w:sz w:val="24"/>
                <w:szCs w:val="24"/>
                <w:lang w:eastAsia="lv-LV"/>
              </w:rPr>
            </w:pPr>
            <w:r w:rsidRPr="00F504D5">
              <w:rPr>
                <w:rFonts w:ascii="Times New Roman" w:eastAsia="Times New Roman" w:hAnsi="Times New Roman" w:cs="Times New Roman"/>
                <w:sz w:val="24"/>
                <w:szCs w:val="24"/>
                <w:lang w:eastAsia="lv-LV"/>
              </w:rPr>
              <w:t>Noteikumu p</w:t>
            </w:r>
            <w:r w:rsidR="00AD77DD" w:rsidRPr="00F504D5">
              <w:rPr>
                <w:rFonts w:ascii="Times New Roman" w:eastAsia="Times New Roman" w:hAnsi="Times New Roman" w:cs="Times New Roman"/>
                <w:sz w:val="24"/>
                <w:szCs w:val="24"/>
                <w:lang w:eastAsia="lv-LV"/>
              </w:rPr>
              <w:t>rojekts šo jomu neskar.</w:t>
            </w:r>
          </w:p>
        </w:tc>
      </w:tr>
      <w:tr w:rsidR="00873A7C" w:rsidRPr="005A735D"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rsidR="0059487C" w:rsidRPr="005A735D" w:rsidRDefault="0059487C" w:rsidP="00F504D5">
      <w:pPr>
        <w:spacing w:after="0" w:line="240" w:lineRule="auto"/>
        <w:rPr>
          <w:rFonts w:ascii="Times New Roman" w:hAnsi="Times New Roman" w:cs="Times New Roman"/>
          <w:sz w:val="24"/>
          <w:szCs w:val="24"/>
        </w:rPr>
      </w:pPr>
    </w:p>
    <w:p w:rsidR="00DA5A0F" w:rsidRPr="005A735D" w:rsidRDefault="00DA5A0F" w:rsidP="00F504D5">
      <w:pPr>
        <w:pStyle w:val="StyleRight"/>
        <w:spacing w:after="0"/>
        <w:ind w:firstLine="0"/>
        <w:jc w:val="both"/>
        <w:rPr>
          <w:sz w:val="24"/>
          <w:szCs w:val="24"/>
        </w:rPr>
      </w:pPr>
      <w:r w:rsidRPr="005A735D">
        <w:rPr>
          <w:sz w:val="24"/>
          <w:szCs w:val="24"/>
        </w:rPr>
        <w:t>Iesniedzējs:</w:t>
      </w:r>
    </w:p>
    <w:p w:rsidR="007E39E8" w:rsidRPr="005D70C7" w:rsidRDefault="00DB4230"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Pr>
          <w:rFonts w:ascii="Times New Roman" w:eastAsia="Times New Roman" w:hAnsi="Times New Roman" w:cs="Times New Roman"/>
          <w:sz w:val="24"/>
          <w:szCs w:val="24"/>
        </w:rPr>
        <w:tab/>
      </w:r>
      <w:r w:rsidR="002D0E36">
        <w:rPr>
          <w:rFonts w:ascii="Times New Roman" w:eastAsia="Times New Roman" w:hAnsi="Times New Roman" w:cs="Times New Roman"/>
          <w:sz w:val="24"/>
          <w:szCs w:val="24"/>
        </w:rPr>
        <w:t>Dzintars Rasnačs</w:t>
      </w:r>
    </w:p>
    <w:p w:rsidR="0059487C" w:rsidRDefault="0059487C" w:rsidP="005D70C7">
      <w:pPr>
        <w:pStyle w:val="StyleRight"/>
        <w:spacing w:after="0"/>
        <w:ind w:firstLine="0"/>
        <w:jc w:val="both"/>
        <w:rPr>
          <w:sz w:val="24"/>
          <w:szCs w:val="24"/>
        </w:rPr>
      </w:pPr>
    </w:p>
    <w:p w:rsidR="0097558F" w:rsidRPr="0003172F" w:rsidRDefault="0097558F" w:rsidP="005D70C7">
      <w:pPr>
        <w:pStyle w:val="StyleRight"/>
        <w:spacing w:after="0"/>
        <w:ind w:firstLine="0"/>
        <w:jc w:val="both"/>
        <w:rPr>
          <w:sz w:val="24"/>
          <w:szCs w:val="24"/>
        </w:rPr>
      </w:pPr>
    </w:p>
    <w:p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rsidR="004D15A9" w:rsidRPr="002D0E36" w:rsidRDefault="002039E6" w:rsidP="005D70C7">
      <w:pPr>
        <w:spacing w:after="0" w:line="240" w:lineRule="auto"/>
        <w:rPr>
          <w:rFonts w:ascii="Times New Roman" w:hAnsi="Times New Roman" w:cs="Times New Roman"/>
          <w:sz w:val="20"/>
          <w:szCs w:val="20"/>
        </w:rPr>
      </w:pPr>
      <w:hyperlink r:id="rId12"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12" w:rsidRDefault="00837C12" w:rsidP="004D15A9">
      <w:pPr>
        <w:spacing w:after="0" w:line="240" w:lineRule="auto"/>
      </w:pPr>
      <w:r>
        <w:separator/>
      </w:r>
    </w:p>
  </w:endnote>
  <w:endnote w:type="continuationSeparator" w:id="0">
    <w:p w:rsidR="00837C12" w:rsidRDefault="00837C1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19" w:rsidRPr="00947887" w:rsidRDefault="00103019"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8C774E">
      <w:rPr>
        <w:rFonts w:ascii="Times New Roman" w:hAnsi="Times New Roman" w:cs="Times New Roman"/>
        <w:color w:val="000000" w:themeColor="text1"/>
        <w:sz w:val="20"/>
        <w:szCs w:val="20"/>
      </w:rPr>
      <w:t>0</w:t>
    </w:r>
    <w:r w:rsidR="002039E6">
      <w:rPr>
        <w:rFonts w:ascii="Times New Roman" w:hAnsi="Times New Roman" w:cs="Times New Roman"/>
        <w:color w:val="000000" w:themeColor="text1"/>
        <w:sz w:val="20"/>
        <w:szCs w:val="20"/>
      </w:rPr>
      <w:t>8</w:t>
    </w:r>
    <w:r w:rsidR="008C774E">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018</w:t>
    </w:r>
    <w:r w:rsidRPr="00B01D63">
      <w:rPr>
        <w:rFonts w:ascii="Times New Roman" w:hAnsi="Times New Roman" w:cs="Times New Roman"/>
        <w:color w:val="000000" w:themeColor="text1"/>
        <w:sz w:val="20"/>
        <w:szCs w:val="20"/>
      </w:rPr>
      <w:t>_</w:t>
    </w:r>
    <w:r w:rsidR="008C774E">
      <w:rPr>
        <w:rFonts w:ascii="Times New Roman" w:hAnsi="Times New Roman" w:cs="Times New Roman"/>
        <w:color w:val="000000" w:themeColor="text1"/>
        <w:sz w:val="20"/>
        <w:szCs w:val="20"/>
      </w:rPr>
      <w:t>iemaksa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19" w:rsidRPr="00B01D63" w:rsidRDefault="00103019"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8C774E">
      <w:rPr>
        <w:rFonts w:ascii="Times New Roman" w:hAnsi="Times New Roman" w:cs="Times New Roman"/>
        <w:color w:val="000000" w:themeColor="text1"/>
        <w:sz w:val="20"/>
        <w:szCs w:val="20"/>
      </w:rPr>
      <w:t>0</w:t>
    </w:r>
    <w:r w:rsidR="002039E6">
      <w:rPr>
        <w:rFonts w:ascii="Times New Roman" w:hAnsi="Times New Roman" w:cs="Times New Roman"/>
        <w:color w:val="000000" w:themeColor="text1"/>
        <w:sz w:val="20"/>
        <w:szCs w:val="20"/>
      </w:rPr>
      <w:t>8</w:t>
    </w:r>
    <w:r w:rsidR="008C774E">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18</w:t>
    </w:r>
    <w:r w:rsidRPr="00B01D63">
      <w:rPr>
        <w:rFonts w:ascii="Times New Roman" w:hAnsi="Times New Roman" w:cs="Times New Roman"/>
        <w:color w:val="000000" w:themeColor="text1"/>
        <w:sz w:val="20"/>
        <w:szCs w:val="20"/>
      </w:rPr>
      <w:t>_</w:t>
    </w:r>
    <w:r w:rsidR="008C774E">
      <w:rPr>
        <w:rFonts w:ascii="Times New Roman" w:hAnsi="Times New Roman" w:cs="Times New Roman"/>
        <w:color w:val="000000" w:themeColor="text1"/>
        <w:sz w:val="20"/>
        <w:szCs w:val="20"/>
      </w:rPr>
      <w:t>iemaksa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12" w:rsidRDefault="00837C12" w:rsidP="004D15A9">
      <w:pPr>
        <w:spacing w:after="0" w:line="240" w:lineRule="auto"/>
      </w:pPr>
      <w:r>
        <w:separator/>
      </w:r>
    </w:p>
  </w:footnote>
  <w:footnote w:type="continuationSeparator" w:id="0">
    <w:p w:rsidR="00837C12" w:rsidRDefault="00837C12"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rsidR="00103019" w:rsidRPr="004D15A9" w:rsidRDefault="0010301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60F2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103019" w:rsidRDefault="001030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3F023C9"/>
    <w:multiLevelType w:val="hybridMultilevel"/>
    <w:tmpl w:val="038ED8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8"/>
  </w:num>
  <w:num w:numId="6">
    <w:abstractNumId w:val="7"/>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73FE"/>
    <w:rsid w:val="00014485"/>
    <w:rsid w:val="00020B55"/>
    <w:rsid w:val="00023AF7"/>
    <w:rsid w:val="000255BA"/>
    <w:rsid w:val="000260E6"/>
    <w:rsid w:val="00031256"/>
    <w:rsid w:val="0003172F"/>
    <w:rsid w:val="00042787"/>
    <w:rsid w:val="00050D8B"/>
    <w:rsid w:val="00052793"/>
    <w:rsid w:val="00052F2E"/>
    <w:rsid w:val="00064FDA"/>
    <w:rsid w:val="00065136"/>
    <w:rsid w:val="00065E45"/>
    <w:rsid w:val="00066968"/>
    <w:rsid w:val="00075D9C"/>
    <w:rsid w:val="00085532"/>
    <w:rsid w:val="0009153D"/>
    <w:rsid w:val="00092D36"/>
    <w:rsid w:val="000932C1"/>
    <w:rsid w:val="0009644D"/>
    <w:rsid w:val="000A1795"/>
    <w:rsid w:val="000A20DC"/>
    <w:rsid w:val="000A2519"/>
    <w:rsid w:val="000A3BE5"/>
    <w:rsid w:val="000B4DF4"/>
    <w:rsid w:val="000D07F3"/>
    <w:rsid w:val="000E27C6"/>
    <w:rsid w:val="000E483F"/>
    <w:rsid w:val="000E4BC5"/>
    <w:rsid w:val="00101CD5"/>
    <w:rsid w:val="00103019"/>
    <w:rsid w:val="001112E1"/>
    <w:rsid w:val="00112D27"/>
    <w:rsid w:val="00113ABF"/>
    <w:rsid w:val="0012377F"/>
    <w:rsid w:val="0012432A"/>
    <w:rsid w:val="00126D85"/>
    <w:rsid w:val="00144D69"/>
    <w:rsid w:val="001523BC"/>
    <w:rsid w:val="00152991"/>
    <w:rsid w:val="00163A19"/>
    <w:rsid w:val="0016688C"/>
    <w:rsid w:val="00170344"/>
    <w:rsid w:val="001704B9"/>
    <w:rsid w:val="00174A5F"/>
    <w:rsid w:val="001845D0"/>
    <w:rsid w:val="00193B2C"/>
    <w:rsid w:val="0019773F"/>
    <w:rsid w:val="001979DD"/>
    <w:rsid w:val="001A1EEC"/>
    <w:rsid w:val="001A5455"/>
    <w:rsid w:val="001A78CF"/>
    <w:rsid w:val="001A790C"/>
    <w:rsid w:val="001B581F"/>
    <w:rsid w:val="001C20BA"/>
    <w:rsid w:val="001C5CC6"/>
    <w:rsid w:val="001D409A"/>
    <w:rsid w:val="001E7F37"/>
    <w:rsid w:val="001F1185"/>
    <w:rsid w:val="001F5BB2"/>
    <w:rsid w:val="001F6132"/>
    <w:rsid w:val="001F618F"/>
    <w:rsid w:val="0020298F"/>
    <w:rsid w:val="002039E6"/>
    <w:rsid w:val="002061CB"/>
    <w:rsid w:val="00214C30"/>
    <w:rsid w:val="00226083"/>
    <w:rsid w:val="002345CF"/>
    <w:rsid w:val="00245FE9"/>
    <w:rsid w:val="00246BDC"/>
    <w:rsid w:val="00247852"/>
    <w:rsid w:val="00260EF5"/>
    <w:rsid w:val="002628F7"/>
    <w:rsid w:val="00262B5A"/>
    <w:rsid w:val="00262C44"/>
    <w:rsid w:val="0026473A"/>
    <w:rsid w:val="002802FD"/>
    <w:rsid w:val="002832CC"/>
    <w:rsid w:val="00283BA8"/>
    <w:rsid w:val="00284A6B"/>
    <w:rsid w:val="00287A88"/>
    <w:rsid w:val="002A397E"/>
    <w:rsid w:val="002A5584"/>
    <w:rsid w:val="002A6686"/>
    <w:rsid w:val="002C2A03"/>
    <w:rsid w:val="002C3692"/>
    <w:rsid w:val="002C4DD1"/>
    <w:rsid w:val="002D0E36"/>
    <w:rsid w:val="002D39AA"/>
    <w:rsid w:val="002D58E4"/>
    <w:rsid w:val="002D77FE"/>
    <w:rsid w:val="002E1DA3"/>
    <w:rsid w:val="002E2543"/>
    <w:rsid w:val="002E43AF"/>
    <w:rsid w:val="002E593C"/>
    <w:rsid w:val="002F08D0"/>
    <w:rsid w:val="002F2071"/>
    <w:rsid w:val="00301AE6"/>
    <w:rsid w:val="00303642"/>
    <w:rsid w:val="00305E5D"/>
    <w:rsid w:val="0032319B"/>
    <w:rsid w:val="00330A3F"/>
    <w:rsid w:val="003365EF"/>
    <w:rsid w:val="00340157"/>
    <w:rsid w:val="00340F8B"/>
    <w:rsid w:val="00341660"/>
    <w:rsid w:val="00341845"/>
    <w:rsid w:val="00344436"/>
    <w:rsid w:val="00344E0A"/>
    <w:rsid w:val="00347C71"/>
    <w:rsid w:val="003641EC"/>
    <w:rsid w:val="00377DE2"/>
    <w:rsid w:val="00386B4F"/>
    <w:rsid w:val="003922B0"/>
    <w:rsid w:val="00393A74"/>
    <w:rsid w:val="00394159"/>
    <w:rsid w:val="00396A95"/>
    <w:rsid w:val="003A085E"/>
    <w:rsid w:val="003A0865"/>
    <w:rsid w:val="003A2A0B"/>
    <w:rsid w:val="003B5122"/>
    <w:rsid w:val="003C1E6C"/>
    <w:rsid w:val="003C2D21"/>
    <w:rsid w:val="003D01F7"/>
    <w:rsid w:val="003D1971"/>
    <w:rsid w:val="003E0690"/>
    <w:rsid w:val="003E0A66"/>
    <w:rsid w:val="003E6D32"/>
    <w:rsid w:val="003E7AC3"/>
    <w:rsid w:val="003F59F6"/>
    <w:rsid w:val="003F64D8"/>
    <w:rsid w:val="00401A91"/>
    <w:rsid w:val="004022EB"/>
    <w:rsid w:val="00402D35"/>
    <w:rsid w:val="004054A3"/>
    <w:rsid w:val="00406F3C"/>
    <w:rsid w:val="00412164"/>
    <w:rsid w:val="00414B95"/>
    <w:rsid w:val="00421A13"/>
    <w:rsid w:val="00436076"/>
    <w:rsid w:val="004406E1"/>
    <w:rsid w:val="00443241"/>
    <w:rsid w:val="004434F7"/>
    <w:rsid w:val="00447370"/>
    <w:rsid w:val="00457548"/>
    <w:rsid w:val="00474553"/>
    <w:rsid w:val="00490942"/>
    <w:rsid w:val="004912D7"/>
    <w:rsid w:val="004A402E"/>
    <w:rsid w:val="004A474D"/>
    <w:rsid w:val="004A6D58"/>
    <w:rsid w:val="004B7903"/>
    <w:rsid w:val="004C0652"/>
    <w:rsid w:val="004C0FAC"/>
    <w:rsid w:val="004C154B"/>
    <w:rsid w:val="004C3117"/>
    <w:rsid w:val="004C38EB"/>
    <w:rsid w:val="004D15A9"/>
    <w:rsid w:val="004D5E04"/>
    <w:rsid w:val="004E5650"/>
    <w:rsid w:val="004E5BC8"/>
    <w:rsid w:val="004E5E9F"/>
    <w:rsid w:val="004F1E42"/>
    <w:rsid w:val="004F695E"/>
    <w:rsid w:val="00500B08"/>
    <w:rsid w:val="00504884"/>
    <w:rsid w:val="00506D83"/>
    <w:rsid w:val="00506E0A"/>
    <w:rsid w:val="00512075"/>
    <w:rsid w:val="00513E0A"/>
    <w:rsid w:val="00514E4B"/>
    <w:rsid w:val="0052269C"/>
    <w:rsid w:val="00525C01"/>
    <w:rsid w:val="00530892"/>
    <w:rsid w:val="005319E8"/>
    <w:rsid w:val="00532C62"/>
    <w:rsid w:val="00532FB8"/>
    <w:rsid w:val="005336BD"/>
    <w:rsid w:val="00534FD8"/>
    <w:rsid w:val="00536CBD"/>
    <w:rsid w:val="00540494"/>
    <w:rsid w:val="0054782B"/>
    <w:rsid w:val="00555795"/>
    <w:rsid w:val="005568A6"/>
    <w:rsid w:val="00560F62"/>
    <w:rsid w:val="00562B9C"/>
    <w:rsid w:val="0056416B"/>
    <w:rsid w:val="005725E6"/>
    <w:rsid w:val="00590EA0"/>
    <w:rsid w:val="0059487C"/>
    <w:rsid w:val="00595746"/>
    <w:rsid w:val="005A735D"/>
    <w:rsid w:val="005D0F51"/>
    <w:rsid w:val="005D4E8A"/>
    <w:rsid w:val="005D612B"/>
    <w:rsid w:val="005D70C7"/>
    <w:rsid w:val="005E3EF6"/>
    <w:rsid w:val="005F0526"/>
    <w:rsid w:val="005F07D2"/>
    <w:rsid w:val="005F128E"/>
    <w:rsid w:val="005F4DCD"/>
    <w:rsid w:val="005F6F0C"/>
    <w:rsid w:val="00601D39"/>
    <w:rsid w:val="0060369A"/>
    <w:rsid w:val="00624636"/>
    <w:rsid w:val="006369F5"/>
    <w:rsid w:val="006453A1"/>
    <w:rsid w:val="00646934"/>
    <w:rsid w:val="00647EA4"/>
    <w:rsid w:val="00661BFC"/>
    <w:rsid w:val="00666EA4"/>
    <w:rsid w:val="00667592"/>
    <w:rsid w:val="00670710"/>
    <w:rsid w:val="00675FFA"/>
    <w:rsid w:val="0067628F"/>
    <w:rsid w:val="00676F3B"/>
    <w:rsid w:val="0068219E"/>
    <w:rsid w:val="006823F5"/>
    <w:rsid w:val="00685336"/>
    <w:rsid w:val="0068617D"/>
    <w:rsid w:val="006920FC"/>
    <w:rsid w:val="00692230"/>
    <w:rsid w:val="00695DD3"/>
    <w:rsid w:val="006A0640"/>
    <w:rsid w:val="006A2C24"/>
    <w:rsid w:val="006A33C0"/>
    <w:rsid w:val="006C24F6"/>
    <w:rsid w:val="006C2F74"/>
    <w:rsid w:val="006D0038"/>
    <w:rsid w:val="006D1489"/>
    <w:rsid w:val="006D25B1"/>
    <w:rsid w:val="006D4310"/>
    <w:rsid w:val="006D7A51"/>
    <w:rsid w:val="006E3EC1"/>
    <w:rsid w:val="006E626E"/>
    <w:rsid w:val="006E6777"/>
    <w:rsid w:val="006F087C"/>
    <w:rsid w:val="006F7336"/>
    <w:rsid w:val="00700604"/>
    <w:rsid w:val="00706E7F"/>
    <w:rsid w:val="007154B6"/>
    <w:rsid w:val="00716AC1"/>
    <w:rsid w:val="00725B16"/>
    <w:rsid w:val="00726384"/>
    <w:rsid w:val="007309A3"/>
    <w:rsid w:val="007368C1"/>
    <w:rsid w:val="00752571"/>
    <w:rsid w:val="00756A2E"/>
    <w:rsid w:val="00774148"/>
    <w:rsid w:val="00777982"/>
    <w:rsid w:val="00781816"/>
    <w:rsid w:val="00785253"/>
    <w:rsid w:val="00785639"/>
    <w:rsid w:val="007909E2"/>
    <w:rsid w:val="00797FB0"/>
    <w:rsid w:val="007A0C02"/>
    <w:rsid w:val="007A2833"/>
    <w:rsid w:val="007B5864"/>
    <w:rsid w:val="007B79E6"/>
    <w:rsid w:val="007C357B"/>
    <w:rsid w:val="007C6457"/>
    <w:rsid w:val="007D0838"/>
    <w:rsid w:val="007D483A"/>
    <w:rsid w:val="007D5202"/>
    <w:rsid w:val="007E39E8"/>
    <w:rsid w:val="007E6312"/>
    <w:rsid w:val="007F7AED"/>
    <w:rsid w:val="008031B6"/>
    <w:rsid w:val="00807973"/>
    <w:rsid w:val="0081203F"/>
    <w:rsid w:val="0082095E"/>
    <w:rsid w:val="008211EE"/>
    <w:rsid w:val="008214F5"/>
    <w:rsid w:val="00826D2E"/>
    <w:rsid w:val="00826EBA"/>
    <w:rsid w:val="00831C69"/>
    <w:rsid w:val="008320AF"/>
    <w:rsid w:val="00833FA5"/>
    <w:rsid w:val="00837C12"/>
    <w:rsid w:val="00845E23"/>
    <w:rsid w:val="0084616E"/>
    <w:rsid w:val="008462DF"/>
    <w:rsid w:val="008549B5"/>
    <w:rsid w:val="00854DE1"/>
    <w:rsid w:val="00860F21"/>
    <w:rsid w:val="00863999"/>
    <w:rsid w:val="00863DAC"/>
    <w:rsid w:val="008650B4"/>
    <w:rsid w:val="00866183"/>
    <w:rsid w:val="0086781D"/>
    <w:rsid w:val="00873A7C"/>
    <w:rsid w:val="0088127B"/>
    <w:rsid w:val="008833CD"/>
    <w:rsid w:val="00895B6F"/>
    <w:rsid w:val="008963DF"/>
    <w:rsid w:val="00896B65"/>
    <w:rsid w:val="008B54B8"/>
    <w:rsid w:val="008C12EC"/>
    <w:rsid w:val="008C24B4"/>
    <w:rsid w:val="008C4265"/>
    <w:rsid w:val="008C774E"/>
    <w:rsid w:val="008D59B7"/>
    <w:rsid w:val="008E3AD4"/>
    <w:rsid w:val="008E78EF"/>
    <w:rsid w:val="008F0559"/>
    <w:rsid w:val="008F5BAE"/>
    <w:rsid w:val="009010F3"/>
    <w:rsid w:val="009047F8"/>
    <w:rsid w:val="0090575E"/>
    <w:rsid w:val="0091366B"/>
    <w:rsid w:val="009167F3"/>
    <w:rsid w:val="00925E21"/>
    <w:rsid w:val="00932C23"/>
    <w:rsid w:val="00935BA6"/>
    <w:rsid w:val="00936CB1"/>
    <w:rsid w:val="00943620"/>
    <w:rsid w:val="00946E87"/>
    <w:rsid w:val="00947202"/>
    <w:rsid w:val="00947887"/>
    <w:rsid w:val="00952E23"/>
    <w:rsid w:val="0095662E"/>
    <w:rsid w:val="00960C42"/>
    <w:rsid w:val="00967E8E"/>
    <w:rsid w:val="00972CB7"/>
    <w:rsid w:val="00974334"/>
    <w:rsid w:val="00974808"/>
    <w:rsid w:val="0097558F"/>
    <w:rsid w:val="009803D0"/>
    <w:rsid w:val="009848B1"/>
    <w:rsid w:val="00986501"/>
    <w:rsid w:val="00992716"/>
    <w:rsid w:val="009A262D"/>
    <w:rsid w:val="009A2752"/>
    <w:rsid w:val="009A3F17"/>
    <w:rsid w:val="009A7065"/>
    <w:rsid w:val="009B0D0D"/>
    <w:rsid w:val="009C0099"/>
    <w:rsid w:val="009C0A7A"/>
    <w:rsid w:val="009C3F7B"/>
    <w:rsid w:val="009D2941"/>
    <w:rsid w:val="009D342C"/>
    <w:rsid w:val="009D482E"/>
    <w:rsid w:val="009D4F10"/>
    <w:rsid w:val="009D5F85"/>
    <w:rsid w:val="009D67C1"/>
    <w:rsid w:val="009D7ACD"/>
    <w:rsid w:val="009F3694"/>
    <w:rsid w:val="009F752E"/>
    <w:rsid w:val="009F7DA1"/>
    <w:rsid w:val="00A062D6"/>
    <w:rsid w:val="00A13217"/>
    <w:rsid w:val="00A15134"/>
    <w:rsid w:val="00A15B3D"/>
    <w:rsid w:val="00A15D80"/>
    <w:rsid w:val="00A24395"/>
    <w:rsid w:val="00A336E9"/>
    <w:rsid w:val="00A33975"/>
    <w:rsid w:val="00A44123"/>
    <w:rsid w:val="00A556B4"/>
    <w:rsid w:val="00A55C4F"/>
    <w:rsid w:val="00A60A25"/>
    <w:rsid w:val="00A6532B"/>
    <w:rsid w:val="00A7672F"/>
    <w:rsid w:val="00A81010"/>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A25"/>
    <w:rsid w:val="00AF1C57"/>
    <w:rsid w:val="00AF1E42"/>
    <w:rsid w:val="00AF5C14"/>
    <w:rsid w:val="00AF7075"/>
    <w:rsid w:val="00B01360"/>
    <w:rsid w:val="00B01D63"/>
    <w:rsid w:val="00B11078"/>
    <w:rsid w:val="00B2066E"/>
    <w:rsid w:val="00B232C4"/>
    <w:rsid w:val="00B30BD5"/>
    <w:rsid w:val="00B52986"/>
    <w:rsid w:val="00B543BE"/>
    <w:rsid w:val="00B66A61"/>
    <w:rsid w:val="00B70E6A"/>
    <w:rsid w:val="00B713E3"/>
    <w:rsid w:val="00B7251F"/>
    <w:rsid w:val="00B754D1"/>
    <w:rsid w:val="00B76DEA"/>
    <w:rsid w:val="00B818AB"/>
    <w:rsid w:val="00B8466F"/>
    <w:rsid w:val="00B90911"/>
    <w:rsid w:val="00B979EC"/>
    <w:rsid w:val="00BA299C"/>
    <w:rsid w:val="00BA52C9"/>
    <w:rsid w:val="00BA6230"/>
    <w:rsid w:val="00BB1F46"/>
    <w:rsid w:val="00BB5368"/>
    <w:rsid w:val="00BB60EA"/>
    <w:rsid w:val="00BC233B"/>
    <w:rsid w:val="00BC27C3"/>
    <w:rsid w:val="00BD2A76"/>
    <w:rsid w:val="00BD5502"/>
    <w:rsid w:val="00BE5E2A"/>
    <w:rsid w:val="00BF14BB"/>
    <w:rsid w:val="00BF227C"/>
    <w:rsid w:val="00BF6B32"/>
    <w:rsid w:val="00C0169D"/>
    <w:rsid w:val="00C0628F"/>
    <w:rsid w:val="00C25867"/>
    <w:rsid w:val="00C344E2"/>
    <w:rsid w:val="00C34993"/>
    <w:rsid w:val="00C3649D"/>
    <w:rsid w:val="00C368DC"/>
    <w:rsid w:val="00C37D20"/>
    <w:rsid w:val="00C40877"/>
    <w:rsid w:val="00C47A2D"/>
    <w:rsid w:val="00C5564D"/>
    <w:rsid w:val="00C56E2A"/>
    <w:rsid w:val="00C60DB6"/>
    <w:rsid w:val="00C61B9C"/>
    <w:rsid w:val="00C64372"/>
    <w:rsid w:val="00C651CF"/>
    <w:rsid w:val="00C656AE"/>
    <w:rsid w:val="00C72F85"/>
    <w:rsid w:val="00C747E2"/>
    <w:rsid w:val="00C74E2E"/>
    <w:rsid w:val="00C8732A"/>
    <w:rsid w:val="00C945CA"/>
    <w:rsid w:val="00CA2D08"/>
    <w:rsid w:val="00CA2EE8"/>
    <w:rsid w:val="00CA4682"/>
    <w:rsid w:val="00CA6E0F"/>
    <w:rsid w:val="00CA7F10"/>
    <w:rsid w:val="00CB0717"/>
    <w:rsid w:val="00CC11F2"/>
    <w:rsid w:val="00CC6512"/>
    <w:rsid w:val="00CD3BD8"/>
    <w:rsid w:val="00CE0C64"/>
    <w:rsid w:val="00CE17EC"/>
    <w:rsid w:val="00CE2FF7"/>
    <w:rsid w:val="00CE71A7"/>
    <w:rsid w:val="00CF503F"/>
    <w:rsid w:val="00CF5440"/>
    <w:rsid w:val="00CF5AA7"/>
    <w:rsid w:val="00CF6F0D"/>
    <w:rsid w:val="00D0663C"/>
    <w:rsid w:val="00D07F4D"/>
    <w:rsid w:val="00D1003C"/>
    <w:rsid w:val="00D14338"/>
    <w:rsid w:val="00D2380E"/>
    <w:rsid w:val="00D251B2"/>
    <w:rsid w:val="00D257E9"/>
    <w:rsid w:val="00D276D8"/>
    <w:rsid w:val="00D27932"/>
    <w:rsid w:val="00D30ACE"/>
    <w:rsid w:val="00D313D5"/>
    <w:rsid w:val="00D47C5D"/>
    <w:rsid w:val="00D57FFE"/>
    <w:rsid w:val="00D6072C"/>
    <w:rsid w:val="00D61704"/>
    <w:rsid w:val="00D64CBD"/>
    <w:rsid w:val="00D661A3"/>
    <w:rsid w:val="00D85A82"/>
    <w:rsid w:val="00D944EA"/>
    <w:rsid w:val="00D94855"/>
    <w:rsid w:val="00DA5804"/>
    <w:rsid w:val="00DA596D"/>
    <w:rsid w:val="00DA5A0F"/>
    <w:rsid w:val="00DA757C"/>
    <w:rsid w:val="00DB0A8C"/>
    <w:rsid w:val="00DB0BC6"/>
    <w:rsid w:val="00DB1D59"/>
    <w:rsid w:val="00DB4230"/>
    <w:rsid w:val="00DB4355"/>
    <w:rsid w:val="00DC51A0"/>
    <w:rsid w:val="00DC7FC8"/>
    <w:rsid w:val="00DD074F"/>
    <w:rsid w:val="00DD53EB"/>
    <w:rsid w:val="00DD5BE7"/>
    <w:rsid w:val="00DD7EAB"/>
    <w:rsid w:val="00DE76FD"/>
    <w:rsid w:val="00DF40EC"/>
    <w:rsid w:val="00E00A0D"/>
    <w:rsid w:val="00E04F2F"/>
    <w:rsid w:val="00E1149B"/>
    <w:rsid w:val="00E12FE6"/>
    <w:rsid w:val="00E15681"/>
    <w:rsid w:val="00E15921"/>
    <w:rsid w:val="00E2346A"/>
    <w:rsid w:val="00E365F9"/>
    <w:rsid w:val="00E40219"/>
    <w:rsid w:val="00E4318E"/>
    <w:rsid w:val="00E44DBD"/>
    <w:rsid w:val="00E44EEF"/>
    <w:rsid w:val="00E468CC"/>
    <w:rsid w:val="00E476FC"/>
    <w:rsid w:val="00E530D5"/>
    <w:rsid w:val="00E53106"/>
    <w:rsid w:val="00E564F4"/>
    <w:rsid w:val="00E61200"/>
    <w:rsid w:val="00E65F5A"/>
    <w:rsid w:val="00E75DFC"/>
    <w:rsid w:val="00E83D21"/>
    <w:rsid w:val="00E86601"/>
    <w:rsid w:val="00EA4B89"/>
    <w:rsid w:val="00EB5DA3"/>
    <w:rsid w:val="00EC1E85"/>
    <w:rsid w:val="00EC4A15"/>
    <w:rsid w:val="00ED7056"/>
    <w:rsid w:val="00ED70A8"/>
    <w:rsid w:val="00EE3E3D"/>
    <w:rsid w:val="00EE57C0"/>
    <w:rsid w:val="00EF1DC9"/>
    <w:rsid w:val="00EF22B9"/>
    <w:rsid w:val="00F01FB0"/>
    <w:rsid w:val="00F050B2"/>
    <w:rsid w:val="00F13AC2"/>
    <w:rsid w:val="00F17B46"/>
    <w:rsid w:val="00F23D71"/>
    <w:rsid w:val="00F47DEB"/>
    <w:rsid w:val="00F504D5"/>
    <w:rsid w:val="00F514D8"/>
    <w:rsid w:val="00F57869"/>
    <w:rsid w:val="00F6606D"/>
    <w:rsid w:val="00F749E7"/>
    <w:rsid w:val="00F766E9"/>
    <w:rsid w:val="00F83D07"/>
    <w:rsid w:val="00F8515D"/>
    <w:rsid w:val="00F86C0F"/>
    <w:rsid w:val="00F9240B"/>
    <w:rsid w:val="00F96A3A"/>
    <w:rsid w:val="00FA1323"/>
    <w:rsid w:val="00FA2392"/>
    <w:rsid w:val="00FB6D49"/>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42E3"/>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Krjukova@t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6BF501-ACD8-4C0D-9D86-D5868FED5797}">
  <ds:schemaRefs>
    <ds:schemaRef ds:uri="http://schemas.microsoft.com/office/2006/metadata/properties"/>
  </ds:schemaRefs>
</ds:datastoreItem>
</file>

<file path=customXml/itemProps4.xml><?xml version="1.0" encoding="utf-8"?>
<ds:datastoreItem xmlns:ds="http://schemas.openxmlformats.org/officeDocument/2006/customXml" ds:itemID="{253E8D23-35C3-4EF8-91B4-FF6D0AF4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9159</Words>
  <Characters>5222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“Noteikumi par iemaksas par valsts nodrošinātās juridiskās palīdzības saņemšanu apmēru, tās samaksas un atmaksas kārtību” anotācija</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iemaksas par valsts nodrošinātās juridiskās palīdzības saņemšanu apmēru, tās samaksas un atmaksas kārtību” anotācija</dc:title>
  <dc:subject>Anotācija</dc:subject>
  <dc:creator>Eva Krjukova</dc:creator>
  <dc:description>67036831, eva.krjukova@tm.gov.lv</dc:description>
  <cp:lastModifiedBy>Eva Krjukova</cp:lastModifiedBy>
  <cp:revision>27</cp:revision>
  <cp:lastPrinted>2016-05-10T11:06:00Z</cp:lastPrinted>
  <dcterms:created xsi:type="dcterms:W3CDTF">2018-09-28T13:42:00Z</dcterms:created>
  <dcterms:modified xsi:type="dcterms:W3CDTF">2018-10-08T06:54:00Z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