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5A9" w:rsidRPr="00037F91" w:rsidRDefault="0098734C" w:rsidP="00FE6AF9">
      <w:pPr>
        <w:spacing w:after="0" w:line="240" w:lineRule="auto"/>
        <w:jc w:val="center"/>
        <w:rPr>
          <w:rFonts w:ascii="Times New Roman" w:eastAsia="Times New Roman" w:hAnsi="Times New Roman"/>
          <w:b/>
          <w:bCs/>
          <w:sz w:val="24"/>
          <w:szCs w:val="24"/>
          <w:lang w:eastAsia="lv-LV"/>
        </w:rPr>
      </w:pPr>
      <w:bookmarkStart w:id="0" w:name="_GoBack"/>
      <w:bookmarkEnd w:id="0"/>
      <w:r w:rsidRPr="00037F91">
        <w:rPr>
          <w:rFonts w:ascii="Times New Roman" w:eastAsia="Times New Roman" w:hAnsi="Times New Roman"/>
          <w:b/>
          <w:bCs/>
          <w:sz w:val="24"/>
          <w:szCs w:val="24"/>
          <w:lang w:eastAsia="lv-LV"/>
        </w:rPr>
        <w:t xml:space="preserve">Ministru kabineta noteikumu projekta </w:t>
      </w:r>
      <w:r w:rsidR="00772053" w:rsidRPr="00037F91">
        <w:rPr>
          <w:rFonts w:ascii="Times New Roman" w:eastAsia="Times New Roman" w:hAnsi="Times New Roman"/>
          <w:b/>
          <w:bCs/>
          <w:sz w:val="24"/>
          <w:szCs w:val="24"/>
          <w:lang w:eastAsia="lv-LV"/>
        </w:rPr>
        <w:t>"</w:t>
      </w:r>
      <w:r w:rsidR="00E77944" w:rsidRPr="00037F91">
        <w:rPr>
          <w:rFonts w:ascii="Times New Roman" w:eastAsia="Times New Roman" w:hAnsi="Times New Roman"/>
          <w:b/>
          <w:bCs/>
          <w:sz w:val="24"/>
          <w:szCs w:val="24"/>
          <w:lang w:eastAsia="lv-LV"/>
        </w:rPr>
        <w:t>Noteikumi par drošības pamatprasībām tiesā</w:t>
      </w:r>
      <w:r w:rsidR="00772053" w:rsidRPr="00037F91">
        <w:rPr>
          <w:rFonts w:ascii="Times New Roman" w:eastAsia="Times New Roman" w:hAnsi="Times New Roman"/>
          <w:b/>
          <w:bCs/>
          <w:sz w:val="24"/>
          <w:szCs w:val="24"/>
          <w:lang w:eastAsia="lv-LV"/>
        </w:rPr>
        <w:t xml:space="preserve">" </w:t>
      </w:r>
      <w:r w:rsidR="004D15A9" w:rsidRPr="00037F91">
        <w:rPr>
          <w:rFonts w:ascii="Times New Roman" w:eastAsia="Times New Roman" w:hAnsi="Times New Roman"/>
          <w:b/>
          <w:bCs/>
          <w:sz w:val="24"/>
          <w:szCs w:val="24"/>
          <w:lang w:eastAsia="lv-LV"/>
        </w:rPr>
        <w:t>sākotnējās ietekmes novērtējuma ziņojums (anotācija)</w:t>
      </w:r>
    </w:p>
    <w:p w:rsidR="00DA596D" w:rsidRPr="00037F91" w:rsidRDefault="00DA596D" w:rsidP="00DA596D">
      <w:pPr>
        <w:spacing w:after="0" w:line="240" w:lineRule="auto"/>
        <w:ind w:firstLine="300"/>
        <w:jc w:val="center"/>
        <w:rPr>
          <w:rFonts w:ascii="Times New Roman" w:eastAsia="Times New Roman" w:hAnsi="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247"/>
        <w:gridCol w:w="6355"/>
      </w:tblGrid>
      <w:tr w:rsidR="002A7B11" w:rsidRPr="00037F91"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037F91" w:rsidRDefault="004D15A9" w:rsidP="00DA596D">
            <w:pPr>
              <w:spacing w:after="0" w:line="240" w:lineRule="auto"/>
              <w:ind w:firstLine="300"/>
              <w:jc w:val="center"/>
              <w:rPr>
                <w:rFonts w:ascii="Times New Roman" w:eastAsia="Times New Roman" w:hAnsi="Times New Roman"/>
                <w:b/>
                <w:bCs/>
                <w:sz w:val="24"/>
                <w:szCs w:val="24"/>
                <w:lang w:eastAsia="lv-LV"/>
              </w:rPr>
            </w:pPr>
            <w:r w:rsidRPr="00037F91">
              <w:rPr>
                <w:rFonts w:ascii="Times New Roman" w:eastAsia="Times New Roman" w:hAnsi="Times New Roman"/>
                <w:b/>
                <w:bCs/>
                <w:sz w:val="24"/>
                <w:szCs w:val="24"/>
                <w:lang w:eastAsia="lv-LV"/>
              </w:rPr>
              <w:t>I.</w:t>
            </w:r>
            <w:r w:rsidR="002F0841">
              <w:rPr>
                <w:rFonts w:ascii="Times New Roman" w:eastAsia="Times New Roman" w:hAnsi="Times New Roman"/>
                <w:b/>
                <w:bCs/>
                <w:sz w:val="24"/>
                <w:szCs w:val="24"/>
                <w:lang w:eastAsia="lv-LV"/>
              </w:rPr>
              <w:t> </w:t>
            </w:r>
            <w:r w:rsidRPr="00037F91">
              <w:rPr>
                <w:rFonts w:ascii="Times New Roman" w:eastAsia="Times New Roman" w:hAnsi="Times New Roman"/>
                <w:b/>
                <w:bCs/>
                <w:sz w:val="24"/>
                <w:szCs w:val="24"/>
                <w:lang w:eastAsia="lv-LV"/>
              </w:rPr>
              <w:t>Tiesību akta projekta izstrādes nepieciešamība</w:t>
            </w:r>
          </w:p>
        </w:tc>
      </w:tr>
      <w:tr w:rsidR="002A7B11" w:rsidRPr="00037F91" w:rsidTr="00E77944">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1.</w:t>
            </w:r>
          </w:p>
        </w:tc>
        <w:tc>
          <w:tcPr>
            <w:tcW w:w="1241"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Pamatojums</w:t>
            </w:r>
          </w:p>
        </w:tc>
        <w:tc>
          <w:tcPr>
            <w:tcW w:w="3509" w:type="pct"/>
            <w:tcBorders>
              <w:top w:val="outset" w:sz="6" w:space="0" w:color="414142"/>
              <w:left w:val="outset" w:sz="6" w:space="0" w:color="414142"/>
              <w:bottom w:val="outset" w:sz="6" w:space="0" w:color="414142"/>
              <w:right w:val="outset" w:sz="6" w:space="0" w:color="414142"/>
            </w:tcBorders>
          </w:tcPr>
          <w:p w:rsidR="004D15A9" w:rsidRPr="00037F91" w:rsidRDefault="004C21BC" w:rsidP="00270946">
            <w:pPr>
              <w:spacing w:after="0" w:line="240" w:lineRule="auto"/>
              <w:ind w:firstLine="720"/>
              <w:jc w:val="both"/>
              <w:rPr>
                <w:rFonts w:ascii="Times New Roman" w:eastAsia="Times New Roman" w:hAnsi="Times New Roman"/>
                <w:sz w:val="24"/>
                <w:szCs w:val="24"/>
                <w:lang w:eastAsia="lv-LV"/>
              </w:rPr>
            </w:pPr>
            <w:r w:rsidRPr="002F0841">
              <w:rPr>
                <w:rFonts w:ascii="Times New Roman" w:eastAsia="Times New Roman" w:hAnsi="Times New Roman"/>
                <w:sz w:val="24"/>
                <w:szCs w:val="24"/>
                <w:lang w:eastAsia="lv-LV"/>
              </w:rPr>
              <w:t>Likum</w:t>
            </w:r>
            <w:r w:rsidR="00951529" w:rsidRPr="002F0841">
              <w:rPr>
                <w:rFonts w:ascii="Times New Roman" w:eastAsia="Times New Roman" w:hAnsi="Times New Roman"/>
                <w:sz w:val="24"/>
                <w:szCs w:val="24"/>
                <w:lang w:eastAsia="lv-LV"/>
              </w:rPr>
              <w:t>a</w:t>
            </w:r>
            <w:r w:rsidRPr="002F0841">
              <w:rPr>
                <w:rFonts w:ascii="Times New Roman" w:eastAsia="Times New Roman" w:hAnsi="Times New Roman"/>
                <w:sz w:val="24"/>
                <w:szCs w:val="24"/>
                <w:lang w:eastAsia="lv-LV"/>
              </w:rPr>
              <w:t xml:space="preserve"> "Par tiesu varu" (</w:t>
            </w:r>
            <w:r w:rsidR="00951529" w:rsidRPr="006B174E">
              <w:rPr>
                <w:rFonts w:ascii="Times New Roman" w:eastAsia="Times New Roman" w:hAnsi="Times New Roman"/>
                <w:i/>
                <w:sz w:val="24"/>
                <w:szCs w:val="24"/>
                <w:lang w:eastAsia="lv-LV"/>
              </w:rPr>
              <w:t xml:space="preserve">Likumprojekts </w:t>
            </w:r>
            <w:r w:rsidRPr="006B174E">
              <w:rPr>
                <w:rFonts w:ascii="Times New Roman" w:eastAsia="Times New Roman" w:hAnsi="Times New Roman"/>
                <w:i/>
                <w:sz w:val="24"/>
                <w:szCs w:val="24"/>
                <w:lang w:eastAsia="lv-LV"/>
              </w:rPr>
              <w:t>Nr.898/Lp12</w:t>
            </w:r>
            <w:r w:rsidR="00951529" w:rsidRPr="006B174E">
              <w:rPr>
                <w:rFonts w:ascii="Times New Roman" w:eastAsia="Times New Roman" w:hAnsi="Times New Roman"/>
                <w:i/>
                <w:sz w:val="24"/>
                <w:szCs w:val="24"/>
                <w:lang w:eastAsia="lv-LV"/>
              </w:rPr>
              <w:t>, Saeimā pieņemts 2017.</w:t>
            </w:r>
            <w:r w:rsidR="00F702A6" w:rsidRPr="006B174E">
              <w:rPr>
                <w:i/>
              </w:rPr>
              <w:t> </w:t>
            </w:r>
            <w:r w:rsidR="00951529" w:rsidRPr="006B174E">
              <w:rPr>
                <w:rFonts w:ascii="Times New Roman" w:eastAsia="Times New Roman" w:hAnsi="Times New Roman"/>
                <w:i/>
                <w:sz w:val="24"/>
                <w:szCs w:val="24"/>
                <w:lang w:eastAsia="lv-LV"/>
              </w:rPr>
              <w:t>gada 2.</w:t>
            </w:r>
            <w:r w:rsidR="00F702A6" w:rsidRPr="006B174E">
              <w:rPr>
                <w:rFonts w:ascii="Times New Roman" w:eastAsia="Times New Roman" w:hAnsi="Times New Roman"/>
                <w:i/>
                <w:sz w:val="24"/>
                <w:szCs w:val="24"/>
                <w:lang w:eastAsia="lv-LV"/>
              </w:rPr>
              <w:t> </w:t>
            </w:r>
            <w:r w:rsidR="00951529" w:rsidRPr="006B174E">
              <w:rPr>
                <w:rFonts w:ascii="Times New Roman" w:eastAsia="Times New Roman" w:hAnsi="Times New Roman"/>
                <w:i/>
                <w:sz w:val="24"/>
                <w:szCs w:val="24"/>
                <w:lang w:eastAsia="lv-LV"/>
              </w:rPr>
              <w:t>novembrī</w:t>
            </w:r>
            <w:r w:rsidR="00F702A6" w:rsidRPr="006B174E">
              <w:rPr>
                <w:rFonts w:ascii="Times New Roman" w:eastAsia="Times New Roman" w:hAnsi="Times New Roman"/>
                <w:i/>
                <w:sz w:val="24"/>
                <w:szCs w:val="24"/>
                <w:lang w:eastAsia="lv-LV"/>
              </w:rPr>
              <w:t>, atdots otrreizējai caurlūkošanai 2017. gada 10. novembrī</w:t>
            </w:r>
            <w:r w:rsidRPr="002F0841">
              <w:rPr>
                <w:rFonts w:ascii="Times New Roman" w:eastAsia="Times New Roman" w:hAnsi="Times New Roman"/>
                <w:sz w:val="24"/>
                <w:szCs w:val="24"/>
                <w:lang w:eastAsia="lv-LV"/>
              </w:rPr>
              <w:t>)</w:t>
            </w:r>
            <w:r w:rsidR="00567127" w:rsidRPr="002F0841">
              <w:rPr>
                <w:rFonts w:ascii="Times New Roman" w:eastAsia="Times New Roman" w:hAnsi="Times New Roman"/>
                <w:sz w:val="24"/>
                <w:szCs w:val="24"/>
                <w:lang w:eastAsia="lv-LV"/>
              </w:rPr>
              <w:t xml:space="preserve"> </w:t>
            </w:r>
            <w:r w:rsidR="00D63D0E" w:rsidRPr="002F0841">
              <w:rPr>
                <w:rFonts w:ascii="Times New Roman" w:eastAsia="Times New Roman" w:hAnsi="Times New Roman"/>
                <w:sz w:val="24"/>
                <w:szCs w:val="24"/>
                <w:lang w:eastAsia="lv-LV"/>
              </w:rPr>
              <w:t xml:space="preserve">(turpmāk – likums) </w:t>
            </w:r>
            <w:r w:rsidRPr="002F0841">
              <w:rPr>
                <w:rFonts w:ascii="Times New Roman" w:eastAsia="Times New Roman" w:hAnsi="Times New Roman"/>
                <w:sz w:val="24"/>
                <w:szCs w:val="24"/>
                <w:lang w:eastAsia="lv-LV"/>
              </w:rPr>
              <w:t>107.</w:t>
            </w:r>
            <w:r w:rsidRPr="002F0841">
              <w:rPr>
                <w:rFonts w:ascii="Times New Roman" w:eastAsia="Times New Roman" w:hAnsi="Times New Roman"/>
                <w:sz w:val="24"/>
                <w:szCs w:val="24"/>
                <w:vertAlign w:val="superscript"/>
                <w:lang w:eastAsia="lv-LV"/>
              </w:rPr>
              <w:t>1</w:t>
            </w:r>
            <w:r w:rsidRPr="002F0841">
              <w:rPr>
                <w:rFonts w:ascii="Times New Roman" w:eastAsia="Times New Roman" w:hAnsi="Times New Roman"/>
                <w:sz w:val="24"/>
                <w:szCs w:val="24"/>
                <w:lang w:eastAsia="lv-LV"/>
              </w:rPr>
              <w:t> panta otr</w:t>
            </w:r>
            <w:r w:rsidR="00F702A6" w:rsidRPr="002F0841">
              <w:rPr>
                <w:rFonts w:ascii="Times New Roman" w:eastAsia="Times New Roman" w:hAnsi="Times New Roman"/>
                <w:sz w:val="24"/>
                <w:szCs w:val="24"/>
                <w:lang w:eastAsia="lv-LV"/>
              </w:rPr>
              <w:t>ās</w:t>
            </w:r>
            <w:r w:rsidRPr="002F0841">
              <w:rPr>
                <w:rFonts w:ascii="Times New Roman" w:eastAsia="Times New Roman" w:hAnsi="Times New Roman"/>
                <w:sz w:val="24"/>
                <w:szCs w:val="24"/>
                <w:lang w:eastAsia="lv-LV"/>
              </w:rPr>
              <w:t xml:space="preserve"> daļ</w:t>
            </w:r>
            <w:r w:rsidR="00F702A6" w:rsidRPr="002F0841">
              <w:rPr>
                <w:rFonts w:ascii="Times New Roman" w:eastAsia="Times New Roman" w:hAnsi="Times New Roman"/>
                <w:sz w:val="24"/>
                <w:szCs w:val="24"/>
                <w:lang w:eastAsia="lv-LV"/>
              </w:rPr>
              <w:t>as</w:t>
            </w:r>
            <w:r w:rsidRPr="002F0841">
              <w:rPr>
                <w:rFonts w:ascii="Times New Roman" w:eastAsia="Times New Roman" w:hAnsi="Times New Roman"/>
                <w:sz w:val="24"/>
                <w:szCs w:val="24"/>
                <w:lang w:eastAsia="lv-LV"/>
              </w:rPr>
              <w:t xml:space="preserve"> 24. punkt</w:t>
            </w:r>
            <w:r w:rsidR="00F702A6" w:rsidRPr="002F0841">
              <w:rPr>
                <w:rFonts w:ascii="Times New Roman" w:eastAsia="Times New Roman" w:hAnsi="Times New Roman"/>
                <w:sz w:val="24"/>
                <w:szCs w:val="24"/>
                <w:lang w:eastAsia="lv-LV"/>
              </w:rPr>
              <w:t>s</w:t>
            </w:r>
            <w:r w:rsidRPr="002F0841">
              <w:rPr>
                <w:rFonts w:ascii="Times New Roman" w:eastAsia="Times New Roman" w:hAnsi="Times New Roman"/>
                <w:sz w:val="24"/>
                <w:szCs w:val="24"/>
                <w:lang w:eastAsia="lv-LV"/>
              </w:rPr>
              <w:t xml:space="preserve"> no</w:t>
            </w:r>
            <w:r w:rsidR="00F702A6" w:rsidRPr="002F0841">
              <w:rPr>
                <w:rFonts w:ascii="Times New Roman" w:eastAsia="Times New Roman" w:hAnsi="Times New Roman"/>
                <w:sz w:val="24"/>
                <w:szCs w:val="24"/>
                <w:lang w:eastAsia="lv-LV"/>
              </w:rPr>
              <w:t>teic</w:t>
            </w:r>
            <w:r w:rsidRPr="002F0841">
              <w:rPr>
                <w:rFonts w:ascii="Times New Roman" w:eastAsia="Times New Roman" w:hAnsi="Times New Roman"/>
                <w:sz w:val="24"/>
                <w:szCs w:val="24"/>
                <w:lang w:eastAsia="lv-LV"/>
              </w:rPr>
              <w:t xml:space="preserve"> Tiesu administrācijai pienākumu</w:t>
            </w:r>
            <w:r w:rsidRPr="00037F91">
              <w:rPr>
                <w:rFonts w:ascii="Times New Roman" w:eastAsia="Times New Roman" w:hAnsi="Times New Roman"/>
                <w:sz w:val="24"/>
                <w:szCs w:val="24"/>
                <w:lang w:eastAsia="lv-LV"/>
              </w:rPr>
              <w:t xml:space="preserve"> gādāt par drošību rajona (pilsētas) tiesās un apgabaltiesās</w:t>
            </w:r>
            <w:r w:rsidR="00FC1156">
              <w:rPr>
                <w:rFonts w:ascii="Times New Roman" w:eastAsia="Times New Roman" w:hAnsi="Times New Roman"/>
                <w:sz w:val="24"/>
                <w:szCs w:val="24"/>
                <w:lang w:eastAsia="lv-LV"/>
              </w:rPr>
              <w:t xml:space="preserve"> (turpmāk – tiesa)</w:t>
            </w:r>
            <w:r w:rsidRPr="00037F91">
              <w:rPr>
                <w:rFonts w:ascii="Times New Roman" w:eastAsia="Times New Roman" w:hAnsi="Times New Roman"/>
                <w:sz w:val="24"/>
                <w:szCs w:val="24"/>
                <w:lang w:eastAsia="lv-LV"/>
              </w:rPr>
              <w:t>, kā arī paredz deleģējumu Ministru kabinetam noteikt drošības pamatprasības tiesā. Likuma pārejas noteikumu 89. punkts paredz uzdot Ministru kabinetam līdz 2018.</w:t>
            </w:r>
            <w:r w:rsidR="00482BDC">
              <w:rPr>
                <w:rFonts w:ascii="Times New Roman" w:eastAsia="Times New Roman" w:hAnsi="Times New Roman"/>
                <w:sz w:val="24"/>
                <w:szCs w:val="24"/>
                <w:lang w:eastAsia="lv-LV"/>
              </w:rPr>
              <w:t> </w:t>
            </w:r>
            <w:r w:rsidRPr="00037F91">
              <w:rPr>
                <w:rFonts w:ascii="Times New Roman" w:eastAsia="Times New Roman" w:hAnsi="Times New Roman"/>
                <w:sz w:val="24"/>
                <w:szCs w:val="24"/>
                <w:lang w:eastAsia="lv-LV"/>
              </w:rPr>
              <w:t>gada 1.</w:t>
            </w:r>
            <w:r w:rsidR="00482BDC">
              <w:rPr>
                <w:rFonts w:ascii="Times New Roman" w:eastAsia="Times New Roman" w:hAnsi="Times New Roman"/>
                <w:sz w:val="24"/>
                <w:szCs w:val="24"/>
                <w:lang w:eastAsia="lv-LV"/>
              </w:rPr>
              <w:t> </w:t>
            </w:r>
            <w:r w:rsidRPr="00037F91">
              <w:rPr>
                <w:rFonts w:ascii="Times New Roman" w:eastAsia="Times New Roman" w:hAnsi="Times New Roman"/>
                <w:sz w:val="24"/>
                <w:szCs w:val="24"/>
                <w:lang w:eastAsia="lv-LV"/>
              </w:rPr>
              <w:t>jūlijam izdot minētos noteikumus.</w:t>
            </w:r>
            <w:r w:rsidR="00FC1156">
              <w:rPr>
                <w:rFonts w:ascii="Times New Roman" w:eastAsia="Times New Roman" w:hAnsi="Times New Roman"/>
                <w:sz w:val="24"/>
                <w:szCs w:val="24"/>
                <w:lang w:eastAsia="lv-LV"/>
              </w:rPr>
              <w:t xml:space="preserve"> </w:t>
            </w:r>
            <w:r w:rsidR="00FC1156" w:rsidRPr="00FC1156">
              <w:rPr>
                <w:rFonts w:ascii="Times New Roman" w:eastAsia="Times New Roman" w:hAnsi="Times New Roman"/>
                <w:sz w:val="24"/>
                <w:szCs w:val="24"/>
                <w:lang w:eastAsia="lv-LV"/>
              </w:rPr>
              <w:t>Lai nodrošinātu minētā uzdevuma izpildi,</w:t>
            </w:r>
            <w:r w:rsidR="00FC1156">
              <w:rPr>
                <w:rFonts w:ascii="Times New Roman" w:eastAsia="Times New Roman" w:hAnsi="Times New Roman"/>
                <w:sz w:val="24"/>
                <w:szCs w:val="24"/>
                <w:lang w:eastAsia="lv-LV"/>
              </w:rPr>
              <w:t xml:space="preserve"> </w:t>
            </w:r>
            <w:r w:rsidR="00FB2226">
              <w:rPr>
                <w:rFonts w:ascii="Times New Roman" w:eastAsia="Times New Roman" w:hAnsi="Times New Roman"/>
                <w:sz w:val="24"/>
                <w:szCs w:val="24"/>
                <w:lang w:eastAsia="lv-LV"/>
              </w:rPr>
              <w:t xml:space="preserve">ir </w:t>
            </w:r>
            <w:r w:rsidR="00FC1156">
              <w:rPr>
                <w:rFonts w:ascii="Times New Roman" w:eastAsia="Times New Roman" w:hAnsi="Times New Roman"/>
                <w:sz w:val="24"/>
                <w:szCs w:val="24"/>
                <w:lang w:eastAsia="lv-LV"/>
              </w:rPr>
              <w:t xml:space="preserve">izstrādāts </w:t>
            </w:r>
            <w:r w:rsidR="00FC1156" w:rsidRPr="00FC1156">
              <w:rPr>
                <w:rFonts w:ascii="Times New Roman" w:eastAsia="Times New Roman" w:hAnsi="Times New Roman"/>
                <w:sz w:val="24"/>
                <w:szCs w:val="24"/>
                <w:lang w:eastAsia="lv-LV"/>
              </w:rPr>
              <w:t>Ministru kabineta noteikumu projekt</w:t>
            </w:r>
            <w:r w:rsidR="00FC1156">
              <w:rPr>
                <w:rFonts w:ascii="Times New Roman" w:eastAsia="Times New Roman" w:hAnsi="Times New Roman"/>
                <w:sz w:val="24"/>
                <w:szCs w:val="24"/>
                <w:lang w:eastAsia="lv-LV"/>
              </w:rPr>
              <w:t>s</w:t>
            </w:r>
            <w:r w:rsidR="00FC1156" w:rsidRPr="00FC1156">
              <w:rPr>
                <w:rFonts w:ascii="Times New Roman" w:eastAsia="Times New Roman" w:hAnsi="Times New Roman"/>
                <w:sz w:val="24"/>
                <w:szCs w:val="24"/>
                <w:lang w:eastAsia="lv-LV"/>
              </w:rPr>
              <w:t xml:space="preserve"> "Noteikumi par drošības pamatprasībām tiesā"</w:t>
            </w:r>
            <w:r w:rsidR="00FC1156">
              <w:rPr>
                <w:rFonts w:ascii="Times New Roman" w:eastAsia="Times New Roman" w:hAnsi="Times New Roman"/>
                <w:sz w:val="24"/>
                <w:szCs w:val="24"/>
                <w:lang w:eastAsia="lv-LV"/>
              </w:rPr>
              <w:t xml:space="preserve"> (turpmāk –</w:t>
            </w:r>
            <w:r w:rsidR="003B2568">
              <w:rPr>
                <w:rFonts w:ascii="Times New Roman" w:eastAsia="Times New Roman" w:hAnsi="Times New Roman"/>
                <w:sz w:val="24"/>
                <w:szCs w:val="24"/>
                <w:lang w:eastAsia="lv-LV"/>
              </w:rPr>
              <w:t> </w:t>
            </w:r>
            <w:r w:rsidR="00FC1156">
              <w:rPr>
                <w:rFonts w:ascii="Times New Roman" w:eastAsia="Times New Roman" w:hAnsi="Times New Roman"/>
                <w:sz w:val="24"/>
                <w:szCs w:val="24"/>
                <w:lang w:eastAsia="lv-LV"/>
              </w:rPr>
              <w:t>projekts).</w:t>
            </w:r>
          </w:p>
        </w:tc>
      </w:tr>
      <w:tr w:rsidR="002A7B11" w:rsidRPr="00037F91" w:rsidTr="00FE6AF9">
        <w:trPr>
          <w:trHeight w:val="375"/>
        </w:trPr>
        <w:tc>
          <w:tcPr>
            <w:tcW w:w="250"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2.</w:t>
            </w:r>
          </w:p>
        </w:tc>
        <w:tc>
          <w:tcPr>
            <w:tcW w:w="1241" w:type="pct"/>
            <w:tcBorders>
              <w:top w:val="outset" w:sz="6" w:space="0" w:color="414142"/>
              <w:left w:val="outset" w:sz="6" w:space="0" w:color="414142"/>
              <w:bottom w:val="outset" w:sz="6" w:space="0" w:color="414142"/>
              <w:right w:val="outset" w:sz="6" w:space="0" w:color="414142"/>
            </w:tcBorders>
            <w:hideMark/>
          </w:tcPr>
          <w:p w:rsidR="00BC2ADF"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Pašreizējā situācija un problēmas, kuru risināšanai tiesību akta projekts izstrādāts, tiesiskā regulējuma mērķis un būtība</w:t>
            </w: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BC2ADF" w:rsidRPr="00BC2ADF" w:rsidRDefault="00BC2ADF" w:rsidP="00BC2ADF">
            <w:pPr>
              <w:rPr>
                <w:rFonts w:ascii="Times New Roman" w:eastAsia="Times New Roman" w:hAnsi="Times New Roman"/>
                <w:sz w:val="24"/>
                <w:szCs w:val="24"/>
                <w:lang w:eastAsia="lv-LV"/>
              </w:rPr>
            </w:pPr>
          </w:p>
          <w:p w:rsidR="004D15A9" w:rsidRPr="00BC2ADF" w:rsidRDefault="004D15A9" w:rsidP="00122537">
            <w:pPr>
              <w:ind w:firstLine="720"/>
              <w:rPr>
                <w:rFonts w:ascii="Times New Roman" w:eastAsia="Times New Roman" w:hAnsi="Times New Roman"/>
                <w:sz w:val="24"/>
                <w:szCs w:val="24"/>
                <w:lang w:eastAsia="lv-LV"/>
              </w:rPr>
            </w:pPr>
          </w:p>
        </w:tc>
        <w:tc>
          <w:tcPr>
            <w:tcW w:w="3509" w:type="pct"/>
            <w:tcBorders>
              <w:top w:val="outset" w:sz="6" w:space="0" w:color="414142"/>
              <w:left w:val="outset" w:sz="6" w:space="0" w:color="414142"/>
              <w:bottom w:val="outset" w:sz="6" w:space="0" w:color="414142"/>
              <w:right w:val="outset" w:sz="6" w:space="0" w:color="414142"/>
            </w:tcBorders>
            <w:hideMark/>
          </w:tcPr>
          <w:p w:rsidR="00567127" w:rsidRDefault="00A335BA" w:rsidP="008E07D4">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Jautājumi par drošību t</w:t>
            </w:r>
            <w:r w:rsidR="00BE14E4" w:rsidRPr="00037F91">
              <w:rPr>
                <w:rFonts w:ascii="Times New Roman" w:eastAsia="Times New Roman" w:hAnsi="Times New Roman"/>
                <w:sz w:val="24"/>
                <w:szCs w:val="24"/>
                <w:lang w:eastAsia="lv-LV"/>
              </w:rPr>
              <w:t xml:space="preserve">iesā </w:t>
            </w:r>
            <w:r w:rsidR="00567127" w:rsidRPr="00037F91">
              <w:rPr>
                <w:rFonts w:ascii="Times New Roman" w:eastAsia="Times New Roman" w:hAnsi="Times New Roman"/>
                <w:sz w:val="24"/>
                <w:szCs w:val="24"/>
                <w:lang w:eastAsia="lv-LV"/>
              </w:rPr>
              <w:t xml:space="preserve">ārējos normatīvajos aktos ir regulēti </w:t>
            </w:r>
            <w:r>
              <w:rPr>
                <w:rFonts w:ascii="Times New Roman" w:eastAsia="Times New Roman" w:hAnsi="Times New Roman"/>
                <w:sz w:val="24"/>
                <w:szCs w:val="24"/>
                <w:lang w:eastAsia="lv-LV"/>
              </w:rPr>
              <w:t xml:space="preserve">vispārīgi, bet detalizēts </w:t>
            </w:r>
            <w:r w:rsidR="00B07427">
              <w:rPr>
                <w:rFonts w:ascii="Times New Roman" w:eastAsia="Times New Roman" w:hAnsi="Times New Roman"/>
                <w:sz w:val="24"/>
                <w:szCs w:val="24"/>
                <w:lang w:eastAsia="lv-LV"/>
              </w:rPr>
              <w:t xml:space="preserve">speciālais </w:t>
            </w:r>
            <w:r>
              <w:rPr>
                <w:rFonts w:ascii="Times New Roman" w:eastAsia="Times New Roman" w:hAnsi="Times New Roman"/>
                <w:sz w:val="24"/>
                <w:szCs w:val="24"/>
                <w:lang w:eastAsia="lv-LV"/>
              </w:rPr>
              <w:t>tiesiskais regulējums par drošību tiesās nav noteikts</w:t>
            </w:r>
            <w:r w:rsidR="00567127" w:rsidRPr="00037F91">
              <w:rPr>
                <w:rFonts w:ascii="Times New Roman" w:eastAsia="Times New Roman" w:hAnsi="Times New Roman"/>
                <w:sz w:val="24"/>
                <w:szCs w:val="24"/>
                <w:lang w:eastAsia="lv-LV"/>
              </w:rPr>
              <w:t>.</w:t>
            </w:r>
          </w:p>
          <w:p w:rsidR="00614196" w:rsidRPr="00955E54" w:rsidRDefault="00614196" w:rsidP="00614196">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Likuma "Par tiesu varu"</w:t>
            </w:r>
            <w:r w:rsidR="00955E54">
              <w:rPr>
                <w:rFonts w:ascii="Times New Roman" w:eastAsia="Times New Roman" w:hAnsi="Times New Roman"/>
                <w:sz w:val="24"/>
                <w:szCs w:val="24"/>
                <w:lang w:eastAsia="lv-LV"/>
              </w:rPr>
              <w:t xml:space="preserve"> </w:t>
            </w:r>
            <w:r w:rsidRPr="00614196">
              <w:rPr>
                <w:rFonts w:ascii="Times New Roman" w:eastAsia="Times New Roman" w:hAnsi="Times New Roman"/>
                <w:sz w:val="24"/>
                <w:szCs w:val="24"/>
                <w:lang w:eastAsia="lv-LV"/>
              </w:rPr>
              <w:t>11.</w:t>
            </w:r>
            <w:r>
              <w:rPr>
                <w:rFonts w:ascii="Times New Roman" w:eastAsia="Times New Roman" w:hAnsi="Times New Roman"/>
                <w:sz w:val="24"/>
                <w:szCs w:val="24"/>
                <w:lang w:eastAsia="lv-LV"/>
              </w:rPr>
              <w:t> </w:t>
            </w:r>
            <w:r w:rsidRPr="00614196">
              <w:rPr>
                <w:rFonts w:ascii="Times New Roman" w:eastAsia="Times New Roman" w:hAnsi="Times New Roman"/>
                <w:sz w:val="24"/>
                <w:szCs w:val="24"/>
                <w:lang w:eastAsia="lv-LV"/>
              </w:rPr>
              <w:t>pant</w:t>
            </w:r>
            <w:r>
              <w:rPr>
                <w:rFonts w:ascii="Times New Roman" w:eastAsia="Times New Roman" w:hAnsi="Times New Roman"/>
                <w:sz w:val="24"/>
                <w:szCs w:val="24"/>
                <w:lang w:eastAsia="lv-LV"/>
              </w:rPr>
              <w:t>a pirmā daļa nosaka n</w:t>
            </w:r>
            <w:r w:rsidRPr="00614196">
              <w:rPr>
                <w:rFonts w:ascii="Times New Roman" w:eastAsia="Times New Roman" w:hAnsi="Times New Roman"/>
                <w:sz w:val="24"/>
                <w:szCs w:val="24"/>
                <w:lang w:eastAsia="lv-LV"/>
              </w:rPr>
              <w:t>epieļaujamīb</w:t>
            </w:r>
            <w:r>
              <w:rPr>
                <w:rFonts w:ascii="Times New Roman" w:eastAsia="Times New Roman" w:hAnsi="Times New Roman"/>
                <w:sz w:val="24"/>
                <w:szCs w:val="24"/>
                <w:lang w:eastAsia="lv-LV"/>
              </w:rPr>
              <w:t>u</w:t>
            </w:r>
            <w:r w:rsidRPr="00614196">
              <w:rPr>
                <w:rFonts w:ascii="Times New Roman" w:eastAsia="Times New Roman" w:hAnsi="Times New Roman"/>
                <w:sz w:val="24"/>
                <w:szCs w:val="24"/>
                <w:lang w:eastAsia="lv-LV"/>
              </w:rPr>
              <w:t xml:space="preserve"> iejaukties tiesas darbā</w:t>
            </w:r>
            <w:r>
              <w:rPr>
                <w:rFonts w:ascii="Times New Roman" w:eastAsia="Times New Roman" w:hAnsi="Times New Roman"/>
                <w:sz w:val="24"/>
                <w:szCs w:val="24"/>
                <w:lang w:eastAsia="lv-LV"/>
              </w:rPr>
              <w:t>, proti, v</w:t>
            </w:r>
            <w:r w:rsidRPr="00614196">
              <w:rPr>
                <w:rFonts w:ascii="Times New Roman" w:eastAsia="Times New Roman" w:hAnsi="Times New Roman"/>
                <w:sz w:val="24"/>
                <w:szCs w:val="24"/>
                <w:lang w:eastAsia="lv-LV"/>
              </w:rPr>
              <w:t>alsts iestādēm, sabiedriskajām un politiskajām organizācijām, citām juridiskajām un fiziskajām personām ir pienākums respektēt un ievērot tiesu neatkarību un tiesnešu neaizskaramību.</w:t>
            </w:r>
            <w:r>
              <w:rPr>
                <w:rFonts w:ascii="Times New Roman" w:eastAsia="Times New Roman" w:hAnsi="Times New Roman"/>
                <w:sz w:val="24"/>
                <w:szCs w:val="24"/>
                <w:lang w:eastAsia="lv-LV"/>
              </w:rPr>
              <w:t xml:space="preserve"> Savukārt minētā panta otrā daļa, noteic, ka n</w:t>
            </w:r>
            <w:r w:rsidRPr="00614196">
              <w:rPr>
                <w:rFonts w:ascii="Times New Roman" w:eastAsia="Times New Roman" w:hAnsi="Times New Roman"/>
                <w:sz w:val="24"/>
                <w:szCs w:val="24"/>
                <w:lang w:eastAsia="lv-LV"/>
              </w:rPr>
              <w:t>av pieļaujama nekāda tiesas spriešanas ierobežošana, iespaidošana, ietekmēšana, tieši vai netieši draudi, citāda prettiesiska iejaukšanās tiesas spriešanā neatkarīgi no tā, kādā nolūkā un ar kādu ieganstu tas tiktu darīts. Likumdošanas aktos noteiktajā kārtībā aizliegtas demonstrācijas un piketi tiesu ēku telpās.</w:t>
            </w:r>
            <w:r>
              <w:rPr>
                <w:rFonts w:ascii="Times New Roman" w:eastAsia="Times New Roman" w:hAnsi="Times New Roman"/>
                <w:sz w:val="24"/>
                <w:szCs w:val="24"/>
                <w:lang w:eastAsia="lv-LV"/>
              </w:rPr>
              <w:t xml:space="preserve"> Minētā likuma </w:t>
            </w:r>
            <w:r w:rsidRPr="00614196">
              <w:rPr>
                <w:rFonts w:ascii="Times New Roman" w:eastAsia="Times New Roman" w:hAnsi="Times New Roman"/>
                <w:sz w:val="24"/>
                <w:szCs w:val="24"/>
                <w:lang w:eastAsia="lv-LV"/>
              </w:rPr>
              <w:t>13.</w:t>
            </w:r>
            <w:r>
              <w:rPr>
                <w:rFonts w:ascii="Times New Roman" w:eastAsia="Times New Roman" w:hAnsi="Times New Roman"/>
                <w:sz w:val="24"/>
                <w:szCs w:val="24"/>
                <w:lang w:eastAsia="lv-LV"/>
              </w:rPr>
              <w:t> </w:t>
            </w:r>
            <w:r w:rsidRPr="00614196">
              <w:rPr>
                <w:rFonts w:ascii="Times New Roman" w:eastAsia="Times New Roman" w:hAnsi="Times New Roman"/>
                <w:sz w:val="24"/>
                <w:szCs w:val="24"/>
                <w:lang w:eastAsia="lv-LV"/>
              </w:rPr>
              <w:t>pant</w:t>
            </w:r>
            <w:r>
              <w:rPr>
                <w:rFonts w:ascii="Times New Roman" w:eastAsia="Times New Roman" w:hAnsi="Times New Roman"/>
                <w:sz w:val="24"/>
                <w:szCs w:val="24"/>
                <w:lang w:eastAsia="lv-LV"/>
              </w:rPr>
              <w:t>a pirmā daļa noteic, ka t</w:t>
            </w:r>
            <w:r w:rsidRPr="00614196">
              <w:rPr>
                <w:rFonts w:ascii="Times New Roman" w:eastAsia="Times New Roman" w:hAnsi="Times New Roman"/>
                <w:sz w:val="24"/>
                <w:szCs w:val="24"/>
                <w:lang w:eastAsia="lv-LV"/>
              </w:rPr>
              <w:t xml:space="preserve">iesnesis ar tiesas spriešanu saistīto pienākumu izpildes laikā ir </w:t>
            </w:r>
            <w:r w:rsidRPr="00955E54">
              <w:rPr>
                <w:rFonts w:ascii="Times New Roman" w:eastAsia="Times New Roman" w:hAnsi="Times New Roman"/>
                <w:sz w:val="24"/>
                <w:szCs w:val="24"/>
                <w:lang w:eastAsia="lv-LV"/>
              </w:rPr>
              <w:t>neaizskarams. Minētā likuma 87. pants no</w:t>
            </w:r>
            <w:r w:rsidR="00955E54" w:rsidRPr="00955E54">
              <w:rPr>
                <w:rFonts w:ascii="Times New Roman" w:eastAsia="Times New Roman" w:hAnsi="Times New Roman"/>
                <w:sz w:val="24"/>
                <w:szCs w:val="24"/>
                <w:lang w:eastAsia="lv-LV"/>
              </w:rPr>
              <w:t>teic, ka t</w:t>
            </w:r>
            <w:r w:rsidRPr="00955E54">
              <w:rPr>
                <w:rFonts w:ascii="Times New Roman" w:eastAsia="Times New Roman" w:hAnsi="Times New Roman"/>
                <w:sz w:val="24"/>
                <w:szCs w:val="24"/>
                <w:lang w:eastAsia="lv-LV"/>
              </w:rPr>
              <w:t>iesnesim ir tiesības uz viņa un viņa ģimenes locekļu, kā arī uz savas un savas ģimenes locekļu mantas aizsardzību.</w:t>
            </w:r>
          </w:p>
          <w:p w:rsidR="00FA795E" w:rsidRPr="007F277E" w:rsidRDefault="00567127" w:rsidP="00261FB1">
            <w:pPr>
              <w:spacing w:after="0" w:line="240" w:lineRule="auto"/>
              <w:ind w:firstLine="720"/>
              <w:jc w:val="both"/>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 xml:space="preserve">Likuma </w:t>
            </w:r>
            <w:r w:rsidR="00A335BA">
              <w:rPr>
                <w:rFonts w:ascii="Times New Roman" w:eastAsia="Times New Roman" w:hAnsi="Times New Roman"/>
                <w:sz w:val="24"/>
                <w:szCs w:val="24"/>
                <w:lang w:eastAsia="lv-LV"/>
              </w:rPr>
              <w:t>"</w:t>
            </w:r>
            <w:r w:rsidRPr="00037F91">
              <w:rPr>
                <w:rFonts w:ascii="Times New Roman" w:eastAsia="Times New Roman" w:hAnsi="Times New Roman"/>
                <w:sz w:val="24"/>
                <w:szCs w:val="24"/>
                <w:lang w:eastAsia="lv-LV"/>
              </w:rPr>
              <w:t>Par tiesu varu</w:t>
            </w:r>
            <w:r w:rsidR="00A335BA">
              <w:rPr>
                <w:rFonts w:ascii="Times New Roman" w:eastAsia="Times New Roman" w:hAnsi="Times New Roman"/>
                <w:sz w:val="24"/>
                <w:szCs w:val="24"/>
                <w:lang w:eastAsia="lv-LV"/>
              </w:rPr>
              <w:t>"</w:t>
            </w:r>
            <w:r w:rsidRPr="00037F91">
              <w:rPr>
                <w:rFonts w:ascii="Times New Roman" w:eastAsia="Times New Roman" w:hAnsi="Times New Roman"/>
                <w:sz w:val="24"/>
                <w:szCs w:val="24"/>
                <w:lang w:eastAsia="lv-LV"/>
              </w:rPr>
              <w:t xml:space="preserve"> </w:t>
            </w:r>
            <w:r w:rsidR="00955E54">
              <w:rPr>
                <w:rFonts w:ascii="Times New Roman" w:eastAsia="Times New Roman" w:hAnsi="Times New Roman"/>
                <w:sz w:val="24"/>
                <w:szCs w:val="24"/>
                <w:lang w:eastAsia="lv-LV"/>
              </w:rPr>
              <w:t>(</w:t>
            </w:r>
            <w:r w:rsidR="00955E54" w:rsidRPr="006B174E">
              <w:rPr>
                <w:rFonts w:ascii="Times New Roman" w:eastAsia="Times New Roman" w:hAnsi="Times New Roman"/>
                <w:i/>
                <w:sz w:val="24"/>
                <w:szCs w:val="24"/>
                <w:lang w:eastAsia="lv-LV"/>
              </w:rPr>
              <w:t>likuma redakcijā līdz 2017. gada 2. novembrī pieņemtā likumprojekta Nr. 898/Lp12 spēkā stāšanās brīdim</w:t>
            </w:r>
            <w:r w:rsidR="00955E54">
              <w:rPr>
                <w:rFonts w:ascii="Times New Roman" w:eastAsia="Times New Roman" w:hAnsi="Times New Roman"/>
                <w:sz w:val="24"/>
                <w:szCs w:val="24"/>
                <w:lang w:eastAsia="lv-LV"/>
              </w:rPr>
              <w:t xml:space="preserve">) </w:t>
            </w:r>
            <w:r w:rsidRPr="00037F91">
              <w:rPr>
                <w:rFonts w:ascii="Times New Roman" w:eastAsia="Times New Roman" w:hAnsi="Times New Roman"/>
                <w:sz w:val="24"/>
                <w:szCs w:val="24"/>
                <w:lang w:eastAsia="lv-LV"/>
              </w:rPr>
              <w:t>115. pant</w:t>
            </w:r>
            <w:r w:rsidR="003B2568">
              <w:rPr>
                <w:rFonts w:ascii="Times New Roman" w:eastAsia="Times New Roman" w:hAnsi="Times New Roman"/>
                <w:sz w:val="24"/>
                <w:szCs w:val="24"/>
                <w:lang w:eastAsia="lv-LV"/>
              </w:rPr>
              <w:t>a ceturtā daļa</w:t>
            </w:r>
            <w:r w:rsidR="00A335BA">
              <w:rPr>
                <w:rFonts w:ascii="Times New Roman" w:eastAsia="Times New Roman" w:hAnsi="Times New Roman"/>
                <w:sz w:val="24"/>
                <w:szCs w:val="24"/>
                <w:lang w:eastAsia="lv-LV"/>
              </w:rPr>
              <w:t xml:space="preserve"> </w:t>
            </w:r>
            <w:r w:rsidR="00E066EA" w:rsidRPr="00037F91">
              <w:rPr>
                <w:rFonts w:ascii="Times New Roman" w:eastAsia="Times New Roman" w:hAnsi="Times New Roman"/>
                <w:sz w:val="24"/>
                <w:szCs w:val="24"/>
                <w:lang w:eastAsia="lv-LV"/>
              </w:rPr>
              <w:t>noteic</w:t>
            </w:r>
            <w:r w:rsidR="00A335BA">
              <w:rPr>
                <w:rFonts w:ascii="Times New Roman" w:eastAsia="Times New Roman" w:hAnsi="Times New Roman"/>
                <w:sz w:val="24"/>
                <w:szCs w:val="24"/>
                <w:lang w:eastAsia="lv-LV"/>
              </w:rPr>
              <w:t>a</w:t>
            </w:r>
            <w:r w:rsidR="00E066EA" w:rsidRPr="00037F91">
              <w:rPr>
                <w:rFonts w:ascii="Times New Roman" w:eastAsia="Times New Roman" w:hAnsi="Times New Roman"/>
                <w:sz w:val="24"/>
                <w:szCs w:val="24"/>
                <w:lang w:eastAsia="lv-LV"/>
              </w:rPr>
              <w:t xml:space="preserve"> policijas pienākumus tiesas darbības un kārtības tiesā nodrošināšanai.</w:t>
            </w:r>
            <w:r w:rsidR="00E35909" w:rsidRPr="00037F91">
              <w:rPr>
                <w:rFonts w:ascii="Times New Roman" w:eastAsia="Times New Roman" w:hAnsi="Times New Roman"/>
                <w:sz w:val="24"/>
                <w:szCs w:val="24"/>
                <w:lang w:eastAsia="lv-LV"/>
              </w:rPr>
              <w:t xml:space="preserve"> Minētais ietv</w:t>
            </w:r>
            <w:r w:rsidR="00A335BA">
              <w:rPr>
                <w:rFonts w:ascii="Times New Roman" w:eastAsia="Times New Roman" w:hAnsi="Times New Roman"/>
                <w:sz w:val="24"/>
                <w:szCs w:val="24"/>
                <w:lang w:eastAsia="lv-LV"/>
              </w:rPr>
              <w:t>ē</w:t>
            </w:r>
            <w:r w:rsidR="00E35909" w:rsidRPr="00037F91">
              <w:rPr>
                <w:rFonts w:ascii="Times New Roman" w:eastAsia="Times New Roman" w:hAnsi="Times New Roman"/>
                <w:sz w:val="24"/>
                <w:szCs w:val="24"/>
                <w:lang w:eastAsia="lv-LV"/>
              </w:rPr>
              <w:t>r</w:t>
            </w:r>
            <w:r w:rsidR="00A335BA">
              <w:rPr>
                <w:rFonts w:ascii="Times New Roman" w:eastAsia="Times New Roman" w:hAnsi="Times New Roman"/>
                <w:sz w:val="24"/>
                <w:szCs w:val="24"/>
                <w:lang w:eastAsia="lv-LV"/>
              </w:rPr>
              <w:t>a</w:t>
            </w:r>
            <w:r w:rsidR="00E35909" w:rsidRPr="00037F91">
              <w:rPr>
                <w:rFonts w:ascii="Times New Roman" w:eastAsia="Times New Roman" w:hAnsi="Times New Roman"/>
                <w:sz w:val="24"/>
                <w:szCs w:val="24"/>
                <w:lang w:eastAsia="lv-LV"/>
              </w:rPr>
              <w:t xml:space="preserve"> </w:t>
            </w:r>
            <w:r w:rsidR="00A335BA">
              <w:rPr>
                <w:rFonts w:ascii="Times New Roman" w:eastAsia="Times New Roman" w:hAnsi="Times New Roman"/>
                <w:sz w:val="24"/>
                <w:szCs w:val="24"/>
                <w:lang w:eastAsia="lv-LV"/>
              </w:rPr>
              <w:t xml:space="preserve">regulējumu attiecībā uz </w:t>
            </w:r>
            <w:r w:rsidR="00E35909" w:rsidRPr="00037F91">
              <w:rPr>
                <w:rFonts w:ascii="Times New Roman" w:eastAsia="Times New Roman" w:hAnsi="Times New Roman"/>
                <w:sz w:val="24"/>
                <w:szCs w:val="24"/>
                <w:lang w:eastAsia="lv-LV"/>
              </w:rPr>
              <w:t>kārtības nodrošināšanu tiesā ar tiesas kārtībnieku palīdzību.</w:t>
            </w:r>
            <w:r w:rsidR="00E066EA" w:rsidRPr="00037F91">
              <w:rPr>
                <w:rFonts w:ascii="Times New Roman" w:eastAsia="Times New Roman" w:hAnsi="Times New Roman"/>
                <w:sz w:val="24"/>
                <w:szCs w:val="24"/>
                <w:lang w:eastAsia="lv-LV"/>
              </w:rPr>
              <w:t xml:space="preserve"> Neskatoties uz minēto, Valsts policija faktiski jau vairākus gadus nenodrošin</w:t>
            </w:r>
            <w:r w:rsidR="00A335BA">
              <w:rPr>
                <w:rFonts w:ascii="Times New Roman" w:eastAsia="Times New Roman" w:hAnsi="Times New Roman"/>
                <w:sz w:val="24"/>
                <w:szCs w:val="24"/>
                <w:lang w:eastAsia="lv-LV"/>
              </w:rPr>
              <w:t>āja</w:t>
            </w:r>
            <w:r w:rsidR="00E066EA" w:rsidRPr="00037F91">
              <w:rPr>
                <w:rFonts w:ascii="Times New Roman" w:eastAsia="Times New Roman" w:hAnsi="Times New Roman"/>
                <w:sz w:val="24"/>
                <w:szCs w:val="24"/>
                <w:lang w:eastAsia="lv-LV"/>
              </w:rPr>
              <w:t xml:space="preserve"> </w:t>
            </w:r>
            <w:r w:rsidR="00E35909" w:rsidRPr="00037F91">
              <w:rPr>
                <w:rFonts w:ascii="Times New Roman" w:eastAsia="Times New Roman" w:hAnsi="Times New Roman"/>
                <w:sz w:val="24"/>
                <w:szCs w:val="24"/>
                <w:lang w:eastAsia="lv-LV"/>
              </w:rPr>
              <w:t xml:space="preserve">tiesas </w:t>
            </w:r>
            <w:r w:rsidR="00E066EA" w:rsidRPr="00037F91">
              <w:rPr>
                <w:rFonts w:ascii="Times New Roman" w:eastAsia="Times New Roman" w:hAnsi="Times New Roman"/>
                <w:sz w:val="24"/>
                <w:szCs w:val="24"/>
                <w:lang w:eastAsia="lv-LV"/>
              </w:rPr>
              <w:t>kārtībnieku</w:t>
            </w:r>
            <w:r w:rsidR="00A335BA">
              <w:rPr>
                <w:rFonts w:ascii="Times New Roman" w:eastAsia="Times New Roman" w:hAnsi="Times New Roman"/>
                <w:sz w:val="24"/>
                <w:szCs w:val="24"/>
                <w:lang w:eastAsia="lv-LV"/>
              </w:rPr>
              <w:t xml:space="preserve"> darbību</w:t>
            </w:r>
            <w:r w:rsidR="00E066EA" w:rsidRPr="00037F91">
              <w:rPr>
                <w:rFonts w:ascii="Times New Roman" w:eastAsia="Times New Roman" w:hAnsi="Times New Roman"/>
                <w:sz w:val="24"/>
                <w:szCs w:val="24"/>
                <w:lang w:eastAsia="lv-LV"/>
              </w:rPr>
              <w:t xml:space="preserve"> tiesās. Minētais pamatots ar apsvērumu, ka </w:t>
            </w:r>
            <w:r w:rsidR="002C584C" w:rsidRPr="00037F91">
              <w:rPr>
                <w:rFonts w:ascii="Times New Roman" w:eastAsia="Times New Roman" w:hAnsi="Times New Roman"/>
                <w:sz w:val="24"/>
                <w:szCs w:val="24"/>
                <w:lang w:eastAsia="lv-LV"/>
              </w:rPr>
              <w:t xml:space="preserve">šāds uzdevums neietilpst </w:t>
            </w:r>
            <w:r w:rsidR="00A335BA">
              <w:rPr>
                <w:rFonts w:ascii="Times New Roman" w:eastAsia="Times New Roman" w:hAnsi="Times New Roman"/>
                <w:sz w:val="24"/>
                <w:szCs w:val="24"/>
                <w:lang w:eastAsia="lv-LV"/>
              </w:rPr>
              <w:t xml:space="preserve">Valsts </w:t>
            </w:r>
            <w:r w:rsidR="002C584C" w:rsidRPr="00037F91">
              <w:rPr>
                <w:rFonts w:ascii="Times New Roman" w:eastAsia="Times New Roman" w:hAnsi="Times New Roman"/>
                <w:sz w:val="24"/>
                <w:szCs w:val="24"/>
                <w:lang w:eastAsia="lv-LV"/>
              </w:rPr>
              <w:t>policijas kompetencē, jo nepamatoti paplašina policijas pienākumu apjomu</w:t>
            </w:r>
            <w:r w:rsidR="00E35909" w:rsidRPr="00037F91">
              <w:rPr>
                <w:rFonts w:ascii="Times New Roman" w:eastAsia="Times New Roman" w:hAnsi="Times New Roman"/>
                <w:sz w:val="24"/>
                <w:szCs w:val="24"/>
                <w:lang w:eastAsia="lv-LV"/>
              </w:rPr>
              <w:t xml:space="preserve">. Ievērojot minēto un </w:t>
            </w:r>
            <w:r w:rsidR="00E066EA" w:rsidRPr="00037F91">
              <w:rPr>
                <w:rFonts w:ascii="Times New Roman" w:eastAsia="Times New Roman" w:hAnsi="Times New Roman"/>
                <w:sz w:val="24"/>
                <w:szCs w:val="24"/>
                <w:lang w:eastAsia="lv-LV"/>
              </w:rPr>
              <w:t>Ministru kabineta 2016.</w:t>
            </w:r>
            <w:r w:rsidR="00A335BA">
              <w:rPr>
                <w:rFonts w:ascii="Times New Roman" w:eastAsia="Times New Roman" w:hAnsi="Times New Roman"/>
                <w:sz w:val="24"/>
                <w:szCs w:val="24"/>
                <w:lang w:eastAsia="lv-LV"/>
              </w:rPr>
              <w:t> </w:t>
            </w:r>
            <w:r w:rsidR="00E066EA" w:rsidRPr="00037F91">
              <w:rPr>
                <w:rFonts w:ascii="Times New Roman" w:eastAsia="Times New Roman" w:hAnsi="Times New Roman"/>
                <w:sz w:val="24"/>
                <w:szCs w:val="24"/>
                <w:lang w:eastAsia="lv-LV"/>
              </w:rPr>
              <w:t>gada 6.</w:t>
            </w:r>
            <w:r w:rsidR="002C584C" w:rsidRPr="00037F91">
              <w:rPr>
                <w:rFonts w:ascii="Times New Roman" w:eastAsia="Times New Roman" w:hAnsi="Times New Roman"/>
                <w:sz w:val="24"/>
                <w:szCs w:val="24"/>
                <w:lang w:eastAsia="lv-LV"/>
              </w:rPr>
              <w:t> </w:t>
            </w:r>
            <w:r w:rsidR="00E066EA" w:rsidRPr="00037F91">
              <w:rPr>
                <w:rFonts w:ascii="Times New Roman" w:eastAsia="Times New Roman" w:hAnsi="Times New Roman"/>
                <w:sz w:val="24"/>
                <w:szCs w:val="24"/>
                <w:lang w:eastAsia="lv-LV"/>
              </w:rPr>
              <w:t>aprīļa rīkojum</w:t>
            </w:r>
            <w:r w:rsidR="00E35909" w:rsidRPr="00037F91">
              <w:rPr>
                <w:rFonts w:ascii="Times New Roman" w:eastAsia="Times New Roman" w:hAnsi="Times New Roman"/>
                <w:sz w:val="24"/>
                <w:szCs w:val="24"/>
                <w:lang w:eastAsia="lv-LV"/>
              </w:rPr>
              <w:t>a</w:t>
            </w:r>
            <w:r w:rsidR="00E066EA" w:rsidRPr="00037F91">
              <w:rPr>
                <w:rFonts w:ascii="Times New Roman" w:eastAsia="Times New Roman" w:hAnsi="Times New Roman"/>
                <w:sz w:val="24"/>
                <w:szCs w:val="24"/>
                <w:lang w:eastAsia="lv-LV"/>
              </w:rPr>
              <w:t xml:space="preserve"> Nr.</w:t>
            </w:r>
            <w:r w:rsidR="002C584C" w:rsidRPr="00037F91">
              <w:rPr>
                <w:rFonts w:ascii="Times New Roman" w:eastAsia="Times New Roman" w:hAnsi="Times New Roman"/>
                <w:sz w:val="24"/>
                <w:szCs w:val="24"/>
                <w:lang w:eastAsia="lv-LV"/>
              </w:rPr>
              <w:t> </w:t>
            </w:r>
            <w:r w:rsidR="00E066EA" w:rsidRPr="00037F91">
              <w:rPr>
                <w:rFonts w:ascii="Times New Roman" w:eastAsia="Times New Roman" w:hAnsi="Times New Roman"/>
                <w:sz w:val="24"/>
                <w:szCs w:val="24"/>
                <w:lang w:eastAsia="lv-LV"/>
              </w:rPr>
              <w:t xml:space="preserve">248 </w:t>
            </w:r>
            <w:r w:rsidR="00A335BA">
              <w:rPr>
                <w:rFonts w:ascii="Times New Roman" w:eastAsia="Times New Roman" w:hAnsi="Times New Roman"/>
                <w:sz w:val="24"/>
                <w:szCs w:val="24"/>
                <w:lang w:eastAsia="lv-LV"/>
              </w:rPr>
              <w:t>"</w:t>
            </w:r>
            <w:r w:rsidR="00E066EA" w:rsidRPr="00037F91">
              <w:rPr>
                <w:rFonts w:ascii="Times New Roman" w:eastAsia="Times New Roman" w:hAnsi="Times New Roman"/>
                <w:sz w:val="24"/>
                <w:szCs w:val="24"/>
                <w:lang w:eastAsia="lv-LV"/>
              </w:rPr>
              <w:t>Par Valsts policijas attīstības koncepciju</w:t>
            </w:r>
            <w:r w:rsidR="00A335BA">
              <w:rPr>
                <w:rFonts w:ascii="Times New Roman" w:eastAsia="Times New Roman" w:hAnsi="Times New Roman"/>
                <w:sz w:val="24"/>
                <w:szCs w:val="24"/>
                <w:lang w:eastAsia="lv-LV"/>
              </w:rPr>
              <w:t>"</w:t>
            </w:r>
            <w:r w:rsidR="00E066EA" w:rsidRPr="00037F91">
              <w:rPr>
                <w:rFonts w:ascii="Times New Roman" w:eastAsia="Times New Roman" w:hAnsi="Times New Roman"/>
                <w:sz w:val="24"/>
                <w:szCs w:val="24"/>
                <w:lang w:eastAsia="lv-LV"/>
              </w:rPr>
              <w:t xml:space="preserve"> 6.</w:t>
            </w:r>
            <w:r w:rsidR="002C584C" w:rsidRPr="00037F91">
              <w:rPr>
                <w:rFonts w:ascii="Times New Roman" w:eastAsia="Times New Roman" w:hAnsi="Times New Roman"/>
                <w:sz w:val="24"/>
                <w:szCs w:val="24"/>
                <w:lang w:eastAsia="lv-LV"/>
              </w:rPr>
              <w:t> </w:t>
            </w:r>
            <w:r w:rsidR="00E066EA" w:rsidRPr="00037F91">
              <w:rPr>
                <w:rFonts w:ascii="Times New Roman" w:eastAsia="Times New Roman" w:hAnsi="Times New Roman"/>
                <w:sz w:val="24"/>
                <w:szCs w:val="24"/>
                <w:lang w:eastAsia="lv-LV"/>
              </w:rPr>
              <w:t>punktu</w:t>
            </w:r>
            <w:r w:rsidR="00E35909" w:rsidRPr="00037F91">
              <w:rPr>
                <w:rFonts w:ascii="Times New Roman" w:eastAsia="Times New Roman" w:hAnsi="Times New Roman"/>
                <w:sz w:val="24"/>
                <w:szCs w:val="24"/>
                <w:lang w:eastAsia="lv-LV"/>
              </w:rPr>
              <w:t xml:space="preserve">, </w:t>
            </w:r>
            <w:r w:rsidR="006B174E">
              <w:rPr>
                <w:rFonts w:ascii="Times New Roman" w:eastAsia="Times New Roman" w:hAnsi="Times New Roman"/>
                <w:sz w:val="24"/>
                <w:szCs w:val="24"/>
                <w:lang w:eastAsia="lv-LV"/>
              </w:rPr>
              <w:t xml:space="preserve">no </w:t>
            </w:r>
            <w:r w:rsidR="00E066EA" w:rsidRPr="00037F91">
              <w:rPr>
                <w:rFonts w:ascii="Times New Roman" w:eastAsia="Times New Roman" w:hAnsi="Times New Roman"/>
                <w:sz w:val="24"/>
                <w:szCs w:val="24"/>
                <w:lang w:eastAsia="lv-LV"/>
              </w:rPr>
              <w:t xml:space="preserve">likuma </w:t>
            </w:r>
            <w:r w:rsidR="00A335BA">
              <w:rPr>
                <w:rFonts w:ascii="Times New Roman" w:eastAsia="Times New Roman" w:hAnsi="Times New Roman"/>
                <w:sz w:val="24"/>
                <w:szCs w:val="24"/>
                <w:lang w:eastAsia="lv-LV"/>
              </w:rPr>
              <w:t>"</w:t>
            </w:r>
            <w:r w:rsidR="00E066EA" w:rsidRPr="00037F91">
              <w:rPr>
                <w:rFonts w:ascii="Times New Roman" w:eastAsia="Times New Roman" w:hAnsi="Times New Roman"/>
                <w:sz w:val="24"/>
                <w:szCs w:val="24"/>
                <w:lang w:eastAsia="lv-LV"/>
              </w:rPr>
              <w:t>Par tiesu varu</w:t>
            </w:r>
            <w:r w:rsidR="00A335BA">
              <w:rPr>
                <w:rFonts w:ascii="Times New Roman" w:eastAsia="Times New Roman" w:hAnsi="Times New Roman"/>
                <w:sz w:val="24"/>
                <w:szCs w:val="24"/>
                <w:lang w:eastAsia="lv-LV"/>
              </w:rPr>
              <w:t>"</w:t>
            </w:r>
            <w:r w:rsidR="009936E0">
              <w:rPr>
                <w:rFonts w:ascii="Times New Roman" w:eastAsia="Times New Roman" w:hAnsi="Times New Roman"/>
                <w:sz w:val="24"/>
                <w:szCs w:val="24"/>
                <w:lang w:eastAsia="lv-LV"/>
              </w:rPr>
              <w:t xml:space="preserve"> </w:t>
            </w:r>
            <w:r w:rsidR="006B174E">
              <w:rPr>
                <w:rFonts w:ascii="Times New Roman" w:eastAsia="Times New Roman" w:hAnsi="Times New Roman"/>
                <w:sz w:val="24"/>
                <w:szCs w:val="24"/>
                <w:lang w:eastAsia="lv-LV"/>
              </w:rPr>
              <w:t xml:space="preserve">izslēgta </w:t>
            </w:r>
            <w:r w:rsidR="00E066EA" w:rsidRPr="00037F91">
              <w:rPr>
                <w:rFonts w:ascii="Times New Roman" w:eastAsia="Times New Roman" w:hAnsi="Times New Roman"/>
                <w:sz w:val="24"/>
                <w:szCs w:val="24"/>
                <w:lang w:eastAsia="lv-LV"/>
              </w:rPr>
              <w:t>115. panta ceturt</w:t>
            </w:r>
            <w:r w:rsidR="00A335BA">
              <w:rPr>
                <w:rFonts w:ascii="Times New Roman" w:eastAsia="Times New Roman" w:hAnsi="Times New Roman"/>
                <w:sz w:val="24"/>
                <w:szCs w:val="24"/>
                <w:lang w:eastAsia="lv-LV"/>
              </w:rPr>
              <w:t>ā</w:t>
            </w:r>
            <w:r w:rsidR="00E066EA" w:rsidRPr="00037F91">
              <w:rPr>
                <w:rFonts w:ascii="Times New Roman" w:eastAsia="Times New Roman" w:hAnsi="Times New Roman"/>
                <w:sz w:val="24"/>
                <w:szCs w:val="24"/>
                <w:lang w:eastAsia="lv-LV"/>
              </w:rPr>
              <w:t xml:space="preserve"> daļ</w:t>
            </w:r>
            <w:r w:rsidR="00D63D0E">
              <w:rPr>
                <w:rFonts w:ascii="Times New Roman" w:eastAsia="Times New Roman" w:hAnsi="Times New Roman"/>
                <w:sz w:val="24"/>
                <w:szCs w:val="24"/>
                <w:lang w:eastAsia="lv-LV"/>
              </w:rPr>
              <w:t>a</w:t>
            </w:r>
            <w:r w:rsidR="00E066EA" w:rsidRPr="00037F91">
              <w:rPr>
                <w:rFonts w:ascii="Times New Roman" w:eastAsia="Times New Roman" w:hAnsi="Times New Roman"/>
                <w:sz w:val="24"/>
                <w:szCs w:val="24"/>
                <w:lang w:eastAsia="lv-LV"/>
              </w:rPr>
              <w:t xml:space="preserve">. </w:t>
            </w:r>
            <w:r w:rsidR="00E037B0" w:rsidRPr="00037F91">
              <w:rPr>
                <w:rFonts w:ascii="Times New Roman" w:eastAsia="Times New Roman" w:hAnsi="Times New Roman"/>
                <w:sz w:val="24"/>
                <w:szCs w:val="24"/>
                <w:lang w:eastAsia="lv-LV"/>
              </w:rPr>
              <w:t>Minētā rīkojuma 6.</w:t>
            </w:r>
            <w:r w:rsidR="00A335BA">
              <w:rPr>
                <w:rFonts w:ascii="Times New Roman" w:eastAsia="Times New Roman" w:hAnsi="Times New Roman"/>
                <w:sz w:val="24"/>
                <w:szCs w:val="24"/>
                <w:lang w:eastAsia="lv-LV"/>
              </w:rPr>
              <w:t> </w:t>
            </w:r>
            <w:r w:rsidR="00E037B0" w:rsidRPr="00037F91">
              <w:rPr>
                <w:rFonts w:ascii="Times New Roman" w:eastAsia="Times New Roman" w:hAnsi="Times New Roman"/>
                <w:sz w:val="24"/>
                <w:szCs w:val="24"/>
                <w:lang w:eastAsia="lv-LV"/>
              </w:rPr>
              <w:t>punkts paredz noteikt, ka tiesu kārtībnieku darbību nodrošin</w:t>
            </w:r>
            <w:r w:rsidR="00E71E09" w:rsidRPr="00037F91">
              <w:rPr>
                <w:rFonts w:ascii="Times New Roman" w:eastAsia="Times New Roman" w:hAnsi="Times New Roman"/>
                <w:sz w:val="24"/>
                <w:szCs w:val="24"/>
                <w:lang w:eastAsia="lv-LV"/>
              </w:rPr>
              <w:t>ās</w:t>
            </w:r>
            <w:r w:rsidR="00E037B0" w:rsidRPr="00037F91">
              <w:rPr>
                <w:rFonts w:ascii="Times New Roman" w:eastAsia="Times New Roman" w:hAnsi="Times New Roman"/>
                <w:sz w:val="24"/>
                <w:szCs w:val="24"/>
                <w:lang w:eastAsia="lv-LV"/>
              </w:rPr>
              <w:t xml:space="preserve"> Tiesu administrācija vai tiesas, izveidojot tiesu iekšējās drošības dienestus vai slēdzot pakalpojuma līgumus ar apsardzes </w:t>
            </w:r>
            <w:r w:rsidR="00E037B0" w:rsidRPr="00037F91">
              <w:rPr>
                <w:rFonts w:ascii="Times New Roman" w:eastAsia="Times New Roman" w:hAnsi="Times New Roman"/>
                <w:sz w:val="24"/>
                <w:szCs w:val="24"/>
                <w:lang w:eastAsia="lv-LV"/>
              </w:rPr>
              <w:lastRenderedPageBreak/>
              <w:t>komersantiem.</w:t>
            </w:r>
            <w:r w:rsidR="006B174E">
              <w:rPr>
                <w:rFonts w:ascii="Times New Roman" w:eastAsia="Times New Roman" w:hAnsi="Times New Roman"/>
                <w:sz w:val="24"/>
                <w:szCs w:val="24"/>
                <w:lang w:eastAsia="lv-LV"/>
              </w:rPr>
              <w:t xml:space="preserve"> Vienlaicīgi </w:t>
            </w:r>
            <w:r w:rsidR="006B174E" w:rsidRPr="006B174E">
              <w:rPr>
                <w:rFonts w:ascii="Times New Roman" w:eastAsia="Times New Roman" w:hAnsi="Times New Roman"/>
                <w:sz w:val="24"/>
                <w:szCs w:val="24"/>
                <w:lang w:eastAsia="lv-LV"/>
              </w:rPr>
              <w:t>likum</w:t>
            </w:r>
            <w:r w:rsidR="006B174E">
              <w:rPr>
                <w:rFonts w:ascii="Times New Roman" w:eastAsia="Times New Roman" w:hAnsi="Times New Roman"/>
                <w:sz w:val="24"/>
                <w:szCs w:val="24"/>
                <w:lang w:eastAsia="lv-LV"/>
              </w:rPr>
              <w:t>s</w:t>
            </w:r>
            <w:r w:rsidR="006B174E" w:rsidRPr="006B174E">
              <w:rPr>
                <w:rFonts w:ascii="Times New Roman" w:eastAsia="Times New Roman" w:hAnsi="Times New Roman"/>
                <w:sz w:val="24"/>
                <w:szCs w:val="24"/>
                <w:lang w:eastAsia="lv-LV"/>
              </w:rPr>
              <w:t xml:space="preserve"> "Par tiesu varu"</w:t>
            </w:r>
            <w:r w:rsidR="006B174E">
              <w:rPr>
                <w:rFonts w:ascii="Times New Roman" w:eastAsia="Times New Roman" w:hAnsi="Times New Roman"/>
                <w:sz w:val="24"/>
                <w:szCs w:val="24"/>
                <w:lang w:eastAsia="lv-LV"/>
              </w:rPr>
              <w:t xml:space="preserve"> ir papildin</w:t>
            </w:r>
            <w:r w:rsidR="006C364E">
              <w:rPr>
                <w:rFonts w:ascii="Times New Roman" w:eastAsia="Times New Roman" w:hAnsi="Times New Roman"/>
                <w:sz w:val="24"/>
                <w:szCs w:val="24"/>
                <w:lang w:eastAsia="lv-LV"/>
              </w:rPr>
              <w:t>ā</w:t>
            </w:r>
            <w:r w:rsidR="006B174E">
              <w:rPr>
                <w:rFonts w:ascii="Times New Roman" w:eastAsia="Times New Roman" w:hAnsi="Times New Roman"/>
                <w:sz w:val="24"/>
                <w:szCs w:val="24"/>
                <w:lang w:eastAsia="lv-LV"/>
              </w:rPr>
              <w:t xml:space="preserve">ts ar </w:t>
            </w:r>
            <w:r w:rsidR="006B174E" w:rsidRPr="006B174E">
              <w:rPr>
                <w:rFonts w:ascii="Times New Roman" w:eastAsia="Times New Roman" w:hAnsi="Times New Roman"/>
                <w:sz w:val="24"/>
                <w:szCs w:val="24"/>
                <w:lang w:eastAsia="lv-LV"/>
              </w:rPr>
              <w:t>107.</w:t>
            </w:r>
            <w:r w:rsidR="006B174E" w:rsidRPr="006B174E">
              <w:rPr>
                <w:rFonts w:ascii="Times New Roman" w:eastAsia="Times New Roman" w:hAnsi="Times New Roman"/>
                <w:sz w:val="24"/>
                <w:szCs w:val="24"/>
                <w:vertAlign w:val="superscript"/>
                <w:lang w:eastAsia="lv-LV"/>
              </w:rPr>
              <w:t>1</w:t>
            </w:r>
            <w:r w:rsidR="006B174E" w:rsidRPr="006B174E">
              <w:rPr>
                <w:rFonts w:ascii="Times New Roman" w:eastAsia="Times New Roman" w:hAnsi="Times New Roman"/>
                <w:sz w:val="24"/>
                <w:szCs w:val="24"/>
                <w:lang w:eastAsia="lv-LV"/>
              </w:rPr>
              <w:t> panta otrās daļas 24. punkt</w:t>
            </w:r>
            <w:r w:rsidR="006B174E">
              <w:rPr>
                <w:rFonts w:ascii="Times New Roman" w:eastAsia="Times New Roman" w:hAnsi="Times New Roman"/>
                <w:sz w:val="24"/>
                <w:szCs w:val="24"/>
                <w:lang w:eastAsia="lv-LV"/>
              </w:rPr>
              <w:t xml:space="preserve">u, kas </w:t>
            </w:r>
            <w:r w:rsidR="006B174E" w:rsidRPr="006B174E">
              <w:rPr>
                <w:rFonts w:ascii="Times New Roman" w:eastAsia="Times New Roman" w:hAnsi="Times New Roman"/>
                <w:sz w:val="24"/>
                <w:szCs w:val="24"/>
                <w:lang w:eastAsia="lv-LV"/>
              </w:rPr>
              <w:t xml:space="preserve">noteic Tiesu administrācijai pienākumu gādāt par drošību </w:t>
            </w:r>
            <w:r w:rsidR="006B174E">
              <w:rPr>
                <w:rFonts w:ascii="Times New Roman" w:eastAsia="Times New Roman" w:hAnsi="Times New Roman"/>
                <w:sz w:val="24"/>
                <w:szCs w:val="24"/>
                <w:lang w:eastAsia="lv-LV"/>
              </w:rPr>
              <w:t>tiesās.</w:t>
            </w:r>
            <w:r w:rsidR="006C364E">
              <w:rPr>
                <w:rFonts w:ascii="Times New Roman" w:eastAsia="Times New Roman" w:hAnsi="Times New Roman"/>
                <w:sz w:val="24"/>
                <w:szCs w:val="24"/>
                <w:lang w:eastAsia="lv-LV"/>
              </w:rPr>
              <w:t xml:space="preserve"> </w:t>
            </w:r>
            <w:r w:rsidR="00261FB1" w:rsidRPr="00037F91">
              <w:rPr>
                <w:rFonts w:ascii="Times New Roman" w:eastAsia="Times New Roman" w:hAnsi="Times New Roman"/>
                <w:sz w:val="24"/>
                <w:szCs w:val="24"/>
                <w:lang w:eastAsia="lv-LV"/>
              </w:rPr>
              <w:t>Ārēj</w:t>
            </w:r>
            <w:r w:rsidR="00FA795E" w:rsidRPr="00037F91">
              <w:rPr>
                <w:rFonts w:ascii="Times New Roman" w:eastAsia="Times New Roman" w:hAnsi="Times New Roman"/>
                <w:sz w:val="24"/>
                <w:szCs w:val="24"/>
                <w:lang w:eastAsia="lv-LV"/>
              </w:rPr>
              <w:t>ie</w:t>
            </w:r>
            <w:r w:rsidR="00261FB1" w:rsidRPr="00037F91">
              <w:rPr>
                <w:rFonts w:ascii="Times New Roman" w:eastAsia="Times New Roman" w:hAnsi="Times New Roman"/>
                <w:sz w:val="24"/>
                <w:szCs w:val="24"/>
                <w:lang w:eastAsia="lv-LV"/>
              </w:rPr>
              <w:t xml:space="preserve"> normatīv</w:t>
            </w:r>
            <w:r w:rsidR="00FA795E" w:rsidRPr="00037F91">
              <w:rPr>
                <w:rFonts w:ascii="Times New Roman" w:eastAsia="Times New Roman" w:hAnsi="Times New Roman"/>
                <w:sz w:val="24"/>
                <w:szCs w:val="24"/>
                <w:lang w:eastAsia="lv-LV"/>
              </w:rPr>
              <w:t>ie</w:t>
            </w:r>
            <w:r w:rsidR="00261FB1" w:rsidRPr="00037F91">
              <w:rPr>
                <w:rFonts w:ascii="Times New Roman" w:eastAsia="Times New Roman" w:hAnsi="Times New Roman"/>
                <w:sz w:val="24"/>
                <w:szCs w:val="24"/>
                <w:lang w:eastAsia="lv-LV"/>
              </w:rPr>
              <w:t xml:space="preserve"> akt</w:t>
            </w:r>
            <w:r w:rsidR="00FA795E" w:rsidRPr="00037F91">
              <w:rPr>
                <w:rFonts w:ascii="Times New Roman" w:eastAsia="Times New Roman" w:hAnsi="Times New Roman"/>
                <w:sz w:val="24"/>
                <w:szCs w:val="24"/>
                <w:lang w:eastAsia="lv-LV"/>
              </w:rPr>
              <w:t>i</w:t>
            </w:r>
            <w:r w:rsidR="00261FB1" w:rsidRPr="00037F91">
              <w:rPr>
                <w:rFonts w:ascii="Times New Roman" w:eastAsia="Times New Roman" w:hAnsi="Times New Roman"/>
                <w:sz w:val="24"/>
                <w:szCs w:val="24"/>
                <w:lang w:eastAsia="lv-LV"/>
              </w:rPr>
              <w:t xml:space="preserve"> pašlaik n</w:t>
            </w:r>
            <w:r w:rsidR="00FA795E" w:rsidRPr="00037F91">
              <w:rPr>
                <w:rFonts w:ascii="Times New Roman" w:eastAsia="Times New Roman" w:hAnsi="Times New Roman"/>
                <w:sz w:val="24"/>
                <w:szCs w:val="24"/>
                <w:lang w:eastAsia="lv-LV"/>
              </w:rPr>
              <w:t>eparedz</w:t>
            </w:r>
            <w:r w:rsidR="00261FB1" w:rsidRPr="00037F91">
              <w:rPr>
                <w:rFonts w:ascii="Times New Roman" w:eastAsia="Times New Roman" w:hAnsi="Times New Roman"/>
                <w:sz w:val="24"/>
                <w:szCs w:val="24"/>
                <w:lang w:eastAsia="lv-LV"/>
              </w:rPr>
              <w:t xml:space="preserve"> aizliegum</w:t>
            </w:r>
            <w:r w:rsidR="00FA795E" w:rsidRPr="00037F91">
              <w:rPr>
                <w:rFonts w:ascii="Times New Roman" w:eastAsia="Times New Roman" w:hAnsi="Times New Roman"/>
                <w:sz w:val="24"/>
                <w:szCs w:val="24"/>
                <w:lang w:eastAsia="lv-LV"/>
              </w:rPr>
              <w:t>u</w:t>
            </w:r>
            <w:r w:rsidR="00261FB1" w:rsidRPr="00037F91">
              <w:rPr>
                <w:rFonts w:ascii="Times New Roman" w:eastAsia="Times New Roman" w:hAnsi="Times New Roman"/>
                <w:sz w:val="24"/>
                <w:szCs w:val="24"/>
                <w:lang w:eastAsia="lv-LV"/>
              </w:rPr>
              <w:t xml:space="preserve"> personai ierasties tiesā </w:t>
            </w:r>
            <w:r w:rsidR="00A335BA">
              <w:rPr>
                <w:rFonts w:ascii="Times New Roman" w:eastAsia="Times New Roman" w:hAnsi="Times New Roman"/>
                <w:sz w:val="24"/>
                <w:szCs w:val="24"/>
                <w:lang w:eastAsia="lv-LV"/>
              </w:rPr>
              <w:t xml:space="preserve">ar </w:t>
            </w:r>
            <w:r w:rsidR="00261FB1" w:rsidRPr="00037F91">
              <w:rPr>
                <w:rFonts w:ascii="Times New Roman" w:eastAsia="Times New Roman" w:hAnsi="Times New Roman"/>
                <w:sz w:val="24"/>
                <w:szCs w:val="24"/>
                <w:lang w:eastAsia="lv-LV"/>
              </w:rPr>
              <w:t>ieročiem</w:t>
            </w:r>
            <w:r w:rsidR="00FA795E" w:rsidRPr="00037F91">
              <w:rPr>
                <w:rFonts w:ascii="Times New Roman" w:eastAsia="Times New Roman" w:hAnsi="Times New Roman"/>
                <w:sz w:val="24"/>
                <w:szCs w:val="24"/>
                <w:lang w:eastAsia="lv-LV"/>
              </w:rPr>
              <w:t xml:space="preserve">, </w:t>
            </w:r>
            <w:r w:rsidR="00261FB1" w:rsidRPr="00037F91">
              <w:rPr>
                <w:rFonts w:ascii="Times New Roman" w:eastAsia="Times New Roman" w:hAnsi="Times New Roman"/>
                <w:sz w:val="24"/>
                <w:szCs w:val="24"/>
                <w:lang w:eastAsia="lv-LV"/>
              </w:rPr>
              <w:t xml:space="preserve">speciālajiem līdzekļiem vai citiem </w:t>
            </w:r>
            <w:r w:rsidR="00261FB1" w:rsidRPr="007F277E">
              <w:rPr>
                <w:rFonts w:ascii="Times New Roman" w:eastAsia="Times New Roman" w:hAnsi="Times New Roman"/>
                <w:sz w:val="24"/>
                <w:szCs w:val="24"/>
                <w:lang w:eastAsia="lv-LV"/>
              </w:rPr>
              <w:t>priekšmetiem</w:t>
            </w:r>
            <w:r w:rsidR="00FA795E" w:rsidRPr="007F277E">
              <w:rPr>
                <w:rFonts w:ascii="Times New Roman" w:eastAsia="Times New Roman" w:hAnsi="Times New Roman"/>
                <w:sz w:val="24"/>
                <w:szCs w:val="24"/>
                <w:lang w:eastAsia="lv-LV"/>
              </w:rPr>
              <w:t xml:space="preserve"> un vielām, kuras var izmantot uzbrukumam vai ar kurām var nodarīt miesas bojājumus sev vai citai fiziskai personai, vai veikt citu prettiesisku darbību (piemēram, bojāt tiesā esošo mantu)</w:t>
            </w:r>
            <w:r w:rsidR="00E627AF" w:rsidRPr="007F277E">
              <w:rPr>
                <w:rFonts w:ascii="Times New Roman" w:eastAsia="Times New Roman" w:hAnsi="Times New Roman"/>
                <w:sz w:val="24"/>
                <w:szCs w:val="24"/>
                <w:lang w:eastAsia="lv-LV"/>
              </w:rPr>
              <w:t xml:space="preserve"> (turpmāk – aizliegtie priekšmeti)</w:t>
            </w:r>
            <w:r w:rsidR="00FA795E" w:rsidRPr="007F277E">
              <w:rPr>
                <w:rFonts w:ascii="Times New Roman" w:eastAsia="Times New Roman" w:hAnsi="Times New Roman"/>
                <w:sz w:val="24"/>
                <w:szCs w:val="24"/>
                <w:lang w:eastAsia="lv-LV"/>
              </w:rPr>
              <w:t xml:space="preserve">. </w:t>
            </w:r>
          </w:p>
          <w:p w:rsidR="00FA795E" w:rsidRDefault="00FA795E" w:rsidP="00FA795E">
            <w:pPr>
              <w:spacing w:after="0" w:line="240" w:lineRule="auto"/>
              <w:ind w:firstLine="720"/>
              <w:jc w:val="both"/>
              <w:rPr>
                <w:rFonts w:ascii="Times New Roman" w:eastAsia="Times New Roman" w:hAnsi="Times New Roman"/>
                <w:sz w:val="24"/>
                <w:szCs w:val="24"/>
                <w:lang w:eastAsia="lv-LV"/>
              </w:rPr>
            </w:pPr>
            <w:r w:rsidRPr="007F277E">
              <w:rPr>
                <w:rFonts w:ascii="Times New Roman" w:eastAsia="Times New Roman" w:hAnsi="Times New Roman"/>
                <w:sz w:val="24"/>
                <w:szCs w:val="24"/>
                <w:lang w:eastAsia="lv-LV"/>
              </w:rPr>
              <w:t>Ieroču un speciālo līdzekļu aprites likuma 23.</w:t>
            </w:r>
            <w:r w:rsidR="00B07427" w:rsidRPr="007F277E">
              <w:rPr>
                <w:rFonts w:ascii="Times New Roman" w:eastAsia="Times New Roman" w:hAnsi="Times New Roman"/>
                <w:sz w:val="24"/>
                <w:szCs w:val="24"/>
                <w:lang w:eastAsia="lv-LV"/>
              </w:rPr>
              <w:t> </w:t>
            </w:r>
            <w:r w:rsidRPr="007F277E">
              <w:rPr>
                <w:rFonts w:ascii="Times New Roman" w:eastAsia="Times New Roman" w:hAnsi="Times New Roman"/>
                <w:sz w:val="24"/>
                <w:szCs w:val="24"/>
                <w:lang w:eastAsia="lv-LV"/>
              </w:rPr>
              <w:t>panta sest</w:t>
            </w:r>
            <w:r w:rsidR="00B07427" w:rsidRPr="007F277E">
              <w:rPr>
                <w:rFonts w:ascii="Times New Roman" w:eastAsia="Times New Roman" w:hAnsi="Times New Roman"/>
                <w:sz w:val="24"/>
                <w:szCs w:val="24"/>
                <w:lang w:eastAsia="lv-LV"/>
              </w:rPr>
              <w:t>ā</w:t>
            </w:r>
            <w:r w:rsidRPr="007F277E">
              <w:rPr>
                <w:rFonts w:ascii="Times New Roman" w:eastAsia="Times New Roman" w:hAnsi="Times New Roman"/>
                <w:sz w:val="24"/>
                <w:szCs w:val="24"/>
                <w:lang w:eastAsia="lv-LV"/>
              </w:rPr>
              <w:t xml:space="preserve"> daļ</w:t>
            </w:r>
            <w:r w:rsidR="00B07427" w:rsidRPr="007F277E">
              <w:rPr>
                <w:rFonts w:ascii="Times New Roman" w:eastAsia="Times New Roman" w:hAnsi="Times New Roman"/>
                <w:sz w:val="24"/>
                <w:szCs w:val="24"/>
                <w:lang w:eastAsia="lv-LV"/>
              </w:rPr>
              <w:t>a</w:t>
            </w:r>
            <w:r w:rsidR="004151ED" w:rsidRPr="007F277E">
              <w:rPr>
                <w:rFonts w:ascii="Times New Roman" w:eastAsia="Times New Roman" w:hAnsi="Times New Roman"/>
                <w:sz w:val="24"/>
                <w:szCs w:val="24"/>
                <w:lang w:eastAsia="lv-LV"/>
              </w:rPr>
              <w:t xml:space="preserve"> </w:t>
            </w:r>
            <w:r w:rsidR="006121AA" w:rsidRPr="007F277E">
              <w:rPr>
                <w:rFonts w:ascii="Times New Roman" w:eastAsia="Times New Roman" w:hAnsi="Times New Roman"/>
                <w:sz w:val="24"/>
                <w:szCs w:val="24"/>
                <w:lang w:eastAsia="lv-LV"/>
              </w:rPr>
              <w:t xml:space="preserve">noteic, ka </w:t>
            </w:r>
            <w:r w:rsidRPr="007F277E">
              <w:rPr>
                <w:rFonts w:ascii="Times New Roman" w:eastAsia="Times New Roman" w:hAnsi="Times New Roman"/>
                <w:sz w:val="24"/>
                <w:szCs w:val="24"/>
                <w:lang w:eastAsia="lv-LV"/>
              </w:rPr>
              <w:t xml:space="preserve">juridiskām personām ir tiesības pēc saskaņošanas ar Valsts policiju noteikt fiziskajām personām ieroču un speciālo līdzekļu nēsāšanas ierobežojumus savās telpās un teritorijā, ierīkot ieroču glabātavas un minēto vietu apmeklējuma laikā pieņemt glabāšanā ieročus </w:t>
            </w:r>
            <w:r w:rsidRPr="00037F91">
              <w:rPr>
                <w:rFonts w:ascii="Times New Roman" w:eastAsia="Times New Roman" w:hAnsi="Times New Roman"/>
                <w:sz w:val="24"/>
                <w:szCs w:val="24"/>
                <w:lang w:eastAsia="lv-LV"/>
              </w:rPr>
              <w:t>un munīciju.</w:t>
            </w:r>
            <w:r w:rsidR="00B07427" w:rsidRPr="00037F91">
              <w:rPr>
                <w:rFonts w:ascii="Times New Roman" w:eastAsia="Times New Roman" w:hAnsi="Times New Roman"/>
                <w:sz w:val="24"/>
                <w:szCs w:val="24"/>
                <w:lang w:eastAsia="lv-LV"/>
              </w:rPr>
              <w:t xml:space="preserve"> </w:t>
            </w:r>
            <w:r w:rsidR="00B07427">
              <w:rPr>
                <w:rFonts w:ascii="Times New Roman" w:eastAsia="Times New Roman" w:hAnsi="Times New Roman"/>
                <w:sz w:val="24"/>
                <w:szCs w:val="24"/>
                <w:lang w:eastAsia="lv-LV"/>
              </w:rPr>
              <w:t xml:space="preserve">Tādējādi vispārējais normatīvais regulējums pieļauj iespēju noteikt </w:t>
            </w:r>
            <w:r w:rsidR="00B07427" w:rsidRPr="00037F91">
              <w:rPr>
                <w:rFonts w:ascii="Times New Roman" w:eastAsia="Times New Roman" w:hAnsi="Times New Roman"/>
                <w:sz w:val="24"/>
                <w:szCs w:val="24"/>
                <w:lang w:eastAsia="lv-LV"/>
              </w:rPr>
              <w:t>ieroču un speciālo līdzekļu</w:t>
            </w:r>
            <w:r w:rsidR="00B07427">
              <w:rPr>
                <w:rFonts w:ascii="Times New Roman" w:eastAsia="Times New Roman" w:hAnsi="Times New Roman"/>
                <w:sz w:val="24"/>
                <w:szCs w:val="24"/>
                <w:lang w:eastAsia="lv-LV"/>
              </w:rPr>
              <w:t xml:space="preserve"> aizliegumu tiesā</w:t>
            </w:r>
            <w:r w:rsidR="00B07427" w:rsidRPr="00037F91">
              <w:rPr>
                <w:rFonts w:ascii="Times New Roman" w:eastAsia="Times New Roman" w:hAnsi="Times New Roman"/>
                <w:sz w:val="24"/>
                <w:szCs w:val="24"/>
                <w:lang w:eastAsia="lv-LV"/>
              </w:rPr>
              <w:t>,</w:t>
            </w:r>
            <w:r w:rsidR="00B07427">
              <w:rPr>
                <w:rFonts w:ascii="Times New Roman" w:eastAsia="Times New Roman" w:hAnsi="Times New Roman"/>
                <w:sz w:val="24"/>
                <w:szCs w:val="24"/>
                <w:lang w:eastAsia="lv-LV"/>
              </w:rPr>
              <w:t xml:space="preserve"> nodrošinot tiesā ieroču glabātavas un </w:t>
            </w:r>
            <w:r w:rsidR="006C364E">
              <w:rPr>
                <w:rFonts w:ascii="Times New Roman" w:eastAsia="Times New Roman" w:hAnsi="Times New Roman"/>
                <w:sz w:val="24"/>
                <w:szCs w:val="24"/>
                <w:lang w:eastAsia="lv-LV"/>
              </w:rPr>
              <w:t xml:space="preserve">ieroču </w:t>
            </w:r>
            <w:r w:rsidR="00B07427">
              <w:rPr>
                <w:rFonts w:ascii="Times New Roman" w:eastAsia="Times New Roman" w:hAnsi="Times New Roman"/>
                <w:sz w:val="24"/>
                <w:szCs w:val="24"/>
                <w:lang w:eastAsia="lv-LV"/>
              </w:rPr>
              <w:t>glabāšanu atbilstoši normatīvo aktu ieroču un speciālo līdzekļu aprites jomā prasībām. Šāda ierobežojuma realizācija ir saistīta ar ievērojamiem finanšu un cilvēkresursu ieguldījumiem, kā arī rada papildu drošības riskus tiesā</w:t>
            </w:r>
            <w:r w:rsidR="00D73B14">
              <w:rPr>
                <w:rFonts w:ascii="Times New Roman" w:eastAsia="Times New Roman" w:hAnsi="Times New Roman"/>
                <w:sz w:val="24"/>
                <w:szCs w:val="24"/>
                <w:lang w:eastAsia="lv-LV"/>
              </w:rPr>
              <w:t>, kā arī neierobežo citu aizliegt</w:t>
            </w:r>
            <w:r w:rsidR="006C364E">
              <w:rPr>
                <w:rFonts w:ascii="Times New Roman" w:eastAsia="Times New Roman" w:hAnsi="Times New Roman"/>
                <w:sz w:val="24"/>
                <w:szCs w:val="24"/>
                <w:lang w:eastAsia="lv-LV"/>
              </w:rPr>
              <w:t>o</w:t>
            </w:r>
            <w:r w:rsidR="00D73B14">
              <w:rPr>
                <w:rFonts w:ascii="Times New Roman" w:eastAsia="Times New Roman" w:hAnsi="Times New Roman"/>
                <w:sz w:val="24"/>
                <w:szCs w:val="24"/>
                <w:lang w:eastAsia="lv-LV"/>
              </w:rPr>
              <w:t xml:space="preserve"> priekšmetu ienešanu tiesā.</w:t>
            </w:r>
          </w:p>
          <w:p w:rsidR="00D73B14" w:rsidRPr="00037F91" w:rsidRDefault="00614196" w:rsidP="009E1B99">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Ārējie normatīvie akti pašlaik </w:t>
            </w:r>
            <w:r w:rsidR="00D73B14">
              <w:rPr>
                <w:rFonts w:ascii="Times New Roman" w:eastAsia="Times New Roman" w:hAnsi="Times New Roman"/>
                <w:sz w:val="24"/>
                <w:szCs w:val="24"/>
                <w:lang w:eastAsia="lv-LV"/>
              </w:rPr>
              <w:t>neparedz fiziskām personām citus ierobežojumus atrasties tiesas telpās, ievērojot tiesas telpu izmantošanas mērķi (piem., neparedz aizliegumu atrasties telpās, kas paredzētas tiesas nodarbināto vajadzībām, konvoja vajadzībām u.tml.).</w:t>
            </w:r>
            <w:r w:rsidR="007F277E">
              <w:rPr>
                <w:rFonts w:ascii="Times New Roman" w:eastAsia="Times New Roman" w:hAnsi="Times New Roman"/>
                <w:sz w:val="24"/>
                <w:szCs w:val="24"/>
                <w:lang w:eastAsia="lv-LV"/>
              </w:rPr>
              <w:t xml:space="preserve"> </w:t>
            </w:r>
            <w:r w:rsidR="00D73B14">
              <w:rPr>
                <w:rFonts w:ascii="Times New Roman" w:eastAsia="Times New Roman" w:hAnsi="Times New Roman"/>
                <w:sz w:val="24"/>
                <w:szCs w:val="24"/>
                <w:lang w:eastAsia="lv-LV"/>
              </w:rPr>
              <w:t xml:space="preserve">Tiesās pēdējo gadu laikā ir tikuši konstatēti vairāki gadījumi, kad tiesā ienesti ieroči, speciālie līdzekļi, kā arī citi aizliegtie priekšmeti, kas rada tiesā drošības riskus. Tāpat pēdējo gadu laikā </w:t>
            </w:r>
            <w:r w:rsidR="007F277E">
              <w:rPr>
                <w:rFonts w:ascii="Times New Roman" w:eastAsia="Times New Roman" w:hAnsi="Times New Roman"/>
                <w:sz w:val="24"/>
                <w:szCs w:val="24"/>
                <w:lang w:eastAsia="lv-LV"/>
              </w:rPr>
              <w:t xml:space="preserve">vērojama </w:t>
            </w:r>
            <w:r w:rsidR="00D73B14">
              <w:rPr>
                <w:rFonts w:ascii="Times New Roman" w:eastAsia="Times New Roman" w:hAnsi="Times New Roman"/>
                <w:sz w:val="24"/>
                <w:szCs w:val="24"/>
                <w:lang w:eastAsia="lv-LV"/>
              </w:rPr>
              <w:t>pieaugoša tendence apzināti nepatiesiem paziņojumiem par tiesā ievietot</w:t>
            </w:r>
            <w:r w:rsidR="007F277E">
              <w:rPr>
                <w:rFonts w:ascii="Times New Roman" w:eastAsia="Times New Roman" w:hAnsi="Times New Roman"/>
                <w:sz w:val="24"/>
                <w:szCs w:val="24"/>
                <w:lang w:eastAsia="lv-LV"/>
              </w:rPr>
              <w:t>ā</w:t>
            </w:r>
            <w:r w:rsidR="00D73B14">
              <w:rPr>
                <w:rFonts w:ascii="Times New Roman" w:eastAsia="Times New Roman" w:hAnsi="Times New Roman"/>
                <w:sz w:val="24"/>
                <w:szCs w:val="24"/>
                <w:lang w:eastAsia="lv-LV"/>
              </w:rPr>
              <w:t>m sprāgstošām vielām.</w:t>
            </w:r>
          </w:p>
          <w:p w:rsidR="00D73B14" w:rsidRDefault="00D73B14" w:rsidP="00497939">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Citu Eiropas valstu pieredze drošības jautājumu regulēšanā ties</w:t>
            </w:r>
            <w:r w:rsidR="00FE6BF3">
              <w:rPr>
                <w:rFonts w:ascii="Times New Roman" w:eastAsia="Times New Roman" w:hAnsi="Times New Roman"/>
                <w:sz w:val="24"/>
                <w:szCs w:val="24"/>
                <w:lang w:eastAsia="lv-LV"/>
              </w:rPr>
              <w:t>ās</w:t>
            </w:r>
            <w:r>
              <w:rPr>
                <w:rFonts w:ascii="Times New Roman" w:eastAsia="Times New Roman" w:hAnsi="Times New Roman"/>
                <w:sz w:val="24"/>
                <w:szCs w:val="24"/>
                <w:lang w:eastAsia="lv-LV"/>
              </w:rPr>
              <w:t xml:space="preserve"> liecina, ka tiesas tiek noteiktas kā no ieročiem brīvas </w:t>
            </w:r>
            <w:r w:rsidR="00FE6BF3">
              <w:rPr>
                <w:rFonts w:ascii="Times New Roman" w:eastAsia="Times New Roman" w:hAnsi="Times New Roman"/>
                <w:sz w:val="24"/>
                <w:szCs w:val="24"/>
                <w:lang w:eastAsia="lv-LV"/>
              </w:rPr>
              <w:t xml:space="preserve">zonas </w:t>
            </w:r>
            <w:r>
              <w:rPr>
                <w:rFonts w:ascii="Times New Roman" w:eastAsia="Times New Roman" w:hAnsi="Times New Roman"/>
                <w:sz w:val="24"/>
                <w:szCs w:val="24"/>
                <w:lang w:eastAsia="lv-LV"/>
              </w:rPr>
              <w:t>(piem. Somij</w:t>
            </w:r>
            <w:r w:rsidR="00FE6BF3">
              <w:rPr>
                <w:rFonts w:ascii="Times New Roman" w:eastAsia="Times New Roman" w:hAnsi="Times New Roman"/>
                <w:sz w:val="24"/>
                <w:szCs w:val="24"/>
                <w:lang w:eastAsia="lv-LV"/>
              </w:rPr>
              <w:t>ā</w:t>
            </w:r>
            <w:r>
              <w:rPr>
                <w:rFonts w:ascii="Times New Roman" w:eastAsia="Times New Roman" w:hAnsi="Times New Roman"/>
                <w:sz w:val="24"/>
                <w:szCs w:val="24"/>
                <w:lang w:eastAsia="lv-LV"/>
              </w:rPr>
              <w:t>, Norvēģij</w:t>
            </w:r>
            <w:r w:rsidR="00FE6BF3">
              <w:rPr>
                <w:rFonts w:ascii="Times New Roman" w:eastAsia="Times New Roman" w:hAnsi="Times New Roman"/>
                <w:sz w:val="24"/>
                <w:szCs w:val="24"/>
                <w:lang w:eastAsia="lv-LV"/>
              </w:rPr>
              <w:t>ā, kā arī Eiropas Cilvēktiesību ties</w:t>
            </w:r>
            <w:r w:rsidR="006C364E">
              <w:rPr>
                <w:rFonts w:ascii="Times New Roman" w:eastAsia="Times New Roman" w:hAnsi="Times New Roman"/>
                <w:sz w:val="24"/>
                <w:szCs w:val="24"/>
                <w:lang w:eastAsia="lv-LV"/>
              </w:rPr>
              <w:t>ā</w:t>
            </w:r>
            <w:r w:rsidR="00FE6BF3">
              <w:rPr>
                <w:rFonts w:ascii="Times New Roman" w:eastAsia="Times New Roman" w:hAnsi="Times New Roman"/>
                <w:sz w:val="24"/>
                <w:szCs w:val="24"/>
                <w:lang w:eastAsia="lv-LV"/>
              </w:rPr>
              <w:t xml:space="preserve"> Strasbūrā, Francijā)</w:t>
            </w:r>
            <w:r>
              <w:rPr>
                <w:rFonts w:ascii="Times New Roman" w:eastAsia="Times New Roman" w:hAnsi="Times New Roman"/>
                <w:sz w:val="24"/>
                <w:szCs w:val="24"/>
                <w:lang w:eastAsia="lv-LV"/>
              </w:rPr>
              <w:t>. Šāds ierobežojums bez izņēmuma tiek attiecināts uz visām personām, k</w:t>
            </w:r>
            <w:r w:rsidR="006C364E">
              <w:rPr>
                <w:rFonts w:ascii="Times New Roman" w:eastAsia="Times New Roman" w:hAnsi="Times New Roman"/>
                <w:sz w:val="24"/>
                <w:szCs w:val="24"/>
                <w:lang w:eastAsia="lv-LV"/>
              </w:rPr>
              <w:t>uras</w:t>
            </w:r>
            <w:r>
              <w:rPr>
                <w:rFonts w:ascii="Times New Roman" w:eastAsia="Times New Roman" w:hAnsi="Times New Roman"/>
                <w:sz w:val="24"/>
                <w:szCs w:val="24"/>
                <w:lang w:eastAsia="lv-LV"/>
              </w:rPr>
              <w:t xml:space="preserve"> </w:t>
            </w:r>
            <w:r w:rsidR="00FE6BF3">
              <w:rPr>
                <w:rFonts w:ascii="Times New Roman" w:eastAsia="Times New Roman" w:hAnsi="Times New Roman"/>
                <w:sz w:val="24"/>
                <w:szCs w:val="24"/>
                <w:lang w:eastAsia="lv-LV"/>
              </w:rPr>
              <w:t>ierodas</w:t>
            </w:r>
            <w:r>
              <w:rPr>
                <w:rFonts w:ascii="Times New Roman" w:eastAsia="Times New Roman" w:hAnsi="Times New Roman"/>
                <w:sz w:val="24"/>
                <w:szCs w:val="24"/>
                <w:lang w:eastAsia="lv-LV"/>
              </w:rPr>
              <w:t xml:space="preserve"> tiesā, nodrošinot </w:t>
            </w:r>
            <w:r w:rsidR="00FE6BF3">
              <w:rPr>
                <w:rFonts w:ascii="Times New Roman" w:eastAsia="Times New Roman" w:hAnsi="Times New Roman"/>
                <w:sz w:val="24"/>
                <w:szCs w:val="24"/>
                <w:lang w:eastAsia="lv-LV"/>
              </w:rPr>
              <w:t>atsevišķus</w:t>
            </w:r>
            <w:r>
              <w:rPr>
                <w:rFonts w:ascii="Times New Roman" w:eastAsia="Times New Roman" w:hAnsi="Times New Roman"/>
                <w:sz w:val="24"/>
                <w:szCs w:val="24"/>
                <w:lang w:eastAsia="lv-LV"/>
              </w:rPr>
              <w:t xml:space="preserve"> izņēmumus.</w:t>
            </w:r>
          </w:p>
          <w:p w:rsidR="00BE14E4" w:rsidRPr="00037F91" w:rsidRDefault="00E627AF" w:rsidP="00BE14E4">
            <w:pPr>
              <w:spacing w:after="0" w:line="240" w:lineRule="auto"/>
              <w:ind w:firstLine="720"/>
              <w:jc w:val="both"/>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 xml:space="preserve">Ievērojot minēto, lai nodrošinātu tiesas darbības nepārtrauktību un tiesā esošās mantas un personu (tiesnešu, tiesas darbinieku, apmeklētāju, citu personu, kas tiesā veic amata pienākumus) drošību, </w:t>
            </w:r>
            <w:r w:rsidR="00BE14E4" w:rsidRPr="00037F91">
              <w:rPr>
                <w:rFonts w:ascii="Times New Roman" w:eastAsia="Times New Roman" w:hAnsi="Times New Roman"/>
                <w:sz w:val="24"/>
                <w:szCs w:val="24"/>
                <w:lang w:eastAsia="lv-LV"/>
              </w:rPr>
              <w:t xml:space="preserve">ir nepieciešams </w:t>
            </w:r>
            <w:r w:rsidRPr="00037F91">
              <w:rPr>
                <w:rFonts w:ascii="Times New Roman" w:eastAsia="Times New Roman" w:hAnsi="Times New Roman"/>
                <w:sz w:val="24"/>
                <w:szCs w:val="24"/>
                <w:lang w:eastAsia="lv-LV"/>
              </w:rPr>
              <w:t>noteikt drošības pamatprasības tiesā.</w:t>
            </w:r>
            <w:r w:rsidR="00BE14E4" w:rsidRPr="00037F91">
              <w:rPr>
                <w:rFonts w:ascii="Times New Roman" w:eastAsia="Times New Roman" w:hAnsi="Times New Roman"/>
                <w:sz w:val="24"/>
                <w:szCs w:val="24"/>
                <w:lang w:eastAsia="lv-LV"/>
              </w:rPr>
              <w:t xml:space="preserve"> Atbilstoši Valsts pārvaldes iekārtas likuma 72.</w:t>
            </w:r>
            <w:r w:rsidR="001C0463" w:rsidRPr="00037F91">
              <w:rPr>
                <w:rFonts w:ascii="Times New Roman" w:eastAsia="Times New Roman" w:hAnsi="Times New Roman"/>
                <w:sz w:val="24"/>
                <w:szCs w:val="24"/>
                <w:lang w:eastAsia="lv-LV"/>
              </w:rPr>
              <w:t> </w:t>
            </w:r>
            <w:r w:rsidR="00BE14E4" w:rsidRPr="00037F91">
              <w:rPr>
                <w:rFonts w:ascii="Times New Roman" w:eastAsia="Times New Roman" w:hAnsi="Times New Roman"/>
                <w:sz w:val="24"/>
                <w:szCs w:val="24"/>
                <w:lang w:eastAsia="lv-LV"/>
              </w:rPr>
              <w:t>panta ceturtajai daļai iekšējais normatīvais akts ir saistošs iestādei (tās struktūrvienībai, darbiniekiem) vai amatpersonām, attiecībā uz kurām tas izdots. Tādējādi iekšējais normatīvais akts n</w:t>
            </w:r>
            <w:r w:rsidR="006C364E">
              <w:rPr>
                <w:rFonts w:ascii="Times New Roman" w:eastAsia="Times New Roman" w:hAnsi="Times New Roman"/>
                <w:sz w:val="24"/>
                <w:szCs w:val="24"/>
                <w:lang w:eastAsia="lv-LV"/>
              </w:rPr>
              <w:t>av saistošs</w:t>
            </w:r>
            <w:r w:rsidR="00BE14E4" w:rsidRPr="00037F91">
              <w:rPr>
                <w:rFonts w:ascii="Times New Roman" w:eastAsia="Times New Roman" w:hAnsi="Times New Roman"/>
                <w:sz w:val="24"/>
                <w:szCs w:val="24"/>
                <w:lang w:eastAsia="lv-LV"/>
              </w:rPr>
              <w:t xml:space="preserve"> trešajām personām (piemēram, tiesas apmeklētājiem) un nevar tikt izmantots visaptverošu drošības prasību noteikšanai tiesā.</w:t>
            </w:r>
            <w:r w:rsidR="00614196">
              <w:rPr>
                <w:rFonts w:ascii="Times New Roman" w:eastAsia="Times New Roman" w:hAnsi="Times New Roman"/>
                <w:sz w:val="24"/>
                <w:szCs w:val="24"/>
                <w:lang w:eastAsia="lv-LV"/>
              </w:rPr>
              <w:t xml:space="preserve"> Tādējādi drošības pamatprasības tiesā nosakāmas ar ārējo normatīvo aktu.</w:t>
            </w:r>
          </w:p>
          <w:p w:rsidR="009E24D8" w:rsidRPr="00037F91" w:rsidRDefault="00B07427" w:rsidP="009E1B99">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Lai risinātu minētās problēmas, </w:t>
            </w:r>
            <w:r w:rsidR="003E14CE" w:rsidRPr="00037F91">
              <w:rPr>
                <w:rFonts w:ascii="Times New Roman" w:eastAsia="Times New Roman" w:hAnsi="Times New Roman"/>
                <w:sz w:val="24"/>
                <w:szCs w:val="24"/>
                <w:lang w:eastAsia="lv-LV"/>
              </w:rPr>
              <w:t>projekts</w:t>
            </w:r>
            <w:r>
              <w:rPr>
                <w:rFonts w:ascii="Times New Roman" w:eastAsia="Times New Roman" w:hAnsi="Times New Roman"/>
                <w:sz w:val="24"/>
                <w:szCs w:val="24"/>
                <w:lang w:eastAsia="lv-LV"/>
              </w:rPr>
              <w:t xml:space="preserve"> paredz</w:t>
            </w:r>
            <w:r w:rsidR="00FE6BF3">
              <w:rPr>
                <w:rFonts w:ascii="Times New Roman" w:eastAsia="Times New Roman" w:hAnsi="Times New Roman"/>
                <w:sz w:val="24"/>
                <w:szCs w:val="24"/>
                <w:lang w:eastAsia="lv-LV"/>
              </w:rPr>
              <w:t xml:space="preserve"> šādu regulējumu</w:t>
            </w:r>
            <w:r>
              <w:rPr>
                <w:rFonts w:ascii="Times New Roman" w:eastAsia="Times New Roman" w:hAnsi="Times New Roman"/>
                <w:sz w:val="24"/>
                <w:szCs w:val="24"/>
                <w:lang w:eastAsia="lv-LV"/>
              </w:rPr>
              <w:t>:</w:t>
            </w:r>
          </w:p>
          <w:p w:rsidR="009E24D8" w:rsidRPr="00037F91" w:rsidRDefault="00B07427" w:rsidP="009E1B99">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9E1B99">
              <w:rPr>
                <w:rFonts w:ascii="Times New Roman" w:eastAsia="Times New Roman" w:hAnsi="Times New Roman"/>
                <w:sz w:val="24"/>
                <w:szCs w:val="24"/>
                <w:lang w:eastAsia="lv-LV"/>
              </w:rPr>
              <w:t> </w:t>
            </w:r>
            <w:r w:rsidR="009E24D8" w:rsidRPr="00037F91">
              <w:rPr>
                <w:rFonts w:ascii="Times New Roman" w:eastAsia="Times New Roman" w:hAnsi="Times New Roman"/>
                <w:sz w:val="24"/>
                <w:szCs w:val="24"/>
                <w:lang w:eastAsia="lv-LV"/>
              </w:rPr>
              <w:t xml:space="preserve">Projekts paredz noteikt </w:t>
            </w:r>
            <w:r w:rsidR="00BE14E4" w:rsidRPr="00037F91">
              <w:rPr>
                <w:rFonts w:ascii="Times New Roman" w:eastAsia="Times New Roman" w:hAnsi="Times New Roman"/>
                <w:sz w:val="24"/>
                <w:szCs w:val="24"/>
                <w:lang w:eastAsia="lv-LV"/>
              </w:rPr>
              <w:t>tiesas telpu iedalījumu un to pieejamību</w:t>
            </w:r>
            <w:r w:rsidR="009E24D8" w:rsidRPr="00037F91">
              <w:rPr>
                <w:rFonts w:ascii="Times New Roman" w:eastAsia="Times New Roman" w:hAnsi="Times New Roman"/>
                <w:sz w:val="24"/>
                <w:szCs w:val="24"/>
                <w:lang w:eastAsia="lv-LV"/>
              </w:rPr>
              <w:t xml:space="preserve"> atkarībā no fiziskas personas statusa </w:t>
            </w:r>
            <w:r w:rsidR="006C364E">
              <w:rPr>
                <w:rFonts w:ascii="Times New Roman" w:eastAsia="Times New Roman" w:hAnsi="Times New Roman"/>
                <w:sz w:val="24"/>
                <w:szCs w:val="24"/>
                <w:lang w:eastAsia="lv-LV"/>
              </w:rPr>
              <w:t>vai</w:t>
            </w:r>
            <w:r w:rsidR="006C364E" w:rsidRPr="00037F91">
              <w:rPr>
                <w:rFonts w:ascii="Times New Roman" w:eastAsia="Times New Roman" w:hAnsi="Times New Roman"/>
                <w:sz w:val="24"/>
                <w:szCs w:val="24"/>
                <w:lang w:eastAsia="lv-LV"/>
              </w:rPr>
              <w:t xml:space="preserve"> </w:t>
            </w:r>
            <w:r w:rsidR="009E24D8" w:rsidRPr="00037F91">
              <w:rPr>
                <w:rFonts w:ascii="Times New Roman" w:eastAsia="Times New Roman" w:hAnsi="Times New Roman"/>
                <w:sz w:val="24"/>
                <w:szCs w:val="24"/>
                <w:lang w:eastAsia="lv-LV"/>
              </w:rPr>
              <w:t>veicamajiem pienākumiem</w:t>
            </w:r>
            <w:r w:rsidR="006C364E">
              <w:rPr>
                <w:rFonts w:ascii="Times New Roman" w:eastAsia="Times New Roman" w:hAnsi="Times New Roman"/>
                <w:sz w:val="24"/>
                <w:szCs w:val="24"/>
                <w:lang w:eastAsia="lv-LV"/>
              </w:rPr>
              <w:t xml:space="preserve"> tiesā</w:t>
            </w:r>
            <w:r w:rsidR="009E24D8" w:rsidRPr="00037F91">
              <w:rPr>
                <w:rFonts w:ascii="Times New Roman" w:eastAsia="Times New Roman" w:hAnsi="Times New Roman"/>
                <w:sz w:val="24"/>
                <w:szCs w:val="24"/>
                <w:lang w:eastAsia="lv-LV"/>
              </w:rPr>
              <w:t xml:space="preserve">, </w:t>
            </w:r>
            <w:r w:rsidR="00AB105F" w:rsidRPr="00037F91">
              <w:rPr>
                <w:rFonts w:ascii="Times New Roman" w:eastAsia="Times New Roman" w:hAnsi="Times New Roman"/>
                <w:sz w:val="24"/>
                <w:szCs w:val="24"/>
                <w:lang w:eastAsia="lv-LV"/>
              </w:rPr>
              <w:t xml:space="preserve">tādējādi pamatojot arī nepieciešamību </w:t>
            </w:r>
            <w:r w:rsidR="004465CA" w:rsidRPr="00037F91">
              <w:rPr>
                <w:rFonts w:ascii="Times New Roman" w:eastAsia="Times New Roman" w:hAnsi="Times New Roman"/>
                <w:sz w:val="24"/>
                <w:szCs w:val="24"/>
                <w:lang w:eastAsia="lv-LV"/>
              </w:rPr>
              <w:t xml:space="preserve">projektā </w:t>
            </w:r>
            <w:r w:rsidR="00AB105F" w:rsidRPr="00037F91">
              <w:rPr>
                <w:rFonts w:ascii="Times New Roman" w:eastAsia="Times New Roman" w:hAnsi="Times New Roman"/>
                <w:sz w:val="24"/>
                <w:szCs w:val="24"/>
                <w:lang w:eastAsia="lv-LV"/>
              </w:rPr>
              <w:t xml:space="preserve">regulēt </w:t>
            </w:r>
            <w:r w:rsidR="00064E36" w:rsidRPr="00037F91">
              <w:rPr>
                <w:rFonts w:ascii="Times New Roman" w:eastAsia="Times New Roman" w:hAnsi="Times New Roman"/>
                <w:sz w:val="24"/>
                <w:szCs w:val="24"/>
                <w:lang w:eastAsia="lv-LV"/>
              </w:rPr>
              <w:t xml:space="preserve">tehniskos risinājumus </w:t>
            </w:r>
            <w:r w:rsidR="00AB105F" w:rsidRPr="00037F91">
              <w:rPr>
                <w:rFonts w:ascii="Times New Roman" w:eastAsia="Times New Roman" w:hAnsi="Times New Roman"/>
                <w:sz w:val="24"/>
                <w:szCs w:val="24"/>
                <w:lang w:eastAsia="lv-LV"/>
              </w:rPr>
              <w:t>piekļuv</w:t>
            </w:r>
            <w:r w:rsidR="00064E36" w:rsidRPr="00037F91">
              <w:rPr>
                <w:rFonts w:ascii="Times New Roman" w:eastAsia="Times New Roman" w:hAnsi="Times New Roman"/>
                <w:sz w:val="24"/>
                <w:szCs w:val="24"/>
                <w:lang w:eastAsia="lv-LV"/>
              </w:rPr>
              <w:t>e</w:t>
            </w:r>
            <w:r w:rsidR="00AB105F" w:rsidRPr="00037F91">
              <w:rPr>
                <w:rFonts w:ascii="Times New Roman" w:eastAsia="Times New Roman" w:hAnsi="Times New Roman"/>
                <w:sz w:val="24"/>
                <w:szCs w:val="24"/>
                <w:lang w:eastAsia="lv-LV"/>
              </w:rPr>
              <w:t>i katrai tiesas telpu zonai un to savstarpēj</w:t>
            </w:r>
            <w:r w:rsidR="00064E36" w:rsidRPr="00037F91">
              <w:rPr>
                <w:rFonts w:ascii="Times New Roman" w:eastAsia="Times New Roman" w:hAnsi="Times New Roman"/>
                <w:sz w:val="24"/>
                <w:szCs w:val="24"/>
                <w:lang w:eastAsia="lv-LV"/>
              </w:rPr>
              <w:t>ai</w:t>
            </w:r>
            <w:r w:rsidR="00AB105F" w:rsidRPr="00037F91">
              <w:rPr>
                <w:rFonts w:ascii="Times New Roman" w:eastAsia="Times New Roman" w:hAnsi="Times New Roman"/>
                <w:sz w:val="24"/>
                <w:szCs w:val="24"/>
                <w:lang w:eastAsia="lv-LV"/>
              </w:rPr>
              <w:t xml:space="preserve"> nodalīšan</w:t>
            </w:r>
            <w:r w:rsidR="00064E36" w:rsidRPr="00037F91">
              <w:rPr>
                <w:rFonts w:ascii="Times New Roman" w:eastAsia="Times New Roman" w:hAnsi="Times New Roman"/>
                <w:sz w:val="24"/>
                <w:szCs w:val="24"/>
                <w:lang w:eastAsia="lv-LV"/>
              </w:rPr>
              <w:t>ai</w:t>
            </w:r>
            <w:r w:rsidR="009E24D8" w:rsidRPr="00037F91">
              <w:rPr>
                <w:rFonts w:ascii="Times New Roman" w:eastAsia="Times New Roman" w:hAnsi="Times New Roman"/>
                <w:sz w:val="24"/>
                <w:szCs w:val="24"/>
                <w:lang w:eastAsia="lv-LV"/>
              </w:rPr>
              <w:t>.</w:t>
            </w:r>
          </w:p>
          <w:p w:rsidR="00047593" w:rsidRDefault="00FE6BF3" w:rsidP="00497939">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00047593">
              <w:rPr>
                <w:rFonts w:ascii="Times New Roman" w:eastAsia="Times New Roman" w:hAnsi="Times New Roman"/>
                <w:sz w:val="24"/>
                <w:szCs w:val="24"/>
                <w:lang w:eastAsia="lv-LV"/>
              </w:rPr>
              <w:t> </w:t>
            </w:r>
            <w:r w:rsidR="00161BE7" w:rsidRPr="00037F91">
              <w:rPr>
                <w:rFonts w:ascii="Times New Roman" w:eastAsia="Times New Roman" w:hAnsi="Times New Roman"/>
                <w:sz w:val="24"/>
                <w:szCs w:val="24"/>
                <w:lang w:eastAsia="lv-LV"/>
              </w:rPr>
              <w:t xml:space="preserve">Projekts paredz noteikt </w:t>
            </w:r>
            <w:r w:rsidR="00047593">
              <w:rPr>
                <w:rFonts w:ascii="Times New Roman" w:eastAsia="Times New Roman" w:hAnsi="Times New Roman"/>
                <w:sz w:val="24"/>
                <w:szCs w:val="24"/>
                <w:lang w:eastAsia="lv-LV"/>
              </w:rPr>
              <w:t xml:space="preserve">drošības risinājumus, kurus izmantos </w:t>
            </w:r>
            <w:r w:rsidR="00161BE7" w:rsidRPr="00037F91">
              <w:rPr>
                <w:rFonts w:ascii="Times New Roman" w:eastAsia="Times New Roman" w:hAnsi="Times New Roman"/>
                <w:sz w:val="24"/>
                <w:szCs w:val="24"/>
                <w:lang w:eastAsia="lv-LV"/>
              </w:rPr>
              <w:t>drošības kontrolei tiesā</w:t>
            </w:r>
            <w:r w:rsidR="00047593">
              <w:rPr>
                <w:rFonts w:ascii="Times New Roman" w:eastAsia="Times New Roman" w:hAnsi="Times New Roman"/>
                <w:sz w:val="24"/>
                <w:szCs w:val="24"/>
                <w:lang w:eastAsia="lv-LV"/>
              </w:rPr>
              <w:t>.</w:t>
            </w:r>
          </w:p>
          <w:p w:rsidR="00FE6BF3" w:rsidRPr="002F0841" w:rsidRDefault="00047593" w:rsidP="00497939">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 </w:t>
            </w:r>
            <w:r w:rsidRPr="00037F91">
              <w:rPr>
                <w:rFonts w:ascii="Times New Roman" w:eastAsia="Times New Roman" w:hAnsi="Times New Roman"/>
                <w:sz w:val="24"/>
                <w:szCs w:val="24"/>
                <w:lang w:eastAsia="lv-LV"/>
              </w:rPr>
              <w:t>Projekts paredz noteikt</w:t>
            </w:r>
            <w:r w:rsidR="004D4887" w:rsidRPr="00037F91">
              <w:rPr>
                <w:rFonts w:ascii="Times New Roman" w:eastAsia="Times New Roman" w:hAnsi="Times New Roman"/>
                <w:sz w:val="24"/>
                <w:szCs w:val="24"/>
                <w:lang w:eastAsia="lv-LV"/>
              </w:rPr>
              <w:t xml:space="preserve"> aizliegumu tiesā nēsāt ieroci, speciālo līdzekli un aizliegtos priekšmetus</w:t>
            </w:r>
            <w:r w:rsidR="009D1875" w:rsidRPr="00037F91">
              <w:rPr>
                <w:rFonts w:ascii="Times New Roman" w:eastAsia="Times New Roman" w:hAnsi="Times New Roman"/>
                <w:sz w:val="24"/>
                <w:szCs w:val="24"/>
                <w:lang w:eastAsia="lv-LV"/>
              </w:rPr>
              <w:t>, kā arī atrasties tiesā</w:t>
            </w:r>
            <w:r w:rsidR="009D1875" w:rsidRPr="00037F91">
              <w:t xml:space="preserve"> </w:t>
            </w:r>
            <w:r w:rsidR="009D1875" w:rsidRPr="002F0841">
              <w:rPr>
                <w:rFonts w:ascii="Times New Roman" w:eastAsia="Times New Roman" w:hAnsi="Times New Roman"/>
                <w:sz w:val="24"/>
                <w:szCs w:val="24"/>
                <w:lang w:eastAsia="lv-LV"/>
              </w:rPr>
              <w:t>acīmredzamā alkoholisko dzērienu, narkotisko, psihotropo, toksisko vai citu apreibinošo vielu ietekmē</w:t>
            </w:r>
            <w:r w:rsidR="004D4887" w:rsidRPr="002F0841">
              <w:rPr>
                <w:rFonts w:ascii="Times New Roman" w:eastAsia="Times New Roman" w:hAnsi="Times New Roman"/>
                <w:sz w:val="24"/>
                <w:szCs w:val="24"/>
                <w:lang w:eastAsia="lv-LV"/>
              </w:rPr>
              <w:t>.</w:t>
            </w:r>
          </w:p>
          <w:p w:rsidR="00921951" w:rsidRPr="00037F91" w:rsidRDefault="00047593" w:rsidP="00497939">
            <w:pPr>
              <w:spacing w:after="0" w:line="240" w:lineRule="auto"/>
              <w:ind w:firstLine="720"/>
              <w:jc w:val="both"/>
              <w:rPr>
                <w:rFonts w:ascii="Times New Roman" w:eastAsia="Times New Roman" w:hAnsi="Times New Roman"/>
                <w:sz w:val="24"/>
                <w:szCs w:val="24"/>
                <w:lang w:eastAsia="lv-LV"/>
              </w:rPr>
            </w:pPr>
            <w:r w:rsidRPr="002F0841">
              <w:rPr>
                <w:rFonts w:ascii="Times New Roman" w:eastAsia="Times New Roman" w:hAnsi="Times New Roman"/>
                <w:sz w:val="24"/>
                <w:szCs w:val="24"/>
                <w:lang w:eastAsia="lv-LV"/>
              </w:rPr>
              <w:t>4</w:t>
            </w:r>
            <w:r w:rsidR="00FE6BF3" w:rsidRPr="002F0841">
              <w:rPr>
                <w:rFonts w:ascii="Times New Roman" w:eastAsia="Times New Roman" w:hAnsi="Times New Roman"/>
                <w:sz w:val="24"/>
                <w:szCs w:val="24"/>
                <w:lang w:eastAsia="lv-LV"/>
              </w:rPr>
              <w:t>)</w:t>
            </w:r>
            <w:r w:rsidR="009E1B99" w:rsidRPr="002F0841">
              <w:rPr>
                <w:rFonts w:ascii="Times New Roman" w:eastAsia="Times New Roman" w:hAnsi="Times New Roman"/>
                <w:sz w:val="24"/>
                <w:szCs w:val="24"/>
                <w:lang w:eastAsia="lv-LV"/>
              </w:rPr>
              <w:t> </w:t>
            </w:r>
            <w:r w:rsidR="007B2A8A" w:rsidRPr="002F0841">
              <w:rPr>
                <w:rFonts w:ascii="Times New Roman" w:eastAsia="Times New Roman" w:hAnsi="Times New Roman"/>
                <w:sz w:val="24"/>
                <w:szCs w:val="24"/>
                <w:lang w:eastAsia="lv-LV"/>
              </w:rPr>
              <w:t xml:space="preserve">Projekts paredz noteikt arī </w:t>
            </w:r>
            <w:r w:rsidR="00F41717" w:rsidRPr="002F0841">
              <w:rPr>
                <w:rFonts w:ascii="Times New Roman" w:eastAsia="Times New Roman" w:hAnsi="Times New Roman"/>
                <w:sz w:val="24"/>
                <w:szCs w:val="24"/>
                <w:lang w:eastAsia="lv-LV"/>
              </w:rPr>
              <w:t xml:space="preserve">fiziskas </w:t>
            </w:r>
            <w:r w:rsidR="007B2A8A" w:rsidRPr="002F0841">
              <w:rPr>
                <w:rFonts w:ascii="Times New Roman" w:eastAsia="Times New Roman" w:hAnsi="Times New Roman"/>
                <w:sz w:val="24"/>
                <w:szCs w:val="24"/>
                <w:lang w:eastAsia="lv-LV"/>
              </w:rPr>
              <w:t>personas, uz kurām nav attiecināms aizliegums tiesā nēsāt ieroci, speciālo līdzekli un aizliegtos</w:t>
            </w:r>
            <w:r w:rsidR="007B2A8A" w:rsidRPr="00037F91">
              <w:rPr>
                <w:rFonts w:ascii="Times New Roman" w:eastAsia="Times New Roman" w:hAnsi="Times New Roman"/>
                <w:sz w:val="24"/>
                <w:szCs w:val="24"/>
                <w:lang w:eastAsia="lv-LV"/>
              </w:rPr>
              <w:t xml:space="preserve"> priekšmetus. </w:t>
            </w:r>
            <w:r w:rsidR="004D2C99" w:rsidRPr="00037F91">
              <w:rPr>
                <w:rFonts w:ascii="Times New Roman" w:eastAsia="Times New Roman" w:hAnsi="Times New Roman"/>
                <w:sz w:val="24"/>
                <w:szCs w:val="24"/>
                <w:lang w:eastAsia="lv-LV"/>
              </w:rPr>
              <w:t xml:space="preserve">Tādējādi </w:t>
            </w:r>
            <w:r w:rsidR="0076066B" w:rsidRPr="00037F91">
              <w:rPr>
                <w:rFonts w:ascii="Times New Roman" w:eastAsia="Times New Roman" w:hAnsi="Times New Roman"/>
                <w:sz w:val="24"/>
                <w:szCs w:val="24"/>
                <w:lang w:eastAsia="lv-LV"/>
              </w:rPr>
              <w:t xml:space="preserve">piekļuve </w:t>
            </w:r>
            <w:r w:rsidR="004D2C99" w:rsidRPr="00037F91">
              <w:rPr>
                <w:rFonts w:ascii="Times New Roman" w:eastAsia="Times New Roman" w:hAnsi="Times New Roman"/>
                <w:sz w:val="24"/>
                <w:szCs w:val="24"/>
                <w:lang w:eastAsia="lv-LV"/>
              </w:rPr>
              <w:t>ties</w:t>
            </w:r>
            <w:r w:rsidR="0076066B" w:rsidRPr="00037F91">
              <w:rPr>
                <w:rFonts w:ascii="Times New Roman" w:eastAsia="Times New Roman" w:hAnsi="Times New Roman"/>
                <w:sz w:val="24"/>
                <w:szCs w:val="24"/>
                <w:lang w:eastAsia="lv-LV"/>
              </w:rPr>
              <w:t>ai ar ieroci, speciālo līdzekli vai aizliegto priekšmetu būtu nodrošināta tikai tām personām, kurām nepieciešamība lietot ieroci, speciālo līdzekli un aizliegto priekšmetu ir pamatota ar amata pienākumu izpildi</w:t>
            </w:r>
            <w:r w:rsidR="006C364E">
              <w:rPr>
                <w:rFonts w:ascii="Times New Roman" w:eastAsia="Times New Roman" w:hAnsi="Times New Roman"/>
                <w:sz w:val="24"/>
                <w:szCs w:val="24"/>
                <w:lang w:eastAsia="lv-LV"/>
              </w:rPr>
              <w:t xml:space="preserve"> tiesā</w:t>
            </w:r>
            <w:r w:rsidR="00387038" w:rsidRPr="00037F91">
              <w:rPr>
                <w:rFonts w:ascii="Times New Roman" w:eastAsia="Times New Roman" w:hAnsi="Times New Roman"/>
                <w:sz w:val="24"/>
                <w:szCs w:val="24"/>
                <w:lang w:eastAsia="lv-LV"/>
              </w:rPr>
              <w:t>.</w:t>
            </w:r>
          </w:p>
          <w:p w:rsidR="00CE5C77" w:rsidRPr="00037F91" w:rsidRDefault="00CE5C77" w:rsidP="00497939">
            <w:pPr>
              <w:spacing w:after="0" w:line="240" w:lineRule="auto"/>
              <w:ind w:firstLine="720"/>
              <w:jc w:val="both"/>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Projekts ne</w:t>
            </w:r>
            <w:r w:rsidR="00FE6BF3">
              <w:rPr>
                <w:rFonts w:ascii="Times New Roman" w:eastAsia="Times New Roman" w:hAnsi="Times New Roman"/>
                <w:sz w:val="24"/>
                <w:szCs w:val="24"/>
                <w:lang w:eastAsia="lv-LV"/>
              </w:rPr>
              <w:t>nosaka</w:t>
            </w:r>
            <w:r w:rsidRPr="00037F91">
              <w:rPr>
                <w:rFonts w:ascii="Times New Roman" w:eastAsia="Times New Roman" w:hAnsi="Times New Roman"/>
                <w:sz w:val="24"/>
                <w:szCs w:val="24"/>
                <w:lang w:eastAsia="lv-LV"/>
              </w:rPr>
              <w:t xml:space="preserve"> aizliegto priekšmetu sarakstu</w:t>
            </w:r>
            <w:r w:rsidR="005852D7" w:rsidRPr="00037F91">
              <w:rPr>
                <w:rFonts w:ascii="Times New Roman" w:eastAsia="Times New Roman" w:hAnsi="Times New Roman"/>
                <w:sz w:val="24"/>
                <w:szCs w:val="24"/>
                <w:lang w:eastAsia="lv-LV"/>
              </w:rPr>
              <w:t xml:space="preserve">, bet noteic </w:t>
            </w:r>
            <w:r w:rsidR="00452125" w:rsidRPr="00037F91">
              <w:rPr>
                <w:rFonts w:ascii="Times New Roman" w:eastAsia="Times New Roman" w:hAnsi="Times New Roman"/>
                <w:sz w:val="24"/>
                <w:szCs w:val="24"/>
                <w:lang w:eastAsia="lv-LV"/>
              </w:rPr>
              <w:t xml:space="preserve">tiesas apsardzes darbinieka </w:t>
            </w:r>
            <w:r w:rsidR="005852D7" w:rsidRPr="00037F91">
              <w:rPr>
                <w:rFonts w:ascii="Times New Roman" w:eastAsia="Times New Roman" w:hAnsi="Times New Roman"/>
                <w:sz w:val="24"/>
                <w:szCs w:val="24"/>
                <w:lang w:eastAsia="lv-LV"/>
              </w:rPr>
              <w:t xml:space="preserve">pienākumu izvērtēt, vai, fiziskai personai iekļūstot tiesā, fiziskas personas </w:t>
            </w:r>
            <w:r w:rsidR="00452125" w:rsidRPr="00037F91">
              <w:rPr>
                <w:rFonts w:ascii="Times New Roman" w:eastAsia="Times New Roman" w:hAnsi="Times New Roman"/>
                <w:sz w:val="24"/>
                <w:szCs w:val="24"/>
                <w:lang w:eastAsia="lv-LV"/>
              </w:rPr>
              <w:t>rīcībā ir</w:t>
            </w:r>
            <w:r w:rsidR="005852D7" w:rsidRPr="00037F91">
              <w:rPr>
                <w:rFonts w:ascii="Times New Roman" w:eastAsia="Times New Roman" w:hAnsi="Times New Roman"/>
                <w:sz w:val="24"/>
                <w:szCs w:val="24"/>
                <w:lang w:eastAsia="lv-LV"/>
              </w:rPr>
              <w:t xml:space="preserve"> aizliegt</w:t>
            </w:r>
            <w:r w:rsidR="00452125" w:rsidRPr="00037F91">
              <w:rPr>
                <w:rFonts w:ascii="Times New Roman" w:eastAsia="Times New Roman" w:hAnsi="Times New Roman"/>
                <w:sz w:val="24"/>
                <w:szCs w:val="24"/>
                <w:lang w:eastAsia="lv-LV"/>
              </w:rPr>
              <w:t>ai</w:t>
            </w:r>
            <w:r w:rsidR="005852D7" w:rsidRPr="00037F91">
              <w:rPr>
                <w:rFonts w:ascii="Times New Roman" w:eastAsia="Times New Roman" w:hAnsi="Times New Roman"/>
                <w:sz w:val="24"/>
                <w:szCs w:val="24"/>
                <w:lang w:eastAsia="lv-LV"/>
              </w:rPr>
              <w:t>s priekšmets</w:t>
            </w:r>
            <w:r w:rsidR="00452125" w:rsidRPr="00037F91">
              <w:rPr>
                <w:rFonts w:ascii="Times New Roman" w:eastAsia="Times New Roman" w:hAnsi="Times New Roman"/>
                <w:sz w:val="24"/>
                <w:szCs w:val="24"/>
                <w:lang w:eastAsia="lv-LV"/>
              </w:rPr>
              <w:t>. Aizliegto priekšmetu saraksts nav izveidots</w:t>
            </w:r>
            <w:r w:rsidR="00597E37" w:rsidRPr="00037F91">
              <w:rPr>
                <w:rFonts w:ascii="Times New Roman" w:eastAsia="Times New Roman" w:hAnsi="Times New Roman"/>
                <w:sz w:val="24"/>
                <w:szCs w:val="24"/>
                <w:lang w:eastAsia="lv-LV"/>
              </w:rPr>
              <w:t xml:space="preserve"> ar mērķi </w:t>
            </w:r>
            <w:r w:rsidRPr="00037F91">
              <w:rPr>
                <w:rFonts w:ascii="Times New Roman" w:eastAsia="Times New Roman" w:hAnsi="Times New Roman"/>
                <w:sz w:val="24"/>
                <w:szCs w:val="24"/>
                <w:lang w:eastAsia="lv-LV"/>
              </w:rPr>
              <w:t>izvair</w:t>
            </w:r>
            <w:r w:rsidR="00BA3932" w:rsidRPr="00037F91">
              <w:rPr>
                <w:rFonts w:ascii="Times New Roman" w:eastAsia="Times New Roman" w:hAnsi="Times New Roman"/>
                <w:sz w:val="24"/>
                <w:szCs w:val="24"/>
                <w:lang w:eastAsia="lv-LV"/>
              </w:rPr>
              <w:t>īt</w:t>
            </w:r>
            <w:r w:rsidR="00597E37" w:rsidRPr="00037F91">
              <w:rPr>
                <w:rFonts w:ascii="Times New Roman" w:eastAsia="Times New Roman" w:hAnsi="Times New Roman"/>
                <w:sz w:val="24"/>
                <w:szCs w:val="24"/>
                <w:lang w:eastAsia="lv-LV"/>
              </w:rPr>
              <w:t>ie</w:t>
            </w:r>
            <w:r w:rsidR="00BA3932" w:rsidRPr="00037F91">
              <w:rPr>
                <w:rFonts w:ascii="Times New Roman" w:eastAsia="Times New Roman" w:hAnsi="Times New Roman"/>
                <w:sz w:val="24"/>
                <w:szCs w:val="24"/>
                <w:lang w:eastAsia="lv-LV"/>
              </w:rPr>
              <w:t>s</w:t>
            </w:r>
            <w:r w:rsidRPr="00037F91">
              <w:rPr>
                <w:rFonts w:ascii="Times New Roman" w:eastAsia="Times New Roman" w:hAnsi="Times New Roman"/>
                <w:sz w:val="24"/>
                <w:szCs w:val="24"/>
                <w:lang w:eastAsia="lv-LV"/>
              </w:rPr>
              <w:t xml:space="preserve"> no iespējamiem </w:t>
            </w:r>
            <w:r w:rsidR="00F67CD8" w:rsidRPr="00037F91">
              <w:rPr>
                <w:rFonts w:ascii="Times New Roman" w:eastAsia="Times New Roman" w:hAnsi="Times New Roman"/>
                <w:sz w:val="24"/>
                <w:szCs w:val="24"/>
                <w:lang w:eastAsia="lv-LV"/>
              </w:rPr>
              <w:t>gadījumiem, kad tiesā ienestais priekšmets vai viela pēc būtības bū</w:t>
            </w:r>
            <w:r w:rsidR="00BA3932" w:rsidRPr="00037F91">
              <w:rPr>
                <w:rFonts w:ascii="Times New Roman" w:eastAsia="Times New Roman" w:hAnsi="Times New Roman"/>
                <w:sz w:val="24"/>
                <w:szCs w:val="24"/>
                <w:lang w:eastAsia="lv-LV"/>
              </w:rPr>
              <w:t>tu</w:t>
            </w:r>
            <w:r w:rsidR="00F67CD8" w:rsidRPr="00037F91">
              <w:rPr>
                <w:rFonts w:ascii="Times New Roman" w:eastAsia="Times New Roman" w:hAnsi="Times New Roman"/>
                <w:sz w:val="24"/>
                <w:szCs w:val="24"/>
                <w:lang w:eastAsia="lv-LV"/>
              </w:rPr>
              <w:t xml:space="preserve"> uzskatāma par aizliegto priekšmetu, bet nebū</w:t>
            </w:r>
            <w:r w:rsidR="00BA3932" w:rsidRPr="00037F91">
              <w:rPr>
                <w:rFonts w:ascii="Times New Roman" w:eastAsia="Times New Roman" w:hAnsi="Times New Roman"/>
                <w:sz w:val="24"/>
                <w:szCs w:val="24"/>
                <w:lang w:eastAsia="lv-LV"/>
              </w:rPr>
              <w:t>tu</w:t>
            </w:r>
            <w:r w:rsidR="00F67CD8" w:rsidRPr="00037F91">
              <w:rPr>
                <w:rFonts w:ascii="Times New Roman" w:eastAsia="Times New Roman" w:hAnsi="Times New Roman"/>
                <w:sz w:val="24"/>
                <w:szCs w:val="24"/>
                <w:lang w:eastAsia="lv-LV"/>
              </w:rPr>
              <w:t xml:space="preserve"> iekļauta aizliegto priekšmetu sarakstā</w:t>
            </w:r>
            <w:r w:rsidR="00513903" w:rsidRPr="00037F91">
              <w:rPr>
                <w:rFonts w:ascii="Times New Roman" w:eastAsia="Times New Roman" w:hAnsi="Times New Roman"/>
                <w:sz w:val="24"/>
                <w:szCs w:val="24"/>
                <w:lang w:eastAsia="lv-LV"/>
              </w:rPr>
              <w:t xml:space="preserve">. </w:t>
            </w:r>
            <w:r w:rsidR="00597E37" w:rsidRPr="00037F91">
              <w:rPr>
                <w:rFonts w:ascii="Times New Roman" w:eastAsia="Times New Roman" w:hAnsi="Times New Roman"/>
                <w:sz w:val="24"/>
                <w:szCs w:val="24"/>
                <w:lang w:eastAsia="lv-LV"/>
              </w:rPr>
              <w:t>Šādā gadījumā</w:t>
            </w:r>
            <w:r w:rsidR="00513903" w:rsidRPr="00037F91">
              <w:rPr>
                <w:rFonts w:ascii="Times New Roman" w:eastAsia="Times New Roman" w:hAnsi="Times New Roman"/>
                <w:sz w:val="24"/>
                <w:szCs w:val="24"/>
                <w:lang w:eastAsia="lv-LV"/>
              </w:rPr>
              <w:t xml:space="preserve"> aizliegtais priekšmets varētu</w:t>
            </w:r>
            <w:r w:rsidR="00F67CD8" w:rsidRPr="00037F91">
              <w:rPr>
                <w:rFonts w:ascii="Times New Roman" w:eastAsia="Times New Roman" w:hAnsi="Times New Roman"/>
                <w:sz w:val="24"/>
                <w:szCs w:val="24"/>
                <w:lang w:eastAsia="lv-LV"/>
              </w:rPr>
              <w:t xml:space="preserve"> nokļū</w:t>
            </w:r>
            <w:r w:rsidR="00513903" w:rsidRPr="00037F91">
              <w:rPr>
                <w:rFonts w:ascii="Times New Roman" w:eastAsia="Times New Roman" w:hAnsi="Times New Roman"/>
                <w:sz w:val="24"/>
                <w:szCs w:val="24"/>
                <w:lang w:eastAsia="lv-LV"/>
              </w:rPr>
              <w:t>t</w:t>
            </w:r>
            <w:r w:rsidR="00F67CD8" w:rsidRPr="00037F91">
              <w:rPr>
                <w:rFonts w:ascii="Times New Roman" w:eastAsia="Times New Roman" w:hAnsi="Times New Roman"/>
                <w:sz w:val="24"/>
                <w:szCs w:val="24"/>
                <w:lang w:eastAsia="lv-LV"/>
              </w:rPr>
              <w:t xml:space="preserve"> brīvā apritē tiesā</w:t>
            </w:r>
            <w:r w:rsidR="00513903" w:rsidRPr="00037F91">
              <w:rPr>
                <w:rFonts w:ascii="Times New Roman" w:eastAsia="Times New Roman" w:hAnsi="Times New Roman"/>
                <w:sz w:val="24"/>
                <w:szCs w:val="24"/>
                <w:lang w:eastAsia="lv-LV"/>
              </w:rPr>
              <w:t xml:space="preserve"> un varētu tikt izmantots ļaunprātīgi, tādējādi apdraudot tiesā esošās mantas un personu drošību</w:t>
            </w:r>
            <w:r w:rsidR="00F67CD8" w:rsidRPr="00037F91">
              <w:rPr>
                <w:rFonts w:ascii="Times New Roman" w:eastAsia="Times New Roman" w:hAnsi="Times New Roman"/>
                <w:sz w:val="24"/>
                <w:szCs w:val="24"/>
                <w:lang w:eastAsia="lv-LV"/>
              </w:rPr>
              <w:t>.</w:t>
            </w:r>
            <w:r w:rsidR="0011110A" w:rsidRPr="00037F91">
              <w:rPr>
                <w:rFonts w:ascii="Times New Roman" w:eastAsia="Times New Roman" w:hAnsi="Times New Roman"/>
                <w:sz w:val="24"/>
                <w:szCs w:val="24"/>
                <w:lang w:eastAsia="lv-LV"/>
              </w:rPr>
              <w:t xml:space="preserve"> Lai veidotu vienotu </w:t>
            </w:r>
            <w:r w:rsidR="00FE6BF3">
              <w:rPr>
                <w:rFonts w:ascii="Times New Roman" w:eastAsia="Times New Roman" w:hAnsi="Times New Roman"/>
                <w:sz w:val="24"/>
                <w:szCs w:val="24"/>
                <w:lang w:eastAsia="lv-LV"/>
              </w:rPr>
              <w:t xml:space="preserve">praksi drošības </w:t>
            </w:r>
            <w:r w:rsidR="00BC1A01">
              <w:rPr>
                <w:rFonts w:ascii="Times New Roman" w:eastAsia="Times New Roman" w:hAnsi="Times New Roman"/>
                <w:sz w:val="24"/>
                <w:szCs w:val="24"/>
                <w:lang w:eastAsia="lv-LV"/>
              </w:rPr>
              <w:t>pārbaudēm</w:t>
            </w:r>
            <w:r w:rsidR="00FE6BF3">
              <w:rPr>
                <w:rFonts w:ascii="Times New Roman" w:eastAsia="Times New Roman" w:hAnsi="Times New Roman"/>
                <w:sz w:val="24"/>
                <w:szCs w:val="24"/>
                <w:lang w:eastAsia="lv-LV"/>
              </w:rPr>
              <w:t xml:space="preserve"> tiesās</w:t>
            </w:r>
            <w:r w:rsidR="0011110A" w:rsidRPr="00037F91">
              <w:rPr>
                <w:rFonts w:ascii="Times New Roman" w:eastAsia="Times New Roman" w:hAnsi="Times New Roman"/>
                <w:sz w:val="24"/>
                <w:szCs w:val="24"/>
                <w:lang w:eastAsia="lv-LV"/>
              </w:rPr>
              <w:t xml:space="preserve">, </w:t>
            </w:r>
            <w:r w:rsidR="00597E37" w:rsidRPr="00037F91">
              <w:rPr>
                <w:rFonts w:ascii="Times New Roman" w:eastAsia="Times New Roman" w:hAnsi="Times New Roman"/>
                <w:sz w:val="24"/>
                <w:szCs w:val="24"/>
                <w:lang w:eastAsia="lv-LV"/>
              </w:rPr>
              <w:t>tiesas apsardzes darbiniekam</w:t>
            </w:r>
            <w:r w:rsidR="007B2A8A" w:rsidRPr="00037F91">
              <w:rPr>
                <w:rFonts w:ascii="Times New Roman" w:eastAsia="Times New Roman" w:hAnsi="Times New Roman"/>
                <w:sz w:val="24"/>
                <w:szCs w:val="24"/>
                <w:lang w:eastAsia="lv-LV"/>
              </w:rPr>
              <w:t xml:space="preserve"> </w:t>
            </w:r>
            <w:r w:rsidR="00597E37" w:rsidRPr="00037F91">
              <w:rPr>
                <w:rFonts w:ascii="Times New Roman" w:eastAsia="Times New Roman" w:hAnsi="Times New Roman"/>
                <w:sz w:val="24"/>
                <w:szCs w:val="24"/>
                <w:lang w:eastAsia="lv-LV"/>
              </w:rPr>
              <w:t xml:space="preserve">tiks izstrādāta </w:t>
            </w:r>
            <w:r w:rsidR="00555FEB" w:rsidRPr="00037F91">
              <w:rPr>
                <w:rFonts w:ascii="Times New Roman" w:eastAsia="Times New Roman" w:hAnsi="Times New Roman"/>
                <w:sz w:val="24"/>
                <w:szCs w:val="24"/>
                <w:lang w:eastAsia="lv-LV"/>
              </w:rPr>
              <w:t>aizliegto priekšmetu bīstamības novērtēšan</w:t>
            </w:r>
            <w:r w:rsidR="007B2A8A" w:rsidRPr="00037F91">
              <w:rPr>
                <w:rFonts w:ascii="Times New Roman" w:eastAsia="Times New Roman" w:hAnsi="Times New Roman"/>
                <w:sz w:val="24"/>
                <w:szCs w:val="24"/>
                <w:lang w:eastAsia="lv-LV"/>
              </w:rPr>
              <w:t xml:space="preserve">as </w:t>
            </w:r>
            <w:r w:rsidR="006C364E">
              <w:rPr>
                <w:rFonts w:ascii="Times New Roman" w:eastAsia="Times New Roman" w:hAnsi="Times New Roman"/>
                <w:sz w:val="24"/>
                <w:szCs w:val="24"/>
                <w:lang w:eastAsia="lv-LV"/>
              </w:rPr>
              <w:t xml:space="preserve">iekšējā </w:t>
            </w:r>
            <w:r w:rsidR="007B2A8A" w:rsidRPr="00037F91">
              <w:rPr>
                <w:rFonts w:ascii="Times New Roman" w:eastAsia="Times New Roman" w:hAnsi="Times New Roman"/>
                <w:sz w:val="24"/>
                <w:szCs w:val="24"/>
                <w:lang w:eastAsia="lv-LV"/>
              </w:rPr>
              <w:t>instrukcija.</w:t>
            </w:r>
          </w:p>
          <w:p w:rsidR="001E0721" w:rsidRPr="00037F91" w:rsidRDefault="00047593" w:rsidP="00497939">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FE6BF3">
              <w:rPr>
                <w:rFonts w:ascii="Times New Roman" w:eastAsia="Times New Roman" w:hAnsi="Times New Roman"/>
                <w:sz w:val="24"/>
                <w:szCs w:val="24"/>
                <w:lang w:eastAsia="lv-LV"/>
              </w:rPr>
              <w:t>)</w:t>
            </w:r>
            <w:r w:rsidR="009E1B99">
              <w:rPr>
                <w:rFonts w:ascii="Times New Roman" w:eastAsia="Times New Roman" w:hAnsi="Times New Roman"/>
                <w:sz w:val="24"/>
                <w:szCs w:val="24"/>
                <w:lang w:eastAsia="lv-LV"/>
              </w:rPr>
              <w:t> </w:t>
            </w:r>
            <w:r>
              <w:rPr>
                <w:rFonts w:ascii="Times New Roman" w:eastAsia="Times New Roman" w:hAnsi="Times New Roman"/>
                <w:sz w:val="24"/>
                <w:szCs w:val="24"/>
                <w:lang w:eastAsia="lv-LV"/>
              </w:rPr>
              <w:t>P</w:t>
            </w:r>
            <w:r w:rsidR="001E0721" w:rsidRPr="00037F91">
              <w:rPr>
                <w:rFonts w:ascii="Times New Roman" w:eastAsia="Times New Roman" w:hAnsi="Times New Roman"/>
                <w:sz w:val="24"/>
                <w:szCs w:val="24"/>
                <w:lang w:eastAsia="lv-LV"/>
              </w:rPr>
              <w:t>rojekts paredz noteikt, ka ties</w:t>
            </w:r>
            <w:r w:rsidR="00BC1A01">
              <w:rPr>
                <w:rFonts w:ascii="Times New Roman" w:eastAsia="Times New Roman" w:hAnsi="Times New Roman"/>
                <w:sz w:val="24"/>
                <w:szCs w:val="24"/>
                <w:lang w:eastAsia="lv-LV"/>
              </w:rPr>
              <w:t>ā</w:t>
            </w:r>
            <w:r w:rsidR="001E0721" w:rsidRPr="00037F91">
              <w:rPr>
                <w:rFonts w:ascii="Times New Roman" w:eastAsia="Times New Roman" w:hAnsi="Times New Roman"/>
                <w:sz w:val="24"/>
                <w:szCs w:val="24"/>
                <w:lang w:eastAsia="lv-LV"/>
              </w:rPr>
              <w:t xml:space="preserve"> nepieņems glabāšanā ieroci, speciālo līdzekli un aizliegtos priekšmetus, tādējādi mazinot tiesā esošo </w:t>
            </w:r>
            <w:r w:rsidR="00A9184B" w:rsidRPr="00037F91">
              <w:rPr>
                <w:rFonts w:ascii="Times New Roman" w:eastAsia="Times New Roman" w:hAnsi="Times New Roman"/>
                <w:sz w:val="24"/>
                <w:szCs w:val="24"/>
                <w:lang w:eastAsia="lv-LV"/>
              </w:rPr>
              <w:t xml:space="preserve">fizisko </w:t>
            </w:r>
            <w:r w:rsidR="001E0721" w:rsidRPr="00037F91">
              <w:rPr>
                <w:rFonts w:ascii="Times New Roman" w:eastAsia="Times New Roman" w:hAnsi="Times New Roman"/>
                <w:sz w:val="24"/>
                <w:szCs w:val="24"/>
                <w:lang w:eastAsia="lv-LV"/>
              </w:rPr>
              <w:t>personu drošības apdraudējuma riskus.</w:t>
            </w:r>
          </w:p>
          <w:p w:rsidR="00331451" w:rsidRPr="00037F91" w:rsidRDefault="00047593" w:rsidP="00F760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w:t>
            </w:r>
            <w:r w:rsidR="00BC1A01">
              <w:rPr>
                <w:rFonts w:ascii="Times New Roman" w:eastAsia="Times New Roman" w:hAnsi="Times New Roman"/>
                <w:sz w:val="24"/>
                <w:szCs w:val="24"/>
                <w:lang w:eastAsia="lv-LV"/>
              </w:rPr>
              <w:t>)</w:t>
            </w:r>
            <w:r w:rsidR="009E1B99">
              <w:rPr>
                <w:rFonts w:ascii="Times New Roman" w:eastAsia="Times New Roman" w:hAnsi="Times New Roman"/>
                <w:sz w:val="24"/>
                <w:szCs w:val="24"/>
                <w:lang w:eastAsia="lv-LV"/>
              </w:rPr>
              <w:t> </w:t>
            </w:r>
            <w:r w:rsidR="00260E84" w:rsidRPr="00037F91">
              <w:rPr>
                <w:rFonts w:ascii="Times New Roman" w:eastAsia="Times New Roman" w:hAnsi="Times New Roman"/>
                <w:sz w:val="24"/>
                <w:szCs w:val="24"/>
                <w:lang w:eastAsia="lv-LV"/>
              </w:rPr>
              <w:t xml:space="preserve">Projekts paredz noteikt </w:t>
            </w:r>
            <w:r w:rsidR="00A9184B" w:rsidRPr="00037F91">
              <w:rPr>
                <w:rFonts w:ascii="Times New Roman" w:eastAsia="Times New Roman" w:hAnsi="Times New Roman"/>
                <w:sz w:val="24"/>
                <w:szCs w:val="24"/>
                <w:lang w:eastAsia="lv-LV"/>
              </w:rPr>
              <w:t xml:space="preserve">kārtību, kādā </w:t>
            </w:r>
            <w:r w:rsidR="001E0721" w:rsidRPr="00037F91">
              <w:rPr>
                <w:rFonts w:ascii="Times New Roman" w:eastAsia="Times New Roman" w:hAnsi="Times New Roman"/>
                <w:sz w:val="24"/>
                <w:szCs w:val="24"/>
                <w:lang w:eastAsia="lv-LV"/>
              </w:rPr>
              <w:t>tiesas apsardzes darbiniek</w:t>
            </w:r>
            <w:r w:rsidR="00A9184B" w:rsidRPr="00037F91">
              <w:rPr>
                <w:rFonts w:ascii="Times New Roman" w:eastAsia="Times New Roman" w:hAnsi="Times New Roman"/>
                <w:sz w:val="24"/>
                <w:szCs w:val="24"/>
                <w:lang w:eastAsia="lv-LV"/>
              </w:rPr>
              <w:t xml:space="preserve">s veiks fiziskas </w:t>
            </w:r>
            <w:r w:rsidR="00331451" w:rsidRPr="00037F91">
              <w:rPr>
                <w:rFonts w:ascii="Times New Roman" w:eastAsia="Times New Roman" w:hAnsi="Times New Roman"/>
                <w:sz w:val="24"/>
                <w:szCs w:val="24"/>
                <w:lang w:eastAsia="lv-LV"/>
              </w:rPr>
              <w:t>personas pārbaudi</w:t>
            </w:r>
            <w:r w:rsidR="001265D1" w:rsidRPr="00037F91">
              <w:rPr>
                <w:rFonts w:ascii="Times New Roman" w:eastAsia="Times New Roman" w:hAnsi="Times New Roman"/>
              </w:rPr>
              <w:t>, l</w:t>
            </w:r>
            <w:r w:rsidR="001265D1" w:rsidRPr="00037F91">
              <w:rPr>
                <w:rFonts w:ascii="Times New Roman" w:eastAsia="Times New Roman" w:hAnsi="Times New Roman"/>
                <w:sz w:val="24"/>
                <w:szCs w:val="24"/>
                <w:lang w:eastAsia="lv-LV"/>
              </w:rPr>
              <w:t>ai noteiktu ieroču, speciālo līdzekļu un aizliegto priekšmetu klātbūtni</w:t>
            </w:r>
            <w:r w:rsidR="00F41717" w:rsidRPr="00037F91">
              <w:rPr>
                <w:rFonts w:ascii="Times New Roman" w:eastAsia="Times New Roman" w:hAnsi="Times New Roman"/>
                <w:sz w:val="24"/>
                <w:szCs w:val="24"/>
                <w:lang w:eastAsia="lv-LV"/>
              </w:rPr>
              <w:t>, fiziskas personas, kuras būs atbrīvojamas no šādām pārbaudēm</w:t>
            </w:r>
            <w:r w:rsidR="00AA7006" w:rsidRPr="00037F91">
              <w:rPr>
                <w:rFonts w:ascii="Times New Roman" w:eastAsia="Times New Roman" w:hAnsi="Times New Roman"/>
                <w:sz w:val="24"/>
                <w:szCs w:val="24"/>
                <w:lang w:eastAsia="lv-LV"/>
              </w:rPr>
              <w:t>, kā arī šī atbrīvojuma apjomu</w:t>
            </w:r>
            <w:r w:rsidR="00F41717" w:rsidRPr="00037F91">
              <w:rPr>
                <w:rFonts w:ascii="Times New Roman" w:eastAsia="Times New Roman" w:hAnsi="Times New Roman"/>
                <w:sz w:val="24"/>
                <w:szCs w:val="24"/>
                <w:lang w:eastAsia="lv-LV"/>
              </w:rPr>
              <w:t>.</w:t>
            </w:r>
            <w:r w:rsidR="00F8564E">
              <w:rPr>
                <w:rFonts w:ascii="Times New Roman" w:eastAsia="Times New Roman" w:hAnsi="Times New Roman"/>
                <w:sz w:val="24"/>
                <w:szCs w:val="24"/>
                <w:lang w:eastAsia="lv-LV"/>
              </w:rPr>
              <w:t xml:space="preserve"> </w:t>
            </w:r>
            <w:r w:rsidR="00BA0749">
              <w:rPr>
                <w:rFonts w:ascii="Times New Roman" w:eastAsia="Times New Roman" w:hAnsi="Times New Roman"/>
                <w:sz w:val="24"/>
                <w:szCs w:val="24"/>
                <w:lang w:eastAsia="lv-LV"/>
              </w:rPr>
              <w:t>Projekts paredz</w:t>
            </w:r>
            <w:r w:rsidR="00ED594E">
              <w:rPr>
                <w:rFonts w:ascii="Times New Roman" w:eastAsia="Times New Roman" w:hAnsi="Times New Roman"/>
                <w:sz w:val="24"/>
                <w:szCs w:val="24"/>
                <w:lang w:eastAsia="lv-LV"/>
              </w:rPr>
              <w:t xml:space="preserve"> pilnīgu vai daļēju</w:t>
            </w:r>
            <w:r w:rsidR="00BA0749">
              <w:rPr>
                <w:rFonts w:ascii="Times New Roman" w:eastAsia="Times New Roman" w:hAnsi="Times New Roman"/>
                <w:sz w:val="24"/>
                <w:szCs w:val="24"/>
                <w:lang w:eastAsia="lv-LV"/>
              </w:rPr>
              <w:t xml:space="preserve"> atbrīvojumu no pārbaudēm, ņemot vērā fiziskas personas veselības stāvokli (piemēram, grūtniecība) </w:t>
            </w:r>
            <w:r w:rsidR="006C364E">
              <w:rPr>
                <w:rFonts w:ascii="Times New Roman" w:eastAsia="Times New Roman" w:hAnsi="Times New Roman"/>
                <w:sz w:val="24"/>
                <w:szCs w:val="24"/>
                <w:lang w:eastAsia="lv-LV"/>
              </w:rPr>
              <w:t xml:space="preserve">vai </w:t>
            </w:r>
            <w:r w:rsidR="00BA0749">
              <w:rPr>
                <w:rFonts w:ascii="Times New Roman" w:eastAsia="Times New Roman" w:hAnsi="Times New Roman"/>
                <w:sz w:val="24"/>
                <w:szCs w:val="24"/>
                <w:lang w:eastAsia="lv-LV"/>
              </w:rPr>
              <w:t xml:space="preserve">statusu (piemēram, </w:t>
            </w:r>
            <w:r w:rsidR="00020654">
              <w:rPr>
                <w:rFonts w:ascii="Times New Roman" w:eastAsia="Times New Roman" w:hAnsi="Times New Roman"/>
                <w:sz w:val="24"/>
                <w:szCs w:val="24"/>
                <w:lang w:eastAsia="lv-LV"/>
              </w:rPr>
              <w:t xml:space="preserve">konvoja amatpersona, </w:t>
            </w:r>
            <w:r w:rsidR="00BA0749">
              <w:rPr>
                <w:rFonts w:ascii="Times New Roman" w:eastAsia="Times New Roman" w:hAnsi="Times New Roman"/>
                <w:sz w:val="24"/>
                <w:szCs w:val="24"/>
                <w:lang w:eastAsia="lv-LV"/>
              </w:rPr>
              <w:t>diplomātiskais aģents).</w:t>
            </w:r>
            <w:r w:rsidR="008755B2">
              <w:rPr>
                <w:rFonts w:ascii="Times New Roman" w:eastAsia="Times New Roman" w:hAnsi="Times New Roman"/>
                <w:sz w:val="24"/>
                <w:szCs w:val="24"/>
                <w:lang w:eastAsia="lv-LV"/>
              </w:rPr>
              <w:t xml:space="preserve"> Diplomātiskā aģenta atbrīvošana no pārbaudēm pamatota ar </w:t>
            </w:r>
            <w:r w:rsidR="00B51243" w:rsidRPr="00B51243">
              <w:rPr>
                <w:rFonts w:ascii="Times New Roman" w:eastAsia="Times New Roman" w:hAnsi="Times New Roman"/>
                <w:sz w:val="24"/>
                <w:szCs w:val="24"/>
                <w:lang w:eastAsia="lv-LV"/>
              </w:rPr>
              <w:t>1961.</w:t>
            </w:r>
            <w:r w:rsidR="00310165">
              <w:rPr>
                <w:rFonts w:ascii="Times New Roman" w:eastAsia="Times New Roman" w:hAnsi="Times New Roman"/>
                <w:sz w:val="24"/>
                <w:szCs w:val="24"/>
                <w:lang w:eastAsia="lv-LV"/>
              </w:rPr>
              <w:t> </w:t>
            </w:r>
            <w:r w:rsidR="00B51243" w:rsidRPr="00B51243">
              <w:rPr>
                <w:rFonts w:ascii="Times New Roman" w:eastAsia="Times New Roman" w:hAnsi="Times New Roman"/>
                <w:sz w:val="24"/>
                <w:szCs w:val="24"/>
                <w:lang w:eastAsia="lv-LV"/>
              </w:rPr>
              <w:t>gada 18.</w:t>
            </w:r>
            <w:r w:rsidR="00310165">
              <w:rPr>
                <w:rFonts w:ascii="Times New Roman" w:eastAsia="Times New Roman" w:hAnsi="Times New Roman"/>
                <w:sz w:val="24"/>
                <w:szCs w:val="24"/>
                <w:lang w:eastAsia="lv-LV"/>
              </w:rPr>
              <w:t> </w:t>
            </w:r>
            <w:r w:rsidR="00B51243" w:rsidRPr="00B51243">
              <w:rPr>
                <w:rFonts w:ascii="Times New Roman" w:eastAsia="Times New Roman" w:hAnsi="Times New Roman"/>
                <w:sz w:val="24"/>
                <w:szCs w:val="24"/>
                <w:lang w:eastAsia="lv-LV"/>
              </w:rPr>
              <w:t>aprī</w:t>
            </w:r>
            <w:r w:rsidR="00B51243">
              <w:rPr>
                <w:rFonts w:ascii="Times New Roman" w:eastAsia="Times New Roman" w:hAnsi="Times New Roman"/>
                <w:sz w:val="24"/>
                <w:szCs w:val="24"/>
                <w:lang w:eastAsia="lv-LV"/>
              </w:rPr>
              <w:t>ļa</w:t>
            </w:r>
            <w:r w:rsidR="00B51243" w:rsidRPr="00B51243">
              <w:rPr>
                <w:rFonts w:ascii="Times New Roman" w:eastAsia="Times New Roman" w:hAnsi="Times New Roman"/>
                <w:sz w:val="24"/>
                <w:szCs w:val="24"/>
                <w:lang w:eastAsia="lv-LV"/>
              </w:rPr>
              <w:t xml:space="preserve"> Vīnes konvencij</w:t>
            </w:r>
            <w:r w:rsidR="00B51243">
              <w:rPr>
                <w:rFonts w:ascii="Times New Roman" w:eastAsia="Times New Roman" w:hAnsi="Times New Roman"/>
                <w:sz w:val="24"/>
                <w:szCs w:val="24"/>
                <w:lang w:eastAsia="lv-LV"/>
              </w:rPr>
              <w:t>as</w:t>
            </w:r>
            <w:r w:rsidR="00B51243" w:rsidRPr="00B51243">
              <w:rPr>
                <w:rFonts w:ascii="Times New Roman" w:eastAsia="Times New Roman" w:hAnsi="Times New Roman"/>
                <w:sz w:val="24"/>
                <w:szCs w:val="24"/>
                <w:lang w:eastAsia="lv-LV"/>
              </w:rPr>
              <w:t xml:space="preserve"> par diplomātiskajiem sakariem 36.</w:t>
            </w:r>
            <w:r w:rsidR="00B51243">
              <w:rPr>
                <w:rFonts w:ascii="Times New Roman" w:eastAsia="Times New Roman" w:hAnsi="Times New Roman"/>
                <w:sz w:val="24"/>
                <w:szCs w:val="24"/>
                <w:lang w:eastAsia="lv-LV"/>
              </w:rPr>
              <w:t> </w:t>
            </w:r>
            <w:r w:rsidR="00B51243" w:rsidRPr="00B51243">
              <w:rPr>
                <w:rFonts w:ascii="Times New Roman" w:eastAsia="Times New Roman" w:hAnsi="Times New Roman"/>
                <w:sz w:val="24"/>
                <w:szCs w:val="24"/>
                <w:lang w:eastAsia="lv-LV"/>
              </w:rPr>
              <w:t>pant</w:t>
            </w:r>
            <w:r w:rsidR="00B51243">
              <w:rPr>
                <w:rFonts w:ascii="Times New Roman" w:eastAsia="Times New Roman" w:hAnsi="Times New Roman"/>
                <w:sz w:val="24"/>
                <w:szCs w:val="24"/>
                <w:lang w:eastAsia="lv-LV"/>
              </w:rPr>
              <w:t>u.</w:t>
            </w:r>
          </w:p>
          <w:p w:rsidR="00C7617F" w:rsidRDefault="00047593" w:rsidP="00497939">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00BC1A01">
              <w:rPr>
                <w:rFonts w:ascii="Times New Roman" w:eastAsia="Times New Roman" w:hAnsi="Times New Roman"/>
                <w:sz w:val="24"/>
                <w:szCs w:val="24"/>
                <w:lang w:eastAsia="lv-LV"/>
              </w:rPr>
              <w:t>)</w:t>
            </w:r>
            <w:r w:rsidR="009E1B99">
              <w:rPr>
                <w:rFonts w:ascii="Times New Roman" w:eastAsia="Times New Roman" w:hAnsi="Times New Roman"/>
                <w:sz w:val="24"/>
                <w:szCs w:val="24"/>
                <w:lang w:eastAsia="lv-LV"/>
              </w:rPr>
              <w:t> </w:t>
            </w:r>
            <w:r w:rsidR="00BC1A01">
              <w:rPr>
                <w:rFonts w:ascii="Times New Roman" w:eastAsia="Times New Roman" w:hAnsi="Times New Roman"/>
                <w:sz w:val="24"/>
                <w:szCs w:val="24"/>
                <w:lang w:eastAsia="lv-LV"/>
              </w:rPr>
              <w:t xml:space="preserve">Projekts paredz </w:t>
            </w:r>
            <w:r>
              <w:rPr>
                <w:rFonts w:ascii="Times New Roman" w:eastAsia="Times New Roman" w:hAnsi="Times New Roman"/>
                <w:sz w:val="24"/>
                <w:szCs w:val="24"/>
                <w:lang w:eastAsia="lv-LV"/>
              </w:rPr>
              <w:t xml:space="preserve">noteikt </w:t>
            </w:r>
            <w:r w:rsidR="00BC1A01" w:rsidRPr="00BC1A01">
              <w:rPr>
                <w:rFonts w:ascii="Times New Roman" w:eastAsia="Times New Roman" w:hAnsi="Times New Roman"/>
                <w:sz w:val="24"/>
                <w:szCs w:val="24"/>
                <w:lang w:eastAsia="lv-LV"/>
              </w:rPr>
              <w:t>tiesas apsardzes darbiniek</w:t>
            </w:r>
            <w:r w:rsidR="00BC1A01">
              <w:rPr>
                <w:rFonts w:ascii="Times New Roman" w:eastAsia="Times New Roman" w:hAnsi="Times New Roman"/>
                <w:sz w:val="24"/>
                <w:szCs w:val="24"/>
                <w:lang w:eastAsia="lv-LV"/>
              </w:rPr>
              <w:t>a rīcību, k</w:t>
            </w:r>
            <w:r w:rsidR="00BC1A01" w:rsidRPr="00BC1A01">
              <w:rPr>
                <w:rFonts w:ascii="Times New Roman" w:eastAsia="Times New Roman" w:hAnsi="Times New Roman"/>
                <w:sz w:val="24"/>
                <w:szCs w:val="24"/>
                <w:lang w:eastAsia="lv-LV"/>
              </w:rPr>
              <w:t>onstatējot ieroču, speciālo līdzekļu un aizliegto priekšmetu klātbūtni, fiziskai personai iekļūstot tiesā</w:t>
            </w:r>
            <w:r w:rsidR="00BC1A01">
              <w:rPr>
                <w:rFonts w:ascii="Times New Roman" w:eastAsia="Times New Roman" w:hAnsi="Times New Roman"/>
                <w:sz w:val="24"/>
                <w:szCs w:val="24"/>
                <w:lang w:eastAsia="lv-LV"/>
              </w:rPr>
              <w:t>.</w:t>
            </w:r>
          </w:p>
          <w:p w:rsidR="00BC1A01" w:rsidRPr="00BC1A01" w:rsidRDefault="00047593" w:rsidP="00497939">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w:t>
            </w:r>
            <w:r w:rsidR="00BC1A01">
              <w:rPr>
                <w:rFonts w:ascii="Times New Roman" w:eastAsia="Times New Roman" w:hAnsi="Times New Roman"/>
                <w:sz w:val="24"/>
                <w:szCs w:val="24"/>
                <w:lang w:eastAsia="lv-LV"/>
              </w:rPr>
              <w:t>)</w:t>
            </w:r>
            <w:r w:rsidR="009E1B99">
              <w:rPr>
                <w:rFonts w:ascii="Times New Roman" w:eastAsia="Times New Roman" w:hAnsi="Times New Roman"/>
                <w:sz w:val="24"/>
                <w:szCs w:val="24"/>
                <w:lang w:eastAsia="lv-LV"/>
              </w:rPr>
              <w:t> </w:t>
            </w:r>
            <w:r w:rsidR="00BC1A01">
              <w:rPr>
                <w:rFonts w:ascii="Times New Roman" w:eastAsia="Times New Roman" w:hAnsi="Times New Roman"/>
                <w:sz w:val="24"/>
                <w:szCs w:val="24"/>
                <w:lang w:eastAsia="lv-LV"/>
              </w:rPr>
              <w:t xml:space="preserve">Projekts paredz </w:t>
            </w:r>
            <w:r>
              <w:rPr>
                <w:rFonts w:ascii="Times New Roman" w:eastAsia="Times New Roman" w:hAnsi="Times New Roman"/>
                <w:sz w:val="24"/>
                <w:szCs w:val="24"/>
                <w:lang w:eastAsia="lv-LV"/>
              </w:rPr>
              <w:t xml:space="preserve">noteikt </w:t>
            </w:r>
            <w:r w:rsidR="00BC1A01">
              <w:rPr>
                <w:rFonts w:ascii="Times New Roman" w:eastAsia="Times New Roman" w:hAnsi="Times New Roman"/>
                <w:sz w:val="24"/>
                <w:szCs w:val="24"/>
                <w:lang w:eastAsia="lv-LV"/>
              </w:rPr>
              <w:t>tiesas apsardzes darbinieka rīcību, ja</w:t>
            </w:r>
            <w:r w:rsidR="00BC1A01" w:rsidRPr="00BC1A01">
              <w:rPr>
                <w:rFonts w:ascii="Times New Roman" w:eastAsia="Times New Roman" w:hAnsi="Times New Roman"/>
                <w:sz w:val="24"/>
                <w:szCs w:val="24"/>
                <w:lang w:eastAsia="lv-LV"/>
              </w:rPr>
              <w:t xml:space="preserve"> fiziska persona neievēro </w:t>
            </w:r>
            <w:r w:rsidR="00BC1A01">
              <w:rPr>
                <w:rFonts w:ascii="Times New Roman" w:eastAsia="Times New Roman" w:hAnsi="Times New Roman"/>
                <w:sz w:val="24"/>
                <w:szCs w:val="24"/>
                <w:lang w:eastAsia="lv-LV"/>
              </w:rPr>
              <w:t xml:space="preserve">projektā paredzētās prasības </w:t>
            </w:r>
            <w:r w:rsidR="00BC1A01" w:rsidRPr="00BC1A01">
              <w:rPr>
                <w:rFonts w:ascii="Times New Roman" w:eastAsia="Times New Roman" w:hAnsi="Times New Roman"/>
                <w:sz w:val="24"/>
                <w:szCs w:val="24"/>
                <w:lang w:eastAsia="lv-LV"/>
              </w:rPr>
              <w:t xml:space="preserve">vai </w:t>
            </w:r>
            <w:r w:rsidR="00BC1A01" w:rsidRPr="00BC1A01">
              <w:rPr>
                <w:rFonts w:ascii="Times New Roman" w:eastAsia="Times New Roman" w:hAnsi="Times New Roman"/>
                <w:sz w:val="24"/>
                <w:szCs w:val="24"/>
                <w:lang w:eastAsia="lv-LV"/>
              </w:rPr>
              <w:lastRenderedPageBreak/>
              <w:t xml:space="preserve">citus normatīvos aktus sabiedriskās kārtības nodrošināšanas jomā un pēc </w:t>
            </w:r>
            <w:r w:rsidR="00BC1A01" w:rsidRPr="00D63D0E">
              <w:rPr>
                <w:rFonts w:ascii="Times New Roman" w:eastAsia="Times New Roman" w:hAnsi="Times New Roman"/>
                <w:sz w:val="24"/>
                <w:szCs w:val="24"/>
                <w:lang w:eastAsia="lv-LV"/>
              </w:rPr>
              <w:t xml:space="preserve">tiesas apsardzes darbinieka aizrādījuma turpina šādu rīcību, atsakās no </w:t>
            </w:r>
            <w:r w:rsidR="00BC1A01" w:rsidRPr="009E1B99">
              <w:rPr>
                <w:rFonts w:ascii="Times New Roman" w:eastAsia="Times New Roman" w:hAnsi="Times New Roman"/>
                <w:sz w:val="24"/>
                <w:szCs w:val="24"/>
                <w:lang w:eastAsia="lv-LV"/>
              </w:rPr>
              <w:t xml:space="preserve">projektā minētās pārbaudes vai atrodas acīmredzamā </w:t>
            </w:r>
            <w:r w:rsidR="004151ED" w:rsidRPr="00C16B68">
              <w:rPr>
                <w:rFonts w:ascii="Times New Roman" w:eastAsia="Times New Roman" w:hAnsi="Times New Roman"/>
                <w:sz w:val="24"/>
                <w:szCs w:val="24"/>
                <w:lang w:eastAsia="lv-LV"/>
              </w:rPr>
              <w:t>alkoholisko dzērienu, narkotisko, psihotropo, toksisko vai citu apreibinošo vielu ietekmē</w:t>
            </w:r>
            <w:r w:rsidR="00BC1A01" w:rsidRPr="009E1B99">
              <w:rPr>
                <w:rFonts w:ascii="Times New Roman" w:eastAsia="Times New Roman" w:hAnsi="Times New Roman"/>
                <w:sz w:val="24"/>
                <w:szCs w:val="24"/>
                <w:lang w:eastAsia="lv-LV"/>
              </w:rPr>
              <w:t>.</w:t>
            </w:r>
          </w:p>
          <w:p w:rsidR="00BC1A01" w:rsidRPr="00037F91" w:rsidRDefault="00BC1A01" w:rsidP="002936E7">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Projektā </w:t>
            </w:r>
            <w:r w:rsidR="00547EB8">
              <w:rPr>
                <w:rFonts w:ascii="Times New Roman" w:eastAsia="Times New Roman" w:hAnsi="Times New Roman"/>
                <w:sz w:val="24"/>
                <w:szCs w:val="24"/>
                <w:lang w:eastAsia="lv-LV"/>
              </w:rPr>
              <w:t xml:space="preserve">noteiktās prasības apsardzes darbinieka rīcībai </w:t>
            </w:r>
            <w:r w:rsidR="006C364E">
              <w:rPr>
                <w:rFonts w:ascii="Times New Roman" w:eastAsia="Times New Roman" w:hAnsi="Times New Roman"/>
                <w:sz w:val="24"/>
                <w:szCs w:val="24"/>
                <w:lang w:eastAsia="lv-LV"/>
              </w:rPr>
              <w:t xml:space="preserve">iekļaujas </w:t>
            </w:r>
            <w:r w:rsidR="00547EB8">
              <w:rPr>
                <w:rFonts w:ascii="Times New Roman" w:eastAsia="Times New Roman" w:hAnsi="Times New Roman"/>
                <w:sz w:val="24"/>
                <w:szCs w:val="24"/>
                <w:lang w:eastAsia="lv-LV"/>
              </w:rPr>
              <w:t>Apsardzes darbības likumā ietvert</w:t>
            </w:r>
            <w:r w:rsidR="006C364E">
              <w:rPr>
                <w:rFonts w:ascii="Times New Roman" w:eastAsia="Times New Roman" w:hAnsi="Times New Roman"/>
                <w:sz w:val="24"/>
                <w:szCs w:val="24"/>
                <w:lang w:eastAsia="lv-LV"/>
              </w:rPr>
              <w:t>o</w:t>
            </w:r>
            <w:r w:rsidR="00547EB8">
              <w:rPr>
                <w:rFonts w:ascii="Times New Roman" w:eastAsia="Times New Roman" w:hAnsi="Times New Roman"/>
                <w:sz w:val="24"/>
                <w:szCs w:val="24"/>
                <w:lang w:eastAsia="lv-LV"/>
              </w:rPr>
              <w:t xml:space="preserve"> apsardzes darbinieka tiesīb</w:t>
            </w:r>
            <w:r w:rsidR="006C364E">
              <w:rPr>
                <w:rFonts w:ascii="Times New Roman" w:eastAsia="Times New Roman" w:hAnsi="Times New Roman"/>
                <w:sz w:val="24"/>
                <w:szCs w:val="24"/>
                <w:lang w:eastAsia="lv-LV"/>
              </w:rPr>
              <w:t>u</w:t>
            </w:r>
            <w:r w:rsidR="00547EB8">
              <w:rPr>
                <w:rFonts w:ascii="Times New Roman" w:eastAsia="Times New Roman" w:hAnsi="Times New Roman"/>
                <w:sz w:val="24"/>
                <w:szCs w:val="24"/>
                <w:lang w:eastAsia="lv-LV"/>
              </w:rPr>
              <w:t xml:space="preserve"> un pienākum</w:t>
            </w:r>
            <w:r w:rsidR="006C364E">
              <w:rPr>
                <w:rFonts w:ascii="Times New Roman" w:eastAsia="Times New Roman" w:hAnsi="Times New Roman"/>
                <w:sz w:val="24"/>
                <w:szCs w:val="24"/>
                <w:lang w:eastAsia="lv-LV"/>
              </w:rPr>
              <w:t>u apjomā</w:t>
            </w:r>
            <w:r w:rsidR="00547EB8">
              <w:rPr>
                <w:rFonts w:ascii="Times New Roman" w:eastAsia="Times New Roman" w:hAnsi="Times New Roman"/>
                <w:sz w:val="24"/>
                <w:szCs w:val="24"/>
                <w:lang w:eastAsia="lv-LV"/>
              </w:rPr>
              <w:t>.</w:t>
            </w:r>
          </w:p>
          <w:p w:rsidR="006B1872" w:rsidRPr="00037F91" w:rsidRDefault="00047593" w:rsidP="00C068E5">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6141B8">
              <w:rPr>
                <w:rFonts w:ascii="Times New Roman" w:eastAsia="Times New Roman" w:hAnsi="Times New Roman"/>
                <w:sz w:val="24"/>
                <w:szCs w:val="24"/>
                <w:lang w:eastAsia="lv-LV"/>
              </w:rPr>
              <w:t>)</w:t>
            </w:r>
            <w:r w:rsidR="009E1B99">
              <w:rPr>
                <w:rFonts w:ascii="Times New Roman" w:eastAsia="Times New Roman" w:hAnsi="Times New Roman"/>
                <w:sz w:val="24"/>
                <w:szCs w:val="24"/>
                <w:lang w:eastAsia="lv-LV"/>
              </w:rPr>
              <w:t> </w:t>
            </w:r>
            <w:r w:rsidR="006141B8">
              <w:rPr>
                <w:rFonts w:ascii="Times New Roman" w:eastAsia="Times New Roman" w:hAnsi="Times New Roman"/>
                <w:sz w:val="24"/>
                <w:szCs w:val="24"/>
                <w:lang w:eastAsia="lv-LV"/>
              </w:rPr>
              <w:t>Projekts paredz</w:t>
            </w:r>
            <w:r>
              <w:rPr>
                <w:rFonts w:ascii="Times New Roman" w:eastAsia="Times New Roman" w:hAnsi="Times New Roman"/>
                <w:sz w:val="24"/>
                <w:szCs w:val="24"/>
                <w:lang w:eastAsia="lv-LV"/>
              </w:rPr>
              <w:t xml:space="preserve"> noteikt</w:t>
            </w:r>
            <w:r w:rsidR="006141B8">
              <w:rPr>
                <w:rFonts w:ascii="Times New Roman" w:eastAsia="Times New Roman" w:hAnsi="Times New Roman"/>
                <w:sz w:val="24"/>
                <w:szCs w:val="24"/>
                <w:lang w:eastAsia="lv-LV"/>
              </w:rPr>
              <w:t>, ka projektā iekļautās prasības attiecībā uz t</w:t>
            </w:r>
            <w:r w:rsidR="006141B8" w:rsidRPr="006141B8">
              <w:rPr>
                <w:rFonts w:ascii="Times New Roman" w:eastAsia="Times New Roman" w:hAnsi="Times New Roman"/>
                <w:sz w:val="24"/>
                <w:szCs w:val="24"/>
                <w:lang w:eastAsia="lv-LV"/>
              </w:rPr>
              <w:t>iesas telpu zon</w:t>
            </w:r>
            <w:r w:rsidR="006141B8">
              <w:rPr>
                <w:rFonts w:ascii="Times New Roman" w:eastAsia="Times New Roman" w:hAnsi="Times New Roman"/>
                <w:sz w:val="24"/>
                <w:szCs w:val="24"/>
                <w:lang w:eastAsia="lv-LV"/>
              </w:rPr>
              <w:t>u</w:t>
            </w:r>
            <w:r w:rsidR="006141B8" w:rsidRPr="006141B8">
              <w:rPr>
                <w:rFonts w:ascii="Times New Roman" w:eastAsia="Times New Roman" w:hAnsi="Times New Roman"/>
                <w:sz w:val="24"/>
                <w:szCs w:val="24"/>
                <w:lang w:eastAsia="lv-LV"/>
              </w:rPr>
              <w:t xml:space="preserve"> savstarpēj</w:t>
            </w:r>
            <w:r w:rsidR="006141B8">
              <w:rPr>
                <w:rFonts w:ascii="Times New Roman" w:eastAsia="Times New Roman" w:hAnsi="Times New Roman"/>
                <w:sz w:val="24"/>
                <w:szCs w:val="24"/>
                <w:lang w:eastAsia="lv-LV"/>
              </w:rPr>
              <w:t>o no</w:t>
            </w:r>
            <w:r w:rsidR="006141B8" w:rsidRPr="006141B8">
              <w:rPr>
                <w:rFonts w:ascii="Times New Roman" w:eastAsia="Times New Roman" w:hAnsi="Times New Roman"/>
                <w:sz w:val="24"/>
                <w:szCs w:val="24"/>
                <w:lang w:eastAsia="lv-LV"/>
              </w:rPr>
              <w:t>dalī</w:t>
            </w:r>
            <w:r w:rsidR="006141B8">
              <w:rPr>
                <w:rFonts w:ascii="Times New Roman" w:eastAsia="Times New Roman" w:hAnsi="Times New Roman"/>
                <w:sz w:val="24"/>
                <w:szCs w:val="24"/>
                <w:lang w:eastAsia="lv-LV"/>
              </w:rPr>
              <w:t>šanu un nepārklāšanos, kā arī prasīb</w:t>
            </w:r>
            <w:r>
              <w:rPr>
                <w:rFonts w:ascii="Times New Roman" w:eastAsia="Times New Roman" w:hAnsi="Times New Roman"/>
                <w:sz w:val="24"/>
                <w:szCs w:val="24"/>
                <w:lang w:eastAsia="lv-LV"/>
              </w:rPr>
              <w:t>u</w:t>
            </w:r>
            <w:r w:rsidR="006141B8">
              <w:rPr>
                <w:rFonts w:ascii="Times New Roman" w:eastAsia="Times New Roman" w:hAnsi="Times New Roman"/>
                <w:sz w:val="24"/>
                <w:szCs w:val="24"/>
                <w:lang w:eastAsia="lv-LV"/>
              </w:rPr>
              <w:t xml:space="preserve"> par </w:t>
            </w:r>
            <w:r w:rsidR="006141B8" w:rsidRPr="006141B8">
              <w:rPr>
                <w:rFonts w:ascii="Times New Roman" w:eastAsia="Times New Roman" w:hAnsi="Times New Roman"/>
                <w:sz w:val="24"/>
                <w:szCs w:val="24"/>
                <w:lang w:eastAsia="lv-LV"/>
              </w:rPr>
              <w:t>atsevišķ</w:t>
            </w:r>
            <w:r w:rsidR="006141B8">
              <w:rPr>
                <w:rFonts w:ascii="Times New Roman" w:eastAsia="Times New Roman" w:hAnsi="Times New Roman"/>
                <w:sz w:val="24"/>
                <w:szCs w:val="24"/>
                <w:lang w:eastAsia="lv-LV"/>
              </w:rPr>
              <w:t>u</w:t>
            </w:r>
            <w:r w:rsidR="006141B8" w:rsidRPr="006141B8">
              <w:rPr>
                <w:rFonts w:ascii="Times New Roman" w:eastAsia="Times New Roman" w:hAnsi="Times New Roman"/>
                <w:sz w:val="24"/>
                <w:szCs w:val="24"/>
                <w:lang w:eastAsia="lv-LV"/>
              </w:rPr>
              <w:t xml:space="preserve"> ieej</w:t>
            </w:r>
            <w:r w:rsidR="006141B8">
              <w:rPr>
                <w:rFonts w:ascii="Times New Roman" w:eastAsia="Times New Roman" w:hAnsi="Times New Roman"/>
                <w:sz w:val="24"/>
                <w:szCs w:val="24"/>
                <w:lang w:eastAsia="lv-LV"/>
              </w:rPr>
              <w:t>u k</w:t>
            </w:r>
            <w:r w:rsidR="006141B8" w:rsidRPr="006141B8">
              <w:rPr>
                <w:rFonts w:ascii="Times New Roman" w:eastAsia="Times New Roman" w:hAnsi="Times New Roman"/>
                <w:sz w:val="24"/>
                <w:szCs w:val="24"/>
                <w:lang w:eastAsia="lv-LV"/>
              </w:rPr>
              <w:t>atrai tiesas telpu zonai</w:t>
            </w:r>
            <w:r w:rsidR="006141B8">
              <w:rPr>
                <w:rFonts w:ascii="Times New Roman" w:eastAsia="Times New Roman" w:hAnsi="Times New Roman"/>
                <w:sz w:val="24"/>
                <w:szCs w:val="24"/>
                <w:lang w:eastAsia="lv-LV"/>
              </w:rPr>
              <w:t>,</w:t>
            </w:r>
            <w:r w:rsidR="006141B8" w:rsidRPr="006141B8">
              <w:rPr>
                <w:rFonts w:ascii="Times New Roman" w:eastAsia="Times New Roman" w:hAnsi="Times New Roman"/>
                <w:sz w:val="24"/>
                <w:szCs w:val="24"/>
                <w:lang w:eastAsia="lv-LV"/>
              </w:rPr>
              <w:t xml:space="preserve"> </w:t>
            </w:r>
            <w:r w:rsidR="006141B8">
              <w:rPr>
                <w:rFonts w:ascii="Times New Roman" w:eastAsia="Times New Roman" w:hAnsi="Times New Roman"/>
                <w:sz w:val="24"/>
                <w:szCs w:val="24"/>
                <w:lang w:eastAsia="lv-LV"/>
              </w:rPr>
              <w:t xml:space="preserve">var nepiemērot </w:t>
            </w:r>
            <w:bookmarkStart w:id="1" w:name="_Hlk497903129"/>
            <w:r w:rsidR="006141B8" w:rsidRPr="006141B8">
              <w:rPr>
                <w:rFonts w:ascii="Times New Roman" w:eastAsia="Times New Roman" w:hAnsi="Times New Roman"/>
                <w:bCs/>
                <w:sz w:val="24"/>
                <w:szCs w:val="24"/>
                <w:lang w:eastAsia="lv-LV"/>
              </w:rPr>
              <w:t>tiesas telpām, kuras neatbilst minētajām prasībām</w:t>
            </w:r>
            <w:bookmarkEnd w:id="1"/>
            <w:r w:rsidR="006141B8" w:rsidRPr="006141B8">
              <w:rPr>
                <w:rFonts w:ascii="Times New Roman" w:eastAsia="Times New Roman" w:hAnsi="Times New Roman"/>
                <w:bCs/>
                <w:sz w:val="24"/>
                <w:szCs w:val="24"/>
                <w:lang w:eastAsia="lv-LV"/>
              </w:rPr>
              <w:t xml:space="preserve"> </w:t>
            </w:r>
            <w:r w:rsidR="006141B8">
              <w:rPr>
                <w:rFonts w:ascii="Times New Roman" w:eastAsia="Times New Roman" w:hAnsi="Times New Roman"/>
                <w:bCs/>
                <w:sz w:val="24"/>
                <w:szCs w:val="24"/>
                <w:lang w:eastAsia="lv-LV"/>
              </w:rPr>
              <w:t xml:space="preserve">projektā paredzēto prasību </w:t>
            </w:r>
            <w:r w:rsidR="006141B8" w:rsidRPr="006141B8">
              <w:rPr>
                <w:rFonts w:ascii="Times New Roman" w:eastAsia="Times New Roman" w:hAnsi="Times New Roman"/>
                <w:bCs/>
                <w:sz w:val="24"/>
                <w:szCs w:val="24"/>
                <w:lang w:eastAsia="lv-LV"/>
              </w:rPr>
              <w:t>spēkā stāšanās brīdī</w:t>
            </w:r>
            <w:r w:rsidR="006141B8" w:rsidRPr="006141B8">
              <w:rPr>
                <w:rFonts w:ascii="Times New Roman" w:eastAsia="Times New Roman" w:hAnsi="Times New Roman"/>
                <w:sz w:val="24"/>
                <w:szCs w:val="24"/>
                <w:lang w:eastAsia="lv-LV"/>
              </w:rPr>
              <w:t>.</w:t>
            </w:r>
            <w:r w:rsidR="001D5F73">
              <w:rPr>
                <w:rFonts w:ascii="Times New Roman" w:eastAsia="Times New Roman" w:hAnsi="Times New Roman"/>
                <w:sz w:val="24"/>
                <w:szCs w:val="24"/>
                <w:lang w:eastAsia="lv-LV"/>
              </w:rPr>
              <w:t xml:space="preserve"> </w:t>
            </w:r>
            <w:r w:rsidR="006C364E">
              <w:rPr>
                <w:rFonts w:ascii="Times New Roman" w:eastAsia="Times New Roman" w:hAnsi="Times New Roman"/>
                <w:sz w:val="24"/>
                <w:szCs w:val="24"/>
                <w:lang w:eastAsia="lv-LV"/>
              </w:rPr>
              <w:t xml:space="preserve">Šāds regulējums </w:t>
            </w:r>
            <w:r w:rsidR="001D5F73">
              <w:rPr>
                <w:rFonts w:ascii="Times New Roman" w:eastAsia="Times New Roman" w:hAnsi="Times New Roman"/>
                <w:sz w:val="24"/>
                <w:szCs w:val="24"/>
                <w:lang w:eastAsia="lv-LV"/>
              </w:rPr>
              <w:t>nodrošinātu</w:t>
            </w:r>
            <w:r w:rsidR="006C364E">
              <w:rPr>
                <w:rFonts w:ascii="Times New Roman" w:eastAsia="Times New Roman" w:hAnsi="Times New Roman"/>
                <w:sz w:val="24"/>
                <w:szCs w:val="24"/>
                <w:lang w:eastAsia="lv-LV"/>
              </w:rPr>
              <w:t>, ka</w:t>
            </w:r>
            <w:r w:rsidR="001D5F73">
              <w:rPr>
                <w:rFonts w:ascii="Times New Roman" w:eastAsia="Times New Roman" w:hAnsi="Times New Roman"/>
                <w:sz w:val="24"/>
                <w:szCs w:val="24"/>
                <w:lang w:eastAsia="lv-LV"/>
              </w:rPr>
              <w:t xml:space="preserve"> prasības, kuras ir iespējams piemērot projektā ietvertā tiesiskā regulējuma spēkā stāšanās brīdī, tiktu piemērotas tajās tiesās, kuru telpas atbilst prasībām. Projektā ietvertās prasības pilnā apmērā (t.sk. prasības par </w:t>
            </w:r>
            <w:r w:rsidR="001D5F73" w:rsidRPr="001D5F73">
              <w:rPr>
                <w:rFonts w:ascii="Times New Roman" w:eastAsia="Times New Roman" w:hAnsi="Times New Roman"/>
                <w:sz w:val="24"/>
                <w:szCs w:val="24"/>
                <w:lang w:eastAsia="lv-LV"/>
              </w:rPr>
              <w:t>telpu zonu savstarpējo nodalīšanu un nepārklāšanos, kā arī prasīb</w:t>
            </w:r>
            <w:r w:rsidR="001D5F73">
              <w:rPr>
                <w:rFonts w:ascii="Times New Roman" w:eastAsia="Times New Roman" w:hAnsi="Times New Roman"/>
                <w:sz w:val="24"/>
                <w:szCs w:val="24"/>
                <w:lang w:eastAsia="lv-LV"/>
              </w:rPr>
              <w:t>a</w:t>
            </w:r>
            <w:r w:rsidR="001D5F73" w:rsidRPr="001D5F73">
              <w:rPr>
                <w:rFonts w:ascii="Times New Roman" w:eastAsia="Times New Roman" w:hAnsi="Times New Roman"/>
                <w:sz w:val="24"/>
                <w:szCs w:val="24"/>
                <w:lang w:eastAsia="lv-LV"/>
              </w:rPr>
              <w:t xml:space="preserve"> par atsevišķu ieeju katrai tiesas telpu zonai</w:t>
            </w:r>
            <w:r w:rsidR="001D5F73">
              <w:rPr>
                <w:rFonts w:ascii="Times New Roman" w:eastAsia="Times New Roman" w:hAnsi="Times New Roman"/>
                <w:sz w:val="24"/>
                <w:szCs w:val="24"/>
                <w:lang w:eastAsia="lv-LV"/>
              </w:rPr>
              <w:t>) tiktu attiecinātas tikai uz tām tiesu telpām, kuru izveide vai pielāgošana tiktu uzsākta pēc projekta spēkā stāšanās brīža.</w:t>
            </w:r>
          </w:p>
        </w:tc>
      </w:tr>
      <w:tr w:rsidR="002A7B11" w:rsidRPr="00037F91" w:rsidTr="00FE6AF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lastRenderedPageBreak/>
              <w:t>3.</w:t>
            </w:r>
          </w:p>
        </w:tc>
        <w:tc>
          <w:tcPr>
            <w:tcW w:w="1241"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Projekta izstrādē iesaistītās institūcijas</w:t>
            </w:r>
          </w:p>
        </w:tc>
        <w:tc>
          <w:tcPr>
            <w:tcW w:w="3509" w:type="pct"/>
            <w:tcBorders>
              <w:top w:val="outset" w:sz="6" w:space="0" w:color="414142"/>
              <w:left w:val="outset" w:sz="6" w:space="0" w:color="414142"/>
              <w:bottom w:val="outset" w:sz="6" w:space="0" w:color="414142"/>
              <w:right w:val="outset" w:sz="6" w:space="0" w:color="414142"/>
            </w:tcBorders>
            <w:hideMark/>
          </w:tcPr>
          <w:p w:rsidR="004D15A9" w:rsidRPr="00037F91" w:rsidRDefault="00716671" w:rsidP="00C16B68">
            <w:pPr>
              <w:spacing w:after="0" w:line="240" w:lineRule="auto"/>
              <w:ind w:firstLine="720"/>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Tieslietu ministrija,</w:t>
            </w:r>
            <w:r w:rsidR="004C21BC" w:rsidRPr="00037F91">
              <w:rPr>
                <w:rFonts w:ascii="Times New Roman" w:eastAsia="Times New Roman" w:hAnsi="Times New Roman"/>
                <w:sz w:val="24"/>
                <w:szCs w:val="24"/>
                <w:lang w:eastAsia="lv-LV"/>
              </w:rPr>
              <w:t xml:space="preserve"> </w:t>
            </w:r>
            <w:r w:rsidR="00037F91">
              <w:rPr>
                <w:rFonts w:ascii="Times New Roman" w:eastAsia="Times New Roman" w:hAnsi="Times New Roman"/>
                <w:sz w:val="24"/>
                <w:szCs w:val="24"/>
                <w:lang w:eastAsia="lv-LV"/>
              </w:rPr>
              <w:t xml:space="preserve">Tiesu administrācija, </w:t>
            </w:r>
            <w:r w:rsidR="00037F91" w:rsidRPr="00037F91">
              <w:rPr>
                <w:rFonts w:ascii="Times New Roman" w:eastAsia="Times New Roman" w:hAnsi="Times New Roman"/>
                <w:sz w:val="24"/>
                <w:szCs w:val="24"/>
                <w:lang w:eastAsia="lv-LV"/>
              </w:rPr>
              <w:t>Valsts pol</w:t>
            </w:r>
            <w:r w:rsidR="00037F91">
              <w:rPr>
                <w:rFonts w:ascii="Times New Roman" w:eastAsia="Times New Roman" w:hAnsi="Times New Roman"/>
                <w:sz w:val="24"/>
                <w:szCs w:val="24"/>
                <w:lang w:eastAsia="lv-LV"/>
              </w:rPr>
              <w:t>icija</w:t>
            </w:r>
            <w:r w:rsidR="00796509">
              <w:rPr>
                <w:rFonts w:ascii="Times New Roman" w:eastAsia="Times New Roman" w:hAnsi="Times New Roman"/>
                <w:sz w:val="24"/>
                <w:szCs w:val="24"/>
                <w:lang w:eastAsia="lv-LV"/>
              </w:rPr>
              <w:t>.</w:t>
            </w:r>
          </w:p>
        </w:tc>
      </w:tr>
      <w:tr w:rsidR="002A7B11" w:rsidRPr="00037F91" w:rsidTr="00FE6AF9">
        <w:tc>
          <w:tcPr>
            <w:tcW w:w="250"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4.</w:t>
            </w:r>
          </w:p>
        </w:tc>
        <w:tc>
          <w:tcPr>
            <w:tcW w:w="1241"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Cita informācija</w:t>
            </w:r>
          </w:p>
        </w:tc>
        <w:tc>
          <w:tcPr>
            <w:tcW w:w="3509" w:type="pct"/>
            <w:tcBorders>
              <w:top w:val="outset" w:sz="6" w:space="0" w:color="414142"/>
              <w:left w:val="outset" w:sz="6" w:space="0" w:color="414142"/>
              <w:bottom w:val="outset" w:sz="6" w:space="0" w:color="414142"/>
              <w:right w:val="outset" w:sz="6" w:space="0" w:color="414142"/>
            </w:tcBorders>
            <w:hideMark/>
          </w:tcPr>
          <w:p w:rsidR="004D15A9" w:rsidRPr="00FC1156" w:rsidRDefault="00FD1ECE" w:rsidP="00C16B68">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w:t>
            </w:r>
          </w:p>
        </w:tc>
      </w:tr>
      <w:tr w:rsidR="005D4E8A" w:rsidRPr="00037F91" w:rsidTr="00D313D5">
        <w:trPr>
          <w:trHeight w:val="128"/>
        </w:trPr>
        <w:tc>
          <w:tcPr>
            <w:tcW w:w="5000" w:type="pct"/>
            <w:gridSpan w:val="3"/>
            <w:tcBorders>
              <w:top w:val="outset" w:sz="6" w:space="0" w:color="414142"/>
              <w:left w:val="nil"/>
              <w:bottom w:val="outset" w:sz="6" w:space="0" w:color="414142"/>
              <w:right w:val="nil"/>
            </w:tcBorders>
          </w:tcPr>
          <w:p w:rsidR="00031256" w:rsidRPr="00037F91" w:rsidRDefault="00031256" w:rsidP="0081203F">
            <w:pPr>
              <w:tabs>
                <w:tab w:val="left" w:pos="990"/>
              </w:tabs>
              <w:spacing w:after="0" w:line="240" w:lineRule="auto"/>
              <w:rPr>
                <w:rFonts w:ascii="Times New Roman" w:eastAsia="Times New Roman" w:hAnsi="Times New Roman"/>
                <w:sz w:val="24"/>
                <w:szCs w:val="24"/>
                <w:lang w:eastAsia="lv-LV"/>
              </w:rPr>
            </w:pPr>
          </w:p>
        </w:tc>
      </w:tr>
      <w:tr w:rsidR="002A7B11" w:rsidRPr="00037F91" w:rsidTr="00D6698B">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rsidR="004D15A9" w:rsidRPr="00037F91" w:rsidRDefault="004D15A9" w:rsidP="00DA596D">
            <w:pPr>
              <w:spacing w:after="0" w:line="240" w:lineRule="auto"/>
              <w:ind w:firstLine="300"/>
              <w:jc w:val="center"/>
              <w:rPr>
                <w:rFonts w:ascii="Times New Roman" w:eastAsia="Times New Roman" w:hAnsi="Times New Roman"/>
                <w:b/>
                <w:bCs/>
                <w:sz w:val="24"/>
                <w:szCs w:val="24"/>
                <w:lang w:eastAsia="lv-LV"/>
              </w:rPr>
            </w:pPr>
            <w:r w:rsidRPr="00037F91">
              <w:rPr>
                <w:rFonts w:ascii="Times New Roman" w:eastAsia="Times New Roman" w:hAnsi="Times New Roman"/>
                <w:b/>
                <w:bCs/>
                <w:sz w:val="24"/>
                <w:szCs w:val="24"/>
                <w:lang w:eastAsia="lv-LV"/>
              </w:rPr>
              <w:t>II.</w:t>
            </w:r>
            <w:r w:rsidR="002F0841">
              <w:rPr>
                <w:rFonts w:ascii="Times New Roman" w:eastAsia="Times New Roman" w:hAnsi="Times New Roman"/>
                <w:b/>
                <w:bCs/>
                <w:sz w:val="24"/>
                <w:szCs w:val="24"/>
                <w:lang w:eastAsia="lv-LV"/>
              </w:rPr>
              <w:t> </w:t>
            </w:r>
            <w:r w:rsidRPr="00037F91">
              <w:rPr>
                <w:rFonts w:ascii="Times New Roman" w:eastAsia="Times New Roman" w:hAnsi="Times New Roman"/>
                <w:b/>
                <w:bCs/>
                <w:sz w:val="24"/>
                <w:szCs w:val="24"/>
                <w:lang w:eastAsia="lv-LV"/>
              </w:rPr>
              <w:t>Tiesību akta projekta ietekme uz sabiedrību, tautsaimniecības attīstību un administratīvo slogu</w:t>
            </w:r>
          </w:p>
        </w:tc>
      </w:tr>
      <w:tr w:rsidR="002A7B11" w:rsidRPr="00037F91" w:rsidTr="00596CE7">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1.</w:t>
            </w:r>
          </w:p>
        </w:tc>
        <w:tc>
          <w:tcPr>
            <w:tcW w:w="1241"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 xml:space="preserve">Sabiedrības </w:t>
            </w:r>
            <w:proofErr w:type="spellStart"/>
            <w:r w:rsidRPr="00037F91">
              <w:rPr>
                <w:rFonts w:ascii="Times New Roman" w:eastAsia="Times New Roman" w:hAnsi="Times New Roman"/>
                <w:sz w:val="24"/>
                <w:szCs w:val="24"/>
                <w:lang w:eastAsia="lv-LV"/>
              </w:rPr>
              <w:t>mērķgrupas</w:t>
            </w:r>
            <w:proofErr w:type="spellEnd"/>
            <w:r w:rsidRPr="00037F91">
              <w:rPr>
                <w:rFonts w:ascii="Times New Roman" w:eastAsia="Times New Roman" w:hAnsi="Times New Roman"/>
                <w:sz w:val="24"/>
                <w:szCs w:val="24"/>
                <w:lang w:eastAsia="lv-LV"/>
              </w:rPr>
              <w:t>, kuras tiesiskais regulējums ietekmē vai varētu ietekmēt</w:t>
            </w:r>
          </w:p>
        </w:tc>
        <w:tc>
          <w:tcPr>
            <w:tcW w:w="3509" w:type="pct"/>
            <w:tcBorders>
              <w:top w:val="outset" w:sz="6" w:space="0" w:color="414142"/>
              <w:left w:val="outset" w:sz="6" w:space="0" w:color="414142"/>
              <w:bottom w:val="outset" w:sz="6" w:space="0" w:color="414142"/>
              <w:right w:val="outset" w:sz="6" w:space="0" w:color="414142"/>
            </w:tcBorders>
            <w:hideMark/>
          </w:tcPr>
          <w:p w:rsidR="004D15A9" w:rsidRPr="00FC1156" w:rsidRDefault="00FC1156" w:rsidP="00C16B68">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Projekta </w:t>
            </w:r>
            <w:proofErr w:type="spellStart"/>
            <w:r>
              <w:rPr>
                <w:rFonts w:ascii="Times New Roman" w:eastAsia="Times New Roman" w:hAnsi="Times New Roman"/>
                <w:sz w:val="24"/>
                <w:szCs w:val="24"/>
                <w:lang w:eastAsia="lv-LV"/>
              </w:rPr>
              <w:t>mērķgrupā</w:t>
            </w:r>
            <w:proofErr w:type="spellEnd"/>
            <w:r>
              <w:rPr>
                <w:rFonts w:ascii="Times New Roman" w:eastAsia="Times New Roman" w:hAnsi="Times New Roman"/>
                <w:sz w:val="24"/>
                <w:szCs w:val="24"/>
                <w:lang w:eastAsia="lv-LV"/>
              </w:rPr>
              <w:t xml:space="preserve"> ietilpst jebkura </w:t>
            </w:r>
            <w:r w:rsidR="009E1B99">
              <w:rPr>
                <w:rFonts w:ascii="Times New Roman" w:eastAsia="Times New Roman" w:hAnsi="Times New Roman"/>
                <w:sz w:val="24"/>
                <w:szCs w:val="24"/>
                <w:lang w:eastAsia="lv-LV"/>
              </w:rPr>
              <w:t xml:space="preserve">fiziska </w:t>
            </w:r>
            <w:r>
              <w:rPr>
                <w:rFonts w:ascii="Times New Roman" w:eastAsia="Times New Roman" w:hAnsi="Times New Roman"/>
                <w:sz w:val="24"/>
                <w:szCs w:val="24"/>
                <w:lang w:eastAsia="lv-LV"/>
              </w:rPr>
              <w:t>persona, kas tiek izsaukta vai uzaicināta uz tiesu</w:t>
            </w:r>
            <w:r w:rsidR="00415773">
              <w:rPr>
                <w:rFonts w:ascii="Times New Roman" w:eastAsia="Times New Roman" w:hAnsi="Times New Roman"/>
                <w:sz w:val="24"/>
                <w:szCs w:val="24"/>
                <w:lang w:eastAsia="lv-LV"/>
              </w:rPr>
              <w:t>, veic tajā amata pienākumus, vai apmeklē tiesu kā publiski pieejamu iestādi.</w:t>
            </w:r>
          </w:p>
        </w:tc>
      </w:tr>
      <w:tr w:rsidR="002A7B11" w:rsidRPr="00037F91" w:rsidTr="00596CE7">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2.</w:t>
            </w:r>
          </w:p>
        </w:tc>
        <w:tc>
          <w:tcPr>
            <w:tcW w:w="1241"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Tiesiskā regulējuma ietekme uz tautsaimniecību un administratīvo slogu</w:t>
            </w:r>
          </w:p>
        </w:tc>
        <w:tc>
          <w:tcPr>
            <w:tcW w:w="3509" w:type="pct"/>
            <w:tcBorders>
              <w:top w:val="outset" w:sz="6" w:space="0" w:color="414142"/>
              <w:left w:val="outset" w:sz="6" w:space="0" w:color="414142"/>
              <w:bottom w:val="outset" w:sz="6" w:space="0" w:color="414142"/>
              <w:right w:val="outset" w:sz="6" w:space="0" w:color="414142"/>
            </w:tcBorders>
            <w:hideMark/>
          </w:tcPr>
          <w:p w:rsidR="006D65AD" w:rsidRDefault="00C41985" w:rsidP="00C16B68">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Paredzams, ka projekta tiesiskais regulējums palielinās administratīvo slogu </w:t>
            </w:r>
            <w:r w:rsidR="006D65AD">
              <w:rPr>
                <w:rFonts w:ascii="Times New Roman" w:eastAsia="Times New Roman" w:hAnsi="Times New Roman"/>
                <w:sz w:val="24"/>
                <w:szCs w:val="24"/>
                <w:lang w:eastAsia="lv-LV"/>
              </w:rPr>
              <w:t xml:space="preserve">visai projekta </w:t>
            </w:r>
            <w:proofErr w:type="spellStart"/>
            <w:r w:rsidR="006D65AD">
              <w:rPr>
                <w:rFonts w:ascii="Times New Roman" w:eastAsia="Times New Roman" w:hAnsi="Times New Roman"/>
                <w:sz w:val="24"/>
                <w:szCs w:val="24"/>
                <w:lang w:eastAsia="lv-LV"/>
              </w:rPr>
              <w:t>mērķgrupai</w:t>
            </w:r>
            <w:proofErr w:type="spellEnd"/>
            <w:r w:rsidR="006D65AD">
              <w:rPr>
                <w:rFonts w:ascii="Times New Roman" w:eastAsia="Times New Roman" w:hAnsi="Times New Roman"/>
                <w:sz w:val="24"/>
                <w:szCs w:val="24"/>
                <w:lang w:eastAsia="lv-LV"/>
              </w:rPr>
              <w:t>.</w:t>
            </w:r>
          </w:p>
          <w:p w:rsidR="006D65AD" w:rsidRDefault="006D65AD" w:rsidP="00C16B68">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Projekts paredz: </w:t>
            </w:r>
          </w:p>
          <w:p w:rsidR="006D65AD" w:rsidRDefault="006D65AD" w:rsidP="00C16B68">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 fiziskas personas un tās mantu pārbaudi, fiziskai personai iekļūstot tiesas telpās;</w:t>
            </w:r>
          </w:p>
          <w:p w:rsidR="006D65AD" w:rsidRDefault="006D65AD" w:rsidP="006D65AD">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 fiziskas personas pienākumu apliecināt savas tiesības tikt atbrīvotai no </w:t>
            </w:r>
            <w:r w:rsidR="00497939">
              <w:rPr>
                <w:rFonts w:ascii="Times New Roman" w:eastAsia="Times New Roman" w:hAnsi="Times New Roman"/>
                <w:sz w:val="24"/>
                <w:szCs w:val="24"/>
                <w:lang w:eastAsia="lv-LV"/>
              </w:rPr>
              <w:t xml:space="preserve">projektā noteiktām </w:t>
            </w:r>
            <w:r>
              <w:rPr>
                <w:rFonts w:ascii="Times New Roman" w:eastAsia="Times New Roman" w:hAnsi="Times New Roman"/>
                <w:sz w:val="24"/>
                <w:szCs w:val="24"/>
                <w:lang w:eastAsia="lv-LV"/>
              </w:rPr>
              <w:t>pārbaudēm;</w:t>
            </w:r>
          </w:p>
          <w:p w:rsidR="006D65AD" w:rsidRDefault="006D65AD" w:rsidP="006D65AD">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 </w:t>
            </w:r>
            <w:r w:rsidRPr="006D65AD">
              <w:rPr>
                <w:rFonts w:ascii="Times New Roman" w:eastAsia="Times New Roman" w:hAnsi="Times New Roman"/>
                <w:sz w:val="24"/>
                <w:szCs w:val="24"/>
                <w:lang w:eastAsia="lv-LV"/>
              </w:rPr>
              <w:t>fiziskas personas pienākumu</w:t>
            </w:r>
            <w:r>
              <w:rPr>
                <w:rFonts w:ascii="Times New Roman" w:eastAsia="Times New Roman" w:hAnsi="Times New Roman"/>
                <w:sz w:val="24"/>
                <w:szCs w:val="24"/>
                <w:lang w:eastAsia="lv-LV"/>
              </w:rPr>
              <w:t xml:space="preserve"> pamatot nepieciešamību tiesā izmantot aizliegtos priekšmetus;</w:t>
            </w:r>
          </w:p>
          <w:p w:rsidR="003F7F08" w:rsidRPr="00037F91" w:rsidRDefault="006D65AD" w:rsidP="00C16B68">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 </w:t>
            </w:r>
            <w:r w:rsidR="00BB28F1">
              <w:rPr>
                <w:rFonts w:ascii="Times New Roman" w:eastAsia="Times New Roman" w:hAnsi="Times New Roman"/>
                <w:sz w:val="24"/>
                <w:szCs w:val="24"/>
                <w:lang w:eastAsia="lv-LV"/>
              </w:rPr>
              <w:t>izslē</w:t>
            </w:r>
            <w:r w:rsidR="00497939">
              <w:rPr>
                <w:rFonts w:ascii="Times New Roman" w:eastAsia="Times New Roman" w:hAnsi="Times New Roman"/>
                <w:sz w:val="24"/>
                <w:szCs w:val="24"/>
                <w:lang w:eastAsia="lv-LV"/>
              </w:rPr>
              <w:t>gt</w:t>
            </w:r>
            <w:r w:rsidR="00BB28F1">
              <w:rPr>
                <w:rFonts w:ascii="Times New Roman" w:eastAsia="Times New Roman" w:hAnsi="Times New Roman"/>
                <w:sz w:val="24"/>
                <w:szCs w:val="24"/>
                <w:lang w:eastAsia="lv-LV"/>
              </w:rPr>
              <w:t xml:space="preserve"> iespēju glabāt tiesā ieroci, speciālo līdzekli un aizliegto priekšmetu</w:t>
            </w:r>
            <w:r w:rsidR="00497939">
              <w:rPr>
                <w:rFonts w:ascii="Times New Roman" w:eastAsia="Times New Roman" w:hAnsi="Times New Roman"/>
                <w:sz w:val="24"/>
                <w:szCs w:val="24"/>
                <w:lang w:eastAsia="lv-LV"/>
              </w:rPr>
              <w:t>.</w:t>
            </w:r>
          </w:p>
        </w:tc>
      </w:tr>
      <w:tr w:rsidR="002A7B11" w:rsidRPr="00037F91" w:rsidTr="00026D45">
        <w:trPr>
          <w:trHeight w:val="510"/>
        </w:trPr>
        <w:tc>
          <w:tcPr>
            <w:tcW w:w="250" w:type="pct"/>
            <w:tcBorders>
              <w:top w:val="outset" w:sz="6" w:space="0" w:color="414142"/>
              <w:left w:val="outset" w:sz="6" w:space="0" w:color="414142"/>
              <w:bottom w:val="single" w:sz="4" w:space="0" w:color="auto"/>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3.</w:t>
            </w:r>
          </w:p>
        </w:tc>
        <w:tc>
          <w:tcPr>
            <w:tcW w:w="1241" w:type="pct"/>
            <w:tcBorders>
              <w:top w:val="outset" w:sz="6" w:space="0" w:color="414142"/>
              <w:left w:val="outset" w:sz="6" w:space="0" w:color="414142"/>
              <w:bottom w:val="single" w:sz="4" w:space="0" w:color="auto"/>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Administratīvo izmaksu monetārs novērtējums</w:t>
            </w:r>
          </w:p>
        </w:tc>
        <w:tc>
          <w:tcPr>
            <w:tcW w:w="3509" w:type="pct"/>
            <w:tcBorders>
              <w:top w:val="outset" w:sz="6" w:space="0" w:color="414142"/>
              <w:left w:val="outset" w:sz="6" w:space="0" w:color="414142"/>
              <w:bottom w:val="single" w:sz="4" w:space="0" w:color="auto"/>
              <w:right w:val="outset" w:sz="6" w:space="0" w:color="414142"/>
            </w:tcBorders>
            <w:hideMark/>
          </w:tcPr>
          <w:p w:rsidR="00C06EA4" w:rsidRPr="00037F91" w:rsidRDefault="00772053" w:rsidP="00C16B68">
            <w:pPr>
              <w:spacing w:after="0" w:line="240" w:lineRule="auto"/>
              <w:ind w:firstLine="720"/>
              <w:jc w:val="both"/>
              <w:rPr>
                <w:rFonts w:ascii="Times New Roman" w:eastAsia="Times New Roman" w:hAnsi="Times New Roman"/>
                <w:sz w:val="24"/>
                <w:szCs w:val="24"/>
              </w:rPr>
            </w:pPr>
            <w:r w:rsidRPr="00037F91">
              <w:rPr>
                <w:rFonts w:ascii="Times New Roman" w:eastAsia="Times New Roman" w:hAnsi="Times New Roman"/>
                <w:sz w:val="24"/>
                <w:szCs w:val="24"/>
              </w:rPr>
              <w:t>Projekts neparedz jaunas</w:t>
            </w:r>
            <w:r w:rsidR="00883616" w:rsidRPr="00037F91">
              <w:rPr>
                <w:rFonts w:ascii="Times New Roman" w:eastAsia="Times New Roman" w:hAnsi="Times New Roman"/>
                <w:sz w:val="24"/>
                <w:szCs w:val="24"/>
              </w:rPr>
              <w:t xml:space="preserve"> </w:t>
            </w:r>
            <w:r w:rsidRPr="00037F91">
              <w:rPr>
                <w:rFonts w:ascii="Times New Roman" w:eastAsia="Times New Roman" w:hAnsi="Times New Roman"/>
                <w:sz w:val="24"/>
                <w:szCs w:val="24"/>
              </w:rPr>
              <w:t>administratīvās izmaksas.</w:t>
            </w:r>
          </w:p>
        </w:tc>
      </w:tr>
      <w:tr w:rsidR="002A7B11" w:rsidRPr="00037F91" w:rsidTr="00026D45">
        <w:trPr>
          <w:trHeight w:val="106"/>
        </w:trPr>
        <w:tc>
          <w:tcPr>
            <w:tcW w:w="250" w:type="pct"/>
            <w:tcBorders>
              <w:top w:val="single" w:sz="4" w:space="0" w:color="auto"/>
              <w:left w:val="single" w:sz="4" w:space="0" w:color="auto"/>
              <w:bottom w:val="single" w:sz="4" w:space="0" w:color="auto"/>
              <w:right w:val="single" w:sz="4" w:space="0" w:color="auto"/>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4.</w:t>
            </w:r>
          </w:p>
        </w:tc>
        <w:tc>
          <w:tcPr>
            <w:tcW w:w="1241" w:type="pct"/>
            <w:tcBorders>
              <w:top w:val="single" w:sz="4" w:space="0" w:color="auto"/>
              <w:left w:val="single" w:sz="4" w:space="0" w:color="auto"/>
              <w:bottom w:val="single" w:sz="4" w:space="0" w:color="auto"/>
              <w:right w:val="single" w:sz="4" w:space="0" w:color="auto"/>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Cita informācija</w:t>
            </w:r>
          </w:p>
        </w:tc>
        <w:tc>
          <w:tcPr>
            <w:tcW w:w="3509" w:type="pct"/>
            <w:tcBorders>
              <w:top w:val="single" w:sz="4" w:space="0" w:color="auto"/>
              <w:left w:val="single" w:sz="4" w:space="0" w:color="auto"/>
              <w:bottom w:val="single" w:sz="4" w:space="0" w:color="auto"/>
              <w:right w:val="single" w:sz="4" w:space="0" w:color="auto"/>
            </w:tcBorders>
            <w:hideMark/>
          </w:tcPr>
          <w:p w:rsidR="004D15A9" w:rsidRPr="00037F91" w:rsidRDefault="0098734C" w:rsidP="00C16B68">
            <w:pPr>
              <w:spacing w:after="0" w:line="240" w:lineRule="auto"/>
              <w:ind w:firstLine="720"/>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Nav.</w:t>
            </w:r>
          </w:p>
        </w:tc>
      </w:tr>
      <w:tr w:rsidR="00026D45" w:rsidRPr="00037F91" w:rsidTr="00026D45">
        <w:trPr>
          <w:trHeight w:val="106"/>
        </w:trPr>
        <w:tc>
          <w:tcPr>
            <w:tcW w:w="250" w:type="pct"/>
            <w:tcBorders>
              <w:top w:val="single" w:sz="4" w:space="0" w:color="auto"/>
              <w:left w:val="nil"/>
              <w:bottom w:val="nil"/>
              <w:right w:val="nil"/>
            </w:tcBorders>
          </w:tcPr>
          <w:p w:rsidR="00026D45" w:rsidRPr="00037F91" w:rsidRDefault="00026D45" w:rsidP="00DA596D">
            <w:pPr>
              <w:spacing w:after="0" w:line="240" w:lineRule="auto"/>
              <w:rPr>
                <w:rFonts w:ascii="Times New Roman" w:eastAsia="Times New Roman" w:hAnsi="Times New Roman"/>
                <w:sz w:val="24"/>
                <w:szCs w:val="24"/>
                <w:lang w:eastAsia="lv-LV"/>
              </w:rPr>
            </w:pPr>
          </w:p>
        </w:tc>
        <w:tc>
          <w:tcPr>
            <w:tcW w:w="1241" w:type="pct"/>
            <w:tcBorders>
              <w:top w:val="single" w:sz="4" w:space="0" w:color="auto"/>
              <w:left w:val="nil"/>
              <w:bottom w:val="nil"/>
              <w:right w:val="nil"/>
            </w:tcBorders>
          </w:tcPr>
          <w:p w:rsidR="00026D45" w:rsidRPr="00037F91" w:rsidRDefault="00026D45" w:rsidP="00DA596D">
            <w:pPr>
              <w:spacing w:after="0" w:line="240" w:lineRule="auto"/>
              <w:rPr>
                <w:rFonts w:ascii="Times New Roman" w:eastAsia="Times New Roman" w:hAnsi="Times New Roman"/>
                <w:sz w:val="24"/>
                <w:szCs w:val="24"/>
                <w:lang w:eastAsia="lv-LV"/>
              </w:rPr>
            </w:pPr>
          </w:p>
        </w:tc>
        <w:tc>
          <w:tcPr>
            <w:tcW w:w="3509" w:type="pct"/>
            <w:tcBorders>
              <w:top w:val="single" w:sz="4" w:space="0" w:color="auto"/>
              <w:left w:val="nil"/>
              <w:bottom w:val="nil"/>
              <w:right w:val="nil"/>
            </w:tcBorders>
          </w:tcPr>
          <w:p w:rsidR="00026D45" w:rsidRPr="00037F91" w:rsidRDefault="00026D45" w:rsidP="00C16B68">
            <w:pPr>
              <w:spacing w:after="0" w:line="240" w:lineRule="auto"/>
              <w:ind w:firstLine="720"/>
              <w:rPr>
                <w:rFonts w:ascii="Times New Roman" w:eastAsia="Times New Roman" w:hAnsi="Times New Roman"/>
                <w:sz w:val="24"/>
                <w:szCs w:val="24"/>
                <w:lang w:eastAsia="lv-LV"/>
              </w:rPr>
            </w:pPr>
          </w:p>
        </w:tc>
      </w:tr>
    </w:tbl>
    <w:p w:rsidR="004D15A9" w:rsidRDefault="004D15A9" w:rsidP="00DA596D">
      <w:pPr>
        <w:spacing w:after="0" w:line="240" w:lineRule="auto"/>
        <w:rPr>
          <w:rFonts w:ascii="Times New Roman" w:eastAsia="Times New Roman" w:hAnsi="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31"/>
        <w:gridCol w:w="22"/>
        <w:gridCol w:w="2249"/>
        <w:gridCol w:w="230"/>
        <w:gridCol w:w="6123"/>
      </w:tblGrid>
      <w:tr w:rsidR="002936E7" w:rsidRPr="002936E7" w:rsidTr="00DE02CA">
        <w:trPr>
          <w:trHeight w:val="36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2936E7" w:rsidRPr="002936E7" w:rsidRDefault="002936E7" w:rsidP="002936E7">
            <w:pPr>
              <w:spacing w:before="100" w:beforeAutospacing="1" w:after="100" w:afterAutospacing="1" w:line="293" w:lineRule="atLeast"/>
              <w:jc w:val="center"/>
              <w:rPr>
                <w:rFonts w:ascii="Times New Roman" w:eastAsia="Times New Roman" w:hAnsi="Times New Roman"/>
                <w:b/>
                <w:bCs/>
                <w:color w:val="414142"/>
                <w:sz w:val="24"/>
                <w:szCs w:val="24"/>
                <w:lang w:eastAsia="lv-LV"/>
              </w:rPr>
            </w:pPr>
            <w:bookmarkStart w:id="2" w:name="_Hlk500436057"/>
            <w:r w:rsidRPr="002936E7">
              <w:rPr>
                <w:rFonts w:ascii="Times New Roman" w:eastAsia="Times New Roman" w:hAnsi="Times New Roman"/>
                <w:b/>
                <w:bCs/>
                <w:color w:val="414142"/>
                <w:sz w:val="24"/>
                <w:szCs w:val="24"/>
                <w:lang w:eastAsia="lv-LV"/>
              </w:rPr>
              <w:lastRenderedPageBreak/>
              <w:t>III.</w:t>
            </w:r>
            <w:r w:rsidR="005F15B8">
              <w:rPr>
                <w:rFonts w:ascii="Times New Roman" w:eastAsia="Times New Roman" w:hAnsi="Times New Roman"/>
                <w:b/>
                <w:bCs/>
                <w:color w:val="414142"/>
                <w:sz w:val="24"/>
                <w:szCs w:val="24"/>
                <w:lang w:eastAsia="lv-LV"/>
              </w:rPr>
              <w:t> </w:t>
            </w:r>
            <w:r w:rsidRPr="002936E7">
              <w:rPr>
                <w:rFonts w:ascii="Times New Roman" w:eastAsia="Times New Roman" w:hAnsi="Times New Roman"/>
                <w:b/>
                <w:bCs/>
                <w:color w:val="414142"/>
                <w:sz w:val="24"/>
                <w:szCs w:val="24"/>
                <w:lang w:eastAsia="lv-LV"/>
              </w:rPr>
              <w:t>Tiesību akta projekta ietekme uz valsts budžetu un pašvaldību budžetiem</w:t>
            </w:r>
          </w:p>
        </w:tc>
      </w:tr>
      <w:tr w:rsidR="00C16B68" w:rsidRPr="002936E7" w:rsidTr="00DE02CA">
        <w:trPr>
          <w:trHeight w:val="360"/>
        </w:trPr>
        <w:tc>
          <w:tcPr>
            <w:tcW w:w="5000" w:type="pct"/>
            <w:gridSpan w:val="5"/>
            <w:tcBorders>
              <w:top w:val="outset" w:sz="6" w:space="0" w:color="414142"/>
              <w:left w:val="outset" w:sz="6" w:space="0" w:color="414142"/>
              <w:bottom w:val="single" w:sz="4" w:space="0" w:color="auto"/>
              <w:right w:val="outset" w:sz="6" w:space="0" w:color="414142"/>
            </w:tcBorders>
            <w:shd w:val="clear" w:color="auto" w:fill="FFFFFF"/>
            <w:vAlign w:val="center"/>
          </w:tcPr>
          <w:p w:rsidR="00C16B68" w:rsidRPr="00C16B68" w:rsidRDefault="00C16B68" w:rsidP="002936E7">
            <w:pPr>
              <w:spacing w:before="100" w:beforeAutospacing="1" w:after="100" w:afterAutospacing="1" w:line="293" w:lineRule="atLeast"/>
              <w:jc w:val="center"/>
              <w:rPr>
                <w:rFonts w:ascii="Times New Roman" w:eastAsia="Times New Roman" w:hAnsi="Times New Roman"/>
                <w:bCs/>
                <w:color w:val="414142"/>
                <w:sz w:val="24"/>
                <w:szCs w:val="24"/>
                <w:lang w:eastAsia="lv-LV"/>
              </w:rPr>
            </w:pPr>
            <w:r w:rsidRPr="00C16B68">
              <w:rPr>
                <w:rFonts w:ascii="Times New Roman" w:eastAsia="Times New Roman" w:hAnsi="Times New Roman"/>
                <w:bCs/>
                <w:color w:val="414142"/>
                <w:sz w:val="24"/>
                <w:szCs w:val="24"/>
                <w:lang w:eastAsia="lv-LV"/>
              </w:rPr>
              <w:t>Projekts šo jomu neskar</w:t>
            </w:r>
          </w:p>
        </w:tc>
      </w:tr>
      <w:bookmarkEnd w:id="2"/>
      <w:tr w:rsidR="00C16B68" w:rsidRPr="002936E7" w:rsidTr="00C16B68">
        <w:trPr>
          <w:trHeight w:val="357"/>
        </w:trPr>
        <w:tc>
          <w:tcPr>
            <w:tcW w:w="5000" w:type="pct"/>
            <w:gridSpan w:val="5"/>
            <w:tcBorders>
              <w:top w:val="single" w:sz="4" w:space="0" w:color="auto"/>
              <w:left w:val="nil"/>
              <w:bottom w:val="nil"/>
              <w:right w:val="nil"/>
            </w:tcBorders>
            <w:shd w:val="clear" w:color="auto" w:fill="FFFFFF"/>
          </w:tcPr>
          <w:p w:rsidR="00C16B68" w:rsidRPr="002936E7" w:rsidRDefault="00C16B68" w:rsidP="002936E7">
            <w:pPr>
              <w:spacing w:before="100" w:beforeAutospacing="1" w:after="100" w:afterAutospacing="1" w:line="293" w:lineRule="atLeast"/>
              <w:rPr>
                <w:rFonts w:ascii="Times New Roman" w:eastAsia="Times New Roman" w:hAnsi="Times New Roman"/>
                <w:color w:val="414142"/>
                <w:sz w:val="24"/>
                <w:szCs w:val="24"/>
                <w:lang w:eastAsia="lv-LV"/>
              </w:rPr>
            </w:pPr>
          </w:p>
        </w:tc>
      </w:tr>
      <w:tr w:rsidR="00C16B68" w:rsidRPr="002936E7" w:rsidTr="00DE02CA">
        <w:tblPrEx>
          <w:shd w:val="clear" w:color="auto" w:fill="auto"/>
        </w:tblPrEx>
        <w:trPr>
          <w:trHeight w:val="420"/>
        </w:trPr>
        <w:tc>
          <w:tcPr>
            <w:tcW w:w="5000" w:type="pct"/>
            <w:gridSpan w:val="5"/>
            <w:tcBorders>
              <w:top w:val="outset" w:sz="6" w:space="0" w:color="414142"/>
              <w:left w:val="outset" w:sz="6" w:space="0" w:color="414142"/>
              <w:bottom w:val="single" w:sz="4" w:space="0" w:color="auto"/>
              <w:right w:val="outset" w:sz="6" w:space="0" w:color="414142"/>
            </w:tcBorders>
            <w:shd w:val="clear" w:color="auto" w:fill="FFFFFF"/>
            <w:vAlign w:val="center"/>
            <w:hideMark/>
          </w:tcPr>
          <w:p w:rsidR="00C16B68" w:rsidRPr="00C16B68" w:rsidRDefault="00C16B68" w:rsidP="00C16B68">
            <w:pPr>
              <w:spacing w:after="0" w:line="240" w:lineRule="auto"/>
              <w:ind w:firstLine="300"/>
              <w:jc w:val="center"/>
              <w:rPr>
                <w:rFonts w:ascii="Times New Roman" w:eastAsia="Times New Roman" w:hAnsi="Times New Roman"/>
                <w:b/>
                <w:bCs/>
                <w:sz w:val="24"/>
                <w:szCs w:val="24"/>
                <w:lang w:eastAsia="lv-LV"/>
              </w:rPr>
            </w:pPr>
            <w:r w:rsidRPr="00C16B68">
              <w:rPr>
                <w:rFonts w:ascii="Times New Roman" w:eastAsia="Times New Roman" w:hAnsi="Times New Roman"/>
                <w:b/>
                <w:bCs/>
                <w:sz w:val="24"/>
                <w:szCs w:val="24"/>
                <w:lang w:eastAsia="lv-LV"/>
              </w:rPr>
              <w:t>IV.</w:t>
            </w:r>
            <w:r w:rsidR="005F15B8">
              <w:rPr>
                <w:rFonts w:ascii="Times New Roman" w:eastAsia="Times New Roman" w:hAnsi="Times New Roman"/>
                <w:b/>
                <w:bCs/>
                <w:sz w:val="24"/>
                <w:szCs w:val="24"/>
                <w:lang w:eastAsia="lv-LV"/>
              </w:rPr>
              <w:t> </w:t>
            </w:r>
            <w:r w:rsidRPr="00C16B68">
              <w:rPr>
                <w:rFonts w:ascii="Times New Roman" w:eastAsia="Times New Roman" w:hAnsi="Times New Roman"/>
                <w:b/>
                <w:bCs/>
                <w:sz w:val="24"/>
                <w:szCs w:val="24"/>
                <w:lang w:eastAsia="lv-LV"/>
              </w:rPr>
              <w:t xml:space="preserve">Tiesību akta projekta ietekme uz spēkā esošo tiesību normu sistēmu </w:t>
            </w:r>
          </w:p>
        </w:tc>
      </w:tr>
      <w:tr w:rsidR="00C16B68" w:rsidRPr="00C16B68" w:rsidTr="00DE02CA">
        <w:tblPrEx>
          <w:shd w:val="clear" w:color="auto" w:fill="auto"/>
        </w:tblPrEx>
        <w:trPr>
          <w:trHeight w:val="4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16B68" w:rsidRPr="00C16B68" w:rsidRDefault="00C16B68" w:rsidP="00C16B68">
            <w:pPr>
              <w:spacing w:after="0" w:line="240" w:lineRule="auto"/>
              <w:ind w:firstLine="300"/>
              <w:jc w:val="center"/>
              <w:rPr>
                <w:rFonts w:ascii="Times New Roman" w:eastAsia="Times New Roman" w:hAnsi="Times New Roman"/>
                <w:bCs/>
                <w:sz w:val="24"/>
                <w:szCs w:val="24"/>
                <w:lang w:eastAsia="lv-LV"/>
              </w:rPr>
            </w:pPr>
            <w:r w:rsidRPr="00C16B68">
              <w:rPr>
                <w:rFonts w:ascii="Times New Roman" w:eastAsia="Times New Roman" w:hAnsi="Times New Roman"/>
                <w:bCs/>
                <w:sz w:val="24"/>
                <w:szCs w:val="24"/>
                <w:lang w:eastAsia="lv-LV"/>
              </w:rPr>
              <w:t>Projekts šo jomu neskar</w:t>
            </w:r>
          </w:p>
        </w:tc>
      </w:tr>
      <w:tr w:rsidR="00AD52A9" w:rsidRPr="00C16B68" w:rsidTr="00DE02CA">
        <w:tblPrEx>
          <w:shd w:val="clear" w:color="auto" w:fill="auto"/>
        </w:tblPrEx>
        <w:trPr>
          <w:trHeight w:val="504"/>
        </w:trPr>
        <w:tc>
          <w:tcPr>
            <w:tcW w:w="5000" w:type="pct"/>
            <w:gridSpan w:val="5"/>
            <w:tcBorders>
              <w:top w:val="single" w:sz="4" w:space="0" w:color="auto"/>
              <w:left w:val="nil"/>
              <w:bottom w:val="single" w:sz="4" w:space="0" w:color="auto"/>
              <w:right w:val="nil"/>
            </w:tcBorders>
            <w:shd w:val="clear" w:color="auto" w:fill="FFFFFF"/>
            <w:vAlign w:val="center"/>
          </w:tcPr>
          <w:p w:rsidR="00AD52A9" w:rsidRPr="00C16B68" w:rsidRDefault="00AD52A9" w:rsidP="00C16B68">
            <w:pPr>
              <w:spacing w:after="0" w:line="240" w:lineRule="auto"/>
              <w:ind w:firstLine="300"/>
              <w:jc w:val="center"/>
              <w:rPr>
                <w:rFonts w:ascii="Times New Roman" w:eastAsia="Times New Roman" w:hAnsi="Times New Roman"/>
                <w:bCs/>
                <w:sz w:val="24"/>
                <w:szCs w:val="24"/>
                <w:lang w:eastAsia="lv-LV"/>
              </w:rPr>
            </w:pPr>
          </w:p>
        </w:tc>
      </w:tr>
      <w:tr w:rsidR="00C16B68" w:rsidRPr="002936E7" w:rsidTr="00DE02CA">
        <w:tblPrEx>
          <w:shd w:val="clear" w:color="auto" w:fill="auto"/>
        </w:tblPrEx>
        <w:trPr>
          <w:trHeight w:val="4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16B68" w:rsidRPr="00C16B68" w:rsidRDefault="00C16B68" w:rsidP="00C16B68">
            <w:pPr>
              <w:spacing w:after="0" w:line="240" w:lineRule="auto"/>
              <w:ind w:firstLine="300"/>
              <w:jc w:val="center"/>
              <w:rPr>
                <w:rFonts w:ascii="Times New Roman" w:eastAsia="Times New Roman" w:hAnsi="Times New Roman"/>
                <w:b/>
                <w:bCs/>
                <w:sz w:val="24"/>
                <w:szCs w:val="24"/>
                <w:lang w:eastAsia="lv-LV"/>
              </w:rPr>
            </w:pPr>
            <w:r w:rsidRPr="00C16B68">
              <w:rPr>
                <w:rFonts w:ascii="Times New Roman" w:eastAsia="Times New Roman" w:hAnsi="Times New Roman"/>
                <w:b/>
                <w:bCs/>
                <w:sz w:val="24"/>
                <w:szCs w:val="24"/>
                <w:lang w:eastAsia="lv-LV"/>
              </w:rPr>
              <w:t>V.</w:t>
            </w:r>
            <w:r w:rsidR="005F15B8">
              <w:rPr>
                <w:rFonts w:ascii="Times New Roman" w:eastAsia="Times New Roman" w:hAnsi="Times New Roman"/>
                <w:b/>
                <w:bCs/>
                <w:sz w:val="24"/>
                <w:szCs w:val="24"/>
                <w:lang w:eastAsia="lv-LV"/>
              </w:rPr>
              <w:t> </w:t>
            </w:r>
            <w:r w:rsidRPr="00C16B68">
              <w:rPr>
                <w:rFonts w:ascii="Times New Roman" w:eastAsia="Times New Roman" w:hAnsi="Times New Roman"/>
                <w:b/>
                <w:bCs/>
                <w:sz w:val="24"/>
                <w:szCs w:val="24"/>
                <w:lang w:eastAsia="lv-LV"/>
              </w:rPr>
              <w:t xml:space="preserve">Tiesību akta projekta atbilstība Latvijas </w:t>
            </w:r>
            <w:r w:rsidRPr="0038038D">
              <w:rPr>
                <w:rFonts w:ascii="Times New Roman" w:eastAsia="Times New Roman" w:hAnsi="Times New Roman"/>
                <w:b/>
                <w:bCs/>
                <w:sz w:val="24"/>
                <w:szCs w:val="24"/>
                <w:lang w:eastAsia="lv-LV"/>
              </w:rPr>
              <w:t>Republikas starptautiskajām saistībām</w:t>
            </w:r>
          </w:p>
        </w:tc>
      </w:tr>
      <w:tr w:rsidR="00DE02CA" w:rsidTr="00DE02CA">
        <w:tc>
          <w:tcPr>
            <w:tcW w:w="238" w:type="pct"/>
            <w:tcBorders>
              <w:top w:val="outset" w:sz="6" w:space="0" w:color="414142"/>
              <w:left w:val="outset" w:sz="6" w:space="0" w:color="414142"/>
              <w:bottom w:val="outset" w:sz="6" w:space="0" w:color="414142"/>
              <w:right w:val="outset" w:sz="6" w:space="0" w:color="414142"/>
            </w:tcBorders>
            <w:shd w:val="clear" w:color="auto" w:fill="FFFFFF"/>
            <w:hideMark/>
          </w:tcPr>
          <w:p w:rsidR="00DE02CA" w:rsidRPr="00026D45" w:rsidRDefault="00DE02CA">
            <w:pPr>
              <w:spacing w:after="0" w:line="240" w:lineRule="auto"/>
              <w:rPr>
                <w:rFonts w:ascii="Times New Roman" w:hAnsi="Times New Roman"/>
                <w:sz w:val="24"/>
                <w:szCs w:val="24"/>
                <w:lang w:eastAsia="lv-LV"/>
              </w:rPr>
            </w:pPr>
            <w:r w:rsidRPr="00026D45">
              <w:rPr>
                <w:rFonts w:ascii="Times New Roman" w:hAnsi="Times New Roman"/>
                <w:sz w:val="24"/>
                <w:szCs w:val="24"/>
              </w:rPr>
              <w:t>1.</w:t>
            </w:r>
          </w:p>
        </w:tc>
        <w:tc>
          <w:tcPr>
            <w:tcW w:w="1381"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DE02CA" w:rsidRPr="00026D45" w:rsidRDefault="00DE02CA">
            <w:pPr>
              <w:rPr>
                <w:rFonts w:ascii="Times New Roman" w:hAnsi="Times New Roman"/>
                <w:sz w:val="24"/>
                <w:szCs w:val="24"/>
              </w:rPr>
            </w:pPr>
            <w:r w:rsidRPr="00026D45">
              <w:rPr>
                <w:rFonts w:ascii="Times New Roman" w:hAnsi="Times New Roman"/>
                <w:sz w:val="24"/>
                <w:szCs w:val="24"/>
              </w:rPr>
              <w:t>Saistības pret Eiropas Savienību</w:t>
            </w:r>
          </w:p>
        </w:tc>
        <w:tc>
          <w:tcPr>
            <w:tcW w:w="3381" w:type="pct"/>
            <w:tcBorders>
              <w:top w:val="outset" w:sz="6" w:space="0" w:color="414142"/>
              <w:left w:val="outset" w:sz="6" w:space="0" w:color="414142"/>
              <w:bottom w:val="outset" w:sz="6" w:space="0" w:color="414142"/>
              <w:right w:val="outset" w:sz="6" w:space="0" w:color="414142"/>
            </w:tcBorders>
            <w:shd w:val="clear" w:color="auto" w:fill="FFFFFF"/>
            <w:hideMark/>
          </w:tcPr>
          <w:p w:rsidR="00DE02CA" w:rsidRPr="00026D45" w:rsidRDefault="00F76020" w:rsidP="00F76020">
            <w:pPr>
              <w:ind w:firstLine="717"/>
              <w:rPr>
                <w:rFonts w:ascii="Times New Roman" w:hAnsi="Times New Roman"/>
                <w:sz w:val="24"/>
                <w:szCs w:val="24"/>
              </w:rPr>
            </w:pPr>
            <w:r w:rsidRPr="00026D45">
              <w:rPr>
                <w:rFonts w:ascii="Times New Roman" w:hAnsi="Times New Roman"/>
                <w:sz w:val="24"/>
                <w:szCs w:val="24"/>
              </w:rPr>
              <w:t>Nav.</w:t>
            </w:r>
          </w:p>
        </w:tc>
      </w:tr>
      <w:tr w:rsidR="00DE02CA" w:rsidTr="00DE02CA">
        <w:tc>
          <w:tcPr>
            <w:tcW w:w="238" w:type="pct"/>
            <w:tcBorders>
              <w:top w:val="outset" w:sz="6" w:space="0" w:color="414142"/>
              <w:left w:val="outset" w:sz="6" w:space="0" w:color="414142"/>
              <w:bottom w:val="outset" w:sz="6" w:space="0" w:color="414142"/>
              <w:right w:val="outset" w:sz="6" w:space="0" w:color="414142"/>
            </w:tcBorders>
            <w:shd w:val="clear" w:color="auto" w:fill="FFFFFF"/>
            <w:hideMark/>
          </w:tcPr>
          <w:p w:rsidR="00DE02CA" w:rsidRPr="00026D45" w:rsidRDefault="00DE02CA">
            <w:pPr>
              <w:rPr>
                <w:rFonts w:ascii="Times New Roman" w:hAnsi="Times New Roman"/>
                <w:sz w:val="24"/>
                <w:szCs w:val="24"/>
              </w:rPr>
            </w:pPr>
            <w:r w:rsidRPr="00026D45">
              <w:rPr>
                <w:rFonts w:ascii="Times New Roman" w:hAnsi="Times New Roman"/>
                <w:sz w:val="24"/>
                <w:szCs w:val="24"/>
              </w:rPr>
              <w:t>2.</w:t>
            </w:r>
          </w:p>
        </w:tc>
        <w:tc>
          <w:tcPr>
            <w:tcW w:w="1381"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DE02CA" w:rsidRPr="00026D45" w:rsidRDefault="00DE02CA">
            <w:pPr>
              <w:rPr>
                <w:rFonts w:ascii="Times New Roman" w:hAnsi="Times New Roman"/>
                <w:sz w:val="24"/>
                <w:szCs w:val="24"/>
              </w:rPr>
            </w:pPr>
            <w:r w:rsidRPr="00026D45">
              <w:rPr>
                <w:rFonts w:ascii="Times New Roman" w:hAnsi="Times New Roman"/>
                <w:sz w:val="24"/>
                <w:szCs w:val="24"/>
              </w:rPr>
              <w:t>Citas starptautiskās saistības</w:t>
            </w:r>
          </w:p>
        </w:tc>
        <w:tc>
          <w:tcPr>
            <w:tcW w:w="3381" w:type="pct"/>
            <w:tcBorders>
              <w:top w:val="outset" w:sz="6" w:space="0" w:color="414142"/>
              <w:left w:val="outset" w:sz="6" w:space="0" w:color="414142"/>
              <w:bottom w:val="outset" w:sz="6" w:space="0" w:color="414142"/>
              <w:right w:val="outset" w:sz="6" w:space="0" w:color="414142"/>
            </w:tcBorders>
            <w:shd w:val="clear" w:color="auto" w:fill="FFFFFF"/>
            <w:hideMark/>
          </w:tcPr>
          <w:p w:rsidR="00DE02CA" w:rsidRPr="00026D45" w:rsidRDefault="00F76020" w:rsidP="00F76020">
            <w:pPr>
              <w:ind w:firstLine="720"/>
              <w:rPr>
                <w:rFonts w:ascii="Times New Roman" w:hAnsi="Times New Roman"/>
                <w:sz w:val="24"/>
                <w:szCs w:val="24"/>
              </w:rPr>
            </w:pPr>
            <w:r w:rsidRPr="00026D45">
              <w:rPr>
                <w:rFonts w:ascii="Times New Roman" w:hAnsi="Times New Roman"/>
                <w:sz w:val="24"/>
                <w:szCs w:val="24"/>
              </w:rPr>
              <w:t>Apvienoto Nāciju organizācijas 1961. gada 18. aprīļa Vīnes konvencija par diplomātiskajiem sakariem.</w:t>
            </w:r>
          </w:p>
        </w:tc>
      </w:tr>
      <w:tr w:rsidR="00DE02CA" w:rsidTr="00DE02CA">
        <w:tc>
          <w:tcPr>
            <w:tcW w:w="238" w:type="pct"/>
            <w:tcBorders>
              <w:top w:val="outset" w:sz="6" w:space="0" w:color="414142"/>
              <w:left w:val="outset" w:sz="6" w:space="0" w:color="414142"/>
              <w:bottom w:val="outset" w:sz="6" w:space="0" w:color="414142"/>
              <w:right w:val="outset" w:sz="6" w:space="0" w:color="414142"/>
            </w:tcBorders>
            <w:shd w:val="clear" w:color="auto" w:fill="FFFFFF"/>
            <w:hideMark/>
          </w:tcPr>
          <w:p w:rsidR="00DE02CA" w:rsidRPr="00026D45" w:rsidRDefault="00DE02CA">
            <w:pPr>
              <w:rPr>
                <w:rFonts w:ascii="Times New Roman" w:hAnsi="Times New Roman"/>
                <w:sz w:val="24"/>
                <w:szCs w:val="24"/>
              </w:rPr>
            </w:pPr>
            <w:r w:rsidRPr="00026D45">
              <w:rPr>
                <w:rFonts w:ascii="Times New Roman" w:hAnsi="Times New Roman"/>
                <w:sz w:val="24"/>
                <w:szCs w:val="24"/>
              </w:rPr>
              <w:t>3.</w:t>
            </w:r>
          </w:p>
        </w:tc>
        <w:tc>
          <w:tcPr>
            <w:tcW w:w="1381"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DE02CA" w:rsidRPr="00026D45" w:rsidRDefault="00DE02CA">
            <w:pPr>
              <w:rPr>
                <w:rFonts w:ascii="Times New Roman" w:hAnsi="Times New Roman"/>
                <w:sz w:val="24"/>
                <w:szCs w:val="24"/>
              </w:rPr>
            </w:pPr>
            <w:r w:rsidRPr="00026D45">
              <w:rPr>
                <w:rFonts w:ascii="Times New Roman" w:hAnsi="Times New Roman"/>
                <w:sz w:val="24"/>
                <w:szCs w:val="24"/>
              </w:rPr>
              <w:t>Cita informācija</w:t>
            </w:r>
          </w:p>
        </w:tc>
        <w:tc>
          <w:tcPr>
            <w:tcW w:w="3381" w:type="pct"/>
            <w:tcBorders>
              <w:top w:val="outset" w:sz="6" w:space="0" w:color="414142"/>
              <w:left w:val="outset" w:sz="6" w:space="0" w:color="414142"/>
              <w:bottom w:val="outset" w:sz="6" w:space="0" w:color="414142"/>
              <w:right w:val="outset" w:sz="6" w:space="0" w:color="414142"/>
            </w:tcBorders>
            <w:shd w:val="clear" w:color="auto" w:fill="FFFFFF"/>
            <w:hideMark/>
          </w:tcPr>
          <w:p w:rsidR="00DE02CA" w:rsidRPr="00026D45" w:rsidRDefault="00DE02CA" w:rsidP="00C42D64">
            <w:pPr>
              <w:pStyle w:val="tvhtml"/>
              <w:spacing w:line="293" w:lineRule="atLeast"/>
              <w:ind w:firstLine="720"/>
            </w:pPr>
            <w:r w:rsidRPr="00026D45">
              <w:t>Nav</w:t>
            </w:r>
            <w:r w:rsidR="00C42D64" w:rsidRPr="00026D45">
              <w:t>.</w:t>
            </w:r>
          </w:p>
        </w:tc>
      </w:tr>
      <w:tr w:rsidR="00C16B68" w:rsidRPr="00C16B68" w:rsidTr="00DE02CA">
        <w:tblPrEx>
          <w:shd w:val="clear" w:color="auto" w:fill="auto"/>
        </w:tblPrEx>
        <w:trPr>
          <w:trHeight w:val="420"/>
        </w:trPr>
        <w:tc>
          <w:tcPr>
            <w:tcW w:w="5000" w:type="pct"/>
            <w:gridSpan w:val="5"/>
            <w:tcBorders>
              <w:top w:val="single" w:sz="4" w:space="0" w:color="auto"/>
              <w:left w:val="nil"/>
              <w:bottom w:val="single" w:sz="4" w:space="0" w:color="auto"/>
              <w:right w:val="nil"/>
            </w:tcBorders>
            <w:shd w:val="clear" w:color="auto" w:fill="FFFFFF"/>
            <w:vAlign w:val="center"/>
          </w:tcPr>
          <w:p w:rsidR="00C16B68" w:rsidRPr="00C16B68" w:rsidRDefault="00C16B68" w:rsidP="00C16B68">
            <w:pPr>
              <w:spacing w:after="0" w:line="240" w:lineRule="auto"/>
              <w:ind w:firstLine="300"/>
              <w:jc w:val="center"/>
              <w:rPr>
                <w:rFonts w:ascii="Times New Roman" w:eastAsia="Times New Roman" w:hAnsi="Times New Roman"/>
                <w:bCs/>
                <w:sz w:val="24"/>
                <w:szCs w:val="24"/>
                <w:lang w:eastAsia="lv-LV"/>
              </w:rPr>
            </w:pPr>
          </w:p>
        </w:tc>
      </w:tr>
      <w:tr w:rsidR="002A7B11" w:rsidRPr="00037F91" w:rsidTr="00DE02CA">
        <w:tblPrEx>
          <w:shd w:val="clear" w:color="auto" w:fill="auto"/>
        </w:tblPrEx>
        <w:trPr>
          <w:trHeight w:val="420"/>
        </w:trPr>
        <w:tc>
          <w:tcPr>
            <w:tcW w:w="5000" w:type="pct"/>
            <w:gridSpan w:val="5"/>
            <w:tcBorders>
              <w:top w:val="single" w:sz="4" w:space="0" w:color="auto"/>
              <w:left w:val="outset" w:sz="6" w:space="0" w:color="414142"/>
              <w:bottom w:val="outset" w:sz="6" w:space="0" w:color="414142"/>
              <w:right w:val="outset" w:sz="6" w:space="0" w:color="414142"/>
            </w:tcBorders>
            <w:vAlign w:val="center"/>
            <w:hideMark/>
          </w:tcPr>
          <w:p w:rsidR="004D15A9" w:rsidRPr="00415773" w:rsidRDefault="004D15A9" w:rsidP="00DA596D">
            <w:pPr>
              <w:spacing w:after="0" w:line="240" w:lineRule="auto"/>
              <w:ind w:firstLine="300"/>
              <w:jc w:val="center"/>
              <w:rPr>
                <w:rFonts w:ascii="Times New Roman" w:eastAsia="Times New Roman" w:hAnsi="Times New Roman"/>
                <w:b/>
                <w:bCs/>
                <w:sz w:val="24"/>
                <w:szCs w:val="24"/>
                <w:lang w:eastAsia="lv-LV"/>
              </w:rPr>
            </w:pPr>
            <w:r w:rsidRPr="00037F91">
              <w:rPr>
                <w:rFonts w:ascii="Times New Roman" w:eastAsia="Times New Roman" w:hAnsi="Times New Roman"/>
                <w:b/>
                <w:bCs/>
                <w:sz w:val="24"/>
                <w:szCs w:val="24"/>
                <w:lang w:eastAsia="lv-LV"/>
              </w:rPr>
              <w:t>VI.</w:t>
            </w:r>
            <w:r w:rsidR="00D851A7">
              <w:rPr>
                <w:rFonts w:ascii="Times New Roman" w:eastAsia="Times New Roman" w:hAnsi="Times New Roman"/>
                <w:b/>
                <w:bCs/>
                <w:sz w:val="24"/>
                <w:szCs w:val="24"/>
                <w:lang w:eastAsia="lv-LV"/>
              </w:rPr>
              <w:t> </w:t>
            </w:r>
            <w:r w:rsidRPr="00037F91">
              <w:rPr>
                <w:rFonts w:ascii="Times New Roman" w:eastAsia="Times New Roman" w:hAnsi="Times New Roman"/>
                <w:b/>
                <w:bCs/>
                <w:sz w:val="24"/>
                <w:szCs w:val="24"/>
                <w:lang w:eastAsia="lv-LV"/>
              </w:rPr>
              <w:t xml:space="preserve">Sabiedrības </w:t>
            </w:r>
            <w:r w:rsidRPr="00415773">
              <w:rPr>
                <w:rFonts w:ascii="Times New Roman" w:eastAsia="Times New Roman" w:hAnsi="Times New Roman"/>
                <w:b/>
                <w:bCs/>
                <w:sz w:val="24"/>
                <w:szCs w:val="24"/>
                <w:lang w:eastAsia="lv-LV"/>
              </w:rPr>
              <w:t>līdzdalība un komunikācijas aktivitātes</w:t>
            </w:r>
          </w:p>
        </w:tc>
      </w:tr>
      <w:tr w:rsidR="002A7B11" w:rsidRPr="00037F91" w:rsidTr="00C06EA4">
        <w:tblPrEx>
          <w:shd w:val="clear" w:color="auto" w:fill="auto"/>
        </w:tblPrEx>
        <w:trPr>
          <w:trHeight w:val="540"/>
        </w:trPr>
        <w:tc>
          <w:tcPr>
            <w:tcW w:w="250" w:type="pct"/>
            <w:gridSpan w:val="2"/>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1.</w:t>
            </w:r>
          </w:p>
        </w:tc>
        <w:tc>
          <w:tcPr>
            <w:tcW w:w="1242"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Plānotās sabiedrības līdzdalības un komunikācijas aktivitātes saistībā ar projektu</w:t>
            </w:r>
          </w:p>
        </w:tc>
        <w:tc>
          <w:tcPr>
            <w:tcW w:w="3508" w:type="pct"/>
            <w:gridSpan w:val="2"/>
            <w:tcBorders>
              <w:top w:val="outset" w:sz="6" w:space="0" w:color="414142"/>
              <w:left w:val="outset" w:sz="6" w:space="0" w:color="414142"/>
              <w:bottom w:val="outset" w:sz="6" w:space="0" w:color="414142"/>
              <w:right w:val="outset" w:sz="6" w:space="0" w:color="414142"/>
            </w:tcBorders>
            <w:hideMark/>
          </w:tcPr>
          <w:p w:rsidR="004D15A9" w:rsidRPr="00037F91" w:rsidRDefault="00647768" w:rsidP="00516411">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647768">
              <w:rPr>
                <w:rFonts w:ascii="Times New Roman" w:eastAsia="Times New Roman" w:hAnsi="Times New Roman"/>
                <w:sz w:val="24"/>
                <w:szCs w:val="24"/>
                <w:lang w:eastAsia="lv-LV"/>
              </w:rPr>
              <w:t>abiedrības informēšanas pasākum</w:t>
            </w:r>
            <w:r w:rsidR="001828F3">
              <w:rPr>
                <w:rFonts w:ascii="Times New Roman" w:eastAsia="Times New Roman" w:hAnsi="Times New Roman"/>
                <w:sz w:val="24"/>
                <w:szCs w:val="24"/>
                <w:lang w:eastAsia="lv-LV"/>
              </w:rPr>
              <w:t xml:space="preserve">us plānots organizēt </w:t>
            </w:r>
            <w:r w:rsidR="00B56761" w:rsidRPr="00B56761">
              <w:rPr>
                <w:rFonts w:ascii="Times New Roman" w:eastAsia="Times New Roman" w:hAnsi="Times New Roman"/>
                <w:sz w:val="24"/>
                <w:szCs w:val="24"/>
                <w:lang w:eastAsia="lv-LV"/>
              </w:rPr>
              <w:t xml:space="preserve">pirms lēmuma pieņemšanas </w:t>
            </w:r>
            <w:r w:rsidR="00B56761">
              <w:rPr>
                <w:rFonts w:ascii="Times New Roman" w:eastAsia="Times New Roman" w:hAnsi="Times New Roman"/>
                <w:sz w:val="24"/>
                <w:szCs w:val="24"/>
                <w:lang w:eastAsia="lv-LV"/>
              </w:rPr>
              <w:t xml:space="preserve">un </w:t>
            </w:r>
            <w:r w:rsidR="00B56761" w:rsidRPr="00B56761">
              <w:rPr>
                <w:rFonts w:ascii="Times New Roman" w:eastAsia="Times New Roman" w:hAnsi="Times New Roman"/>
                <w:sz w:val="24"/>
                <w:szCs w:val="24"/>
                <w:lang w:eastAsia="lv-LV"/>
              </w:rPr>
              <w:t>lēmuma pieņemšanas procesā lēmējinstitūcijas noteiktajā kārtībā</w:t>
            </w:r>
            <w:r w:rsidR="00B56761">
              <w:rPr>
                <w:rFonts w:ascii="Times New Roman" w:eastAsia="Times New Roman" w:hAnsi="Times New Roman"/>
                <w:sz w:val="24"/>
                <w:szCs w:val="24"/>
                <w:lang w:eastAsia="lv-LV"/>
              </w:rPr>
              <w:t>.</w:t>
            </w:r>
          </w:p>
        </w:tc>
      </w:tr>
      <w:tr w:rsidR="002A7B11" w:rsidRPr="00037F91" w:rsidTr="00C06EA4">
        <w:tblPrEx>
          <w:shd w:val="clear" w:color="auto" w:fill="auto"/>
        </w:tblPrEx>
        <w:trPr>
          <w:trHeight w:val="330"/>
        </w:trPr>
        <w:tc>
          <w:tcPr>
            <w:tcW w:w="250" w:type="pct"/>
            <w:gridSpan w:val="2"/>
            <w:tcBorders>
              <w:top w:val="outset" w:sz="6" w:space="0" w:color="414142"/>
              <w:left w:val="outset" w:sz="6" w:space="0" w:color="414142"/>
              <w:bottom w:val="outset" w:sz="6" w:space="0" w:color="414142"/>
              <w:right w:val="outset" w:sz="6" w:space="0" w:color="414142"/>
            </w:tcBorders>
            <w:hideMark/>
          </w:tcPr>
          <w:p w:rsidR="004D15A9" w:rsidRPr="00037F91" w:rsidRDefault="00DD1A91"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2.</w:t>
            </w:r>
          </w:p>
        </w:tc>
        <w:tc>
          <w:tcPr>
            <w:tcW w:w="1242"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Sabiedrības līdzdalība projekta izstrādē</w:t>
            </w:r>
          </w:p>
        </w:tc>
        <w:tc>
          <w:tcPr>
            <w:tcW w:w="3508" w:type="pct"/>
            <w:gridSpan w:val="2"/>
            <w:tcBorders>
              <w:top w:val="outset" w:sz="6" w:space="0" w:color="414142"/>
              <w:left w:val="outset" w:sz="6" w:space="0" w:color="414142"/>
              <w:bottom w:val="outset" w:sz="6" w:space="0" w:color="414142"/>
              <w:right w:val="outset" w:sz="6" w:space="0" w:color="414142"/>
            </w:tcBorders>
            <w:hideMark/>
          </w:tcPr>
          <w:p w:rsidR="004D15A9" w:rsidRPr="00415773" w:rsidRDefault="003740F9" w:rsidP="00516411">
            <w:pPr>
              <w:spacing w:after="0" w:line="240" w:lineRule="auto"/>
              <w:ind w:firstLine="720"/>
              <w:jc w:val="both"/>
              <w:rPr>
                <w:rFonts w:ascii="Times New Roman" w:eastAsia="Times New Roman" w:hAnsi="Times New Roman"/>
                <w:sz w:val="24"/>
                <w:szCs w:val="24"/>
                <w:lang w:eastAsia="lv-LV"/>
              </w:rPr>
            </w:pPr>
            <w:r w:rsidRPr="003740F9">
              <w:rPr>
                <w:rFonts w:ascii="Times New Roman" w:eastAsia="Times New Roman" w:hAnsi="Times New Roman"/>
                <w:sz w:val="24"/>
                <w:szCs w:val="24"/>
                <w:lang w:eastAsia="lv-LV"/>
              </w:rPr>
              <w:t>Projekta izstrādes gaitā notikušas konsultācijas ar Rīgas pilsētas Latgales priekšpilsētas tiesas priekšsēdētāju, Rīgas apgabaltiesas priekšsēdētāju</w:t>
            </w:r>
            <w:r w:rsidR="00DF58C0">
              <w:rPr>
                <w:rFonts w:ascii="Times New Roman" w:eastAsia="Times New Roman" w:hAnsi="Times New Roman"/>
                <w:sz w:val="24"/>
                <w:szCs w:val="24"/>
                <w:lang w:eastAsia="lv-LV"/>
              </w:rPr>
              <w:t xml:space="preserve">, </w:t>
            </w:r>
            <w:r w:rsidRPr="003740F9">
              <w:rPr>
                <w:rFonts w:ascii="Times New Roman" w:eastAsia="Times New Roman" w:hAnsi="Times New Roman"/>
                <w:sz w:val="24"/>
                <w:szCs w:val="24"/>
                <w:lang w:eastAsia="lv-LV"/>
              </w:rPr>
              <w:t>Administratīvās apgabaltiesas priekšsēdētāju</w:t>
            </w:r>
            <w:r w:rsidR="00855EBD">
              <w:rPr>
                <w:rFonts w:ascii="Times New Roman" w:eastAsia="Times New Roman" w:hAnsi="Times New Roman"/>
                <w:sz w:val="24"/>
                <w:szCs w:val="24"/>
                <w:lang w:eastAsia="lv-LV"/>
              </w:rPr>
              <w:t xml:space="preserve"> un</w:t>
            </w:r>
            <w:r w:rsidR="00DF58C0">
              <w:rPr>
                <w:rFonts w:ascii="Times New Roman" w:eastAsia="Times New Roman" w:hAnsi="Times New Roman"/>
                <w:sz w:val="24"/>
                <w:szCs w:val="24"/>
                <w:lang w:eastAsia="lv-LV"/>
              </w:rPr>
              <w:t xml:space="preserve"> Valsts policijas pārstāvjiem</w:t>
            </w:r>
            <w:r w:rsidRPr="003740F9">
              <w:rPr>
                <w:rFonts w:ascii="Times New Roman" w:eastAsia="Times New Roman" w:hAnsi="Times New Roman"/>
                <w:sz w:val="24"/>
                <w:szCs w:val="24"/>
                <w:lang w:eastAsia="lv-LV"/>
              </w:rPr>
              <w:t>.</w:t>
            </w:r>
          </w:p>
        </w:tc>
      </w:tr>
      <w:tr w:rsidR="002A7B11" w:rsidRPr="00037F91" w:rsidTr="00C06EA4">
        <w:tblPrEx>
          <w:shd w:val="clear" w:color="auto" w:fill="auto"/>
        </w:tblPrEx>
        <w:trPr>
          <w:trHeight w:val="465"/>
        </w:trPr>
        <w:tc>
          <w:tcPr>
            <w:tcW w:w="250" w:type="pct"/>
            <w:gridSpan w:val="2"/>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3.</w:t>
            </w:r>
          </w:p>
        </w:tc>
        <w:tc>
          <w:tcPr>
            <w:tcW w:w="1242"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Sabiedrības līdzdalības rezultāti</w:t>
            </w:r>
          </w:p>
        </w:tc>
        <w:tc>
          <w:tcPr>
            <w:tcW w:w="3508" w:type="pct"/>
            <w:gridSpan w:val="2"/>
            <w:tcBorders>
              <w:top w:val="outset" w:sz="6" w:space="0" w:color="414142"/>
              <w:left w:val="outset" w:sz="6" w:space="0" w:color="414142"/>
              <w:bottom w:val="outset" w:sz="6" w:space="0" w:color="414142"/>
              <w:right w:val="outset" w:sz="6" w:space="0" w:color="414142"/>
            </w:tcBorders>
            <w:hideMark/>
          </w:tcPr>
          <w:p w:rsidR="004D15A9" w:rsidRDefault="00AC339C" w:rsidP="00516411">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Aptaujātie tiesas</w:t>
            </w:r>
            <w:r w:rsidR="00BD49A8">
              <w:rPr>
                <w:rFonts w:ascii="Times New Roman" w:eastAsia="Times New Roman" w:hAnsi="Times New Roman"/>
                <w:sz w:val="24"/>
                <w:szCs w:val="24"/>
                <w:lang w:eastAsia="lv-LV"/>
              </w:rPr>
              <w:t xml:space="preserve"> un Valsts policijas</w:t>
            </w:r>
            <w:r>
              <w:rPr>
                <w:rFonts w:ascii="Times New Roman" w:eastAsia="Times New Roman" w:hAnsi="Times New Roman"/>
                <w:sz w:val="24"/>
                <w:szCs w:val="24"/>
                <w:lang w:eastAsia="lv-LV"/>
              </w:rPr>
              <w:t xml:space="preserve"> pārstāvji</w:t>
            </w:r>
            <w:r w:rsidR="00BD49A8">
              <w:rPr>
                <w:rFonts w:ascii="Times New Roman" w:eastAsia="Times New Roman" w:hAnsi="Times New Roman"/>
                <w:sz w:val="24"/>
                <w:szCs w:val="24"/>
                <w:lang w:eastAsia="lv-LV"/>
              </w:rPr>
              <w:t xml:space="preserve"> atbalsta projekta izstrādi.</w:t>
            </w:r>
          </w:p>
          <w:p w:rsidR="00BD49A8" w:rsidRDefault="00BD49A8" w:rsidP="00516411">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Ņemts vērā Valsts policijas pārstāvju priekšlikums papildināt projektu ar liegumu fiziskai personai </w:t>
            </w:r>
            <w:r w:rsidRPr="00BD49A8">
              <w:rPr>
                <w:rFonts w:ascii="Times New Roman" w:eastAsia="Times New Roman" w:hAnsi="Times New Roman"/>
                <w:sz w:val="24"/>
                <w:szCs w:val="24"/>
                <w:lang w:eastAsia="lv-LV"/>
              </w:rPr>
              <w:t xml:space="preserve">atrasties </w:t>
            </w:r>
            <w:bookmarkStart w:id="3" w:name="_Hlk499722398"/>
            <w:r>
              <w:rPr>
                <w:rFonts w:ascii="Times New Roman" w:eastAsia="Times New Roman" w:hAnsi="Times New Roman"/>
                <w:sz w:val="24"/>
                <w:szCs w:val="24"/>
                <w:lang w:eastAsia="lv-LV"/>
              </w:rPr>
              <w:t xml:space="preserve">tiesā </w:t>
            </w:r>
            <w:r w:rsidRPr="00BD49A8">
              <w:rPr>
                <w:rFonts w:ascii="Times New Roman" w:eastAsia="Times New Roman" w:hAnsi="Times New Roman"/>
                <w:sz w:val="24"/>
                <w:szCs w:val="24"/>
                <w:lang w:eastAsia="lv-LV"/>
              </w:rPr>
              <w:t>acīmredzamā alkoholisko dzērienu, narkotisko, psihotropo, toksisko vai citu apreibinošo vielu ietekmē</w:t>
            </w:r>
            <w:bookmarkEnd w:id="3"/>
            <w:r>
              <w:rPr>
                <w:rFonts w:ascii="Times New Roman" w:eastAsia="Times New Roman" w:hAnsi="Times New Roman"/>
                <w:sz w:val="24"/>
                <w:szCs w:val="24"/>
                <w:lang w:eastAsia="lv-LV"/>
              </w:rPr>
              <w:t>.</w:t>
            </w:r>
          </w:p>
          <w:p w:rsidR="00814117" w:rsidRDefault="00814117" w:rsidP="00516411">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Ņemts vērā Valsts policijas pārstāvju priekšlikums neveikt </w:t>
            </w:r>
            <w:r w:rsidRPr="00814117">
              <w:rPr>
                <w:rFonts w:ascii="Times New Roman" w:eastAsia="Times New Roman" w:hAnsi="Times New Roman"/>
                <w:sz w:val="24"/>
                <w:szCs w:val="24"/>
                <w:lang w:eastAsia="lv-LV"/>
              </w:rPr>
              <w:t>konvoja amatperson</w:t>
            </w:r>
            <w:r>
              <w:rPr>
                <w:rFonts w:ascii="Times New Roman" w:eastAsia="Times New Roman" w:hAnsi="Times New Roman"/>
                <w:sz w:val="24"/>
                <w:szCs w:val="24"/>
                <w:lang w:eastAsia="lv-LV"/>
              </w:rPr>
              <w:t>as</w:t>
            </w:r>
            <w:r w:rsidRPr="00814117">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pārbaudi </w:t>
            </w:r>
            <w:r w:rsidRPr="00814117">
              <w:rPr>
                <w:rFonts w:ascii="Times New Roman" w:eastAsia="Times New Roman" w:hAnsi="Times New Roman"/>
                <w:sz w:val="24"/>
                <w:szCs w:val="24"/>
                <w:lang w:eastAsia="lv-LV"/>
              </w:rPr>
              <w:t>un konvojējam</w:t>
            </w:r>
            <w:r>
              <w:rPr>
                <w:rFonts w:ascii="Times New Roman" w:eastAsia="Times New Roman" w:hAnsi="Times New Roman"/>
                <w:sz w:val="24"/>
                <w:szCs w:val="24"/>
                <w:lang w:eastAsia="lv-LV"/>
              </w:rPr>
              <w:t>ās</w:t>
            </w:r>
            <w:r w:rsidRPr="00814117">
              <w:rPr>
                <w:rFonts w:ascii="Times New Roman" w:eastAsia="Times New Roman" w:hAnsi="Times New Roman"/>
                <w:sz w:val="24"/>
                <w:szCs w:val="24"/>
                <w:lang w:eastAsia="lv-LV"/>
              </w:rPr>
              <w:t xml:space="preserve"> person</w:t>
            </w:r>
            <w:r>
              <w:rPr>
                <w:rFonts w:ascii="Times New Roman" w:eastAsia="Times New Roman" w:hAnsi="Times New Roman"/>
                <w:sz w:val="24"/>
                <w:szCs w:val="24"/>
                <w:lang w:eastAsia="lv-LV"/>
              </w:rPr>
              <w:t>as papildu pārbaudi, tām iekļūstot tiesā.</w:t>
            </w:r>
          </w:p>
          <w:p w:rsidR="0025227F" w:rsidRPr="00037F91" w:rsidRDefault="0025227F" w:rsidP="00516411">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Daļēji ņemts vērā </w:t>
            </w:r>
            <w:r w:rsidR="001D5F73">
              <w:rPr>
                <w:rFonts w:ascii="Times New Roman" w:eastAsia="Times New Roman" w:hAnsi="Times New Roman"/>
                <w:sz w:val="24"/>
                <w:szCs w:val="24"/>
                <w:lang w:eastAsia="lv-LV"/>
              </w:rPr>
              <w:t xml:space="preserve">Rīgas pilsētas </w:t>
            </w:r>
            <w:r w:rsidRPr="0025227F">
              <w:rPr>
                <w:rFonts w:ascii="Times New Roman" w:eastAsia="Times New Roman" w:hAnsi="Times New Roman"/>
                <w:sz w:val="24"/>
                <w:szCs w:val="24"/>
                <w:lang w:eastAsia="lv-LV"/>
              </w:rPr>
              <w:t xml:space="preserve">Latgales priekšpilsētas tiesas </w:t>
            </w:r>
            <w:r>
              <w:rPr>
                <w:rFonts w:ascii="Times New Roman" w:eastAsia="Times New Roman" w:hAnsi="Times New Roman"/>
                <w:sz w:val="24"/>
                <w:szCs w:val="24"/>
                <w:lang w:eastAsia="lv-LV"/>
              </w:rPr>
              <w:t xml:space="preserve">pārstāvja </w:t>
            </w:r>
            <w:r w:rsidR="00001246">
              <w:rPr>
                <w:rFonts w:ascii="Times New Roman" w:eastAsia="Times New Roman" w:hAnsi="Times New Roman"/>
                <w:sz w:val="24"/>
                <w:szCs w:val="24"/>
                <w:lang w:eastAsia="lv-LV"/>
              </w:rPr>
              <w:t xml:space="preserve">priekšlikums </w:t>
            </w:r>
            <w:r w:rsidRPr="0025227F">
              <w:rPr>
                <w:rFonts w:ascii="Times New Roman" w:eastAsia="Times New Roman" w:hAnsi="Times New Roman"/>
                <w:sz w:val="24"/>
                <w:szCs w:val="24"/>
                <w:lang w:eastAsia="lv-LV"/>
              </w:rPr>
              <w:t>fiksē</w:t>
            </w:r>
            <w:r w:rsidR="00001246">
              <w:rPr>
                <w:rFonts w:ascii="Times New Roman" w:eastAsia="Times New Roman" w:hAnsi="Times New Roman"/>
                <w:sz w:val="24"/>
                <w:szCs w:val="24"/>
                <w:lang w:eastAsia="lv-LV"/>
              </w:rPr>
              <w:t>t</w:t>
            </w:r>
            <w:r w:rsidRPr="0025227F">
              <w:rPr>
                <w:rFonts w:ascii="Times New Roman" w:eastAsia="Times New Roman" w:hAnsi="Times New Roman"/>
                <w:sz w:val="24"/>
                <w:szCs w:val="24"/>
                <w:lang w:eastAsia="lv-LV"/>
              </w:rPr>
              <w:t xml:space="preserve"> fiziskas personas datus un atbrīvojuma pamatu, ja fiziska persona ir atbrīvota no </w:t>
            </w:r>
            <w:r w:rsidR="00001246">
              <w:rPr>
                <w:rFonts w:ascii="Times New Roman" w:eastAsia="Times New Roman" w:hAnsi="Times New Roman"/>
                <w:sz w:val="24"/>
                <w:szCs w:val="24"/>
                <w:lang w:eastAsia="lv-LV"/>
              </w:rPr>
              <w:t>projektā</w:t>
            </w:r>
            <w:r w:rsidRPr="0025227F">
              <w:rPr>
                <w:rFonts w:ascii="Times New Roman" w:eastAsia="Times New Roman" w:hAnsi="Times New Roman"/>
                <w:sz w:val="24"/>
                <w:szCs w:val="24"/>
                <w:lang w:eastAsia="lv-LV"/>
              </w:rPr>
              <w:t xml:space="preserve"> noteikt</w:t>
            </w:r>
            <w:r w:rsidR="00001246">
              <w:rPr>
                <w:rFonts w:ascii="Times New Roman" w:eastAsia="Times New Roman" w:hAnsi="Times New Roman"/>
                <w:sz w:val="24"/>
                <w:szCs w:val="24"/>
                <w:lang w:eastAsia="lv-LV"/>
              </w:rPr>
              <w:t>aj</w:t>
            </w:r>
            <w:r w:rsidRPr="0025227F">
              <w:rPr>
                <w:rFonts w:ascii="Times New Roman" w:eastAsia="Times New Roman" w:hAnsi="Times New Roman"/>
                <w:sz w:val="24"/>
                <w:szCs w:val="24"/>
                <w:lang w:eastAsia="lv-LV"/>
              </w:rPr>
              <w:t>ā</w:t>
            </w:r>
            <w:r w:rsidR="00001246">
              <w:rPr>
                <w:rFonts w:ascii="Times New Roman" w:eastAsia="Times New Roman" w:hAnsi="Times New Roman"/>
                <w:sz w:val="24"/>
                <w:szCs w:val="24"/>
                <w:lang w:eastAsia="lv-LV"/>
              </w:rPr>
              <w:t>m</w:t>
            </w:r>
            <w:r w:rsidRPr="0025227F">
              <w:rPr>
                <w:rFonts w:ascii="Times New Roman" w:eastAsia="Times New Roman" w:hAnsi="Times New Roman"/>
                <w:sz w:val="24"/>
                <w:szCs w:val="24"/>
                <w:lang w:eastAsia="lv-LV"/>
              </w:rPr>
              <w:t xml:space="preserve"> pārbaud</w:t>
            </w:r>
            <w:r w:rsidR="00001246">
              <w:rPr>
                <w:rFonts w:ascii="Times New Roman" w:eastAsia="Times New Roman" w:hAnsi="Times New Roman"/>
                <w:sz w:val="24"/>
                <w:szCs w:val="24"/>
                <w:lang w:eastAsia="lv-LV"/>
              </w:rPr>
              <w:t xml:space="preserve">ēm. Projekts neparedz fiksēt šādu informāciju par </w:t>
            </w:r>
            <w:r w:rsidRPr="0025227F">
              <w:rPr>
                <w:rFonts w:ascii="Times New Roman" w:eastAsia="Times New Roman" w:hAnsi="Times New Roman"/>
                <w:sz w:val="24"/>
                <w:szCs w:val="24"/>
                <w:lang w:eastAsia="lv-LV"/>
              </w:rPr>
              <w:t>konvoja amatperson</w:t>
            </w:r>
            <w:r w:rsidR="00001246">
              <w:rPr>
                <w:rFonts w:ascii="Times New Roman" w:eastAsia="Times New Roman" w:hAnsi="Times New Roman"/>
                <w:sz w:val="24"/>
                <w:szCs w:val="24"/>
                <w:lang w:eastAsia="lv-LV"/>
              </w:rPr>
              <w:t>u</w:t>
            </w:r>
            <w:r w:rsidRPr="0025227F">
              <w:rPr>
                <w:rFonts w:ascii="Times New Roman" w:eastAsia="Times New Roman" w:hAnsi="Times New Roman"/>
                <w:sz w:val="24"/>
                <w:szCs w:val="24"/>
                <w:lang w:eastAsia="lv-LV"/>
              </w:rPr>
              <w:t xml:space="preserve"> un konvojējam</w:t>
            </w:r>
            <w:r w:rsidR="00001246">
              <w:rPr>
                <w:rFonts w:ascii="Times New Roman" w:eastAsia="Times New Roman" w:hAnsi="Times New Roman"/>
                <w:sz w:val="24"/>
                <w:szCs w:val="24"/>
                <w:lang w:eastAsia="lv-LV"/>
              </w:rPr>
              <w:t>o</w:t>
            </w:r>
            <w:r w:rsidRPr="0025227F">
              <w:rPr>
                <w:rFonts w:ascii="Times New Roman" w:eastAsia="Times New Roman" w:hAnsi="Times New Roman"/>
                <w:sz w:val="24"/>
                <w:szCs w:val="24"/>
                <w:lang w:eastAsia="lv-LV"/>
              </w:rPr>
              <w:t xml:space="preserve"> person</w:t>
            </w:r>
            <w:r w:rsidR="00001246">
              <w:rPr>
                <w:rFonts w:ascii="Times New Roman" w:eastAsia="Times New Roman" w:hAnsi="Times New Roman"/>
                <w:sz w:val="24"/>
                <w:szCs w:val="24"/>
                <w:lang w:eastAsia="lv-LV"/>
              </w:rPr>
              <w:t>u.</w:t>
            </w:r>
          </w:p>
        </w:tc>
      </w:tr>
      <w:tr w:rsidR="004D15A9" w:rsidRPr="00037F91" w:rsidTr="00C06EA4">
        <w:tblPrEx>
          <w:shd w:val="clear" w:color="auto" w:fill="auto"/>
        </w:tblPrEx>
        <w:trPr>
          <w:trHeight w:val="209"/>
        </w:trPr>
        <w:tc>
          <w:tcPr>
            <w:tcW w:w="250" w:type="pct"/>
            <w:gridSpan w:val="2"/>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4.</w:t>
            </w:r>
          </w:p>
        </w:tc>
        <w:tc>
          <w:tcPr>
            <w:tcW w:w="1242"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Cita informācija</w:t>
            </w:r>
          </w:p>
        </w:tc>
        <w:tc>
          <w:tcPr>
            <w:tcW w:w="3508" w:type="pct"/>
            <w:gridSpan w:val="2"/>
            <w:tcBorders>
              <w:top w:val="outset" w:sz="6" w:space="0" w:color="414142"/>
              <w:left w:val="outset" w:sz="6" w:space="0" w:color="414142"/>
              <w:bottom w:val="outset" w:sz="6" w:space="0" w:color="414142"/>
              <w:right w:val="outset" w:sz="6" w:space="0" w:color="414142"/>
            </w:tcBorders>
            <w:hideMark/>
          </w:tcPr>
          <w:p w:rsidR="004D15A9" w:rsidRPr="00037F91" w:rsidRDefault="002A7B11" w:rsidP="00BD49A8">
            <w:pPr>
              <w:spacing w:after="0" w:line="240" w:lineRule="auto"/>
              <w:ind w:firstLine="800"/>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Nav.</w:t>
            </w:r>
          </w:p>
        </w:tc>
      </w:tr>
    </w:tbl>
    <w:p w:rsidR="004D15A9" w:rsidRPr="00037F91" w:rsidRDefault="004D15A9" w:rsidP="00DA596D">
      <w:pPr>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249"/>
        <w:gridCol w:w="6353"/>
      </w:tblGrid>
      <w:tr w:rsidR="00B267EA" w:rsidRPr="00037F91"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037F91" w:rsidRDefault="004D15A9" w:rsidP="00DA596D">
            <w:pPr>
              <w:spacing w:after="0" w:line="240" w:lineRule="auto"/>
              <w:ind w:firstLine="300"/>
              <w:jc w:val="center"/>
              <w:rPr>
                <w:rFonts w:ascii="Times New Roman" w:eastAsia="Times New Roman" w:hAnsi="Times New Roman"/>
                <w:b/>
                <w:bCs/>
                <w:sz w:val="24"/>
                <w:szCs w:val="24"/>
                <w:lang w:eastAsia="lv-LV"/>
              </w:rPr>
            </w:pPr>
            <w:r w:rsidRPr="00037F91">
              <w:rPr>
                <w:rFonts w:ascii="Times New Roman" w:eastAsia="Times New Roman" w:hAnsi="Times New Roman"/>
                <w:b/>
                <w:bCs/>
                <w:sz w:val="24"/>
                <w:szCs w:val="24"/>
                <w:lang w:eastAsia="lv-LV"/>
              </w:rPr>
              <w:lastRenderedPageBreak/>
              <w:t>VII.</w:t>
            </w:r>
            <w:r w:rsidR="00C27BC6">
              <w:rPr>
                <w:rFonts w:ascii="Times New Roman" w:eastAsia="Times New Roman" w:hAnsi="Times New Roman"/>
                <w:b/>
                <w:bCs/>
                <w:sz w:val="24"/>
                <w:szCs w:val="24"/>
                <w:lang w:eastAsia="lv-LV"/>
              </w:rPr>
              <w:t> </w:t>
            </w:r>
            <w:r w:rsidRPr="00037F91">
              <w:rPr>
                <w:rFonts w:ascii="Times New Roman" w:eastAsia="Times New Roman" w:hAnsi="Times New Roman"/>
                <w:b/>
                <w:bCs/>
                <w:sz w:val="24"/>
                <w:szCs w:val="24"/>
                <w:lang w:eastAsia="lv-LV"/>
              </w:rPr>
              <w:t>Tiesību akta projekta izpildes nodrošināšana un tās ietekme uz institūcijām</w:t>
            </w:r>
          </w:p>
        </w:tc>
      </w:tr>
      <w:tr w:rsidR="00B267EA" w:rsidRPr="00037F91" w:rsidTr="00C06EA4">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1.</w:t>
            </w:r>
          </w:p>
        </w:tc>
        <w:tc>
          <w:tcPr>
            <w:tcW w:w="1242"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Projekta izpildē iesaistītās institūcijas</w:t>
            </w:r>
          </w:p>
        </w:tc>
        <w:tc>
          <w:tcPr>
            <w:tcW w:w="3508" w:type="pct"/>
            <w:tcBorders>
              <w:top w:val="outset" w:sz="6" w:space="0" w:color="414142"/>
              <w:left w:val="outset" w:sz="6" w:space="0" w:color="414142"/>
              <w:bottom w:val="outset" w:sz="6" w:space="0" w:color="414142"/>
              <w:right w:val="outset" w:sz="6" w:space="0" w:color="414142"/>
            </w:tcBorders>
            <w:hideMark/>
          </w:tcPr>
          <w:p w:rsidR="004D15A9" w:rsidRPr="00415773" w:rsidRDefault="00415773" w:rsidP="002A14A6">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Tiesu administrācija</w:t>
            </w:r>
          </w:p>
        </w:tc>
      </w:tr>
      <w:tr w:rsidR="00B267EA" w:rsidRPr="00037F91" w:rsidTr="00C06EA4">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2.</w:t>
            </w:r>
          </w:p>
        </w:tc>
        <w:tc>
          <w:tcPr>
            <w:tcW w:w="1242"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 xml:space="preserve">Projekta izpildes ietekme uz pārvaldes funkcijām un institucionālo struktūru. </w:t>
            </w:r>
          </w:p>
          <w:p w:rsidR="004D15A9" w:rsidRPr="00037F91" w:rsidRDefault="004D15A9" w:rsidP="00DA596D">
            <w:pPr>
              <w:spacing w:after="0" w:line="240" w:lineRule="auto"/>
              <w:ind w:firstLine="300"/>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3508" w:type="pct"/>
            <w:tcBorders>
              <w:top w:val="outset" w:sz="6" w:space="0" w:color="414142"/>
              <w:left w:val="outset" w:sz="6" w:space="0" w:color="414142"/>
              <w:bottom w:val="outset" w:sz="6" w:space="0" w:color="414142"/>
              <w:right w:val="outset" w:sz="6" w:space="0" w:color="414142"/>
            </w:tcBorders>
            <w:hideMark/>
          </w:tcPr>
          <w:p w:rsidR="004D15A9" w:rsidRDefault="00B267EA" w:rsidP="000C5C54">
            <w:pPr>
              <w:spacing w:after="0" w:line="240" w:lineRule="auto"/>
              <w:ind w:firstLine="720"/>
              <w:jc w:val="both"/>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Projekta izpilde neietekmēs pārvaldes funkcijas vai institucionālo struktūru.</w:t>
            </w:r>
          </w:p>
          <w:p w:rsidR="00DF5F58" w:rsidRPr="00DF5F58" w:rsidRDefault="00DF5F58" w:rsidP="000C5C54">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paredzēta j</w:t>
            </w:r>
            <w:r w:rsidRPr="00DF5F58">
              <w:rPr>
                <w:rFonts w:ascii="Times New Roman" w:eastAsia="Times New Roman" w:hAnsi="Times New Roman"/>
                <w:sz w:val="24"/>
                <w:szCs w:val="24"/>
                <w:lang w:eastAsia="lv-LV"/>
              </w:rPr>
              <w:t xml:space="preserve">aunu institūciju izveide, esošu institūciju likvidācija vai reorganizācija, </w:t>
            </w:r>
            <w:r>
              <w:rPr>
                <w:rFonts w:ascii="Times New Roman" w:eastAsia="Times New Roman" w:hAnsi="Times New Roman"/>
                <w:sz w:val="24"/>
                <w:szCs w:val="24"/>
                <w:lang w:eastAsia="lv-LV"/>
              </w:rPr>
              <w:t xml:space="preserve">kā arī </w:t>
            </w:r>
            <w:r w:rsidRPr="00DF5F58">
              <w:rPr>
                <w:rFonts w:ascii="Times New Roman" w:eastAsia="Times New Roman" w:hAnsi="Times New Roman"/>
                <w:sz w:val="24"/>
                <w:szCs w:val="24"/>
                <w:lang w:eastAsia="lv-LV"/>
              </w:rPr>
              <w:t>ietekme uz institūcijas cilvēkresursiem</w:t>
            </w:r>
            <w:r>
              <w:rPr>
                <w:rFonts w:ascii="Times New Roman" w:eastAsia="Times New Roman" w:hAnsi="Times New Roman"/>
                <w:sz w:val="24"/>
                <w:szCs w:val="24"/>
                <w:lang w:eastAsia="lv-LV"/>
              </w:rPr>
              <w:t>.</w:t>
            </w:r>
          </w:p>
        </w:tc>
      </w:tr>
      <w:tr w:rsidR="00B267EA" w:rsidRPr="00037F91" w:rsidTr="00C06EA4">
        <w:trPr>
          <w:trHeight w:val="184"/>
        </w:trPr>
        <w:tc>
          <w:tcPr>
            <w:tcW w:w="250"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3.</w:t>
            </w:r>
          </w:p>
        </w:tc>
        <w:tc>
          <w:tcPr>
            <w:tcW w:w="1242" w:type="pct"/>
            <w:tcBorders>
              <w:top w:val="outset" w:sz="6" w:space="0" w:color="414142"/>
              <w:left w:val="outset" w:sz="6" w:space="0" w:color="414142"/>
              <w:bottom w:val="outset" w:sz="6" w:space="0" w:color="414142"/>
              <w:right w:val="outset" w:sz="6" w:space="0" w:color="414142"/>
            </w:tcBorders>
            <w:hideMark/>
          </w:tcPr>
          <w:p w:rsidR="004D15A9" w:rsidRPr="00037F91" w:rsidRDefault="004D15A9" w:rsidP="00DA596D">
            <w:pPr>
              <w:spacing w:after="0" w:line="240" w:lineRule="auto"/>
              <w:rPr>
                <w:rFonts w:ascii="Times New Roman" w:eastAsia="Times New Roman" w:hAnsi="Times New Roman"/>
                <w:sz w:val="24"/>
                <w:szCs w:val="24"/>
                <w:lang w:eastAsia="lv-LV"/>
              </w:rPr>
            </w:pPr>
            <w:r w:rsidRPr="00037F91">
              <w:rPr>
                <w:rFonts w:ascii="Times New Roman" w:eastAsia="Times New Roman" w:hAnsi="Times New Roman"/>
                <w:sz w:val="24"/>
                <w:szCs w:val="24"/>
                <w:lang w:eastAsia="lv-LV"/>
              </w:rPr>
              <w:t>Cita informācija</w:t>
            </w:r>
          </w:p>
        </w:tc>
        <w:tc>
          <w:tcPr>
            <w:tcW w:w="3508" w:type="pct"/>
            <w:tcBorders>
              <w:top w:val="outset" w:sz="6" w:space="0" w:color="414142"/>
              <w:left w:val="outset" w:sz="6" w:space="0" w:color="414142"/>
              <w:bottom w:val="outset" w:sz="6" w:space="0" w:color="414142"/>
              <w:right w:val="outset" w:sz="6" w:space="0" w:color="414142"/>
            </w:tcBorders>
            <w:hideMark/>
          </w:tcPr>
          <w:p w:rsidR="004D15A9" w:rsidRDefault="00DF5F58" w:rsidP="002A14A6">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Tiesu administrācija nodrošinās </w:t>
            </w:r>
            <w:r w:rsidRPr="00DF5F58">
              <w:rPr>
                <w:rFonts w:ascii="Times New Roman" w:eastAsia="Times New Roman" w:hAnsi="Times New Roman"/>
                <w:sz w:val="24"/>
                <w:szCs w:val="24"/>
                <w:lang w:eastAsia="lv-LV"/>
              </w:rPr>
              <w:t xml:space="preserve">projekta </w:t>
            </w:r>
            <w:r>
              <w:rPr>
                <w:rFonts w:ascii="Times New Roman" w:eastAsia="Times New Roman" w:hAnsi="Times New Roman"/>
                <w:sz w:val="24"/>
                <w:szCs w:val="24"/>
                <w:lang w:eastAsia="lv-LV"/>
              </w:rPr>
              <w:t xml:space="preserve">prasību </w:t>
            </w:r>
            <w:r w:rsidRPr="00DF5F58">
              <w:rPr>
                <w:rFonts w:ascii="Times New Roman" w:eastAsia="Times New Roman" w:hAnsi="Times New Roman"/>
                <w:sz w:val="24"/>
                <w:szCs w:val="24"/>
                <w:lang w:eastAsia="lv-LV"/>
              </w:rPr>
              <w:t>realizācij</w:t>
            </w:r>
            <w:r>
              <w:rPr>
                <w:rFonts w:ascii="Times New Roman" w:eastAsia="Times New Roman" w:hAnsi="Times New Roman"/>
                <w:sz w:val="24"/>
                <w:szCs w:val="24"/>
                <w:lang w:eastAsia="lv-LV"/>
              </w:rPr>
              <w:t>u tai piešķirto valsts budžeta līdzekļu ietvaros un noslēgtā līguma ietvaros ar ārpakalpojumu sniedzēju par apsardzes pakalpojumu nodrošināšanu tiesās.</w:t>
            </w:r>
          </w:p>
          <w:p w:rsidR="001D5F73" w:rsidRPr="00DF5F58" w:rsidRDefault="001D5F73" w:rsidP="002A14A6">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nodrošinātu projektā ietverto prasību pakāpenisku izpildi visās tiesās, jautājums par nepieciešamo valsts budžeta papildu finansējumu tiks risināts ikgadējā valsts budžeta plānošanas procesa ietvaros.</w:t>
            </w:r>
          </w:p>
        </w:tc>
      </w:tr>
    </w:tbl>
    <w:p w:rsidR="00BB1F46" w:rsidRPr="00037F91" w:rsidRDefault="00BB1F46" w:rsidP="00DA596D">
      <w:pPr>
        <w:spacing w:after="0" w:line="240" w:lineRule="auto"/>
        <w:rPr>
          <w:rFonts w:ascii="Times New Roman" w:hAnsi="Times New Roman"/>
          <w:sz w:val="24"/>
          <w:szCs w:val="24"/>
        </w:rPr>
      </w:pPr>
    </w:p>
    <w:p w:rsidR="004D15A9" w:rsidRPr="00037F91" w:rsidRDefault="004D15A9" w:rsidP="00DA596D">
      <w:pPr>
        <w:spacing w:after="0" w:line="240" w:lineRule="auto"/>
        <w:rPr>
          <w:rFonts w:ascii="Times New Roman" w:hAnsi="Times New Roman"/>
          <w:sz w:val="24"/>
          <w:szCs w:val="24"/>
        </w:rPr>
      </w:pPr>
    </w:p>
    <w:p w:rsidR="00AD524D" w:rsidRPr="00037F91" w:rsidRDefault="00AD524D" w:rsidP="00DA596D">
      <w:pPr>
        <w:spacing w:after="0" w:line="240" w:lineRule="auto"/>
        <w:rPr>
          <w:rFonts w:ascii="Times New Roman" w:hAnsi="Times New Roman"/>
          <w:sz w:val="24"/>
          <w:szCs w:val="24"/>
        </w:rPr>
      </w:pPr>
    </w:p>
    <w:p w:rsidR="004D15A9" w:rsidRPr="00037F91" w:rsidRDefault="004D15A9" w:rsidP="00DA596D">
      <w:pPr>
        <w:pStyle w:val="StyleRight"/>
        <w:spacing w:after="0"/>
        <w:ind w:firstLine="0"/>
        <w:jc w:val="both"/>
        <w:rPr>
          <w:sz w:val="24"/>
          <w:szCs w:val="24"/>
        </w:rPr>
      </w:pPr>
      <w:r w:rsidRPr="00037F91">
        <w:rPr>
          <w:sz w:val="24"/>
          <w:szCs w:val="24"/>
        </w:rPr>
        <w:t>Iesniedzējs:</w:t>
      </w:r>
    </w:p>
    <w:p w:rsidR="007C1C27" w:rsidRPr="00037F91" w:rsidRDefault="007C1C27" w:rsidP="00DA596D">
      <w:pPr>
        <w:pStyle w:val="StyleRight"/>
        <w:spacing w:after="0"/>
        <w:ind w:firstLine="0"/>
        <w:jc w:val="both"/>
        <w:rPr>
          <w:sz w:val="24"/>
          <w:szCs w:val="24"/>
        </w:rPr>
      </w:pPr>
      <w:r w:rsidRPr="00037F91">
        <w:rPr>
          <w:sz w:val="24"/>
          <w:szCs w:val="24"/>
        </w:rPr>
        <w:t xml:space="preserve">Tieslietu ministrijas </w:t>
      </w:r>
    </w:p>
    <w:p w:rsidR="004D15A9" w:rsidRPr="00037F91" w:rsidRDefault="007C1C27" w:rsidP="00DA596D">
      <w:pPr>
        <w:pStyle w:val="StyleRight"/>
        <w:spacing w:after="0"/>
        <w:ind w:firstLine="0"/>
        <w:jc w:val="both"/>
        <w:rPr>
          <w:sz w:val="24"/>
          <w:szCs w:val="24"/>
        </w:rPr>
      </w:pPr>
      <w:r w:rsidRPr="00037F91">
        <w:rPr>
          <w:sz w:val="24"/>
          <w:szCs w:val="24"/>
        </w:rPr>
        <w:t>valsts sekretārs</w:t>
      </w:r>
      <w:r w:rsidRPr="00037F91">
        <w:rPr>
          <w:sz w:val="24"/>
          <w:szCs w:val="24"/>
        </w:rPr>
        <w:tab/>
      </w:r>
      <w:r w:rsidRPr="00037F91">
        <w:rPr>
          <w:sz w:val="24"/>
          <w:szCs w:val="24"/>
        </w:rPr>
        <w:tab/>
      </w:r>
      <w:r w:rsidRPr="00037F91">
        <w:rPr>
          <w:sz w:val="24"/>
          <w:szCs w:val="24"/>
        </w:rPr>
        <w:tab/>
      </w:r>
      <w:r w:rsidR="004D15A9" w:rsidRPr="00037F91">
        <w:rPr>
          <w:sz w:val="24"/>
          <w:szCs w:val="24"/>
        </w:rPr>
        <w:tab/>
      </w:r>
      <w:r w:rsidR="004D15A9" w:rsidRPr="00037F91">
        <w:rPr>
          <w:sz w:val="24"/>
          <w:szCs w:val="24"/>
        </w:rPr>
        <w:tab/>
      </w:r>
      <w:r w:rsidR="004D15A9" w:rsidRPr="00037F91">
        <w:rPr>
          <w:sz w:val="24"/>
          <w:szCs w:val="24"/>
        </w:rPr>
        <w:tab/>
      </w:r>
      <w:r w:rsidR="004D15A9" w:rsidRPr="00037F91">
        <w:rPr>
          <w:sz w:val="24"/>
          <w:szCs w:val="24"/>
        </w:rPr>
        <w:tab/>
      </w:r>
      <w:r w:rsidR="004D15A9" w:rsidRPr="00037F91">
        <w:rPr>
          <w:sz w:val="24"/>
          <w:szCs w:val="24"/>
        </w:rPr>
        <w:tab/>
      </w:r>
      <w:r w:rsidRPr="00037F91">
        <w:rPr>
          <w:sz w:val="24"/>
          <w:szCs w:val="24"/>
        </w:rPr>
        <w:t>R</w:t>
      </w:r>
      <w:r w:rsidR="00AD524D" w:rsidRPr="00037F91">
        <w:rPr>
          <w:sz w:val="24"/>
          <w:szCs w:val="24"/>
        </w:rPr>
        <w:t xml:space="preserve">aivis </w:t>
      </w:r>
      <w:r w:rsidRPr="00037F91">
        <w:rPr>
          <w:sz w:val="24"/>
          <w:szCs w:val="24"/>
        </w:rPr>
        <w:t>Kronbergs</w:t>
      </w:r>
    </w:p>
    <w:p w:rsidR="00603165" w:rsidRPr="00037F91" w:rsidRDefault="00603165" w:rsidP="00982D8B">
      <w:pPr>
        <w:tabs>
          <w:tab w:val="left" w:pos="7020"/>
        </w:tabs>
        <w:spacing w:after="0" w:line="240" w:lineRule="auto"/>
        <w:jc w:val="both"/>
        <w:rPr>
          <w:rFonts w:ascii="Times New Roman" w:hAnsi="Times New Roman"/>
          <w:sz w:val="24"/>
          <w:szCs w:val="24"/>
          <w:shd w:val="clear" w:color="auto" w:fill="FFFF00"/>
        </w:rPr>
      </w:pPr>
    </w:p>
    <w:p w:rsidR="00603165" w:rsidRPr="00037F91" w:rsidRDefault="00603165" w:rsidP="00982D8B">
      <w:pPr>
        <w:tabs>
          <w:tab w:val="left" w:pos="7020"/>
        </w:tabs>
        <w:spacing w:after="0" w:line="240" w:lineRule="auto"/>
        <w:jc w:val="both"/>
        <w:rPr>
          <w:rFonts w:ascii="Times New Roman" w:hAnsi="Times New Roman"/>
          <w:sz w:val="24"/>
          <w:szCs w:val="24"/>
          <w:shd w:val="clear" w:color="auto" w:fill="FFFF00"/>
        </w:rPr>
      </w:pPr>
    </w:p>
    <w:p w:rsidR="00603165" w:rsidRPr="00037F91" w:rsidRDefault="00603165" w:rsidP="00982D8B">
      <w:pPr>
        <w:tabs>
          <w:tab w:val="left" w:pos="7020"/>
        </w:tabs>
        <w:spacing w:after="0" w:line="240" w:lineRule="auto"/>
        <w:jc w:val="both"/>
        <w:rPr>
          <w:rFonts w:ascii="Times New Roman" w:hAnsi="Times New Roman"/>
          <w:sz w:val="24"/>
          <w:szCs w:val="24"/>
          <w:shd w:val="clear" w:color="auto" w:fill="FFFF00"/>
        </w:rPr>
      </w:pPr>
    </w:p>
    <w:p w:rsidR="00603165" w:rsidRPr="00037F91" w:rsidRDefault="001E48C9" w:rsidP="00AD524D">
      <w:pPr>
        <w:pStyle w:val="StyleBodyText14ptFirstline127cm"/>
        <w:tabs>
          <w:tab w:val="right" w:pos="9070"/>
        </w:tabs>
        <w:spacing w:after="0"/>
        <w:ind w:firstLine="0"/>
        <w:rPr>
          <w:sz w:val="24"/>
          <w:szCs w:val="24"/>
        </w:rPr>
      </w:pPr>
      <w:r w:rsidRPr="00037F91">
        <w:rPr>
          <w:sz w:val="24"/>
          <w:szCs w:val="24"/>
        </w:rPr>
        <w:t>Teplova</w:t>
      </w:r>
      <w:r w:rsidR="00603165" w:rsidRPr="00037F91">
        <w:rPr>
          <w:sz w:val="24"/>
          <w:szCs w:val="24"/>
        </w:rPr>
        <w:t xml:space="preserve"> 670</w:t>
      </w:r>
      <w:r w:rsidRPr="00037F91">
        <w:rPr>
          <w:sz w:val="24"/>
          <w:szCs w:val="24"/>
        </w:rPr>
        <w:t>63889</w:t>
      </w:r>
    </w:p>
    <w:p w:rsidR="004D15A9" w:rsidRPr="00037F91" w:rsidRDefault="008C6F4F" w:rsidP="00982D8B">
      <w:pPr>
        <w:pStyle w:val="StyleBodyText14ptFirstline127cm"/>
        <w:tabs>
          <w:tab w:val="right" w:pos="9070"/>
        </w:tabs>
        <w:spacing w:after="0"/>
        <w:ind w:firstLine="0"/>
      </w:pPr>
      <w:hyperlink r:id="rId10" w:history="1">
        <w:r w:rsidR="00D16978" w:rsidRPr="00030FE5">
          <w:rPr>
            <w:rStyle w:val="Hipersaite"/>
            <w:sz w:val="24"/>
            <w:szCs w:val="24"/>
          </w:rPr>
          <w:t>inese.teplova@ta.gov.lv</w:t>
        </w:r>
      </w:hyperlink>
    </w:p>
    <w:sectPr w:rsidR="004D15A9" w:rsidRPr="00037F91" w:rsidSect="00AD52A9">
      <w:headerReference w:type="default" r:id="rId11"/>
      <w:footerReference w:type="defaul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F4F" w:rsidRDefault="008C6F4F" w:rsidP="004D15A9">
      <w:pPr>
        <w:spacing w:after="0" w:line="240" w:lineRule="auto"/>
      </w:pPr>
      <w:r>
        <w:separator/>
      </w:r>
    </w:p>
  </w:endnote>
  <w:endnote w:type="continuationSeparator" w:id="0">
    <w:p w:rsidR="008C6F4F" w:rsidRDefault="008C6F4F"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73" w:rsidRPr="00C06EA4" w:rsidRDefault="001D5F73" w:rsidP="00C06EA4">
    <w:pPr>
      <w:pStyle w:val="Kjene"/>
      <w:jc w:val="both"/>
      <w:rPr>
        <w:rFonts w:ascii="Times New Roman" w:hAnsi="Times New Roman"/>
        <w:color w:val="000000"/>
        <w:sz w:val="20"/>
        <w:szCs w:val="20"/>
      </w:rPr>
    </w:pPr>
    <w:r>
      <w:rPr>
        <w:rFonts w:ascii="Times New Roman" w:hAnsi="Times New Roman"/>
        <w:color w:val="000000"/>
        <w:sz w:val="20"/>
        <w:szCs w:val="20"/>
      </w:rPr>
      <w:t>TManot_081217</w:t>
    </w:r>
    <w:r w:rsidRPr="004E5D7D">
      <w:rPr>
        <w:rFonts w:ascii="Times New Roman" w:hAnsi="Times New Roman"/>
        <w:color w:val="000000"/>
        <w:sz w:val="20"/>
        <w:szCs w:val="20"/>
      </w:rPr>
      <w:t>_</w:t>
    </w:r>
    <w:r>
      <w:rPr>
        <w:rFonts w:ascii="Times New Roman" w:hAnsi="Times New Roman"/>
        <w:color w:val="000000"/>
        <w:sz w:val="20"/>
        <w:szCs w:val="20"/>
      </w:rPr>
      <w:t>drospras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73" w:rsidRPr="00C7617F" w:rsidRDefault="001D5F73" w:rsidP="00C7617F">
    <w:pPr>
      <w:pStyle w:val="Kjene"/>
    </w:pPr>
    <w:r w:rsidRPr="00C7617F">
      <w:rPr>
        <w:rFonts w:ascii="Times New Roman" w:hAnsi="Times New Roman"/>
        <w:color w:val="000000"/>
        <w:sz w:val="20"/>
        <w:szCs w:val="20"/>
      </w:rPr>
      <w:t>TManot_0</w:t>
    </w:r>
    <w:r>
      <w:rPr>
        <w:rFonts w:ascii="Times New Roman" w:hAnsi="Times New Roman"/>
        <w:color w:val="000000"/>
        <w:sz w:val="20"/>
        <w:szCs w:val="20"/>
      </w:rPr>
      <w:t>8</w:t>
    </w:r>
    <w:r w:rsidRPr="00C7617F">
      <w:rPr>
        <w:rFonts w:ascii="Times New Roman" w:hAnsi="Times New Roman"/>
        <w:color w:val="000000"/>
        <w:sz w:val="20"/>
        <w:szCs w:val="20"/>
      </w:rPr>
      <w:t>1217_drospras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F4F" w:rsidRDefault="008C6F4F" w:rsidP="004D15A9">
      <w:pPr>
        <w:spacing w:after="0" w:line="240" w:lineRule="auto"/>
      </w:pPr>
      <w:r>
        <w:separator/>
      </w:r>
    </w:p>
  </w:footnote>
  <w:footnote w:type="continuationSeparator" w:id="0">
    <w:p w:rsidR="008C6F4F" w:rsidRDefault="008C6F4F"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73" w:rsidRDefault="001D5F73" w:rsidP="00725892">
    <w:pPr>
      <w:pStyle w:val="Galvene"/>
      <w:jc w:val="cente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sidR="007E5EDB">
      <w:rPr>
        <w:rFonts w:ascii="Times New Roman" w:hAnsi="Times New Roman"/>
        <w:noProof/>
        <w:sz w:val="24"/>
        <w:szCs w:val="24"/>
      </w:rPr>
      <w:t>4</w:t>
    </w:r>
    <w:r w:rsidRPr="004D15A9">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lv-LV" w:vendorID="71" w:dllVersion="512"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070C"/>
    <w:rsid w:val="00001246"/>
    <w:rsid w:val="00020654"/>
    <w:rsid w:val="00021F0C"/>
    <w:rsid w:val="00026D45"/>
    <w:rsid w:val="00031256"/>
    <w:rsid w:val="00034652"/>
    <w:rsid w:val="00035F03"/>
    <w:rsid w:val="00037F91"/>
    <w:rsid w:val="000425AA"/>
    <w:rsid w:val="00047593"/>
    <w:rsid w:val="00050656"/>
    <w:rsid w:val="00050B32"/>
    <w:rsid w:val="0005294C"/>
    <w:rsid w:val="00054298"/>
    <w:rsid w:val="00064E36"/>
    <w:rsid w:val="00070C39"/>
    <w:rsid w:val="00080372"/>
    <w:rsid w:val="00083EAC"/>
    <w:rsid w:val="000850F9"/>
    <w:rsid w:val="000A7262"/>
    <w:rsid w:val="000B18B2"/>
    <w:rsid w:val="000C4479"/>
    <w:rsid w:val="000C5C54"/>
    <w:rsid w:val="000C7B58"/>
    <w:rsid w:val="000E43D6"/>
    <w:rsid w:val="000E57AD"/>
    <w:rsid w:val="000E5A76"/>
    <w:rsid w:val="000E6833"/>
    <w:rsid w:val="00101CD5"/>
    <w:rsid w:val="00103F42"/>
    <w:rsid w:val="0011110A"/>
    <w:rsid w:val="00122537"/>
    <w:rsid w:val="00123F10"/>
    <w:rsid w:val="001265D1"/>
    <w:rsid w:val="001311BC"/>
    <w:rsid w:val="0013661F"/>
    <w:rsid w:val="00136DEC"/>
    <w:rsid w:val="00151D09"/>
    <w:rsid w:val="001552D9"/>
    <w:rsid w:val="00161BE7"/>
    <w:rsid w:val="00164C1A"/>
    <w:rsid w:val="00165462"/>
    <w:rsid w:val="001828F3"/>
    <w:rsid w:val="0018701A"/>
    <w:rsid w:val="001A6492"/>
    <w:rsid w:val="001B1B19"/>
    <w:rsid w:val="001C0463"/>
    <w:rsid w:val="001D5F73"/>
    <w:rsid w:val="001E0721"/>
    <w:rsid w:val="001E48C9"/>
    <w:rsid w:val="002046B1"/>
    <w:rsid w:val="00206866"/>
    <w:rsid w:val="00217E7B"/>
    <w:rsid w:val="002253C7"/>
    <w:rsid w:val="00226ECD"/>
    <w:rsid w:val="002374D4"/>
    <w:rsid w:val="00250AFC"/>
    <w:rsid w:val="0025227F"/>
    <w:rsid w:val="00260E84"/>
    <w:rsid w:val="00261FB1"/>
    <w:rsid w:val="00270946"/>
    <w:rsid w:val="00275347"/>
    <w:rsid w:val="00276511"/>
    <w:rsid w:val="002869F1"/>
    <w:rsid w:val="002912CD"/>
    <w:rsid w:val="002936E7"/>
    <w:rsid w:val="002A14A6"/>
    <w:rsid w:val="002A6845"/>
    <w:rsid w:val="002A7B11"/>
    <w:rsid w:val="002C3AFF"/>
    <w:rsid w:val="002C584C"/>
    <w:rsid w:val="002D30B7"/>
    <w:rsid w:val="002F0841"/>
    <w:rsid w:val="0030739A"/>
    <w:rsid w:val="00310165"/>
    <w:rsid w:val="00321034"/>
    <w:rsid w:val="00322FF1"/>
    <w:rsid w:val="00323455"/>
    <w:rsid w:val="00331451"/>
    <w:rsid w:val="00334BBC"/>
    <w:rsid w:val="003407A4"/>
    <w:rsid w:val="00341687"/>
    <w:rsid w:val="00346AF7"/>
    <w:rsid w:val="00350812"/>
    <w:rsid w:val="00361DC2"/>
    <w:rsid w:val="003705F7"/>
    <w:rsid w:val="003740F9"/>
    <w:rsid w:val="0037471C"/>
    <w:rsid w:val="0038038D"/>
    <w:rsid w:val="003829BB"/>
    <w:rsid w:val="00387038"/>
    <w:rsid w:val="00387D31"/>
    <w:rsid w:val="003922B0"/>
    <w:rsid w:val="003A2A0B"/>
    <w:rsid w:val="003A50D7"/>
    <w:rsid w:val="003B2568"/>
    <w:rsid w:val="003D1A11"/>
    <w:rsid w:val="003E14CE"/>
    <w:rsid w:val="003F142A"/>
    <w:rsid w:val="003F7F08"/>
    <w:rsid w:val="004012B6"/>
    <w:rsid w:val="004151ED"/>
    <w:rsid w:val="00415773"/>
    <w:rsid w:val="0041642E"/>
    <w:rsid w:val="004266A8"/>
    <w:rsid w:val="00435031"/>
    <w:rsid w:val="004465CA"/>
    <w:rsid w:val="00446761"/>
    <w:rsid w:val="00450357"/>
    <w:rsid w:val="004515C3"/>
    <w:rsid w:val="00452125"/>
    <w:rsid w:val="004566B0"/>
    <w:rsid w:val="00456BBC"/>
    <w:rsid w:val="00470EBA"/>
    <w:rsid w:val="00471A84"/>
    <w:rsid w:val="00482BDC"/>
    <w:rsid w:val="004831D7"/>
    <w:rsid w:val="00497939"/>
    <w:rsid w:val="004B0E5A"/>
    <w:rsid w:val="004C0F43"/>
    <w:rsid w:val="004C21BC"/>
    <w:rsid w:val="004D15A9"/>
    <w:rsid w:val="004D2C99"/>
    <w:rsid w:val="004D4887"/>
    <w:rsid w:val="004E5D7D"/>
    <w:rsid w:val="004F23EE"/>
    <w:rsid w:val="004F38B2"/>
    <w:rsid w:val="005048C1"/>
    <w:rsid w:val="00505E44"/>
    <w:rsid w:val="005100E7"/>
    <w:rsid w:val="00513903"/>
    <w:rsid w:val="00513AEB"/>
    <w:rsid w:val="00516411"/>
    <w:rsid w:val="00517B0C"/>
    <w:rsid w:val="00547EB8"/>
    <w:rsid w:val="00553ED9"/>
    <w:rsid w:val="00554468"/>
    <w:rsid w:val="00555FEB"/>
    <w:rsid w:val="005628E6"/>
    <w:rsid w:val="00567127"/>
    <w:rsid w:val="00571608"/>
    <w:rsid w:val="0057326E"/>
    <w:rsid w:val="005852D7"/>
    <w:rsid w:val="00594300"/>
    <w:rsid w:val="00596CE7"/>
    <w:rsid w:val="00597E37"/>
    <w:rsid w:val="005B557B"/>
    <w:rsid w:val="005D3C72"/>
    <w:rsid w:val="005D4E8A"/>
    <w:rsid w:val="005D6C25"/>
    <w:rsid w:val="005F15B8"/>
    <w:rsid w:val="005F6670"/>
    <w:rsid w:val="00603165"/>
    <w:rsid w:val="006038D6"/>
    <w:rsid w:val="00603D97"/>
    <w:rsid w:val="006121AA"/>
    <w:rsid w:val="00613581"/>
    <w:rsid w:val="00614196"/>
    <w:rsid w:val="006141B8"/>
    <w:rsid w:val="00614886"/>
    <w:rsid w:val="00616932"/>
    <w:rsid w:val="00617AA2"/>
    <w:rsid w:val="00627F39"/>
    <w:rsid w:val="00633001"/>
    <w:rsid w:val="00634C49"/>
    <w:rsid w:val="00647768"/>
    <w:rsid w:val="006539C3"/>
    <w:rsid w:val="006947B0"/>
    <w:rsid w:val="006B174E"/>
    <w:rsid w:val="006B1872"/>
    <w:rsid w:val="006B4A3D"/>
    <w:rsid w:val="006C364E"/>
    <w:rsid w:val="006D2F7C"/>
    <w:rsid w:val="006D318E"/>
    <w:rsid w:val="006D592C"/>
    <w:rsid w:val="006D65AD"/>
    <w:rsid w:val="00706592"/>
    <w:rsid w:val="00711509"/>
    <w:rsid w:val="00714884"/>
    <w:rsid w:val="00716671"/>
    <w:rsid w:val="00725892"/>
    <w:rsid w:val="00727268"/>
    <w:rsid w:val="0073046F"/>
    <w:rsid w:val="00741240"/>
    <w:rsid w:val="007469F9"/>
    <w:rsid w:val="00753EEB"/>
    <w:rsid w:val="0076066B"/>
    <w:rsid w:val="00772053"/>
    <w:rsid w:val="00775AAD"/>
    <w:rsid w:val="0078366A"/>
    <w:rsid w:val="00792508"/>
    <w:rsid w:val="007931D9"/>
    <w:rsid w:val="00796509"/>
    <w:rsid w:val="007A5913"/>
    <w:rsid w:val="007B1F6F"/>
    <w:rsid w:val="007B2A8A"/>
    <w:rsid w:val="007B79AF"/>
    <w:rsid w:val="007C1C27"/>
    <w:rsid w:val="007E31A6"/>
    <w:rsid w:val="007E5EDB"/>
    <w:rsid w:val="007E78D5"/>
    <w:rsid w:val="007F277E"/>
    <w:rsid w:val="007F33F3"/>
    <w:rsid w:val="008011BD"/>
    <w:rsid w:val="008023FE"/>
    <w:rsid w:val="0081203F"/>
    <w:rsid w:val="00814117"/>
    <w:rsid w:val="0085103C"/>
    <w:rsid w:val="00855EBD"/>
    <w:rsid w:val="00857743"/>
    <w:rsid w:val="008678CC"/>
    <w:rsid w:val="008755B2"/>
    <w:rsid w:val="00877864"/>
    <w:rsid w:val="00883616"/>
    <w:rsid w:val="008B1815"/>
    <w:rsid w:val="008C6F4F"/>
    <w:rsid w:val="008C7134"/>
    <w:rsid w:val="008E07D4"/>
    <w:rsid w:val="008E2622"/>
    <w:rsid w:val="008E71C3"/>
    <w:rsid w:val="008E71C9"/>
    <w:rsid w:val="008F3E48"/>
    <w:rsid w:val="00910A7B"/>
    <w:rsid w:val="0091133B"/>
    <w:rsid w:val="00921951"/>
    <w:rsid w:val="00925697"/>
    <w:rsid w:val="00931BD9"/>
    <w:rsid w:val="00936F95"/>
    <w:rsid w:val="00943C1F"/>
    <w:rsid w:val="009450D8"/>
    <w:rsid w:val="00951529"/>
    <w:rsid w:val="00955E54"/>
    <w:rsid w:val="00982D8B"/>
    <w:rsid w:val="00985E7D"/>
    <w:rsid w:val="0098734C"/>
    <w:rsid w:val="00992F11"/>
    <w:rsid w:val="009936E0"/>
    <w:rsid w:val="009B5178"/>
    <w:rsid w:val="009C7354"/>
    <w:rsid w:val="009D1875"/>
    <w:rsid w:val="009E1B99"/>
    <w:rsid w:val="009E24D8"/>
    <w:rsid w:val="00A335BA"/>
    <w:rsid w:val="00A364DE"/>
    <w:rsid w:val="00A4559F"/>
    <w:rsid w:val="00A52292"/>
    <w:rsid w:val="00A52FB3"/>
    <w:rsid w:val="00A5466D"/>
    <w:rsid w:val="00A61F07"/>
    <w:rsid w:val="00A65514"/>
    <w:rsid w:val="00A70204"/>
    <w:rsid w:val="00A7413E"/>
    <w:rsid w:val="00A80422"/>
    <w:rsid w:val="00A82506"/>
    <w:rsid w:val="00A826B4"/>
    <w:rsid w:val="00A85D37"/>
    <w:rsid w:val="00A90F77"/>
    <w:rsid w:val="00A9184B"/>
    <w:rsid w:val="00AA7006"/>
    <w:rsid w:val="00AB0C6D"/>
    <w:rsid w:val="00AB105F"/>
    <w:rsid w:val="00AB7714"/>
    <w:rsid w:val="00AC167F"/>
    <w:rsid w:val="00AC339C"/>
    <w:rsid w:val="00AC340C"/>
    <w:rsid w:val="00AC5B99"/>
    <w:rsid w:val="00AD3524"/>
    <w:rsid w:val="00AD524D"/>
    <w:rsid w:val="00AD52A9"/>
    <w:rsid w:val="00AE0C01"/>
    <w:rsid w:val="00AE7F87"/>
    <w:rsid w:val="00AF61F2"/>
    <w:rsid w:val="00B00464"/>
    <w:rsid w:val="00B01B59"/>
    <w:rsid w:val="00B05E2D"/>
    <w:rsid w:val="00B07427"/>
    <w:rsid w:val="00B12E0A"/>
    <w:rsid w:val="00B267EA"/>
    <w:rsid w:val="00B32DA2"/>
    <w:rsid w:val="00B46609"/>
    <w:rsid w:val="00B46EBD"/>
    <w:rsid w:val="00B47BEA"/>
    <w:rsid w:val="00B51243"/>
    <w:rsid w:val="00B56761"/>
    <w:rsid w:val="00B57F33"/>
    <w:rsid w:val="00B673A9"/>
    <w:rsid w:val="00B7606B"/>
    <w:rsid w:val="00B837D3"/>
    <w:rsid w:val="00BA04EA"/>
    <w:rsid w:val="00BA0749"/>
    <w:rsid w:val="00BA3932"/>
    <w:rsid w:val="00BA4759"/>
    <w:rsid w:val="00BA72E9"/>
    <w:rsid w:val="00BB1F46"/>
    <w:rsid w:val="00BB28F1"/>
    <w:rsid w:val="00BB413E"/>
    <w:rsid w:val="00BC1A01"/>
    <w:rsid w:val="00BC2ADF"/>
    <w:rsid w:val="00BC5F59"/>
    <w:rsid w:val="00BD49A8"/>
    <w:rsid w:val="00BD6669"/>
    <w:rsid w:val="00BE14E4"/>
    <w:rsid w:val="00BE4024"/>
    <w:rsid w:val="00BE60BB"/>
    <w:rsid w:val="00C068E5"/>
    <w:rsid w:val="00C06EA4"/>
    <w:rsid w:val="00C16B68"/>
    <w:rsid w:val="00C26E8D"/>
    <w:rsid w:val="00C27BC6"/>
    <w:rsid w:val="00C32966"/>
    <w:rsid w:val="00C41985"/>
    <w:rsid w:val="00C42D64"/>
    <w:rsid w:val="00C43F0E"/>
    <w:rsid w:val="00C515AF"/>
    <w:rsid w:val="00C578AB"/>
    <w:rsid w:val="00C61260"/>
    <w:rsid w:val="00C71149"/>
    <w:rsid w:val="00C7617F"/>
    <w:rsid w:val="00C853AF"/>
    <w:rsid w:val="00C97902"/>
    <w:rsid w:val="00CB64F3"/>
    <w:rsid w:val="00CB7AAE"/>
    <w:rsid w:val="00CC1D71"/>
    <w:rsid w:val="00CC2571"/>
    <w:rsid w:val="00CE5C77"/>
    <w:rsid w:val="00CF2EB9"/>
    <w:rsid w:val="00CF6941"/>
    <w:rsid w:val="00CF78BD"/>
    <w:rsid w:val="00D12F7E"/>
    <w:rsid w:val="00D16978"/>
    <w:rsid w:val="00D17D49"/>
    <w:rsid w:val="00D2462C"/>
    <w:rsid w:val="00D279C5"/>
    <w:rsid w:val="00D313D5"/>
    <w:rsid w:val="00D316E1"/>
    <w:rsid w:val="00D352A1"/>
    <w:rsid w:val="00D47776"/>
    <w:rsid w:val="00D510D9"/>
    <w:rsid w:val="00D55067"/>
    <w:rsid w:val="00D63D0E"/>
    <w:rsid w:val="00D6698B"/>
    <w:rsid w:val="00D702BA"/>
    <w:rsid w:val="00D73B14"/>
    <w:rsid w:val="00D8126E"/>
    <w:rsid w:val="00D82292"/>
    <w:rsid w:val="00D851A7"/>
    <w:rsid w:val="00D860F6"/>
    <w:rsid w:val="00D90016"/>
    <w:rsid w:val="00D92D19"/>
    <w:rsid w:val="00D95E26"/>
    <w:rsid w:val="00DA596D"/>
    <w:rsid w:val="00DA5D9F"/>
    <w:rsid w:val="00DB47A0"/>
    <w:rsid w:val="00DC6B92"/>
    <w:rsid w:val="00DD1A91"/>
    <w:rsid w:val="00DD6A0F"/>
    <w:rsid w:val="00DE02CA"/>
    <w:rsid w:val="00DF0455"/>
    <w:rsid w:val="00DF10F0"/>
    <w:rsid w:val="00DF4C38"/>
    <w:rsid w:val="00DF58C0"/>
    <w:rsid w:val="00DF5F58"/>
    <w:rsid w:val="00DF7A9D"/>
    <w:rsid w:val="00E037B0"/>
    <w:rsid w:val="00E066EA"/>
    <w:rsid w:val="00E159F1"/>
    <w:rsid w:val="00E35909"/>
    <w:rsid w:val="00E359E0"/>
    <w:rsid w:val="00E430EF"/>
    <w:rsid w:val="00E44B5D"/>
    <w:rsid w:val="00E45679"/>
    <w:rsid w:val="00E56E83"/>
    <w:rsid w:val="00E627AF"/>
    <w:rsid w:val="00E65F35"/>
    <w:rsid w:val="00E71E09"/>
    <w:rsid w:val="00E77944"/>
    <w:rsid w:val="00E805F8"/>
    <w:rsid w:val="00E92971"/>
    <w:rsid w:val="00EA3EA3"/>
    <w:rsid w:val="00EC71EA"/>
    <w:rsid w:val="00ED2772"/>
    <w:rsid w:val="00ED4197"/>
    <w:rsid w:val="00ED594E"/>
    <w:rsid w:val="00EE47A3"/>
    <w:rsid w:val="00EF2430"/>
    <w:rsid w:val="00EF2BC6"/>
    <w:rsid w:val="00EF4CE3"/>
    <w:rsid w:val="00EF64D6"/>
    <w:rsid w:val="00F0290E"/>
    <w:rsid w:val="00F14AA0"/>
    <w:rsid w:val="00F22E22"/>
    <w:rsid w:val="00F249AD"/>
    <w:rsid w:val="00F26E58"/>
    <w:rsid w:val="00F27DAA"/>
    <w:rsid w:val="00F35F57"/>
    <w:rsid w:val="00F36D29"/>
    <w:rsid w:val="00F4155A"/>
    <w:rsid w:val="00F41717"/>
    <w:rsid w:val="00F42535"/>
    <w:rsid w:val="00F52F9F"/>
    <w:rsid w:val="00F67CD8"/>
    <w:rsid w:val="00F702A6"/>
    <w:rsid w:val="00F74036"/>
    <w:rsid w:val="00F76020"/>
    <w:rsid w:val="00F8564E"/>
    <w:rsid w:val="00F911A8"/>
    <w:rsid w:val="00F94B57"/>
    <w:rsid w:val="00FA689C"/>
    <w:rsid w:val="00FA795E"/>
    <w:rsid w:val="00FB2226"/>
    <w:rsid w:val="00FB7C3D"/>
    <w:rsid w:val="00FC1156"/>
    <w:rsid w:val="00FC47AC"/>
    <w:rsid w:val="00FD1692"/>
    <w:rsid w:val="00FD1ECE"/>
    <w:rsid w:val="00FE3803"/>
    <w:rsid w:val="00FE62D5"/>
    <w:rsid w:val="00FE6AF9"/>
    <w:rsid w:val="00FE6B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F5264-6BEA-4266-B288-E776BE9C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3A2A0B"/>
    <w:rPr>
      <w:rFonts w:ascii="Tahoma" w:hAnsi="Tahoma" w:cs="Tahoma"/>
      <w:sz w:val="16"/>
      <w:szCs w:val="16"/>
    </w:rPr>
  </w:style>
  <w:style w:type="character" w:styleId="Komentraatsauce">
    <w:name w:val="annotation reference"/>
    <w:uiPriority w:val="99"/>
    <w:unhideWhenUsed/>
    <w:rsid w:val="00D702BA"/>
    <w:rPr>
      <w:sz w:val="16"/>
      <w:szCs w:val="16"/>
    </w:rPr>
  </w:style>
  <w:style w:type="paragraph" w:styleId="Komentrateksts">
    <w:name w:val="annotation text"/>
    <w:basedOn w:val="Parasts"/>
    <w:link w:val="KomentratekstsRakstz"/>
    <w:uiPriority w:val="99"/>
    <w:semiHidden/>
    <w:unhideWhenUsed/>
    <w:rsid w:val="00D702BA"/>
    <w:pPr>
      <w:spacing w:line="240" w:lineRule="auto"/>
    </w:pPr>
    <w:rPr>
      <w:sz w:val="20"/>
      <w:szCs w:val="20"/>
    </w:rPr>
  </w:style>
  <w:style w:type="character" w:customStyle="1" w:styleId="KomentratekstsRakstz">
    <w:name w:val="Komentāra teksts Rakstz."/>
    <w:link w:val="Komentrateksts"/>
    <w:uiPriority w:val="99"/>
    <w:semiHidden/>
    <w:rsid w:val="00D702BA"/>
    <w:rPr>
      <w:sz w:val="20"/>
      <w:szCs w:val="20"/>
    </w:rPr>
  </w:style>
  <w:style w:type="paragraph" w:styleId="Komentratma">
    <w:name w:val="annotation subject"/>
    <w:basedOn w:val="Komentrateksts"/>
    <w:next w:val="Komentrateksts"/>
    <w:link w:val="KomentratmaRakstz"/>
    <w:uiPriority w:val="99"/>
    <w:semiHidden/>
    <w:unhideWhenUsed/>
    <w:rsid w:val="00D702BA"/>
    <w:rPr>
      <w:b/>
      <w:bCs/>
    </w:rPr>
  </w:style>
  <w:style w:type="character" w:customStyle="1" w:styleId="KomentratmaRakstz">
    <w:name w:val="Komentāra tēma Rakstz."/>
    <w:link w:val="Komentratma"/>
    <w:uiPriority w:val="99"/>
    <w:semiHidden/>
    <w:rsid w:val="00D702BA"/>
    <w:rPr>
      <w:b/>
      <w:bCs/>
      <w:sz w:val="20"/>
      <w:szCs w:val="20"/>
    </w:rPr>
  </w:style>
  <w:style w:type="paragraph" w:styleId="Prskatjums">
    <w:name w:val="Revision"/>
    <w:hidden/>
    <w:uiPriority w:val="99"/>
    <w:semiHidden/>
    <w:rsid w:val="00050656"/>
    <w:rPr>
      <w:sz w:val="22"/>
      <w:szCs w:val="22"/>
      <w:lang w:eastAsia="en-US"/>
    </w:rPr>
  </w:style>
  <w:style w:type="paragraph" w:customStyle="1" w:styleId="StyleBodyText14ptFirstline127cm">
    <w:name w:val="Style Body Text + 14 pt First line:  127 cm"/>
    <w:basedOn w:val="Pamatteksts"/>
    <w:rsid w:val="00603165"/>
    <w:pPr>
      <w:suppressAutoHyphens/>
      <w:spacing w:line="240" w:lineRule="auto"/>
      <w:ind w:firstLine="720"/>
      <w:jc w:val="both"/>
    </w:pPr>
    <w:rPr>
      <w:rFonts w:ascii="Times New Roman" w:eastAsia="Times New Roman" w:hAnsi="Times New Roman"/>
      <w:sz w:val="28"/>
      <w:szCs w:val="20"/>
      <w:lang w:eastAsia="ar-SA"/>
    </w:rPr>
  </w:style>
  <w:style w:type="paragraph" w:styleId="Pamatteksts">
    <w:name w:val="Body Text"/>
    <w:basedOn w:val="Parasts"/>
    <w:link w:val="PamattekstsRakstz"/>
    <w:uiPriority w:val="99"/>
    <w:semiHidden/>
    <w:unhideWhenUsed/>
    <w:rsid w:val="00603165"/>
    <w:pPr>
      <w:spacing w:after="120"/>
    </w:pPr>
  </w:style>
  <w:style w:type="character" w:customStyle="1" w:styleId="PamattekstsRakstz">
    <w:name w:val="Pamatteksts Rakstz."/>
    <w:basedOn w:val="Noklusjumarindkopasfonts"/>
    <w:link w:val="Pamatteksts"/>
    <w:uiPriority w:val="99"/>
    <w:semiHidden/>
    <w:rsid w:val="00603165"/>
    <w:rPr>
      <w:sz w:val="22"/>
      <w:szCs w:val="22"/>
      <w:lang w:eastAsia="en-US"/>
    </w:rPr>
  </w:style>
  <w:style w:type="paragraph" w:customStyle="1" w:styleId="tvhtml">
    <w:name w:val="tv_html"/>
    <w:basedOn w:val="Parasts"/>
    <w:rsid w:val="00DE02CA"/>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iPriority w:val="99"/>
    <w:unhideWhenUsed/>
    <w:rsid w:val="00D16978"/>
    <w:rPr>
      <w:color w:val="0000FF" w:themeColor="hyperlink"/>
      <w:u w:val="single"/>
    </w:rPr>
  </w:style>
  <w:style w:type="character" w:styleId="Neatrisintapieminana">
    <w:name w:val="Unresolved Mention"/>
    <w:basedOn w:val="Noklusjumarindkopasfonts"/>
    <w:uiPriority w:val="99"/>
    <w:semiHidden/>
    <w:unhideWhenUsed/>
    <w:rsid w:val="00D169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458380736">
      <w:bodyDiv w:val="1"/>
      <w:marLeft w:val="0"/>
      <w:marRight w:val="0"/>
      <w:marTop w:val="0"/>
      <w:marBottom w:val="0"/>
      <w:divBdr>
        <w:top w:val="none" w:sz="0" w:space="0" w:color="auto"/>
        <w:left w:val="none" w:sz="0" w:space="0" w:color="auto"/>
        <w:bottom w:val="none" w:sz="0" w:space="0" w:color="auto"/>
        <w:right w:val="none" w:sz="0" w:space="0" w:color="auto"/>
      </w:divBdr>
    </w:div>
    <w:div w:id="563564410">
      <w:bodyDiv w:val="1"/>
      <w:marLeft w:val="0"/>
      <w:marRight w:val="0"/>
      <w:marTop w:val="0"/>
      <w:marBottom w:val="0"/>
      <w:divBdr>
        <w:top w:val="none" w:sz="0" w:space="0" w:color="auto"/>
        <w:left w:val="none" w:sz="0" w:space="0" w:color="auto"/>
        <w:bottom w:val="none" w:sz="0" w:space="0" w:color="auto"/>
        <w:right w:val="none" w:sz="0" w:space="0" w:color="auto"/>
      </w:divBdr>
    </w:div>
    <w:div w:id="677928237">
      <w:bodyDiv w:val="1"/>
      <w:marLeft w:val="0"/>
      <w:marRight w:val="0"/>
      <w:marTop w:val="0"/>
      <w:marBottom w:val="0"/>
      <w:divBdr>
        <w:top w:val="none" w:sz="0" w:space="0" w:color="auto"/>
        <w:left w:val="none" w:sz="0" w:space="0" w:color="auto"/>
        <w:bottom w:val="none" w:sz="0" w:space="0" w:color="auto"/>
        <w:right w:val="none" w:sz="0" w:space="0" w:color="auto"/>
      </w:divBdr>
    </w:div>
    <w:div w:id="1249122897">
      <w:bodyDiv w:val="1"/>
      <w:marLeft w:val="0"/>
      <w:marRight w:val="0"/>
      <w:marTop w:val="0"/>
      <w:marBottom w:val="0"/>
      <w:divBdr>
        <w:top w:val="none" w:sz="0" w:space="0" w:color="auto"/>
        <w:left w:val="none" w:sz="0" w:space="0" w:color="auto"/>
        <w:bottom w:val="none" w:sz="0" w:space="0" w:color="auto"/>
        <w:right w:val="none" w:sz="0" w:space="0" w:color="auto"/>
      </w:divBdr>
    </w:div>
    <w:div w:id="1325821367">
      <w:bodyDiv w:val="1"/>
      <w:marLeft w:val="0"/>
      <w:marRight w:val="0"/>
      <w:marTop w:val="0"/>
      <w:marBottom w:val="0"/>
      <w:divBdr>
        <w:top w:val="none" w:sz="0" w:space="0" w:color="auto"/>
        <w:left w:val="none" w:sz="0" w:space="0" w:color="auto"/>
        <w:bottom w:val="none" w:sz="0" w:space="0" w:color="auto"/>
        <w:right w:val="none" w:sz="0" w:space="0" w:color="auto"/>
      </w:divBdr>
    </w:div>
    <w:div w:id="1369911194">
      <w:bodyDiv w:val="1"/>
      <w:marLeft w:val="0"/>
      <w:marRight w:val="0"/>
      <w:marTop w:val="0"/>
      <w:marBottom w:val="0"/>
      <w:divBdr>
        <w:top w:val="none" w:sz="0" w:space="0" w:color="auto"/>
        <w:left w:val="none" w:sz="0" w:space="0" w:color="auto"/>
        <w:bottom w:val="none" w:sz="0" w:space="0" w:color="auto"/>
        <w:right w:val="none" w:sz="0" w:space="0" w:color="auto"/>
      </w:divBdr>
    </w:div>
    <w:div w:id="1714424036">
      <w:bodyDiv w:val="1"/>
      <w:marLeft w:val="0"/>
      <w:marRight w:val="0"/>
      <w:marTop w:val="0"/>
      <w:marBottom w:val="0"/>
      <w:divBdr>
        <w:top w:val="none" w:sz="0" w:space="0" w:color="auto"/>
        <w:left w:val="none" w:sz="0" w:space="0" w:color="auto"/>
        <w:bottom w:val="none" w:sz="0" w:space="0" w:color="auto"/>
        <w:right w:val="none" w:sz="0" w:space="0" w:color="auto"/>
      </w:divBdr>
    </w:div>
    <w:div w:id="1861699375">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ese.teplova@ta.gov.l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C1E5-85EB-4EE6-B964-8973A2165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1D2485-46EE-4F68-B96B-811C7451AD2C}">
  <ds:schemaRefs>
    <ds:schemaRef ds:uri="http://schemas.microsoft.com/sharepoint/v3/contenttype/forms"/>
  </ds:schemaRefs>
</ds:datastoreItem>
</file>

<file path=customXml/itemProps3.xml><?xml version="1.0" encoding="utf-8"?>
<ds:datastoreItem xmlns:ds="http://schemas.openxmlformats.org/officeDocument/2006/customXml" ds:itemID="{91EBD17C-62AB-468F-AE58-633507D51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81FCB7-F822-4C3A-A20D-2B473CD3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9184</Words>
  <Characters>5235</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"Noteikumi par drošības pamatprasībām tiesā" sākotnējās ietekmes novērtējuma ziņojums (anotācija)</vt:lpstr>
      <vt:lpstr>Ministru kabineta noteikumu projekta "Noteikumi par paziņojumu ierakstu izdarīšanai reliģisko organizāciju un to iestāžu reģistrā" sākotnējās ietekmes novērtējuma ziņojums (anotācija)</vt:lpstr>
    </vt:vector>
  </TitlesOfParts>
  <Company>Tieslietu ministrija</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drošības pamatprasībām tiesā" sākotnējās ietekmes novērtējuma ziņojums (anotācija)</dc:title>
  <dc:subject>Anotācija</dc:subject>
  <dc:creator>Inese Teplova</dc:creator>
  <dc:description>67063889
inese.teplova@ta.gov.lv</dc:description>
  <cp:lastModifiedBy>Arturs Gravitis</cp:lastModifiedBy>
  <cp:revision>2</cp:revision>
  <cp:lastPrinted>2017-03-14T07:47:00Z</cp:lastPrinted>
  <dcterms:created xsi:type="dcterms:W3CDTF">2017-12-08T09:47:00Z</dcterms:created>
  <dcterms:modified xsi:type="dcterms:W3CDTF">2017-12-08T09:47:00Z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