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6E33C8B0" w:rsidR="004D15A9" w:rsidRPr="0099131E" w:rsidRDefault="0099131E" w:rsidP="0099131E">
      <w:pPr>
        <w:spacing w:after="0" w:line="240" w:lineRule="auto"/>
        <w:jc w:val="center"/>
        <w:rPr>
          <w:rFonts w:ascii="Times New Roman" w:eastAsia="Times New Roman" w:hAnsi="Times New Roman" w:cs="Times New Roman"/>
          <w:b/>
          <w:bCs/>
          <w:color w:val="000000"/>
          <w:sz w:val="24"/>
          <w:szCs w:val="24"/>
          <w:lang w:eastAsia="lv-LV"/>
        </w:rPr>
      </w:pPr>
      <w:r w:rsidRPr="0099131E">
        <w:rPr>
          <w:rFonts w:ascii="Times New Roman" w:eastAsia="Times New Roman" w:hAnsi="Times New Roman" w:cs="Times New Roman"/>
          <w:b/>
          <w:bCs/>
          <w:sz w:val="24"/>
          <w:szCs w:val="24"/>
          <w:lang w:eastAsia="lv-LV"/>
        </w:rPr>
        <w:t>Ministru kabineta noteikumu projekta "</w:t>
      </w:r>
      <w:r w:rsidRPr="0099131E">
        <w:rPr>
          <w:rFonts w:ascii="Times New Roman" w:eastAsia="Times New Roman" w:hAnsi="Times New Roman" w:cs="Times New Roman"/>
          <w:b/>
          <w:bCs/>
          <w:color w:val="000000"/>
          <w:sz w:val="24"/>
          <w:szCs w:val="24"/>
          <w:lang w:eastAsia="lv-LV"/>
        </w:rPr>
        <w:t>Grozījumi Ministru kabineta 2010. gada 26. oktobra noteikumos Nr. 1001 "Kārtība, kādā Maksātnespējas administrācijas izvēlas un iesaka tiesai maksātnespējas procesa administratora amata kandidātu"</w:t>
      </w:r>
      <w:r w:rsidRPr="0099131E">
        <w:rPr>
          <w:rFonts w:ascii="Times New Roman" w:eastAsia="Times New Roman" w:hAnsi="Times New Roman" w:cs="Times New Roman"/>
          <w:b/>
          <w:bCs/>
          <w:sz w:val="24"/>
          <w:szCs w:val="24"/>
          <w:lang w:eastAsia="lv-LV"/>
        </w:rPr>
        <w:t>"</w:t>
      </w:r>
      <w:r w:rsidR="004D15A9" w:rsidRPr="0099131E">
        <w:rPr>
          <w:rFonts w:ascii="Times New Roman" w:eastAsia="Times New Roman" w:hAnsi="Times New Roman" w:cs="Times New Roman"/>
          <w:b/>
          <w:bCs/>
          <w:sz w:val="24"/>
          <w:szCs w:val="24"/>
          <w:lang w:eastAsia="lv-LV"/>
        </w:rPr>
        <w:t xml:space="preserve"> sākotnējās ietekmes novērtējuma ziņojums (anotācija)</w:t>
      </w:r>
    </w:p>
    <w:p w14:paraId="1C76E832" w14:textId="77777777" w:rsidR="00DA596D" w:rsidRPr="00BC263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42" w:type="pct"/>
        <w:tblInd w:w="-38"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
        <w:gridCol w:w="243"/>
        <w:gridCol w:w="177"/>
        <w:gridCol w:w="1983"/>
        <w:gridCol w:w="1277"/>
        <w:gridCol w:w="5376"/>
        <w:gridCol w:w="38"/>
      </w:tblGrid>
      <w:tr w:rsidR="00BC2633" w:rsidRPr="00BC2633" w14:paraId="2C53EF84" w14:textId="77777777" w:rsidTr="006476C0">
        <w:trPr>
          <w:gridBefore w:val="1"/>
          <w:gridAfter w:val="1"/>
          <w:wBefore w:w="20" w:type="pct"/>
          <w:wAfter w:w="21" w:type="pct"/>
          <w:trHeight w:val="405"/>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18B67FDD" w14:textId="2D9FAB12" w:rsidR="004D15A9" w:rsidRPr="00BC2633" w:rsidRDefault="003311D8"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w:t>
            </w:r>
            <w:r w:rsidR="004D15A9" w:rsidRPr="00BC2633">
              <w:rPr>
                <w:rFonts w:ascii="Times New Roman" w:eastAsia="Times New Roman" w:hAnsi="Times New Roman" w:cs="Times New Roman"/>
                <w:b/>
                <w:bCs/>
                <w:sz w:val="24"/>
                <w:szCs w:val="24"/>
                <w:lang w:eastAsia="lv-LV"/>
              </w:rPr>
              <w:t>Tiesību akta projekta izstrādes nepieciešamība</w:t>
            </w:r>
          </w:p>
        </w:tc>
      </w:tr>
      <w:tr w:rsidR="00BC2633" w:rsidRPr="00BC2633" w14:paraId="22687615" w14:textId="77777777" w:rsidTr="007472E6">
        <w:trPr>
          <w:gridBefore w:val="1"/>
          <w:gridAfter w:val="1"/>
          <w:wBefore w:w="20" w:type="pct"/>
          <w:wAfter w:w="21" w:type="pct"/>
          <w:trHeight w:val="405"/>
        </w:trPr>
        <w:tc>
          <w:tcPr>
            <w:tcW w:w="133"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83" w:type="pct"/>
            <w:gridSpan w:val="2"/>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643" w:type="pct"/>
            <w:gridSpan w:val="2"/>
            <w:tcBorders>
              <w:top w:val="outset" w:sz="6" w:space="0" w:color="414142"/>
              <w:left w:val="outset" w:sz="6" w:space="0" w:color="414142"/>
              <w:bottom w:val="outset" w:sz="6" w:space="0" w:color="414142"/>
              <w:right w:val="outset" w:sz="6" w:space="0" w:color="414142"/>
            </w:tcBorders>
            <w:hideMark/>
          </w:tcPr>
          <w:p w14:paraId="0A3EB312" w14:textId="457DD8F9" w:rsidR="004D15A9" w:rsidRPr="00BC2633" w:rsidRDefault="0099131E" w:rsidP="00607364">
            <w:pPr>
              <w:spacing w:after="0" w:line="240" w:lineRule="auto"/>
              <w:ind w:firstLine="272"/>
              <w:jc w:val="both"/>
              <w:rPr>
                <w:rFonts w:ascii="Times New Roman" w:eastAsia="Times New Roman" w:hAnsi="Times New Roman" w:cs="Times New Roman"/>
                <w:sz w:val="24"/>
                <w:szCs w:val="24"/>
                <w:lang w:eastAsia="lv-LV"/>
              </w:rPr>
            </w:pPr>
            <w:r w:rsidRPr="0099131E">
              <w:rPr>
                <w:rFonts w:ascii="Times New Roman" w:eastAsia="Times New Roman" w:hAnsi="Times New Roman" w:cs="Times New Roman"/>
                <w:sz w:val="24"/>
                <w:szCs w:val="24"/>
                <w:lang w:eastAsia="lv-LV"/>
              </w:rPr>
              <w:t>Maksātnespējas p</w:t>
            </w:r>
            <w:r>
              <w:rPr>
                <w:rFonts w:ascii="Times New Roman" w:eastAsia="Times New Roman" w:hAnsi="Times New Roman" w:cs="Times New Roman"/>
                <w:sz w:val="24"/>
                <w:szCs w:val="24"/>
                <w:lang w:eastAsia="lv-LV"/>
              </w:rPr>
              <w:t>olitikas attīstības pamatnostādņu 2016. </w:t>
            </w:r>
            <w:r>
              <w:rPr>
                <w:rFonts w:ascii="Times New Roman" w:eastAsia="Times New Roman" w:hAnsi="Times New Roman" w:cs="Times New Roman"/>
                <w:sz w:val="24"/>
                <w:szCs w:val="24"/>
                <w:lang w:eastAsia="lv-LV"/>
              </w:rPr>
              <w:noBreakHyphen/>
            </w:r>
            <w:r w:rsidRPr="0099131E">
              <w:rPr>
                <w:rFonts w:ascii="Times New Roman" w:eastAsia="Times New Roman" w:hAnsi="Times New Roman" w:cs="Times New Roman"/>
                <w:sz w:val="24"/>
                <w:szCs w:val="24"/>
                <w:lang w:eastAsia="lv-LV"/>
              </w:rPr>
              <w:t> 2020.</w:t>
            </w:r>
            <w:r>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 xml:space="preserve">gadam </w:t>
            </w:r>
            <w:r w:rsidR="003B2B69" w:rsidRPr="003B2B69">
              <w:rPr>
                <w:rFonts w:ascii="Times New Roman" w:eastAsia="Times New Roman" w:hAnsi="Times New Roman" w:cs="Times New Roman"/>
                <w:sz w:val="24"/>
                <w:szCs w:val="24"/>
                <w:lang w:eastAsia="lv-LV"/>
              </w:rPr>
              <w:t>un to īstenošanas plān</w:t>
            </w:r>
            <w:r w:rsidR="003B2B69">
              <w:rPr>
                <w:rFonts w:ascii="Times New Roman" w:eastAsia="Times New Roman" w:hAnsi="Times New Roman" w:cs="Times New Roman"/>
                <w:sz w:val="24"/>
                <w:szCs w:val="24"/>
                <w:lang w:eastAsia="lv-LV"/>
              </w:rPr>
              <w:t>a</w:t>
            </w:r>
            <w:r w:rsidR="003B2B69" w:rsidRPr="003B2B69">
              <w:rPr>
                <w:rFonts w:ascii="Times New Roman" w:eastAsia="Times New Roman" w:hAnsi="Times New Roman" w:cs="Times New Roman"/>
                <w:sz w:val="24"/>
                <w:szCs w:val="24"/>
                <w:lang w:eastAsia="lv-LV"/>
              </w:rPr>
              <w:t xml:space="preserve"> </w:t>
            </w:r>
            <w:r w:rsidRPr="0099131E">
              <w:rPr>
                <w:rFonts w:ascii="Times New Roman" w:eastAsia="Times New Roman" w:hAnsi="Times New Roman" w:cs="Times New Roman"/>
                <w:sz w:val="24"/>
                <w:szCs w:val="24"/>
                <w:lang w:eastAsia="lv-LV"/>
              </w:rPr>
              <w:t>(turpm</w:t>
            </w:r>
            <w:r>
              <w:rPr>
                <w:rFonts w:ascii="Times New Roman" w:eastAsia="Times New Roman" w:hAnsi="Times New Roman" w:cs="Times New Roman"/>
                <w:sz w:val="24"/>
                <w:szCs w:val="24"/>
                <w:lang w:eastAsia="lv-LV"/>
              </w:rPr>
              <w:t>āk – Pamatnostādnes) (atbalstītas</w:t>
            </w:r>
            <w:r w:rsidRPr="0099131E">
              <w:rPr>
                <w:rFonts w:ascii="Times New Roman" w:eastAsia="Times New Roman" w:hAnsi="Times New Roman" w:cs="Times New Roman"/>
                <w:sz w:val="24"/>
                <w:szCs w:val="24"/>
                <w:lang w:eastAsia="lv-LV"/>
              </w:rPr>
              <w:t xml:space="preserve"> ar Ministru kabineta 2016.</w:t>
            </w:r>
            <w:r>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gada 21.</w:t>
            </w:r>
            <w:r>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septembra rīkojumu Nr.</w:t>
            </w:r>
            <w:r w:rsidR="003311D8">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527 "Par Maksātnespējas politikas attīstības pamatnostādnēm 2016.</w:t>
            </w:r>
            <w:r>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-2020.</w:t>
            </w:r>
            <w:r>
              <w:rPr>
                <w:rFonts w:ascii="Times New Roman" w:eastAsia="Times New Roman" w:hAnsi="Times New Roman" w:cs="Times New Roman"/>
                <w:sz w:val="24"/>
                <w:szCs w:val="24"/>
                <w:lang w:eastAsia="lv-LV"/>
              </w:rPr>
              <w:t> </w:t>
            </w:r>
            <w:r w:rsidRPr="0099131E">
              <w:rPr>
                <w:rFonts w:ascii="Times New Roman" w:eastAsia="Times New Roman" w:hAnsi="Times New Roman" w:cs="Times New Roman"/>
                <w:sz w:val="24"/>
                <w:szCs w:val="24"/>
                <w:lang w:eastAsia="lv-LV"/>
              </w:rPr>
              <w:t>gadam un to īstenošanas</w:t>
            </w:r>
            <w:r>
              <w:rPr>
                <w:rFonts w:ascii="Times New Roman" w:eastAsia="Times New Roman" w:hAnsi="Times New Roman" w:cs="Times New Roman"/>
                <w:sz w:val="24"/>
                <w:szCs w:val="24"/>
                <w:lang w:eastAsia="lv-LV"/>
              </w:rPr>
              <w:t xml:space="preserve"> plānu", protokols Nr.</w:t>
            </w:r>
            <w:r w:rsidR="003311D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44 30.§) </w:t>
            </w:r>
            <w:r w:rsidR="003311D8">
              <w:rPr>
                <w:rFonts w:ascii="Times New Roman" w:eastAsia="Times New Roman" w:hAnsi="Times New Roman" w:cs="Times New Roman"/>
                <w:sz w:val="24"/>
                <w:szCs w:val="24"/>
                <w:lang w:eastAsia="lv-LV"/>
              </w:rPr>
              <w:t>4.4. </w:t>
            </w:r>
            <w:r w:rsidR="003B2B69">
              <w:rPr>
                <w:rFonts w:ascii="Times New Roman" w:eastAsia="Times New Roman" w:hAnsi="Times New Roman" w:cs="Times New Roman"/>
                <w:sz w:val="24"/>
                <w:szCs w:val="24"/>
                <w:lang w:eastAsia="lv-LV"/>
              </w:rPr>
              <w:t>apakšpunkts</w:t>
            </w:r>
            <w:r w:rsidR="00863838">
              <w:rPr>
                <w:rFonts w:ascii="Times New Roman" w:eastAsia="Times New Roman" w:hAnsi="Times New Roman" w:cs="Times New Roman"/>
                <w:sz w:val="24"/>
                <w:szCs w:val="24"/>
                <w:lang w:eastAsia="lv-LV"/>
              </w:rPr>
              <w:t>.</w:t>
            </w:r>
          </w:p>
        </w:tc>
      </w:tr>
      <w:tr w:rsidR="00BC2633" w:rsidRPr="00BC2633" w14:paraId="5FF7B6AF" w14:textId="77777777" w:rsidTr="007472E6">
        <w:trPr>
          <w:gridBefore w:val="1"/>
          <w:gridAfter w:val="1"/>
          <w:wBefore w:w="20" w:type="pct"/>
          <w:wAfter w:w="21" w:type="pct"/>
          <w:trHeight w:val="465"/>
        </w:trPr>
        <w:tc>
          <w:tcPr>
            <w:tcW w:w="133"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83" w:type="pct"/>
            <w:gridSpan w:val="2"/>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643" w:type="pct"/>
            <w:gridSpan w:val="2"/>
            <w:tcBorders>
              <w:top w:val="outset" w:sz="6" w:space="0" w:color="414142"/>
              <w:left w:val="outset" w:sz="6" w:space="0" w:color="414142"/>
              <w:bottom w:val="outset" w:sz="6" w:space="0" w:color="414142"/>
              <w:right w:val="outset" w:sz="6" w:space="0" w:color="414142"/>
            </w:tcBorders>
            <w:hideMark/>
          </w:tcPr>
          <w:p w14:paraId="69A6D20C" w14:textId="75437D64" w:rsidR="00F07759" w:rsidRDefault="00F46CCA" w:rsidP="00F07759">
            <w:pPr>
              <w:spacing w:after="0" w:line="240" w:lineRule="auto"/>
              <w:ind w:firstLine="27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w:t>
            </w:r>
            <w:r w:rsidR="00F07759">
              <w:rPr>
                <w:rFonts w:ascii="Times New Roman" w:eastAsia="Times New Roman" w:hAnsi="Times New Roman" w:cs="Times New Roman"/>
                <w:sz w:val="24"/>
                <w:szCs w:val="24"/>
                <w:lang w:eastAsia="lv-LV"/>
              </w:rPr>
              <w:t>K</w:t>
            </w:r>
            <w:r w:rsidR="00F07759" w:rsidRPr="00F07759">
              <w:rPr>
                <w:rFonts w:ascii="Times New Roman" w:eastAsia="Times New Roman" w:hAnsi="Times New Roman" w:cs="Times New Roman"/>
                <w:sz w:val="24"/>
                <w:szCs w:val="24"/>
                <w:lang w:eastAsia="lv-LV"/>
              </w:rPr>
              <w:t xml:space="preserve">ārtību, kādā Maksātnespējas administrācija izvēlas un iesaka tiesai </w:t>
            </w:r>
            <w:r w:rsidR="00D35DD8">
              <w:rPr>
                <w:rFonts w:ascii="Times New Roman" w:eastAsia="Times New Roman" w:hAnsi="Times New Roman" w:cs="Times New Roman"/>
                <w:sz w:val="24"/>
                <w:szCs w:val="24"/>
                <w:lang w:eastAsia="lv-LV"/>
              </w:rPr>
              <w:t xml:space="preserve">maksātnespējas procesa </w:t>
            </w:r>
            <w:r w:rsidR="00F07759" w:rsidRPr="00F07759">
              <w:rPr>
                <w:rFonts w:ascii="Times New Roman" w:eastAsia="Times New Roman" w:hAnsi="Times New Roman" w:cs="Times New Roman"/>
                <w:sz w:val="24"/>
                <w:szCs w:val="24"/>
                <w:lang w:eastAsia="lv-LV"/>
              </w:rPr>
              <w:t>administratora</w:t>
            </w:r>
            <w:r w:rsidR="00D35DD8">
              <w:rPr>
                <w:rFonts w:ascii="Times New Roman" w:eastAsia="Times New Roman" w:hAnsi="Times New Roman" w:cs="Times New Roman"/>
                <w:sz w:val="24"/>
                <w:szCs w:val="24"/>
                <w:lang w:eastAsia="lv-LV"/>
              </w:rPr>
              <w:t xml:space="preserve"> (turpmāk – administrators)</w:t>
            </w:r>
            <w:r w:rsidR="00F07759" w:rsidRPr="00F07759">
              <w:rPr>
                <w:rFonts w:ascii="Times New Roman" w:eastAsia="Times New Roman" w:hAnsi="Times New Roman" w:cs="Times New Roman"/>
                <w:sz w:val="24"/>
                <w:szCs w:val="24"/>
                <w:lang w:eastAsia="lv-LV"/>
              </w:rPr>
              <w:t xml:space="preserve"> amata kandidātu konkrētam tiesiskās aizsardzības procesam, juridiskās personas maksātnespējas procesam vai fiziskās p</w:t>
            </w:r>
            <w:r w:rsidR="00F07759">
              <w:rPr>
                <w:rFonts w:ascii="Times New Roman" w:eastAsia="Times New Roman" w:hAnsi="Times New Roman" w:cs="Times New Roman"/>
                <w:sz w:val="24"/>
                <w:szCs w:val="24"/>
                <w:lang w:eastAsia="lv-LV"/>
              </w:rPr>
              <w:t xml:space="preserve">ersonas maksātnespējas procesam, nosaka </w:t>
            </w:r>
            <w:r w:rsidR="00F07759" w:rsidRPr="00F07759">
              <w:rPr>
                <w:rFonts w:ascii="Times New Roman" w:eastAsia="Times New Roman" w:hAnsi="Times New Roman" w:cs="Times New Roman"/>
                <w:sz w:val="24"/>
                <w:szCs w:val="24"/>
                <w:lang w:eastAsia="lv-LV"/>
              </w:rPr>
              <w:t>Ministru kabineta 2010. gada 2</w:t>
            </w:r>
            <w:r w:rsidR="00600027">
              <w:rPr>
                <w:rFonts w:ascii="Times New Roman" w:eastAsia="Times New Roman" w:hAnsi="Times New Roman" w:cs="Times New Roman"/>
                <w:sz w:val="24"/>
                <w:szCs w:val="24"/>
                <w:lang w:eastAsia="lv-LV"/>
              </w:rPr>
              <w:t>6. oktobra noteikumi Nr.</w:t>
            </w:r>
            <w:r w:rsidR="003311D8">
              <w:rPr>
                <w:rFonts w:ascii="Times New Roman" w:eastAsia="Times New Roman" w:hAnsi="Times New Roman" w:cs="Times New Roman"/>
                <w:sz w:val="24"/>
                <w:szCs w:val="24"/>
                <w:lang w:eastAsia="lv-LV"/>
              </w:rPr>
              <w:t> </w:t>
            </w:r>
            <w:r w:rsidR="00F07759" w:rsidRPr="00F07759">
              <w:rPr>
                <w:rFonts w:ascii="Times New Roman" w:eastAsia="Times New Roman" w:hAnsi="Times New Roman" w:cs="Times New Roman"/>
                <w:sz w:val="24"/>
                <w:szCs w:val="24"/>
                <w:lang w:eastAsia="lv-LV"/>
              </w:rPr>
              <w:t xml:space="preserve">1001 "Kārtība, kādā Maksātnespējas administrācija izvēlas un iesaka tiesai maksātnespējas procesa administratora amata kandidātu" (turpmāk – </w:t>
            </w:r>
            <w:r w:rsidR="00600027">
              <w:rPr>
                <w:rFonts w:ascii="Times New Roman" w:eastAsia="Times New Roman" w:hAnsi="Times New Roman" w:cs="Times New Roman"/>
                <w:sz w:val="24"/>
                <w:szCs w:val="24"/>
                <w:lang w:eastAsia="lv-LV"/>
              </w:rPr>
              <w:t>Ministru kabineta noteikumi Nr.</w:t>
            </w:r>
            <w:r w:rsidR="003311D8">
              <w:rPr>
                <w:rFonts w:ascii="Times New Roman" w:eastAsia="Times New Roman" w:hAnsi="Times New Roman" w:cs="Times New Roman"/>
                <w:sz w:val="24"/>
                <w:szCs w:val="24"/>
                <w:lang w:eastAsia="lv-LV"/>
              </w:rPr>
              <w:t> </w:t>
            </w:r>
            <w:r w:rsidR="00F07759" w:rsidRPr="00F07759">
              <w:rPr>
                <w:rFonts w:ascii="Times New Roman" w:eastAsia="Times New Roman" w:hAnsi="Times New Roman" w:cs="Times New Roman"/>
                <w:sz w:val="24"/>
                <w:szCs w:val="24"/>
                <w:lang w:eastAsia="lv-LV"/>
              </w:rPr>
              <w:t>1001)</w:t>
            </w:r>
            <w:r w:rsidR="00F07759">
              <w:rPr>
                <w:rFonts w:ascii="Times New Roman" w:eastAsia="Times New Roman" w:hAnsi="Times New Roman" w:cs="Times New Roman"/>
                <w:sz w:val="24"/>
                <w:szCs w:val="24"/>
                <w:lang w:eastAsia="lv-LV"/>
              </w:rPr>
              <w:t>.</w:t>
            </w:r>
          </w:p>
          <w:p w14:paraId="490896DE" w14:textId="36C40638" w:rsidR="00EF5002" w:rsidRPr="003311D8" w:rsidRDefault="00D35DD8" w:rsidP="00EF5002">
            <w:pPr>
              <w:spacing w:after="0" w:line="240" w:lineRule="auto"/>
              <w:ind w:firstLine="272"/>
              <w:jc w:val="both"/>
              <w:rPr>
                <w:rFonts w:ascii="Times New Roman" w:eastAsia="Times New Roman" w:hAnsi="Times New Roman" w:cs="Times New Roman"/>
                <w:sz w:val="24"/>
                <w:szCs w:val="24"/>
                <w:lang w:eastAsia="lv-LV"/>
              </w:rPr>
            </w:pPr>
            <w:r w:rsidRPr="003311D8">
              <w:rPr>
                <w:rFonts w:ascii="Times New Roman" w:eastAsia="Times New Roman" w:hAnsi="Times New Roman" w:cs="Times New Roman"/>
                <w:sz w:val="24"/>
                <w:szCs w:val="24"/>
                <w:lang w:eastAsia="lv-LV"/>
              </w:rPr>
              <w:t>Veicot minētā regulējuma piemērošanas prakses izvērtējumu, konstatēts, ka</w:t>
            </w:r>
            <w:r w:rsidRPr="003311D8">
              <w:rPr>
                <w:rFonts w:ascii="Times New Roman" w:hAnsi="Times New Roman" w:cs="Times New Roman"/>
                <w:sz w:val="24"/>
                <w:szCs w:val="24"/>
              </w:rPr>
              <w:t xml:space="preserve"> atbilstoši šobrīd spēkā esošajai Ministru kabineta noteikumu Nr.</w:t>
            </w:r>
            <w:r w:rsidR="003311D8">
              <w:rPr>
                <w:rFonts w:ascii="Times New Roman" w:hAnsi="Times New Roman" w:cs="Times New Roman"/>
                <w:sz w:val="24"/>
                <w:szCs w:val="24"/>
              </w:rPr>
              <w:t> </w:t>
            </w:r>
            <w:r w:rsidRPr="003311D8">
              <w:rPr>
                <w:rFonts w:ascii="Times New Roman" w:hAnsi="Times New Roman" w:cs="Times New Roman"/>
                <w:sz w:val="24"/>
                <w:szCs w:val="24"/>
              </w:rPr>
              <w:t>1001 redakcijai, pastāvot iespējai atteikties no konkrēt</w:t>
            </w:r>
            <w:r w:rsidR="0055665C" w:rsidRPr="003311D8">
              <w:rPr>
                <w:rFonts w:ascii="Times New Roman" w:hAnsi="Times New Roman" w:cs="Times New Roman"/>
                <w:sz w:val="24"/>
                <w:szCs w:val="24"/>
              </w:rPr>
              <w:t>a</w:t>
            </w:r>
            <w:r w:rsidRPr="003311D8">
              <w:rPr>
                <w:rFonts w:ascii="Times New Roman" w:hAnsi="Times New Roman" w:cs="Times New Roman"/>
                <w:sz w:val="24"/>
                <w:szCs w:val="24"/>
              </w:rPr>
              <w:t xml:space="preserve"> procesa pirms </w:t>
            </w:r>
            <w:r w:rsidR="0055665C" w:rsidRPr="003311D8">
              <w:rPr>
                <w:rFonts w:ascii="Times New Roman" w:hAnsi="Times New Roman" w:cs="Times New Roman"/>
                <w:sz w:val="24"/>
                <w:szCs w:val="24"/>
              </w:rPr>
              <w:t>Maksātnespējas administrācijas ieteikuma vēstules nosūtīšanas tiesai</w:t>
            </w:r>
            <w:r w:rsidRPr="003311D8">
              <w:rPr>
                <w:rFonts w:ascii="Times New Roman" w:hAnsi="Times New Roman" w:cs="Times New Roman"/>
                <w:sz w:val="24"/>
                <w:szCs w:val="24"/>
              </w:rPr>
              <w:t xml:space="preserve">, </w:t>
            </w:r>
            <w:r w:rsidRPr="003311D8">
              <w:rPr>
                <w:rFonts w:ascii="Times New Roman" w:eastAsia="Times New Roman" w:hAnsi="Times New Roman" w:cs="Times New Roman"/>
                <w:sz w:val="24"/>
                <w:szCs w:val="24"/>
                <w:lang w:eastAsia="lv-LV"/>
              </w:rPr>
              <w:t>administratori var veikt saskaņotas darbības, izstājoties no rindas, tādējādi ietekmējot to, kurš administrators tiks iete</w:t>
            </w:r>
            <w:r w:rsidR="0055665C" w:rsidRPr="003311D8">
              <w:rPr>
                <w:rFonts w:ascii="Times New Roman" w:eastAsia="Times New Roman" w:hAnsi="Times New Roman" w:cs="Times New Roman"/>
                <w:sz w:val="24"/>
                <w:szCs w:val="24"/>
                <w:lang w:eastAsia="lv-LV"/>
              </w:rPr>
              <w:t>i</w:t>
            </w:r>
            <w:r w:rsidRPr="003311D8">
              <w:rPr>
                <w:rFonts w:ascii="Times New Roman" w:eastAsia="Times New Roman" w:hAnsi="Times New Roman" w:cs="Times New Roman"/>
                <w:sz w:val="24"/>
                <w:szCs w:val="24"/>
                <w:lang w:eastAsia="lv-LV"/>
              </w:rPr>
              <w:t xml:space="preserve">kts tiesai konkrētā procesā. </w:t>
            </w:r>
            <w:r w:rsidR="00EF5002" w:rsidRPr="003311D8">
              <w:rPr>
                <w:rFonts w:ascii="Times New Roman" w:eastAsia="Times New Roman" w:hAnsi="Times New Roman" w:cs="Times New Roman"/>
                <w:sz w:val="24"/>
                <w:szCs w:val="24"/>
                <w:lang w:eastAsia="lv-LV"/>
              </w:rPr>
              <w:t>Tāpat pastāv iespēja, ka administratori var prognozēt rindas virzību, kas kopsakarā ar iespēju atteikties no konkrēta procesa, rada risku, ka administrators var tikt neobjektīvi ierindots maksātnespējas procesā, kurš varētu tikt uzskatīts par nozīmīgu komerctiesiskajā vidē, ekonomikā, tautsaimniecībā, tostarp, ar vērtīgiem aktīviem.</w:t>
            </w:r>
          </w:p>
          <w:p w14:paraId="03A08F2E" w14:textId="0D354DB0" w:rsidR="00F07759" w:rsidRPr="003311D8" w:rsidRDefault="00EF5002" w:rsidP="00F07759">
            <w:pPr>
              <w:spacing w:after="0" w:line="240" w:lineRule="auto"/>
              <w:ind w:firstLine="272"/>
              <w:jc w:val="both"/>
              <w:rPr>
                <w:rFonts w:ascii="Times New Roman" w:eastAsia="Times New Roman" w:hAnsi="Times New Roman" w:cs="Times New Roman"/>
                <w:sz w:val="24"/>
                <w:szCs w:val="24"/>
                <w:lang w:eastAsia="lv-LV"/>
              </w:rPr>
            </w:pPr>
            <w:r w:rsidRPr="003311D8">
              <w:rPr>
                <w:rFonts w:ascii="Times New Roman" w:eastAsia="Times New Roman" w:hAnsi="Times New Roman" w:cs="Times New Roman"/>
                <w:sz w:val="24"/>
                <w:szCs w:val="24"/>
                <w:lang w:eastAsia="lv-LV"/>
              </w:rPr>
              <w:t>Ievērojot minēto, kā arī a</w:t>
            </w:r>
            <w:r w:rsidR="00600027" w:rsidRPr="003311D8">
              <w:rPr>
                <w:rFonts w:ascii="Times New Roman" w:eastAsia="Times New Roman" w:hAnsi="Times New Roman" w:cs="Times New Roman"/>
                <w:sz w:val="24"/>
                <w:szCs w:val="24"/>
                <w:lang w:eastAsia="lv-LV"/>
              </w:rPr>
              <w:t>tbilstoši Pamatnostādņu 4.4. apakšpunktam, lai nodrošinātu, ka</w:t>
            </w:r>
            <w:r w:rsidR="00600027" w:rsidRPr="003311D8">
              <w:rPr>
                <w:rFonts w:ascii="Times New Roman" w:hAnsi="Times New Roman" w:cs="Times New Roman"/>
                <w:bCs/>
                <w:sz w:val="24"/>
                <w:szCs w:val="24"/>
              </w:rPr>
              <w:t xml:space="preserve"> administratori </w:t>
            </w:r>
            <w:r w:rsidR="00600027" w:rsidRPr="003311D8">
              <w:rPr>
                <w:rFonts w:ascii="Times New Roman" w:eastAsia="Times New Roman" w:hAnsi="Times New Roman" w:cs="Times New Roman"/>
                <w:bCs/>
                <w:sz w:val="24"/>
                <w:szCs w:val="24"/>
                <w:lang w:eastAsia="lv-LV"/>
              </w:rPr>
              <w:t>ir kvalificēti un profesionāli speciālisti, kas efektīvi pilda savus pienākumus (un rūpējas par profesijas prestižu), jāveic</w:t>
            </w:r>
            <w:r w:rsidR="00600027" w:rsidRPr="003311D8">
              <w:rPr>
                <w:rFonts w:ascii="Times New Roman" w:eastAsia="Times New Roman" w:hAnsi="Times New Roman" w:cs="Times New Roman"/>
                <w:sz w:val="24"/>
                <w:szCs w:val="24"/>
                <w:lang w:eastAsia="lv-LV"/>
              </w:rPr>
              <w:t xml:space="preserve"> </w:t>
            </w:r>
            <w:r w:rsidR="00600027" w:rsidRPr="003311D8">
              <w:rPr>
                <w:rFonts w:ascii="Times New Roman" w:eastAsia="Times New Roman" w:hAnsi="Times New Roman" w:cs="Times New Roman"/>
                <w:bCs/>
                <w:sz w:val="24"/>
                <w:szCs w:val="24"/>
                <w:lang w:eastAsia="lv-LV"/>
              </w:rPr>
              <w:t>rinda</w:t>
            </w:r>
            <w:r w:rsidRPr="003311D8">
              <w:rPr>
                <w:rFonts w:ascii="Times New Roman" w:eastAsia="Times New Roman" w:hAnsi="Times New Roman" w:cs="Times New Roman"/>
                <w:bCs/>
                <w:sz w:val="24"/>
                <w:szCs w:val="24"/>
                <w:lang w:eastAsia="lv-LV"/>
              </w:rPr>
              <w:t xml:space="preserve">s </w:t>
            </w:r>
            <w:r w:rsidR="00600027" w:rsidRPr="003311D8">
              <w:rPr>
                <w:rFonts w:ascii="Times New Roman" w:eastAsia="Times New Roman" w:hAnsi="Times New Roman" w:cs="Times New Roman"/>
                <w:bCs/>
                <w:sz w:val="24"/>
                <w:szCs w:val="24"/>
                <w:lang w:eastAsia="lv-LV"/>
              </w:rPr>
              <w:t>darbības uzlabošana, tostarp, stiprinot</w:t>
            </w:r>
            <w:r w:rsidR="00600027" w:rsidRPr="003311D8">
              <w:rPr>
                <w:rFonts w:ascii="Times New Roman" w:eastAsia="Times New Roman" w:hAnsi="Times New Roman" w:cs="Times New Roman"/>
                <w:sz w:val="24"/>
                <w:szCs w:val="24"/>
                <w:lang w:eastAsia="lv-LV"/>
              </w:rPr>
              <w:t xml:space="preserve"> </w:t>
            </w:r>
            <w:r w:rsidR="00F07759" w:rsidRPr="003311D8">
              <w:rPr>
                <w:rFonts w:ascii="Times New Roman" w:eastAsia="Times New Roman" w:hAnsi="Times New Roman" w:cs="Times New Roman"/>
                <w:sz w:val="24"/>
                <w:szCs w:val="24"/>
                <w:lang w:eastAsia="lv-LV"/>
              </w:rPr>
              <w:t>rinda</w:t>
            </w:r>
            <w:r w:rsidR="00AE09AD" w:rsidRPr="003311D8">
              <w:rPr>
                <w:rFonts w:ascii="Times New Roman" w:eastAsia="Times New Roman" w:hAnsi="Times New Roman" w:cs="Times New Roman"/>
                <w:sz w:val="24"/>
                <w:szCs w:val="24"/>
                <w:lang w:eastAsia="lv-LV"/>
              </w:rPr>
              <w:t>s</w:t>
            </w:r>
            <w:r w:rsidR="00600027" w:rsidRPr="003311D8">
              <w:rPr>
                <w:rFonts w:ascii="Times New Roman" w:eastAsia="Times New Roman" w:hAnsi="Times New Roman" w:cs="Times New Roman"/>
                <w:sz w:val="24"/>
                <w:szCs w:val="24"/>
                <w:lang w:eastAsia="lv-LV"/>
              </w:rPr>
              <w:t xml:space="preserve"> </w:t>
            </w:r>
            <w:r w:rsidR="00F07759" w:rsidRPr="003311D8">
              <w:rPr>
                <w:rFonts w:ascii="Times New Roman" w:eastAsia="Times New Roman" w:hAnsi="Times New Roman" w:cs="Times New Roman"/>
                <w:sz w:val="24"/>
                <w:szCs w:val="24"/>
                <w:lang w:eastAsia="lv-LV"/>
              </w:rPr>
              <w:t>nejaušības principu – rindas darbības algoritmu</w:t>
            </w:r>
            <w:r w:rsidR="00580EF8" w:rsidRPr="003311D8">
              <w:rPr>
                <w:rFonts w:ascii="Times New Roman" w:eastAsia="Times New Roman" w:hAnsi="Times New Roman" w:cs="Times New Roman"/>
                <w:sz w:val="24"/>
                <w:szCs w:val="24"/>
                <w:lang w:eastAsia="lv-LV"/>
              </w:rPr>
              <w:t> –</w:t>
            </w:r>
            <w:r w:rsidR="00F07759" w:rsidRPr="003311D8">
              <w:rPr>
                <w:rFonts w:ascii="Times New Roman" w:eastAsia="Times New Roman" w:hAnsi="Times New Roman" w:cs="Times New Roman"/>
                <w:sz w:val="24"/>
                <w:szCs w:val="24"/>
                <w:lang w:eastAsia="lv-LV"/>
              </w:rPr>
              <w:t xml:space="preserve"> </w:t>
            </w:r>
            <w:r w:rsidR="00600027" w:rsidRPr="003311D8">
              <w:rPr>
                <w:rFonts w:ascii="Times New Roman" w:eastAsia="Times New Roman" w:hAnsi="Times New Roman" w:cs="Times New Roman"/>
                <w:sz w:val="24"/>
                <w:szCs w:val="24"/>
                <w:lang w:eastAsia="lv-LV"/>
              </w:rPr>
              <w:t>un ieviešot risinājumus, lai nodrošinātu, ka administrators atsakās no administrēšanas tikai likumā paredzētajos gadījumos, kā arī paredzēt sekas nepamatota atteikuma gadījumā.</w:t>
            </w:r>
          </w:p>
          <w:p w14:paraId="39004B39" w14:textId="7440DB2A" w:rsidR="00AE09AD" w:rsidRDefault="00D35DD8" w:rsidP="00F07759">
            <w:pPr>
              <w:spacing w:after="0" w:line="240" w:lineRule="auto"/>
              <w:ind w:firstLine="27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s</w:t>
            </w:r>
            <w:r w:rsidR="00AE09AD" w:rsidRPr="00AE09AD">
              <w:rPr>
                <w:rFonts w:ascii="Times New Roman" w:eastAsia="Times New Roman" w:hAnsi="Times New Roman" w:cs="Times New Roman"/>
                <w:sz w:val="24"/>
                <w:szCs w:val="24"/>
                <w:lang w:eastAsia="lv-LV"/>
              </w:rPr>
              <w:t xml:space="preserve">askaņā </w:t>
            </w:r>
            <w:r w:rsidR="00104FEF">
              <w:rPr>
                <w:rFonts w:ascii="Times New Roman" w:eastAsia="Times New Roman" w:hAnsi="Times New Roman" w:cs="Times New Roman"/>
                <w:sz w:val="24"/>
                <w:szCs w:val="24"/>
                <w:lang w:eastAsia="lv-LV"/>
              </w:rPr>
              <w:t xml:space="preserve">ar </w:t>
            </w:r>
            <w:r w:rsidR="00AE09AD">
              <w:rPr>
                <w:rFonts w:ascii="Times New Roman" w:eastAsia="Times New Roman" w:hAnsi="Times New Roman" w:cs="Times New Roman"/>
                <w:sz w:val="24"/>
                <w:szCs w:val="24"/>
                <w:lang w:eastAsia="lv-LV"/>
              </w:rPr>
              <w:t xml:space="preserve">Maksātnespējas likuma grozījumiem, kas stājās spēkā 2017. gada 6. janvārī, </w:t>
            </w:r>
            <w:r w:rsidR="00AE09AD" w:rsidRPr="00AE09AD">
              <w:rPr>
                <w:rFonts w:ascii="Times New Roman" w:eastAsia="Times New Roman" w:hAnsi="Times New Roman" w:cs="Times New Roman"/>
                <w:sz w:val="24"/>
                <w:szCs w:val="24"/>
                <w:lang w:eastAsia="lv-LV"/>
              </w:rPr>
              <w:t>noteiktas izmaiņas tiesiskās aizsardzības procesa regulējumā, ieviešot tiesiskās aizsardzības procesa uzraugošās personas (turpmāk – uzraugošā persona) institūtu un brīvā tirgus principu. Regulējums attiecībā uz izmaiņām tiesiskās aizsardzības procesā</w:t>
            </w:r>
            <w:r w:rsidR="00AE09AD">
              <w:rPr>
                <w:rFonts w:ascii="Times New Roman" w:eastAsia="Times New Roman" w:hAnsi="Times New Roman" w:cs="Times New Roman"/>
                <w:sz w:val="24"/>
                <w:szCs w:val="24"/>
                <w:lang w:eastAsia="lv-LV"/>
              </w:rPr>
              <w:t>, tostarp</w:t>
            </w:r>
            <w:r w:rsidR="00AE09AD" w:rsidRPr="00AE09AD">
              <w:rPr>
                <w:rFonts w:ascii="Times New Roman" w:eastAsia="Times New Roman" w:hAnsi="Times New Roman" w:cs="Times New Roman"/>
                <w:sz w:val="24"/>
                <w:szCs w:val="24"/>
                <w:lang w:eastAsia="lv-LV"/>
              </w:rPr>
              <w:t xml:space="preserve"> par uzraugošās personas noteikšanu, stājās spēkā 2017. gada 1. jūlijā un ir piemērojams tiesiskās aizsardzības procesiem, kas ierosināti pēc 2017. gada 1. jūlija. Līdz minētā regulējuma spēkā stāšanās brīdim atbilstoši Ministru kabineta </w:t>
            </w:r>
            <w:r w:rsidR="00AE09AD" w:rsidRPr="00AE09AD">
              <w:rPr>
                <w:rFonts w:ascii="Times New Roman" w:eastAsia="Times New Roman" w:hAnsi="Times New Roman" w:cs="Times New Roman"/>
                <w:sz w:val="24"/>
                <w:szCs w:val="24"/>
                <w:lang w:eastAsia="lv-LV"/>
              </w:rPr>
              <w:lastRenderedPageBreak/>
              <w:t>noteikumi</w:t>
            </w:r>
            <w:r w:rsidR="005612C3">
              <w:rPr>
                <w:rFonts w:ascii="Times New Roman" w:eastAsia="Times New Roman" w:hAnsi="Times New Roman" w:cs="Times New Roman"/>
                <w:sz w:val="24"/>
                <w:szCs w:val="24"/>
                <w:lang w:eastAsia="lv-LV"/>
              </w:rPr>
              <w:t>em</w:t>
            </w:r>
            <w:r w:rsidR="00AE09AD" w:rsidRPr="00AE09AD">
              <w:rPr>
                <w:rFonts w:ascii="Times New Roman" w:eastAsia="Times New Roman" w:hAnsi="Times New Roman" w:cs="Times New Roman"/>
                <w:sz w:val="24"/>
                <w:szCs w:val="24"/>
                <w:lang w:eastAsia="lv-LV"/>
              </w:rPr>
              <w:t xml:space="preserve"> Nr.</w:t>
            </w:r>
            <w:r w:rsidR="00F46CCA">
              <w:rPr>
                <w:rFonts w:ascii="Times New Roman" w:eastAsia="Times New Roman" w:hAnsi="Times New Roman" w:cs="Times New Roman"/>
                <w:sz w:val="24"/>
                <w:szCs w:val="24"/>
                <w:lang w:eastAsia="lv-LV"/>
              </w:rPr>
              <w:t> </w:t>
            </w:r>
            <w:r w:rsidR="00AE09AD" w:rsidRPr="00AE09AD">
              <w:rPr>
                <w:rFonts w:ascii="Times New Roman" w:eastAsia="Times New Roman" w:hAnsi="Times New Roman" w:cs="Times New Roman"/>
                <w:sz w:val="24"/>
                <w:szCs w:val="24"/>
                <w:lang w:eastAsia="lv-LV"/>
              </w:rPr>
              <w:t>1001 Maksātnespējas admi</w:t>
            </w:r>
            <w:r w:rsidR="00AE09AD">
              <w:rPr>
                <w:rFonts w:ascii="Times New Roman" w:eastAsia="Times New Roman" w:hAnsi="Times New Roman" w:cs="Times New Roman"/>
                <w:sz w:val="24"/>
                <w:szCs w:val="24"/>
                <w:lang w:eastAsia="lv-LV"/>
              </w:rPr>
              <w:t>nistrācija, izmantojot rindu, izvēlējās un ieteica tiesām administratora kandidātus arī tiesiskās aizsardzības procesiem.</w:t>
            </w:r>
            <w:r w:rsidR="00AE09AD" w:rsidRPr="00AE09AD">
              <w:rPr>
                <w:rFonts w:ascii="Times New Roman" w:eastAsia="Times New Roman" w:hAnsi="Times New Roman" w:cs="Times New Roman"/>
                <w:sz w:val="24"/>
                <w:szCs w:val="24"/>
                <w:lang w:eastAsia="lv-LV"/>
              </w:rPr>
              <w:t xml:space="preserve"> Savukārt no 2017. gada 1. jūlija tiesiskās aizsardzības procesā tiesa iecels uzraugošo personu pēc kreditoru vairākuma ieteikuma.</w:t>
            </w:r>
          </w:p>
          <w:p w14:paraId="762EC505" w14:textId="392E6289" w:rsidR="003B2B69" w:rsidRPr="003311D8" w:rsidRDefault="00F46CCA" w:rsidP="00F21D88">
            <w:pPr>
              <w:spacing w:after="0" w:line="240" w:lineRule="auto"/>
              <w:ind w:firstLine="27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w:t>
            </w:r>
            <w:r w:rsidR="003311D8">
              <w:rPr>
                <w:rFonts w:ascii="Times New Roman" w:eastAsia="Times New Roman" w:hAnsi="Times New Roman" w:cs="Times New Roman"/>
                <w:sz w:val="24"/>
                <w:szCs w:val="24"/>
                <w:lang w:eastAsia="lv-LV"/>
              </w:rPr>
              <w:t> </w:t>
            </w:r>
            <w:r w:rsidR="00CE6FD0" w:rsidRPr="003311D8">
              <w:rPr>
                <w:rFonts w:ascii="Times New Roman" w:eastAsia="Times New Roman" w:hAnsi="Times New Roman" w:cs="Times New Roman"/>
                <w:sz w:val="24"/>
                <w:szCs w:val="24"/>
                <w:lang w:eastAsia="lv-LV"/>
              </w:rPr>
              <w:t xml:space="preserve">Ņemot vērā </w:t>
            </w:r>
            <w:r w:rsidR="00AE09AD" w:rsidRPr="003311D8">
              <w:rPr>
                <w:rFonts w:ascii="Times New Roman" w:eastAsia="Times New Roman" w:hAnsi="Times New Roman" w:cs="Times New Roman"/>
                <w:sz w:val="24"/>
                <w:szCs w:val="24"/>
                <w:lang w:eastAsia="lv-LV"/>
              </w:rPr>
              <w:t>minēto, l</w:t>
            </w:r>
            <w:r w:rsidR="003B2B69" w:rsidRPr="003311D8">
              <w:rPr>
                <w:rFonts w:ascii="Times New Roman" w:eastAsia="Times New Roman" w:hAnsi="Times New Roman" w:cs="Times New Roman"/>
                <w:sz w:val="24"/>
                <w:szCs w:val="24"/>
                <w:lang w:eastAsia="lv-LV"/>
              </w:rPr>
              <w:t xml:space="preserve">ai </w:t>
            </w:r>
            <w:r w:rsidR="00EF5002" w:rsidRPr="003311D8">
              <w:rPr>
                <w:rFonts w:ascii="Times New Roman" w:eastAsia="Times New Roman" w:hAnsi="Times New Roman" w:cs="Times New Roman"/>
                <w:sz w:val="24"/>
                <w:szCs w:val="24"/>
                <w:lang w:eastAsia="lv-LV"/>
              </w:rPr>
              <w:t xml:space="preserve">novērstu iespēju, ka administrators var tikt neobjektīvi ierindots maksātnespējas procesā, </w:t>
            </w:r>
            <w:r w:rsidR="00CE6FD0" w:rsidRPr="003311D8">
              <w:rPr>
                <w:rFonts w:ascii="Times New Roman" w:eastAsia="Times New Roman" w:hAnsi="Times New Roman" w:cs="Times New Roman"/>
                <w:sz w:val="24"/>
                <w:szCs w:val="24"/>
                <w:lang w:eastAsia="lv-LV"/>
              </w:rPr>
              <w:t>kas</w:t>
            </w:r>
            <w:r w:rsidR="00EF5002" w:rsidRPr="003311D8">
              <w:rPr>
                <w:rFonts w:ascii="Times New Roman" w:eastAsia="Times New Roman" w:hAnsi="Times New Roman" w:cs="Times New Roman"/>
                <w:sz w:val="24"/>
                <w:szCs w:val="24"/>
                <w:lang w:eastAsia="lv-LV"/>
              </w:rPr>
              <w:t xml:space="preserve"> varētu tikt uzskatīts par nozīmīgu komerctiesiskajā vidē, ekonomikā, tautsaimniecībā, tostarp, ar vērtīgiem aktīviem, kā arī </w:t>
            </w:r>
            <w:r w:rsidR="00AE09AD" w:rsidRPr="003311D8">
              <w:rPr>
                <w:rFonts w:ascii="Times New Roman" w:eastAsia="Times New Roman" w:hAnsi="Times New Roman" w:cs="Times New Roman"/>
                <w:sz w:val="24"/>
                <w:szCs w:val="24"/>
                <w:lang w:eastAsia="lv-LV"/>
              </w:rPr>
              <w:t>saskaņotu Ministru kabineta noteikumus Nr.</w:t>
            </w:r>
            <w:r>
              <w:rPr>
                <w:rFonts w:ascii="Times New Roman" w:eastAsia="Times New Roman" w:hAnsi="Times New Roman" w:cs="Times New Roman"/>
                <w:sz w:val="24"/>
                <w:szCs w:val="24"/>
                <w:lang w:eastAsia="lv-LV"/>
              </w:rPr>
              <w:t> </w:t>
            </w:r>
            <w:r w:rsidR="00AE09AD" w:rsidRPr="003311D8">
              <w:rPr>
                <w:rFonts w:ascii="Times New Roman" w:eastAsia="Times New Roman" w:hAnsi="Times New Roman" w:cs="Times New Roman"/>
                <w:sz w:val="24"/>
                <w:szCs w:val="24"/>
                <w:lang w:eastAsia="lv-LV"/>
              </w:rPr>
              <w:t>1001 ar Maksātnespējas likum</w:t>
            </w:r>
            <w:r w:rsidR="00527BEA" w:rsidRPr="003311D8">
              <w:rPr>
                <w:rFonts w:ascii="Times New Roman" w:eastAsia="Times New Roman" w:hAnsi="Times New Roman" w:cs="Times New Roman"/>
                <w:sz w:val="24"/>
                <w:szCs w:val="24"/>
                <w:lang w:eastAsia="lv-LV"/>
              </w:rPr>
              <w:t>ā</w:t>
            </w:r>
            <w:r w:rsidR="00AE09AD" w:rsidRPr="003311D8">
              <w:rPr>
                <w:rFonts w:ascii="Times New Roman" w:eastAsia="Times New Roman" w:hAnsi="Times New Roman" w:cs="Times New Roman"/>
                <w:sz w:val="24"/>
                <w:szCs w:val="24"/>
                <w:lang w:eastAsia="lv-LV"/>
              </w:rPr>
              <w:t xml:space="preserve"> ietverto tiesiskās aizsardzības procesa regulējumu, </w:t>
            </w:r>
            <w:r w:rsidR="00600027" w:rsidRPr="003311D8">
              <w:rPr>
                <w:rFonts w:ascii="Times New Roman" w:eastAsia="Times New Roman" w:hAnsi="Times New Roman" w:cs="Times New Roman"/>
                <w:sz w:val="24"/>
                <w:szCs w:val="24"/>
                <w:lang w:eastAsia="lv-LV"/>
              </w:rPr>
              <w:t xml:space="preserve">ir izstrādāts Ministru kabineta noteikumu projekts </w:t>
            </w:r>
            <w:r w:rsidR="00600027" w:rsidRPr="003311D8">
              <w:rPr>
                <w:rFonts w:ascii="Times New Roman" w:eastAsia="Times New Roman" w:hAnsi="Times New Roman" w:cs="Times New Roman"/>
                <w:bCs/>
                <w:sz w:val="24"/>
                <w:szCs w:val="24"/>
                <w:lang w:eastAsia="lv-LV"/>
              </w:rPr>
              <w:t>"Grozījumi Ministru kabineta 2010. gada 26. oktobra noteikumos Nr. 1001 "Kārtība, kādā Maksātnespējas administrācijas izvēlas un iesaka tiesai maksātnespējas procesa administratora amata kandidātu"" (turpmāk – noteikumu projekts).</w:t>
            </w:r>
          </w:p>
          <w:p w14:paraId="4646EF2C" w14:textId="29B200E7" w:rsidR="000574CD" w:rsidRPr="00CE6FD0" w:rsidRDefault="00F46CCA" w:rsidP="000574CD">
            <w:pPr>
              <w:spacing w:after="0" w:line="240" w:lineRule="auto"/>
              <w:ind w:firstLine="272"/>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r w:rsidR="003311D8">
              <w:rPr>
                <w:rFonts w:ascii="Times New Roman" w:eastAsia="Times New Roman" w:hAnsi="Times New Roman" w:cs="Times New Roman"/>
                <w:bCs/>
                <w:sz w:val="24"/>
                <w:szCs w:val="24"/>
                <w:lang w:eastAsia="lv-LV"/>
              </w:rPr>
              <w:t> </w:t>
            </w:r>
            <w:r w:rsidR="00AE09AD" w:rsidRPr="00CE6FD0">
              <w:rPr>
                <w:rFonts w:ascii="Times New Roman" w:eastAsia="Times New Roman" w:hAnsi="Times New Roman" w:cs="Times New Roman"/>
                <w:bCs/>
                <w:sz w:val="24"/>
                <w:szCs w:val="24"/>
                <w:lang w:eastAsia="lv-LV"/>
              </w:rPr>
              <w:t>Noteikumu projektā paredzēts svītrot regulējumu, kas paredz Maksātnespējas administrācijas pienākumu ieteikt tiesai administratora amata kandidātu konkrētam tiesiskās aizsardzības procesam.</w:t>
            </w:r>
            <w:r w:rsidR="000574CD" w:rsidRPr="00CE6FD0">
              <w:rPr>
                <w:rFonts w:ascii="Times New Roman" w:eastAsia="Times New Roman" w:hAnsi="Times New Roman" w:cs="Times New Roman"/>
                <w:bCs/>
                <w:sz w:val="24"/>
                <w:szCs w:val="24"/>
                <w:lang w:eastAsia="lv-LV"/>
              </w:rPr>
              <w:t xml:space="preserve"> Vienlaikus, lai nodrošinātu administratoru ieteikšanu tiesām tiesiskās aizsardzības procesos, kas ierosināti līdz 2017. gada 1.</w:t>
            </w:r>
            <w:r>
              <w:rPr>
                <w:rFonts w:ascii="Times New Roman" w:eastAsia="Times New Roman" w:hAnsi="Times New Roman" w:cs="Times New Roman"/>
                <w:bCs/>
                <w:sz w:val="24"/>
                <w:szCs w:val="24"/>
                <w:lang w:eastAsia="lv-LV"/>
              </w:rPr>
              <w:t> </w:t>
            </w:r>
            <w:r w:rsidR="000574CD" w:rsidRPr="00CE6FD0">
              <w:rPr>
                <w:rFonts w:ascii="Times New Roman" w:eastAsia="Times New Roman" w:hAnsi="Times New Roman" w:cs="Times New Roman"/>
                <w:bCs/>
                <w:sz w:val="24"/>
                <w:szCs w:val="24"/>
                <w:lang w:eastAsia="lv-LV"/>
              </w:rPr>
              <w:t xml:space="preserve">jūlijam, noteikumu projektā ir paredzēts, ka tiesiskās aizsardzības procesos, kas uzsākti līdz 2017. gada 30. jūnijam, piemēro šo noteikumu redakciju, kas bija spēkā līdz 2017. gada </w:t>
            </w:r>
            <w:r w:rsidR="00CE6FD0">
              <w:rPr>
                <w:rFonts w:ascii="Times New Roman" w:eastAsia="Times New Roman" w:hAnsi="Times New Roman" w:cs="Times New Roman"/>
                <w:bCs/>
                <w:sz w:val="24"/>
                <w:szCs w:val="24"/>
                <w:lang w:eastAsia="lv-LV"/>
              </w:rPr>
              <w:t>30. septembrim</w:t>
            </w:r>
            <w:r w:rsidR="000574CD" w:rsidRPr="00CE6FD0">
              <w:rPr>
                <w:rFonts w:ascii="Times New Roman" w:eastAsia="Times New Roman" w:hAnsi="Times New Roman" w:cs="Times New Roman"/>
                <w:bCs/>
                <w:sz w:val="24"/>
                <w:szCs w:val="24"/>
                <w:lang w:eastAsia="lv-LV"/>
              </w:rPr>
              <w:t>.</w:t>
            </w:r>
          </w:p>
          <w:p w14:paraId="7B493FEF" w14:textId="2CD9590A" w:rsidR="003B2B69" w:rsidRPr="003B2B69" w:rsidRDefault="00F46CCA" w:rsidP="00F21D88">
            <w:pPr>
              <w:spacing w:after="0" w:line="240" w:lineRule="auto"/>
              <w:ind w:firstLine="272"/>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2.2.</w:t>
            </w:r>
            <w:r w:rsidR="003311D8">
              <w:rPr>
                <w:rFonts w:ascii="Times New Roman" w:eastAsia="Times New Roman" w:hAnsi="Times New Roman" w:cs="Times New Roman"/>
                <w:bCs/>
                <w:sz w:val="24"/>
                <w:szCs w:val="24"/>
                <w:lang w:eastAsia="lv-LV"/>
              </w:rPr>
              <w:t> </w:t>
            </w:r>
            <w:r w:rsidR="008216CE" w:rsidRPr="003311D8">
              <w:rPr>
                <w:rFonts w:ascii="Times New Roman" w:eastAsia="Times New Roman" w:hAnsi="Times New Roman" w:cs="Times New Roman"/>
                <w:bCs/>
                <w:sz w:val="24"/>
                <w:szCs w:val="24"/>
                <w:lang w:eastAsia="lv-LV"/>
              </w:rPr>
              <w:t>Lai novērstu iespēju administratoriem ietekmēt rindas darbību,</w:t>
            </w:r>
            <w:r w:rsidR="00FD1875" w:rsidRPr="003311D8">
              <w:rPr>
                <w:rFonts w:ascii="Times New Roman" w:eastAsia="Times New Roman" w:hAnsi="Times New Roman" w:cs="Times New Roman"/>
                <w:sz w:val="24"/>
                <w:szCs w:val="24"/>
                <w:lang w:eastAsia="lv-LV"/>
              </w:rPr>
              <w:t xml:space="preserve"> </w:t>
            </w:r>
            <w:r w:rsidR="00FD1875" w:rsidRPr="003311D8">
              <w:rPr>
                <w:rFonts w:ascii="Times New Roman" w:eastAsia="Times New Roman" w:hAnsi="Times New Roman" w:cs="Times New Roman"/>
                <w:bCs/>
                <w:sz w:val="24"/>
                <w:szCs w:val="24"/>
                <w:lang w:eastAsia="lv-LV"/>
              </w:rPr>
              <w:t>administratoriem veicot saskaņotas darbības, izstājoties no rindas,</w:t>
            </w:r>
            <w:r w:rsidR="008216CE" w:rsidRPr="003311D8">
              <w:rPr>
                <w:rFonts w:ascii="Times New Roman" w:eastAsia="Times New Roman" w:hAnsi="Times New Roman" w:cs="Times New Roman"/>
                <w:bCs/>
                <w:sz w:val="24"/>
                <w:szCs w:val="24"/>
                <w:lang w:eastAsia="lv-LV"/>
              </w:rPr>
              <w:t xml:space="preserve"> </w:t>
            </w:r>
            <w:r w:rsidR="00CE6FD0" w:rsidRPr="003311D8">
              <w:rPr>
                <w:rFonts w:ascii="Times New Roman" w:eastAsia="Times New Roman" w:hAnsi="Times New Roman" w:cs="Times New Roman"/>
                <w:bCs/>
                <w:sz w:val="24"/>
                <w:szCs w:val="24"/>
                <w:lang w:eastAsia="lv-LV"/>
              </w:rPr>
              <w:t xml:space="preserve">tādējādi ietekmējot to, kurš administrators tiks ieteikts tiesai konkrētā procesā </w:t>
            </w:r>
            <w:r w:rsidR="008216CE" w:rsidRPr="003311D8">
              <w:rPr>
                <w:rFonts w:ascii="Times New Roman" w:eastAsia="Times New Roman" w:hAnsi="Times New Roman" w:cs="Times New Roman"/>
                <w:bCs/>
                <w:sz w:val="24"/>
                <w:szCs w:val="24"/>
                <w:lang w:eastAsia="lv-LV"/>
              </w:rPr>
              <w:t>n</w:t>
            </w:r>
            <w:r w:rsidR="003B2B69" w:rsidRPr="003311D8">
              <w:rPr>
                <w:rFonts w:ascii="Times New Roman" w:eastAsia="Times New Roman" w:hAnsi="Times New Roman" w:cs="Times New Roman"/>
                <w:sz w:val="24"/>
                <w:szCs w:val="24"/>
                <w:lang w:eastAsia="lv-LV"/>
              </w:rPr>
              <w:t xml:space="preserve">oteikumu projektā </w:t>
            </w:r>
            <w:r w:rsidR="00600027" w:rsidRPr="003311D8">
              <w:rPr>
                <w:rFonts w:ascii="Times New Roman" w:eastAsia="Times New Roman" w:hAnsi="Times New Roman" w:cs="Times New Roman"/>
                <w:sz w:val="24"/>
                <w:szCs w:val="24"/>
                <w:lang w:eastAsia="lv-LV"/>
              </w:rPr>
              <w:t>paredzēts</w:t>
            </w:r>
            <w:r w:rsidR="003B2B69" w:rsidRPr="003311D8">
              <w:rPr>
                <w:rFonts w:ascii="Times New Roman" w:eastAsia="Times New Roman" w:hAnsi="Times New Roman" w:cs="Times New Roman"/>
                <w:sz w:val="24"/>
                <w:szCs w:val="24"/>
                <w:lang w:eastAsia="lv-LV"/>
              </w:rPr>
              <w:t xml:space="preserve"> izslē</w:t>
            </w:r>
            <w:r w:rsidR="00600027" w:rsidRPr="003311D8">
              <w:rPr>
                <w:rFonts w:ascii="Times New Roman" w:eastAsia="Times New Roman" w:hAnsi="Times New Roman" w:cs="Times New Roman"/>
                <w:sz w:val="24"/>
                <w:szCs w:val="24"/>
                <w:lang w:eastAsia="lv-LV"/>
              </w:rPr>
              <w:t>gt</w:t>
            </w:r>
            <w:r w:rsidR="003B2B69" w:rsidRPr="003311D8">
              <w:rPr>
                <w:rFonts w:ascii="Times New Roman" w:eastAsia="Times New Roman" w:hAnsi="Times New Roman" w:cs="Times New Roman"/>
                <w:sz w:val="24"/>
                <w:szCs w:val="24"/>
                <w:lang w:eastAsia="lv-LV"/>
              </w:rPr>
              <w:t xml:space="preserve"> </w:t>
            </w:r>
            <w:r w:rsidR="00AE09AD" w:rsidRPr="003311D8">
              <w:rPr>
                <w:rFonts w:ascii="Times New Roman" w:eastAsia="Times New Roman" w:hAnsi="Times New Roman" w:cs="Times New Roman"/>
                <w:sz w:val="24"/>
                <w:szCs w:val="24"/>
                <w:lang w:eastAsia="lv-LV"/>
              </w:rPr>
              <w:t xml:space="preserve">iespēju </w:t>
            </w:r>
            <w:r w:rsidR="003B2B69" w:rsidRPr="003311D8">
              <w:rPr>
                <w:rFonts w:ascii="Times New Roman" w:eastAsia="Times New Roman" w:hAnsi="Times New Roman" w:cs="Times New Roman"/>
                <w:sz w:val="24"/>
                <w:szCs w:val="24"/>
                <w:lang w:eastAsia="lv-LV"/>
              </w:rPr>
              <w:t>administratoram atteikties no maksātnespējas procesa</w:t>
            </w:r>
            <w:r w:rsidR="008216CE" w:rsidRPr="003311D8">
              <w:rPr>
                <w:rFonts w:ascii="Times New Roman" w:eastAsia="Times New Roman" w:hAnsi="Times New Roman" w:cs="Times New Roman"/>
                <w:sz w:val="24"/>
                <w:szCs w:val="24"/>
                <w:lang w:eastAsia="lv-LV"/>
              </w:rPr>
              <w:t xml:space="preserve">, izmantojot rindas piedāvāto </w:t>
            </w:r>
            <w:r w:rsidR="00367D1E" w:rsidRPr="003311D8">
              <w:rPr>
                <w:rFonts w:ascii="Times New Roman" w:eastAsia="Times New Roman" w:hAnsi="Times New Roman" w:cs="Times New Roman"/>
                <w:sz w:val="24"/>
                <w:szCs w:val="24"/>
                <w:lang w:eastAsia="lv-LV"/>
              </w:rPr>
              <w:t xml:space="preserve">iespēju </w:t>
            </w:r>
            <w:r w:rsidR="008216CE" w:rsidRPr="003311D8">
              <w:rPr>
                <w:rFonts w:ascii="Times New Roman" w:eastAsia="Times New Roman" w:hAnsi="Times New Roman" w:cs="Times New Roman"/>
                <w:sz w:val="24"/>
                <w:szCs w:val="24"/>
                <w:lang w:eastAsia="lv-LV"/>
              </w:rPr>
              <w:t>"atteikties"</w:t>
            </w:r>
            <w:r w:rsidR="00CE6FD0" w:rsidRPr="003311D8">
              <w:rPr>
                <w:rFonts w:ascii="Times New Roman" w:eastAsia="Times New Roman" w:hAnsi="Times New Roman" w:cs="Times New Roman"/>
                <w:sz w:val="24"/>
                <w:szCs w:val="24"/>
                <w:lang w:eastAsia="lv-LV"/>
              </w:rPr>
              <w:t xml:space="preserve"> no konkrēta procesa</w:t>
            </w:r>
            <w:r w:rsidR="008216CE" w:rsidRPr="003311D8">
              <w:rPr>
                <w:rFonts w:ascii="Times New Roman" w:eastAsia="Times New Roman" w:hAnsi="Times New Roman" w:cs="Times New Roman"/>
                <w:sz w:val="24"/>
                <w:szCs w:val="24"/>
                <w:lang w:eastAsia="lv-LV"/>
              </w:rPr>
              <w:t>.</w:t>
            </w:r>
            <w:r w:rsidR="003B2B69" w:rsidRPr="003B2B69">
              <w:rPr>
                <w:rFonts w:ascii="Times New Roman" w:eastAsia="Times New Roman" w:hAnsi="Times New Roman" w:cs="Times New Roman"/>
                <w:sz w:val="24"/>
                <w:szCs w:val="24"/>
                <w:lang w:eastAsia="lv-LV"/>
              </w:rPr>
              <w:t xml:space="preserve"> </w:t>
            </w:r>
            <w:r w:rsidR="00AE09AD">
              <w:rPr>
                <w:rFonts w:ascii="Times New Roman" w:eastAsia="Times New Roman" w:hAnsi="Times New Roman" w:cs="Times New Roman"/>
                <w:sz w:val="24"/>
                <w:szCs w:val="24"/>
                <w:lang w:eastAsia="lv-LV"/>
              </w:rPr>
              <w:t>Tādējādi Maksātnespējas likumā noteiktajos gadījumos administrators varēs atkāpties no juridiskās personas maksātnespējas procesa vai fiziskās personas maksātnespējas procesa, iesniedzot attiecīg</w:t>
            </w:r>
            <w:r w:rsidR="00527BEA">
              <w:rPr>
                <w:rFonts w:ascii="Times New Roman" w:eastAsia="Times New Roman" w:hAnsi="Times New Roman" w:cs="Times New Roman"/>
                <w:sz w:val="24"/>
                <w:szCs w:val="24"/>
                <w:lang w:eastAsia="lv-LV"/>
              </w:rPr>
              <w:t>u</w:t>
            </w:r>
            <w:r w:rsidR="00AE09AD">
              <w:rPr>
                <w:rFonts w:ascii="Times New Roman" w:eastAsia="Times New Roman" w:hAnsi="Times New Roman" w:cs="Times New Roman"/>
                <w:sz w:val="24"/>
                <w:szCs w:val="24"/>
                <w:lang w:eastAsia="lv-LV"/>
              </w:rPr>
              <w:t xml:space="preserve"> pieteikumu tiesai, kurā ir ierosināta </w:t>
            </w:r>
            <w:r w:rsidR="008216CE">
              <w:rPr>
                <w:rFonts w:ascii="Times New Roman" w:eastAsia="Times New Roman" w:hAnsi="Times New Roman" w:cs="Times New Roman"/>
                <w:sz w:val="24"/>
                <w:szCs w:val="24"/>
                <w:lang w:eastAsia="lv-LV"/>
              </w:rPr>
              <w:t xml:space="preserve">attiecīgā maksātnespējas procesa lieta. </w:t>
            </w:r>
            <w:r w:rsidR="00104FEF">
              <w:rPr>
                <w:rFonts w:ascii="Times New Roman" w:eastAsia="Times New Roman" w:hAnsi="Times New Roman" w:cs="Times New Roman"/>
                <w:sz w:val="24"/>
                <w:szCs w:val="24"/>
                <w:lang w:eastAsia="lv-LV"/>
              </w:rPr>
              <w:t>Atbilstoši Civilprocesa likuma un Maksātnespējas likuma noteikumiem pamatotību konkrētā kandidāta iecelšanai attiecīgajā procesā izvērtē tiesa.</w:t>
            </w:r>
          </w:p>
          <w:p w14:paraId="574DC51A" w14:textId="77777777" w:rsidR="00D536B1" w:rsidRDefault="00F46CCA" w:rsidP="00D536B1">
            <w:pPr>
              <w:spacing w:after="0" w:line="240" w:lineRule="auto"/>
              <w:ind w:firstLine="27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r w:rsidR="003311D8">
              <w:rPr>
                <w:rFonts w:ascii="Times New Roman" w:eastAsia="Times New Roman" w:hAnsi="Times New Roman" w:cs="Times New Roman"/>
                <w:sz w:val="24"/>
                <w:szCs w:val="24"/>
                <w:lang w:eastAsia="lv-LV"/>
              </w:rPr>
              <w:t> </w:t>
            </w:r>
            <w:r w:rsidR="008216CE">
              <w:rPr>
                <w:rFonts w:ascii="Times New Roman" w:eastAsia="Times New Roman" w:hAnsi="Times New Roman" w:cs="Times New Roman"/>
                <w:sz w:val="24"/>
                <w:szCs w:val="24"/>
                <w:lang w:eastAsia="lv-LV"/>
              </w:rPr>
              <w:t>S</w:t>
            </w:r>
            <w:r w:rsidR="008216CE" w:rsidRPr="008216CE">
              <w:rPr>
                <w:rFonts w:ascii="Times New Roman" w:eastAsia="Times New Roman" w:hAnsi="Times New Roman" w:cs="Times New Roman"/>
                <w:bCs/>
                <w:sz w:val="24"/>
                <w:szCs w:val="24"/>
                <w:lang w:eastAsia="lv-LV"/>
              </w:rPr>
              <w:t>tiprinot</w:t>
            </w:r>
            <w:r w:rsidR="008216CE" w:rsidRPr="008216CE">
              <w:rPr>
                <w:rFonts w:ascii="Times New Roman" w:eastAsia="Times New Roman" w:hAnsi="Times New Roman" w:cs="Times New Roman"/>
                <w:sz w:val="24"/>
                <w:szCs w:val="24"/>
                <w:lang w:eastAsia="lv-LV"/>
              </w:rPr>
              <w:t xml:space="preserve"> rindas nejaušības principu</w:t>
            </w:r>
            <w:r w:rsidR="008216CE">
              <w:rPr>
                <w:rFonts w:ascii="Times New Roman" w:eastAsia="Times New Roman" w:hAnsi="Times New Roman" w:cs="Times New Roman"/>
                <w:sz w:val="24"/>
                <w:szCs w:val="24"/>
                <w:lang w:eastAsia="lv-LV"/>
              </w:rPr>
              <w:t>, n</w:t>
            </w:r>
            <w:r w:rsidR="00AE09AD" w:rsidRPr="00AE09AD">
              <w:rPr>
                <w:rFonts w:ascii="Times New Roman" w:eastAsia="Times New Roman" w:hAnsi="Times New Roman" w:cs="Times New Roman"/>
                <w:sz w:val="24"/>
                <w:szCs w:val="24"/>
                <w:lang w:eastAsia="lv-LV"/>
              </w:rPr>
              <w:t>oteikumu projektā</w:t>
            </w:r>
            <w:r w:rsidR="00AE09AD">
              <w:rPr>
                <w:rFonts w:ascii="Times New Roman" w:eastAsia="Times New Roman" w:hAnsi="Times New Roman" w:cs="Times New Roman"/>
                <w:sz w:val="24"/>
                <w:szCs w:val="24"/>
                <w:lang w:eastAsia="lv-LV"/>
              </w:rPr>
              <w:t xml:space="preserve"> paredzēts</w:t>
            </w:r>
            <w:r w:rsidR="003B2B69" w:rsidRPr="003B2B69">
              <w:rPr>
                <w:rFonts w:ascii="Times New Roman" w:eastAsia="Times New Roman" w:hAnsi="Times New Roman" w:cs="Times New Roman"/>
                <w:sz w:val="24"/>
                <w:szCs w:val="24"/>
                <w:lang w:eastAsia="lv-LV"/>
              </w:rPr>
              <w:t xml:space="preserve">, ka administratora </w:t>
            </w:r>
            <w:r w:rsidR="00416C59">
              <w:rPr>
                <w:rFonts w:ascii="Times New Roman" w:eastAsia="Times New Roman" w:hAnsi="Times New Roman" w:cs="Times New Roman"/>
                <w:sz w:val="24"/>
                <w:szCs w:val="24"/>
                <w:lang w:eastAsia="lv-LV"/>
              </w:rPr>
              <w:t xml:space="preserve">amata </w:t>
            </w:r>
            <w:r w:rsidR="00381567">
              <w:rPr>
                <w:rFonts w:ascii="Times New Roman" w:eastAsia="Times New Roman" w:hAnsi="Times New Roman" w:cs="Times New Roman"/>
                <w:sz w:val="24"/>
                <w:szCs w:val="24"/>
                <w:lang w:eastAsia="lv-LV"/>
              </w:rPr>
              <w:t>pretendentu</w:t>
            </w:r>
            <w:r w:rsidR="003B2B69" w:rsidRPr="003B2B69">
              <w:rPr>
                <w:rFonts w:ascii="Times New Roman" w:eastAsia="Times New Roman" w:hAnsi="Times New Roman" w:cs="Times New Roman"/>
                <w:sz w:val="24"/>
                <w:szCs w:val="24"/>
                <w:lang w:eastAsia="lv-LV"/>
              </w:rPr>
              <w:t xml:space="preserve"> </w:t>
            </w:r>
            <w:r w:rsidR="003B2B69" w:rsidRPr="002A4724">
              <w:rPr>
                <w:rFonts w:ascii="Times New Roman" w:eastAsia="Times New Roman" w:hAnsi="Times New Roman" w:cs="Times New Roman"/>
                <w:sz w:val="24"/>
                <w:szCs w:val="24"/>
                <w:lang w:eastAsia="lv-LV"/>
              </w:rPr>
              <w:t>saraksts tiek sajaukts biežāk nekā rei</w:t>
            </w:r>
            <w:r w:rsidR="008216CE">
              <w:rPr>
                <w:rFonts w:ascii="Times New Roman" w:eastAsia="Times New Roman" w:hAnsi="Times New Roman" w:cs="Times New Roman"/>
                <w:sz w:val="24"/>
                <w:szCs w:val="24"/>
                <w:lang w:eastAsia="lv-LV"/>
              </w:rPr>
              <w:t>zi gadā, proti, reizi ceturksnī.</w:t>
            </w:r>
          </w:p>
          <w:p w14:paraId="105B8097" w14:textId="4A9F2B52" w:rsidR="00CB1F10" w:rsidRPr="00D536B1" w:rsidRDefault="00F46CCA" w:rsidP="00D536B1">
            <w:pPr>
              <w:spacing w:after="0" w:line="240" w:lineRule="auto"/>
              <w:ind w:firstLine="27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3311D8">
              <w:rPr>
                <w:rFonts w:ascii="Times New Roman" w:eastAsia="Times New Roman" w:hAnsi="Times New Roman" w:cs="Times New Roman"/>
                <w:sz w:val="24"/>
                <w:szCs w:val="24"/>
                <w:lang w:eastAsia="lv-LV"/>
              </w:rPr>
              <w:t> </w:t>
            </w:r>
            <w:r w:rsidR="008216CE">
              <w:rPr>
                <w:rFonts w:ascii="Times New Roman" w:eastAsia="Times New Roman" w:hAnsi="Times New Roman" w:cs="Times New Roman"/>
                <w:sz w:val="24"/>
                <w:szCs w:val="24"/>
                <w:lang w:eastAsia="lv-LV"/>
              </w:rPr>
              <w:t xml:space="preserve">Lai nodrošinātu </w:t>
            </w:r>
            <w:r w:rsidR="00367D1E">
              <w:rPr>
                <w:rFonts w:ascii="Times New Roman" w:eastAsia="Times New Roman" w:hAnsi="Times New Roman" w:cs="Times New Roman"/>
                <w:sz w:val="24"/>
                <w:szCs w:val="24"/>
                <w:lang w:eastAsia="lv-LV"/>
              </w:rPr>
              <w:t>lielāku</w:t>
            </w:r>
            <w:r w:rsidR="00367D1E" w:rsidRPr="008216CE">
              <w:rPr>
                <w:rFonts w:ascii="Times New Roman" w:eastAsia="Times New Roman" w:hAnsi="Times New Roman" w:cs="Times New Roman"/>
                <w:sz w:val="24"/>
                <w:szCs w:val="24"/>
                <w:lang w:eastAsia="lv-LV"/>
              </w:rPr>
              <w:t xml:space="preserve"> </w:t>
            </w:r>
            <w:r w:rsidR="008216CE">
              <w:rPr>
                <w:rFonts w:ascii="Times New Roman" w:eastAsia="Times New Roman" w:hAnsi="Times New Roman" w:cs="Times New Roman"/>
                <w:sz w:val="24"/>
                <w:szCs w:val="24"/>
                <w:lang w:eastAsia="lv-LV"/>
              </w:rPr>
              <w:t>administratora ieteikšanas procesa</w:t>
            </w:r>
            <w:r w:rsidR="008216CE" w:rsidRPr="008216CE">
              <w:rPr>
                <w:rFonts w:ascii="Times New Roman" w:eastAsia="Times New Roman" w:hAnsi="Times New Roman" w:cs="Times New Roman"/>
                <w:sz w:val="24"/>
                <w:szCs w:val="24"/>
                <w:lang w:eastAsia="lv-LV"/>
              </w:rPr>
              <w:t xml:space="preserve"> caurspīdīgumu un sabiedrības uzticību </w:t>
            </w:r>
            <w:r w:rsidR="008216CE">
              <w:rPr>
                <w:rFonts w:ascii="Times New Roman" w:eastAsia="Times New Roman" w:hAnsi="Times New Roman" w:cs="Times New Roman"/>
                <w:sz w:val="24"/>
                <w:szCs w:val="24"/>
                <w:lang w:eastAsia="lv-LV"/>
              </w:rPr>
              <w:t>šai procedūrai, noteikumu projektā</w:t>
            </w:r>
            <w:r w:rsidR="003B2B69" w:rsidRPr="002A4724">
              <w:rPr>
                <w:rFonts w:ascii="Times New Roman" w:eastAsia="Times New Roman" w:hAnsi="Times New Roman" w:cs="Times New Roman"/>
                <w:sz w:val="24"/>
                <w:szCs w:val="24"/>
                <w:lang w:eastAsia="lv-LV"/>
              </w:rPr>
              <w:t xml:space="preserve"> paredzēt</w:t>
            </w:r>
            <w:r w:rsidR="008216CE">
              <w:rPr>
                <w:rFonts w:ascii="Times New Roman" w:eastAsia="Times New Roman" w:hAnsi="Times New Roman" w:cs="Times New Roman"/>
                <w:sz w:val="24"/>
                <w:szCs w:val="24"/>
                <w:lang w:eastAsia="lv-LV"/>
              </w:rPr>
              <w:t>s</w:t>
            </w:r>
            <w:r w:rsidR="003B2B69" w:rsidRPr="002A4724">
              <w:rPr>
                <w:rFonts w:ascii="Times New Roman" w:eastAsia="Times New Roman" w:hAnsi="Times New Roman" w:cs="Times New Roman"/>
                <w:sz w:val="24"/>
                <w:szCs w:val="24"/>
                <w:lang w:eastAsia="lv-LV"/>
              </w:rPr>
              <w:t xml:space="preserve">, ka </w:t>
            </w:r>
            <w:r w:rsidR="00F21D88" w:rsidRPr="002A4724">
              <w:rPr>
                <w:rFonts w:ascii="Times New Roman" w:hAnsi="Times New Roman" w:cs="Times New Roman"/>
                <w:sz w:val="24"/>
                <w:szCs w:val="24"/>
              </w:rPr>
              <w:t xml:space="preserve">administrēšanai vakantos subjektus </w:t>
            </w:r>
            <w:r w:rsidR="002A4724" w:rsidRPr="002A4724">
              <w:rPr>
                <w:rFonts w:ascii="Times New Roman" w:hAnsi="Times New Roman" w:cs="Times New Roman"/>
                <w:sz w:val="24"/>
                <w:szCs w:val="24"/>
              </w:rPr>
              <w:t xml:space="preserve">kārto alfabēta </w:t>
            </w:r>
            <w:r w:rsidR="00F21D88" w:rsidRPr="002A4724">
              <w:rPr>
                <w:rFonts w:ascii="Times New Roman" w:hAnsi="Times New Roman" w:cs="Times New Roman"/>
                <w:sz w:val="24"/>
                <w:szCs w:val="24"/>
              </w:rPr>
              <w:t>secībā</w:t>
            </w:r>
            <w:r w:rsidR="002A4724">
              <w:rPr>
                <w:rFonts w:ascii="Times New Roman" w:hAnsi="Times New Roman" w:cs="Times New Roman"/>
                <w:sz w:val="24"/>
                <w:szCs w:val="24"/>
              </w:rPr>
              <w:t>, nevis nejaušā secībā, kā tas ir šobrīd</w:t>
            </w:r>
            <w:r w:rsidR="002A4724" w:rsidRPr="002A4724">
              <w:rPr>
                <w:rFonts w:ascii="Times New Roman" w:hAnsi="Times New Roman" w:cs="Times New Roman"/>
                <w:sz w:val="24"/>
                <w:szCs w:val="24"/>
              </w:rPr>
              <w:t>.</w:t>
            </w:r>
            <w:r w:rsidR="002A4724">
              <w:rPr>
                <w:rFonts w:ascii="Times New Roman" w:hAnsi="Times New Roman" w:cs="Times New Roman"/>
                <w:sz w:val="24"/>
                <w:szCs w:val="24"/>
              </w:rPr>
              <w:t xml:space="preserve"> </w:t>
            </w:r>
            <w:r w:rsidR="00CB1F10" w:rsidRPr="003F61B4">
              <w:rPr>
                <w:rFonts w:ascii="Times New Roman" w:hAnsi="Times New Roman" w:cs="Times New Roman"/>
                <w:sz w:val="24"/>
                <w:szCs w:val="24"/>
              </w:rPr>
              <w:t>Administrēšanai vakantajiem subjektiem, kas ir fiziskas personas, alfabēta secību nosaka pēc personas uzvārda, savuk</w:t>
            </w:r>
            <w:r w:rsidR="00CB1F10" w:rsidRPr="00D536B1">
              <w:rPr>
                <w:rFonts w:ascii="Times New Roman" w:hAnsi="Times New Roman" w:cs="Times New Roman"/>
                <w:sz w:val="24"/>
                <w:szCs w:val="24"/>
              </w:rPr>
              <w:t>ārt juridiskām personām – pēc nosaukuma (firmas).</w:t>
            </w:r>
          </w:p>
          <w:p w14:paraId="30C06537" w14:textId="5FA0EBD9" w:rsidR="000574CD" w:rsidRPr="003311D8" w:rsidRDefault="00F46CCA" w:rsidP="003311D8">
            <w:pPr>
              <w:spacing w:after="0" w:line="240" w:lineRule="auto"/>
              <w:ind w:firstLine="272"/>
              <w:jc w:val="both"/>
              <w:rPr>
                <w:rFonts w:ascii="Times New Roman" w:hAnsi="Times New Roman" w:cs="Times New Roman"/>
                <w:sz w:val="24"/>
                <w:szCs w:val="24"/>
              </w:rPr>
            </w:pPr>
            <w:r>
              <w:rPr>
                <w:rFonts w:ascii="Times New Roman" w:hAnsi="Times New Roman" w:cs="Times New Roman"/>
                <w:sz w:val="24"/>
                <w:szCs w:val="24"/>
              </w:rPr>
              <w:t>2.5.</w:t>
            </w:r>
            <w:r w:rsidR="00B04AE3" w:rsidRPr="00CE6FD0">
              <w:rPr>
                <w:rFonts w:ascii="Times New Roman" w:hAnsi="Times New Roman" w:cs="Times New Roman"/>
                <w:sz w:val="24"/>
                <w:szCs w:val="24"/>
              </w:rPr>
              <w:t> Vienlaikus noteikumu projektā ir paredzēts svītrot Ministru kabineta noteikum</w:t>
            </w:r>
            <w:r w:rsidR="00192F52" w:rsidRPr="00CE6FD0">
              <w:rPr>
                <w:rFonts w:ascii="Times New Roman" w:hAnsi="Times New Roman" w:cs="Times New Roman"/>
                <w:sz w:val="24"/>
                <w:szCs w:val="24"/>
              </w:rPr>
              <w:t>u</w:t>
            </w:r>
            <w:r w:rsidR="00B04AE3" w:rsidRPr="00CE6FD0">
              <w:rPr>
                <w:rFonts w:ascii="Times New Roman" w:hAnsi="Times New Roman" w:cs="Times New Roman"/>
                <w:sz w:val="24"/>
                <w:szCs w:val="24"/>
              </w:rPr>
              <w:t xml:space="preserve"> Nr.</w:t>
            </w:r>
            <w:r w:rsidR="003311D8">
              <w:rPr>
                <w:rFonts w:ascii="Times New Roman" w:hAnsi="Times New Roman" w:cs="Times New Roman"/>
                <w:sz w:val="24"/>
                <w:szCs w:val="24"/>
              </w:rPr>
              <w:t> </w:t>
            </w:r>
            <w:r w:rsidR="00B04AE3" w:rsidRPr="00CE6FD0">
              <w:rPr>
                <w:rFonts w:ascii="Times New Roman" w:hAnsi="Times New Roman" w:cs="Times New Roman"/>
                <w:sz w:val="24"/>
                <w:szCs w:val="24"/>
              </w:rPr>
              <w:t>1001 2. pielikumu</w:t>
            </w:r>
            <w:r w:rsidR="006A0433" w:rsidRPr="00CE6FD0">
              <w:rPr>
                <w:rFonts w:ascii="Times New Roman" w:hAnsi="Times New Roman" w:cs="Times New Roman"/>
                <w:sz w:val="24"/>
                <w:szCs w:val="24"/>
              </w:rPr>
              <w:t xml:space="preserve">, ņemot vērā to, ka saskaņā ar šobrīd spēkā esošo regulējumu 2. pielikumā ir iekļauta informācija (prakses vietas adrese, tālruņa numurs un e-pasts), kas nav </w:t>
            </w:r>
            <w:r w:rsidR="006A0433" w:rsidRPr="00CE6FD0">
              <w:rPr>
                <w:rFonts w:ascii="Times New Roman" w:hAnsi="Times New Roman" w:cs="Times New Roman"/>
                <w:sz w:val="24"/>
                <w:szCs w:val="24"/>
              </w:rPr>
              <w:lastRenderedPageBreak/>
              <w:t>nepieciešama, kārtojot rindu – atbilstoši Ministru kabineta noteikumu Nr.</w:t>
            </w:r>
            <w:r w:rsidR="003311D8">
              <w:rPr>
                <w:rFonts w:ascii="Times New Roman" w:hAnsi="Times New Roman" w:cs="Times New Roman"/>
                <w:sz w:val="24"/>
                <w:szCs w:val="24"/>
              </w:rPr>
              <w:t> 1001 1. </w:t>
            </w:r>
            <w:r w:rsidR="006A0433" w:rsidRPr="00CE6FD0">
              <w:rPr>
                <w:rFonts w:ascii="Times New Roman" w:hAnsi="Times New Roman" w:cs="Times New Roman"/>
                <w:sz w:val="24"/>
                <w:szCs w:val="24"/>
              </w:rPr>
              <w:t xml:space="preserve">pielikumam, kārtojot administratora amata pretendentu sarakstu, tiek norādīts tikai administratora vārds, uzvārds un </w:t>
            </w:r>
            <w:r w:rsidR="003F61B4">
              <w:rPr>
                <w:rFonts w:ascii="Times New Roman" w:hAnsi="Times New Roman" w:cs="Times New Roman"/>
                <w:sz w:val="24"/>
                <w:szCs w:val="24"/>
              </w:rPr>
              <w:t>apliecības</w:t>
            </w:r>
            <w:r w:rsidR="003F61B4" w:rsidRPr="00CE6FD0">
              <w:rPr>
                <w:rFonts w:ascii="Times New Roman" w:hAnsi="Times New Roman" w:cs="Times New Roman"/>
                <w:sz w:val="24"/>
                <w:szCs w:val="24"/>
              </w:rPr>
              <w:t xml:space="preserve"> </w:t>
            </w:r>
            <w:r w:rsidR="006A0433" w:rsidRPr="00CE6FD0">
              <w:rPr>
                <w:rFonts w:ascii="Times New Roman" w:hAnsi="Times New Roman" w:cs="Times New Roman"/>
                <w:sz w:val="24"/>
                <w:szCs w:val="24"/>
              </w:rPr>
              <w:t>numurs. Minētā informācija rindā parādās, administratoram autorizējot Maksātnespējas administrācij</w:t>
            </w:r>
            <w:r w:rsidR="003311D8">
              <w:rPr>
                <w:rFonts w:ascii="Times New Roman" w:hAnsi="Times New Roman" w:cs="Times New Roman"/>
                <w:sz w:val="24"/>
                <w:szCs w:val="24"/>
              </w:rPr>
              <w:t>as piešķirto individuālo kodu.</w:t>
            </w:r>
          </w:p>
        </w:tc>
      </w:tr>
      <w:tr w:rsidR="00BC2633" w:rsidRPr="00BC2633" w14:paraId="1AA028D9" w14:textId="77777777" w:rsidTr="007472E6">
        <w:trPr>
          <w:gridBefore w:val="1"/>
          <w:gridAfter w:val="1"/>
          <w:wBefore w:w="20" w:type="pct"/>
          <w:wAfter w:w="21" w:type="pct"/>
          <w:trHeight w:val="465"/>
        </w:trPr>
        <w:tc>
          <w:tcPr>
            <w:tcW w:w="133" w:type="pct"/>
            <w:tcBorders>
              <w:top w:val="outset" w:sz="6" w:space="0" w:color="414142"/>
              <w:left w:val="outset" w:sz="6" w:space="0" w:color="414142"/>
              <w:bottom w:val="outset" w:sz="6" w:space="0" w:color="414142"/>
              <w:right w:val="outset" w:sz="6" w:space="0" w:color="414142"/>
            </w:tcBorders>
            <w:hideMark/>
          </w:tcPr>
          <w:p w14:paraId="3D285142" w14:textId="44A4C125"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183" w:type="pct"/>
            <w:gridSpan w:val="2"/>
            <w:tcBorders>
              <w:top w:val="outset" w:sz="6" w:space="0" w:color="414142"/>
              <w:left w:val="outset" w:sz="6" w:space="0" w:color="414142"/>
              <w:bottom w:val="outset" w:sz="6" w:space="0" w:color="414142"/>
              <w:right w:val="outset" w:sz="6" w:space="0" w:color="414142"/>
            </w:tcBorders>
            <w:hideMark/>
          </w:tcPr>
          <w:p w14:paraId="4EC22A3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p>
        </w:tc>
        <w:tc>
          <w:tcPr>
            <w:tcW w:w="3643" w:type="pct"/>
            <w:gridSpan w:val="2"/>
            <w:tcBorders>
              <w:top w:val="outset" w:sz="6" w:space="0" w:color="414142"/>
              <w:left w:val="outset" w:sz="6" w:space="0" w:color="414142"/>
              <w:bottom w:val="outset" w:sz="6" w:space="0" w:color="414142"/>
              <w:right w:val="outset" w:sz="6" w:space="0" w:color="414142"/>
            </w:tcBorders>
            <w:hideMark/>
          </w:tcPr>
          <w:p w14:paraId="09DA66A3" w14:textId="577A0CE6" w:rsidR="004D15A9" w:rsidRPr="00BC2633" w:rsidRDefault="0033522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 (</w:t>
            </w:r>
            <w:r w:rsidR="00AA29A1">
              <w:rPr>
                <w:rFonts w:ascii="Times New Roman" w:eastAsia="Times New Roman" w:hAnsi="Times New Roman" w:cs="Times New Roman"/>
                <w:sz w:val="24"/>
                <w:szCs w:val="24"/>
                <w:lang w:eastAsia="lv-LV"/>
              </w:rPr>
              <w:t>Maksātnespējas administrācija</w:t>
            </w:r>
            <w:r>
              <w:rPr>
                <w:rFonts w:ascii="Times New Roman" w:eastAsia="Times New Roman" w:hAnsi="Times New Roman" w:cs="Times New Roman"/>
                <w:sz w:val="24"/>
                <w:szCs w:val="24"/>
                <w:lang w:eastAsia="lv-LV"/>
              </w:rPr>
              <w:t>)</w:t>
            </w:r>
            <w:r w:rsidR="00F46CCA">
              <w:rPr>
                <w:rFonts w:ascii="Times New Roman" w:eastAsia="Times New Roman" w:hAnsi="Times New Roman" w:cs="Times New Roman"/>
                <w:sz w:val="24"/>
                <w:szCs w:val="24"/>
                <w:lang w:eastAsia="lv-LV"/>
              </w:rPr>
              <w:t>.</w:t>
            </w:r>
          </w:p>
        </w:tc>
      </w:tr>
      <w:tr w:rsidR="00BC2633" w:rsidRPr="00BC2633" w14:paraId="4416C82A" w14:textId="77777777" w:rsidTr="007472E6">
        <w:trPr>
          <w:gridBefore w:val="1"/>
          <w:gridAfter w:val="1"/>
          <w:wBefore w:w="20" w:type="pct"/>
          <w:wAfter w:w="21" w:type="pct"/>
        </w:trPr>
        <w:tc>
          <w:tcPr>
            <w:tcW w:w="133"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83" w:type="pct"/>
            <w:gridSpan w:val="2"/>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643" w:type="pct"/>
            <w:gridSpan w:val="2"/>
            <w:tcBorders>
              <w:top w:val="outset" w:sz="6" w:space="0" w:color="414142"/>
              <w:left w:val="outset" w:sz="6" w:space="0" w:color="414142"/>
              <w:bottom w:val="outset" w:sz="6" w:space="0" w:color="414142"/>
              <w:right w:val="outset" w:sz="6" w:space="0" w:color="414142"/>
            </w:tcBorders>
            <w:hideMark/>
          </w:tcPr>
          <w:p w14:paraId="1182056C" w14:textId="559BE4B6" w:rsidR="004D15A9" w:rsidRPr="00BC2633" w:rsidRDefault="00AA29A1"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F46CCA">
              <w:rPr>
                <w:rFonts w:ascii="Times New Roman" w:eastAsia="Times New Roman" w:hAnsi="Times New Roman" w:cs="Times New Roman"/>
                <w:sz w:val="24"/>
                <w:szCs w:val="24"/>
                <w:lang w:eastAsia="lv-LV"/>
              </w:rPr>
              <w:t>.</w:t>
            </w:r>
          </w:p>
        </w:tc>
      </w:tr>
      <w:tr w:rsidR="005D4E8A" w:rsidRPr="00BC2633" w14:paraId="4A35F0EC" w14:textId="77777777" w:rsidTr="003311D8">
        <w:trPr>
          <w:gridBefore w:val="1"/>
          <w:gridAfter w:val="1"/>
          <w:wBefore w:w="20" w:type="pct"/>
          <w:wAfter w:w="21" w:type="pct"/>
          <w:trHeight w:val="128"/>
        </w:trPr>
        <w:tc>
          <w:tcPr>
            <w:tcW w:w="4959" w:type="pct"/>
            <w:gridSpan w:val="5"/>
            <w:tcBorders>
              <w:top w:val="outset" w:sz="6" w:space="0" w:color="414142"/>
              <w:left w:val="nil"/>
              <w:bottom w:val="single" w:sz="4" w:space="0" w:color="auto"/>
              <w:right w:val="nil"/>
            </w:tcBorders>
          </w:tcPr>
          <w:p w14:paraId="116E2949" w14:textId="77777777" w:rsidR="00EA03D4" w:rsidRDefault="00EA03D4" w:rsidP="006F19CF">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
              <w:gridCol w:w="1954"/>
              <w:gridCol w:w="6786"/>
            </w:tblGrid>
            <w:tr w:rsidR="00EA03D4" w:rsidRPr="00BC2633" w14:paraId="4F740513" w14:textId="77777777" w:rsidTr="003311D8">
              <w:trPr>
                <w:trHeight w:val="555"/>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29168F2" w14:textId="006C3701" w:rsidR="00EA03D4" w:rsidRPr="00BC2633" w:rsidRDefault="003311D8" w:rsidP="004C2D40">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 </w:t>
                  </w:r>
                  <w:r w:rsidR="00EA03D4" w:rsidRPr="00BC2633">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EA03D4" w:rsidRPr="00BC2633" w14:paraId="25EF80B6" w14:textId="77777777" w:rsidTr="003311D8">
              <w:trPr>
                <w:trHeight w:val="465"/>
              </w:trPr>
              <w:tc>
                <w:tcPr>
                  <w:tcW w:w="134" w:type="pct"/>
                  <w:tcBorders>
                    <w:top w:val="outset" w:sz="6" w:space="0" w:color="414142"/>
                    <w:left w:val="outset" w:sz="6" w:space="0" w:color="414142"/>
                    <w:bottom w:val="outset" w:sz="6" w:space="0" w:color="414142"/>
                    <w:right w:val="outset" w:sz="6" w:space="0" w:color="414142"/>
                  </w:tcBorders>
                  <w:hideMark/>
                </w:tcPr>
                <w:p w14:paraId="30F378CE"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133" w:type="pct"/>
                  <w:tcBorders>
                    <w:top w:val="outset" w:sz="6" w:space="0" w:color="414142"/>
                    <w:left w:val="outset" w:sz="6" w:space="0" w:color="414142"/>
                    <w:bottom w:val="outset" w:sz="6" w:space="0" w:color="414142"/>
                    <w:right w:val="outset" w:sz="6" w:space="0" w:color="414142"/>
                  </w:tcBorders>
                  <w:hideMark/>
                </w:tcPr>
                <w:p w14:paraId="076E3495"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734" w:type="pct"/>
                  <w:tcBorders>
                    <w:top w:val="outset" w:sz="6" w:space="0" w:color="414142"/>
                    <w:left w:val="outset" w:sz="6" w:space="0" w:color="414142"/>
                    <w:bottom w:val="outset" w:sz="6" w:space="0" w:color="414142"/>
                    <w:right w:val="outset" w:sz="6" w:space="0" w:color="414142"/>
                  </w:tcBorders>
                  <w:hideMark/>
                </w:tcPr>
                <w:p w14:paraId="4A9B3E07" w14:textId="3B84BC79" w:rsidR="00EA03D4" w:rsidRDefault="001E5F16" w:rsidP="004C2D4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EA03D4" w:rsidRPr="00C36BA6">
                    <w:rPr>
                      <w:rFonts w:ascii="Times New Roman" w:eastAsia="Times New Roman" w:hAnsi="Times New Roman" w:cs="Times New Roman"/>
                      <w:sz w:val="24"/>
                      <w:szCs w:val="24"/>
                      <w:lang w:eastAsia="lv-LV"/>
                    </w:rPr>
                    <w:t>oteikumu projekts</w:t>
                  </w:r>
                  <w:r w:rsidR="003311D8">
                    <w:rPr>
                      <w:rFonts w:ascii="Times New Roman" w:eastAsia="Times New Roman" w:hAnsi="Times New Roman" w:cs="Times New Roman"/>
                      <w:sz w:val="24"/>
                      <w:szCs w:val="24"/>
                      <w:lang w:eastAsia="lv-LV"/>
                    </w:rPr>
                    <w:t xml:space="preserve"> ietekmē administratorus. 2017. </w:t>
                  </w:r>
                  <w:r w:rsidR="00EA03D4" w:rsidRPr="00C36BA6">
                    <w:rPr>
                      <w:rFonts w:ascii="Times New Roman" w:eastAsia="Times New Roman" w:hAnsi="Times New Roman" w:cs="Times New Roman"/>
                      <w:sz w:val="24"/>
                      <w:szCs w:val="24"/>
                      <w:lang w:eastAsia="lv-LV"/>
                    </w:rPr>
                    <w:t>gada 14. jūlijā Latvijas Republikas Uzņēmumu reģistra vestajā</w:t>
                  </w:r>
                  <w:r w:rsidR="003311D8">
                    <w:rPr>
                      <w:rFonts w:ascii="Times New Roman" w:eastAsia="Times New Roman" w:hAnsi="Times New Roman" w:cs="Times New Roman"/>
                      <w:sz w:val="24"/>
                      <w:szCs w:val="24"/>
                      <w:lang w:eastAsia="lv-LV"/>
                    </w:rPr>
                    <w:t xml:space="preserve"> maksātnespējas reģistrā ir 300 </w:t>
                  </w:r>
                  <w:r w:rsidR="00EA03D4" w:rsidRPr="00C36BA6">
                    <w:rPr>
                      <w:rFonts w:ascii="Times New Roman" w:eastAsia="Times New Roman" w:hAnsi="Times New Roman" w:cs="Times New Roman"/>
                      <w:sz w:val="24"/>
                      <w:szCs w:val="24"/>
                      <w:lang w:eastAsia="lv-LV"/>
                    </w:rPr>
                    <w:t>administratori</w:t>
                  </w:r>
                  <w:r w:rsidR="00EA03D4" w:rsidRPr="00C36BA6">
                    <w:rPr>
                      <w:rFonts w:ascii="Times New Roman" w:hAnsi="Times New Roman" w:cs="Times New Roman"/>
                      <w:sz w:val="24"/>
                      <w:szCs w:val="24"/>
                    </w:rPr>
                    <w:t xml:space="preserve"> (pieejams: </w:t>
                  </w:r>
                  <w:hyperlink r:id="rId8" w:history="1">
                    <w:r w:rsidR="00EA03D4" w:rsidRPr="00C36BA6">
                      <w:rPr>
                        <w:rStyle w:val="Hipersaite"/>
                        <w:rFonts w:ascii="Times New Roman" w:eastAsia="Times New Roman" w:hAnsi="Times New Roman" w:cs="Times New Roman"/>
                        <w:sz w:val="24"/>
                        <w:szCs w:val="24"/>
                        <w:lang w:eastAsia="lv-LV"/>
                      </w:rPr>
                      <w:t>https://maksatnespeja.ur.gov.lv/insolvency/practitioner/lv</w:t>
                    </w:r>
                  </w:hyperlink>
                  <w:r w:rsidR="00EA03D4">
                    <w:rPr>
                      <w:rFonts w:ascii="Times New Roman" w:eastAsia="Times New Roman" w:hAnsi="Times New Roman" w:cs="Times New Roman"/>
                      <w:sz w:val="24"/>
                      <w:szCs w:val="24"/>
                      <w:lang w:eastAsia="lv-LV"/>
                    </w:rPr>
                    <w:t>.</w:t>
                  </w:r>
                  <w:r w:rsidR="00F46CCA">
                    <w:rPr>
                      <w:rFonts w:ascii="Times New Roman" w:eastAsia="Times New Roman" w:hAnsi="Times New Roman" w:cs="Times New Roman"/>
                      <w:sz w:val="24"/>
                      <w:szCs w:val="24"/>
                      <w:lang w:eastAsia="lv-LV"/>
                    </w:rPr>
                    <w:t>)</w:t>
                  </w:r>
                </w:p>
                <w:p w14:paraId="44869C2C" w14:textId="32E35313" w:rsidR="00F46CCA" w:rsidRDefault="00F46CCA" w:rsidP="004C2D4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Tāpat ietekmē </w:t>
                  </w:r>
                  <w:r w:rsidR="007E45E9">
                    <w:rPr>
                      <w:rFonts w:ascii="Times New Roman" w:eastAsia="Times New Roman" w:hAnsi="Times New Roman" w:cs="Times New Roman"/>
                      <w:sz w:val="24"/>
                      <w:szCs w:val="24"/>
                      <w:lang w:eastAsia="lv-LV"/>
                    </w:rPr>
                    <w:t>a</w:t>
                  </w:r>
                  <w:r w:rsidR="001E5F16">
                    <w:rPr>
                      <w:rFonts w:ascii="Times New Roman" w:eastAsia="Times New Roman" w:hAnsi="Times New Roman" w:cs="Times New Roman"/>
                      <w:sz w:val="24"/>
                      <w:szCs w:val="24"/>
                      <w:lang w:eastAsia="lv-LV"/>
                    </w:rPr>
                    <w:t xml:space="preserve">dministrēšanai vakantos subjektus (juridiskas un fiziskas personas) un to kreditorus. </w:t>
                  </w:r>
                  <w:r>
                    <w:rPr>
                      <w:rFonts w:ascii="Times New Roman" w:eastAsia="Times New Roman" w:hAnsi="Times New Roman" w:cs="Times New Roman"/>
                      <w:sz w:val="24"/>
                      <w:szCs w:val="24"/>
                      <w:lang w:eastAsia="lv-LV"/>
                    </w:rPr>
                    <w:t>Maksātnespējas administrācijas darbiniekus.</w:t>
                  </w:r>
                </w:p>
                <w:p w14:paraId="29E3DF05" w14:textId="0F0EC41F" w:rsidR="001E5F16" w:rsidRPr="00BC2633" w:rsidRDefault="001E5F16" w:rsidP="004C2D40">
                  <w:pPr>
                    <w:spacing w:after="0" w:line="240" w:lineRule="auto"/>
                    <w:jc w:val="both"/>
                    <w:rPr>
                      <w:rFonts w:ascii="Times New Roman" w:eastAsia="Times New Roman" w:hAnsi="Times New Roman" w:cs="Times New Roman"/>
                      <w:sz w:val="24"/>
                      <w:szCs w:val="24"/>
                      <w:lang w:eastAsia="lv-LV"/>
                    </w:rPr>
                  </w:pPr>
                </w:p>
              </w:tc>
            </w:tr>
            <w:tr w:rsidR="00EA03D4" w:rsidRPr="00BC2633" w14:paraId="01A0FF3A" w14:textId="77777777" w:rsidTr="003311D8">
              <w:trPr>
                <w:trHeight w:val="510"/>
              </w:trPr>
              <w:tc>
                <w:tcPr>
                  <w:tcW w:w="134" w:type="pct"/>
                  <w:tcBorders>
                    <w:top w:val="outset" w:sz="6" w:space="0" w:color="414142"/>
                    <w:left w:val="outset" w:sz="6" w:space="0" w:color="414142"/>
                    <w:bottom w:val="outset" w:sz="6" w:space="0" w:color="414142"/>
                    <w:right w:val="outset" w:sz="6" w:space="0" w:color="414142"/>
                  </w:tcBorders>
                  <w:hideMark/>
                </w:tcPr>
                <w:p w14:paraId="70297AF0"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133" w:type="pct"/>
                  <w:tcBorders>
                    <w:top w:val="outset" w:sz="6" w:space="0" w:color="414142"/>
                    <w:left w:val="outset" w:sz="6" w:space="0" w:color="414142"/>
                    <w:bottom w:val="outset" w:sz="6" w:space="0" w:color="414142"/>
                    <w:right w:val="outset" w:sz="6" w:space="0" w:color="414142"/>
                  </w:tcBorders>
                  <w:hideMark/>
                </w:tcPr>
                <w:p w14:paraId="025E4B91"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734" w:type="pct"/>
                  <w:tcBorders>
                    <w:top w:val="outset" w:sz="6" w:space="0" w:color="414142"/>
                    <w:left w:val="outset" w:sz="6" w:space="0" w:color="414142"/>
                    <w:bottom w:val="outset" w:sz="6" w:space="0" w:color="414142"/>
                    <w:right w:val="outset" w:sz="6" w:space="0" w:color="414142"/>
                  </w:tcBorders>
                  <w:hideMark/>
                </w:tcPr>
                <w:p w14:paraId="219760AA" w14:textId="77777777" w:rsidR="00D536B1" w:rsidRDefault="006476C0" w:rsidP="003F61B4">
                  <w:pPr>
                    <w:spacing w:after="0" w:line="240" w:lineRule="auto"/>
                    <w:jc w:val="both"/>
                    <w:rPr>
                      <w:rFonts w:ascii="Times New Roman" w:eastAsia="Times New Roman" w:hAnsi="Times New Roman" w:cs="Times New Roman"/>
                      <w:sz w:val="24"/>
                      <w:szCs w:val="24"/>
                      <w:lang w:eastAsia="lv-LV"/>
                    </w:rPr>
                  </w:pPr>
                  <w:r w:rsidRPr="003311D8">
                    <w:rPr>
                      <w:rFonts w:ascii="Times New Roman" w:eastAsia="Times New Roman" w:hAnsi="Times New Roman" w:cs="Times New Roman"/>
                      <w:sz w:val="24"/>
                      <w:szCs w:val="24"/>
                      <w:lang w:eastAsia="lv-LV"/>
                    </w:rPr>
                    <w:t xml:space="preserve">Ar noteikumu projektu tautsaimniecības vide tiks pozitīvi ietekmēta, </w:t>
                  </w:r>
                  <w:r w:rsidR="006A0433" w:rsidRPr="003311D8">
                    <w:rPr>
                      <w:rFonts w:ascii="Times New Roman" w:eastAsia="Times New Roman" w:hAnsi="Times New Roman" w:cs="Times New Roman"/>
                      <w:sz w:val="24"/>
                      <w:szCs w:val="24"/>
                      <w:lang w:eastAsia="lv-LV"/>
                    </w:rPr>
                    <w:t>jo administratoru noslodze izlīdzinās, tādējādi veicinot gan administratoru profesionālās kvalifikācijas uzturēšanu, gan kvalitatīvāku pienākumu izpildi</w:t>
                  </w:r>
                  <w:r w:rsidRPr="003311D8">
                    <w:rPr>
                      <w:rFonts w:ascii="Times New Roman" w:eastAsia="Times New Roman" w:hAnsi="Times New Roman" w:cs="Times New Roman"/>
                      <w:sz w:val="24"/>
                      <w:szCs w:val="24"/>
                      <w:lang w:eastAsia="lv-LV"/>
                    </w:rPr>
                    <w:t>.</w:t>
                  </w:r>
                  <w:r w:rsidR="00D536B1">
                    <w:rPr>
                      <w:rFonts w:ascii="Times New Roman" w:eastAsia="Times New Roman" w:hAnsi="Times New Roman" w:cs="Times New Roman"/>
                      <w:sz w:val="24"/>
                      <w:szCs w:val="24"/>
                      <w:lang w:eastAsia="lv-LV"/>
                    </w:rPr>
                    <w:t xml:space="preserve"> </w:t>
                  </w:r>
                </w:p>
                <w:p w14:paraId="7685AF3F" w14:textId="494149A7" w:rsidR="00CE6FD0" w:rsidRPr="00D536B1" w:rsidRDefault="003F61B4" w:rsidP="001E5F1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D536B1">
                    <w:rPr>
                      <w:rFonts w:ascii="Times New Roman" w:eastAsia="Times New Roman" w:hAnsi="Times New Roman" w:cs="Times New Roman"/>
                      <w:sz w:val="24"/>
                      <w:szCs w:val="24"/>
                      <w:lang w:eastAsia="lv-LV"/>
                    </w:rPr>
                    <w:t xml:space="preserve">abiedrības grupām un institūcijām </w:t>
                  </w:r>
                  <w:r>
                    <w:rPr>
                      <w:rFonts w:ascii="Times New Roman" w:eastAsia="Times New Roman" w:hAnsi="Times New Roman" w:cs="Times New Roman"/>
                      <w:sz w:val="24"/>
                      <w:szCs w:val="24"/>
                      <w:lang w:eastAsia="lv-LV"/>
                    </w:rPr>
                    <w:t xml:space="preserve">noteikumu </w:t>
                  </w:r>
                  <w:r w:rsidRPr="00D536B1">
                    <w:rPr>
                      <w:rFonts w:ascii="Times New Roman" w:eastAsia="Times New Roman" w:hAnsi="Times New Roman" w:cs="Times New Roman"/>
                      <w:sz w:val="24"/>
                      <w:szCs w:val="24"/>
                      <w:lang w:eastAsia="lv-LV"/>
                    </w:rPr>
                    <w:t>projekta tiesiskais regulējums nemaina tiesības un pienā</w:t>
                  </w:r>
                  <w:r w:rsidRPr="003F61B4">
                    <w:rPr>
                      <w:rFonts w:ascii="Times New Roman" w:eastAsia="Times New Roman" w:hAnsi="Times New Roman" w:cs="Times New Roman"/>
                      <w:sz w:val="24"/>
                      <w:szCs w:val="24"/>
                      <w:lang w:eastAsia="lv-LV"/>
                    </w:rPr>
                    <w:t>kumus, kā arī veicamās darbības.</w:t>
                  </w:r>
                  <w:bookmarkStart w:id="0" w:name="_GoBack"/>
                  <w:bookmarkEnd w:id="0"/>
                </w:p>
              </w:tc>
            </w:tr>
            <w:tr w:rsidR="00EA03D4" w:rsidRPr="00BC2633" w14:paraId="3E80F218" w14:textId="77777777" w:rsidTr="003311D8">
              <w:trPr>
                <w:trHeight w:val="510"/>
              </w:trPr>
              <w:tc>
                <w:tcPr>
                  <w:tcW w:w="134" w:type="pct"/>
                  <w:tcBorders>
                    <w:top w:val="outset" w:sz="6" w:space="0" w:color="414142"/>
                    <w:left w:val="outset" w:sz="6" w:space="0" w:color="414142"/>
                    <w:bottom w:val="outset" w:sz="6" w:space="0" w:color="414142"/>
                    <w:right w:val="outset" w:sz="6" w:space="0" w:color="414142"/>
                  </w:tcBorders>
                  <w:hideMark/>
                </w:tcPr>
                <w:p w14:paraId="186BF784"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133" w:type="pct"/>
                  <w:tcBorders>
                    <w:top w:val="outset" w:sz="6" w:space="0" w:color="414142"/>
                    <w:left w:val="outset" w:sz="6" w:space="0" w:color="414142"/>
                    <w:bottom w:val="outset" w:sz="6" w:space="0" w:color="414142"/>
                    <w:right w:val="outset" w:sz="6" w:space="0" w:color="414142"/>
                  </w:tcBorders>
                  <w:hideMark/>
                </w:tcPr>
                <w:p w14:paraId="01033336"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734" w:type="pct"/>
                  <w:tcBorders>
                    <w:top w:val="outset" w:sz="6" w:space="0" w:color="414142"/>
                    <w:left w:val="outset" w:sz="6" w:space="0" w:color="414142"/>
                    <w:bottom w:val="outset" w:sz="6" w:space="0" w:color="414142"/>
                    <w:right w:val="outset" w:sz="6" w:space="0" w:color="414142"/>
                  </w:tcBorders>
                  <w:hideMark/>
                </w:tcPr>
                <w:p w14:paraId="72D05CB1" w14:textId="0C02D6AC" w:rsidR="00EA03D4" w:rsidRPr="00BC2633" w:rsidRDefault="001E5F16" w:rsidP="004C2D4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EA03D4" w:rsidRPr="001D0245">
                    <w:rPr>
                      <w:rFonts w:ascii="Times New Roman" w:eastAsia="Times New Roman" w:hAnsi="Times New Roman" w:cs="Times New Roman"/>
                      <w:sz w:val="24"/>
                      <w:szCs w:val="24"/>
                      <w:lang w:eastAsia="lv-LV"/>
                    </w:rPr>
                    <w:t>rojekts šo jomu neskar.</w:t>
                  </w:r>
                </w:p>
              </w:tc>
            </w:tr>
            <w:tr w:rsidR="00EA03D4" w:rsidRPr="00BC2633" w14:paraId="7360BD1A" w14:textId="77777777" w:rsidTr="003311D8">
              <w:trPr>
                <w:trHeight w:val="345"/>
              </w:trPr>
              <w:tc>
                <w:tcPr>
                  <w:tcW w:w="134" w:type="pct"/>
                  <w:tcBorders>
                    <w:top w:val="outset" w:sz="6" w:space="0" w:color="414142"/>
                    <w:left w:val="outset" w:sz="6" w:space="0" w:color="414142"/>
                    <w:bottom w:val="outset" w:sz="6" w:space="0" w:color="414142"/>
                    <w:right w:val="outset" w:sz="6" w:space="0" w:color="414142"/>
                  </w:tcBorders>
                  <w:hideMark/>
                </w:tcPr>
                <w:p w14:paraId="73D44CD2"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33" w:type="pct"/>
                  <w:tcBorders>
                    <w:top w:val="outset" w:sz="6" w:space="0" w:color="414142"/>
                    <w:left w:val="outset" w:sz="6" w:space="0" w:color="414142"/>
                    <w:bottom w:val="outset" w:sz="6" w:space="0" w:color="414142"/>
                    <w:right w:val="outset" w:sz="6" w:space="0" w:color="414142"/>
                  </w:tcBorders>
                  <w:hideMark/>
                </w:tcPr>
                <w:p w14:paraId="329406C8" w14:textId="77777777" w:rsidR="00EA03D4" w:rsidRPr="00BC2633" w:rsidRDefault="00EA03D4" w:rsidP="004C2D40">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34" w:type="pct"/>
                  <w:tcBorders>
                    <w:top w:val="outset" w:sz="6" w:space="0" w:color="414142"/>
                    <w:left w:val="outset" w:sz="6" w:space="0" w:color="414142"/>
                    <w:bottom w:val="outset" w:sz="6" w:space="0" w:color="414142"/>
                    <w:right w:val="outset" w:sz="6" w:space="0" w:color="414142"/>
                  </w:tcBorders>
                  <w:hideMark/>
                </w:tcPr>
                <w:p w14:paraId="4AE5F7D0" w14:textId="245F8252" w:rsidR="00EA03D4" w:rsidRPr="00BC2633" w:rsidRDefault="00EA03D4" w:rsidP="004C2D4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400FC37C" w14:textId="77777777" w:rsidR="006F19CF" w:rsidRDefault="006F19CF" w:rsidP="006F19CF">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80"/>
            </w:tblGrid>
            <w:tr w:rsidR="006F19CF" w:rsidRPr="00224EB3" w14:paraId="0AACB981" w14:textId="77777777" w:rsidTr="004C2D40">
              <w:trPr>
                <w:trHeight w:val="360"/>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B3B3F" w14:textId="77777777" w:rsidR="006F19CF" w:rsidRPr="00224EB3" w:rsidRDefault="006F19CF" w:rsidP="004C2D40">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III. </w:t>
                  </w:r>
                  <w:r w:rsidRPr="00224EB3">
                    <w:rPr>
                      <w:rFonts w:ascii="Times New Roman" w:eastAsia="Times New Roman" w:hAnsi="Times New Roman" w:cs="Times New Roman"/>
                      <w:b/>
                      <w:bCs/>
                      <w:sz w:val="24"/>
                      <w:szCs w:val="24"/>
                      <w:lang w:eastAsia="lv-LV"/>
                    </w:rPr>
                    <w:t>Tiesību akta projekta ietekme uz valsts budžetu un pašvaldību budžetiem</w:t>
                  </w:r>
                </w:p>
              </w:tc>
            </w:tr>
            <w:tr w:rsidR="006F19CF" w:rsidRPr="00224EB3" w14:paraId="2583743E" w14:textId="77777777" w:rsidTr="004C2D40">
              <w:trPr>
                <w:trHeight w:val="525"/>
              </w:trPr>
              <w:tc>
                <w:tcPr>
                  <w:tcW w:w="5000" w:type="pct"/>
                  <w:tcBorders>
                    <w:top w:val="outset" w:sz="6" w:space="0" w:color="414142"/>
                    <w:left w:val="outset" w:sz="6" w:space="0" w:color="414142"/>
                    <w:right w:val="outset" w:sz="6" w:space="0" w:color="414142"/>
                  </w:tcBorders>
                  <w:shd w:val="clear" w:color="auto" w:fill="FFFFFF"/>
                  <w:vAlign w:val="center"/>
                  <w:hideMark/>
                </w:tcPr>
                <w:p w14:paraId="1F5546A2" w14:textId="63F24CCA" w:rsidR="006F19CF" w:rsidRPr="00224EB3" w:rsidRDefault="001E5F16" w:rsidP="004C2D40">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EA03D4" w:rsidRPr="001D0245">
                    <w:rPr>
                      <w:rFonts w:ascii="Times New Roman" w:eastAsia="Times New Roman" w:hAnsi="Times New Roman" w:cs="Times New Roman"/>
                      <w:sz w:val="24"/>
                      <w:szCs w:val="24"/>
                      <w:lang w:eastAsia="lv-LV"/>
                    </w:rPr>
                    <w:t>rojekts šo jomu neskar.</w:t>
                  </w:r>
                </w:p>
              </w:tc>
            </w:tr>
          </w:tbl>
          <w:p w14:paraId="3F0F3BA0" w14:textId="77777777" w:rsidR="006F19CF" w:rsidRDefault="006F19CF" w:rsidP="006F19CF">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80"/>
            </w:tblGrid>
            <w:tr w:rsidR="006F19CF" w:rsidRPr="00224EB3" w14:paraId="34E1B57B" w14:textId="77777777" w:rsidTr="004C2D40">
              <w:trPr>
                <w:trHeight w:val="360"/>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6F3F71" w14:textId="77777777" w:rsidR="006F19CF" w:rsidRPr="00224EB3" w:rsidRDefault="006F19CF" w:rsidP="004C2D40">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IV. </w:t>
                  </w:r>
                  <w:r w:rsidRPr="00224EB3">
                    <w:rPr>
                      <w:rFonts w:ascii="Times New Roman" w:eastAsia="Times New Roman" w:hAnsi="Times New Roman" w:cs="Times New Roman"/>
                      <w:b/>
                      <w:bCs/>
                      <w:sz w:val="24"/>
                      <w:szCs w:val="24"/>
                      <w:lang w:eastAsia="lv-LV"/>
                    </w:rPr>
                    <w:t>Tiesību akta projekta ietekme uz spēkā esošo tiesību normu sistēmu</w:t>
                  </w:r>
                </w:p>
              </w:tc>
            </w:tr>
            <w:tr w:rsidR="006F19CF" w:rsidRPr="00224EB3" w14:paraId="4D3CC8E5" w14:textId="77777777" w:rsidTr="004C2D40">
              <w:trPr>
                <w:trHeight w:val="525"/>
              </w:trPr>
              <w:tc>
                <w:tcPr>
                  <w:tcW w:w="5000" w:type="pct"/>
                  <w:tcBorders>
                    <w:top w:val="outset" w:sz="6" w:space="0" w:color="414142"/>
                    <w:left w:val="outset" w:sz="6" w:space="0" w:color="414142"/>
                    <w:right w:val="outset" w:sz="6" w:space="0" w:color="414142"/>
                  </w:tcBorders>
                  <w:shd w:val="clear" w:color="auto" w:fill="FFFFFF"/>
                  <w:vAlign w:val="center"/>
                  <w:hideMark/>
                </w:tcPr>
                <w:p w14:paraId="51FC0AF2" w14:textId="6178C616" w:rsidR="006F19CF" w:rsidRPr="00224EB3" w:rsidRDefault="001E5F16" w:rsidP="004C2D40">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6F19CF" w:rsidRPr="001D0245">
                    <w:rPr>
                      <w:rFonts w:ascii="Times New Roman" w:eastAsia="Times New Roman" w:hAnsi="Times New Roman" w:cs="Times New Roman"/>
                      <w:sz w:val="24"/>
                      <w:szCs w:val="24"/>
                      <w:lang w:eastAsia="lv-LV"/>
                    </w:rPr>
                    <w:t>rojekts šo jomu neskar.</w:t>
                  </w:r>
                </w:p>
              </w:tc>
            </w:tr>
          </w:tbl>
          <w:p w14:paraId="2FF3D102" w14:textId="77777777" w:rsidR="006F19CF" w:rsidRDefault="006F19CF" w:rsidP="006F19CF">
            <w:pPr>
              <w:shd w:val="clear" w:color="auto" w:fill="FFFFFF"/>
              <w:spacing w:after="0" w:line="240" w:lineRule="auto"/>
              <w:ind w:firstLine="301"/>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980"/>
            </w:tblGrid>
            <w:tr w:rsidR="006F19CF" w:rsidRPr="00224EB3" w14:paraId="789CFB1B" w14:textId="77777777" w:rsidTr="004C2D40">
              <w:trPr>
                <w:trHeight w:val="360"/>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A60F12" w14:textId="77777777" w:rsidR="006F19CF" w:rsidRPr="00224EB3" w:rsidRDefault="006F19CF" w:rsidP="004C2D40">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 </w:t>
                  </w:r>
                  <w:r w:rsidRPr="00224EB3">
                    <w:rPr>
                      <w:rFonts w:ascii="Times New Roman" w:eastAsia="Times New Roman" w:hAnsi="Times New Roman" w:cs="Times New Roman"/>
                      <w:b/>
                      <w:bCs/>
                      <w:sz w:val="24"/>
                      <w:szCs w:val="24"/>
                      <w:lang w:eastAsia="lv-LV"/>
                    </w:rPr>
                    <w:t>Tiesību akta projekta atbilstība Latvijas Republikas starptautiskajām saistībām</w:t>
                  </w:r>
                </w:p>
              </w:tc>
            </w:tr>
            <w:tr w:rsidR="006F19CF" w:rsidRPr="00224EB3" w14:paraId="52551957" w14:textId="77777777" w:rsidTr="004C2D40">
              <w:trPr>
                <w:trHeight w:val="525"/>
              </w:trPr>
              <w:tc>
                <w:tcPr>
                  <w:tcW w:w="5000" w:type="pct"/>
                  <w:tcBorders>
                    <w:top w:val="outset" w:sz="6" w:space="0" w:color="414142"/>
                    <w:left w:val="outset" w:sz="6" w:space="0" w:color="414142"/>
                    <w:right w:val="outset" w:sz="6" w:space="0" w:color="414142"/>
                  </w:tcBorders>
                  <w:shd w:val="clear" w:color="auto" w:fill="FFFFFF"/>
                  <w:vAlign w:val="center"/>
                  <w:hideMark/>
                </w:tcPr>
                <w:p w14:paraId="395A2548" w14:textId="715418A0" w:rsidR="006F19CF" w:rsidRPr="00224EB3" w:rsidRDefault="001E5F16" w:rsidP="004C2D40">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006F19CF" w:rsidRPr="001D0245">
                    <w:rPr>
                      <w:rFonts w:ascii="Times New Roman" w:eastAsia="Times New Roman" w:hAnsi="Times New Roman" w:cs="Times New Roman"/>
                      <w:sz w:val="24"/>
                      <w:szCs w:val="24"/>
                      <w:lang w:eastAsia="lv-LV"/>
                    </w:rPr>
                    <w:t>rojekts šo jomu neskar.</w:t>
                  </w:r>
                </w:p>
              </w:tc>
            </w:tr>
          </w:tbl>
          <w:p w14:paraId="0197F3AA" w14:textId="77777777" w:rsidR="006F19CF" w:rsidRDefault="006F19CF" w:rsidP="0081203F">
            <w:pPr>
              <w:tabs>
                <w:tab w:val="left" w:pos="990"/>
              </w:tabs>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9"/>
              <w:gridCol w:w="2021"/>
              <w:gridCol w:w="6580"/>
            </w:tblGrid>
            <w:tr w:rsidR="006F19CF" w:rsidRPr="00BC2633" w14:paraId="4366E1FF" w14:textId="77777777" w:rsidTr="002C1347">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E53675" w14:textId="7A1F7744" w:rsidR="006F19CF" w:rsidRPr="00BC2633" w:rsidRDefault="003311D8" w:rsidP="00AC70DE">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 </w:t>
                  </w:r>
                  <w:r w:rsidR="006F19CF" w:rsidRPr="00BC2633">
                    <w:rPr>
                      <w:rFonts w:ascii="Times New Roman" w:eastAsia="Times New Roman" w:hAnsi="Times New Roman" w:cs="Times New Roman"/>
                      <w:b/>
                      <w:bCs/>
                      <w:sz w:val="24"/>
                      <w:szCs w:val="24"/>
                      <w:lang w:eastAsia="lv-LV"/>
                    </w:rPr>
                    <w:t>Sabiedrības līdzdalība un komunikācijas aktivitātes</w:t>
                  </w:r>
                </w:p>
              </w:tc>
            </w:tr>
            <w:tr w:rsidR="006F19CF" w:rsidRPr="00BC2633" w14:paraId="131A461A" w14:textId="77777777" w:rsidTr="002C1347">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CF8D604"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lastRenderedPageBreak/>
                    <w:t>1.</w:t>
                  </w:r>
                </w:p>
              </w:tc>
              <w:tc>
                <w:tcPr>
                  <w:tcW w:w="1164" w:type="pct"/>
                  <w:tcBorders>
                    <w:top w:val="outset" w:sz="6" w:space="0" w:color="414142"/>
                    <w:left w:val="outset" w:sz="6" w:space="0" w:color="414142"/>
                    <w:bottom w:val="outset" w:sz="6" w:space="0" w:color="414142"/>
                    <w:right w:val="outset" w:sz="6" w:space="0" w:color="414142"/>
                  </w:tcBorders>
                  <w:hideMark/>
                </w:tcPr>
                <w:p w14:paraId="51374440"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50421B33" w14:textId="06AEDC18" w:rsidR="006F19CF" w:rsidRPr="00F07759" w:rsidRDefault="006F19CF" w:rsidP="00AB2F78">
                  <w:pPr>
                    <w:spacing w:after="0" w:line="240" w:lineRule="auto"/>
                    <w:jc w:val="both"/>
                    <w:rPr>
                      <w:rFonts w:ascii="Times New Roman" w:hAnsi="Times New Roman" w:cs="Times New Roman"/>
                      <w:sz w:val="24"/>
                      <w:szCs w:val="24"/>
                    </w:rPr>
                  </w:pPr>
                  <w:r w:rsidRPr="00F07759">
                    <w:rPr>
                      <w:rFonts w:ascii="Times New Roman" w:eastAsia="Times New Roman" w:hAnsi="Times New Roman" w:cs="Times New Roman"/>
                      <w:sz w:val="24"/>
                      <w:szCs w:val="24"/>
                      <w:lang w:eastAsia="lv-LV"/>
                    </w:rPr>
                    <w:t xml:space="preserve">Lai informētu sabiedrību par </w:t>
                  </w:r>
                  <w:r w:rsidR="000574CD">
                    <w:rPr>
                      <w:rFonts w:ascii="Times New Roman" w:eastAsia="Times New Roman" w:hAnsi="Times New Roman" w:cs="Times New Roman"/>
                      <w:sz w:val="24"/>
                      <w:szCs w:val="24"/>
                      <w:lang w:eastAsia="lv-LV"/>
                    </w:rPr>
                    <w:t>n</w:t>
                  </w:r>
                  <w:r w:rsidRPr="00F07759">
                    <w:rPr>
                      <w:rFonts w:ascii="Times New Roman" w:eastAsia="Times New Roman" w:hAnsi="Times New Roman" w:cs="Times New Roman"/>
                      <w:sz w:val="24"/>
                      <w:szCs w:val="24"/>
                      <w:lang w:eastAsia="lv-LV"/>
                    </w:rPr>
                    <w:t xml:space="preserve">oteikumu projektu un dotu iespēju ieinteresētajām personām izteikt viedokli, </w:t>
                  </w:r>
                  <w:r w:rsidR="00B06F93">
                    <w:rPr>
                      <w:rFonts w:ascii="Times New Roman" w:eastAsia="Times New Roman" w:hAnsi="Times New Roman" w:cs="Times New Roman"/>
                      <w:sz w:val="24"/>
                      <w:szCs w:val="24"/>
                      <w:lang w:eastAsia="lv-LV"/>
                    </w:rPr>
                    <w:t>n</w:t>
                  </w:r>
                  <w:r w:rsidRPr="00F07759">
                    <w:rPr>
                      <w:rFonts w:ascii="Times New Roman" w:eastAsia="Times New Roman" w:hAnsi="Times New Roman" w:cs="Times New Roman"/>
                      <w:sz w:val="24"/>
                      <w:szCs w:val="24"/>
                      <w:lang w:eastAsia="lv-LV"/>
                    </w:rPr>
                    <w:t xml:space="preserve">oteikumu projekts saskaņā ar Ministru kabineta 2009. gada 25. augusta noteikumiem Nr. 970 "Sabiedrības līdzdalības kārtība attīstības un plānošanas procesā" ievietots Maksātnespējas administrācijas </w:t>
                  </w:r>
                  <w:r w:rsidR="00274EB2">
                    <w:rPr>
                      <w:rFonts w:ascii="Times New Roman" w:eastAsia="Times New Roman" w:hAnsi="Times New Roman" w:cs="Times New Roman"/>
                      <w:sz w:val="24"/>
                      <w:szCs w:val="24"/>
                      <w:lang w:eastAsia="lv-LV"/>
                    </w:rPr>
                    <w:t>tīmekļa vietnē</w:t>
                  </w:r>
                  <w:r w:rsidRPr="00F07759">
                    <w:rPr>
                      <w:rFonts w:ascii="Times New Roman" w:eastAsia="Times New Roman" w:hAnsi="Times New Roman" w:cs="Times New Roman"/>
                      <w:sz w:val="24"/>
                      <w:szCs w:val="24"/>
                      <w:lang w:eastAsia="lv-LV"/>
                    </w:rPr>
                    <w:t xml:space="preserve"> 2017. gada </w:t>
                  </w:r>
                  <w:r w:rsidR="00AB2F78">
                    <w:rPr>
                      <w:rFonts w:ascii="Times New Roman" w:eastAsia="Times New Roman" w:hAnsi="Times New Roman" w:cs="Times New Roman"/>
                      <w:sz w:val="24"/>
                      <w:szCs w:val="24"/>
                      <w:lang w:eastAsia="lv-LV"/>
                    </w:rPr>
                    <w:t>20</w:t>
                  </w:r>
                  <w:r w:rsidRPr="00F07759">
                    <w:rPr>
                      <w:rFonts w:ascii="Times New Roman" w:eastAsia="Times New Roman" w:hAnsi="Times New Roman" w:cs="Times New Roman"/>
                      <w:sz w:val="24"/>
                      <w:szCs w:val="24"/>
                      <w:lang w:eastAsia="lv-LV"/>
                    </w:rPr>
                    <w:t>. jūlijā</w:t>
                  </w:r>
                  <w:r w:rsidR="00274EB2">
                    <w:rPr>
                      <w:rFonts w:ascii="Times New Roman" w:eastAsia="Times New Roman" w:hAnsi="Times New Roman" w:cs="Times New Roman"/>
                      <w:sz w:val="24"/>
                      <w:szCs w:val="24"/>
                      <w:lang w:eastAsia="lv-LV"/>
                    </w:rPr>
                    <w:t xml:space="preserve"> (pieejams:</w:t>
                  </w:r>
                  <w:r w:rsidR="00274EB2" w:rsidRPr="00274EB2">
                    <w:rPr>
                      <w:rFonts w:ascii="Times New Roman" w:eastAsia="Times New Roman" w:hAnsi="Times New Roman" w:cs="Times New Roman"/>
                      <w:sz w:val="24"/>
                      <w:szCs w:val="24"/>
                      <w:lang w:eastAsia="lv-LV"/>
                    </w:rPr>
                    <w:t>http://www.mna.gov.lv/lv/link_part_186/link_part_187/</w:t>
                  </w:r>
                  <w:r w:rsidR="00274EB2">
                    <w:rPr>
                      <w:rFonts w:ascii="Times New Roman" w:eastAsia="Times New Roman" w:hAnsi="Times New Roman" w:cs="Times New Roman"/>
                      <w:sz w:val="24"/>
                      <w:szCs w:val="24"/>
                      <w:lang w:eastAsia="lv-LV"/>
                    </w:rPr>
                    <w:t>)</w:t>
                  </w:r>
                  <w:r w:rsidRPr="00F07759">
                    <w:rPr>
                      <w:rFonts w:ascii="Times New Roman" w:eastAsia="Times New Roman" w:hAnsi="Times New Roman" w:cs="Times New Roman"/>
                      <w:sz w:val="24"/>
                      <w:szCs w:val="24"/>
                      <w:lang w:eastAsia="lv-LV"/>
                    </w:rPr>
                    <w:t>.</w:t>
                  </w:r>
                </w:p>
              </w:tc>
            </w:tr>
            <w:tr w:rsidR="006F19CF" w:rsidRPr="00BC2633" w14:paraId="75BCAFA5" w14:textId="77777777" w:rsidTr="002C1347">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72000D5D"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070D924A"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2EB1CAC5" w14:textId="0F8F6D6F" w:rsidR="006F19CF" w:rsidRPr="00F07759" w:rsidRDefault="006F19CF" w:rsidP="002C1347">
                  <w:pPr>
                    <w:spacing w:line="240" w:lineRule="auto"/>
                    <w:jc w:val="both"/>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Saskaņā ar Ministru kabineta 2009. gada 25. augusta noteikumu Nr. 970 "Sabiedrības līdzdalības kārtība attīstības un plānošanas procesā" 7.4.</w:t>
                  </w:r>
                  <w:r w:rsidRPr="00F07759">
                    <w:rPr>
                      <w:rFonts w:ascii="Times New Roman" w:eastAsia="Times New Roman" w:hAnsi="Times New Roman" w:cs="Times New Roman"/>
                      <w:sz w:val="24"/>
                      <w:szCs w:val="24"/>
                      <w:vertAlign w:val="superscript"/>
                      <w:lang w:eastAsia="lv-LV"/>
                    </w:rPr>
                    <w:t>1</w:t>
                  </w:r>
                  <w:r w:rsidR="00B06F93">
                    <w:rPr>
                      <w:rFonts w:ascii="Times New Roman" w:eastAsia="Times New Roman" w:hAnsi="Times New Roman" w:cs="Times New Roman"/>
                      <w:sz w:val="24"/>
                      <w:szCs w:val="24"/>
                      <w:vertAlign w:val="superscript"/>
                      <w:lang w:eastAsia="lv-LV"/>
                    </w:rPr>
                    <w:t> </w:t>
                  </w:r>
                  <w:r w:rsidRPr="00F07759">
                    <w:rPr>
                      <w:rFonts w:ascii="Times New Roman" w:eastAsia="Times New Roman" w:hAnsi="Times New Roman" w:cs="Times New Roman"/>
                      <w:sz w:val="24"/>
                      <w:szCs w:val="24"/>
                      <w:lang w:eastAsia="lv-LV"/>
                    </w:rPr>
                    <w:t xml:space="preserve">apakšpunktu sabiedrības pārstāvjiem bija iespēja līdzdarboties, rakstiski sniedzot viedokli par </w:t>
                  </w:r>
                  <w:r w:rsidR="002C1347">
                    <w:rPr>
                      <w:rFonts w:ascii="Times New Roman" w:eastAsia="Times New Roman" w:hAnsi="Times New Roman" w:cs="Times New Roman"/>
                      <w:sz w:val="24"/>
                      <w:szCs w:val="24"/>
                      <w:lang w:eastAsia="lv-LV"/>
                    </w:rPr>
                    <w:t>n</w:t>
                  </w:r>
                  <w:r w:rsidRPr="00F07759">
                    <w:rPr>
                      <w:rFonts w:ascii="Times New Roman" w:eastAsia="Times New Roman" w:hAnsi="Times New Roman" w:cs="Times New Roman"/>
                      <w:sz w:val="24"/>
                      <w:szCs w:val="24"/>
                      <w:lang w:eastAsia="lv-LV"/>
                    </w:rPr>
                    <w:t>oteikumu projektu tā izstrādes stadijā.</w:t>
                  </w:r>
                </w:p>
              </w:tc>
            </w:tr>
            <w:tr w:rsidR="006F19CF" w:rsidRPr="00BC2633" w14:paraId="1D9E140C" w14:textId="77777777" w:rsidTr="002C134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62AB431A"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5F3A2784" w14:textId="77777777" w:rsidR="006F19CF" w:rsidRPr="00F07759" w:rsidRDefault="006F19CF" w:rsidP="00AC70DE">
                  <w:pPr>
                    <w:spacing w:after="0" w:line="240" w:lineRule="auto"/>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550AE272" w14:textId="7EAEB62A" w:rsidR="006F19CF" w:rsidRPr="00F07759" w:rsidRDefault="006F19CF" w:rsidP="00B06F93">
                  <w:pPr>
                    <w:spacing w:line="240" w:lineRule="auto"/>
                    <w:jc w:val="both"/>
                    <w:rPr>
                      <w:rFonts w:ascii="Times New Roman" w:eastAsia="Times New Roman" w:hAnsi="Times New Roman" w:cs="Times New Roman"/>
                      <w:sz w:val="24"/>
                      <w:szCs w:val="24"/>
                      <w:lang w:eastAsia="lv-LV"/>
                    </w:rPr>
                  </w:pPr>
                  <w:r w:rsidRPr="00F07759">
                    <w:rPr>
                      <w:rFonts w:ascii="Times New Roman" w:eastAsia="Times New Roman" w:hAnsi="Times New Roman" w:cs="Times New Roman"/>
                      <w:sz w:val="24"/>
                      <w:szCs w:val="24"/>
                      <w:lang w:eastAsia="lv-LV"/>
                    </w:rPr>
                    <w:t xml:space="preserve">Sabiedrības pārstāvju viedokļi par </w:t>
                  </w:r>
                  <w:r w:rsidR="00B06F93">
                    <w:rPr>
                      <w:rFonts w:ascii="Times New Roman" w:eastAsia="Times New Roman" w:hAnsi="Times New Roman" w:cs="Times New Roman"/>
                      <w:sz w:val="24"/>
                      <w:szCs w:val="24"/>
                      <w:lang w:eastAsia="lv-LV"/>
                    </w:rPr>
                    <w:t>n</w:t>
                  </w:r>
                  <w:r w:rsidRPr="00F07759">
                    <w:rPr>
                      <w:rFonts w:ascii="Times New Roman" w:eastAsia="Times New Roman" w:hAnsi="Times New Roman" w:cs="Times New Roman"/>
                      <w:sz w:val="24"/>
                      <w:szCs w:val="24"/>
                      <w:lang w:eastAsia="lv-LV"/>
                    </w:rPr>
                    <w:t xml:space="preserve">oteikumu projektu pēc tā ievietošanas </w:t>
                  </w:r>
                  <w:r w:rsidR="00B06F93">
                    <w:rPr>
                      <w:rFonts w:ascii="Times New Roman" w:eastAsia="Times New Roman" w:hAnsi="Times New Roman" w:cs="Times New Roman"/>
                      <w:sz w:val="24"/>
                      <w:szCs w:val="24"/>
                      <w:lang w:eastAsia="lv-LV"/>
                    </w:rPr>
                    <w:t>Maksātnespējas administrācijas tīmekļa vietnē līdz n</w:t>
                  </w:r>
                  <w:r w:rsidRPr="00F07759">
                    <w:rPr>
                      <w:rFonts w:ascii="Times New Roman" w:eastAsia="Times New Roman" w:hAnsi="Times New Roman" w:cs="Times New Roman"/>
                      <w:sz w:val="24"/>
                      <w:szCs w:val="24"/>
                      <w:lang w:eastAsia="lv-LV"/>
                    </w:rPr>
                    <w:t>oteikumu projekta saskaņošanai ar institūcijām nav saņemti.</w:t>
                  </w:r>
                </w:p>
              </w:tc>
            </w:tr>
            <w:tr w:rsidR="006F19CF" w:rsidRPr="00BC2633" w14:paraId="7F2C28E5" w14:textId="77777777" w:rsidTr="002C1347">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473C1A9" w14:textId="77777777" w:rsidR="006F19CF" w:rsidRPr="00BC2633" w:rsidRDefault="006F19CF" w:rsidP="00AC70D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77D95E29" w14:textId="77777777" w:rsidR="006F19CF" w:rsidRPr="00BC2633" w:rsidRDefault="006F19CF" w:rsidP="00AC70DE">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68FE4F11" w14:textId="6A687CC4" w:rsidR="006F19CF" w:rsidRPr="00BC2633" w:rsidRDefault="006F19CF" w:rsidP="00AC70D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1E5F16">
                    <w:rPr>
                      <w:rFonts w:ascii="Times New Roman" w:eastAsia="Times New Roman" w:hAnsi="Times New Roman" w:cs="Times New Roman"/>
                      <w:sz w:val="24"/>
                      <w:szCs w:val="24"/>
                      <w:lang w:eastAsia="lv-LV"/>
                    </w:rPr>
                    <w:t>.</w:t>
                  </w:r>
                </w:p>
              </w:tc>
            </w:tr>
          </w:tbl>
          <w:p w14:paraId="3D6B841E" w14:textId="77777777" w:rsidR="006F19CF" w:rsidRDefault="006F19CF" w:rsidP="0081203F">
            <w:pPr>
              <w:tabs>
                <w:tab w:val="left" w:pos="990"/>
              </w:tabs>
              <w:spacing w:after="0" w:line="240" w:lineRule="auto"/>
              <w:rPr>
                <w:rFonts w:ascii="Times New Roman" w:eastAsia="Times New Roman" w:hAnsi="Times New Roman" w:cs="Times New Roman"/>
                <w:sz w:val="24"/>
                <w:szCs w:val="24"/>
                <w:lang w:eastAsia="lv-LV"/>
              </w:rPr>
            </w:pPr>
          </w:p>
          <w:p w14:paraId="3909DB7C" w14:textId="77777777" w:rsidR="006F19CF" w:rsidRPr="00BC2633" w:rsidRDefault="006F19CF" w:rsidP="0081203F">
            <w:pPr>
              <w:tabs>
                <w:tab w:val="left" w:pos="990"/>
              </w:tabs>
              <w:spacing w:after="0" w:line="240" w:lineRule="auto"/>
              <w:rPr>
                <w:rFonts w:ascii="Times New Roman" w:eastAsia="Times New Roman" w:hAnsi="Times New Roman" w:cs="Times New Roman"/>
                <w:sz w:val="24"/>
                <w:szCs w:val="24"/>
                <w:lang w:eastAsia="lv-LV"/>
              </w:rPr>
            </w:pPr>
          </w:p>
        </w:tc>
      </w:tr>
      <w:tr w:rsidR="003311D8" w:rsidRPr="00BC2633" w14:paraId="25A18373" w14:textId="77777777" w:rsidTr="003311D8">
        <w:trPr>
          <w:trHeight w:val="420"/>
        </w:trPr>
        <w:tc>
          <w:tcPr>
            <w:tcW w:w="5000" w:type="pct"/>
            <w:gridSpan w:val="7"/>
            <w:tcBorders>
              <w:top w:val="outset" w:sz="6" w:space="0" w:color="414142"/>
              <w:left w:val="outset" w:sz="6" w:space="0" w:color="414142"/>
              <w:bottom w:val="outset" w:sz="6" w:space="0" w:color="414142"/>
              <w:right w:val="outset" w:sz="6" w:space="0" w:color="414142"/>
            </w:tcBorders>
          </w:tcPr>
          <w:p w14:paraId="2860D393" w14:textId="5E867D83" w:rsidR="003311D8" w:rsidRPr="003311D8" w:rsidRDefault="003311D8" w:rsidP="003311D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lastRenderedPageBreak/>
              <w:t>VII. </w:t>
            </w:r>
            <w:r w:rsidRPr="007472E6">
              <w:rPr>
                <w:rFonts w:ascii="Times New Roman" w:eastAsia="Times New Roman" w:hAnsi="Times New Roman" w:cs="Times New Roman"/>
                <w:b/>
                <w:sz w:val="24"/>
                <w:szCs w:val="24"/>
                <w:lang w:eastAsia="lv-LV"/>
              </w:rPr>
              <w:t>Tiesību akta projekta izpildes nodrošināšana un tās ietekme uz institūcijām</w:t>
            </w:r>
          </w:p>
        </w:tc>
      </w:tr>
      <w:tr w:rsidR="006476C0" w:rsidRPr="00BC2633" w14:paraId="6E08C3FE" w14:textId="77777777" w:rsidTr="007472E6">
        <w:trPr>
          <w:trHeight w:val="420"/>
        </w:trPr>
        <w:tc>
          <w:tcPr>
            <w:tcW w:w="250" w:type="pct"/>
            <w:gridSpan w:val="3"/>
            <w:tcBorders>
              <w:top w:val="outset" w:sz="6" w:space="0" w:color="414142"/>
              <w:left w:val="outset" w:sz="6" w:space="0" w:color="414142"/>
              <w:bottom w:val="outset" w:sz="6" w:space="0" w:color="414142"/>
              <w:right w:val="outset" w:sz="6" w:space="0" w:color="414142"/>
            </w:tcBorders>
            <w:hideMark/>
          </w:tcPr>
          <w:p w14:paraId="43DE12E8"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785" w:type="pct"/>
            <w:gridSpan w:val="2"/>
            <w:tcBorders>
              <w:top w:val="outset" w:sz="6" w:space="0" w:color="414142"/>
              <w:left w:val="outset" w:sz="6" w:space="0" w:color="414142"/>
              <w:bottom w:val="outset" w:sz="6" w:space="0" w:color="414142"/>
              <w:right w:val="outset" w:sz="6" w:space="0" w:color="414142"/>
            </w:tcBorders>
            <w:hideMark/>
          </w:tcPr>
          <w:p w14:paraId="39882845"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2965" w:type="pct"/>
            <w:gridSpan w:val="2"/>
            <w:tcBorders>
              <w:top w:val="outset" w:sz="6" w:space="0" w:color="414142"/>
              <w:left w:val="outset" w:sz="6" w:space="0" w:color="414142"/>
              <w:bottom w:val="outset" w:sz="6" w:space="0" w:color="414142"/>
              <w:right w:val="outset" w:sz="6" w:space="0" w:color="414142"/>
            </w:tcBorders>
            <w:hideMark/>
          </w:tcPr>
          <w:p w14:paraId="377DBEAD" w14:textId="47024B18" w:rsidR="006476C0" w:rsidRPr="003311D8" w:rsidRDefault="006476C0" w:rsidP="002346E1">
            <w:pPr>
              <w:spacing w:after="0" w:line="240" w:lineRule="auto"/>
              <w:jc w:val="both"/>
              <w:rPr>
                <w:rFonts w:ascii="Times New Roman" w:eastAsia="Times New Roman" w:hAnsi="Times New Roman" w:cs="Times New Roman"/>
                <w:sz w:val="24"/>
                <w:szCs w:val="24"/>
                <w:lang w:eastAsia="lv-LV"/>
              </w:rPr>
            </w:pPr>
            <w:r w:rsidRPr="003311D8">
              <w:rPr>
                <w:rFonts w:ascii="Times New Roman" w:eastAsia="Times New Roman" w:hAnsi="Times New Roman" w:cs="Times New Roman"/>
                <w:sz w:val="24"/>
                <w:szCs w:val="24"/>
                <w:lang w:eastAsia="lv-LV"/>
              </w:rPr>
              <w:t>Noteikuma projekta izpildi nodrošinās Maksātnespējas administrācija</w:t>
            </w:r>
          </w:p>
        </w:tc>
      </w:tr>
      <w:tr w:rsidR="006476C0" w:rsidRPr="00BC2633" w14:paraId="39B50334" w14:textId="77777777" w:rsidTr="007472E6">
        <w:trPr>
          <w:trHeight w:val="450"/>
        </w:trPr>
        <w:tc>
          <w:tcPr>
            <w:tcW w:w="250" w:type="pct"/>
            <w:gridSpan w:val="3"/>
            <w:tcBorders>
              <w:top w:val="outset" w:sz="6" w:space="0" w:color="414142"/>
              <w:left w:val="outset" w:sz="6" w:space="0" w:color="414142"/>
              <w:bottom w:val="outset" w:sz="6" w:space="0" w:color="414142"/>
              <w:right w:val="outset" w:sz="6" w:space="0" w:color="414142"/>
            </w:tcBorders>
            <w:hideMark/>
          </w:tcPr>
          <w:p w14:paraId="6153DC9C"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785" w:type="pct"/>
            <w:gridSpan w:val="2"/>
            <w:tcBorders>
              <w:top w:val="outset" w:sz="6" w:space="0" w:color="414142"/>
              <w:left w:val="outset" w:sz="6" w:space="0" w:color="414142"/>
              <w:bottom w:val="outset" w:sz="6" w:space="0" w:color="414142"/>
              <w:right w:val="outset" w:sz="6" w:space="0" w:color="414142"/>
            </w:tcBorders>
            <w:hideMark/>
          </w:tcPr>
          <w:p w14:paraId="694337E4"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52C42342"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965" w:type="pct"/>
            <w:gridSpan w:val="2"/>
            <w:tcBorders>
              <w:top w:val="outset" w:sz="6" w:space="0" w:color="414142"/>
              <w:left w:val="outset" w:sz="6" w:space="0" w:color="414142"/>
              <w:bottom w:val="outset" w:sz="6" w:space="0" w:color="414142"/>
              <w:right w:val="outset" w:sz="6" w:space="0" w:color="414142"/>
            </w:tcBorders>
            <w:hideMark/>
          </w:tcPr>
          <w:p w14:paraId="4989775D" w14:textId="362B473B" w:rsidR="006476C0" w:rsidRPr="003311D8" w:rsidRDefault="002C6534" w:rsidP="002C6534">
            <w:pPr>
              <w:spacing w:after="0" w:line="240" w:lineRule="auto"/>
              <w:jc w:val="both"/>
              <w:rPr>
                <w:rFonts w:ascii="Times New Roman" w:eastAsia="Times New Roman" w:hAnsi="Times New Roman" w:cs="Times New Roman"/>
                <w:sz w:val="24"/>
                <w:szCs w:val="24"/>
                <w:lang w:eastAsia="lv-LV"/>
              </w:rPr>
            </w:pPr>
            <w:r w:rsidRPr="003311D8">
              <w:rPr>
                <w:rFonts w:ascii="Times New Roman" w:eastAsia="Times New Roman" w:hAnsi="Times New Roman" w:cs="Times New Roman"/>
                <w:sz w:val="24"/>
                <w:szCs w:val="24"/>
                <w:lang w:eastAsia="lv-LV"/>
              </w:rPr>
              <w:t>Jaunas institūcijas netiek veidotas. Esošu institūciju likvidācija vai reorganizācija netiek plānota.</w:t>
            </w:r>
          </w:p>
        </w:tc>
      </w:tr>
      <w:tr w:rsidR="006476C0" w:rsidRPr="00BC2633" w14:paraId="7B0C99D6" w14:textId="77777777" w:rsidTr="007472E6">
        <w:trPr>
          <w:trHeight w:val="390"/>
        </w:trPr>
        <w:tc>
          <w:tcPr>
            <w:tcW w:w="250" w:type="pct"/>
            <w:gridSpan w:val="3"/>
            <w:tcBorders>
              <w:top w:val="outset" w:sz="6" w:space="0" w:color="414142"/>
              <w:left w:val="outset" w:sz="6" w:space="0" w:color="414142"/>
              <w:bottom w:val="outset" w:sz="6" w:space="0" w:color="414142"/>
              <w:right w:val="outset" w:sz="6" w:space="0" w:color="414142"/>
            </w:tcBorders>
            <w:hideMark/>
          </w:tcPr>
          <w:p w14:paraId="7048A240"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785" w:type="pct"/>
            <w:gridSpan w:val="2"/>
            <w:tcBorders>
              <w:top w:val="outset" w:sz="6" w:space="0" w:color="414142"/>
              <w:left w:val="outset" w:sz="6" w:space="0" w:color="414142"/>
              <w:bottom w:val="outset" w:sz="6" w:space="0" w:color="414142"/>
              <w:right w:val="outset" w:sz="6" w:space="0" w:color="414142"/>
            </w:tcBorders>
            <w:hideMark/>
          </w:tcPr>
          <w:p w14:paraId="2D857294" w14:textId="77777777" w:rsidR="006476C0" w:rsidRPr="00BC2633" w:rsidRDefault="006476C0" w:rsidP="002346E1">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2965" w:type="pct"/>
            <w:gridSpan w:val="2"/>
            <w:tcBorders>
              <w:top w:val="outset" w:sz="6" w:space="0" w:color="414142"/>
              <w:left w:val="outset" w:sz="6" w:space="0" w:color="414142"/>
              <w:bottom w:val="outset" w:sz="6" w:space="0" w:color="414142"/>
              <w:right w:val="outset" w:sz="6" w:space="0" w:color="414142"/>
            </w:tcBorders>
            <w:hideMark/>
          </w:tcPr>
          <w:p w14:paraId="780F390D" w14:textId="75CBE438" w:rsidR="006476C0" w:rsidRPr="00BC2633" w:rsidRDefault="006476C0" w:rsidP="002346E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p w14:paraId="557055BF" w14:textId="77777777" w:rsidR="00A43B71" w:rsidRDefault="00A43B71" w:rsidP="00DA596D">
      <w:pPr>
        <w:pStyle w:val="StyleRight"/>
        <w:spacing w:after="0"/>
        <w:ind w:firstLine="0"/>
        <w:jc w:val="both"/>
        <w:rPr>
          <w:sz w:val="24"/>
          <w:szCs w:val="24"/>
        </w:rPr>
      </w:pPr>
    </w:p>
    <w:p w14:paraId="09601154" w14:textId="77777777" w:rsidR="004D15A9" w:rsidRDefault="004D15A9" w:rsidP="00DA596D">
      <w:pPr>
        <w:pStyle w:val="StyleRight"/>
        <w:spacing w:after="0"/>
        <w:ind w:firstLine="0"/>
        <w:jc w:val="both"/>
        <w:rPr>
          <w:sz w:val="24"/>
          <w:szCs w:val="24"/>
        </w:rPr>
      </w:pPr>
      <w:r w:rsidRPr="00BC2633">
        <w:rPr>
          <w:sz w:val="24"/>
          <w:szCs w:val="24"/>
        </w:rPr>
        <w:t>Iesniedzējs:</w:t>
      </w:r>
    </w:p>
    <w:p w14:paraId="44C96AB6" w14:textId="77777777" w:rsidR="007E45E9" w:rsidRDefault="00A43B71" w:rsidP="00A43B71">
      <w:pPr>
        <w:pStyle w:val="StyleRight"/>
        <w:tabs>
          <w:tab w:val="left" w:pos="7088"/>
        </w:tabs>
        <w:spacing w:after="0"/>
        <w:ind w:firstLine="0"/>
        <w:jc w:val="both"/>
        <w:rPr>
          <w:sz w:val="24"/>
          <w:szCs w:val="24"/>
        </w:rPr>
      </w:pPr>
      <w:r>
        <w:rPr>
          <w:sz w:val="24"/>
          <w:szCs w:val="24"/>
        </w:rPr>
        <w:t>Tieslietu ministr</w:t>
      </w:r>
      <w:r w:rsidR="007E45E9">
        <w:rPr>
          <w:sz w:val="24"/>
          <w:szCs w:val="24"/>
        </w:rPr>
        <w:t xml:space="preserve">ijas </w:t>
      </w:r>
    </w:p>
    <w:p w14:paraId="26BB3368" w14:textId="6A01D943" w:rsidR="00A43B71" w:rsidRPr="00BC2633" w:rsidRDefault="007E45E9" w:rsidP="00A43B71">
      <w:pPr>
        <w:pStyle w:val="StyleRight"/>
        <w:tabs>
          <w:tab w:val="left" w:pos="7088"/>
        </w:tabs>
        <w:spacing w:after="0"/>
        <w:ind w:firstLine="0"/>
        <w:jc w:val="both"/>
        <w:rPr>
          <w:sz w:val="24"/>
          <w:szCs w:val="24"/>
        </w:rPr>
      </w:pPr>
      <w:r>
        <w:rPr>
          <w:sz w:val="24"/>
          <w:szCs w:val="24"/>
        </w:rPr>
        <w:t>valsts sekretārs</w:t>
      </w:r>
      <w:r w:rsidR="00A43B71">
        <w:rPr>
          <w:sz w:val="24"/>
          <w:szCs w:val="24"/>
        </w:rPr>
        <w:t xml:space="preserve"> </w:t>
      </w:r>
      <w:r w:rsidR="00A43B71">
        <w:rPr>
          <w:sz w:val="24"/>
          <w:szCs w:val="24"/>
        </w:rPr>
        <w:tab/>
      </w:r>
      <w:r>
        <w:rPr>
          <w:sz w:val="24"/>
          <w:szCs w:val="24"/>
        </w:rPr>
        <w:t>Raivis Kronbergs</w:t>
      </w:r>
    </w:p>
    <w:p w14:paraId="2AD6EF98" w14:textId="77777777" w:rsidR="004D15A9" w:rsidRDefault="004D15A9" w:rsidP="00DA596D">
      <w:pPr>
        <w:pStyle w:val="StyleRight"/>
        <w:spacing w:after="0"/>
        <w:ind w:firstLine="0"/>
        <w:jc w:val="both"/>
        <w:rPr>
          <w:sz w:val="24"/>
          <w:szCs w:val="24"/>
        </w:rPr>
      </w:pPr>
    </w:p>
    <w:p w14:paraId="6980F00C" w14:textId="77777777" w:rsidR="00506E86" w:rsidRPr="005D1BB2" w:rsidRDefault="00506E86" w:rsidP="00506E86">
      <w:pPr>
        <w:tabs>
          <w:tab w:val="left" w:pos="6237"/>
        </w:tabs>
        <w:spacing w:after="0" w:line="240" w:lineRule="auto"/>
        <w:ind w:firstLine="720"/>
        <w:rPr>
          <w:rFonts w:ascii="Times New Roman" w:hAnsi="Times New Roman" w:cs="Times New Roman"/>
          <w:sz w:val="24"/>
          <w:szCs w:val="24"/>
        </w:rPr>
      </w:pPr>
    </w:p>
    <w:p w14:paraId="7ADF11C8" w14:textId="77777777" w:rsidR="007024B2" w:rsidRDefault="007024B2" w:rsidP="00DA596D">
      <w:pPr>
        <w:pStyle w:val="StyleRight"/>
        <w:spacing w:after="0"/>
        <w:ind w:firstLine="0"/>
        <w:jc w:val="both"/>
        <w:rPr>
          <w:sz w:val="24"/>
          <w:szCs w:val="24"/>
        </w:rPr>
      </w:pPr>
    </w:p>
    <w:p w14:paraId="4BFE23C0" w14:textId="77777777" w:rsidR="00A43B71" w:rsidRDefault="00A43B71" w:rsidP="000E3461">
      <w:pPr>
        <w:pStyle w:val="Sarakstarindkopa"/>
        <w:spacing w:after="0" w:line="240" w:lineRule="auto"/>
        <w:rPr>
          <w:rFonts w:ascii="Times New Roman" w:hAnsi="Times New Roman" w:cs="Times New Roman"/>
        </w:rPr>
      </w:pPr>
    </w:p>
    <w:p w14:paraId="5418EBC5" w14:textId="77777777" w:rsidR="00D06694" w:rsidRDefault="00A43B71" w:rsidP="00D06694">
      <w:pPr>
        <w:spacing w:after="0" w:line="240" w:lineRule="auto"/>
        <w:rPr>
          <w:rFonts w:ascii="Times New Roman" w:hAnsi="Times New Roman" w:cs="Times New Roman"/>
          <w:sz w:val="20"/>
          <w:szCs w:val="20"/>
        </w:rPr>
      </w:pPr>
      <w:r w:rsidRPr="00A43B71">
        <w:rPr>
          <w:rFonts w:ascii="Times New Roman" w:hAnsi="Times New Roman" w:cs="Times New Roman"/>
          <w:sz w:val="20"/>
          <w:szCs w:val="20"/>
        </w:rPr>
        <w:t>Ličkovska 967099126</w:t>
      </w:r>
    </w:p>
    <w:p w14:paraId="330D8145" w14:textId="63F8D37A" w:rsidR="00AB6562" w:rsidRPr="00220682" w:rsidRDefault="004F13C5" w:rsidP="00AB6562">
      <w:pPr>
        <w:spacing w:after="0" w:line="240" w:lineRule="auto"/>
        <w:rPr>
          <w:rFonts w:ascii="Times New Roman" w:hAnsi="Times New Roman" w:cs="Times New Roman"/>
          <w:color w:val="404040" w:themeColor="text1" w:themeTint="BF"/>
        </w:rPr>
      </w:pPr>
      <w:r>
        <w:rPr>
          <w:rFonts w:ascii="Times New Roman" w:hAnsi="Times New Roman" w:cs="Times New Roman"/>
          <w:sz w:val="20"/>
          <w:szCs w:val="20"/>
        </w:rPr>
        <w:t>a</w:t>
      </w:r>
      <w:r w:rsidR="00A43B71" w:rsidRPr="00A43B71">
        <w:rPr>
          <w:rFonts w:ascii="Times New Roman" w:hAnsi="Times New Roman" w:cs="Times New Roman"/>
          <w:sz w:val="20"/>
          <w:szCs w:val="20"/>
        </w:rPr>
        <w:t>lla.lickovska@mna.gov.lv</w:t>
      </w:r>
    </w:p>
    <w:sectPr w:rsidR="00AB6562" w:rsidRPr="00220682" w:rsidSect="004D15A9">
      <w:headerReference w:type="default" r:id="rId9"/>
      <w:footerReference w:type="default" r:id="rId10"/>
      <w:footerReference w:type="first" r:id="rId11"/>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19117" w14:textId="77777777" w:rsidR="00840FB7" w:rsidRDefault="00840FB7" w:rsidP="004D15A9">
      <w:pPr>
        <w:spacing w:after="0" w:line="240" w:lineRule="auto"/>
      </w:pPr>
      <w:r>
        <w:separator/>
      </w:r>
    </w:p>
  </w:endnote>
  <w:endnote w:type="continuationSeparator" w:id="0">
    <w:p w14:paraId="53D53E1C" w14:textId="77777777" w:rsidR="00840FB7" w:rsidRDefault="00840FB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42645D" w:rsidRDefault="0042645D" w:rsidP="0042645D">
    <w:pPr>
      <w:pStyle w:val="Kjene"/>
      <w:rPr>
        <w:rFonts w:ascii="Times New Roman" w:hAnsi="Times New Roman" w:cs="Times New Roman"/>
        <w:sz w:val="20"/>
        <w:szCs w:val="20"/>
      </w:rPr>
    </w:pPr>
  </w:p>
  <w:p w14:paraId="6A190106" w14:textId="6940C0AB" w:rsidR="004D15A9" w:rsidRPr="0042645D" w:rsidRDefault="0042645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CB1F10">
      <w:rPr>
        <w:rFonts w:ascii="Times New Roman" w:hAnsi="Times New Roman" w:cs="Times New Roman"/>
        <w:noProof/>
        <w:sz w:val="20"/>
        <w:szCs w:val="20"/>
      </w:rPr>
      <w:t>TMAnot_100817_rinda</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742C49C4" w:rsidR="004D15A9" w:rsidRPr="0042645D" w:rsidRDefault="0042645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3311D8">
      <w:rPr>
        <w:rFonts w:ascii="Times New Roman" w:hAnsi="Times New Roman" w:cs="Times New Roman"/>
        <w:noProof/>
        <w:sz w:val="20"/>
        <w:szCs w:val="20"/>
      </w:rPr>
      <w:t>TMAnot_</w:t>
    </w:r>
    <w:r w:rsidR="00CB1F10">
      <w:rPr>
        <w:rFonts w:ascii="Times New Roman" w:hAnsi="Times New Roman" w:cs="Times New Roman"/>
        <w:noProof/>
        <w:sz w:val="20"/>
        <w:szCs w:val="20"/>
      </w:rPr>
      <w:t>100817</w:t>
    </w:r>
    <w:r w:rsidR="003311D8">
      <w:rPr>
        <w:rFonts w:ascii="Times New Roman" w:hAnsi="Times New Roman" w:cs="Times New Roman"/>
        <w:noProof/>
        <w:sz w:val="20"/>
        <w:szCs w:val="20"/>
      </w:rPr>
      <w:t>_rinda</w:t>
    </w:r>
    <w:r w:rsidRPr="0042645D">
      <w:rPr>
        <w:rFonts w:ascii="Times New Roman" w:hAnsi="Times New Roman" w:cs="Times New Roman"/>
        <w:sz w:val="20"/>
        <w:szCs w:val="20"/>
      </w:rPr>
      <w:fldChar w:fldCharType="end"/>
    </w:r>
    <w:r w:rsidR="00D1107A">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623A" w14:textId="77777777" w:rsidR="00840FB7" w:rsidRDefault="00840FB7" w:rsidP="004D15A9">
      <w:pPr>
        <w:spacing w:after="0" w:line="240" w:lineRule="auto"/>
      </w:pPr>
      <w:r>
        <w:separator/>
      </w:r>
    </w:p>
  </w:footnote>
  <w:footnote w:type="continuationSeparator" w:id="0">
    <w:p w14:paraId="16EF149A" w14:textId="77777777" w:rsidR="00840FB7" w:rsidRDefault="00840FB7"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6E67DF82"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D536B1">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p w14:paraId="2E7D154D" w14:textId="77777777" w:rsidR="004D15A9" w:rsidRDefault="004D1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2D0F"/>
    <w:rsid w:val="00031256"/>
    <w:rsid w:val="000519D9"/>
    <w:rsid w:val="000574CD"/>
    <w:rsid w:val="0009019F"/>
    <w:rsid w:val="000E3461"/>
    <w:rsid w:val="000E42FD"/>
    <w:rsid w:val="00101CD5"/>
    <w:rsid w:val="00104FEF"/>
    <w:rsid w:val="0012142F"/>
    <w:rsid w:val="00122DDC"/>
    <w:rsid w:val="00192F52"/>
    <w:rsid w:val="001C5969"/>
    <w:rsid w:val="001E5F16"/>
    <w:rsid w:val="00220682"/>
    <w:rsid w:val="00221B7E"/>
    <w:rsid w:val="0027119A"/>
    <w:rsid w:val="00274EB2"/>
    <w:rsid w:val="0029183E"/>
    <w:rsid w:val="0029279D"/>
    <w:rsid w:val="002A4724"/>
    <w:rsid w:val="002C0998"/>
    <w:rsid w:val="002C1347"/>
    <w:rsid w:val="002C6534"/>
    <w:rsid w:val="002D204B"/>
    <w:rsid w:val="00304392"/>
    <w:rsid w:val="003311D8"/>
    <w:rsid w:val="0033522A"/>
    <w:rsid w:val="003371FA"/>
    <w:rsid w:val="00367D1E"/>
    <w:rsid w:val="00381567"/>
    <w:rsid w:val="003922B0"/>
    <w:rsid w:val="003A2A0B"/>
    <w:rsid w:val="003B2B69"/>
    <w:rsid w:val="003F61B4"/>
    <w:rsid w:val="00416C59"/>
    <w:rsid w:val="0042645D"/>
    <w:rsid w:val="00450D63"/>
    <w:rsid w:val="00461275"/>
    <w:rsid w:val="00462048"/>
    <w:rsid w:val="00482E35"/>
    <w:rsid w:val="004A481A"/>
    <w:rsid w:val="004D15A9"/>
    <w:rsid w:val="004F13C5"/>
    <w:rsid w:val="005057C2"/>
    <w:rsid w:val="00506E86"/>
    <w:rsid w:val="00515CEE"/>
    <w:rsid w:val="00527BEA"/>
    <w:rsid w:val="00552E4D"/>
    <w:rsid w:val="0055665C"/>
    <w:rsid w:val="005612C3"/>
    <w:rsid w:val="00567B7C"/>
    <w:rsid w:val="00580EF8"/>
    <w:rsid w:val="0059637C"/>
    <w:rsid w:val="005B133E"/>
    <w:rsid w:val="005D4E8A"/>
    <w:rsid w:val="00600027"/>
    <w:rsid w:val="00607364"/>
    <w:rsid w:val="00612A92"/>
    <w:rsid w:val="00633313"/>
    <w:rsid w:val="006476C0"/>
    <w:rsid w:val="006A0433"/>
    <w:rsid w:val="006E57E4"/>
    <w:rsid w:val="006F19CF"/>
    <w:rsid w:val="006F1B6C"/>
    <w:rsid w:val="006F769D"/>
    <w:rsid w:val="007024B2"/>
    <w:rsid w:val="007047F3"/>
    <w:rsid w:val="0073730D"/>
    <w:rsid w:val="007436B8"/>
    <w:rsid w:val="007472E6"/>
    <w:rsid w:val="007E45E9"/>
    <w:rsid w:val="0081203F"/>
    <w:rsid w:val="008216CE"/>
    <w:rsid w:val="00840FB7"/>
    <w:rsid w:val="00841836"/>
    <w:rsid w:val="00844DF3"/>
    <w:rsid w:val="00863838"/>
    <w:rsid w:val="008826E9"/>
    <w:rsid w:val="008A79FA"/>
    <w:rsid w:val="008B0F87"/>
    <w:rsid w:val="008E4E93"/>
    <w:rsid w:val="008E78B2"/>
    <w:rsid w:val="00954170"/>
    <w:rsid w:val="00965434"/>
    <w:rsid w:val="0097690A"/>
    <w:rsid w:val="0099131E"/>
    <w:rsid w:val="00997954"/>
    <w:rsid w:val="009A4438"/>
    <w:rsid w:val="00A12908"/>
    <w:rsid w:val="00A310FB"/>
    <w:rsid w:val="00A43B71"/>
    <w:rsid w:val="00AA2892"/>
    <w:rsid w:val="00AA29A1"/>
    <w:rsid w:val="00AA3BC9"/>
    <w:rsid w:val="00AA5C74"/>
    <w:rsid w:val="00AB2F78"/>
    <w:rsid w:val="00AB6562"/>
    <w:rsid w:val="00AE09AD"/>
    <w:rsid w:val="00AE646C"/>
    <w:rsid w:val="00B04AE3"/>
    <w:rsid w:val="00B06F93"/>
    <w:rsid w:val="00B30002"/>
    <w:rsid w:val="00B45186"/>
    <w:rsid w:val="00B752EE"/>
    <w:rsid w:val="00B76011"/>
    <w:rsid w:val="00B81C6E"/>
    <w:rsid w:val="00B90A94"/>
    <w:rsid w:val="00BB1F46"/>
    <w:rsid w:val="00BB75BE"/>
    <w:rsid w:val="00BC2633"/>
    <w:rsid w:val="00BC6837"/>
    <w:rsid w:val="00BD4766"/>
    <w:rsid w:val="00BF327D"/>
    <w:rsid w:val="00BF3A34"/>
    <w:rsid w:val="00C36BA6"/>
    <w:rsid w:val="00CB1F10"/>
    <w:rsid w:val="00CE6FD0"/>
    <w:rsid w:val="00D06694"/>
    <w:rsid w:val="00D1107A"/>
    <w:rsid w:val="00D123DB"/>
    <w:rsid w:val="00D313D5"/>
    <w:rsid w:val="00D35DD8"/>
    <w:rsid w:val="00D536B1"/>
    <w:rsid w:val="00DA52AC"/>
    <w:rsid w:val="00DA596D"/>
    <w:rsid w:val="00DE78C6"/>
    <w:rsid w:val="00DE7CFF"/>
    <w:rsid w:val="00E44C94"/>
    <w:rsid w:val="00E76895"/>
    <w:rsid w:val="00EA03D4"/>
    <w:rsid w:val="00ED573E"/>
    <w:rsid w:val="00EE289A"/>
    <w:rsid w:val="00EE76FC"/>
    <w:rsid w:val="00EF5002"/>
    <w:rsid w:val="00F07759"/>
    <w:rsid w:val="00F21D88"/>
    <w:rsid w:val="00F46CCA"/>
    <w:rsid w:val="00F539AA"/>
    <w:rsid w:val="00F94D66"/>
    <w:rsid w:val="00F9577F"/>
    <w:rsid w:val="00FB2959"/>
    <w:rsid w:val="00FC3CC1"/>
    <w:rsid w:val="00FD1875"/>
    <w:rsid w:val="00FE37A8"/>
    <w:rsid w:val="00FE5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503A05B6-6A5C-46D6-8AAB-40C2C9A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Paraststmeklis">
    <w:name w:val="Normal (Web)"/>
    <w:basedOn w:val="Parasts"/>
    <w:uiPriority w:val="99"/>
    <w:semiHidden/>
    <w:unhideWhenUsed/>
    <w:rsid w:val="00BD476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46CCA"/>
    <w:pPr>
      <w:spacing w:after="0" w:line="240" w:lineRule="auto"/>
    </w:pPr>
  </w:style>
  <w:style w:type="paragraph" w:customStyle="1" w:styleId="tv2132">
    <w:name w:val="tv2132"/>
    <w:basedOn w:val="Parasts"/>
    <w:rsid w:val="007E45E9"/>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79423096">
      <w:bodyDiv w:val="1"/>
      <w:marLeft w:val="0"/>
      <w:marRight w:val="0"/>
      <w:marTop w:val="0"/>
      <w:marBottom w:val="0"/>
      <w:divBdr>
        <w:top w:val="none" w:sz="0" w:space="0" w:color="auto"/>
        <w:left w:val="none" w:sz="0" w:space="0" w:color="auto"/>
        <w:bottom w:val="none" w:sz="0" w:space="0" w:color="auto"/>
        <w:right w:val="none" w:sz="0" w:space="0" w:color="auto"/>
      </w:divBdr>
    </w:div>
    <w:div w:id="1482112943">
      <w:bodyDiv w:val="1"/>
      <w:marLeft w:val="0"/>
      <w:marRight w:val="0"/>
      <w:marTop w:val="0"/>
      <w:marBottom w:val="0"/>
      <w:divBdr>
        <w:top w:val="none" w:sz="0" w:space="0" w:color="auto"/>
        <w:left w:val="none" w:sz="0" w:space="0" w:color="auto"/>
        <w:bottom w:val="none" w:sz="0" w:space="0" w:color="auto"/>
        <w:right w:val="none" w:sz="0" w:space="0" w:color="auto"/>
      </w:divBdr>
    </w:div>
    <w:div w:id="1601916245">
      <w:bodyDiv w:val="1"/>
      <w:marLeft w:val="0"/>
      <w:marRight w:val="0"/>
      <w:marTop w:val="0"/>
      <w:marBottom w:val="0"/>
      <w:divBdr>
        <w:top w:val="none" w:sz="0" w:space="0" w:color="auto"/>
        <w:left w:val="none" w:sz="0" w:space="0" w:color="auto"/>
        <w:bottom w:val="none" w:sz="0" w:space="0" w:color="auto"/>
        <w:right w:val="none" w:sz="0" w:space="0" w:color="auto"/>
      </w:divBdr>
    </w:div>
    <w:div w:id="1926062416">
      <w:bodyDiv w:val="1"/>
      <w:marLeft w:val="0"/>
      <w:marRight w:val="0"/>
      <w:marTop w:val="0"/>
      <w:marBottom w:val="0"/>
      <w:divBdr>
        <w:top w:val="none" w:sz="0" w:space="0" w:color="auto"/>
        <w:left w:val="none" w:sz="0" w:space="0" w:color="auto"/>
        <w:bottom w:val="none" w:sz="0" w:space="0" w:color="auto"/>
        <w:right w:val="none" w:sz="0" w:space="0" w:color="auto"/>
      </w:divBdr>
    </w:div>
    <w:div w:id="2038849149">
      <w:bodyDiv w:val="1"/>
      <w:marLeft w:val="0"/>
      <w:marRight w:val="0"/>
      <w:marTop w:val="0"/>
      <w:marBottom w:val="0"/>
      <w:divBdr>
        <w:top w:val="none" w:sz="0" w:space="0" w:color="auto"/>
        <w:left w:val="none" w:sz="0" w:space="0" w:color="auto"/>
        <w:bottom w:val="none" w:sz="0" w:space="0" w:color="auto"/>
        <w:right w:val="none" w:sz="0" w:space="0" w:color="auto"/>
      </w:divBdr>
      <w:divsChild>
        <w:div w:id="558517150">
          <w:marLeft w:val="0"/>
          <w:marRight w:val="0"/>
          <w:marTop w:val="0"/>
          <w:marBottom w:val="0"/>
          <w:divBdr>
            <w:top w:val="none" w:sz="0" w:space="0" w:color="auto"/>
            <w:left w:val="none" w:sz="0" w:space="0" w:color="auto"/>
            <w:bottom w:val="none" w:sz="0" w:space="0" w:color="auto"/>
            <w:right w:val="none" w:sz="0" w:space="0" w:color="auto"/>
          </w:divBdr>
          <w:divsChild>
            <w:div w:id="1492914905">
              <w:marLeft w:val="0"/>
              <w:marRight w:val="0"/>
              <w:marTop w:val="0"/>
              <w:marBottom w:val="0"/>
              <w:divBdr>
                <w:top w:val="none" w:sz="0" w:space="0" w:color="auto"/>
                <w:left w:val="none" w:sz="0" w:space="0" w:color="auto"/>
                <w:bottom w:val="none" w:sz="0" w:space="0" w:color="auto"/>
                <w:right w:val="none" w:sz="0" w:space="0" w:color="auto"/>
              </w:divBdr>
              <w:divsChild>
                <w:div w:id="1653561853">
                  <w:marLeft w:val="0"/>
                  <w:marRight w:val="0"/>
                  <w:marTop w:val="0"/>
                  <w:marBottom w:val="0"/>
                  <w:divBdr>
                    <w:top w:val="none" w:sz="0" w:space="0" w:color="auto"/>
                    <w:left w:val="none" w:sz="0" w:space="0" w:color="auto"/>
                    <w:bottom w:val="none" w:sz="0" w:space="0" w:color="auto"/>
                    <w:right w:val="none" w:sz="0" w:space="0" w:color="auto"/>
                  </w:divBdr>
                  <w:divsChild>
                    <w:div w:id="422919141">
                      <w:marLeft w:val="0"/>
                      <w:marRight w:val="0"/>
                      <w:marTop w:val="0"/>
                      <w:marBottom w:val="0"/>
                      <w:divBdr>
                        <w:top w:val="none" w:sz="0" w:space="0" w:color="auto"/>
                        <w:left w:val="none" w:sz="0" w:space="0" w:color="auto"/>
                        <w:bottom w:val="none" w:sz="0" w:space="0" w:color="auto"/>
                        <w:right w:val="none" w:sz="0" w:space="0" w:color="auto"/>
                      </w:divBdr>
                      <w:divsChild>
                        <w:div w:id="1767072927">
                          <w:marLeft w:val="0"/>
                          <w:marRight w:val="0"/>
                          <w:marTop w:val="0"/>
                          <w:marBottom w:val="0"/>
                          <w:divBdr>
                            <w:top w:val="none" w:sz="0" w:space="0" w:color="auto"/>
                            <w:left w:val="none" w:sz="0" w:space="0" w:color="auto"/>
                            <w:bottom w:val="none" w:sz="0" w:space="0" w:color="auto"/>
                            <w:right w:val="none" w:sz="0" w:space="0" w:color="auto"/>
                          </w:divBdr>
                          <w:divsChild>
                            <w:div w:id="15186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satnespeja.ur.gov.lv/insolvency/practitioner/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01EC-5F2D-4932-B7AB-176E61C5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6450</Words>
  <Characters>3677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2010. gada 26. oktobra noteikumos Nr. 1001 "Kārtība, kādā Maksātnespējas administrācijas izvēlas un iesaka tiesai maksātnespējas procesa administratora amata kandidātu"" sākotnējās ietekmes</vt:lpstr>
      <vt:lpstr>Ministru kabineta noteikumu projekta "Grozījumi Ministru kabineta 2010. gada 26. oktobra noteikumos Nr. 1001 "Kārtība, kādā Maksātnespējas administrācijas izvēlas un iesaka tiesai maksātnespējas procesa administratora amata kandidātu"" sākotnējās ietekmes</vt:lpstr>
    </vt:vector>
  </TitlesOfParts>
  <Company>Tieslietu ministrija</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2010. gada 26. oktobra noteikumos Nr. 1001 "Kārtība, kādā Maksātnespējas administrācijas izvēlas un iesaka tiesai maksātnespējas procesa administratora amata kandidātu"" sākotnējās ietekmes novērtējuma ziņojums (anotācija)</dc:title>
  <dc:subject>Anotācija</dc:subject>
  <dc:creator>Alla Ličkovska</dc:creator>
  <cp:keywords/>
  <dc:description>67099126, alla.lickovska@mna.gov.lv</dc:description>
  <cp:lastModifiedBy>Karina Paturska</cp:lastModifiedBy>
  <cp:revision>3</cp:revision>
  <cp:lastPrinted>2017-08-04T10:09:00Z</cp:lastPrinted>
  <dcterms:created xsi:type="dcterms:W3CDTF">2017-08-10T10:55:00Z</dcterms:created>
  <dcterms:modified xsi:type="dcterms:W3CDTF">2017-08-10T10:56:00Z</dcterms:modified>
</cp:coreProperties>
</file>