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7BF66105" w:rsidR="004D15A9" w:rsidRPr="00D52A03" w:rsidRDefault="008F6C20" w:rsidP="00DA596D">
      <w:pPr>
        <w:spacing w:after="0" w:line="240" w:lineRule="auto"/>
        <w:ind w:firstLine="300"/>
        <w:jc w:val="center"/>
        <w:rPr>
          <w:rFonts w:ascii="Times New Roman" w:eastAsia="Times New Roman" w:hAnsi="Times New Roman" w:cs="Times New Roman"/>
          <w:b/>
          <w:bCs/>
          <w:sz w:val="24"/>
          <w:szCs w:val="24"/>
          <w:lang w:eastAsia="lv-LV"/>
        </w:rPr>
      </w:pPr>
      <w:r w:rsidRPr="00D52A03">
        <w:rPr>
          <w:rFonts w:ascii="Times New Roman" w:eastAsia="Times New Roman" w:hAnsi="Times New Roman" w:cs="Times New Roman"/>
          <w:b/>
          <w:bCs/>
          <w:sz w:val="24"/>
          <w:szCs w:val="24"/>
          <w:lang w:eastAsia="lv-LV"/>
        </w:rPr>
        <w:t xml:space="preserve">Likumprojekta </w:t>
      </w:r>
      <w:bookmarkStart w:id="0" w:name="_Hlk12533880"/>
      <w:r w:rsidRPr="00D52A03">
        <w:rPr>
          <w:rFonts w:ascii="Times New Roman" w:eastAsia="Times New Roman" w:hAnsi="Times New Roman" w:cs="Times New Roman"/>
          <w:b/>
          <w:bCs/>
          <w:sz w:val="24"/>
          <w:szCs w:val="24"/>
          <w:lang w:eastAsia="lv-LV"/>
        </w:rPr>
        <w:t>"</w:t>
      </w:r>
      <w:bookmarkEnd w:id="0"/>
      <w:r w:rsidRPr="00D52A03">
        <w:rPr>
          <w:rFonts w:ascii="Times New Roman" w:eastAsia="Times New Roman" w:hAnsi="Times New Roman" w:cs="Times New Roman"/>
          <w:b/>
          <w:bCs/>
          <w:sz w:val="24"/>
          <w:szCs w:val="24"/>
          <w:lang w:eastAsia="lv-LV"/>
        </w:rPr>
        <w:t>Grozījumi</w:t>
      </w:r>
      <w:r w:rsidR="00967F4E" w:rsidRPr="00D52A03">
        <w:rPr>
          <w:rFonts w:ascii="Times New Roman" w:eastAsia="Times New Roman" w:hAnsi="Times New Roman" w:cs="Times New Roman"/>
          <w:b/>
          <w:bCs/>
          <w:sz w:val="24"/>
          <w:szCs w:val="24"/>
          <w:lang w:eastAsia="lv-LV"/>
        </w:rPr>
        <w:t xml:space="preserve"> Civilprocesa</w:t>
      </w:r>
      <w:r w:rsidRPr="00D52A03">
        <w:rPr>
          <w:rFonts w:ascii="Times New Roman" w:eastAsia="Times New Roman" w:hAnsi="Times New Roman" w:cs="Times New Roman"/>
          <w:b/>
          <w:bCs/>
          <w:sz w:val="24"/>
          <w:szCs w:val="24"/>
          <w:lang w:eastAsia="lv-LV"/>
        </w:rPr>
        <w:t xml:space="preserve"> likumā"</w:t>
      </w:r>
      <w:r w:rsidR="004D15A9" w:rsidRPr="00D52A03">
        <w:rPr>
          <w:rFonts w:ascii="Times New Roman" w:eastAsia="Times New Roman" w:hAnsi="Times New Roman" w:cs="Times New Roman"/>
          <w:b/>
          <w:bCs/>
          <w:sz w:val="24"/>
          <w:szCs w:val="24"/>
          <w:lang w:eastAsia="lv-LV"/>
        </w:rPr>
        <w:t xml:space="preserve"> sākotnējās ietekmes novērtējuma ziņojums (anotācija)</w:t>
      </w:r>
    </w:p>
    <w:p w14:paraId="1C76E832" w14:textId="0385E507" w:rsidR="00DA596D" w:rsidRPr="00D52A03"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397"/>
        <w:gridCol w:w="5669"/>
      </w:tblGrid>
      <w:tr w:rsidR="00F81219" w:rsidRPr="00D52A03" w14:paraId="70BDCC6E" w14:textId="77777777" w:rsidTr="009C5622">
        <w:trPr>
          <w:cantSplit/>
        </w:trPr>
        <w:tc>
          <w:tcPr>
            <w:tcW w:w="9066" w:type="dxa"/>
            <w:gridSpan w:val="2"/>
            <w:shd w:val="clear" w:color="auto" w:fill="FFFFFF"/>
            <w:vAlign w:val="center"/>
            <w:hideMark/>
          </w:tcPr>
          <w:p w14:paraId="2E3635E1" w14:textId="77777777" w:rsidR="00A1552F" w:rsidRPr="00D52A03" w:rsidRDefault="00A1552F" w:rsidP="00A1552F">
            <w:pPr>
              <w:spacing w:after="0" w:line="240" w:lineRule="auto"/>
              <w:ind w:firstLine="300"/>
              <w:jc w:val="center"/>
              <w:rPr>
                <w:rFonts w:ascii="Cambria" w:hAnsi="Cambria"/>
                <w:b/>
                <w:iCs/>
                <w:sz w:val="19"/>
                <w:szCs w:val="19"/>
              </w:rPr>
            </w:pPr>
            <w:r w:rsidRPr="00D52A03">
              <w:rPr>
                <w:rFonts w:ascii="Times New Roman" w:eastAsia="Times New Roman" w:hAnsi="Times New Roman" w:cs="Times New Roman"/>
                <w:b/>
                <w:bCs/>
                <w:sz w:val="24"/>
                <w:szCs w:val="24"/>
                <w:lang w:eastAsia="lv-LV"/>
              </w:rPr>
              <w:t>Tiesību akta projekta anotācijas kopsavilkums</w:t>
            </w:r>
          </w:p>
        </w:tc>
      </w:tr>
      <w:tr w:rsidR="00F81219" w:rsidRPr="00D52A03" w14:paraId="47F047DD" w14:textId="77777777" w:rsidTr="009C5622">
        <w:trPr>
          <w:cantSplit/>
          <w:trHeight w:val="1210"/>
        </w:trPr>
        <w:tc>
          <w:tcPr>
            <w:tcW w:w="3397" w:type="dxa"/>
            <w:shd w:val="clear" w:color="auto" w:fill="FFFFFF"/>
            <w:hideMark/>
          </w:tcPr>
          <w:p w14:paraId="3C58940B" w14:textId="77777777" w:rsidR="00A1552F" w:rsidRPr="00D52A03" w:rsidRDefault="00A1552F" w:rsidP="0043541A">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Mērķis, risinājums un projekta spēkā stāšanās laiks (500 zīmes bez atstarpēm)</w:t>
            </w:r>
          </w:p>
        </w:tc>
        <w:tc>
          <w:tcPr>
            <w:tcW w:w="5669" w:type="dxa"/>
            <w:shd w:val="clear" w:color="auto" w:fill="FFFFFF"/>
            <w:hideMark/>
          </w:tcPr>
          <w:p w14:paraId="2D343C0B" w14:textId="54E105D2" w:rsidR="00E50B43" w:rsidRPr="00D52A03" w:rsidRDefault="009C5622" w:rsidP="00ED1033">
            <w:pPr>
              <w:spacing w:after="0" w:line="240" w:lineRule="auto"/>
              <w:jc w:val="both"/>
              <w:rPr>
                <w:rFonts w:ascii="Times New Roman" w:eastAsia="Times New Roman" w:hAnsi="Times New Roman" w:cs="Times New Roman"/>
                <w:sz w:val="24"/>
                <w:szCs w:val="24"/>
                <w:lang w:eastAsia="lv-LV"/>
              </w:rPr>
            </w:pPr>
            <w:bookmarkStart w:id="1" w:name="_Hlk20126867"/>
            <w:r w:rsidRPr="00D52A03">
              <w:rPr>
                <w:rFonts w:ascii="Times New Roman" w:eastAsia="Times New Roman" w:hAnsi="Times New Roman" w:cs="Times New Roman"/>
                <w:sz w:val="24"/>
                <w:szCs w:val="24"/>
                <w:lang w:eastAsia="lv-LV"/>
              </w:rPr>
              <w:t>Atbilstoši grozījumiem likumā "Par tiesu varu" ar 2021. gada 1. janvāri darbu uzsāks specializēta pirmās instances rajona (pilsētas)</w:t>
            </w:r>
            <w:r w:rsidR="008D3076">
              <w:rPr>
                <w:rFonts w:ascii="Times New Roman" w:eastAsia="Times New Roman" w:hAnsi="Times New Roman" w:cs="Times New Roman"/>
                <w:sz w:val="24"/>
                <w:szCs w:val="24"/>
                <w:lang w:eastAsia="lv-LV"/>
              </w:rPr>
              <w:t xml:space="preserve"> tiesa</w:t>
            </w:r>
            <w:r w:rsidRPr="00D52A03">
              <w:rPr>
                <w:rFonts w:ascii="Times New Roman" w:eastAsia="Times New Roman" w:hAnsi="Times New Roman" w:cs="Times New Roman"/>
                <w:sz w:val="24"/>
                <w:szCs w:val="24"/>
                <w:lang w:eastAsia="lv-LV"/>
              </w:rPr>
              <w:t xml:space="preserve"> – Ekonomisko lietu tiesa. Ar Likumprojektā "Grozījumi Civilprocesa likumā" (turpmāk – Likumprojekts) paredzēto regulējumu noteiktas lietu kategorijas, kuru izskatīšana ir Ekonomisko lietu tiesas kompetencē, kā arī noteikts pārejas perioda regulējums. Plānots, ka Likumprojekts stāsies spēkā 2021. gada 1. janvārī.</w:t>
            </w:r>
            <w:bookmarkEnd w:id="1"/>
          </w:p>
        </w:tc>
      </w:tr>
    </w:tbl>
    <w:p w14:paraId="38674108" w14:textId="77777777" w:rsidR="00A1552F" w:rsidRPr="00D52A0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26" w:type="pct"/>
        <w:tblInd w:w="-3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5"/>
        <w:gridCol w:w="3050"/>
        <w:gridCol w:w="5687"/>
      </w:tblGrid>
      <w:tr w:rsidR="00F81219" w:rsidRPr="00D52A03" w14:paraId="2C53EF84" w14:textId="77777777" w:rsidTr="00E97C8F">
        <w:trPr>
          <w:trHeight w:val="405"/>
        </w:trPr>
        <w:tc>
          <w:tcPr>
            <w:tcW w:w="4986"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D52A0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2A03">
              <w:rPr>
                <w:rFonts w:ascii="Times New Roman" w:eastAsia="Times New Roman" w:hAnsi="Times New Roman" w:cs="Times New Roman"/>
                <w:b/>
                <w:bCs/>
                <w:sz w:val="24"/>
                <w:szCs w:val="24"/>
                <w:lang w:eastAsia="lv-LV"/>
              </w:rPr>
              <w:t>I. Tiesību akta projekta izstrādes nepieciešamība</w:t>
            </w:r>
          </w:p>
        </w:tc>
      </w:tr>
      <w:tr w:rsidR="00F81219" w:rsidRPr="00D52A03" w14:paraId="22687615" w14:textId="77777777" w:rsidTr="00E97C8F">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1.</w:t>
            </w:r>
          </w:p>
        </w:tc>
        <w:tc>
          <w:tcPr>
            <w:tcW w:w="167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Pamatojums</w:t>
            </w:r>
          </w:p>
        </w:tc>
        <w:tc>
          <w:tcPr>
            <w:tcW w:w="3115" w:type="pct"/>
            <w:tcBorders>
              <w:top w:val="outset" w:sz="6" w:space="0" w:color="414142"/>
              <w:left w:val="outset" w:sz="6" w:space="0" w:color="414142"/>
              <w:bottom w:val="outset" w:sz="6" w:space="0" w:color="414142"/>
              <w:right w:val="outset" w:sz="6" w:space="0" w:color="414142"/>
            </w:tcBorders>
            <w:hideMark/>
          </w:tcPr>
          <w:p w14:paraId="0A3EB312" w14:textId="46AFCB2C" w:rsidR="002D7BB2" w:rsidRPr="00D52A03" w:rsidRDefault="009C5622" w:rsidP="00A052B5">
            <w:pPr>
              <w:pStyle w:val="liknoteik1"/>
              <w:spacing w:before="0" w:beforeAutospacing="0" w:after="0" w:afterAutospacing="0" w:line="240" w:lineRule="auto"/>
              <w:ind w:firstLine="0"/>
              <w:jc w:val="both"/>
              <w:rPr>
                <w:color w:val="auto"/>
                <w:sz w:val="24"/>
                <w:szCs w:val="24"/>
              </w:rPr>
            </w:pPr>
            <w:r w:rsidRPr="00D52A03">
              <w:rPr>
                <w:b w:val="0"/>
                <w:bCs w:val="0"/>
                <w:color w:val="auto"/>
                <w:sz w:val="24"/>
                <w:szCs w:val="24"/>
              </w:rPr>
              <w:t>Likumprojekts izstrādāts, pamatojoties uz Ministru kabineta 2019. gada 22. augusta rīkojuma Nr. 407 "Par konceptuālo ziņojumu "Par ekonomisko lietu tiesas izveidi"" 3.2. apakšpunktu, Ministru kabineta 2019. gada 5. novembra lēmumu par likumprojekta "Grozījumi likumā "Par tiesu varu"" atbalstīšanu (prot. Nr.51 31.§).</w:t>
            </w:r>
          </w:p>
        </w:tc>
      </w:tr>
      <w:tr w:rsidR="00F81219" w:rsidRPr="00D52A03" w14:paraId="5FF7B6AF" w14:textId="77777777" w:rsidTr="00E97C8F">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2.</w:t>
            </w:r>
          </w:p>
        </w:tc>
        <w:tc>
          <w:tcPr>
            <w:tcW w:w="1671" w:type="pct"/>
            <w:tcBorders>
              <w:top w:val="outset" w:sz="6" w:space="0" w:color="414142"/>
              <w:left w:val="outset" w:sz="6" w:space="0" w:color="414142"/>
              <w:bottom w:val="outset" w:sz="6" w:space="0" w:color="414142"/>
              <w:right w:val="outset" w:sz="6" w:space="0" w:color="414142"/>
            </w:tcBorders>
            <w:hideMark/>
          </w:tcPr>
          <w:p w14:paraId="3E4C55BE"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5C203FA5" w14:textId="77777777" w:rsidR="00E50B43" w:rsidRPr="00D52A03" w:rsidRDefault="00E50B43" w:rsidP="00E50B43">
            <w:pPr>
              <w:rPr>
                <w:rFonts w:ascii="Times New Roman" w:eastAsia="Times New Roman" w:hAnsi="Times New Roman" w:cs="Times New Roman"/>
                <w:sz w:val="24"/>
                <w:szCs w:val="24"/>
                <w:lang w:eastAsia="lv-LV"/>
              </w:rPr>
            </w:pPr>
          </w:p>
          <w:p w14:paraId="32353449" w14:textId="77777777" w:rsidR="00AF496F" w:rsidRPr="00D52A03" w:rsidRDefault="00AF496F" w:rsidP="00AF496F">
            <w:pPr>
              <w:rPr>
                <w:rFonts w:ascii="Times New Roman" w:eastAsia="Times New Roman" w:hAnsi="Times New Roman" w:cs="Times New Roman"/>
                <w:sz w:val="24"/>
                <w:szCs w:val="24"/>
                <w:lang w:eastAsia="lv-LV"/>
              </w:rPr>
            </w:pPr>
          </w:p>
          <w:p w14:paraId="76165CEF" w14:textId="77777777" w:rsidR="00AF496F" w:rsidRPr="00D52A03" w:rsidRDefault="00AF496F" w:rsidP="00AF496F">
            <w:pPr>
              <w:rPr>
                <w:rFonts w:ascii="Times New Roman" w:eastAsia="Times New Roman" w:hAnsi="Times New Roman" w:cs="Times New Roman"/>
                <w:sz w:val="24"/>
                <w:szCs w:val="24"/>
                <w:lang w:eastAsia="lv-LV"/>
              </w:rPr>
            </w:pPr>
          </w:p>
          <w:p w14:paraId="14DD4ED0" w14:textId="77777777" w:rsidR="00AF496F" w:rsidRPr="00D52A03" w:rsidRDefault="00AF496F" w:rsidP="00AF496F">
            <w:pPr>
              <w:rPr>
                <w:rFonts w:ascii="Times New Roman" w:eastAsia="Times New Roman" w:hAnsi="Times New Roman" w:cs="Times New Roman"/>
                <w:sz w:val="24"/>
                <w:szCs w:val="24"/>
                <w:lang w:eastAsia="lv-LV"/>
              </w:rPr>
            </w:pPr>
          </w:p>
          <w:p w14:paraId="741A2AAC" w14:textId="77777777" w:rsidR="00AF496F" w:rsidRPr="00D52A03" w:rsidRDefault="00AF496F" w:rsidP="00AF496F">
            <w:pPr>
              <w:rPr>
                <w:rFonts w:ascii="Times New Roman" w:eastAsia="Times New Roman" w:hAnsi="Times New Roman" w:cs="Times New Roman"/>
                <w:sz w:val="24"/>
                <w:szCs w:val="24"/>
                <w:lang w:eastAsia="lv-LV"/>
              </w:rPr>
            </w:pPr>
          </w:p>
          <w:p w14:paraId="072B90C3" w14:textId="77777777" w:rsidR="00AF496F" w:rsidRPr="00D52A03" w:rsidRDefault="00AF496F" w:rsidP="00AF496F">
            <w:pPr>
              <w:rPr>
                <w:rFonts w:ascii="Times New Roman" w:eastAsia="Times New Roman" w:hAnsi="Times New Roman" w:cs="Times New Roman"/>
                <w:sz w:val="24"/>
                <w:szCs w:val="24"/>
                <w:lang w:eastAsia="lv-LV"/>
              </w:rPr>
            </w:pPr>
          </w:p>
          <w:p w14:paraId="6E1ED2BD" w14:textId="77777777" w:rsidR="00AF496F" w:rsidRPr="00D52A03" w:rsidRDefault="00AF496F" w:rsidP="00AF496F">
            <w:pPr>
              <w:rPr>
                <w:rFonts w:ascii="Times New Roman" w:eastAsia="Times New Roman" w:hAnsi="Times New Roman" w:cs="Times New Roman"/>
                <w:sz w:val="24"/>
                <w:szCs w:val="24"/>
                <w:lang w:eastAsia="lv-LV"/>
              </w:rPr>
            </w:pPr>
          </w:p>
          <w:p w14:paraId="00F877B2" w14:textId="77777777" w:rsidR="00AF496F" w:rsidRPr="00D52A03" w:rsidRDefault="00AF496F" w:rsidP="00AF496F">
            <w:pPr>
              <w:rPr>
                <w:rFonts w:ascii="Times New Roman" w:eastAsia="Times New Roman" w:hAnsi="Times New Roman" w:cs="Times New Roman"/>
                <w:sz w:val="24"/>
                <w:szCs w:val="24"/>
                <w:lang w:eastAsia="lv-LV"/>
              </w:rPr>
            </w:pPr>
          </w:p>
          <w:p w14:paraId="495D4A9C" w14:textId="77777777" w:rsidR="00AF496F" w:rsidRPr="00D52A03" w:rsidRDefault="00AF496F" w:rsidP="00AF496F">
            <w:pPr>
              <w:rPr>
                <w:rFonts w:ascii="Times New Roman" w:eastAsia="Times New Roman" w:hAnsi="Times New Roman" w:cs="Times New Roman"/>
                <w:sz w:val="24"/>
                <w:szCs w:val="24"/>
                <w:lang w:eastAsia="lv-LV"/>
              </w:rPr>
            </w:pPr>
          </w:p>
          <w:p w14:paraId="0736E5BB" w14:textId="77777777" w:rsidR="00AF496F" w:rsidRPr="00D52A03" w:rsidRDefault="00AF496F" w:rsidP="00AF496F">
            <w:pPr>
              <w:rPr>
                <w:rFonts w:ascii="Times New Roman" w:eastAsia="Times New Roman" w:hAnsi="Times New Roman" w:cs="Times New Roman"/>
                <w:sz w:val="24"/>
                <w:szCs w:val="24"/>
                <w:lang w:eastAsia="lv-LV"/>
              </w:rPr>
            </w:pPr>
          </w:p>
          <w:p w14:paraId="12997806" w14:textId="652B7CF5" w:rsidR="00AF496F" w:rsidRPr="00D52A03" w:rsidRDefault="00AF496F" w:rsidP="00AF496F">
            <w:pPr>
              <w:tabs>
                <w:tab w:val="left" w:pos="900"/>
              </w:tabs>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ab/>
            </w:r>
          </w:p>
          <w:p w14:paraId="7B9225C8" w14:textId="249E3A33" w:rsidR="00AF496F" w:rsidRPr="00D52A03" w:rsidRDefault="00AF496F" w:rsidP="00AF496F">
            <w:pPr>
              <w:tabs>
                <w:tab w:val="left" w:pos="900"/>
              </w:tabs>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ab/>
            </w:r>
          </w:p>
        </w:tc>
        <w:tc>
          <w:tcPr>
            <w:tcW w:w="3115" w:type="pct"/>
            <w:tcBorders>
              <w:top w:val="outset" w:sz="6" w:space="0" w:color="414142"/>
              <w:left w:val="outset" w:sz="6" w:space="0" w:color="414142"/>
              <w:bottom w:val="outset" w:sz="6" w:space="0" w:color="414142"/>
              <w:right w:val="outset" w:sz="6" w:space="0" w:color="414142"/>
            </w:tcBorders>
            <w:hideMark/>
          </w:tcPr>
          <w:p w14:paraId="6DBC466A" w14:textId="6A1563BA" w:rsidR="00152FD4" w:rsidRPr="00A43A86" w:rsidRDefault="00152FD4" w:rsidP="00152FD4">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Kopš 2013.</w:t>
            </w:r>
            <w:r w:rsidR="00F4263A" w:rsidRPr="00A43A86">
              <w:rPr>
                <w:rFonts w:ascii="Times New Roman" w:eastAsia="Times New Roman" w:hAnsi="Times New Roman" w:cs="Times New Roman"/>
                <w:sz w:val="24"/>
                <w:szCs w:val="24"/>
                <w:lang w:eastAsia="lv-LV"/>
              </w:rPr>
              <w:t> </w:t>
            </w:r>
            <w:r w:rsidRPr="00A43A86">
              <w:rPr>
                <w:rFonts w:ascii="Times New Roman" w:eastAsia="Times New Roman" w:hAnsi="Times New Roman" w:cs="Times New Roman"/>
                <w:sz w:val="24"/>
                <w:szCs w:val="24"/>
                <w:lang w:eastAsia="lv-LV"/>
              </w:rPr>
              <w:t>gada tiesu darba efektivitātes uzlabošanai ir īstenoti vairāki pasākumi. To cita starpā novērtējušas tādas starptautiskas institūcijas kā Ekonomiskās sadarbības un attīstības organizācija,</w:t>
            </w:r>
            <w:r w:rsidR="008B4D14" w:rsidRPr="00A43A86">
              <w:rPr>
                <w:rFonts w:ascii="Times New Roman" w:eastAsia="Times New Roman" w:hAnsi="Times New Roman" w:cs="Times New Roman"/>
                <w:sz w:val="24"/>
                <w:szCs w:val="24"/>
                <w:lang w:eastAsia="lv-LV"/>
              </w:rPr>
              <w:t xml:space="preserve"> Eiropas Komisija,</w:t>
            </w:r>
            <w:r w:rsidRPr="00A43A86">
              <w:rPr>
                <w:rFonts w:ascii="Times New Roman" w:eastAsia="Times New Roman" w:hAnsi="Times New Roman" w:cs="Times New Roman"/>
                <w:sz w:val="24"/>
                <w:szCs w:val="24"/>
                <w:lang w:eastAsia="lv-LV"/>
              </w:rPr>
              <w:t xml:space="preserve"> Eiropas Padomes </w:t>
            </w:r>
            <w:r w:rsidR="008B4D14" w:rsidRPr="00A43A86">
              <w:rPr>
                <w:rFonts w:ascii="Times New Roman" w:eastAsia="Times New Roman" w:hAnsi="Times New Roman" w:cs="Times New Roman"/>
                <w:sz w:val="24"/>
                <w:szCs w:val="24"/>
                <w:lang w:eastAsia="lv-LV"/>
              </w:rPr>
              <w:t xml:space="preserve">komisija </w:t>
            </w:r>
            <w:r w:rsidRPr="00A43A86">
              <w:rPr>
                <w:rFonts w:ascii="Times New Roman" w:eastAsia="Times New Roman" w:hAnsi="Times New Roman" w:cs="Times New Roman"/>
                <w:sz w:val="24"/>
                <w:szCs w:val="24"/>
                <w:lang w:eastAsia="lv-LV"/>
              </w:rPr>
              <w:t>Tieslietu sistēm</w:t>
            </w:r>
            <w:r w:rsidR="008B4D14" w:rsidRPr="00A43A86">
              <w:rPr>
                <w:rFonts w:ascii="Times New Roman" w:eastAsia="Times New Roman" w:hAnsi="Times New Roman" w:cs="Times New Roman"/>
                <w:sz w:val="24"/>
                <w:szCs w:val="24"/>
                <w:lang w:eastAsia="lv-LV"/>
              </w:rPr>
              <w:t>as</w:t>
            </w:r>
            <w:r w:rsidRPr="00A43A86">
              <w:rPr>
                <w:rFonts w:ascii="Times New Roman" w:eastAsia="Times New Roman" w:hAnsi="Times New Roman" w:cs="Times New Roman"/>
                <w:sz w:val="24"/>
                <w:szCs w:val="24"/>
                <w:lang w:eastAsia="lv-LV"/>
              </w:rPr>
              <w:t xml:space="preserve"> efektivitāte</w:t>
            </w:r>
            <w:r w:rsidR="008B4D14" w:rsidRPr="00A43A86">
              <w:rPr>
                <w:rFonts w:ascii="Times New Roman" w:eastAsia="Times New Roman" w:hAnsi="Times New Roman" w:cs="Times New Roman"/>
                <w:sz w:val="24"/>
                <w:szCs w:val="24"/>
                <w:lang w:eastAsia="lv-LV"/>
              </w:rPr>
              <w:t>i</w:t>
            </w:r>
            <w:r w:rsidRPr="00A43A86">
              <w:rPr>
                <w:rFonts w:ascii="Times New Roman" w:eastAsia="Times New Roman" w:hAnsi="Times New Roman" w:cs="Times New Roman"/>
                <w:sz w:val="24"/>
                <w:szCs w:val="24"/>
                <w:lang w:eastAsia="lv-LV"/>
              </w:rPr>
              <w:t xml:space="preserve"> un Starptautiskais </w:t>
            </w:r>
            <w:r w:rsidR="00831AE8" w:rsidRPr="00A43A86">
              <w:rPr>
                <w:rFonts w:ascii="Times New Roman" w:eastAsia="Times New Roman" w:hAnsi="Times New Roman" w:cs="Times New Roman"/>
                <w:sz w:val="24"/>
                <w:szCs w:val="24"/>
                <w:lang w:eastAsia="lv-LV"/>
              </w:rPr>
              <w:t>V</w:t>
            </w:r>
            <w:r w:rsidRPr="00A43A86">
              <w:rPr>
                <w:rFonts w:ascii="Times New Roman" w:eastAsia="Times New Roman" w:hAnsi="Times New Roman" w:cs="Times New Roman"/>
                <w:sz w:val="24"/>
                <w:szCs w:val="24"/>
                <w:lang w:eastAsia="lv-LV"/>
              </w:rPr>
              <w:t>alūtas fonds.</w:t>
            </w:r>
          </w:p>
          <w:p w14:paraId="5C16B398" w14:textId="7C0C097E" w:rsidR="003F7D5C" w:rsidRPr="00A43A86" w:rsidRDefault="003F7D5C" w:rsidP="003F7D5C">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 xml:space="preserve">Lietu izskatīšanas ilgums </w:t>
            </w:r>
            <w:r w:rsidR="00061B56" w:rsidRPr="00A43A86">
              <w:rPr>
                <w:rFonts w:ascii="Times New Roman" w:eastAsia="Times New Roman" w:hAnsi="Times New Roman" w:cs="Times New Roman"/>
                <w:sz w:val="24"/>
                <w:szCs w:val="24"/>
                <w:lang w:eastAsia="lv-LV"/>
              </w:rPr>
              <w:t xml:space="preserve">ir būtisks, bet </w:t>
            </w:r>
            <w:r w:rsidRPr="00A43A86">
              <w:rPr>
                <w:rFonts w:ascii="Times New Roman" w:eastAsia="Times New Roman" w:hAnsi="Times New Roman" w:cs="Times New Roman"/>
                <w:sz w:val="24"/>
                <w:szCs w:val="24"/>
                <w:lang w:eastAsia="lv-LV"/>
              </w:rPr>
              <w:t xml:space="preserve">nav vienīgais tiesu sistēmas efektivitātes rādītājs. Otrs jebkuras sistēmas darbības efektivitātes rādītājs ir kvalitāte. Jo sarežģītākas kļūst tiesiskās attiecības sabiedrībā, jo lielāka ir vajadzība </w:t>
            </w:r>
            <w:r w:rsidR="00061B56" w:rsidRPr="00A43A86">
              <w:rPr>
                <w:rFonts w:ascii="Times New Roman" w:eastAsia="Times New Roman" w:hAnsi="Times New Roman" w:cs="Times New Roman"/>
                <w:sz w:val="24"/>
                <w:szCs w:val="24"/>
                <w:lang w:eastAsia="lv-LV"/>
              </w:rPr>
              <w:t xml:space="preserve">pēc specializācijas tiesu sistēmā, lai nodrošinātu gan ātru, gan kvalitatīvu tiesu darbu. </w:t>
            </w:r>
          </w:p>
          <w:p w14:paraId="30BAF131" w14:textId="77777777" w:rsidR="008B4D14" w:rsidRPr="00A43A86" w:rsidRDefault="008B4D14" w:rsidP="008B4D14">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Atbilstoši Deklarācijas par Artura Krišjāņa Kariņa vadītā Ministru kabineta iecerēto darbību īstenošanai (turpmāk – Deklarācija) paredzētajai valdības darba prioritātei – tiesiskuma stiprināšana un Deklarācijas sadaļas "Bezkompromisu tiesiskums un likuma vara" 182. punktam noteikts, ka pārskatāma īstenotās tiesu reformas efektivitāte, izvērtējot jaunas specializētas tiesas izveidošanu komercstrīdu, korupcijas, ekonomisko un finanšu noziegumu jomā. Atzīstot nepieciešamību pirms attiecīga lēmuma pieņemšanas gūt visaptverošu vērtējumu, Valdības rīcības plānā definētais uzdevums minētā pasākuma izpildei tika paplašināts, proti, tika uzdots izvērtēt tiesas vai tiesnešu specializācijas izveidi attiecībā uz komercstrīdiem, finanšu un ekonomiskajiem noziegumiem, kā arī korupcijas jomā, nodrošinot nolēmumu kvalitāti arī specifiskos tiesību jautājumos.</w:t>
            </w:r>
          </w:p>
          <w:p w14:paraId="0EC3AEC2" w14:textId="06A76539" w:rsidR="008B4D14" w:rsidRPr="00A43A86" w:rsidRDefault="008B4D14" w:rsidP="008B4D14">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lastRenderedPageBreak/>
              <w:t>Minētā uzdevuma izpildes ietvaros Tieslietu ministrija sākotnēji izstrādāja vairākus risinājumus, ko apsprieda ar rajonu (pilsētu) tiesu un apgabaltiesu priekšsēdētājiem, Latvijas tiesnešu biedrību. Tiesu pārstāvji diskusijās aicināja nodrošināt šo lietu specializāciju esošo rajona (pilsētu) tiesu ietvaros vai arī koncentrēt lietas vienā no esošajām rajona (pilsētas) tiesām. Tādējādi radot iespēju novērot un novērtēt noslodzi, ko veidotu specializētās lietas, un tikai tad nepieciešamības gadījumā lemt par nepieciešamību veidot atsevišķu specializētu tiesu.</w:t>
            </w:r>
          </w:p>
          <w:p w14:paraId="041406AC" w14:textId="77777777" w:rsidR="008B4D14" w:rsidRPr="00A43A86" w:rsidRDefault="008B4D14" w:rsidP="00D52A03">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Jāatzīmē, ka analizējot iespējamos risinājuma variantus, tika atzīts, ka starptautisko organizāciju  kā arī Valsts kontroles vērtējumos iekļautās atziņas saistībā ar sarežģītu un specifisku lietu izskatīšanu un konstatēto problēmu novēršanu nesniedz konkrētas norādes un jautājums, vai veidojama specializēta tiesa vai specializācija nodrošināma esošo rajona (pilsētu) tiesu ietvaros, pēc būtības ir tiesībpolitisks.</w:t>
            </w:r>
          </w:p>
          <w:p w14:paraId="22E9A9D2" w14:textId="77777777" w:rsidR="008B4D14" w:rsidRPr="00A43A86" w:rsidRDefault="008B4D14" w:rsidP="00D52A03">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 xml:space="preserve">Vairumā Eiropas Savienības dalībvalstu ir viena vai vairākas specializētas tiesas, kurām ir ekskluzīva jurisdikcija konkrētos jautājumos. Komerctiesas ir plaši izplatītas, taču tām noteiktā kompetence pamatā ir atšķirīga katrā no valstīm. Tāpat atzīmējams, ka vairākās Eiropas valstīs ir izveidotas specializētas tiesas, kas veltītas cīņai pret korupciju. Bulgārija izveidoja specializētu tiesu, lai risinātu noziegumus, ko paveikušas organizētas noziedzīgas grupas, tostarp ar korupciju saistītus noziegumus, bet Horvātijā un Slovākijā ir izveidotas īpašas pretkorupcijas tiesas. </w:t>
            </w:r>
          </w:p>
          <w:p w14:paraId="7924945C" w14:textId="77777777" w:rsidR="008B4D14" w:rsidRPr="00A43A86" w:rsidRDefault="008B4D14" w:rsidP="00D52A03">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ab/>
              <w:t>Tomēr tā kā mērķis veicināt investīciju un uzņēmējdarbības vides izaugsmi ilgtermiņā var tikt sasniegts tikai kompleksi, nodrošinot gan ātru un efektīvu komercstrīdu risināšanu civiltiesiskā kārtībā, gan nodrošinot, ka tie noziedzīgie nodarījumi, kas būtiski ietekmē investīciju vidi, tiek izskatīti tiesā ātri un profesionāli, notika izšķiršanās par tādu Ekonomisko lietu tiesu, kas skata noteiktas civillietas un noteiktas krimināllietas. Jaunas speciālas tiesas izveide rada visus nepieciešamos priekšnosacījumus komercstrīdu specializācijas tālākai attīstībai arī turpmāk un ātri un adekvāti kriminālsodi kalpo par lielisku prevenciju un palīdz izskaust attiecīgos noziegumus.</w:t>
            </w:r>
            <w:r w:rsidRPr="00A43A86">
              <w:rPr>
                <w:rFonts w:ascii="Times New Roman" w:eastAsia="Times New Roman" w:hAnsi="Times New Roman" w:cs="Times New Roman"/>
                <w:sz w:val="24"/>
                <w:szCs w:val="24"/>
                <w:lang w:eastAsia="lv-LV"/>
              </w:rPr>
              <w:tab/>
            </w:r>
          </w:p>
          <w:p w14:paraId="2188D61E" w14:textId="77777777" w:rsidR="008B4D14" w:rsidRPr="00A43A86" w:rsidRDefault="00A72462" w:rsidP="008B4D14">
            <w:pPr>
              <w:spacing w:after="0" w:line="240" w:lineRule="auto"/>
              <w:jc w:val="both"/>
              <w:rPr>
                <w:rFonts w:ascii="Times New Roman" w:hAnsi="Times New Roman" w:cs="Times New Roman"/>
                <w:sz w:val="24"/>
                <w:szCs w:val="24"/>
              </w:rPr>
            </w:pPr>
            <w:r w:rsidRPr="00A43A86">
              <w:rPr>
                <w:rFonts w:ascii="Times New Roman" w:eastAsia="Times New Roman" w:hAnsi="Times New Roman" w:cs="Times New Roman"/>
                <w:sz w:val="24"/>
                <w:szCs w:val="24"/>
                <w:lang w:eastAsia="lv-LV"/>
              </w:rPr>
              <w:t xml:space="preserve">Valsts ir atbildīga par efektīva tiesas procesa nodrošināšanu. Konkrētajā gadījumā </w:t>
            </w:r>
            <w:r w:rsidR="002C6315" w:rsidRPr="00A43A86">
              <w:rPr>
                <w:rFonts w:ascii="Times New Roman" w:eastAsia="Times New Roman" w:hAnsi="Times New Roman" w:cs="Times New Roman"/>
                <w:sz w:val="24"/>
                <w:szCs w:val="24"/>
                <w:lang w:eastAsia="lv-LV"/>
              </w:rPr>
              <w:t xml:space="preserve">konceptuālajā ziņojumā "Par ekonomisko lietu tiesas izveidi" (turpmāk – </w:t>
            </w:r>
            <w:r w:rsidR="00970003" w:rsidRPr="00A43A86">
              <w:rPr>
                <w:rFonts w:ascii="Times New Roman" w:eastAsia="Times New Roman" w:hAnsi="Times New Roman" w:cs="Times New Roman"/>
                <w:sz w:val="24"/>
                <w:szCs w:val="24"/>
                <w:lang w:eastAsia="lv-LV"/>
              </w:rPr>
              <w:t>Ziņojum</w:t>
            </w:r>
            <w:r w:rsidR="002C6315" w:rsidRPr="00A43A86">
              <w:rPr>
                <w:rFonts w:ascii="Times New Roman" w:eastAsia="Times New Roman" w:hAnsi="Times New Roman" w:cs="Times New Roman"/>
                <w:sz w:val="24"/>
                <w:szCs w:val="24"/>
                <w:lang w:eastAsia="lv-LV"/>
              </w:rPr>
              <w:t>s)</w:t>
            </w:r>
            <w:r w:rsidR="00970003" w:rsidRPr="00A43A86">
              <w:rPr>
                <w:rFonts w:ascii="Times New Roman" w:eastAsia="Times New Roman" w:hAnsi="Times New Roman" w:cs="Times New Roman"/>
                <w:sz w:val="24"/>
                <w:szCs w:val="24"/>
                <w:lang w:eastAsia="lv-LV"/>
              </w:rPr>
              <w:t xml:space="preserve"> </w:t>
            </w:r>
            <w:r w:rsidRPr="00A43A86">
              <w:rPr>
                <w:rFonts w:ascii="Times New Roman" w:eastAsia="Times New Roman" w:hAnsi="Times New Roman" w:cs="Times New Roman"/>
                <w:sz w:val="24"/>
                <w:szCs w:val="24"/>
                <w:lang w:eastAsia="lv-LV"/>
              </w:rPr>
              <w:t>secināts, ka noteiktu lietu kategoriju efektīvāku izskatīšanas procesu iespējams nodrošināt, koncentrējot lietas, zināšanas un resursus vienuviet</w:t>
            </w:r>
            <w:r w:rsidR="0070102C" w:rsidRPr="00A43A86">
              <w:rPr>
                <w:rFonts w:ascii="Times New Roman" w:eastAsia="Times New Roman" w:hAnsi="Times New Roman" w:cs="Times New Roman"/>
                <w:sz w:val="24"/>
                <w:szCs w:val="24"/>
                <w:lang w:eastAsia="lv-LV"/>
              </w:rPr>
              <w:t xml:space="preserve">. </w:t>
            </w:r>
            <w:r w:rsidR="008B4D14" w:rsidRPr="00A43A86">
              <w:rPr>
                <w:rFonts w:ascii="Times New Roman" w:hAnsi="Times New Roman" w:cs="Times New Roman"/>
                <w:sz w:val="24"/>
                <w:szCs w:val="24"/>
              </w:rPr>
              <w:t xml:space="preserve">Specializētas tiesas izveidei, salīdzinot ar esošo sistēmu, ir lielāks attīstības potenciāls, un jaunas speciālas tiesas izveide rada visus </w:t>
            </w:r>
            <w:r w:rsidR="008B4D14" w:rsidRPr="00A43A86">
              <w:rPr>
                <w:rFonts w:ascii="Times New Roman" w:hAnsi="Times New Roman" w:cs="Times New Roman"/>
                <w:sz w:val="24"/>
                <w:szCs w:val="24"/>
              </w:rPr>
              <w:lastRenderedPageBreak/>
              <w:t>nepieciešamos priekšnosacījumus specializācijas tālākai attīstībai arī turpmāk.</w:t>
            </w:r>
          </w:p>
          <w:p w14:paraId="5A7B9ADC" w14:textId="6DE3415C" w:rsidR="008B4D14" w:rsidRPr="00A43A86" w:rsidRDefault="008B4D14" w:rsidP="008B4D14">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Ekonomiskās sadarbības un attīstības organizācijas (OECD) ģenerālsekretārs H. A. Gurija (</w:t>
            </w:r>
            <w:r w:rsidR="0057693F" w:rsidRPr="00A43A86">
              <w:rPr>
                <w:rFonts w:ascii="Times New Roman" w:hAnsi="Times New Roman" w:cs="Times New Roman"/>
                <w:sz w:val="24"/>
                <w:szCs w:val="24"/>
              </w:rPr>
              <w:t xml:space="preserve">H. </w:t>
            </w:r>
            <w:r w:rsidRPr="00A43A86">
              <w:rPr>
                <w:rFonts w:ascii="Times New Roman" w:hAnsi="Times New Roman" w:cs="Times New Roman"/>
                <w:sz w:val="24"/>
                <w:szCs w:val="24"/>
              </w:rPr>
              <w:t xml:space="preserve">A. Gurría) savā </w:t>
            </w:r>
            <w:r w:rsidR="0057693F" w:rsidRPr="00A43A86">
              <w:rPr>
                <w:rFonts w:ascii="Times New Roman" w:hAnsi="Times New Roman" w:cs="Times New Roman"/>
                <w:sz w:val="24"/>
                <w:szCs w:val="24"/>
              </w:rPr>
              <w:t xml:space="preserve">ir </w:t>
            </w:r>
            <w:r w:rsidRPr="00A43A86">
              <w:rPr>
                <w:rFonts w:ascii="Times New Roman" w:hAnsi="Times New Roman" w:cs="Times New Roman"/>
                <w:sz w:val="24"/>
                <w:szCs w:val="24"/>
              </w:rPr>
              <w:t>uzsvēr</w:t>
            </w:r>
            <w:r w:rsidR="0057693F" w:rsidRPr="00A43A86">
              <w:rPr>
                <w:rFonts w:ascii="Times New Roman" w:hAnsi="Times New Roman" w:cs="Times New Roman"/>
                <w:sz w:val="24"/>
                <w:szCs w:val="24"/>
              </w:rPr>
              <w:t>is</w:t>
            </w:r>
            <w:r w:rsidRPr="00A43A86">
              <w:rPr>
                <w:rFonts w:ascii="Times New Roman" w:hAnsi="Times New Roman" w:cs="Times New Roman"/>
                <w:sz w:val="24"/>
                <w:szCs w:val="24"/>
              </w:rPr>
              <w:t>, ka specializācija var potenciāli uzlabot juridisko jautājumu risināšanas efektivitāti, uzlabot tiesu lēmumu pieņemšanas vienveidību, paredzamību un kvalitāti, un plašākā nozīmē uzlabot uzņēmējdarbības un ieguldījumu vidi.</w:t>
            </w:r>
          </w:p>
          <w:p w14:paraId="76956443" w14:textId="424F601B" w:rsidR="002848FC" w:rsidRPr="00A43A86" w:rsidRDefault="008B4D14" w:rsidP="002848FC">
            <w:pPr>
              <w:spacing w:after="0" w:line="240" w:lineRule="auto"/>
              <w:jc w:val="both"/>
              <w:rPr>
                <w:rFonts w:ascii="Times New Roman" w:eastAsia="Times New Roman" w:hAnsi="Times New Roman" w:cs="Times New Roman"/>
                <w:sz w:val="24"/>
                <w:szCs w:val="24"/>
                <w:lang w:eastAsia="lv-LV"/>
              </w:rPr>
            </w:pPr>
            <w:bookmarkStart w:id="2" w:name="_Hlk20126926"/>
            <w:r w:rsidRPr="00A43A86">
              <w:rPr>
                <w:rFonts w:ascii="Times New Roman" w:eastAsia="Times New Roman" w:hAnsi="Times New Roman" w:cs="Times New Roman"/>
                <w:sz w:val="24"/>
                <w:szCs w:val="24"/>
                <w:lang w:eastAsia="lv-LV"/>
              </w:rPr>
              <w:t>Uzsverams, ka g</w:t>
            </w:r>
            <w:r w:rsidR="00A72462" w:rsidRPr="00A43A86">
              <w:rPr>
                <w:rFonts w:ascii="Times New Roman" w:eastAsia="Times New Roman" w:hAnsi="Times New Roman" w:cs="Times New Roman"/>
                <w:sz w:val="24"/>
                <w:szCs w:val="24"/>
                <w:lang w:eastAsia="lv-LV"/>
              </w:rPr>
              <w:t>alvenais mērķis specializētās tiesas izveidei ir efektivitāte un nolēmumu kvalitātes nodrošināšana</w:t>
            </w:r>
            <w:bookmarkEnd w:id="2"/>
            <w:r w:rsidR="003F7D5C" w:rsidRPr="00A43A86">
              <w:rPr>
                <w:rFonts w:ascii="Times New Roman" w:eastAsia="Times New Roman" w:hAnsi="Times New Roman" w:cs="Times New Roman"/>
                <w:sz w:val="24"/>
                <w:szCs w:val="24"/>
                <w:lang w:eastAsia="lv-LV"/>
              </w:rPr>
              <w:t xml:space="preserve">. </w:t>
            </w:r>
            <w:r w:rsidR="0070102C" w:rsidRPr="00A43A86">
              <w:rPr>
                <w:rFonts w:ascii="Times New Roman" w:eastAsia="Times New Roman" w:hAnsi="Times New Roman" w:cs="Times New Roman"/>
                <w:sz w:val="24"/>
                <w:szCs w:val="24"/>
                <w:lang w:eastAsia="lv-LV"/>
              </w:rPr>
              <w:t xml:space="preserve">Specifisku neliela skaita lietu izskatīšanai nepieciešamās prasmes nav lietderīgi trenēt katram no Latvijas tiesnešiem, jo varbūtība, ka šādu lietu tiesnesis saņems, ir ļoti maza. Turklāt, lai kvalifikācijas pasākumos iegūtās zināšanas nostiprinātu un attīstītu, tās ir jāpiemēro praksē. Līdz ar to tiesnešu specializācija pati par sevi nav risinājums pie neliela skaita specifiskām lietām. Šādos gadījumos </w:t>
            </w:r>
            <w:bookmarkStart w:id="3" w:name="_Hlk20126954"/>
            <w:r w:rsidR="0070102C" w:rsidRPr="00A43A86">
              <w:rPr>
                <w:rFonts w:ascii="Times New Roman" w:eastAsia="Times New Roman" w:hAnsi="Times New Roman" w:cs="Times New Roman"/>
                <w:sz w:val="24"/>
                <w:szCs w:val="24"/>
                <w:lang w:eastAsia="lv-LV"/>
              </w:rPr>
              <w:t>jau kopš 2013.</w:t>
            </w:r>
            <w:r w:rsidR="00F4263A" w:rsidRPr="00A43A86">
              <w:rPr>
                <w:rFonts w:ascii="Times New Roman" w:eastAsia="Times New Roman" w:hAnsi="Times New Roman" w:cs="Times New Roman"/>
                <w:sz w:val="24"/>
                <w:szCs w:val="24"/>
                <w:lang w:eastAsia="lv-LV"/>
              </w:rPr>
              <w:t> </w:t>
            </w:r>
            <w:r w:rsidR="0070102C" w:rsidRPr="00A43A86">
              <w:rPr>
                <w:rFonts w:ascii="Times New Roman" w:eastAsia="Times New Roman" w:hAnsi="Times New Roman" w:cs="Times New Roman"/>
                <w:sz w:val="24"/>
                <w:szCs w:val="24"/>
                <w:lang w:eastAsia="lv-LV"/>
              </w:rPr>
              <w:t>gada tiek praktizēta lietu koncentrēšana vienā no tiesām, attiecīgi ar attiecīgo specializāciju saistītos kvalifikācijas celšanas pasākumus piedāvājot attiecīgās tiesas un specializācijas tiesnešiem. Vienlaikus atzīstams, ka arī šādam risinājumam ir savi trūkumi. Proti, - lietu koncentrēšanas modeļa ietvaros specializāciju tvēruma attīstīšana (papildināšana) ir visai ierobežota un visbiežāk neiespējama, jo jārēķinās ar katras ties</w:t>
            </w:r>
            <w:r w:rsidR="002C6315" w:rsidRPr="00A43A86">
              <w:rPr>
                <w:rFonts w:ascii="Times New Roman" w:eastAsia="Times New Roman" w:hAnsi="Times New Roman" w:cs="Times New Roman"/>
                <w:sz w:val="24"/>
                <w:szCs w:val="24"/>
                <w:lang w:eastAsia="lv-LV"/>
              </w:rPr>
              <w:t>as</w:t>
            </w:r>
            <w:r w:rsidR="0070102C" w:rsidRPr="00A43A86">
              <w:rPr>
                <w:rFonts w:ascii="Times New Roman" w:eastAsia="Times New Roman" w:hAnsi="Times New Roman" w:cs="Times New Roman"/>
                <w:sz w:val="24"/>
                <w:szCs w:val="24"/>
                <w:lang w:eastAsia="lv-LV"/>
              </w:rPr>
              <w:t xml:space="preserve"> kapacitāti, kas nepieciešama vispārējās jurisdikcijas lietu izskatīšanas nodrošināšanai. </w:t>
            </w:r>
            <w:r w:rsidR="002848FC" w:rsidRPr="00A43A86">
              <w:rPr>
                <w:rFonts w:ascii="Times New Roman" w:eastAsia="Times New Roman" w:hAnsi="Times New Roman" w:cs="Times New Roman"/>
                <w:sz w:val="24"/>
                <w:szCs w:val="24"/>
                <w:lang w:eastAsia="lv-LV"/>
              </w:rPr>
              <w:t>Turklāt šādā veidā tiek veidota arī savdabīga paralēla speciālo jurisdikciju sistēma, kas ir visai sadrumstalota.</w:t>
            </w:r>
          </w:p>
          <w:p w14:paraId="64F9E0F4" w14:textId="08AFC197" w:rsidR="002848FC" w:rsidRPr="00A43A86" w:rsidRDefault="002848FC" w:rsidP="0070102C">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 xml:space="preserve">Specializētās tiesas izveide ir risinājums ar lielāku attīstības potenciālu arī ilgtermiņā, kas nevis rada, bet novērš esošo tiesu kompetenču sistēmas sadrumstalotību. </w:t>
            </w:r>
          </w:p>
          <w:bookmarkEnd w:id="3"/>
          <w:p w14:paraId="75D876E6" w14:textId="69919E41" w:rsidR="00E40A30" w:rsidRPr="00A43A86" w:rsidRDefault="002848FC" w:rsidP="00E40A30">
            <w:pPr>
              <w:tabs>
                <w:tab w:val="left" w:pos="993"/>
              </w:tabs>
              <w:spacing w:after="0" w:line="240" w:lineRule="auto"/>
              <w:jc w:val="both"/>
              <w:rPr>
                <w:rFonts w:ascii="Times New Roman" w:hAnsi="Times New Roman" w:cs="Times New Roman"/>
                <w:sz w:val="24"/>
                <w:szCs w:val="24"/>
              </w:rPr>
            </w:pPr>
            <w:r w:rsidRPr="00A43A86">
              <w:rPr>
                <w:rFonts w:ascii="Times New Roman" w:eastAsia="Times New Roman" w:hAnsi="Times New Roman" w:cs="Times New Roman"/>
                <w:sz w:val="24"/>
                <w:szCs w:val="24"/>
                <w:lang w:eastAsia="lv-LV"/>
              </w:rPr>
              <w:t>Būtisks ieguvums jaunas tiesas izveidei ir tas, ka kļūst iespējams ne tikai attīstīt jau esošās komercstrīdu specializācijas, bet nodrošināt specializāciju arī tādu uzņēmējdarbības vides tiesiskumam būtisku strīdu izskatīšanā, kuri līdz šim ir bijuši piekritīgi tiesām vispārējā kārtībā.</w:t>
            </w:r>
            <w:bookmarkStart w:id="4" w:name="_Hlk24709025"/>
          </w:p>
          <w:p w14:paraId="055A4372" w14:textId="23793BBF" w:rsidR="00E40A30" w:rsidRPr="00A43A86" w:rsidRDefault="00E40A30" w:rsidP="00E40A30">
            <w:pPr>
              <w:tabs>
                <w:tab w:val="left" w:pos="993"/>
              </w:tabs>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Pēdējo vairāk nekā piecu gadu laikā tieši attiecībā uz komercstrīdu izskatīšanas efektivizēšanu ir tikuši ieviesti vairāki pasākumi. No 2013. gada 1. jūlija ir specializēta t.s. reiderisma lietu izskatīšana, izveidojot saīsinātu lietu izskatīšanas procesu un paredzot kompetenci šo lietu izskatīšanā vienai konkrētai tiesai – Zemgales rajona tiesai. Tāpat vienā konkrētā tiesā – Rīgas pilsētas Vidzemes priekšpilsētas tiesā – no 2015. gada 1. janvāra ir tikuši specializēti strīdi par rūpnieciskā īpašuma tiesībām. Savukārt lietu par zaudējumu atlīdzināšanu par konkurences tiesību pārkāpumiem izskatīšana kopš 2017. gada 1. novembra koncentrēta Rīgas pilsētas Latgales </w:t>
            </w:r>
            <w:r w:rsidRPr="00A43A86">
              <w:rPr>
                <w:rFonts w:ascii="Times New Roman" w:hAnsi="Times New Roman" w:cs="Times New Roman"/>
                <w:sz w:val="24"/>
                <w:szCs w:val="24"/>
              </w:rPr>
              <w:lastRenderedPageBreak/>
              <w:t>priekšpilsētas tiesā. Visu šo pasākumu mērķis bija nodrošināt ātru un kompetentu šo specifisko komerctiesību jautājumu izskatīšanu. Vienlaikus konstatējams, ka izveidojusies diezgan sadrumstalota sistēma, jo atkarībā no strīda priekšmeta, mainās tiesa, kura specializēta attiecīgā komercstrīda izskatīšanā.</w:t>
            </w:r>
            <w:r w:rsidRPr="00A43A86">
              <w:rPr>
                <w:rFonts w:ascii="Times New Roman" w:eastAsia="Times New Roman" w:hAnsi="Times New Roman" w:cs="Times New Roman"/>
                <w:sz w:val="24"/>
                <w:szCs w:val="24"/>
                <w:lang w:eastAsia="lv-LV"/>
              </w:rPr>
              <w:t xml:space="preserve"> Turklāt, e</w:t>
            </w:r>
            <w:r w:rsidRPr="00A43A86">
              <w:rPr>
                <w:rFonts w:ascii="Times New Roman" w:hAnsi="Times New Roman" w:cs="Times New Roman"/>
                <w:sz w:val="24"/>
                <w:szCs w:val="24"/>
              </w:rPr>
              <w:t>sošā modeļa ietvaros šo specializāciju tvēruma attīstīšana (paplašināšana) ir diezgan ierobežota, jo jārēķinās, piemēram, ar katras no tiesām (Zemgales rajona tiesas, Rīgas pilsētas Vidzemes priekšpilsētas tiesas, Rīgas pilsētas Latgales priekšpilsētas tiesas) kapacitāti, kas nepieciešama vispārējās jurisdikcijas lietu izskatīšanas nodrošināšanai.</w:t>
            </w:r>
          </w:p>
          <w:p w14:paraId="72DA0F67" w14:textId="533142AE" w:rsidR="00E40A30" w:rsidRPr="00A43A86" w:rsidRDefault="00E40A30" w:rsidP="00E40A30">
            <w:pPr>
              <w:tabs>
                <w:tab w:val="left" w:pos="993"/>
              </w:tabs>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Paredzot minēto kategoriju lietu izskatīšanu nodot Ekonomisko lietu tiesai, kļūst iespējams ne tikai šo dažādo komerctiesību jautājumu izskatīšanu koncentrēt vienuviet, bet arī attīstīt un paplašināt, pirmkārt, šīs konkrētās kompetences. Piemēram, paredzot, ka Ekonomisko lietu tiesa izskata ne tikai rūpnieciskā īpašuma strīdus, bet visus strīdus, kas saistīti ar intelektuālo īpašumu, paredzot, ka Ekonomisko lietu tiesa izskata ne tikai pieteikums par dalībnieku (akcionāru) sapulču lēmumu atzīšanu par neesošiem, bet visas prasības par dalībnieku (akcionāru) savstarpējiem strīdiem. </w:t>
            </w:r>
          </w:p>
          <w:p w14:paraId="50C566AA" w14:textId="1CF8F7A1" w:rsidR="001D534C" w:rsidRPr="00A43A86" w:rsidRDefault="00E40A30" w:rsidP="00E40A30">
            <w:pPr>
              <w:tabs>
                <w:tab w:val="left" w:pos="993"/>
              </w:tabs>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Papildus uzsverams, ka būtisks ieguvums ir tas, ka kļūst iespējams ne tikai attīstīt jau esošās komercstrīdu specializācijas, bet nodrošināt specializāciju arī tādu uzņēmējdarbības vides tiesiskumam būtisku strīdu izskatīšanas specializāciju, kuri līdz šim ir bijuši piekritīgi tiesām vispārējā kārtībā. </w:t>
            </w:r>
            <w:r w:rsidR="001D534C" w:rsidRPr="00A43A86">
              <w:rPr>
                <w:rFonts w:ascii="Times New Roman" w:hAnsi="Times New Roman" w:cs="Times New Roman"/>
                <w:sz w:val="24"/>
                <w:szCs w:val="24"/>
              </w:rPr>
              <w:t>Par galvenajiem kritērijiem, kas izmantoti definējot Ekonomisko lietu tiesas kompetenci</w:t>
            </w:r>
            <w:r w:rsidRPr="00A43A86">
              <w:rPr>
                <w:rFonts w:ascii="Times New Roman" w:hAnsi="Times New Roman" w:cs="Times New Roman"/>
                <w:sz w:val="24"/>
                <w:szCs w:val="24"/>
              </w:rPr>
              <w:t xml:space="preserve"> attiecībā uz lietu kategorijām, kurās šobrīd nav ieviesta specializācija</w:t>
            </w:r>
            <w:r w:rsidR="001D534C" w:rsidRPr="00A43A86">
              <w:rPr>
                <w:rFonts w:ascii="Times New Roman" w:hAnsi="Times New Roman" w:cs="Times New Roman"/>
                <w:sz w:val="24"/>
                <w:szCs w:val="24"/>
              </w:rPr>
              <w:t>, izvēlēt</w:t>
            </w:r>
            <w:r w:rsidRPr="00A43A86">
              <w:rPr>
                <w:rFonts w:ascii="Times New Roman" w:hAnsi="Times New Roman" w:cs="Times New Roman"/>
                <w:sz w:val="24"/>
                <w:szCs w:val="24"/>
              </w:rPr>
              <w:t xml:space="preserve">s </w:t>
            </w:r>
            <w:r w:rsidR="001D534C" w:rsidRPr="00A43A86">
              <w:rPr>
                <w:rFonts w:ascii="Times New Roman" w:hAnsi="Times New Roman" w:cs="Times New Roman"/>
                <w:sz w:val="24"/>
                <w:szCs w:val="24"/>
              </w:rPr>
              <w:t>apstāklis, ka strīda izskatīšanā</w:t>
            </w:r>
            <w:r w:rsidR="00F130B6" w:rsidRPr="00A43A86">
              <w:rPr>
                <w:rFonts w:ascii="Times New Roman" w:hAnsi="Times New Roman" w:cs="Times New Roman"/>
                <w:sz w:val="24"/>
                <w:szCs w:val="24"/>
              </w:rPr>
              <w:t>,</w:t>
            </w:r>
            <w:r w:rsidR="001D534C" w:rsidRPr="00A43A86">
              <w:rPr>
                <w:rFonts w:ascii="Times New Roman" w:hAnsi="Times New Roman" w:cs="Times New Roman"/>
                <w:sz w:val="24"/>
                <w:szCs w:val="24"/>
              </w:rPr>
              <w:t xml:space="preserve"> jo īpaši jāvērtē konkrētā darījuma saimnieciskais raksturs vai ka strīda izskatīšana prasa noteiktas un specifiskas zināšanas. </w:t>
            </w:r>
          </w:p>
          <w:p w14:paraId="6B6D6814" w14:textId="32C78E0D" w:rsidR="001D534C" w:rsidRPr="00A43A86" w:rsidRDefault="001D534C" w:rsidP="001D534C">
            <w:pPr>
              <w:spacing w:after="0" w:line="240" w:lineRule="auto"/>
              <w:jc w:val="both"/>
              <w:rPr>
                <w:color w:val="000000"/>
              </w:rPr>
            </w:pPr>
            <w:r w:rsidRPr="00A43A86">
              <w:rPr>
                <w:rFonts w:ascii="Times New Roman" w:hAnsi="Times New Roman" w:cs="Times New Roman"/>
                <w:sz w:val="24"/>
                <w:szCs w:val="24"/>
              </w:rPr>
              <w:t xml:space="preserve">Piemēram, </w:t>
            </w:r>
            <w:r w:rsidR="00E40A30" w:rsidRPr="00A43A86">
              <w:rPr>
                <w:rFonts w:ascii="Times New Roman" w:hAnsi="Times New Roman" w:cs="Times New Roman"/>
                <w:sz w:val="24"/>
                <w:szCs w:val="24"/>
              </w:rPr>
              <w:t>Komerclikums</w:t>
            </w:r>
            <w:r w:rsidRPr="00A43A86">
              <w:rPr>
                <w:rFonts w:ascii="Times New Roman" w:hAnsi="Times New Roman" w:cs="Times New Roman"/>
                <w:sz w:val="24"/>
                <w:szCs w:val="24"/>
              </w:rPr>
              <w:t xml:space="preserve"> paredz, ka ja</w:t>
            </w:r>
            <w:r w:rsidRPr="00A43A86">
              <w:rPr>
                <w:rFonts w:ascii="Times New Roman" w:eastAsia="Times New Roman" w:hAnsi="Times New Roman" w:cs="Times New Roman"/>
                <w:color w:val="000000"/>
                <w:sz w:val="24"/>
                <w:szCs w:val="24"/>
                <w:lang w:eastAsia="lv-LV"/>
              </w:rPr>
              <w:t xml:space="preserve"> netiek ievērota saistīto pušu darījumu noslēgšanas procedūra, persona, kuras tiesības ar noslēgto darījumu ir aizskartas, var vērsties tiesā un lūgt, lai darījums tiktu atzīts par spēkā neesošu.</w:t>
            </w:r>
            <w:r w:rsidRPr="00A43A86">
              <w:rPr>
                <w:rFonts w:ascii="Times New Roman" w:hAnsi="Times New Roman" w:cs="Times New Roman"/>
                <w:color w:val="000000"/>
                <w:sz w:val="24"/>
                <w:szCs w:val="24"/>
              </w:rPr>
              <w:t xml:space="preserve"> Šāda kārtība noteikta, lai stiprinātu mazākuma dalībnieku aizsardzību, kā arī nodrošinātu caurspīdīgumu sabiedrības darījumu noslēgšanā, kas labvēlīgi ietekmētu investīciju vidi. Kārtība attiecas uz gadījumiem, kas nav slēgti parasti veicamās komercdarbības ietvaros vai neatbilst tirgus nosacījumiem</w:t>
            </w:r>
            <w:r w:rsidR="00E40A30" w:rsidRPr="00A43A86">
              <w:rPr>
                <w:rFonts w:ascii="Times New Roman" w:hAnsi="Times New Roman" w:cs="Times New Roman"/>
                <w:color w:val="000000"/>
                <w:sz w:val="24"/>
                <w:szCs w:val="24"/>
              </w:rPr>
              <w:t>. Tajā pašā laikā minētais regulējums neattiecas uz tiem gadījumiem, kad piemēram, sabiedrības valdes loceklis vai cita saistīta persona slēgs līgumus ar sabiedrību par ikdienas darījumiem.</w:t>
            </w:r>
          </w:p>
          <w:p w14:paraId="5F3EA9F2" w14:textId="2CA160D7" w:rsidR="001D534C" w:rsidRPr="00A43A86" w:rsidRDefault="001D534C" w:rsidP="001D534C">
            <w:pPr>
              <w:spacing w:after="0" w:line="240" w:lineRule="auto"/>
              <w:jc w:val="both"/>
              <w:rPr>
                <w:rFonts w:ascii="Times New Roman" w:eastAsia="Times New Roman" w:hAnsi="Times New Roman" w:cs="Times New Roman"/>
                <w:color w:val="000000"/>
                <w:sz w:val="24"/>
                <w:szCs w:val="24"/>
                <w:lang w:eastAsia="lv-LV"/>
              </w:rPr>
            </w:pPr>
            <w:r w:rsidRPr="00A43A86">
              <w:rPr>
                <w:rFonts w:ascii="Times New Roman" w:eastAsia="Times New Roman" w:hAnsi="Times New Roman" w:cs="Times New Roman"/>
                <w:color w:val="000000"/>
                <w:sz w:val="24"/>
                <w:szCs w:val="24"/>
                <w:lang w:eastAsia="lv-LV"/>
              </w:rPr>
              <w:t xml:space="preserve">Vienlaikus paredzēts, ka darījuma izvērtēšanā un lēmuma pieņemšanā nepiedalās tās personas, kuras uzskatāmas par ieinteresētām attiecībā uz konkrēto darījumu. Tādejādi </w:t>
            </w:r>
            <w:r w:rsidRPr="00A43A86">
              <w:rPr>
                <w:rFonts w:ascii="Times New Roman" w:eastAsia="Times New Roman" w:hAnsi="Times New Roman" w:cs="Times New Roman"/>
                <w:color w:val="000000"/>
                <w:sz w:val="24"/>
                <w:szCs w:val="24"/>
                <w:lang w:eastAsia="lv-LV"/>
              </w:rPr>
              <w:lastRenderedPageBreak/>
              <w:t>tiesai, izskatot prasību par saistīto pušu darījumu, jāvērtē, ciktāl sabiedrības intereses saduras ar ieinteresētaj</w:t>
            </w:r>
            <w:r w:rsidR="008D4A4C" w:rsidRPr="00A43A86">
              <w:rPr>
                <w:rFonts w:ascii="Times New Roman" w:eastAsia="Times New Roman" w:hAnsi="Times New Roman" w:cs="Times New Roman"/>
                <w:color w:val="000000"/>
                <w:sz w:val="24"/>
                <w:szCs w:val="24"/>
                <w:lang w:eastAsia="lv-LV"/>
              </w:rPr>
              <w:t>ā</w:t>
            </w:r>
            <w:r w:rsidRPr="00A43A86">
              <w:rPr>
                <w:rFonts w:ascii="Times New Roman" w:eastAsia="Times New Roman" w:hAnsi="Times New Roman" w:cs="Times New Roman"/>
                <w:color w:val="000000"/>
                <w:sz w:val="24"/>
                <w:szCs w:val="24"/>
                <w:lang w:eastAsia="lv-LV"/>
              </w:rPr>
              <w:t>m personas vēlmēm</w:t>
            </w:r>
            <w:r w:rsidR="00E40A30" w:rsidRPr="00A43A86">
              <w:rPr>
                <w:rFonts w:ascii="Times New Roman" w:eastAsia="Times New Roman" w:hAnsi="Times New Roman" w:cs="Times New Roman"/>
                <w:color w:val="000000"/>
                <w:sz w:val="24"/>
                <w:szCs w:val="24"/>
                <w:lang w:eastAsia="lv-LV"/>
              </w:rPr>
              <w:t>, kā arī jānošķir darījumu veids</w:t>
            </w:r>
            <w:r w:rsidRPr="00A43A86">
              <w:rPr>
                <w:rFonts w:ascii="Times New Roman" w:eastAsia="Times New Roman" w:hAnsi="Times New Roman" w:cs="Times New Roman"/>
                <w:color w:val="000000"/>
                <w:sz w:val="24"/>
                <w:szCs w:val="24"/>
                <w:lang w:eastAsia="lv-LV"/>
              </w:rPr>
              <w:t>. Jāatzīmē, terminiem "ieinteresētā persona" un “intereses” nav sniegtas definīcijas un tie uzskatāmi par ģenerālklauzulām, kur</w:t>
            </w:r>
            <w:r w:rsidR="00C200AA" w:rsidRPr="00A43A86">
              <w:rPr>
                <w:rFonts w:ascii="Times New Roman" w:eastAsia="Times New Roman" w:hAnsi="Times New Roman" w:cs="Times New Roman"/>
                <w:color w:val="000000"/>
                <w:sz w:val="24"/>
                <w:szCs w:val="24"/>
                <w:lang w:eastAsia="lv-LV"/>
              </w:rPr>
              <w:t>u</w:t>
            </w:r>
            <w:r w:rsidRPr="00A43A86">
              <w:rPr>
                <w:rFonts w:ascii="Times New Roman" w:eastAsia="Times New Roman" w:hAnsi="Times New Roman" w:cs="Times New Roman"/>
                <w:color w:val="000000"/>
                <w:sz w:val="24"/>
                <w:szCs w:val="24"/>
                <w:lang w:eastAsia="lv-LV"/>
              </w:rPr>
              <w:t xml:space="preserve"> saturs aizpildāms praksē. Vienlaikus </w:t>
            </w:r>
            <w:r w:rsidR="00E40A30" w:rsidRPr="00A43A86">
              <w:rPr>
                <w:rFonts w:ascii="Times New Roman" w:eastAsia="Times New Roman" w:hAnsi="Times New Roman" w:cs="Times New Roman"/>
                <w:color w:val="000000"/>
                <w:sz w:val="24"/>
                <w:szCs w:val="24"/>
                <w:lang w:eastAsia="lv-LV"/>
              </w:rPr>
              <w:t xml:space="preserve">jāņem vērā, ka ne tik daudz </w:t>
            </w:r>
            <w:r w:rsidRPr="00A43A86">
              <w:rPr>
                <w:rFonts w:ascii="Times New Roman" w:eastAsia="Times New Roman" w:hAnsi="Times New Roman" w:cs="Times New Roman"/>
                <w:color w:val="000000"/>
                <w:sz w:val="24"/>
                <w:szCs w:val="24"/>
                <w:lang w:eastAsia="lv-LV"/>
              </w:rPr>
              <w:t xml:space="preserve">pats fakts, ka minētie jēdziena jāpiepilda katrā konkrētajā gadījumā ar saturu, </w:t>
            </w:r>
            <w:r w:rsidR="00E40A30" w:rsidRPr="00A43A86">
              <w:rPr>
                <w:rFonts w:ascii="Times New Roman" w:eastAsia="Times New Roman" w:hAnsi="Times New Roman" w:cs="Times New Roman"/>
                <w:color w:val="000000"/>
                <w:sz w:val="24"/>
                <w:szCs w:val="24"/>
                <w:lang w:eastAsia="lv-LV"/>
              </w:rPr>
              <w:t>ir</w:t>
            </w:r>
            <w:r w:rsidRPr="00A43A86">
              <w:rPr>
                <w:rFonts w:ascii="Times New Roman" w:eastAsia="Times New Roman" w:hAnsi="Times New Roman" w:cs="Times New Roman"/>
                <w:color w:val="000000"/>
                <w:sz w:val="24"/>
                <w:szCs w:val="24"/>
                <w:lang w:eastAsia="lv-LV"/>
              </w:rPr>
              <w:t xml:space="preserve"> bijis izšķirošs, lemjot par šīs kā arī citu lietu kategorijas nodošanu Ekonomisko lietu tiesas kompetencē. Izšķiroša nozīme </w:t>
            </w:r>
            <w:r w:rsidR="0066120D" w:rsidRPr="00A43A86">
              <w:rPr>
                <w:rFonts w:ascii="Times New Roman" w:eastAsia="Times New Roman" w:hAnsi="Times New Roman" w:cs="Times New Roman"/>
                <w:color w:val="000000"/>
                <w:sz w:val="24"/>
                <w:szCs w:val="24"/>
                <w:lang w:eastAsia="lv-LV"/>
              </w:rPr>
              <w:t xml:space="preserve">šim </w:t>
            </w:r>
            <w:r w:rsidRPr="00A43A86">
              <w:rPr>
                <w:rFonts w:ascii="Times New Roman" w:eastAsia="Times New Roman" w:hAnsi="Times New Roman" w:cs="Times New Roman"/>
                <w:color w:val="000000"/>
                <w:sz w:val="24"/>
                <w:szCs w:val="24"/>
                <w:lang w:eastAsia="lv-LV"/>
              </w:rPr>
              <w:t>faktam</w:t>
            </w:r>
            <w:r w:rsidR="0066120D" w:rsidRPr="00A43A86">
              <w:rPr>
                <w:rFonts w:ascii="Times New Roman" w:eastAsia="Times New Roman" w:hAnsi="Times New Roman" w:cs="Times New Roman"/>
                <w:color w:val="000000"/>
                <w:sz w:val="24"/>
                <w:szCs w:val="24"/>
                <w:lang w:eastAsia="lv-LV"/>
              </w:rPr>
              <w:t xml:space="preserve"> ir piešķirta, jo</w:t>
            </w:r>
            <w:r w:rsidRPr="00A43A86">
              <w:rPr>
                <w:rFonts w:ascii="Times New Roman" w:eastAsia="Times New Roman" w:hAnsi="Times New Roman" w:cs="Times New Roman"/>
                <w:color w:val="000000"/>
                <w:sz w:val="24"/>
                <w:szCs w:val="24"/>
                <w:lang w:eastAsia="lv-LV"/>
              </w:rPr>
              <w:t xml:space="preserve"> konkrētajos strīdos š</w:t>
            </w:r>
            <w:r w:rsidR="0066120D" w:rsidRPr="00A43A86">
              <w:rPr>
                <w:rFonts w:ascii="Times New Roman" w:eastAsia="Times New Roman" w:hAnsi="Times New Roman" w:cs="Times New Roman"/>
                <w:color w:val="000000"/>
                <w:sz w:val="24"/>
                <w:szCs w:val="24"/>
                <w:lang w:eastAsia="lv-LV"/>
              </w:rPr>
              <w:t xml:space="preserve">o jēdzienu </w:t>
            </w:r>
            <w:r w:rsidRPr="00A43A86">
              <w:rPr>
                <w:rFonts w:ascii="Times New Roman" w:eastAsia="Times New Roman" w:hAnsi="Times New Roman" w:cs="Times New Roman"/>
                <w:color w:val="000000"/>
                <w:sz w:val="24"/>
                <w:szCs w:val="24"/>
                <w:lang w:eastAsia="lv-LV"/>
              </w:rPr>
              <w:t>saturs ir ekonomiska rakstura vērtējums</w:t>
            </w:r>
            <w:r w:rsidR="00E40A30" w:rsidRPr="00A43A86">
              <w:rPr>
                <w:rFonts w:ascii="Times New Roman" w:eastAsia="Times New Roman" w:hAnsi="Times New Roman" w:cs="Times New Roman"/>
                <w:color w:val="000000"/>
                <w:sz w:val="24"/>
                <w:szCs w:val="24"/>
                <w:lang w:eastAsia="lv-LV"/>
              </w:rPr>
              <w:t xml:space="preserve">. Proti, </w:t>
            </w:r>
            <w:r w:rsidRPr="00A43A86">
              <w:rPr>
                <w:rFonts w:ascii="Times New Roman" w:eastAsia="Times New Roman" w:hAnsi="Times New Roman" w:cs="Times New Roman"/>
                <w:color w:val="000000"/>
                <w:sz w:val="24"/>
                <w:szCs w:val="24"/>
                <w:lang w:eastAsia="lv-LV"/>
              </w:rPr>
              <w:t>tikai no komercdarbības prakses un ekonomisko zināšanu viedokļa var novērtēt, vai valdes locekļa darbība bija ekonomiski pamatota un izdevīga sabiedrībai kā tirgus ekonomikas subjektam.</w:t>
            </w:r>
            <w:r w:rsidRPr="00A43A86">
              <w:rPr>
                <w:rFonts w:ascii="Times New Roman" w:eastAsia="Times New Roman" w:hAnsi="Times New Roman" w:cs="Times New Roman"/>
                <w:color w:val="000000"/>
                <w:sz w:val="24"/>
                <w:szCs w:val="24"/>
                <w:vertAlign w:val="superscript"/>
                <w:lang w:eastAsia="lv-LV"/>
              </w:rPr>
              <w:footnoteReference w:id="1"/>
            </w:r>
            <w:r w:rsidRPr="00A43A86">
              <w:rPr>
                <w:rFonts w:ascii="Times New Roman" w:eastAsia="Times New Roman" w:hAnsi="Times New Roman" w:cs="Times New Roman"/>
                <w:color w:val="000000"/>
                <w:sz w:val="24"/>
                <w:szCs w:val="24"/>
                <w:lang w:eastAsia="lv-LV"/>
              </w:rPr>
              <w:tab/>
            </w:r>
          </w:p>
          <w:p w14:paraId="26D0746F" w14:textId="121EDE81" w:rsidR="00F14B5E" w:rsidRPr="00A43A86" w:rsidRDefault="00F14B5E" w:rsidP="00F14B5E">
            <w:pPr>
              <w:pStyle w:val="tv2132"/>
              <w:spacing w:line="240" w:lineRule="auto"/>
              <w:ind w:firstLine="0"/>
              <w:jc w:val="both"/>
              <w:rPr>
                <w:color w:val="000000"/>
                <w:sz w:val="24"/>
                <w:szCs w:val="24"/>
              </w:rPr>
            </w:pPr>
            <w:r w:rsidRPr="00A43A86">
              <w:rPr>
                <w:color w:val="000000"/>
                <w:sz w:val="24"/>
                <w:szCs w:val="24"/>
              </w:rPr>
              <w:t>Turklāt, jāatzīmē, ka ar sabiedrību saistīto personu, atbilstoši Komerclikuma 184.</w:t>
            </w:r>
            <w:r w:rsidRPr="00A43A86">
              <w:rPr>
                <w:color w:val="000000"/>
                <w:sz w:val="24"/>
                <w:szCs w:val="24"/>
                <w:vertAlign w:val="superscript"/>
              </w:rPr>
              <w:t>1</w:t>
            </w:r>
            <w:r w:rsidRPr="00A43A86">
              <w:rPr>
                <w:color w:val="000000"/>
                <w:sz w:val="24"/>
                <w:szCs w:val="24"/>
              </w:rPr>
              <w:t xml:space="preserve"> pantam saprot nevis jebkuru personu, kas gūst labumu no noslēgtā darījuma, bet gan:</w:t>
            </w:r>
          </w:p>
          <w:p w14:paraId="260F82A5" w14:textId="77777777" w:rsidR="00F14B5E" w:rsidRPr="00A43A86" w:rsidRDefault="00F14B5E" w:rsidP="00F14B5E">
            <w:pPr>
              <w:spacing w:after="0" w:line="240" w:lineRule="auto"/>
              <w:ind w:firstLine="300"/>
              <w:jc w:val="both"/>
              <w:rPr>
                <w:rFonts w:ascii="Times New Roman" w:eastAsia="Times New Roman" w:hAnsi="Times New Roman" w:cs="Times New Roman"/>
                <w:color w:val="000000"/>
                <w:sz w:val="24"/>
                <w:szCs w:val="24"/>
                <w:lang w:eastAsia="lv-LV"/>
              </w:rPr>
            </w:pPr>
            <w:r w:rsidRPr="00A43A86">
              <w:rPr>
                <w:rFonts w:ascii="Times New Roman" w:eastAsia="Times New Roman" w:hAnsi="Times New Roman" w:cs="Times New Roman"/>
                <w:color w:val="000000"/>
                <w:sz w:val="24"/>
                <w:szCs w:val="24"/>
                <w:lang w:eastAsia="lv-LV"/>
              </w:rPr>
              <w:t>1) sabiedrības dalībnieku, kuram ir tieša izšķirošā ietekme sabiedrībā;</w:t>
            </w:r>
          </w:p>
          <w:p w14:paraId="3C13AFE2" w14:textId="77777777" w:rsidR="00F14B5E" w:rsidRPr="00A43A86" w:rsidRDefault="00F14B5E" w:rsidP="00F14B5E">
            <w:pPr>
              <w:spacing w:after="0" w:line="240" w:lineRule="auto"/>
              <w:ind w:firstLine="300"/>
              <w:jc w:val="both"/>
              <w:rPr>
                <w:rFonts w:ascii="Times New Roman" w:eastAsia="Times New Roman" w:hAnsi="Times New Roman" w:cs="Times New Roman"/>
                <w:color w:val="000000"/>
                <w:sz w:val="24"/>
                <w:szCs w:val="24"/>
                <w:lang w:eastAsia="lv-LV"/>
              </w:rPr>
            </w:pPr>
            <w:r w:rsidRPr="00A43A86">
              <w:rPr>
                <w:rFonts w:ascii="Times New Roman" w:eastAsia="Times New Roman" w:hAnsi="Times New Roman" w:cs="Times New Roman"/>
                <w:color w:val="000000"/>
                <w:sz w:val="24"/>
                <w:szCs w:val="24"/>
                <w:lang w:eastAsia="lv-LV"/>
              </w:rPr>
              <w:t>2) sabiedrības valdes vai padomes locekli;</w:t>
            </w:r>
          </w:p>
          <w:p w14:paraId="5A4F56EE" w14:textId="77777777" w:rsidR="00F14B5E" w:rsidRPr="00A43A86" w:rsidRDefault="00F14B5E" w:rsidP="00F14B5E">
            <w:pPr>
              <w:spacing w:after="0" w:line="240" w:lineRule="auto"/>
              <w:ind w:firstLine="300"/>
              <w:jc w:val="both"/>
              <w:rPr>
                <w:rFonts w:ascii="Times New Roman" w:eastAsia="Times New Roman" w:hAnsi="Times New Roman" w:cs="Times New Roman"/>
                <w:color w:val="000000"/>
                <w:sz w:val="24"/>
                <w:szCs w:val="24"/>
                <w:lang w:eastAsia="lv-LV"/>
              </w:rPr>
            </w:pPr>
            <w:r w:rsidRPr="00A43A86">
              <w:rPr>
                <w:rFonts w:ascii="Times New Roman" w:eastAsia="Times New Roman" w:hAnsi="Times New Roman" w:cs="Times New Roman"/>
                <w:color w:val="000000"/>
                <w:sz w:val="24"/>
                <w:szCs w:val="24"/>
                <w:lang w:eastAsia="lv-LV"/>
              </w:rPr>
              <w:t>3) sabiedrības dalībnieka, kuram ir tieša izšķirošā ietekme sabiedrībā, valdes vai padomes locekli;</w:t>
            </w:r>
          </w:p>
          <w:p w14:paraId="3DBD73DF" w14:textId="77777777" w:rsidR="00F14B5E" w:rsidRPr="00A43A86" w:rsidRDefault="00F14B5E" w:rsidP="00F14B5E">
            <w:pPr>
              <w:spacing w:after="0" w:line="240" w:lineRule="auto"/>
              <w:ind w:firstLine="300"/>
              <w:jc w:val="both"/>
              <w:rPr>
                <w:rFonts w:ascii="Times New Roman" w:eastAsia="Times New Roman" w:hAnsi="Times New Roman" w:cs="Times New Roman"/>
                <w:color w:val="000000"/>
                <w:sz w:val="24"/>
                <w:szCs w:val="24"/>
                <w:lang w:eastAsia="lv-LV"/>
              </w:rPr>
            </w:pPr>
            <w:r w:rsidRPr="00A43A86">
              <w:rPr>
                <w:rFonts w:ascii="Times New Roman" w:eastAsia="Times New Roman" w:hAnsi="Times New Roman" w:cs="Times New Roman"/>
                <w:color w:val="000000"/>
                <w:sz w:val="24"/>
                <w:szCs w:val="24"/>
                <w:lang w:eastAsia="lv-LV"/>
              </w:rPr>
              <w:t>4) personu, kura ir šā panta 1. vai 2. punktā minētās personas radinieks līdz otrajai radniecības pakāpei, laulātais vai svainis līdz pirmajai svainības pakāpei, vai personu, ar kuru tai ir kopīga saimniecība;</w:t>
            </w:r>
          </w:p>
          <w:p w14:paraId="69A7E2A2" w14:textId="7B089AE7" w:rsidR="00F14B5E" w:rsidRPr="00A43A86" w:rsidRDefault="00F14B5E" w:rsidP="00F14B5E">
            <w:pPr>
              <w:spacing w:after="0" w:line="240" w:lineRule="auto"/>
              <w:ind w:firstLine="300"/>
              <w:jc w:val="both"/>
              <w:rPr>
                <w:rFonts w:ascii="Times New Roman" w:eastAsia="Times New Roman" w:hAnsi="Times New Roman" w:cs="Times New Roman"/>
                <w:color w:val="000000"/>
                <w:sz w:val="24"/>
                <w:szCs w:val="24"/>
                <w:lang w:eastAsia="lv-LV"/>
              </w:rPr>
            </w:pPr>
            <w:r w:rsidRPr="00A43A86">
              <w:rPr>
                <w:rFonts w:ascii="Times New Roman" w:eastAsia="Times New Roman" w:hAnsi="Times New Roman" w:cs="Times New Roman"/>
                <w:color w:val="000000"/>
                <w:sz w:val="24"/>
                <w:szCs w:val="24"/>
                <w:lang w:eastAsia="lv-LV"/>
              </w:rPr>
              <w:t xml:space="preserve">5) juridisko personu, kurā šā panta 1., 2. vai 4. punktā minētajai personai ir izšķirošā ietekme. </w:t>
            </w:r>
          </w:p>
          <w:p w14:paraId="020A8B4D" w14:textId="004A5CDA" w:rsidR="001D534C" w:rsidRPr="00A43A86" w:rsidRDefault="001D534C" w:rsidP="001D534C">
            <w:pPr>
              <w:spacing w:after="0" w:line="240" w:lineRule="auto"/>
              <w:jc w:val="both"/>
              <w:rPr>
                <w:rFonts w:ascii="Times New Roman" w:hAnsi="Times New Roman" w:cs="Times New Roman"/>
                <w:sz w:val="24"/>
                <w:szCs w:val="24"/>
              </w:rPr>
            </w:pPr>
            <w:r w:rsidRPr="00A43A86">
              <w:rPr>
                <w:rFonts w:ascii="Times New Roman" w:eastAsia="Times New Roman" w:hAnsi="Times New Roman" w:cs="Times New Roman"/>
                <w:color w:val="000000"/>
                <w:sz w:val="24"/>
                <w:szCs w:val="24"/>
                <w:lang w:eastAsia="lv-LV"/>
              </w:rPr>
              <w:t>Jāatzīmē, ka komerctiesības un saimniecisko darbību reglamentējošo normatīvo aktu mērķis ir ne tikai noteikt atsevišķu subjektu tiesības un pienākumus, bet</w:t>
            </w:r>
            <w:r w:rsidRPr="00A43A86">
              <w:rPr>
                <w:rFonts w:ascii="Times New Roman" w:hAnsi="Times New Roman" w:cs="Times New Roman"/>
                <w:sz w:val="24"/>
                <w:szCs w:val="24"/>
              </w:rPr>
              <w:t xml:space="preserve"> reglamentēt tirgus ekonomikas darbību un veicināt ekonomikas attīstību kopumā. Tāpēc ir ļoti svarīgi, lai šādas tiesību normas tiktu piemērotas ne tikai atbilstoši likumdevēja mērķim, bet arī analizējot to piemērošanas reālās ekonomiskās sekas un to ietekmi uz ekonomiku. </w:t>
            </w:r>
            <w:r w:rsidR="0066120D" w:rsidRPr="00A43A86">
              <w:rPr>
                <w:rFonts w:ascii="Times New Roman" w:eastAsia="Times New Roman" w:hAnsi="Times New Roman" w:cs="Times New Roman"/>
                <w:color w:val="000000"/>
                <w:sz w:val="24"/>
                <w:szCs w:val="24"/>
                <w:lang w:eastAsia="lv-LV"/>
              </w:rPr>
              <w:t xml:space="preserve">Ar specifiskām zināšanām var būt </w:t>
            </w:r>
            <w:r w:rsidR="00C200AA" w:rsidRPr="00A43A86">
              <w:rPr>
                <w:rFonts w:ascii="Times New Roman" w:eastAsia="Times New Roman" w:hAnsi="Times New Roman" w:cs="Times New Roman"/>
                <w:color w:val="000000"/>
                <w:sz w:val="24"/>
                <w:szCs w:val="24"/>
                <w:lang w:eastAsia="lv-LV"/>
              </w:rPr>
              <w:t xml:space="preserve">saistīta </w:t>
            </w:r>
            <w:r w:rsidR="0066120D" w:rsidRPr="00A43A86">
              <w:rPr>
                <w:rFonts w:ascii="Times New Roman" w:eastAsia="Times New Roman" w:hAnsi="Times New Roman" w:cs="Times New Roman"/>
                <w:color w:val="000000"/>
                <w:sz w:val="24"/>
                <w:szCs w:val="24"/>
                <w:lang w:eastAsia="lv-LV"/>
              </w:rPr>
              <w:t>arī mazākuma akcionāru zaudējumu prasību lietu izskatīšana, tāpat arī prasību, kas izriet no uzņēmumu pārejas un reorganizācij</w:t>
            </w:r>
            <w:r w:rsidR="00E40A30" w:rsidRPr="00A43A86">
              <w:rPr>
                <w:rFonts w:ascii="Times New Roman" w:eastAsia="Times New Roman" w:hAnsi="Times New Roman" w:cs="Times New Roman"/>
                <w:color w:val="000000"/>
                <w:sz w:val="24"/>
                <w:szCs w:val="24"/>
                <w:lang w:eastAsia="lv-LV"/>
              </w:rPr>
              <w:t>as</w:t>
            </w:r>
            <w:r w:rsidR="0066120D" w:rsidRPr="00A43A86">
              <w:rPr>
                <w:rFonts w:ascii="Times New Roman" w:eastAsia="Times New Roman" w:hAnsi="Times New Roman" w:cs="Times New Roman"/>
                <w:color w:val="000000"/>
                <w:sz w:val="24"/>
                <w:szCs w:val="24"/>
                <w:lang w:eastAsia="lv-LV"/>
              </w:rPr>
              <w:t>.</w:t>
            </w:r>
          </w:p>
          <w:p w14:paraId="5F975F7D" w14:textId="7643FCA3" w:rsidR="001D534C" w:rsidRPr="00A43A86" w:rsidRDefault="001D534C" w:rsidP="001D534C">
            <w:pPr>
              <w:pStyle w:val="Paraststmeklis"/>
              <w:spacing w:before="0" w:beforeAutospacing="0" w:after="0" w:afterAutospacing="0"/>
              <w:jc w:val="both"/>
            </w:pPr>
            <w:r w:rsidRPr="00A43A86">
              <w:t>Tāpat, piemēram, koncernu tiesības pēc būtības ir viena no sarežģītākajām tiesību nozarēm, kas izskaidrojams ar to, ka koncernu darbība balstās uz vairāku komercsabiedrību savstarpējo ietekmi, kura var būt gan tie</w:t>
            </w:r>
            <w:r w:rsidR="0066120D" w:rsidRPr="00A43A86">
              <w:t>ša</w:t>
            </w:r>
            <w:r w:rsidRPr="00A43A86">
              <w:t>, gan netieša</w:t>
            </w:r>
            <w:r w:rsidR="0066120D" w:rsidRPr="00A43A86">
              <w:t>,</w:t>
            </w:r>
            <w:r w:rsidRPr="00A43A86">
              <w:t xml:space="preserve"> un kura var tikt realizēta daudzos veidos. Tā rezultātā bieži vien ir grūti izprast koncernu, kurā ietilpst vairāku desmit </w:t>
            </w:r>
            <w:r w:rsidRPr="00A43A86">
              <w:lastRenderedPageBreak/>
              <w:t>kapitālsabiedrības, kuru starpā pastāv izšķirošas ietekmes veidi. Papildu grūtības rada tas, ka dalībnieka vai akcionāra ietekmes realizācija uz kapitālsabiedrību ir pilnīgi dabiska parādība no saimnieciskā viedokļa, jo kapitālsabiedrība ir tās dalībnieku saimniecisko interešu iemiesojums. Tādēļ koncernu tiesības, kuras ierobežo vairākuma dalībniekus (akcionārus), bieži vien tiek uztverti kā nedabisks saimnieciskās brīvības ierobežojums, tomēr tas tā nav, jo arī mazākumakcionāriem ir tiesības saņemt atdevi no ieguldītā kapitāla. Tādēļ šī ir koncernu tiesībām piemītošā dabisk</w:t>
            </w:r>
            <w:r w:rsidR="00C200AA" w:rsidRPr="00A43A86">
              <w:t>a</w:t>
            </w:r>
            <w:r w:rsidRPr="00A43A86">
              <w:t xml:space="preserve"> problēma, no kuras atbrīvoties nav iespējams un Koncernu tiesības vienmēr paliks kā viena no sarežģītākajām tiesību nozarēm</w:t>
            </w:r>
            <w:r w:rsidR="0066120D" w:rsidRPr="00A43A86">
              <w:rPr>
                <w:rStyle w:val="Vresatsauce"/>
              </w:rPr>
              <w:footnoteReference w:id="2"/>
            </w:r>
            <w:r w:rsidR="0066120D" w:rsidRPr="00A43A86">
              <w:t xml:space="preserve"> </w:t>
            </w:r>
            <w:r w:rsidRPr="00A43A86">
              <w:t xml:space="preserve">un </w:t>
            </w:r>
            <w:r w:rsidR="00C200AA" w:rsidRPr="00A43A86">
              <w:t xml:space="preserve">attiecīgi šo </w:t>
            </w:r>
            <w:r w:rsidRPr="00A43A86">
              <w:t>strīdu izšķiršana prasa specifiskas zināšanas</w:t>
            </w:r>
            <w:r w:rsidR="00C200AA" w:rsidRPr="00A43A86">
              <w:t xml:space="preserve"> arī no tiesneša</w:t>
            </w:r>
            <w:r w:rsidRPr="00A43A86">
              <w:t xml:space="preserve">. </w:t>
            </w:r>
          </w:p>
          <w:p w14:paraId="69F0AFFD" w14:textId="54C51CF1" w:rsidR="00B12CA9" w:rsidRPr="00A43A86" w:rsidRDefault="00354F81" w:rsidP="00F1458C">
            <w:pPr>
              <w:pStyle w:val="Paraststmeklis"/>
              <w:spacing w:before="0" w:beforeAutospacing="0" w:after="0" w:afterAutospacing="0"/>
              <w:jc w:val="both"/>
            </w:pPr>
            <w:bookmarkStart w:id="5" w:name="_Hlk26351215"/>
            <w:r w:rsidRPr="00A43A86">
              <w:t xml:space="preserve">2018.gada </w:t>
            </w:r>
            <w:r w:rsidR="009C68A5" w:rsidRPr="00A43A86">
              <w:t>6.martā</w:t>
            </w:r>
            <w:r w:rsidRPr="00A43A86">
              <w:t xml:space="preserve"> </w:t>
            </w:r>
            <w:r w:rsidR="009C68A5" w:rsidRPr="00A43A86">
              <w:t xml:space="preserve">pasludinātajā prejudiciālajā nolēmumā par </w:t>
            </w:r>
            <w:r w:rsidR="009C68A5" w:rsidRPr="00A43A86">
              <w:rPr>
                <w:i/>
                <w:iCs/>
              </w:rPr>
              <w:t>Achmea</w:t>
            </w:r>
            <w:r w:rsidR="009C68A5" w:rsidRPr="00A43A86">
              <w:rPr>
                <w:rStyle w:val="Vresatsauce"/>
                <w:i/>
                <w:iCs/>
              </w:rPr>
              <w:footnoteReference w:id="3"/>
            </w:r>
            <w:r w:rsidR="009C68A5" w:rsidRPr="00A43A86">
              <w:t xml:space="preserve"> lietu Eiropas Savienības Tiesa apstiprināja, ka iekšējo ES divpusējo ieguldījumu līgumā (turpmāk ES BIT) esošās</w:t>
            </w:r>
            <w:r w:rsidR="00F1458C" w:rsidRPr="00A43A86">
              <w:t xml:space="preserve"> škīrēktiesas</w:t>
            </w:r>
            <w:r w:rsidR="009C68A5" w:rsidRPr="00A43A86">
              <w:t xml:space="preserve"> klauzulas par ieguldītāja un dalībvalsts strīdu izšķiršanu ir </w:t>
            </w:r>
            <w:r w:rsidR="00F1458C" w:rsidRPr="00A43A86">
              <w:t xml:space="preserve">pretrunā ES tiesībām </w:t>
            </w:r>
            <w:r w:rsidR="009C68A5" w:rsidRPr="00A43A86">
              <w:t xml:space="preserve">Ņemot vērā spriedumu </w:t>
            </w:r>
            <w:r w:rsidR="009C68A5" w:rsidRPr="00A43A86">
              <w:rPr>
                <w:i/>
                <w:iCs/>
              </w:rPr>
              <w:t xml:space="preserve">Achmea </w:t>
            </w:r>
            <w:r w:rsidR="009C68A5" w:rsidRPr="00A43A86">
              <w:t>lietā, Eiropas Komisija pastiprināja dialogu ar visām dalībvalstīm, aicinot tās rīkoties, lai, ņemot vērā iekšējo ES BIT neapstrīdamo nesaderību ar ES tiesību aktiem, izbeigtu to darbību. Tā kā minēto spriedumu var attiecināt uz visu ES dalībvalstu savstarpēji parakstītajiem BIT, tas rada precedentu, ka investoru tiesību aizskāruma gadījumos ES valstu investoriem vairs nav racionāli vērsties starptautiskajā šķīrējtiesā.</w:t>
            </w:r>
            <w:r w:rsidR="00A63D02" w:rsidRPr="00A43A86">
              <w:t xml:space="preserve"> Vienlaikus atzīmējams, ka </w:t>
            </w:r>
            <w:bookmarkStart w:id="6" w:name="200124"/>
            <w:bookmarkStart w:id="7" w:name="n-200124"/>
            <w:bookmarkEnd w:id="6"/>
            <w:bookmarkEnd w:id="7"/>
            <w:r w:rsidR="00A63D02" w:rsidRPr="00A43A86">
              <w:t>atbilstoši Lisabonas līgumam, ar ko groza līgumu par Eiropas Savienību un Eiropas kopienas dibināšanas līgumu, pievienotai Deklarācija par Savienības tiesību aktu augstāku spēku, saskaņā ar iedibināto Eiropas Savienības Tiesas judikatūru, Līgumiem un tiesību aktiem, ko Savienība ir pieņēmusi, pamatojoties uz Līgumiem, ir augstāks spēks nekā dalībvalstu tiesību aktiem, ievērojot nosacījumus, kuri noteikti ar attiecīgo judikatūru.  Vienlaikus norādāms, ka a</w:t>
            </w:r>
            <w:r w:rsidR="00B12CA9" w:rsidRPr="00A43A86">
              <w:t xml:space="preserve">tbilstoši nolīgumam par divpusēju ieguldījumu līgumu izbeigšanu starp Eiropas Savienības dalībvalstīm (šobrīd ir saskaņošanas procesā un prognozējams, ka nolīgums tiks parakstīts līdz Ekonomisko lietu tiesas darbības uzsākšanai) paredzēts, ka no dienas, kad pēdējā no divpusējā ieguldījumu līguma pusēm kļuva par Eiropas Savienības dalībvalsti, šķīrējtiesas klauzula šādā divpusējā ieguldījumu līgumā nevar kalpot par šķīrējtiesas procesa juridisko pamatu. Turklāt, saskaņā ar nolīguma 5.pantu </w:t>
            </w:r>
            <w:r w:rsidR="00B12CA9" w:rsidRPr="00A43A86">
              <w:lastRenderedPageBreak/>
              <w:t>šķīrējtiesas klauzula nav jauna šķīrējtiesas procesa juridiskais pamats.</w:t>
            </w:r>
            <w:r w:rsidR="00A63D02" w:rsidRPr="00A43A86">
              <w:t xml:space="preserve"> </w:t>
            </w:r>
          </w:p>
          <w:bookmarkEnd w:id="5"/>
          <w:p w14:paraId="4D3715A0" w14:textId="042BC13B" w:rsidR="001D534C" w:rsidRPr="00A43A86" w:rsidRDefault="001D534C" w:rsidP="001D534C">
            <w:pPr>
              <w:pStyle w:val="Paraststmeklis"/>
              <w:spacing w:before="0" w:beforeAutospacing="0" w:after="0" w:afterAutospacing="0"/>
              <w:jc w:val="both"/>
              <w:rPr>
                <w:rFonts w:ascii="Arial" w:hAnsi="Arial" w:cs="Arial"/>
                <w:color w:val="414142"/>
                <w:sz w:val="20"/>
                <w:szCs w:val="20"/>
              </w:rPr>
            </w:pPr>
            <w:r w:rsidRPr="00A43A86">
              <w:t>Savukārt Eiropas Savienības</w:t>
            </w:r>
            <w:r w:rsidR="008D4A4C" w:rsidRPr="00A43A86">
              <w:t xml:space="preserve"> (turpmāk – ES)</w:t>
            </w:r>
            <w:r w:rsidRPr="00A43A86">
              <w:t xml:space="preserve"> dalībvalstu ieguldītāju prasību pret Latvijas valsti par ieguldījumu aizsardzību izskatīšanā līdztekus Eiropas Savienības tiesību pārzināšanai, jo īpaši nozīmīgas ir speciālas zināšanas starptautiskajās ieguldījumu tiesībās, starptautiskajās tirdzniecības tiesībās vai tādu strīdu izšķiršanā, kas izriet no starptautiskiem ieguldījumiem vai starptautiskiem tirdzniecības nolīgumiem.</w:t>
            </w:r>
            <w:r w:rsidRPr="00A43A86">
              <w:rPr>
                <w:rFonts w:ascii="Arial" w:hAnsi="Arial" w:cs="Arial"/>
                <w:color w:val="414142"/>
                <w:sz w:val="20"/>
                <w:szCs w:val="20"/>
              </w:rPr>
              <w:t xml:space="preserve"> </w:t>
            </w:r>
          </w:p>
          <w:p w14:paraId="77894621" w14:textId="0A48F53E" w:rsidR="009C68A5" w:rsidRPr="00A43A86" w:rsidRDefault="00A63D02" w:rsidP="001D534C">
            <w:pPr>
              <w:pStyle w:val="Paraststmeklis"/>
              <w:spacing w:before="0" w:beforeAutospacing="0" w:after="0" w:afterAutospacing="0"/>
              <w:jc w:val="both"/>
            </w:pPr>
            <w:bookmarkStart w:id="8" w:name="_Hlk26351512"/>
            <w:r w:rsidRPr="00A43A86">
              <w:t xml:space="preserve">Papildus atzīmējams, ka šķīrējtiesas klauzula arī turpmāk kalps par šķīrējtiesas procesa juridisko pamatu trešo valstu ieguldījumu prasībās pret Latvijas valsti par ieguldījumu aizsardzību. Šajos gadījumos strīdu arī turpmāk varēs izskatīt Starptautiskajā </w:t>
            </w:r>
            <w:r w:rsidR="00E757A8" w:rsidRPr="00A43A86">
              <w:t>investīciju</w:t>
            </w:r>
            <w:r w:rsidRPr="00A43A86">
              <w:t xml:space="preserve"> strīdu izskatīšanas centrā (ICSID). </w:t>
            </w:r>
          </w:p>
          <w:bookmarkEnd w:id="8"/>
          <w:p w14:paraId="77F3D402" w14:textId="59E8D0A4" w:rsidR="00263E02" w:rsidRPr="00A43A86" w:rsidRDefault="00263E02" w:rsidP="00263E02">
            <w:pPr>
              <w:pStyle w:val="Paraststmeklis"/>
              <w:spacing w:before="0" w:beforeAutospacing="0" w:after="0" w:afterAutospacing="0"/>
              <w:jc w:val="both"/>
            </w:pPr>
            <w:r w:rsidRPr="00A43A86">
              <w:t>Vienlaikus atzīmēja</w:t>
            </w:r>
            <w:r w:rsidR="00C200AA" w:rsidRPr="00A43A86">
              <w:t>m</w:t>
            </w:r>
            <w:r w:rsidRPr="00A43A86">
              <w:t xml:space="preserve">s, ka arī tādu prasību, kas saistītas ar pārapdrošināšanas līgumiem, prasību, kas saistītas ar ieguldījuma pakalpojuma un ieguldījuma blakuspakalpojuma sniegšanu, prasību, kas izriet no finanšu nodrošinājuma līgumiem, izskatīšana ir saistīta ar specifiskām zināšanām, piemēram, finanšu instrumentu tirgus, kapitāla tirgus, investīciju aizsardzības jomā. </w:t>
            </w:r>
          </w:p>
          <w:p w14:paraId="53991804" w14:textId="6275016B" w:rsidR="004729C3" w:rsidRPr="00A43A86" w:rsidRDefault="004729C3" w:rsidP="00263E02">
            <w:pPr>
              <w:pStyle w:val="Paraststmeklis"/>
              <w:spacing w:before="0" w:beforeAutospacing="0" w:after="0" w:afterAutospacing="0"/>
              <w:jc w:val="both"/>
            </w:pPr>
            <w:r w:rsidRPr="00A43A86">
              <w:t>Arī autortiesību lietas ir sarežģītas un to izlemšanā nepieciešamas specifiskas zināšanas par autortiesībām. Atšķirībā no rūpnieciskā īpašuma, kuram ir noteikta reģistrācija, autortiesību un blakustiesību piederības apliecināšanai nav nepieciešama reģistrācija, speciāla noformēšana vai kādu citu formalitāšu ievērošana. Tas, vai konkrētais darbs ir atzīstams par autortiesību objektu (vai tajā ieguldīta jaunrade), katrā gadījumā izvērtējams atsevišķi. Tāpat nepieciešama izpratne par autortiesību un blakustiesību subjektu personisko un mantisko tiesību apjomu. Tā</w:t>
            </w:r>
            <w:r w:rsidR="00052E62">
              <w:t xml:space="preserve"> </w:t>
            </w:r>
            <w:r w:rsidRPr="00A43A86">
              <w:t>piemēram, Latvijā vairākus gadus turpinās tiesvedība jautājumā par to, kas uzskatāma par retranslāciju pa kabeļiem. Eiropas Savienības Tiesā bieži tiek izskatīti jautājumi par to, kādas darbības uzskatāmas par publiskošanu (kas ir jauna auditorija, vai hipersaišu ievietošana ir publiskošana, vai platformas, kurās lietotāji augšupielādē saturu, veic publiskošanu u.tml.).</w:t>
            </w:r>
          </w:p>
          <w:p w14:paraId="7CE0495E" w14:textId="75B385B1" w:rsidR="004729C3" w:rsidRPr="00A43A86" w:rsidRDefault="004729C3" w:rsidP="00A95D00">
            <w:pPr>
              <w:pStyle w:val="Paraststmeklis"/>
              <w:spacing w:before="0" w:beforeAutospacing="0" w:after="0" w:afterAutospacing="0"/>
              <w:jc w:val="both"/>
            </w:pPr>
            <w:r w:rsidRPr="00A43A86">
              <w:t>Vienlaikus atzīmējams, ka Ekonomisko lietu tiesai nodod visus strīdus, kas saistīti ar dalībnieku (akcionāru) tiesiskajām attiecībām, tostarp, ja minētie strīdi izriet no dalībnieku (akcionāru) lēmumiem. Minētā iemesla dēļ, plānots pārskatīt Zemgales rajona tiesas kompetenci, to atslogojot no t.s. reiderisma lietu izskatīšanas. Vienlaikus norādāms, ka ņemot vērā, ka Civilprocesa likuma 30.</w:t>
            </w:r>
            <w:r w:rsidRPr="00A43A86">
              <w:rPr>
                <w:vertAlign w:val="superscript"/>
              </w:rPr>
              <w:t>4</w:t>
            </w:r>
            <w:r w:rsidRPr="00A43A86">
              <w:t xml:space="preserve"> nodaļ</w:t>
            </w:r>
            <w:r w:rsidR="00A95D00" w:rsidRPr="00A43A86">
              <w:t>ā</w:t>
            </w:r>
            <w:r w:rsidRPr="00A43A86">
              <w:t xml:space="preserve"> uzskaitītie kapitālsabiedrības dalībnieku (akcionāru) sapulču lēmumu veidi</w:t>
            </w:r>
            <w:r w:rsidR="00A95D00" w:rsidRPr="00A43A86">
              <w:t xml:space="preserve"> </w:t>
            </w:r>
            <w:r w:rsidRPr="00A43A86">
              <w:t>kapitālsabiedrību ietekmē visbūtiskāk</w:t>
            </w:r>
            <w:r w:rsidR="00A95D00" w:rsidRPr="00A43A86">
              <w:t xml:space="preserve">, </w:t>
            </w:r>
            <w:r w:rsidRPr="00A43A86">
              <w:t>saglabāta</w:t>
            </w:r>
            <w:r w:rsidR="00A95D00" w:rsidRPr="00A43A86">
              <w:t xml:space="preserve"> šo lēmumu izskatīšanas kārtība. </w:t>
            </w:r>
          </w:p>
          <w:bookmarkEnd w:id="4"/>
          <w:p w14:paraId="6214DCA0" w14:textId="305D6837" w:rsidR="00044A46" w:rsidRPr="00A43A86" w:rsidRDefault="00CF670A"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lastRenderedPageBreak/>
              <w:t xml:space="preserve">Ievērojot </w:t>
            </w:r>
            <w:r w:rsidR="00044A46" w:rsidRPr="00A43A86">
              <w:rPr>
                <w:rFonts w:ascii="Times New Roman" w:hAnsi="Times New Roman" w:cs="Times New Roman"/>
                <w:sz w:val="24"/>
                <w:szCs w:val="24"/>
              </w:rPr>
              <w:t xml:space="preserve">iepriekš minētos </w:t>
            </w:r>
            <w:r w:rsidR="00263E02" w:rsidRPr="00A43A86">
              <w:rPr>
                <w:rFonts w:ascii="Times New Roman" w:hAnsi="Times New Roman" w:cs="Times New Roman"/>
                <w:sz w:val="24"/>
                <w:szCs w:val="24"/>
              </w:rPr>
              <w:t>apsvērumus</w:t>
            </w:r>
            <w:r w:rsidR="00044A46" w:rsidRPr="00A43A86">
              <w:rPr>
                <w:rFonts w:ascii="Times New Roman" w:hAnsi="Times New Roman" w:cs="Times New Roman"/>
                <w:sz w:val="24"/>
                <w:szCs w:val="24"/>
              </w:rPr>
              <w:t>, likumprojekts paredz, ka Ekonomisko lietu tiesa izskata:</w:t>
            </w:r>
          </w:p>
          <w:p w14:paraId="0AB60B92" w14:textId="2238A362" w:rsidR="00044A46" w:rsidRPr="00A43A86" w:rsidRDefault="00044A46"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1) </w:t>
            </w:r>
            <w:bookmarkStart w:id="9" w:name="_Hlk25318061"/>
            <w:r w:rsidRPr="00A43A86">
              <w:rPr>
                <w:rFonts w:ascii="Times New Roman" w:hAnsi="Times New Roman" w:cs="Times New Roman"/>
                <w:sz w:val="24"/>
                <w:szCs w:val="24"/>
              </w:rPr>
              <w:t>prasības, kas izriet no pārapdrošināšanas līgumiem;</w:t>
            </w:r>
          </w:p>
          <w:p w14:paraId="7927F75B" w14:textId="71E0AFF4" w:rsidR="00044A46" w:rsidRPr="00A43A86" w:rsidRDefault="00044A46"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2) prasības, kas izriet no </w:t>
            </w:r>
            <w:r w:rsidR="008D4A4C" w:rsidRPr="00A43A86">
              <w:rPr>
                <w:rFonts w:ascii="Times New Roman" w:hAnsi="Times New Roman" w:cs="Times New Roman"/>
                <w:sz w:val="24"/>
                <w:szCs w:val="24"/>
              </w:rPr>
              <w:t xml:space="preserve">līgumslēdzējpušu savstarpējām tiesiskām attiecībām </w:t>
            </w:r>
            <w:r w:rsidRPr="00A43A86">
              <w:rPr>
                <w:rFonts w:ascii="Times New Roman" w:hAnsi="Times New Roman" w:cs="Times New Roman"/>
                <w:sz w:val="24"/>
                <w:szCs w:val="24"/>
              </w:rPr>
              <w:t>par ieguldījumu pakalpojumu vai ieguldījumu blakuspakalpojumu sniegšanu;</w:t>
            </w:r>
          </w:p>
          <w:p w14:paraId="15C4AED2" w14:textId="77777777" w:rsidR="00044A46" w:rsidRPr="00A43A86" w:rsidRDefault="00044A46"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3) ES dalībvalstu ieguldītāju prasības pret Latvijas valsti par ieguldījumu aizsardzību;</w:t>
            </w:r>
          </w:p>
          <w:p w14:paraId="4638F17F" w14:textId="77777777" w:rsidR="00044A46" w:rsidRPr="00A43A86" w:rsidRDefault="00044A46"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4) prasības, kas izriet no koncernu tiesiskajām attiecībām; </w:t>
            </w:r>
          </w:p>
          <w:p w14:paraId="1A22FF91" w14:textId="139ECFB1" w:rsidR="00044A46" w:rsidRPr="00A43A86" w:rsidRDefault="00044A46"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5) prasības, kas izriet no dalībnieku </w:t>
            </w:r>
            <w:r w:rsidR="008D4A4C" w:rsidRPr="00A43A86">
              <w:rPr>
                <w:rFonts w:ascii="Times New Roman" w:hAnsi="Times New Roman" w:cs="Times New Roman"/>
                <w:sz w:val="24"/>
                <w:szCs w:val="24"/>
              </w:rPr>
              <w:t xml:space="preserve">savstarpējām </w:t>
            </w:r>
            <w:r w:rsidRPr="00A43A86">
              <w:rPr>
                <w:rFonts w:ascii="Times New Roman" w:hAnsi="Times New Roman" w:cs="Times New Roman"/>
                <w:sz w:val="24"/>
                <w:szCs w:val="24"/>
              </w:rPr>
              <w:t>tiesiskajām attiecībām;</w:t>
            </w:r>
          </w:p>
          <w:p w14:paraId="78E03389" w14:textId="4438578E" w:rsidR="00044A46" w:rsidRPr="00A43A86" w:rsidRDefault="00044A46"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6) prasības, kas izriet no akcionāru </w:t>
            </w:r>
            <w:r w:rsidR="008D4A4C" w:rsidRPr="00A43A86">
              <w:rPr>
                <w:rFonts w:ascii="Times New Roman" w:hAnsi="Times New Roman" w:cs="Times New Roman"/>
                <w:sz w:val="24"/>
                <w:szCs w:val="24"/>
              </w:rPr>
              <w:t>savstarpējām</w:t>
            </w:r>
            <w:r w:rsidRPr="00A43A86">
              <w:rPr>
                <w:rFonts w:ascii="Times New Roman" w:hAnsi="Times New Roman" w:cs="Times New Roman"/>
                <w:sz w:val="24"/>
                <w:szCs w:val="24"/>
              </w:rPr>
              <w:t xml:space="preserve"> tiesiskajām attiecībām;</w:t>
            </w:r>
          </w:p>
          <w:p w14:paraId="2F879020" w14:textId="77777777" w:rsidR="00044A46" w:rsidRPr="00A43A86" w:rsidRDefault="00044A46"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7) prasības, kas izriet no finanšu nodrošinājuma līgumiem;</w:t>
            </w:r>
          </w:p>
          <w:p w14:paraId="6AD8C613" w14:textId="7F16DE8D" w:rsidR="00044A46" w:rsidRPr="00A43A86" w:rsidRDefault="00044A46"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8)</w:t>
            </w:r>
            <w:bookmarkEnd w:id="9"/>
            <w:r w:rsidRPr="00A43A86">
              <w:rPr>
                <w:rFonts w:ascii="Times New Roman" w:hAnsi="Times New Roman" w:cs="Times New Roman"/>
                <w:sz w:val="24"/>
                <w:szCs w:val="24"/>
              </w:rPr>
              <w:t xml:space="preserve"> prasības, kas izriet no kapitālsabiedrību darījumiem ar </w:t>
            </w:r>
            <w:r w:rsidR="00F14B5E" w:rsidRPr="00A43A86">
              <w:rPr>
                <w:rFonts w:ascii="Times New Roman" w:hAnsi="Times New Roman" w:cs="Times New Roman"/>
                <w:sz w:val="24"/>
                <w:szCs w:val="24"/>
              </w:rPr>
              <w:t xml:space="preserve">sabiedrību </w:t>
            </w:r>
            <w:r w:rsidRPr="00A43A86">
              <w:rPr>
                <w:rFonts w:ascii="Times New Roman" w:hAnsi="Times New Roman" w:cs="Times New Roman"/>
                <w:sz w:val="24"/>
                <w:szCs w:val="24"/>
              </w:rPr>
              <w:t>saistītām personām</w:t>
            </w:r>
            <w:r w:rsidR="008D4A4C" w:rsidRPr="00A43A86">
              <w:rPr>
                <w:rFonts w:ascii="Times New Roman" w:hAnsi="Times New Roman" w:cs="Times New Roman"/>
                <w:sz w:val="24"/>
                <w:szCs w:val="24"/>
              </w:rPr>
              <w:t xml:space="preserve"> Komerclikuma </w:t>
            </w:r>
            <w:r w:rsidR="00F14B5E" w:rsidRPr="00A43A86">
              <w:rPr>
                <w:rFonts w:ascii="Times New Roman" w:hAnsi="Times New Roman" w:cs="Times New Roman"/>
                <w:sz w:val="24"/>
                <w:szCs w:val="24"/>
              </w:rPr>
              <w:t xml:space="preserve">un Finanšu instrumentu tirgus likuma </w:t>
            </w:r>
            <w:r w:rsidR="008D4A4C" w:rsidRPr="00A43A86">
              <w:rPr>
                <w:rFonts w:ascii="Times New Roman" w:hAnsi="Times New Roman" w:cs="Times New Roman"/>
                <w:sz w:val="24"/>
                <w:szCs w:val="24"/>
              </w:rPr>
              <w:t>izpratnē</w:t>
            </w:r>
            <w:r w:rsidRPr="00A43A86">
              <w:rPr>
                <w:rFonts w:ascii="Times New Roman" w:hAnsi="Times New Roman" w:cs="Times New Roman"/>
                <w:sz w:val="24"/>
                <w:szCs w:val="24"/>
              </w:rPr>
              <w:t>;</w:t>
            </w:r>
          </w:p>
          <w:p w14:paraId="6F279706" w14:textId="53381E72" w:rsidR="00044A46" w:rsidRPr="00A43A86" w:rsidRDefault="00052E62" w:rsidP="00044A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44A46" w:rsidRPr="00A43A86">
              <w:rPr>
                <w:rFonts w:ascii="Times New Roman" w:hAnsi="Times New Roman" w:cs="Times New Roman"/>
                <w:sz w:val="24"/>
                <w:szCs w:val="24"/>
              </w:rPr>
              <w:t>) prasības, kas izriet no uzņēmumu pārejas un sabiedrības reorganizācijas</w:t>
            </w:r>
            <w:r w:rsidR="00EF5DFC" w:rsidRPr="00A43A86">
              <w:rPr>
                <w:rFonts w:ascii="Times New Roman" w:hAnsi="Times New Roman" w:cs="Times New Roman"/>
                <w:sz w:val="24"/>
                <w:szCs w:val="24"/>
              </w:rPr>
              <w:t>, izņemot darbinieku prasības</w:t>
            </w:r>
            <w:r w:rsidR="00044A46" w:rsidRPr="00A43A86">
              <w:rPr>
                <w:rFonts w:ascii="Times New Roman" w:hAnsi="Times New Roman" w:cs="Times New Roman"/>
                <w:sz w:val="24"/>
                <w:szCs w:val="24"/>
              </w:rPr>
              <w:t>;</w:t>
            </w:r>
          </w:p>
          <w:p w14:paraId="3941BE6F" w14:textId="0F9CF9A8" w:rsidR="00EF5DFC" w:rsidRPr="00A43A86" w:rsidRDefault="00044A46" w:rsidP="00044A46">
            <w:pPr>
              <w:spacing w:after="0" w:line="240" w:lineRule="auto"/>
              <w:jc w:val="both"/>
              <w:rPr>
                <w:rFonts w:ascii="Times New Roman" w:hAnsi="Times New Roman" w:cs="Times New Roman"/>
                <w:sz w:val="24"/>
                <w:szCs w:val="24"/>
              </w:rPr>
            </w:pPr>
            <w:bookmarkStart w:id="10" w:name="_Hlk25318980"/>
            <w:r w:rsidRPr="00A43A86">
              <w:rPr>
                <w:rFonts w:ascii="Times New Roman" w:hAnsi="Times New Roman" w:cs="Times New Roman"/>
                <w:sz w:val="24"/>
                <w:szCs w:val="24"/>
              </w:rPr>
              <w:t>1</w:t>
            </w:r>
            <w:r w:rsidR="00052E62">
              <w:rPr>
                <w:rFonts w:ascii="Times New Roman" w:hAnsi="Times New Roman" w:cs="Times New Roman"/>
                <w:sz w:val="24"/>
                <w:szCs w:val="24"/>
              </w:rPr>
              <w:t>0</w:t>
            </w:r>
            <w:r w:rsidRPr="00A43A86">
              <w:rPr>
                <w:rFonts w:ascii="Times New Roman" w:hAnsi="Times New Roman" w:cs="Times New Roman"/>
                <w:sz w:val="24"/>
                <w:szCs w:val="24"/>
              </w:rPr>
              <w:t xml:space="preserve">) </w:t>
            </w:r>
            <w:r w:rsidR="00EF5DFC" w:rsidRPr="00A43A86">
              <w:rPr>
                <w:rFonts w:ascii="Times New Roman" w:hAnsi="Times New Roman" w:cs="Times New Roman"/>
                <w:sz w:val="24"/>
                <w:szCs w:val="24"/>
              </w:rPr>
              <w:t>prasības par būvniecības procesa dalībnieku atbildību;</w:t>
            </w:r>
          </w:p>
          <w:p w14:paraId="61AEB45F" w14:textId="054E015C" w:rsidR="00EF5DFC" w:rsidRPr="00A43A86" w:rsidRDefault="00EF5DFC"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1</w:t>
            </w:r>
            <w:r w:rsidR="00052E62">
              <w:rPr>
                <w:rFonts w:ascii="Times New Roman" w:hAnsi="Times New Roman" w:cs="Times New Roman"/>
                <w:sz w:val="24"/>
                <w:szCs w:val="24"/>
              </w:rPr>
              <w:t>1</w:t>
            </w:r>
            <w:r w:rsidRPr="00A43A86">
              <w:rPr>
                <w:rFonts w:ascii="Times New Roman" w:hAnsi="Times New Roman" w:cs="Times New Roman"/>
                <w:sz w:val="24"/>
                <w:szCs w:val="24"/>
              </w:rPr>
              <w:t>) prasības par konkurences tiesību pārkāpumiem;</w:t>
            </w:r>
          </w:p>
          <w:p w14:paraId="44ED43E3" w14:textId="5FB6DACE" w:rsidR="00EF5DFC" w:rsidRPr="00A43A86" w:rsidRDefault="00EF5DFC"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1</w:t>
            </w:r>
            <w:r w:rsidR="00052E62">
              <w:rPr>
                <w:rFonts w:ascii="Times New Roman" w:hAnsi="Times New Roman" w:cs="Times New Roman"/>
                <w:sz w:val="24"/>
                <w:szCs w:val="24"/>
              </w:rPr>
              <w:t>2</w:t>
            </w:r>
            <w:r w:rsidRPr="00A43A86">
              <w:rPr>
                <w:rFonts w:ascii="Times New Roman" w:hAnsi="Times New Roman" w:cs="Times New Roman"/>
                <w:sz w:val="24"/>
                <w:szCs w:val="24"/>
              </w:rPr>
              <w:t>) prasības par kapitālsabiedrības dalībnieku (akcionāru) lēmumiem;</w:t>
            </w:r>
          </w:p>
          <w:p w14:paraId="56BE3521" w14:textId="470BF048" w:rsidR="0009503B" w:rsidRPr="00A43A86" w:rsidRDefault="00EF5DFC"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1</w:t>
            </w:r>
            <w:r w:rsidR="00052E62">
              <w:rPr>
                <w:rFonts w:ascii="Times New Roman" w:hAnsi="Times New Roman" w:cs="Times New Roman"/>
                <w:sz w:val="24"/>
                <w:szCs w:val="24"/>
              </w:rPr>
              <w:t>3</w:t>
            </w:r>
            <w:r w:rsidRPr="00A43A86">
              <w:rPr>
                <w:rFonts w:ascii="Times New Roman" w:hAnsi="Times New Roman" w:cs="Times New Roman"/>
                <w:sz w:val="24"/>
                <w:szCs w:val="24"/>
              </w:rPr>
              <w:t xml:space="preserve">) prasības pret </w:t>
            </w:r>
            <w:r w:rsidR="0009503B" w:rsidRPr="00A43A86">
              <w:rPr>
                <w:rFonts w:ascii="Times New Roman" w:hAnsi="Times New Roman" w:cs="Times New Roman"/>
                <w:sz w:val="24"/>
                <w:szCs w:val="24"/>
              </w:rPr>
              <w:t>valdes un padomes locekļu, prokūristu, dibinātāju personisko atbildību;</w:t>
            </w:r>
          </w:p>
          <w:p w14:paraId="1F310AF5" w14:textId="1D14D49D" w:rsidR="008D4A4C" w:rsidRPr="00A43A86" w:rsidRDefault="0009503B"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1</w:t>
            </w:r>
            <w:r w:rsidR="00052E62">
              <w:rPr>
                <w:rFonts w:ascii="Times New Roman" w:hAnsi="Times New Roman" w:cs="Times New Roman"/>
                <w:sz w:val="24"/>
                <w:szCs w:val="24"/>
              </w:rPr>
              <w:t>4</w:t>
            </w:r>
            <w:r w:rsidRPr="00A43A86">
              <w:rPr>
                <w:rFonts w:ascii="Times New Roman" w:hAnsi="Times New Roman" w:cs="Times New Roman"/>
                <w:sz w:val="24"/>
                <w:szCs w:val="24"/>
              </w:rPr>
              <w:t>) sabiedrības prasības</w:t>
            </w:r>
            <w:r w:rsidR="00AD7D81" w:rsidRPr="00A43A86">
              <w:rPr>
                <w:rFonts w:ascii="Times New Roman" w:hAnsi="Times New Roman" w:cs="Times New Roman"/>
                <w:sz w:val="24"/>
                <w:szCs w:val="24"/>
              </w:rPr>
              <w:t xml:space="preserve"> pret dibinātājiem, valdes vai padomes locekļiem vai revidentu</w:t>
            </w:r>
            <w:r w:rsidRPr="00A43A86">
              <w:rPr>
                <w:rFonts w:ascii="Times New Roman" w:hAnsi="Times New Roman" w:cs="Times New Roman"/>
                <w:sz w:val="24"/>
                <w:szCs w:val="24"/>
              </w:rPr>
              <w:t>;</w:t>
            </w:r>
          </w:p>
          <w:p w14:paraId="1D699DF2" w14:textId="3C05BF45" w:rsidR="008D4A4C" w:rsidRPr="00A43A86" w:rsidRDefault="008D4A4C"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1</w:t>
            </w:r>
            <w:r w:rsidR="00052E62">
              <w:rPr>
                <w:rFonts w:ascii="Times New Roman" w:hAnsi="Times New Roman" w:cs="Times New Roman"/>
                <w:sz w:val="24"/>
                <w:szCs w:val="24"/>
              </w:rPr>
              <w:t>5</w:t>
            </w:r>
            <w:r w:rsidRPr="00A43A86">
              <w:rPr>
                <w:rFonts w:ascii="Times New Roman" w:hAnsi="Times New Roman" w:cs="Times New Roman"/>
                <w:sz w:val="24"/>
                <w:szCs w:val="24"/>
              </w:rPr>
              <w:t>) prasības par intelektuālā īpašuma aizsardzību;</w:t>
            </w:r>
          </w:p>
          <w:p w14:paraId="633790C3" w14:textId="607B907A" w:rsidR="0009503B" w:rsidRPr="00A43A86" w:rsidRDefault="00D4320F"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1</w:t>
            </w:r>
            <w:r w:rsidR="00052E62">
              <w:rPr>
                <w:rFonts w:ascii="Times New Roman" w:hAnsi="Times New Roman" w:cs="Times New Roman"/>
                <w:sz w:val="24"/>
                <w:szCs w:val="24"/>
              </w:rPr>
              <w:t>6</w:t>
            </w:r>
            <w:r w:rsidRPr="00A43A86">
              <w:rPr>
                <w:rFonts w:ascii="Times New Roman" w:hAnsi="Times New Roman" w:cs="Times New Roman"/>
                <w:sz w:val="24"/>
                <w:szCs w:val="24"/>
              </w:rPr>
              <w:t>) lietas par komercnoslēpuma aizsardzību pret nelikumīgu iegūšanu, izmantošanu un izpaušanu;</w:t>
            </w:r>
          </w:p>
          <w:p w14:paraId="2266F023" w14:textId="7EBF80B1" w:rsidR="00EF5DFC" w:rsidRPr="00A43A86" w:rsidRDefault="00AD7D81"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1</w:t>
            </w:r>
            <w:r w:rsidR="00052E62">
              <w:rPr>
                <w:rFonts w:ascii="Times New Roman" w:hAnsi="Times New Roman" w:cs="Times New Roman"/>
                <w:sz w:val="24"/>
                <w:szCs w:val="24"/>
              </w:rPr>
              <w:t>7</w:t>
            </w:r>
            <w:r w:rsidRPr="00A43A86">
              <w:rPr>
                <w:rFonts w:ascii="Times New Roman" w:hAnsi="Times New Roman" w:cs="Times New Roman"/>
                <w:sz w:val="24"/>
                <w:szCs w:val="24"/>
              </w:rPr>
              <w:t xml:space="preserve">) </w:t>
            </w:r>
            <w:r w:rsidR="00044A46" w:rsidRPr="00A43A86">
              <w:rPr>
                <w:rFonts w:ascii="Times New Roman" w:hAnsi="Times New Roman" w:cs="Times New Roman"/>
                <w:sz w:val="24"/>
                <w:szCs w:val="24"/>
              </w:rPr>
              <w:t>pieteikumus par kredītiestāžu likvidāciju un maksātnespēju</w:t>
            </w:r>
            <w:r w:rsidRPr="00A43A86">
              <w:rPr>
                <w:rFonts w:ascii="Times New Roman" w:hAnsi="Times New Roman" w:cs="Times New Roman"/>
                <w:sz w:val="24"/>
                <w:szCs w:val="24"/>
              </w:rPr>
              <w:t>, kā arī</w:t>
            </w:r>
          </w:p>
          <w:p w14:paraId="72AFF70C" w14:textId="3CCB0E25" w:rsidR="00044A46" w:rsidRPr="00A43A86" w:rsidRDefault="00D4320F" w:rsidP="00044A46">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1</w:t>
            </w:r>
            <w:r w:rsidR="00052E62">
              <w:rPr>
                <w:rFonts w:ascii="Times New Roman" w:hAnsi="Times New Roman" w:cs="Times New Roman"/>
                <w:sz w:val="24"/>
                <w:szCs w:val="24"/>
              </w:rPr>
              <w:t>8</w:t>
            </w:r>
            <w:r w:rsidR="00AD7D81" w:rsidRPr="00A43A86">
              <w:rPr>
                <w:rFonts w:ascii="Times New Roman" w:hAnsi="Times New Roman" w:cs="Times New Roman"/>
                <w:sz w:val="24"/>
                <w:szCs w:val="24"/>
              </w:rPr>
              <w:t xml:space="preserve">) </w:t>
            </w:r>
            <w:bookmarkStart w:id="11" w:name="_Hlk25319522"/>
            <w:bookmarkEnd w:id="10"/>
            <w:r w:rsidR="001A25F7" w:rsidRPr="00A43A86">
              <w:rPr>
                <w:rFonts w:ascii="Times New Roman" w:hAnsi="Times New Roman" w:cs="Times New Roman"/>
                <w:sz w:val="24"/>
                <w:szCs w:val="24"/>
              </w:rPr>
              <w:t xml:space="preserve">prasības </w:t>
            </w:r>
            <w:r w:rsidR="00044A46" w:rsidRPr="00A43A86">
              <w:rPr>
                <w:rFonts w:ascii="Times New Roman" w:hAnsi="Times New Roman" w:cs="Times New Roman"/>
                <w:sz w:val="24"/>
                <w:szCs w:val="24"/>
              </w:rPr>
              <w:t>par zaudējumu atlīdzināšanu, pieteikumus par prasības nodrošināšanu, pieteikumus par prasības nodrošināšanu pirms prasības celšanas, pieteikumus par pierādījuma nodrošināšanu un pieteikumus par pierādījuma nodrošināšanu pirms prasības celšanas par tādu prasību, kura ir piekritīga Ekonomisko lietu tiesai.</w:t>
            </w:r>
          </w:p>
          <w:bookmarkEnd w:id="11"/>
          <w:p w14:paraId="49B200C6" w14:textId="54EA7390" w:rsidR="00F1458C" w:rsidRPr="00A43A86" w:rsidRDefault="00044A46" w:rsidP="006E25FD">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Savukārt, ja izskatāmā lieta ietver prasījumu, kas ir savstarpēji saistīts ar prasījumu lietā, kas piekritīga Ekonomisko lietu tiesai, lietu izskata Ekonomisko lietu tiesa. </w:t>
            </w:r>
            <w:r w:rsidR="00F1458C" w:rsidRPr="00A43A86">
              <w:rPr>
                <w:rFonts w:ascii="Times New Roman" w:hAnsi="Times New Roman" w:cs="Times New Roman"/>
                <w:sz w:val="24"/>
                <w:szCs w:val="24"/>
              </w:rPr>
              <w:t>Vienlaikus atbilstoši Civilprocesa likuma 31.</w:t>
            </w:r>
            <w:r w:rsidR="00052E62">
              <w:rPr>
                <w:rFonts w:ascii="Times New Roman" w:hAnsi="Times New Roman" w:cs="Times New Roman"/>
                <w:sz w:val="24"/>
                <w:szCs w:val="24"/>
              </w:rPr>
              <w:t xml:space="preserve"> </w:t>
            </w:r>
            <w:r w:rsidR="00F1458C" w:rsidRPr="00A43A86">
              <w:rPr>
                <w:rFonts w:ascii="Times New Roman" w:hAnsi="Times New Roman" w:cs="Times New Roman"/>
                <w:sz w:val="24"/>
                <w:szCs w:val="24"/>
              </w:rPr>
              <w:t xml:space="preserve">pantam noteikts vispārīgs princips, ka pretprasība neatkarīgi no tās piekritības ceļama tiesā pēc sākotnējās prasības izskatīšanas vietas. Ievērojot minēto, lai nodrošinātu izvirzītā mērķa sasniegšanu. pretprasības iesniegšanas gadījumā, ja tā skar Ekonomisko lietu tiesas kompetencē esošu piekritības jautājumu, lieta būs izskatāmā Ekonomisko lietu tiesas kompetencē. Jāatzīmē, ka analoģisks regulējums bija arī laikā, kad noteiktu lietu kategorijas apgabaltiesa izskatīja kā pirmās instances tiesa. </w:t>
            </w:r>
          </w:p>
          <w:p w14:paraId="42F9325A" w14:textId="4F426196" w:rsidR="006E25FD" w:rsidRPr="00A43A86" w:rsidRDefault="0047382B" w:rsidP="006E25FD">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lastRenderedPageBreak/>
              <w:t>A</w:t>
            </w:r>
            <w:r w:rsidR="00044A46" w:rsidRPr="00A43A86">
              <w:rPr>
                <w:rFonts w:ascii="Times New Roman" w:hAnsi="Times New Roman" w:cs="Times New Roman"/>
                <w:sz w:val="24"/>
                <w:szCs w:val="24"/>
              </w:rPr>
              <w:t xml:space="preserve">pelācijas kārtībā pārsūdzētu Ekonomisko lietu tiesas nolēmumu izskata Rīgas apgabaltiesā izveidota specializēta kolēģija. </w:t>
            </w:r>
          </w:p>
          <w:p w14:paraId="1F6352C2" w14:textId="52A36A38" w:rsidR="00263E02" w:rsidRPr="00A43A86" w:rsidRDefault="00263E02" w:rsidP="00263E02">
            <w:pPr>
              <w:tabs>
                <w:tab w:val="left" w:pos="993"/>
              </w:tabs>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Attiecībā uz Ekonomisko lietu tiesas kompetenci norādāms, ka tā nošķirama pēc </w:t>
            </w:r>
            <w:r w:rsidR="0047382B" w:rsidRPr="00A43A86">
              <w:rPr>
                <w:rFonts w:ascii="Times New Roman" w:hAnsi="Times New Roman" w:cs="Times New Roman"/>
                <w:sz w:val="24"/>
                <w:szCs w:val="24"/>
              </w:rPr>
              <w:t>prasības priekšmeta (</w:t>
            </w:r>
            <w:r w:rsidRPr="00A43A86">
              <w:rPr>
                <w:rFonts w:ascii="Times New Roman" w:hAnsi="Times New Roman" w:cs="Times New Roman"/>
                <w:sz w:val="24"/>
                <w:szCs w:val="24"/>
              </w:rPr>
              <w:t>strīda būtības</w:t>
            </w:r>
            <w:r w:rsidR="0047382B" w:rsidRPr="00A43A86">
              <w:rPr>
                <w:rFonts w:ascii="Times New Roman" w:hAnsi="Times New Roman" w:cs="Times New Roman"/>
                <w:sz w:val="24"/>
                <w:szCs w:val="24"/>
              </w:rPr>
              <w:t>)</w:t>
            </w:r>
            <w:r w:rsidR="00DC327C" w:rsidRPr="00A43A86">
              <w:rPr>
                <w:rFonts w:ascii="Times New Roman" w:hAnsi="Times New Roman" w:cs="Times New Roman"/>
                <w:sz w:val="24"/>
                <w:szCs w:val="24"/>
              </w:rPr>
              <w:t>.</w:t>
            </w:r>
            <w:r w:rsidRPr="00A43A86">
              <w:rPr>
                <w:rFonts w:ascii="Times New Roman" w:hAnsi="Times New Roman" w:cs="Times New Roman"/>
                <w:sz w:val="24"/>
                <w:szCs w:val="24"/>
              </w:rPr>
              <w:t xml:space="preserve">  Piemēram, starp akcionāriem pastāvošā strīda izskatīšana, piemēram, par kapitāldaļu piederību izskatīs Ekonomisko lietu tiesa, neatkarīgi  no tā, vai strīds būs radies komerctiesību, ģimenes tiesību, piemēram, laulības šķiršanās ietvaros, vai mantojuma tiesību ietvaros. </w:t>
            </w:r>
          </w:p>
          <w:p w14:paraId="406A9C9E" w14:textId="622ED6F6" w:rsidR="00263E02" w:rsidRPr="00A43A86" w:rsidRDefault="00263E02" w:rsidP="00263E02">
            <w:pPr>
              <w:tabs>
                <w:tab w:val="left" w:pos="993"/>
              </w:tabs>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Atbilstoši Tiesu informatīvās sistēma</w:t>
            </w:r>
            <w:r w:rsidR="00DC327C" w:rsidRPr="00A43A86">
              <w:rPr>
                <w:rFonts w:ascii="Times New Roman" w:hAnsi="Times New Roman" w:cs="Times New Roman"/>
                <w:sz w:val="24"/>
                <w:szCs w:val="24"/>
              </w:rPr>
              <w:t>s</w:t>
            </w:r>
            <w:r w:rsidRPr="00A43A86">
              <w:rPr>
                <w:rFonts w:ascii="Times New Roman" w:hAnsi="Times New Roman" w:cs="Times New Roman"/>
                <w:sz w:val="24"/>
                <w:szCs w:val="24"/>
              </w:rPr>
              <w:t xml:space="preserve"> funkcionalitātes iespējām, lai </w:t>
            </w:r>
            <w:r w:rsidR="00DC327C" w:rsidRPr="00A43A86">
              <w:rPr>
                <w:rFonts w:ascii="Times New Roman" w:hAnsi="Times New Roman" w:cs="Times New Roman"/>
                <w:sz w:val="24"/>
                <w:szCs w:val="24"/>
              </w:rPr>
              <w:t xml:space="preserve">prognozētu </w:t>
            </w:r>
            <w:r w:rsidRPr="00A43A86">
              <w:rPr>
                <w:rFonts w:ascii="Times New Roman" w:hAnsi="Times New Roman" w:cs="Times New Roman"/>
                <w:sz w:val="24"/>
                <w:szCs w:val="24"/>
              </w:rPr>
              <w:t>Ekonomisko lietu tiesas kapacitāti, analizēti 2018. gada spriedumi</w:t>
            </w:r>
            <w:r w:rsidR="00DC327C" w:rsidRPr="00A43A86">
              <w:rPr>
                <w:rFonts w:ascii="Times New Roman" w:hAnsi="Times New Roman" w:cs="Times New Roman"/>
                <w:sz w:val="24"/>
                <w:szCs w:val="24"/>
              </w:rPr>
              <w:t>, kas iegūti, veicot atlasi</w:t>
            </w:r>
            <w:r w:rsidRPr="00A43A86">
              <w:rPr>
                <w:rFonts w:ascii="Times New Roman" w:hAnsi="Times New Roman" w:cs="Times New Roman"/>
                <w:sz w:val="24"/>
                <w:szCs w:val="24"/>
              </w:rPr>
              <w:t xml:space="preserve"> pēc noteiktiem atslēgas vārdiem un iepriekš definētiem atlases ierobežojumiem.</w:t>
            </w:r>
            <w:r w:rsidRPr="00A43A86">
              <w:t xml:space="preserve"> </w:t>
            </w:r>
            <w:r w:rsidRPr="00A43A86">
              <w:rPr>
                <w:rFonts w:ascii="Times New Roman" w:hAnsi="Times New Roman" w:cs="Times New Roman"/>
                <w:sz w:val="24"/>
                <w:szCs w:val="24"/>
              </w:rPr>
              <w:t>Atbilstoši iegūtajiem datiem, provizorisko Ekonomisko lietu tiesas kompetenci veido turpmāk norādītais lietu sadalījums (skatīt tabulu zemā</w:t>
            </w:r>
            <w:r w:rsidR="00DC327C" w:rsidRPr="00A43A86">
              <w:rPr>
                <w:rFonts w:ascii="Times New Roman" w:hAnsi="Times New Roman" w:cs="Times New Roman"/>
                <w:sz w:val="24"/>
                <w:szCs w:val="24"/>
              </w:rPr>
              <w:t>k</w:t>
            </w:r>
            <w:r w:rsidRPr="00A43A86">
              <w:rPr>
                <w:rFonts w:ascii="Times New Roman" w:hAnsi="Times New Roman" w:cs="Times New Roman"/>
                <w:sz w:val="24"/>
                <w:szCs w:val="24"/>
              </w:rPr>
              <w:t xml:space="preserve">). Vienlaikus ieskatam dots potenciālo prasību izvērstāks atspoguļojums. </w:t>
            </w:r>
          </w:p>
          <w:p w14:paraId="20595D77" w14:textId="77777777" w:rsidR="00263E02" w:rsidRPr="00A43A86" w:rsidRDefault="00263E02" w:rsidP="006E25FD">
            <w:pPr>
              <w:spacing w:after="0" w:line="240" w:lineRule="auto"/>
              <w:jc w:val="both"/>
              <w:rPr>
                <w:rFonts w:ascii="Times New Roman" w:hAnsi="Times New Roman" w:cs="Times New Roman"/>
                <w:sz w:val="24"/>
                <w:szCs w:val="24"/>
              </w:rPr>
            </w:pPr>
          </w:p>
          <w:tbl>
            <w:tblPr>
              <w:tblStyle w:val="Reatabula"/>
              <w:tblW w:w="5494" w:type="dxa"/>
              <w:tblLayout w:type="fixed"/>
              <w:tblLook w:val="04A0" w:firstRow="1" w:lastRow="0" w:firstColumn="1" w:lastColumn="0" w:noHBand="0" w:noVBand="1"/>
            </w:tblPr>
            <w:tblGrid>
              <w:gridCol w:w="1810"/>
              <w:gridCol w:w="707"/>
              <w:gridCol w:w="709"/>
              <w:gridCol w:w="2268"/>
            </w:tblGrid>
            <w:tr w:rsidR="00B92582" w:rsidRPr="00A43A86" w14:paraId="3AF3C52C" w14:textId="77777777" w:rsidTr="00B92582">
              <w:tc>
                <w:tcPr>
                  <w:tcW w:w="1810" w:type="dxa"/>
                  <w:vMerge w:val="restart"/>
                </w:tcPr>
                <w:p w14:paraId="1B07F1B0" w14:textId="4FED2E43" w:rsidR="00B92582" w:rsidRPr="00A43A86" w:rsidRDefault="004879F7" w:rsidP="00B92582">
                  <w:pPr>
                    <w:rPr>
                      <w:rFonts w:ascii="Times New Roman" w:hAnsi="Times New Roman" w:cs="Times New Roman"/>
                      <w:sz w:val="24"/>
                      <w:szCs w:val="24"/>
                    </w:rPr>
                  </w:pPr>
                  <w:r w:rsidRPr="00A43A86">
                    <w:rPr>
                      <w:rFonts w:ascii="Times New Roman" w:hAnsi="Times New Roman" w:cs="Times New Roman"/>
                      <w:sz w:val="24"/>
                      <w:szCs w:val="24"/>
                    </w:rPr>
                    <w:t xml:space="preserve"> </w:t>
                  </w:r>
                  <w:bookmarkStart w:id="12" w:name="_Hlk24096912"/>
                  <w:r w:rsidR="00B92582" w:rsidRPr="00A43A86">
                    <w:rPr>
                      <w:rFonts w:ascii="Times New Roman" w:hAnsi="Times New Roman" w:cs="Times New Roman"/>
                      <w:sz w:val="24"/>
                      <w:szCs w:val="24"/>
                    </w:rPr>
                    <w:t>ELT kompetence</w:t>
                  </w:r>
                </w:p>
              </w:tc>
              <w:tc>
                <w:tcPr>
                  <w:tcW w:w="1416" w:type="dxa"/>
                  <w:gridSpan w:val="2"/>
                </w:tcPr>
                <w:p w14:paraId="1ACFA330" w14:textId="77777777" w:rsidR="00B92582" w:rsidRPr="00A43A86" w:rsidRDefault="00B92582" w:rsidP="00B92582">
                  <w:pPr>
                    <w:jc w:val="center"/>
                    <w:rPr>
                      <w:rFonts w:ascii="Times New Roman" w:hAnsi="Times New Roman" w:cs="Times New Roman"/>
                      <w:sz w:val="24"/>
                      <w:szCs w:val="24"/>
                    </w:rPr>
                  </w:pPr>
                  <w:r w:rsidRPr="00A43A86">
                    <w:rPr>
                      <w:rFonts w:ascii="Times New Roman" w:hAnsi="Times New Roman" w:cs="Times New Roman"/>
                      <w:sz w:val="24"/>
                      <w:szCs w:val="24"/>
                    </w:rPr>
                    <w:t>Izskatīto lietu skaits</w:t>
                  </w:r>
                </w:p>
                <w:p w14:paraId="2AB42F65" w14:textId="77777777" w:rsidR="00B92582" w:rsidRPr="00A43A86" w:rsidRDefault="00B92582" w:rsidP="00B92582">
                  <w:pPr>
                    <w:jc w:val="center"/>
                    <w:rPr>
                      <w:rFonts w:ascii="Times New Roman" w:hAnsi="Times New Roman" w:cs="Times New Roman"/>
                      <w:sz w:val="24"/>
                      <w:szCs w:val="24"/>
                    </w:rPr>
                  </w:pPr>
                  <w:r w:rsidRPr="00A43A86">
                    <w:rPr>
                      <w:rFonts w:ascii="Times New Roman" w:hAnsi="Times New Roman" w:cs="Times New Roman"/>
                      <w:sz w:val="24"/>
                      <w:szCs w:val="24"/>
                    </w:rPr>
                    <w:t xml:space="preserve">2018 </w:t>
                  </w:r>
                </w:p>
              </w:tc>
              <w:tc>
                <w:tcPr>
                  <w:tcW w:w="2268" w:type="dxa"/>
                  <w:vMerge w:val="restart"/>
                </w:tcPr>
                <w:p w14:paraId="5D8B100E" w14:textId="77777777" w:rsidR="00B92582" w:rsidRPr="00A43A86" w:rsidRDefault="00B92582" w:rsidP="00B92582">
                  <w:pPr>
                    <w:jc w:val="center"/>
                    <w:rPr>
                      <w:rFonts w:ascii="Times New Roman" w:hAnsi="Times New Roman" w:cs="Times New Roman"/>
                      <w:sz w:val="24"/>
                      <w:szCs w:val="24"/>
                    </w:rPr>
                  </w:pPr>
                  <w:r w:rsidRPr="00A43A86">
                    <w:rPr>
                      <w:rFonts w:ascii="Times New Roman" w:hAnsi="Times New Roman" w:cs="Times New Roman"/>
                      <w:color w:val="000000"/>
                      <w:sz w:val="24"/>
                      <w:szCs w:val="24"/>
                    </w:rPr>
                    <w:t>Meklētie atslēgas vārdi spriedumos, dažādos locījumos</w:t>
                  </w:r>
                </w:p>
              </w:tc>
            </w:tr>
            <w:tr w:rsidR="00B92582" w:rsidRPr="00A43A86" w14:paraId="1A3F4D9C" w14:textId="77777777" w:rsidTr="00B92582">
              <w:tc>
                <w:tcPr>
                  <w:tcW w:w="1810" w:type="dxa"/>
                  <w:vMerge/>
                </w:tcPr>
                <w:p w14:paraId="34E00BE4" w14:textId="77777777" w:rsidR="00B92582" w:rsidRPr="00A43A86" w:rsidRDefault="00B92582" w:rsidP="00B92582">
                  <w:pPr>
                    <w:rPr>
                      <w:rFonts w:ascii="Times New Roman" w:hAnsi="Times New Roman" w:cs="Times New Roman"/>
                      <w:sz w:val="24"/>
                      <w:szCs w:val="24"/>
                    </w:rPr>
                  </w:pPr>
                </w:p>
              </w:tc>
              <w:tc>
                <w:tcPr>
                  <w:tcW w:w="707" w:type="dxa"/>
                </w:tcPr>
                <w:p w14:paraId="1234FAAE"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I inst.</w:t>
                  </w:r>
                </w:p>
              </w:tc>
              <w:tc>
                <w:tcPr>
                  <w:tcW w:w="709" w:type="dxa"/>
                </w:tcPr>
                <w:p w14:paraId="15819851"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II inst.</w:t>
                  </w:r>
                </w:p>
              </w:tc>
              <w:tc>
                <w:tcPr>
                  <w:tcW w:w="2268" w:type="dxa"/>
                  <w:vMerge/>
                </w:tcPr>
                <w:p w14:paraId="27BD0A42" w14:textId="77777777" w:rsidR="00B92582" w:rsidRPr="00A43A86" w:rsidRDefault="00B92582" w:rsidP="00B92582">
                  <w:pPr>
                    <w:rPr>
                      <w:rFonts w:ascii="Times New Roman" w:hAnsi="Times New Roman" w:cs="Times New Roman"/>
                      <w:sz w:val="24"/>
                      <w:szCs w:val="24"/>
                    </w:rPr>
                  </w:pPr>
                </w:p>
              </w:tc>
            </w:tr>
            <w:tr w:rsidR="00B92582" w:rsidRPr="00A43A86" w14:paraId="2C61A33B" w14:textId="77777777" w:rsidTr="00B92582">
              <w:tc>
                <w:tcPr>
                  <w:tcW w:w="1810" w:type="dxa"/>
                </w:tcPr>
                <w:p w14:paraId="09912607" w14:textId="52F1092D" w:rsidR="00B92582" w:rsidRPr="00A43A86" w:rsidRDefault="00B92582" w:rsidP="00B92582">
                  <w:pPr>
                    <w:jc w:val="both"/>
                    <w:rPr>
                      <w:rFonts w:ascii="Times New Roman" w:hAnsi="Times New Roman" w:cs="Times New Roman"/>
                      <w:sz w:val="24"/>
                      <w:szCs w:val="24"/>
                    </w:rPr>
                  </w:pPr>
                  <w:bookmarkStart w:id="13" w:name="_Hlk24096899"/>
                  <w:r w:rsidRPr="00A43A86">
                    <w:rPr>
                      <w:rFonts w:ascii="Times New Roman" w:hAnsi="Times New Roman" w:cs="Times New Roman"/>
                      <w:sz w:val="24"/>
                      <w:szCs w:val="24"/>
                    </w:rPr>
                    <w:t>Prasības, kas izriet no pārapdrošināšanas līgumiem</w:t>
                  </w:r>
                </w:p>
              </w:tc>
              <w:tc>
                <w:tcPr>
                  <w:tcW w:w="707" w:type="dxa"/>
                </w:tcPr>
                <w:p w14:paraId="206C918B"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2</w:t>
                  </w:r>
                </w:p>
              </w:tc>
              <w:tc>
                <w:tcPr>
                  <w:tcW w:w="709" w:type="dxa"/>
                </w:tcPr>
                <w:p w14:paraId="0018416A"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0</w:t>
                  </w:r>
                </w:p>
              </w:tc>
              <w:tc>
                <w:tcPr>
                  <w:tcW w:w="2268" w:type="dxa"/>
                </w:tcPr>
                <w:p w14:paraId="3D9230A9"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“pārapdrošināšanas līguma”</w:t>
                  </w:r>
                </w:p>
              </w:tc>
            </w:tr>
            <w:tr w:rsidR="00D4320F" w:rsidRPr="00A43A86" w14:paraId="6367D99F" w14:textId="77777777" w:rsidTr="00757B5F">
              <w:tc>
                <w:tcPr>
                  <w:tcW w:w="5494" w:type="dxa"/>
                  <w:gridSpan w:val="4"/>
                </w:tcPr>
                <w:p w14:paraId="61F732E1" w14:textId="1B351285" w:rsidR="00D4320F" w:rsidRPr="00A43A86" w:rsidRDefault="00D4320F" w:rsidP="00D4320F">
                  <w:pPr>
                    <w:jc w:val="both"/>
                    <w:rPr>
                      <w:rFonts w:ascii="Times New Roman" w:hAnsi="Times New Roman" w:cs="Times New Roman"/>
                      <w:sz w:val="24"/>
                      <w:szCs w:val="24"/>
                    </w:rPr>
                  </w:pPr>
                  <w:r w:rsidRPr="00A43A86">
                    <w:rPr>
                      <w:rFonts w:ascii="Times New Roman" w:hAnsi="Times New Roman" w:cs="Times New Roman"/>
                      <w:sz w:val="24"/>
                      <w:szCs w:val="24"/>
                    </w:rPr>
                    <w:t>Piemēram, prasība par apdrošināšanas līgumā noteikto pienākumu neizpildi – apdrošināšanas kompānija A netika sniegusi apdrošināšanas kompānijai B tās pieprasīto papildinformācija, lai lemtu par apdrošināšanas atlīdzības izmaksu konkrētai personai.</w:t>
                  </w:r>
                </w:p>
              </w:tc>
            </w:tr>
            <w:tr w:rsidR="00B92582" w:rsidRPr="00A43A86" w14:paraId="4077C06F" w14:textId="77777777" w:rsidTr="00B92582">
              <w:tc>
                <w:tcPr>
                  <w:tcW w:w="1810" w:type="dxa"/>
                </w:tcPr>
                <w:p w14:paraId="38BFDBC3" w14:textId="77777777" w:rsidR="00B92582" w:rsidRPr="00A43A86" w:rsidRDefault="00B92582" w:rsidP="00B92582">
                  <w:pPr>
                    <w:jc w:val="both"/>
                    <w:rPr>
                      <w:rFonts w:ascii="Times New Roman" w:hAnsi="Times New Roman" w:cs="Times New Roman"/>
                      <w:sz w:val="24"/>
                      <w:szCs w:val="24"/>
                    </w:rPr>
                  </w:pPr>
                  <w:r w:rsidRPr="00A43A86">
                    <w:rPr>
                      <w:rFonts w:ascii="Times New Roman" w:hAnsi="Times New Roman" w:cs="Times New Roman"/>
                      <w:sz w:val="24"/>
                      <w:szCs w:val="24"/>
                    </w:rPr>
                    <w:t xml:space="preserve">Prasības, kas izriet no līgumiem par ieguldījumu pakalpojumu vai ieguldījumu blakuspakalpojumu sniegšanu. </w:t>
                  </w:r>
                </w:p>
              </w:tc>
              <w:tc>
                <w:tcPr>
                  <w:tcW w:w="707" w:type="dxa"/>
                </w:tcPr>
                <w:p w14:paraId="335E8CB3"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1</w:t>
                  </w:r>
                </w:p>
              </w:tc>
              <w:tc>
                <w:tcPr>
                  <w:tcW w:w="709" w:type="dxa"/>
                </w:tcPr>
                <w:p w14:paraId="4D488618"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0</w:t>
                  </w:r>
                </w:p>
              </w:tc>
              <w:tc>
                <w:tcPr>
                  <w:tcW w:w="2268" w:type="dxa"/>
                </w:tcPr>
                <w:p w14:paraId="724D231A"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“ieguldījumu pakalpojums”</w:t>
                  </w:r>
                </w:p>
                <w:p w14:paraId="14489B3A" w14:textId="77777777" w:rsidR="00B92582" w:rsidRPr="00A43A86" w:rsidRDefault="00B92582" w:rsidP="00B92582">
                  <w:pPr>
                    <w:rPr>
                      <w:rFonts w:ascii="Times New Roman" w:hAnsi="Times New Roman" w:cs="Times New Roman"/>
                      <w:sz w:val="24"/>
                      <w:szCs w:val="24"/>
                    </w:rPr>
                  </w:pPr>
                  <w:r w:rsidRPr="00A43A86">
                    <w:rPr>
                      <w:rFonts w:ascii="Times New Roman" w:hAnsi="Times New Roman" w:cs="Times New Roman"/>
                      <w:sz w:val="24"/>
                      <w:szCs w:val="24"/>
                    </w:rPr>
                    <w:t>“ieguldījumu blakuspakalpojums”</w:t>
                  </w:r>
                </w:p>
              </w:tc>
            </w:tr>
            <w:bookmarkEnd w:id="13"/>
            <w:tr w:rsidR="008C079F" w:rsidRPr="00A43A86" w14:paraId="19C34E19" w14:textId="77777777" w:rsidTr="00757B5F">
              <w:tc>
                <w:tcPr>
                  <w:tcW w:w="5494" w:type="dxa"/>
                  <w:gridSpan w:val="4"/>
                </w:tcPr>
                <w:p w14:paraId="6F0E7C4B" w14:textId="090B1669" w:rsidR="008C079F" w:rsidRPr="00A43A86" w:rsidRDefault="008C079F" w:rsidP="008C079F">
                  <w:pPr>
                    <w:jc w:val="both"/>
                    <w:rPr>
                      <w:rFonts w:ascii="Times New Roman" w:hAnsi="Times New Roman" w:cs="Times New Roman"/>
                      <w:sz w:val="24"/>
                      <w:szCs w:val="24"/>
                    </w:rPr>
                  </w:pPr>
                  <w:r w:rsidRPr="00A43A86">
                    <w:rPr>
                      <w:rFonts w:ascii="Times New Roman" w:hAnsi="Times New Roman" w:cs="Times New Roman"/>
                      <w:sz w:val="24"/>
                      <w:szCs w:val="24"/>
                    </w:rPr>
                    <w:t xml:space="preserve">Piemēram, </w:t>
                  </w:r>
                  <w:r w:rsidR="00263E02" w:rsidRPr="00A43A86">
                    <w:rPr>
                      <w:rFonts w:ascii="Times New Roman" w:hAnsi="Times New Roman" w:cs="Times New Roman"/>
                      <w:sz w:val="24"/>
                      <w:szCs w:val="24"/>
                    </w:rPr>
                    <w:t>prasība</w:t>
                  </w:r>
                  <w:r w:rsidRPr="00A43A86">
                    <w:rPr>
                      <w:rFonts w:ascii="Times New Roman" w:hAnsi="Times New Roman" w:cs="Times New Roman"/>
                      <w:sz w:val="24"/>
                      <w:szCs w:val="24"/>
                    </w:rPr>
                    <w:t xml:space="preserve"> par darbībām ar turējumā esošiem finanšu instrumentiem.</w:t>
                  </w:r>
                </w:p>
              </w:tc>
            </w:tr>
            <w:tr w:rsidR="008C079F" w:rsidRPr="00A43A86" w14:paraId="2DE4F186" w14:textId="77777777" w:rsidTr="00B92582">
              <w:tc>
                <w:tcPr>
                  <w:tcW w:w="1810" w:type="dxa"/>
                </w:tcPr>
                <w:p w14:paraId="4D1E3D49" w14:textId="77777777" w:rsidR="008C079F" w:rsidRPr="00A43A86" w:rsidRDefault="008C079F" w:rsidP="008C079F">
                  <w:pPr>
                    <w:jc w:val="both"/>
                    <w:rPr>
                      <w:rFonts w:ascii="Times New Roman" w:hAnsi="Times New Roman" w:cs="Times New Roman"/>
                      <w:sz w:val="24"/>
                      <w:szCs w:val="24"/>
                    </w:rPr>
                  </w:pPr>
                  <w:r w:rsidRPr="00A43A86">
                    <w:rPr>
                      <w:rFonts w:ascii="Times New Roman" w:hAnsi="Times New Roman" w:cs="Times New Roman"/>
                      <w:sz w:val="24"/>
                      <w:szCs w:val="24"/>
                    </w:rPr>
                    <w:t>ES dalībvalstu ieguldītāju prasības pret Latvijas valsti par ieguldījumu aizsardzību</w:t>
                  </w:r>
                </w:p>
              </w:tc>
              <w:tc>
                <w:tcPr>
                  <w:tcW w:w="707" w:type="dxa"/>
                </w:tcPr>
                <w:p w14:paraId="1C2206FE"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0</w:t>
                  </w:r>
                </w:p>
              </w:tc>
              <w:tc>
                <w:tcPr>
                  <w:tcW w:w="709" w:type="dxa"/>
                </w:tcPr>
                <w:p w14:paraId="60730035"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0</w:t>
                  </w:r>
                </w:p>
              </w:tc>
              <w:tc>
                <w:tcPr>
                  <w:tcW w:w="2268" w:type="dxa"/>
                </w:tcPr>
                <w:p w14:paraId="36DBEB76"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 xml:space="preserve">izriet no ES nolīguma par divpusējo ieguldījumu līgumu izbeigšanu starp ES DV </w:t>
                  </w:r>
                </w:p>
              </w:tc>
            </w:tr>
            <w:tr w:rsidR="008C079F" w:rsidRPr="00A43A86" w14:paraId="3C180D28" w14:textId="77777777" w:rsidTr="00B92582">
              <w:tc>
                <w:tcPr>
                  <w:tcW w:w="1810" w:type="dxa"/>
                </w:tcPr>
                <w:p w14:paraId="43126B7C" w14:textId="77777777" w:rsidR="008C079F" w:rsidRPr="00A43A86" w:rsidRDefault="008C079F" w:rsidP="008C079F">
                  <w:pPr>
                    <w:jc w:val="both"/>
                    <w:rPr>
                      <w:rFonts w:ascii="Times New Roman" w:hAnsi="Times New Roman" w:cs="Times New Roman"/>
                      <w:sz w:val="24"/>
                      <w:szCs w:val="24"/>
                    </w:rPr>
                  </w:pPr>
                  <w:r w:rsidRPr="00A43A86">
                    <w:rPr>
                      <w:rFonts w:ascii="Times New Roman" w:hAnsi="Times New Roman" w:cs="Times New Roman"/>
                      <w:sz w:val="24"/>
                      <w:szCs w:val="24"/>
                    </w:rPr>
                    <w:lastRenderedPageBreak/>
                    <w:t>Prasības, kas izriet no koncernu tiesiskajām attiecībām</w:t>
                  </w:r>
                </w:p>
              </w:tc>
              <w:tc>
                <w:tcPr>
                  <w:tcW w:w="707" w:type="dxa"/>
                </w:tcPr>
                <w:p w14:paraId="34B24AAA"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2</w:t>
                  </w:r>
                </w:p>
              </w:tc>
              <w:tc>
                <w:tcPr>
                  <w:tcW w:w="709" w:type="dxa"/>
                </w:tcPr>
                <w:p w14:paraId="36E734B3"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1</w:t>
                  </w:r>
                </w:p>
              </w:tc>
              <w:tc>
                <w:tcPr>
                  <w:tcW w:w="2268" w:type="dxa"/>
                </w:tcPr>
                <w:p w14:paraId="5EDD81CE"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 xml:space="preserve">“koncernu līgums” </w:t>
                  </w:r>
                </w:p>
                <w:p w14:paraId="72C9A050"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 xml:space="preserve">"koncernu tiesiskās attiecības" (nesatur koncernu līgums). </w:t>
                  </w:r>
                </w:p>
              </w:tc>
            </w:tr>
            <w:tr w:rsidR="008C079F" w:rsidRPr="00A43A86" w14:paraId="2C8B8633" w14:textId="77777777" w:rsidTr="00757B5F">
              <w:tc>
                <w:tcPr>
                  <w:tcW w:w="5494" w:type="dxa"/>
                  <w:gridSpan w:val="4"/>
                </w:tcPr>
                <w:p w14:paraId="5A9BF825" w14:textId="348DD161"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 xml:space="preserve">Piemēram, </w:t>
                  </w:r>
                  <w:r w:rsidR="00263E02" w:rsidRPr="00A43A86">
                    <w:rPr>
                      <w:rFonts w:ascii="Times New Roman" w:hAnsi="Times New Roman" w:cs="Times New Roman"/>
                      <w:sz w:val="24"/>
                      <w:szCs w:val="24"/>
                    </w:rPr>
                    <w:t xml:space="preserve">prasība par </w:t>
                  </w:r>
                  <w:r w:rsidRPr="00A43A86">
                    <w:rPr>
                      <w:rFonts w:ascii="Times New Roman" w:hAnsi="Times New Roman" w:cs="Times New Roman"/>
                      <w:sz w:val="24"/>
                      <w:szCs w:val="24"/>
                    </w:rPr>
                    <w:t>zaudējumu atlīdzīb</w:t>
                  </w:r>
                  <w:r w:rsidR="00263E02" w:rsidRPr="00A43A86">
                    <w:rPr>
                      <w:rFonts w:ascii="Times New Roman" w:hAnsi="Times New Roman" w:cs="Times New Roman"/>
                      <w:sz w:val="24"/>
                      <w:szCs w:val="24"/>
                    </w:rPr>
                    <w:t>u</w:t>
                  </w:r>
                  <w:r w:rsidRPr="00A43A86">
                    <w:rPr>
                      <w:rFonts w:ascii="Times New Roman" w:hAnsi="Times New Roman" w:cs="Times New Roman"/>
                      <w:sz w:val="24"/>
                      <w:szCs w:val="24"/>
                    </w:rPr>
                    <w:t xml:space="preserve"> atkarīgajai sabiedrībai, valdošā uzņēmuma pārstāvja rīcības dēļ, pamudinot uz neizdevīgu darījumu.</w:t>
                  </w:r>
                </w:p>
              </w:tc>
            </w:tr>
            <w:tr w:rsidR="008C079F" w:rsidRPr="00A43A86" w14:paraId="664CBF42" w14:textId="77777777" w:rsidTr="00B92582">
              <w:tc>
                <w:tcPr>
                  <w:tcW w:w="1810" w:type="dxa"/>
                </w:tcPr>
                <w:p w14:paraId="01BD872F" w14:textId="77777777" w:rsidR="008C079F" w:rsidRPr="00A43A86" w:rsidRDefault="008C079F" w:rsidP="008C079F">
                  <w:pPr>
                    <w:jc w:val="both"/>
                    <w:rPr>
                      <w:rFonts w:ascii="Times New Roman" w:hAnsi="Times New Roman" w:cs="Times New Roman"/>
                      <w:sz w:val="24"/>
                      <w:szCs w:val="24"/>
                    </w:rPr>
                  </w:pPr>
                  <w:r w:rsidRPr="00A43A86">
                    <w:rPr>
                      <w:rFonts w:ascii="Times New Roman" w:hAnsi="Times New Roman" w:cs="Times New Roman"/>
                      <w:sz w:val="24"/>
                      <w:szCs w:val="24"/>
                    </w:rPr>
                    <w:t>Prasības, kas izriet no dalībnieku savstarpējām</w:t>
                  </w:r>
                  <w:r w:rsidRPr="00A43A86">
                    <w:rPr>
                      <w:rStyle w:val="Vresatsauce"/>
                      <w:rFonts w:ascii="Times New Roman" w:hAnsi="Times New Roman" w:cs="Times New Roman"/>
                      <w:sz w:val="24"/>
                      <w:szCs w:val="24"/>
                    </w:rPr>
                    <w:footnoteReference w:id="4"/>
                  </w:r>
                  <w:r w:rsidRPr="00A43A86">
                    <w:rPr>
                      <w:rFonts w:ascii="Times New Roman" w:hAnsi="Times New Roman" w:cs="Times New Roman"/>
                      <w:sz w:val="24"/>
                      <w:szCs w:val="24"/>
                    </w:rPr>
                    <w:t xml:space="preserve"> tiesiskajām attiecībām</w:t>
                  </w:r>
                </w:p>
              </w:tc>
              <w:tc>
                <w:tcPr>
                  <w:tcW w:w="707" w:type="dxa"/>
                </w:tcPr>
                <w:p w14:paraId="5EF7CCC5"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40</w:t>
                  </w:r>
                </w:p>
              </w:tc>
              <w:tc>
                <w:tcPr>
                  <w:tcW w:w="709" w:type="dxa"/>
                </w:tcPr>
                <w:p w14:paraId="63779256"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13</w:t>
                  </w:r>
                </w:p>
              </w:tc>
              <w:tc>
                <w:tcPr>
                  <w:tcW w:w="2268" w:type="dxa"/>
                </w:tcPr>
                <w:p w14:paraId="7D35C5E1"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dalībnieku līgums</w:t>
                  </w:r>
                </w:p>
                <w:p w14:paraId="12F54460"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"dalībnieku tiesiskās attiecības" (nesatur dalībnieku līgums).</w:t>
                  </w:r>
                </w:p>
              </w:tc>
            </w:tr>
            <w:tr w:rsidR="008C079F" w:rsidRPr="00A43A86" w14:paraId="4AC091A7" w14:textId="77777777" w:rsidTr="00757B5F">
              <w:tc>
                <w:tcPr>
                  <w:tcW w:w="5494" w:type="dxa"/>
                  <w:gridSpan w:val="4"/>
                </w:tcPr>
                <w:p w14:paraId="502F89A6" w14:textId="64A9D98C" w:rsidR="008C079F" w:rsidRPr="00A43A86" w:rsidRDefault="008C079F" w:rsidP="008C079F">
                  <w:pPr>
                    <w:jc w:val="both"/>
                    <w:rPr>
                      <w:rFonts w:ascii="Times New Roman" w:hAnsi="Times New Roman" w:cs="Times New Roman"/>
                      <w:sz w:val="24"/>
                      <w:szCs w:val="24"/>
                    </w:rPr>
                  </w:pPr>
                  <w:r w:rsidRPr="00A43A86">
                    <w:rPr>
                      <w:rFonts w:ascii="Times New Roman" w:hAnsi="Times New Roman" w:cs="Times New Roman"/>
                      <w:sz w:val="24"/>
                      <w:szCs w:val="24"/>
                    </w:rPr>
                    <w:t xml:space="preserve">Piemēram, </w:t>
                  </w:r>
                  <w:r w:rsidR="00263E02" w:rsidRPr="00A43A86">
                    <w:rPr>
                      <w:rFonts w:ascii="Times New Roman" w:hAnsi="Times New Roman" w:cs="Times New Roman"/>
                      <w:sz w:val="24"/>
                      <w:szCs w:val="24"/>
                    </w:rPr>
                    <w:t>prasība</w:t>
                  </w:r>
                  <w:r w:rsidRPr="00A43A86">
                    <w:rPr>
                      <w:rFonts w:ascii="Times New Roman" w:hAnsi="Times New Roman" w:cs="Times New Roman"/>
                      <w:sz w:val="24"/>
                      <w:szCs w:val="24"/>
                    </w:rPr>
                    <w:t xml:space="preserve"> par dalībnieku līguma izpildi par konkrētas SIA darbības finansēšanu un aizdevuma piešķiršanu</w:t>
                  </w:r>
                  <w:r w:rsidR="00263E02" w:rsidRPr="00A43A86">
                    <w:rPr>
                      <w:rFonts w:ascii="Times New Roman" w:hAnsi="Times New Roman" w:cs="Times New Roman"/>
                      <w:sz w:val="24"/>
                      <w:szCs w:val="24"/>
                    </w:rPr>
                    <w:t>, prasība par d</w:t>
                  </w:r>
                  <w:r w:rsidRPr="00A43A86">
                    <w:rPr>
                      <w:rFonts w:ascii="Times New Roman" w:hAnsi="Times New Roman" w:cs="Times New Roman"/>
                      <w:sz w:val="24"/>
                      <w:szCs w:val="24"/>
                    </w:rPr>
                    <w:t>alībnieku līguma apstrīdēšan</w:t>
                  </w:r>
                  <w:r w:rsidR="00263E02" w:rsidRPr="00A43A86">
                    <w:rPr>
                      <w:rFonts w:ascii="Times New Roman" w:hAnsi="Times New Roman" w:cs="Times New Roman"/>
                      <w:sz w:val="24"/>
                      <w:szCs w:val="24"/>
                    </w:rPr>
                    <w:t>u</w:t>
                  </w:r>
                  <w:r w:rsidRPr="00A43A86">
                    <w:rPr>
                      <w:rFonts w:ascii="Times New Roman" w:hAnsi="Times New Roman" w:cs="Times New Roman"/>
                      <w:sz w:val="24"/>
                      <w:szCs w:val="24"/>
                    </w:rPr>
                    <w:t>, ar kuru paredzēta sev piederošo daļu atsavināšana kopīgi, lai nepieļautu kontrolpaketes vienpersonisku iegūšanu.</w:t>
                  </w:r>
                </w:p>
              </w:tc>
            </w:tr>
            <w:tr w:rsidR="008C079F" w:rsidRPr="00A43A86" w14:paraId="10E4FE37" w14:textId="77777777" w:rsidTr="00B92582">
              <w:tc>
                <w:tcPr>
                  <w:tcW w:w="1810" w:type="dxa"/>
                </w:tcPr>
                <w:p w14:paraId="29524382" w14:textId="77777777" w:rsidR="008C079F" w:rsidRPr="00A43A86" w:rsidRDefault="008C079F" w:rsidP="008C079F">
                  <w:pPr>
                    <w:jc w:val="both"/>
                    <w:rPr>
                      <w:rFonts w:ascii="Times New Roman" w:hAnsi="Times New Roman" w:cs="Times New Roman"/>
                      <w:sz w:val="24"/>
                      <w:szCs w:val="24"/>
                    </w:rPr>
                  </w:pPr>
                  <w:r w:rsidRPr="00A43A86">
                    <w:rPr>
                      <w:rFonts w:ascii="Times New Roman" w:hAnsi="Times New Roman" w:cs="Times New Roman"/>
                      <w:sz w:val="24"/>
                      <w:szCs w:val="24"/>
                    </w:rPr>
                    <w:t>Prasības, kas izriet no akcionāru savstarpējām</w:t>
                  </w:r>
                  <w:r w:rsidRPr="00A43A86">
                    <w:rPr>
                      <w:rStyle w:val="Vresatsauce"/>
                      <w:rFonts w:ascii="Times New Roman" w:hAnsi="Times New Roman" w:cs="Times New Roman"/>
                      <w:sz w:val="24"/>
                      <w:szCs w:val="24"/>
                    </w:rPr>
                    <w:footnoteReference w:id="5"/>
                  </w:r>
                  <w:r w:rsidRPr="00A43A86">
                    <w:rPr>
                      <w:rFonts w:ascii="Times New Roman" w:hAnsi="Times New Roman" w:cs="Times New Roman"/>
                      <w:sz w:val="24"/>
                      <w:szCs w:val="24"/>
                    </w:rPr>
                    <w:t xml:space="preserve"> tiesiskajām attiecībām</w:t>
                  </w:r>
                </w:p>
              </w:tc>
              <w:tc>
                <w:tcPr>
                  <w:tcW w:w="707" w:type="dxa"/>
                </w:tcPr>
                <w:p w14:paraId="53F4A7B8" w14:textId="7B3D6E90" w:rsidR="008C079F" w:rsidRPr="00A43A86" w:rsidRDefault="00C01C70" w:rsidP="008C079F">
                  <w:pPr>
                    <w:rPr>
                      <w:rFonts w:ascii="Times New Roman" w:hAnsi="Times New Roman" w:cs="Times New Roman"/>
                      <w:sz w:val="24"/>
                      <w:szCs w:val="24"/>
                    </w:rPr>
                  </w:pPr>
                  <w:r w:rsidRPr="00A43A86">
                    <w:rPr>
                      <w:rFonts w:ascii="Times New Roman" w:hAnsi="Times New Roman" w:cs="Times New Roman"/>
                      <w:sz w:val="24"/>
                      <w:szCs w:val="24"/>
                    </w:rPr>
                    <w:t>2</w:t>
                  </w:r>
                  <w:r w:rsidR="00A911E2" w:rsidRPr="00A43A86">
                    <w:rPr>
                      <w:rFonts w:ascii="Times New Roman" w:hAnsi="Times New Roman" w:cs="Times New Roman"/>
                      <w:sz w:val="24"/>
                      <w:szCs w:val="24"/>
                    </w:rPr>
                    <w:t>5</w:t>
                  </w:r>
                </w:p>
              </w:tc>
              <w:tc>
                <w:tcPr>
                  <w:tcW w:w="709" w:type="dxa"/>
                </w:tcPr>
                <w:p w14:paraId="6BD32159"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12</w:t>
                  </w:r>
                </w:p>
              </w:tc>
              <w:tc>
                <w:tcPr>
                  <w:tcW w:w="2268" w:type="dxa"/>
                </w:tcPr>
                <w:p w14:paraId="1DB33591"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 xml:space="preserve"> akcionāru līgums</w:t>
                  </w:r>
                </w:p>
                <w:p w14:paraId="7F1AB43E"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lietots "akcionāru sapulce" ((nesatur akcionāru līgums).</w:t>
                  </w:r>
                </w:p>
                <w:p w14:paraId="28D54805"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"mazākuma akcionārs" (nesatur akcionāru sapulce)</w:t>
                  </w:r>
                </w:p>
                <w:p w14:paraId="2FEF781D" w14:textId="77777777" w:rsidR="00C01C70" w:rsidRPr="00A43A86" w:rsidRDefault="00C01C70" w:rsidP="008C079F">
                  <w:pPr>
                    <w:rPr>
                      <w:rFonts w:ascii="Times New Roman" w:hAnsi="Times New Roman" w:cs="Times New Roman"/>
                      <w:sz w:val="24"/>
                      <w:szCs w:val="24"/>
                    </w:rPr>
                  </w:pPr>
                  <w:r w:rsidRPr="00A43A86">
                    <w:rPr>
                      <w:rFonts w:ascii="Times New Roman" w:hAnsi="Times New Roman" w:cs="Times New Roman"/>
                      <w:sz w:val="24"/>
                      <w:szCs w:val="24"/>
                    </w:rPr>
                    <w:t>"</w:t>
                  </w:r>
                  <w:bookmarkStart w:id="14" w:name="_Hlk26344199"/>
                  <w:r w:rsidRPr="00A43A86">
                    <w:rPr>
                      <w:rFonts w:ascii="Times New Roman" w:hAnsi="Times New Roman" w:cs="Times New Roman"/>
                      <w:sz w:val="24"/>
                      <w:szCs w:val="24"/>
                    </w:rPr>
                    <w:t>Finanšu instrumenta tirgus likuma 74.</w:t>
                  </w:r>
                  <w:r w:rsidRPr="00A43A86">
                    <w:rPr>
                      <w:rFonts w:ascii="Times New Roman" w:hAnsi="Times New Roman" w:cs="Times New Roman"/>
                      <w:sz w:val="24"/>
                      <w:szCs w:val="24"/>
                      <w:vertAlign w:val="superscript"/>
                    </w:rPr>
                    <w:t>1</w:t>
                  </w:r>
                  <w:r w:rsidRPr="00A43A86">
                    <w:rPr>
                      <w:rFonts w:ascii="Times New Roman" w:hAnsi="Times New Roman" w:cs="Times New Roman"/>
                      <w:sz w:val="24"/>
                      <w:szCs w:val="24"/>
                    </w:rPr>
                    <w:t xml:space="preserve"> panta </w:t>
                  </w:r>
                  <w:bookmarkEnd w:id="14"/>
                  <w:r w:rsidRPr="00A43A86">
                    <w:rPr>
                      <w:rFonts w:ascii="Times New Roman" w:hAnsi="Times New Roman" w:cs="Times New Roman"/>
                      <w:sz w:val="24"/>
                      <w:szCs w:val="24"/>
                    </w:rPr>
                    <w:t>pirmā daļa"</w:t>
                  </w:r>
                </w:p>
                <w:p w14:paraId="3E81B40C" w14:textId="2FEB98D8" w:rsidR="00C01C70" w:rsidRPr="00A43A86" w:rsidRDefault="00C01C70" w:rsidP="008C079F">
                  <w:pPr>
                    <w:rPr>
                      <w:rFonts w:ascii="Times New Roman" w:hAnsi="Times New Roman" w:cs="Times New Roman"/>
                      <w:sz w:val="24"/>
                      <w:szCs w:val="24"/>
                    </w:rPr>
                  </w:pPr>
                  <w:r w:rsidRPr="00A43A86">
                    <w:rPr>
                      <w:rFonts w:ascii="Times New Roman" w:hAnsi="Times New Roman" w:cs="Times New Roman"/>
                      <w:sz w:val="24"/>
                      <w:szCs w:val="24"/>
                    </w:rPr>
                    <w:t>"Finanšu instrumenta tirgus likuma 83.</w:t>
                  </w:r>
                  <w:r w:rsidRPr="00A43A86">
                    <w:rPr>
                      <w:rFonts w:ascii="Times New Roman" w:hAnsi="Times New Roman" w:cs="Times New Roman"/>
                      <w:sz w:val="24"/>
                      <w:szCs w:val="24"/>
                      <w:vertAlign w:val="superscript"/>
                    </w:rPr>
                    <w:t>1</w:t>
                  </w:r>
                  <w:r w:rsidRPr="00A43A86">
                    <w:rPr>
                      <w:rFonts w:ascii="Times New Roman" w:hAnsi="Times New Roman" w:cs="Times New Roman"/>
                      <w:sz w:val="24"/>
                      <w:szCs w:val="24"/>
                    </w:rPr>
                    <w:t xml:space="preserve"> pants"</w:t>
                  </w:r>
                </w:p>
              </w:tc>
            </w:tr>
            <w:tr w:rsidR="008C079F" w:rsidRPr="00A43A86" w14:paraId="265D2DA9" w14:textId="77777777" w:rsidTr="00757B5F">
              <w:tc>
                <w:tcPr>
                  <w:tcW w:w="5494" w:type="dxa"/>
                  <w:gridSpan w:val="4"/>
                </w:tcPr>
                <w:p w14:paraId="0E0CAB13" w14:textId="77777777" w:rsidR="008C079F" w:rsidRPr="00A43A86" w:rsidRDefault="002824C2" w:rsidP="002824C2">
                  <w:pPr>
                    <w:jc w:val="both"/>
                    <w:rPr>
                      <w:rFonts w:ascii="Times New Roman" w:hAnsi="Times New Roman" w:cs="Times New Roman"/>
                      <w:sz w:val="24"/>
                      <w:szCs w:val="24"/>
                    </w:rPr>
                  </w:pPr>
                  <w:r w:rsidRPr="00A43A86">
                    <w:rPr>
                      <w:rFonts w:ascii="Times New Roman" w:hAnsi="Times New Roman" w:cs="Times New Roman"/>
                      <w:sz w:val="24"/>
                      <w:szCs w:val="24"/>
                    </w:rPr>
                    <w:t xml:space="preserve">Piemēram, </w:t>
                  </w:r>
                  <w:r w:rsidR="00263E02" w:rsidRPr="00A43A86">
                    <w:rPr>
                      <w:rFonts w:ascii="Times New Roman" w:hAnsi="Times New Roman" w:cs="Times New Roman"/>
                      <w:sz w:val="24"/>
                      <w:szCs w:val="24"/>
                    </w:rPr>
                    <w:t>prasība</w:t>
                  </w:r>
                  <w:r w:rsidRPr="00A43A86">
                    <w:rPr>
                      <w:rFonts w:ascii="Times New Roman" w:hAnsi="Times New Roman" w:cs="Times New Roman"/>
                      <w:sz w:val="24"/>
                      <w:szCs w:val="24"/>
                    </w:rPr>
                    <w:t xml:space="preserve"> par dalībnieku līguma tiesiskumu, paredzot akciju atpirkšanu</w:t>
                  </w:r>
                  <w:r w:rsidR="00C01C70" w:rsidRPr="00A43A86">
                    <w:rPr>
                      <w:rFonts w:ascii="Times New Roman" w:hAnsi="Times New Roman" w:cs="Times New Roman"/>
                      <w:sz w:val="24"/>
                      <w:szCs w:val="24"/>
                    </w:rPr>
                    <w:t>,</w:t>
                  </w:r>
                  <w:r w:rsidR="00263E02" w:rsidRPr="00A43A86">
                    <w:rPr>
                      <w:rFonts w:ascii="Times New Roman" w:hAnsi="Times New Roman" w:cs="Times New Roman"/>
                      <w:sz w:val="24"/>
                      <w:szCs w:val="24"/>
                    </w:rPr>
                    <w:t xml:space="preserve"> prasība par a</w:t>
                  </w:r>
                  <w:r w:rsidRPr="00A43A86">
                    <w:rPr>
                      <w:rFonts w:ascii="Times New Roman" w:hAnsi="Times New Roman" w:cs="Times New Roman"/>
                      <w:sz w:val="24"/>
                      <w:szCs w:val="24"/>
                    </w:rPr>
                    <w:t xml:space="preserve">kcionāru </w:t>
                  </w:r>
                  <w:r w:rsidR="00C01C70" w:rsidRPr="00A43A86">
                    <w:rPr>
                      <w:rFonts w:ascii="Times New Roman" w:hAnsi="Times New Roman" w:cs="Times New Roman"/>
                      <w:sz w:val="24"/>
                      <w:szCs w:val="24"/>
                    </w:rPr>
                    <w:t xml:space="preserve">savstarpējās izpratnes </w:t>
                  </w:r>
                  <w:r w:rsidRPr="00A43A86">
                    <w:rPr>
                      <w:rFonts w:ascii="Times New Roman" w:hAnsi="Times New Roman" w:cs="Times New Roman"/>
                      <w:sz w:val="24"/>
                      <w:szCs w:val="24"/>
                    </w:rPr>
                    <w:t>līguma, kas regulē un paredz saistības un pienākumus starp prasītāju un citiem vairāku kapitālsabiedrību juridiskajiem un faktiskajiem īpašniekiem, cita starpā nosakot kādas investīcijas veic līguma dalībnieki un kādu labumu saņem pretī par investīciju izdarīšanu šajās kapitālsabiedrībās</w:t>
                  </w:r>
                  <w:r w:rsidR="00C01C70" w:rsidRPr="00A43A86">
                    <w:rPr>
                      <w:rFonts w:ascii="Times New Roman" w:hAnsi="Times New Roman" w:cs="Times New Roman"/>
                      <w:sz w:val="24"/>
                      <w:szCs w:val="24"/>
                    </w:rPr>
                    <w:t>, tiesiskumu, prasības par zaudējumu atlīdzību par n</w:t>
                  </w:r>
                  <w:r w:rsidRPr="00A43A86">
                    <w:rPr>
                      <w:rFonts w:ascii="Times New Roman" w:hAnsi="Times New Roman" w:cs="Times New Roman"/>
                      <w:sz w:val="24"/>
                      <w:szCs w:val="24"/>
                    </w:rPr>
                    <w:t>eatļautu darbību, kas ir izpaudusies kā akcionāru savstarpējās izpratnes līguma pārkāpums, atsavinot prasītājam piederošo kapitālu, kā rezultātā prasītājam ir radušies zaudējumi.</w:t>
                  </w:r>
                </w:p>
                <w:p w14:paraId="264E569B" w14:textId="39F9756F" w:rsidR="00C01C70" w:rsidRPr="00A43A86" w:rsidRDefault="00C01C70" w:rsidP="002824C2">
                  <w:pPr>
                    <w:jc w:val="both"/>
                    <w:rPr>
                      <w:rFonts w:ascii="Times New Roman" w:hAnsi="Times New Roman" w:cs="Times New Roman"/>
                      <w:sz w:val="24"/>
                      <w:szCs w:val="24"/>
                    </w:rPr>
                  </w:pPr>
                  <w:r w:rsidRPr="00A43A86">
                    <w:rPr>
                      <w:rFonts w:ascii="Times New Roman" w:hAnsi="Times New Roman" w:cs="Times New Roman"/>
                      <w:sz w:val="24"/>
                      <w:szCs w:val="24"/>
                    </w:rPr>
                    <w:t>Š</w:t>
                  </w:r>
                  <w:r w:rsidR="00DC327C" w:rsidRPr="00A43A86">
                    <w:rPr>
                      <w:rFonts w:ascii="Times New Roman" w:hAnsi="Times New Roman" w:cs="Times New Roman"/>
                      <w:sz w:val="24"/>
                      <w:szCs w:val="24"/>
                    </w:rPr>
                    <w:t>ai</w:t>
                  </w:r>
                  <w:r w:rsidRPr="00A43A86">
                    <w:rPr>
                      <w:rFonts w:ascii="Times New Roman" w:hAnsi="Times New Roman" w:cs="Times New Roman"/>
                      <w:sz w:val="24"/>
                      <w:szCs w:val="24"/>
                    </w:rPr>
                    <w:t xml:space="preserve"> lietu kategorijai arī atbilst strīdi, kas izriet no Finanšu tirgus instrumenta likuma konkrēti prasības par </w:t>
                  </w:r>
                  <w:r w:rsidRPr="00A43A86">
                    <w:rPr>
                      <w:rFonts w:ascii="Times New Roman" w:hAnsi="Times New Roman" w:cs="Times New Roman"/>
                      <w:sz w:val="24"/>
                      <w:szCs w:val="24"/>
                    </w:rPr>
                    <w:lastRenderedPageBreak/>
                    <w:t>mazākuma akcionāra tiesībām vērsties pret vairākuma akcionāru, t.i. pieteikumi, kas iesniegti Finanšu instrumenta tirgus likuma 74.</w:t>
                  </w:r>
                  <w:r w:rsidRPr="00A43A86">
                    <w:rPr>
                      <w:rFonts w:ascii="Times New Roman" w:hAnsi="Times New Roman" w:cs="Times New Roman"/>
                      <w:sz w:val="24"/>
                      <w:szCs w:val="24"/>
                      <w:vertAlign w:val="superscript"/>
                    </w:rPr>
                    <w:t>1</w:t>
                  </w:r>
                  <w:r w:rsidRPr="00A43A86">
                    <w:rPr>
                      <w:rFonts w:ascii="Times New Roman" w:hAnsi="Times New Roman" w:cs="Times New Roman"/>
                      <w:sz w:val="24"/>
                      <w:szCs w:val="24"/>
                    </w:rPr>
                    <w:t xml:space="preserve"> panta pirmās daļas un 83.</w:t>
                  </w:r>
                  <w:r w:rsidRPr="00A43A86">
                    <w:rPr>
                      <w:rFonts w:ascii="Times New Roman" w:hAnsi="Times New Roman" w:cs="Times New Roman"/>
                      <w:sz w:val="24"/>
                      <w:szCs w:val="24"/>
                      <w:vertAlign w:val="superscript"/>
                    </w:rPr>
                    <w:t>1</w:t>
                  </w:r>
                  <w:r w:rsidRPr="00A43A86">
                    <w:rPr>
                      <w:rFonts w:ascii="Times New Roman" w:hAnsi="Times New Roman" w:cs="Times New Roman"/>
                      <w:sz w:val="24"/>
                      <w:szCs w:val="24"/>
                    </w:rPr>
                    <w:t xml:space="preserve"> panta kārtībā – piemēram, zaudējumu piedziņa sakarā ar neizpildītu pienākumu – izteikt akciju atpirkšanas piedāvājumu.</w:t>
                  </w:r>
                </w:p>
              </w:tc>
            </w:tr>
            <w:tr w:rsidR="008C079F" w:rsidRPr="00A43A86" w14:paraId="56A40930" w14:textId="77777777" w:rsidTr="00B92582">
              <w:tc>
                <w:tcPr>
                  <w:tcW w:w="1810" w:type="dxa"/>
                </w:tcPr>
                <w:p w14:paraId="3BF92CE4" w14:textId="77777777" w:rsidR="008C079F" w:rsidRPr="00A43A86" w:rsidRDefault="008C079F" w:rsidP="008C079F">
                  <w:pPr>
                    <w:jc w:val="both"/>
                    <w:rPr>
                      <w:rFonts w:ascii="Times New Roman" w:hAnsi="Times New Roman" w:cs="Times New Roman"/>
                      <w:sz w:val="24"/>
                      <w:szCs w:val="24"/>
                    </w:rPr>
                  </w:pPr>
                  <w:r w:rsidRPr="00A43A86">
                    <w:rPr>
                      <w:rFonts w:ascii="Times New Roman" w:hAnsi="Times New Roman" w:cs="Times New Roman"/>
                      <w:sz w:val="24"/>
                      <w:szCs w:val="24"/>
                    </w:rPr>
                    <w:lastRenderedPageBreak/>
                    <w:t>Prasības, kas izriet no finanšu nodrošinājuma līgumiem</w:t>
                  </w:r>
                </w:p>
              </w:tc>
              <w:tc>
                <w:tcPr>
                  <w:tcW w:w="707" w:type="dxa"/>
                </w:tcPr>
                <w:p w14:paraId="613C0769"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5</w:t>
                  </w:r>
                </w:p>
              </w:tc>
              <w:tc>
                <w:tcPr>
                  <w:tcW w:w="709" w:type="dxa"/>
                </w:tcPr>
                <w:p w14:paraId="56F52627"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2</w:t>
                  </w:r>
                </w:p>
              </w:tc>
              <w:tc>
                <w:tcPr>
                  <w:tcW w:w="2268" w:type="dxa"/>
                </w:tcPr>
                <w:p w14:paraId="15C58C4C" w14:textId="77777777" w:rsidR="008C079F" w:rsidRPr="00A43A86" w:rsidRDefault="008C079F" w:rsidP="008C079F">
                  <w:pPr>
                    <w:rPr>
                      <w:rFonts w:ascii="Times New Roman" w:hAnsi="Times New Roman" w:cs="Times New Roman"/>
                      <w:sz w:val="24"/>
                      <w:szCs w:val="24"/>
                    </w:rPr>
                  </w:pPr>
                  <w:r w:rsidRPr="00A43A86">
                    <w:rPr>
                      <w:rFonts w:ascii="Times New Roman" w:hAnsi="Times New Roman" w:cs="Times New Roman"/>
                      <w:sz w:val="24"/>
                      <w:szCs w:val="24"/>
                    </w:rPr>
                    <w:t>“finanšu nodrošinājuma”</w:t>
                  </w:r>
                </w:p>
              </w:tc>
            </w:tr>
            <w:tr w:rsidR="002824C2" w:rsidRPr="00A43A86" w14:paraId="14D2F17F" w14:textId="77777777" w:rsidTr="00757B5F">
              <w:tc>
                <w:tcPr>
                  <w:tcW w:w="5494" w:type="dxa"/>
                  <w:gridSpan w:val="4"/>
                </w:tcPr>
                <w:p w14:paraId="45E59D5E" w14:textId="7D8EC8B6" w:rsidR="002824C2" w:rsidRPr="00A43A86" w:rsidRDefault="007E231C" w:rsidP="007E231C">
                  <w:pPr>
                    <w:jc w:val="both"/>
                    <w:rPr>
                      <w:rFonts w:ascii="Times New Roman" w:hAnsi="Times New Roman" w:cs="Times New Roman"/>
                      <w:sz w:val="24"/>
                      <w:szCs w:val="24"/>
                    </w:rPr>
                  </w:pPr>
                  <w:r w:rsidRPr="00A43A86">
                    <w:rPr>
                      <w:rFonts w:ascii="Times New Roman" w:hAnsi="Times New Roman" w:cs="Times New Roman"/>
                      <w:sz w:val="24"/>
                      <w:szCs w:val="24"/>
                    </w:rPr>
                    <w:t xml:space="preserve">Piemēram, </w:t>
                  </w:r>
                  <w:r w:rsidR="00C01C70" w:rsidRPr="00A43A86">
                    <w:rPr>
                      <w:rFonts w:ascii="Times New Roman" w:hAnsi="Times New Roman" w:cs="Times New Roman"/>
                      <w:sz w:val="24"/>
                      <w:szCs w:val="24"/>
                    </w:rPr>
                    <w:t>prasības</w:t>
                  </w:r>
                  <w:r w:rsidRPr="00A43A86">
                    <w:rPr>
                      <w:rFonts w:ascii="Times New Roman" w:hAnsi="Times New Roman" w:cs="Times New Roman"/>
                      <w:sz w:val="24"/>
                      <w:szCs w:val="24"/>
                    </w:rPr>
                    <w:t xml:space="preserve"> par finanšu ķīlas samērīgumu kā finanšu nodrošinājumu</w:t>
                  </w:r>
                  <w:r w:rsidR="00C01C70" w:rsidRPr="00A43A86">
                    <w:rPr>
                      <w:rFonts w:ascii="Times New Roman" w:hAnsi="Times New Roman" w:cs="Times New Roman"/>
                      <w:sz w:val="24"/>
                      <w:szCs w:val="24"/>
                    </w:rPr>
                    <w:t>, prasības p</w:t>
                  </w:r>
                  <w:r w:rsidRPr="00A43A86">
                    <w:rPr>
                      <w:rFonts w:ascii="Times New Roman" w:hAnsi="Times New Roman" w:cs="Times New Roman"/>
                      <w:sz w:val="24"/>
                      <w:szCs w:val="24"/>
                    </w:rPr>
                    <w:t>ar komercķīlas līguma atzīšanu par spēkā neesošu</w:t>
                  </w:r>
                  <w:r w:rsidR="00C01C70" w:rsidRPr="00A43A86">
                    <w:rPr>
                      <w:rFonts w:ascii="Times New Roman" w:hAnsi="Times New Roman" w:cs="Times New Roman"/>
                      <w:sz w:val="24"/>
                      <w:szCs w:val="24"/>
                    </w:rPr>
                    <w:t>, prasības par k</w:t>
                  </w:r>
                  <w:r w:rsidRPr="00A43A86">
                    <w:rPr>
                      <w:rFonts w:ascii="Times New Roman" w:hAnsi="Times New Roman" w:cs="Times New Roman"/>
                      <w:sz w:val="24"/>
                      <w:szCs w:val="24"/>
                    </w:rPr>
                    <w:t>reditora tiesībām izmantot finanšu ķīlu.</w:t>
                  </w:r>
                </w:p>
              </w:tc>
            </w:tr>
            <w:tr w:rsidR="00C01C70" w:rsidRPr="00A43A86" w14:paraId="7EAF1308" w14:textId="77777777" w:rsidTr="00B92582">
              <w:tc>
                <w:tcPr>
                  <w:tcW w:w="1810" w:type="dxa"/>
                </w:tcPr>
                <w:p w14:paraId="6E015E83" w14:textId="6EA1E248" w:rsidR="00C01C70" w:rsidRPr="00A43A86" w:rsidRDefault="00C01C70" w:rsidP="008C079F">
                  <w:pPr>
                    <w:jc w:val="both"/>
                    <w:rPr>
                      <w:rFonts w:ascii="Times New Roman" w:hAnsi="Times New Roman" w:cs="Times New Roman"/>
                      <w:sz w:val="24"/>
                      <w:szCs w:val="24"/>
                    </w:rPr>
                  </w:pPr>
                  <w:r w:rsidRPr="00A43A86">
                    <w:rPr>
                      <w:rFonts w:ascii="Times New Roman" w:hAnsi="Times New Roman" w:cs="Times New Roman"/>
                      <w:sz w:val="24"/>
                      <w:szCs w:val="24"/>
                    </w:rPr>
                    <w:t>Prasības par kapitālsabiedrību darījumu ar saistītajām personām apstrīdēšanu</w:t>
                  </w:r>
                </w:p>
              </w:tc>
              <w:tc>
                <w:tcPr>
                  <w:tcW w:w="707" w:type="dxa"/>
                </w:tcPr>
                <w:p w14:paraId="4593ACE5" w14:textId="78B17D65" w:rsidR="00C01C70" w:rsidRPr="00A43A86" w:rsidRDefault="00C01C70" w:rsidP="008C079F">
                  <w:pPr>
                    <w:rPr>
                      <w:rFonts w:ascii="Times New Roman" w:hAnsi="Times New Roman" w:cs="Times New Roman"/>
                      <w:sz w:val="24"/>
                      <w:szCs w:val="24"/>
                    </w:rPr>
                  </w:pPr>
                  <w:r w:rsidRPr="00A43A86">
                    <w:rPr>
                      <w:rFonts w:ascii="Times New Roman" w:hAnsi="Times New Roman" w:cs="Times New Roman"/>
                      <w:sz w:val="24"/>
                      <w:szCs w:val="24"/>
                    </w:rPr>
                    <w:t>1</w:t>
                  </w:r>
                </w:p>
              </w:tc>
              <w:tc>
                <w:tcPr>
                  <w:tcW w:w="709" w:type="dxa"/>
                </w:tcPr>
                <w:p w14:paraId="4D5C96D8" w14:textId="4C24903D" w:rsidR="00C01C70" w:rsidRPr="00A43A86" w:rsidRDefault="00C01C70" w:rsidP="008C079F">
                  <w:pPr>
                    <w:rPr>
                      <w:rFonts w:ascii="Times New Roman" w:hAnsi="Times New Roman" w:cs="Times New Roman"/>
                      <w:sz w:val="24"/>
                      <w:szCs w:val="24"/>
                    </w:rPr>
                  </w:pPr>
                  <w:r w:rsidRPr="00A43A86">
                    <w:rPr>
                      <w:rFonts w:ascii="Times New Roman" w:hAnsi="Times New Roman" w:cs="Times New Roman"/>
                      <w:sz w:val="24"/>
                      <w:szCs w:val="24"/>
                    </w:rPr>
                    <w:t>1</w:t>
                  </w:r>
                </w:p>
              </w:tc>
              <w:tc>
                <w:tcPr>
                  <w:tcW w:w="2268" w:type="dxa"/>
                </w:tcPr>
                <w:p w14:paraId="44785C32" w14:textId="77777777" w:rsidR="00C01C70" w:rsidRPr="00A43A86" w:rsidRDefault="00C01C70" w:rsidP="008C079F">
                  <w:pPr>
                    <w:rPr>
                      <w:rFonts w:ascii="Times New Roman" w:hAnsi="Times New Roman" w:cs="Times New Roman"/>
                      <w:sz w:val="24"/>
                      <w:szCs w:val="24"/>
                    </w:rPr>
                  </w:pPr>
                  <w:r w:rsidRPr="00A43A86">
                    <w:rPr>
                      <w:rFonts w:ascii="Times New Roman" w:hAnsi="Times New Roman" w:cs="Times New Roman"/>
                      <w:sz w:val="24"/>
                      <w:szCs w:val="24"/>
                    </w:rPr>
                    <w:t>"darījums ar saistīto personu"</w:t>
                  </w:r>
                  <w:r w:rsidR="009E4D6B" w:rsidRPr="00A43A86">
                    <w:rPr>
                      <w:rFonts w:ascii="Times New Roman" w:hAnsi="Times New Roman" w:cs="Times New Roman"/>
                      <w:sz w:val="24"/>
                      <w:szCs w:val="24"/>
                    </w:rPr>
                    <w:t xml:space="preserve">; </w:t>
                  </w:r>
                </w:p>
                <w:p w14:paraId="367341C6" w14:textId="09010B0E" w:rsidR="009E4D6B" w:rsidRPr="00A43A86" w:rsidRDefault="009E4D6B" w:rsidP="008C079F">
                  <w:pPr>
                    <w:rPr>
                      <w:rFonts w:ascii="Times New Roman" w:hAnsi="Times New Roman" w:cs="Times New Roman"/>
                      <w:sz w:val="24"/>
                      <w:szCs w:val="24"/>
                    </w:rPr>
                  </w:pPr>
                  <w:r w:rsidRPr="00A43A86">
                    <w:rPr>
                      <w:rFonts w:ascii="Times New Roman" w:eastAsia="Times New Roman" w:hAnsi="Times New Roman" w:cs="Times New Roman"/>
                      <w:sz w:val="24"/>
                      <w:szCs w:val="24"/>
                    </w:rPr>
                    <w:t>"Finanšu instrumenta tirgus likuma 59.</w:t>
                  </w:r>
                  <w:r w:rsidRPr="00A43A86">
                    <w:rPr>
                      <w:rFonts w:ascii="Times New Roman" w:eastAsia="Times New Roman" w:hAnsi="Times New Roman" w:cs="Times New Roman"/>
                      <w:sz w:val="24"/>
                      <w:szCs w:val="24"/>
                      <w:vertAlign w:val="superscript"/>
                    </w:rPr>
                    <w:t>1</w:t>
                  </w:r>
                  <w:r w:rsidRPr="00A43A86">
                    <w:rPr>
                      <w:rFonts w:ascii="Times New Roman" w:eastAsia="Times New Roman" w:hAnsi="Times New Roman" w:cs="Times New Roman"/>
                      <w:sz w:val="24"/>
                      <w:szCs w:val="24"/>
                    </w:rPr>
                    <w:t xml:space="preserve"> pants"</w:t>
                  </w:r>
                </w:p>
              </w:tc>
            </w:tr>
            <w:tr w:rsidR="00C01C70" w:rsidRPr="00A43A86" w14:paraId="151994A3" w14:textId="77777777" w:rsidTr="00757B5F">
              <w:tc>
                <w:tcPr>
                  <w:tcW w:w="5494" w:type="dxa"/>
                  <w:gridSpan w:val="4"/>
                </w:tcPr>
                <w:p w14:paraId="0994309C" w14:textId="54FF92C1" w:rsidR="00C01C70" w:rsidRPr="00A43A86" w:rsidRDefault="00C01C70" w:rsidP="00A87B72">
                  <w:pPr>
                    <w:jc w:val="both"/>
                    <w:rPr>
                      <w:rFonts w:ascii="Times New Roman" w:hAnsi="Times New Roman" w:cs="Times New Roman"/>
                      <w:sz w:val="24"/>
                      <w:szCs w:val="24"/>
                    </w:rPr>
                  </w:pPr>
                  <w:r w:rsidRPr="00A43A86">
                    <w:rPr>
                      <w:rFonts w:ascii="Times New Roman" w:hAnsi="Times New Roman" w:cs="Times New Roman"/>
                      <w:sz w:val="24"/>
                      <w:szCs w:val="24"/>
                    </w:rPr>
                    <w:t>Piemēram, prasības par nekustamā īpašuma atsavināšanas darījuma apstrīdēšanu, prasības par ziņu (par ražošanas iekārtu nomu un produkcijas īpatsvara samazināšanos), kas neatbilst patiesībai, izpaušanas atsaukšanu.</w:t>
                  </w:r>
                </w:p>
              </w:tc>
            </w:tr>
            <w:tr w:rsidR="00C01C70" w:rsidRPr="00A43A86" w14:paraId="0610AEC7" w14:textId="77777777" w:rsidTr="00B92582">
              <w:tc>
                <w:tcPr>
                  <w:tcW w:w="1810" w:type="dxa"/>
                </w:tcPr>
                <w:p w14:paraId="1D7A0C66" w14:textId="5CD583BD" w:rsidR="00C01C70" w:rsidRPr="00A43A86" w:rsidRDefault="00C01C70" w:rsidP="00C01C70">
                  <w:pPr>
                    <w:jc w:val="both"/>
                    <w:rPr>
                      <w:rFonts w:ascii="Times New Roman" w:hAnsi="Times New Roman" w:cs="Times New Roman"/>
                      <w:sz w:val="24"/>
                      <w:szCs w:val="24"/>
                    </w:rPr>
                  </w:pPr>
                  <w:r w:rsidRPr="00A43A86">
                    <w:rPr>
                      <w:rFonts w:ascii="Times New Roman" w:hAnsi="Times New Roman" w:cs="Times New Roman"/>
                      <w:sz w:val="24"/>
                      <w:szCs w:val="24"/>
                    </w:rPr>
                    <w:t xml:space="preserve">Prasības, kas izriet no uzņēmumu pārejas un sabiedrības reorganizācijas, izņemot darbinieku prasījumus  </w:t>
                  </w:r>
                </w:p>
              </w:tc>
              <w:tc>
                <w:tcPr>
                  <w:tcW w:w="707" w:type="dxa"/>
                </w:tcPr>
                <w:p w14:paraId="6E3A6D82" w14:textId="413E949E" w:rsidR="00C01C70" w:rsidRPr="00A43A86" w:rsidRDefault="00FF56BB" w:rsidP="00C01C70">
                  <w:pPr>
                    <w:rPr>
                      <w:rFonts w:ascii="Times New Roman" w:hAnsi="Times New Roman" w:cs="Times New Roman"/>
                      <w:sz w:val="24"/>
                      <w:szCs w:val="24"/>
                    </w:rPr>
                  </w:pPr>
                  <w:r w:rsidRPr="00A43A86">
                    <w:rPr>
                      <w:rFonts w:ascii="Times New Roman" w:hAnsi="Times New Roman" w:cs="Times New Roman"/>
                      <w:sz w:val="24"/>
                      <w:szCs w:val="24"/>
                    </w:rPr>
                    <w:t>5</w:t>
                  </w:r>
                </w:p>
              </w:tc>
              <w:tc>
                <w:tcPr>
                  <w:tcW w:w="709" w:type="dxa"/>
                </w:tcPr>
                <w:p w14:paraId="528806DE" w14:textId="39E59633" w:rsidR="00C01C70" w:rsidRPr="00A43A86" w:rsidRDefault="00FF56BB" w:rsidP="00C01C70">
                  <w:pPr>
                    <w:rPr>
                      <w:rFonts w:ascii="Times New Roman" w:hAnsi="Times New Roman" w:cs="Times New Roman"/>
                      <w:sz w:val="24"/>
                      <w:szCs w:val="24"/>
                    </w:rPr>
                  </w:pPr>
                  <w:r w:rsidRPr="00A43A86">
                    <w:rPr>
                      <w:rFonts w:ascii="Times New Roman" w:hAnsi="Times New Roman" w:cs="Times New Roman"/>
                      <w:sz w:val="24"/>
                      <w:szCs w:val="24"/>
                    </w:rPr>
                    <w:t>0</w:t>
                  </w:r>
                </w:p>
              </w:tc>
              <w:tc>
                <w:tcPr>
                  <w:tcW w:w="2268" w:type="dxa"/>
                </w:tcPr>
                <w:p w14:paraId="3EECD2E1" w14:textId="77777777" w:rsidR="00C01C70" w:rsidRPr="00A43A86" w:rsidRDefault="00C01C70" w:rsidP="00C01C70">
                  <w:pPr>
                    <w:rPr>
                      <w:rFonts w:ascii="Times New Roman" w:hAnsi="Times New Roman" w:cs="Times New Roman"/>
                      <w:sz w:val="24"/>
                      <w:szCs w:val="24"/>
                    </w:rPr>
                  </w:pPr>
                  <w:r w:rsidRPr="00A43A86">
                    <w:rPr>
                      <w:rFonts w:ascii="Times New Roman" w:hAnsi="Times New Roman" w:cs="Times New Roman"/>
                      <w:sz w:val="24"/>
                      <w:szCs w:val="24"/>
                    </w:rPr>
                    <w:t>"Komerclikuma 20.pants";</w:t>
                  </w:r>
                </w:p>
                <w:p w14:paraId="477C4931" w14:textId="1E62E82B" w:rsidR="00C01C70" w:rsidRPr="00A43A86" w:rsidRDefault="00C01C70" w:rsidP="00C01C70">
                  <w:pPr>
                    <w:rPr>
                      <w:rFonts w:ascii="Times New Roman" w:hAnsi="Times New Roman" w:cs="Times New Roman"/>
                      <w:sz w:val="24"/>
                      <w:szCs w:val="24"/>
                    </w:rPr>
                  </w:pPr>
                  <w:r w:rsidRPr="00A43A86">
                    <w:rPr>
                      <w:rFonts w:ascii="Times New Roman" w:hAnsi="Times New Roman" w:cs="Times New Roman"/>
                      <w:sz w:val="24"/>
                      <w:szCs w:val="24"/>
                    </w:rPr>
                    <w:t>"lēmums par reorganizāciju" (nesatur darbinieku prasījumi)</w:t>
                  </w:r>
                </w:p>
              </w:tc>
            </w:tr>
            <w:tr w:rsidR="00C01C70" w:rsidRPr="00A43A86" w14:paraId="68810CB5" w14:textId="77777777" w:rsidTr="00757B5F">
              <w:tc>
                <w:tcPr>
                  <w:tcW w:w="5494" w:type="dxa"/>
                  <w:gridSpan w:val="4"/>
                </w:tcPr>
                <w:p w14:paraId="51669C25" w14:textId="6A3A6D03" w:rsidR="00C01C70" w:rsidRPr="00A43A86" w:rsidRDefault="00C01C70" w:rsidP="00C01C70">
                  <w:pPr>
                    <w:jc w:val="both"/>
                    <w:rPr>
                      <w:rFonts w:ascii="Times New Roman" w:hAnsi="Times New Roman" w:cs="Times New Roman"/>
                      <w:sz w:val="24"/>
                      <w:szCs w:val="24"/>
                    </w:rPr>
                  </w:pPr>
                  <w:r w:rsidRPr="00A43A86">
                    <w:rPr>
                      <w:rFonts w:ascii="Times New Roman" w:hAnsi="Times New Roman" w:cs="Times New Roman"/>
                      <w:sz w:val="24"/>
                      <w:szCs w:val="24"/>
                    </w:rPr>
                    <w:t>Piemēram, prasības par kustamas mantas izlietošanu bez saskaņošanas, prasības par kredītmaksājuma veikšanu, ja nodoti debitoru parādi un prasījuma tiesības pret tiem, prasības par kopīpašuma izbeigšanu sabiedrības reorganizācijas rezultātā.</w:t>
                  </w:r>
                </w:p>
              </w:tc>
            </w:tr>
            <w:tr w:rsidR="00C01C70" w:rsidRPr="00A43A86" w14:paraId="6F8B4E0A" w14:textId="77777777" w:rsidTr="00B92582">
              <w:trPr>
                <w:trHeight w:val="298"/>
              </w:trPr>
              <w:tc>
                <w:tcPr>
                  <w:tcW w:w="1810" w:type="dxa"/>
                </w:tcPr>
                <w:p w14:paraId="0416B000" w14:textId="77777777" w:rsidR="00C01C70" w:rsidRPr="006376ED" w:rsidRDefault="00C01C70" w:rsidP="00C01C70">
                  <w:pPr>
                    <w:rPr>
                      <w:rFonts w:ascii="Times New Roman" w:hAnsi="Times New Roman" w:cs="Times New Roman"/>
                      <w:sz w:val="24"/>
                      <w:szCs w:val="24"/>
                    </w:rPr>
                  </w:pPr>
                  <w:r w:rsidRPr="006376ED">
                    <w:rPr>
                      <w:rFonts w:ascii="Times New Roman" w:hAnsi="Times New Roman" w:cs="Times New Roman"/>
                      <w:sz w:val="24"/>
                      <w:szCs w:val="24"/>
                    </w:rPr>
                    <w:t>Prasības par būvniecības procesa dalībnieku atbildību</w:t>
                  </w:r>
                </w:p>
                <w:p w14:paraId="490DB0D4" w14:textId="79105EED" w:rsidR="00C01C70" w:rsidRPr="006376ED" w:rsidRDefault="00C01C70" w:rsidP="00C01C70">
                  <w:pPr>
                    <w:jc w:val="both"/>
                    <w:rPr>
                      <w:rFonts w:ascii="Times New Roman" w:hAnsi="Times New Roman" w:cs="Times New Roman"/>
                      <w:sz w:val="24"/>
                      <w:szCs w:val="24"/>
                    </w:rPr>
                  </w:pPr>
                </w:p>
              </w:tc>
              <w:tc>
                <w:tcPr>
                  <w:tcW w:w="707" w:type="dxa"/>
                </w:tcPr>
                <w:p w14:paraId="2D45991F" w14:textId="543489AD" w:rsidR="00C01C70" w:rsidRPr="006376ED" w:rsidRDefault="0072179F" w:rsidP="00C01C70">
                  <w:pPr>
                    <w:rPr>
                      <w:rFonts w:ascii="Times New Roman" w:hAnsi="Times New Roman" w:cs="Times New Roman"/>
                      <w:sz w:val="24"/>
                      <w:szCs w:val="24"/>
                    </w:rPr>
                  </w:pPr>
                  <w:r w:rsidRPr="006376ED">
                    <w:rPr>
                      <w:rFonts w:ascii="Times New Roman" w:hAnsi="Times New Roman" w:cs="Times New Roman"/>
                      <w:sz w:val="24"/>
                      <w:szCs w:val="24"/>
                    </w:rPr>
                    <w:t>6</w:t>
                  </w:r>
                </w:p>
              </w:tc>
              <w:tc>
                <w:tcPr>
                  <w:tcW w:w="709" w:type="dxa"/>
                </w:tcPr>
                <w:p w14:paraId="62100783" w14:textId="78C48B9C" w:rsidR="00C01C70" w:rsidRPr="006376ED" w:rsidRDefault="0072179F" w:rsidP="00C01C70">
                  <w:pPr>
                    <w:rPr>
                      <w:rFonts w:ascii="Times New Roman" w:hAnsi="Times New Roman" w:cs="Times New Roman"/>
                      <w:sz w:val="24"/>
                      <w:szCs w:val="24"/>
                    </w:rPr>
                  </w:pPr>
                  <w:r w:rsidRPr="006376ED">
                    <w:rPr>
                      <w:rFonts w:ascii="Times New Roman" w:hAnsi="Times New Roman" w:cs="Times New Roman"/>
                      <w:sz w:val="24"/>
                      <w:szCs w:val="24"/>
                    </w:rPr>
                    <w:t>1</w:t>
                  </w:r>
                </w:p>
              </w:tc>
              <w:tc>
                <w:tcPr>
                  <w:tcW w:w="2268" w:type="dxa"/>
                </w:tcPr>
                <w:p w14:paraId="567C09A8" w14:textId="4CE016FA" w:rsidR="00C01C70" w:rsidRPr="006376ED" w:rsidRDefault="00C01C70" w:rsidP="00C01C70">
                  <w:pPr>
                    <w:rPr>
                      <w:rFonts w:ascii="Times New Roman" w:hAnsi="Times New Roman" w:cs="Times New Roman"/>
                      <w:sz w:val="24"/>
                      <w:szCs w:val="24"/>
                    </w:rPr>
                  </w:pPr>
                  <w:r w:rsidRPr="006376ED">
                    <w:rPr>
                      <w:rFonts w:ascii="Times New Roman" w:hAnsi="Times New Roman" w:cs="Times New Roman"/>
                      <w:sz w:val="24"/>
                      <w:szCs w:val="24"/>
                    </w:rPr>
                    <w:t>"Būvniecības likuma 19.pants"</w:t>
                  </w:r>
                </w:p>
              </w:tc>
            </w:tr>
            <w:tr w:rsidR="00C01C70" w:rsidRPr="00A43A86" w14:paraId="6380F049" w14:textId="77777777" w:rsidTr="00757B5F">
              <w:trPr>
                <w:trHeight w:val="298"/>
              </w:trPr>
              <w:tc>
                <w:tcPr>
                  <w:tcW w:w="5494" w:type="dxa"/>
                  <w:gridSpan w:val="4"/>
                </w:tcPr>
                <w:p w14:paraId="2202E110" w14:textId="76FF32A1" w:rsidR="00C01C70" w:rsidRPr="00A43A86" w:rsidRDefault="00C01C70" w:rsidP="00C01C70">
                  <w:pPr>
                    <w:jc w:val="both"/>
                    <w:rPr>
                      <w:rFonts w:ascii="Times New Roman" w:hAnsi="Times New Roman" w:cs="Times New Roman"/>
                      <w:sz w:val="24"/>
                      <w:szCs w:val="24"/>
                    </w:rPr>
                  </w:pPr>
                  <w:r w:rsidRPr="00A43A86">
                    <w:rPr>
                      <w:rFonts w:ascii="Times New Roman" w:hAnsi="Times New Roman" w:cs="Times New Roman"/>
                      <w:sz w:val="24"/>
                      <w:szCs w:val="24"/>
                    </w:rPr>
                    <w:t xml:space="preserve">Piemēram, prasības par nolīgto darbu neveikšanu saskaņā ar uzdoto, kā arī garantijas laikā, saņemot pretenziju, nenovērstajiem nekvalitatīvi veiktiem darbiem un defektiem, kā rezultātā prasītājam nodarīti zaudējumi; prasības par zaudējumu radīšanu prasītajam </w:t>
                  </w:r>
                  <w:r w:rsidRPr="00A43A86">
                    <w:rPr>
                      <w:rFonts w:ascii="Times New Roman" w:hAnsi="Times New Roman" w:cs="Times New Roman"/>
                      <w:sz w:val="24"/>
                      <w:szCs w:val="24"/>
                    </w:rPr>
                    <w:lastRenderedPageBreak/>
                    <w:t>kā būvniecības objekta pasūtītājam saistībā ar papildus darbiem pirms objekta nodošanas ekspluatācijā, prasība pret būvuzraugu par zaudējumu nodarīšanu - jumta izbūve neatbilstoši būvprojektam, prasības par zaudējumu atlīdzināšanu - nekvalitatīvi veiktā darba rezultātā un darba izpildē pieļauto tehnisko kļūdu rezultātā darbnīcā ieplūda betona maisījums-prasītāja ar defekta novēršanu saistītās izmaksas nav atlīdzinājusi, atkāpes no tehniskā projekta.</w:t>
                  </w:r>
                </w:p>
              </w:tc>
            </w:tr>
            <w:tr w:rsidR="00C01C70" w:rsidRPr="00A43A86" w14:paraId="54E83CDF" w14:textId="77777777" w:rsidTr="00B92582">
              <w:trPr>
                <w:trHeight w:val="298"/>
              </w:trPr>
              <w:tc>
                <w:tcPr>
                  <w:tcW w:w="1810" w:type="dxa"/>
                </w:tcPr>
                <w:p w14:paraId="3591C0DE" w14:textId="020FF08F" w:rsidR="00C01C70" w:rsidRPr="00A43A86" w:rsidRDefault="00C01C70" w:rsidP="00C01C70">
                  <w:pPr>
                    <w:jc w:val="both"/>
                    <w:rPr>
                      <w:rFonts w:ascii="Times New Roman" w:hAnsi="Times New Roman" w:cs="Times New Roman"/>
                      <w:sz w:val="24"/>
                      <w:szCs w:val="24"/>
                    </w:rPr>
                  </w:pPr>
                  <w:r w:rsidRPr="00A43A86">
                    <w:rPr>
                      <w:rFonts w:ascii="Times New Roman" w:hAnsi="Times New Roman" w:cs="Times New Roman"/>
                      <w:sz w:val="24"/>
                      <w:szCs w:val="24"/>
                    </w:rPr>
                    <w:lastRenderedPageBreak/>
                    <w:t>prasības par konkurences tiesību pārkāpumiem</w:t>
                  </w:r>
                </w:p>
              </w:tc>
              <w:tc>
                <w:tcPr>
                  <w:tcW w:w="707" w:type="dxa"/>
                </w:tcPr>
                <w:p w14:paraId="33A0E4B5" w14:textId="5E40FA9D" w:rsidR="00C01C70" w:rsidRPr="00A43A86" w:rsidRDefault="00FF56BB" w:rsidP="00C01C70">
                  <w:pPr>
                    <w:rPr>
                      <w:rFonts w:ascii="Times New Roman" w:hAnsi="Times New Roman" w:cs="Times New Roman"/>
                      <w:sz w:val="24"/>
                      <w:szCs w:val="24"/>
                    </w:rPr>
                  </w:pPr>
                  <w:r w:rsidRPr="00A43A86">
                    <w:rPr>
                      <w:rFonts w:ascii="Times New Roman" w:hAnsi="Times New Roman" w:cs="Times New Roman"/>
                      <w:sz w:val="24"/>
                      <w:szCs w:val="24"/>
                    </w:rPr>
                    <w:t>3</w:t>
                  </w:r>
                </w:p>
              </w:tc>
              <w:tc>
                <w:tcPr>
                  <w:tcW w:w="709" w:type="dxa"/>
                </w:tcPr>
                <w:p w14:paraId="3E72C859" w14:textId="0B22F61A" w:rsidR="00C01C70" w:rsidRPr="00A43A86" w:rsidRDefault="00FF56BB" w:rsidP="00C01C70">
                  <w:pPr>
                    <w:rPr>
                      <w:rFonts w:ascii="Times New Roman" w:hAnsi="Times New Roman" w:cs="Times New Roman"/>
                      <w:sz w:val="24"/>
                      <w:szCs w:val="24"/>
                    </w:rPr>
                  </w:pPr>
                  <w:r w:rsidRPr="00A43A86">
                    <w:rPr>
                      <w:rFonts w:ascii="Times New Roman" w:hAnsi="Times New Roman" w:cs="Times New Roman"/>
                      <w:sz w:val="24"/>
                      <w:szCs w:val="24"/>
                    </w:rPr>
                    <w:t>10</w:t>
                  </w:r>
                </w:p>
              </w:tc>
              <w:tc>
                <w:tcPr>
                  <w:tcW w:w="2268" w:type="dxa"/>
                </w:tcPr>
                <w:p w14:paraId="0F38E4A1" w14:textId="2D5596B8" w:rsidR="00C01C70" w:rsidRPr="00A43A86" w:rsidRDefault="00C01C70" w:rsidP="00C01C70">
                  <w:pPr>
                    <w:jc w:val="both"/>
                    <w:rPr>
                      <w:rFonts w:ascii="Times New Roman" w:hAnsi="Times New Roman" w:cs="Times New Roman"/>
                      <w:sz w:val="24"/>
                      <w:szCs w:val="24"/>
                    </w:rPr>
                  </w:pPr>
                  <w:r w:rsidRPr="00A43A86">
                    <w:rPr>
                      <w:rFonts w:ascii="Times New Roman" w:hAnsi="Times New Roman" w:cs="Times New Roman"/>
                      <w:sz w:val="24"/>
                      <w:szCs w:val="24"/>
                    </w:rPr>
                    <w:t>Pēc lietu kategorijas "</w:t>
                  </w:r>
                  <w:r w:rsidR="00FF56BB" w:rsidRPr="00A43A86">
                    <w:rPr>
                      <w:rFonts w:ascii="Times New Roman" w:hAnsi="Times New Roman" w:cs="Times New Roman"/>
                      <w:sz w:val="24"/>
                      <w:szCs w:val="24"/>
                    </w:rPr>
                    <w:t>l</w:t>
                  </w:r>
                  <w:r w:rsidRPr="00A43A86">
                    <w:rPr>
                      <w:rFonts w:ascii="Times New Roman" w:hAnsi="Times New Roman" w:cs="Times New Roman"/>
                      <w:sz w:val="24"/>
                      <w:szCs w:val="24"/>
                    </w:rPr>
                    <w:t>ietas par konkurences tiesību pārkāpumiem"; "lietas par zaudējumu atlīdzināšanu par konkurences tiesību pārkāpumiem"</w:t>
                  </w:r>
                </w:p>
                <w:p w14:paraId="547CDAF1" w14:textId="14A7A21F" w:rsidR="00C01C70" w:rsidRPr="00A43A86" w:rsidRDefault="00C01C70" w:rsidP="00C01C70">
                  <w:pPr>
                    <w:rPr>
                      <w:rFonts w:ascii="Times New Roman" w:hAnsi="Times New Roman" w:cs="Times New Roman"/>
                      <w:sz w:val="24"/>
                      <w:szCs w:val="24"/>
                    </w:rPr>
                  </w:pPr>
                </w:p>
              </w:tc>
            </w:tr>
            <w:tr w:rsidR="00C01C70" w:rsidRPr="00A43A86" w14:paraId="0267A031" w14:textId="77777777" w:rsidTr="00757B5F">
              <w:trPr>
                <w:trHeight w:val="298"/>
              </w:trPr>
              <w:tc>
                <w:tcPr>
                  <w:tcW w:w="5494" w:type="dxa"/>
                  <w:gridSpan w:val="4"/>
                </w:tcPr>
                <w:p w14:paraId="28F2B71D" w14:textId="040082F7" w:rsidR="00C01C70" w:rsidRPr="00A43A86" w:rsidRDefault="00C01C70" w:rsidP="00C01C70">
                  <w:pPr>
                    <w:jc w:val="both"/>
                    <w:rPr>
                      <w:rFonts w:ascii="Times New Roman" w:hAnsi="Times New Roman" w:cs="Times New Roman"/>
                      <w:sz w:val="24"/>
                      <w:szCs w:val="24"/>
                    </w:rPr>
                  </w:pPr>
                  <w:bookmarkStart w:id="15" w:name="_Hlk26344884"/>
                  <w:r w:rsidRPr="00A43A86">
                    <w:rPr>
                      <w:rFonts w:ascii="Times New Roman" w:hAnsi="Times New Roman" w:cs="Times New Roman"/>
                      <w:sz w:val="24"/>
                      <w:szCs w:val="24"/>
                    </w:rPr>
                    <w:t>Piemēram, prasības par</w:t>
                  </w:r>
                  <w:r w:rsidR="003A4959" w:rsidRPr="00A43A86">
                    <w:rPr>
                      <w:rFonts w:ascii="Times New Roman" w:hAnsi="Times New Roman" w:cs="Times New Roman"/>
                      <w:sz w:val="24"/>
                      <w:szCs w:val="24"/>
                    </w:rPr>
                    <w:t xml:space="preserve"> nepatiesu</w:t>
                  </w:r>
                  <w:r w:rsidRPr="00A43A86">
                    <w:rPr>
                      <w:rFonts w:ascii="Times New Roman" w:hAnsi="Times New Roman" w:cs="Times New Roman"/>
                      <w:sz w:val="24"/>
                      <w:szCs w:val="24"/>
                    </w:rPr>
                    <w:t xml:space="preserve"> ziņu</w:t>
                  </w:r>
                  <w:r w:rsidR="003A4959" w:rsidRPr="00A43A86">
                    <w:rPr>
                      <w:rFonts w:ascii="Times New Roman" w:hAnsi="Times New Roman" w:cs="Times New Roman"/>
                      <w:sz w:val="24"/>
                      <w:szCs w:val="24"/>
                    </w:rPr>
                    <w:t xml:space="preserve">, </w:t>
                  </w:r>
                  <w:r w:rsidRPr="00A43A86">
                    <w:rPr>
                      <w:rFonts w:ascii="Times New Roman" w:hAnsi="Times New Roman" w:cs="Times New Roman"/>
                      <w:sz w:val="24"/>
                      <w:szCs w:val="24"/>
                    </w:rPr>
                    <w:t>kas</w:t>
                  </w:r>
                  <w:r w:rsidR="003A4959" w:rsidRPr="00A43A86">
                    <w:rPr>
                      <w:rFonts w:ascii="Times New Roman" w:hAnsi="Times New Roman" w:cs="Times New Roman"/>
                      <w:sz w:val="24"/>
                      <w:szCs w:val="24"/>
                    </w:rPr>
                    <w:t xml:space="preserve"> var tirgus dalībniekam nodarīt zaudējumus</w:t>
                  </w:r>
                  <w:r w:rsidRPr="00A43A86">
                    <w:rPr>
                      <w:rFonts w:ascii="Times New Roman" w:hAnsi="Times New Roman" w:cs="Times New Roman"/>
                      <w:sz w:val="24"/>
                      <w:szCs w:val="24"/>
                    </w:rPr>
                    <w:t>, atsaukšanu un kompensācijas piedziņu sakarā ar negodīgas konkurences aizlieguma neievērošanu; prasības par pienākuma uzlikšanu pārtraukt un aizliegt izmantot attiecīgajai SIA konkrētu vārdu salikumu savā darbībā</w:t>
                  </w:r>
                  <w:bookmarkEnd w:id="15"/>
                  <w:r w:rsidRPr="00A43A86">
                    <w:rPr>
                      <w:rFonts w:ascii="Times New Roman" w:hAnsi="Times New Roman" w:cs="Times New Roman"/>
                      <w:sz w:val="24"/>
                      <w:szCs w:val="24"/>
                    </w:rPr>
                    <w:t>.</w:t>
                  </w:r>
                </w:p>
              </w:tc>
            </w:tr>
            <w:tr w:rsidR="00FF56BB" w:rsidRPr="00A43A86" w14:paraId="4D73CB5F" w14:textId="77777777" w:rsidTr="00B92582">
              <w:tc>
                <w:tcPr>
                  <w:tcW w:w="1810" w:type="dxa"/>
                </w:tcPr>
                <w:p w14:paraId="6C74115F" w14:textId="7E4A2624"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prasības par kapitālsabiedrības dalībnieku (akcionāru) lēmumiem</w:t>
                  </w:r>
                </w:p>
              </w:tc>
              <w:tc>
                <w:tcPr>
                  <w:tcW w:w="707" w:type="dxa"/>
                </w:tcPr>
                <w:p w14:paraId="3BCB6BF6" w14:textId="6256F80D"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32</w:t>
                  </w:r>
                </w:p>
              </w:tc>
              <w:tc>
                <w:tcPr>
                  <w:tcW w:w="709" w:type="dxa"/>
                </w:tcPr>
                <w:p w14:paraId="05F99F5A" w14:textId="1758E0E6"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7</w:t>
                  </w:r>
                </w:p>
              </w:tc>
              <w:tc>
                <w:tcPr>
                  <w:tcW w:w="2268" w:type="dxa"/>
                </w:tcPr>
                <w:p w14:paraId="72CA1425" w14:textId="6BA7B9CA"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"Komerclikuma 217.pants", "Komerclikuma 286.pants"</w:t>
                  </w:r>
                </w:p>
              </w:tc>
            </w:tr>
            <w:tr w:rsidR="00FF56BB" w:rsidRPr="00A43A86" w14:paraId="7E2D8553" w14:textId="77777777" w:rsidTr="00757B5F">
              <w:tc>
                <w:tcPr>
                  <w:tcW w:w="5494" w:type="dxa"/>
                  <w:gridSpan w:val="4"/>
                </w:tcPr>
                <w:p w14:paraId="64E34727" w14:textId="43AA966B"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Piemēram, prasības par nepamatotu atteikumu iepazīties ar dokumentiem, kas saistīti ar pārskata gada bilanci; prasības saistībā ar lēmumu par jaunu statūtu apstiprināšanu, prasības saistībā ar lēmumu par pilnvarojumiem, prasības saistībā ar lēmumu par jaunu padomes locekļu ievēlēšanu, prasības saistībā ar lēmumu par informācijas sniegšanu par noslēgtiem darījumiem, prasības, kas izriet no lēmumiem par akcionāru sapulces darba kārtības jautājumiem.</w:t>
                  </w:r>
                </w:p>
              </w:tc>
            </w:tr>
            <w:tr w:rsidR="00FF56BB" w:rsidRPr="00A43A86" w14:paraId="703FF99C" w14:textId="77777777" w:rsidTr="00B92582">
              <w:tc>
                <w:tcPr>
                  <w:tcW w:w="1810" w:type="dxa"/>
                </w:tcPr>
                <w:p w14:paraId="6E4DE622" w14:textId="11D1677F"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prasības pret valdes un padomes locekļu, prokūristu, dibinātāju personisko atbildību</w:t>
                  </w:r>
                </w:p>
              </w:tc>
              <w:tc>
                <w:tcPr>
                  <w:tcW w:w="707" w:type="dxa"/>
                </w:tcPr>
                <w:p w14:paraId="3D829266" w14:textId="5BA6022A"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22</w:t>
                  </w:r>
                </w:p>
              </w:tc>
              <w:tc>
                <w:tcPr>
                  <w:tcW w:w="709" w:type="dxa"/>
                </w:tcPr>
                <w:p w14:paraId="55372A32" w14:textId="77777777"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7</w:t>
                  </w:r>
                </w:p>
              </w:tc>
              <w:tc>
                <w:tcPr>
                  <w:tcW w:w="2268" w:type="dxa"/>
                </w:tcPr>
                <w:p w14:paraId="5EE1B95F" w14:textId="77777777"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"Komerclikuma 166.pants"</w:t>
                  </w:r>
                </w:p>
                <w:p w14:paraId="405AA385" w14:textId="149167D4"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"Komerclikuma 169.pants"</w:t>
                  </w:r>
                </w:p>
              </w:tc>
            </w:tr>
            <w:tr w:rsidR="00FF56BB" w:rsidRPr="00A43A86" w14:paraId="46EAED8B" w14:textId="77777777" w:rsidTr="00757B5F">
              <w:tc>
                <w:tcPr>
                  <w:tcW w:w="5494" w:type="dxa"/>
                  <w:gridSpan w:val="4"/>
                </w:tcPr>
                <w:p w14:paraId="7612B65C" w14:textId="0BE3671A"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Piemēram, prasības par zaudējumu solidāru piedziņu, prasības saistībā ar neatbilstoši veiktajiem izdevumiem projekta izpildē.</w:t>
                  </w:r>
                </w:p>
              </w:tc>
            </w:tr>
            <w:tr w:rsidR="00FF56BB" w:rsidRPr="00A43A86" w14:paraId="59B8BB81" w14:textId="77777777" w:rsidTr="00B92582">
              <w:tc>
                <w:tcPr>
                  <w:tcW w:w="1810" w:type="dxa"/>
                </w:tcPr>
                <w:p w14:paraId="6157BCC6" w14:textId="24FF41D4"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lastRenderedPageBreak/>
                    <w:t>Sabiedrības prasības pret dibinātājiem, valdes vai padomes locekļiem vai revidentu</w:t>
                  </w:r>
                </w:p>
              </w:tc>
              <w:tc>
                <w:tcPr>
                  <w:tcW w:w="707" w:type="dxa"/>
                </w:tcPr>
                <w:p w14:paraId="7DF1CF5E" w14:textId="786411A5"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5</w:t>
                  </w:r>
                </w:p>
              </w:tc>
              <w:tc>
                <w:tcPr>
                  <w:tcW w:w="709" w:type="dxa"/>
                </w:tcPr>
                <w:p w14:paraId="40AD4861" w14:textId="2865CDF2"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1</w:t>
                  </w:r>
                </w:p>
              </w:tc>
              <w:tc>
                <w:tcPr>
                  <w:tcW w:w="2268" w:type="dxa"/>
                </w:tcPr>
                <w:p w14:paraId="6FA2F5B3" w14:textId="4E65CBB6"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"Komerclikuma 172.pants"</w:t>
                  </w:r>
                </w:p>
              </w:tc>
            </w:tr>
            <w:tr w:rsidR="00FF56BB" w:rsidRPr="00A43A86" w14:paraId="4F48DE62" w14:textId="77777777" w:rsidTr="00757B5F">
              <w:tc>
                <w:tcPr>
                  <w:tcW w:w="5494" w:type="dxa"/>
                  <w:gridSpan w:val="4"/>
                </w:tcPr>
                <w:p w14:paraId="6CFA096F" w14:textId="00F4B35A"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Piemēram, prasības par sabiedrības dalībnieka izslēgšanu būtiska kaitējuma (radot zaudējumus) dēļ; prasības par tirgus noteikumiem neatbilstošu darījumu personiskās interesēs slēgšanu.</w:t>
                  </w:r>
                </w:p>
              </w:tc>
            </w:tr>
            <w:tr w:rsidR="00FF56BB" w:rsidRPr="00A43A86" w14:paraId="173C5BDF" w14:textId="77777777" w:rsidTr="00B92582">
              <w:tc>
                <w:tcPr>
                  <w:tcW w:w="1810" w:type="dxa"/>
                </w:tcPr>
                <w:p w14:paraId="1EFE17DC" w14:textId="69AE565C"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Pieteikumi par kredītiestāžu likvidāciju un maksātnespēju</w:t>
                  </w:r>
                </w:p>
              </w:tc>
              <w:tc>
                <w:tcPr>
                  <w:tcW w:w="707" w:type="dxa"/>
                </w:tcPr>
                <w:p w14:paraId="14E61E27" w14:textId="77777777"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5</w:t>
                  </w:r>
                </w:p>
              </w:tc>
              <w:tc>
                <w:tcPr>
                  <w:tcW w:w="709" w:type="dxa"/>
                </w:tcPr>
                <w:p w14:paraId="5B1F7FBB" w14:textId="77777777"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1</w:t>
                  </w:r>
                </w:p>
              </w:tc>
              <w:tc>
                <w:tcPr>
                  <w:tcW w:w="2268" w:type="dxa"/>
                </w:tcPr>
                <w:p w14:paraId="6274004C" w14:textId="4941598B" w:rsidR="00FF56BB" w:rsidRPr="00A43A86" w:rsidRDefault="00FF56BB" w:rsidP="00FF56BB">
                  <w:pPr>
                    <w:jc w:val="both"/>
                    <w:rPr>
                      <w:rFonts w:ascii="Times New Roman" w:hAnsi="Times New Roman" w:cs="Times New Roman"/>
                      <w:sz w:val="24"/>
                      <w:szCs w:val="24"/>
                    </w:rPr>
                  </w:pPr>
                  <w:r w:rsidRPr="00A43A86">
                    <w:rPr>
                      <w:rFonts w:ascii="Times New Roman" w:hAnsi="Times New Roman" w:cs="Times New Roman"/>
                      <w:sz w:val="24"/>
                      <w:szCs w:val="24"/>
                    </w:rPr>
                    <w:t>Pēc lietu kategorijas "Pieteikumi par kredītiestāžu likvidāciju un maksātnespēju"</w:t>
                  </w:r>
                </w:p>
              </w:tc>
            </w:tr>
            <w:tr w:rsidR="00FF56BB" w:rsidRPr="00A43A86" w14:paraId="303F90B7" w14:textId="77777777" w:rsidTr="00B92582">
              <w:tc>
                <w:tcPr>
                  <w:tcW w:w="1810" w:type="dxa"/>
                </w:tcPr>
                <w:p w14:paraId="20E803F2" w14:textId="22ACF36B" w:rsidR="00FF56BB" w:rsidRPr="00A43A86" w:rsidRDefault="00EA2480" w:rsidP="00FF56BB">
                  <w:pPr>
                    <w:jc w:val="both"/>
                    <w:rPr>
                      <w:rFonts w:ascii="Times New Roman" w:hAnsi="Times New Roman" w:cs="Times New Roman"/>
                      <w:sz w:val="24"/>
                      <w:szCs w:val="24"/>
                    </w:rPr>
                  </w:pPr>
                  <w:r w:rsidRPr="00A43A86">
                    <w:rPr>
                      <w:rFonts w:ascii="Times New Roman" w:hAnsi="Times New Roman" w:cs="Times New Roman"/>
                      <w:sz w:val="24"/>
                      <w:szCs w:val="24"/>
                    </w:rPr>
                    <w:t>P</w:t>
                  </w:r>
                  <w:r w:rsidR="00FF56BB" w:rsidRPr="00A43A86">
                    <w:rPr>
                      <w:rFonts w:ascii="Times New Roman" w:hAnsi="Times New Roman" w:cs="Times New Roman"/>
                      <w:sz w:val="24"/>
                      <w:szCs w:val="24"/>
                    </w:rPr>
                    <w:t>rasības par intelektuālā īpašuma aizsardzību</w:t>
                  </w:r>
                </w:p>
              </w:tc>
              <w:tc>
                <w:tcPr>
                  <w:tcW w:w="707" w:type="dxa"/>
                </w:tcPr>
                <w:p w14:paraId="7FEC1F2C" w14:textId="15E39734" w:rsidR="00FF56BB" w:rsidRPr="00A43A86" w:rsidRDefault="000904AC" w:rsidP="00FF56BB">
                  <w:pPr>
                    <w:jc w:val="both"/>
                    <w:rPr>
                      <w:rFonts w:ascii="Times New Roman" w:hAnsi="Times New Roman" w:cs="Times New Roman"/>
                      <w:sz w:val="24"/>
                      <w:szCs w:val="24"/>
                    </w:rPr>
                  </w:pPr>
                  <w:r w:rsidRPr="00A43A86">
                    <w:rPr>
                      <w:rFonts w:ascii="Times New Roman" w:hAnsi="Times New Roman" w:cs="Times New Roman"/>
                      <w:sz w:val="24"/>
                      <w:szCs w:val="24"/>
                    </w:rPr>
                    <w:t>35</w:t>
                  </w:r>
                </w:p>
              </w:tc>
              <w:tc>
                <w:tcPr>
                  <w:tcW w:w="709" w:type="dxa"/>
                </w:tcPr>
                <w:p w14:paraId="2074C709" w14:textId="68C06244" w:rsidR="00FF56BB" w:rsidRPr="00A43A86" w:rsidRDefault="000904AC" w:rsidP="00FF56BB">
                  <w:pPr>
                    <w:jc w:val="both"/>
                    <w:rPr>
                      <w:rFonts w:ascii="Times New Roman" w:hAnsi="Times New Roman" w:cs="Times New Roman"/>
                      <w:sz w:val="24"/>
                      <w:szCs w:val="24"/>
                    </w:rPr>
                  </w:pPr>
                  <w:r w:rsidRPr="00A43A86">
                    <w:rPr>
                      <w:rFonts w:ascii="Times New Roman" w:hAnsi="Times New Roman" w:cs="Times New Roman"/>
                      <w:sz w:val="24"/>
                      <w:szCs w:val="24"/>
                    </w:rPr>
                    <w:t>5</w:t>
                  </w:r>
                </w:p>
              </w:tc>
              <w:tc>
                <w:tcPr>
                  <w:tcW w:w="2268" w:type="dxa"/>
                </w:tcPr>
                <w:p w14:paraId="7AEE0764" w14:textId="1C033160"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 xml:space="preserve">Pēc lietu kategorijas </w:t>
                  </w:r>
                </w:p>
                <w:p w14:paraId="3B04550C" w14:textId="63881954" w:rsidR="00FF56BB" w:rsidRPr="00A43A86" w:rsidRDefault="00FF56BB" w:rsidP="00FF56BB">
                  <w:pPr>
                    <w:jc w:val="both"/>
                    <w:rPr>
                      <w:rFonts w:ascii="Times New Roman" w:hAnsi="Times New Roman" w:cs="Times New Roman"/>
                      <w:sz w:val="24"/>
                      <w:szCs w:val="24"/>
                    </w:rPr>
                  </w:pPr>
                </w:p>
              </w:tc>
            </w:tr>
            <w:tr w:rsidR="00EA2480" w:rsidRPr="00A43A86" w14:paraId="53B69C82" w14:textId="77777777" w:rsidTr="00D71491">
              <w:tc>
                <w:tcPr>
                  <w:tcW w:w="5494" w:type="dxa"/>
                  <w:gridSpan w:val="4"/>
                </w:tcPr>
                <w:p w14:paraId="002CDA12" w14:textId="7F77BE37" w:rsidR="00EA2480" w:rsidRPr="00A43A86" w:rsidRDefault="004729C3" w:rsidP="00FF56BB">
                  <w:pPr>
                    <w:rPr>
                      <w:rFonts w:ascii="Times New Roman" w:hAnsi="Times New Roman" w:cs="Times New Roman"/>
                      <w:sz w:val="24"/>
                      <w:szCs w:val="24"/>
                    </w:rPr>
                  </w:pPr>
                  <w:r w:rsidRPr="00A43A86">
                    <w:rPr>
                      <w:rFonts w:ascii="Times New Roman" w:hAnsi="Times New Roman" w:cs="Times New Roman"/>
                      <w:sz w:val="24"/>
                      <w:szCs w:val="24"/>
                    </w:rPr>
                    <w:t>Ietver rūpnieciskā īpašuma lietas un autortiesību lietas.</w:t>
                  </w:r>
                </w:p>
              </w:tc>
            </w:tr>
            <w:tr w:rsidR="00FF56BB" w:rsidRPr="00A43A86" w14:paraId="6852A4A1" w14:textId="77777777" w:rsidTr="00B92582">
              <w:tc>
                <w:tcPr>
                  <w:tcW w:w="1810" w:type="dxa"/>
                </w:tcPr>
                <w:p w14:paraId="019D41F2" w14:textId="45EC4C9A"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Lietas par komercnoslēpuma aizsardzību pret nelikumīgu iegūšanu, izmantošanu un izpaušanu</w:t>
                  </w:r>
                </w:p>
              </w:tc>
              <w:tc>
                <w:tcPr>
                  <w:tcW w:w="707" w:type="dxa"/>
                </w:tcPr>
                <w:p w14:paraId="08F7A2C8" w14:textId="6350D4F1"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1</w:t>
                  </w:r>
                </w:p>
              </w:tc>
              <w:tc>
                <w:tcPr>
                  <w:tcW w:w="709" w:type="dxa"/>
                </w:tcPr>
                <w:p w14:paraId="1F2C792C" w14:textId="77777777"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0</w:t>
                  </w:r>
                </w:p>
              </w:tc>
              <w:tc>
                <w:tcPr>
                  <w:tcW w:w="2268" w:type="dxa"/>
                </w:tcPr>
                <w:p w14:paraId="60F135F1" w14:textId="77777777"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Pēc lietu kategorijas</w:t>
                  </w:r>
                </w:p>
                <w:p w14:paraId="083159E7" w14:textId="134FE417" w:rsidR="00FF56BB" w:rsidRPr="00A43A86" w:rsidRDefault="00FF56BB" w:rsidP="00FF56BB">
                  <w:pPr>
                    <w:rPr>
                      <w:rFonts w:ascii="Times New Roman" w:hAnsi="Times New Roman" w:cs="Times New Roman"/>
                      <w:sz w:val="24"/>
                      <w:szCs w:val="24"/>
                    </w:rPr>
                  </w:pPr>
                </w:p>
              </w:tc>
            </w:tr>
            <w:tr w:rsidR="00FF56BB" w:rsidRPr="00A43A86" w14:paraId="00C5880C" w14:textId="77777777" w:rsidTr="00B92582">
              <w:tc>
                <w:tcPr>
                  <w:tcW w:w="1810" w:type="dxa"/>
                </w:tcPr>
                <w:p w14:paraId="2AB37ABB" w14:textId="59380AA4"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Civilprocesa likuma 30.</w:t>
                  </w:r>
                  <w:r w:rsidRPr="00A43A86">
                    <w:rPr>
                      <w:rFonts w:ascii="Times New Roman" w:hAnsi="Times New Roman" w:cs="Times New Roman"/>
                      <w:sz w:val="24"/>
                      <w:szCs w:val="24"/>
                      <w:vertAlign w:val="superscript"/>
                    </w:rPr>
                    <w:t>4</w:t>
                  </w:r>
                  <w:r w:rsidRPr="00A43A86">
                    <w:rPr>
                      <w:rFonts w:ascii="Times New Roman" w:hAnsi="Times New Roman" w:cs="Times New Roman"/>
                      <w:sz w:val="24"/>
                      <w:szCs w:val="24"/>
                    </w:rPr>
                    <w:t xml:space="preserve"> panta kārtībā izskatāmās lietas</w:t>
                  </w:r>
                </w:p>
              </w:tc>
              <w:tc>
                <w:tcPr>
                  <w:tcW w:w="707" w:type="dxa"/>
                </w:tcPr>
                <w:p w14:paraId="42781B72" w14:textId="0D8A8D2C"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30</w:t>
                  </w:r>
                </w:p>
              </w:tc>
              <w:tc>
                <w:tcPr>
                  <w:tcW w:w="709" w:type="dxa"/>
                </w:tcPr>
                <w:p w14:paraId="14C1B125" w14:textId="70912D18"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15</w:t>
                  </w:r>
                </w:p>
              </w:tc>
              <w:tc>
                <w:tcPr>
                  <w:tcW w:w="2268" w:type="dxa"/>
                </w:tcPr>
                <w:p w14:paraId="65B58BEA" w14:textId="027EAB60" w:rsidR="00FF56BB" w:rsidRPr="00A43A86" w:rsidRDefault="00FF56BB" w:rsidP="00FF56BB">
                  <w:pPr>
                    <w:rPr>
                      <w:rFonts w:ascii="Times New Roman" w:hAnsi="Times New Roman" w:cs="Times New Roman"/>
                      <w:sz w:val="24"/>
                      <w:szCs w:val="24"/>
                    </w:rPr>
                  </w:pPr>
                  <w:r w:rsidRPr="00A43A86">
                    <w:rPr>
                      <w:rFonts w:ascii="Times New Roman" w:hAnsi="Times New Roman" w:cs="Times New Roman"/>
                      <w:sz w:val="24"/>
                      <w:szCs w:val="24"/>
                    </w:rPr>
                    <w:t>Pēc lietu kategorijas</w:t>
                  </w:r>
                </w:p>
              </w:tc>
            </w:tr>
            <w:tr w:rsidR="00FF56BB" w:rsidRPr="00A43A86" w14:paraId="669CF509" w14:textId="77777777" w:rsidTr="00B92582">
              <w:tc>
                <w:tcPr>
                  <w:tcW w:w="1810" w:type="dxa"/>
                </w:tcPr>
                <w:p w14:paraId="0E008D41" w14:textId="743DE8D3" w:rsidR="00FF56BB" w:rsidRPr="006376ED" w:rsidRDefault="00FF56BB" w:rsidP="00FF56BB">
                  <w:pPr>
                    <w:rPr>
                      <w:rFonts w:ascii="Times New Roman" w:hAnsi="Times New Roman" w:cs="Times New Roman"/>
                      <w:b/>
                      <w:bCs/>
                      <w:sz w:val="24"/>
                      <w:szCs w:val="24"/>
                    </w:rPr>
                  </w:pPr>
                  <w:r w:rsidRPr="006376ED">
                    <w:rPr>
                      <w:rFonts w:ascii="Times New Roman" w:hAnsi="Times New Roman" w:cs="Times New Roman"/>
                      <w:b/>
                      <w:bCs/>
                      <w:sz w:val="24"/>
                      <w:szCs w:val="24"/>
                    </w:rPr>
                    <w:t>Kopā</w:t>
                  </w:r>
                  <w:r w:rsidR="00A6710F" w:rsidRPr="006376ED">
                    <w:rPr>
                      <w:rFonts w:ascii="Times New Roman" w:hAnsi="Times New Roman" w:cs="Times New Roman"/>
                      <w:b/>
                      <w:bCs/>
                      <w:sz w:val="24"/>
                      <w:szCs w:val="24"/>
                    </w:rPr>
                    <w:t xml:space="preserve"> lietu skaits Ekonomisko lietu tiesai gadā</w:t>
                  </w:r>
                </w:p>
              </w:tc>
              <w:tc>
                <w:tcPr>
                  <w:tcW w:w="707" w:type="dxa"/>
                </w:tcPr>
                <w:p w14:paraId="4637A9B7" w14:textId="47FCE44F" w:rsidR="00FF56BB" w:rsidRPr="006376ED" w:rsidRDefault="000904AC" w:rsidP="00FF56BB">
                  <w:pPr>
                    <w:rPr>
                      <w:rFonts w:ascii="Times New Roman" w:hAnsi="Times New Roman" w:cs="Times New Roman"/>
                      <w:b/>
                      <w:bCs/>
                      <w:sz w:val="24"/>
                      <w:szCs w:val="24"/>
                    </w:rPr>
                  </w:pPr>
                  <w:r w:rsidRPr="006376ED">
                    <w:rPr>
                      <w:rFonts w:ascii="Times New Roman" w:hAnsi="Times New Roman" w:cs="Times New Roman"/>
                      <w:b/>
                      <w:bCs/>
                      <w:sz w:val="24"/>
                      <w:szCs w:val="24"/>
                    </w:rPr>
                    <w:t>220</w:t>
                  </w:r>
                </w:p>
              </w:tc>
              <w:tc>
                <w:tcPr>
                  <w:tcW w:w="709" w:type="dxa"/>
                </w:tcPr>
                <w:p w14:paraId="6076A6AC" w14:textId="697200B4" w:rsidR="00FF56BB" w:rsidRPr="006376ED" w:rsidRDefault="000904AC" w:rsidP="00FF56BB">
                  <w:pPr>
                    <w:rPr>
                      <w:rFonts w:ascii="Times New Roman" w:hAnsi="Times New Roman" w:cs="Times New Roman"/>
                      <w:b/>
                      <w:bCs/>
                      <w:sz w:val="24"/>
                      <w:szCs w:val="24"/>
                    </w:rPr>
                  </w:pPr>
                  <w:r w:rsidRPr="006376ED">
                    <w:rPr>
                      <w:rFonts w:ascii="Times New Roman" w:hAnsi="Times New Roman" w:cs="Times New Roman"/>
                      <w:b/>
                      <w:bCs/>
                      <w:sz w:val="24"/>
                      <w:szCs w:val="24"/>
                    </w:rPr>
                    <w:t>76</w:t>
                  </w:r>
                </w:p>
              </w:tc>
              <w:tc>
                <w:tcPr>
                  <w:tcW w:w="2268" w:type="dxa"/>
                </w:tcPr>
                <w:p w14:paraId="0DBF8B08" w14:textId="77777777" w:rsidR="00FF56BB" w:rsidRPr="006376ED" w:rsidRDefault="00FF56BB" w:rsidP="00FF56BB">
                  <w:pPr>
                    <w:rPr>
                      <w:rFonts w:ascii="Times New Roman" w:hAnsi="Times New Roman" w:cs="Times New Roman"/>
                      <w:b/>
                      <w:bCs/>
                      <w:sz w:val="24"/>
                      <w:szCs w:val="24"/>
                    </w:rPr>
                  </w:pPr>
                </w:p>
                <w:p w14:paraId="42E5027B" w14:textId="2F7EE63C" w:rsidR="00FF56BB" w:rsidRPr="006376ED" w:rsidRDefault="00FF56BB" w:rsidP="00FF56BB">
                  <w:pPr>
                    <w:rPr>
                      <w:rFonts w:ascii="Times New Roman" w:hAnsi="Times New Roman" w:cs="Times New Roman"/>
                      <w:b/>
                      <w:bCs/>
                      <w:sz w:val="24"/>
                      <w:szCs w:val="24"/>
                    </w:rPr>
                  </w:pPr>
                </w:p>
              </w:tc>
            </w:tr>
            <w:bookmarkEnd w:id="12"/>
          </w:tbl>
          <w:p w14:paraId="179FAA14" w14:textId="590EADFD" w:rsidR="00B910E2" w:rsidRPr="00A43A86" w:rsidRDefault="00B910E2" w:rsidP="004879F7">
            <w:pPr>
              <w:tabs>
                <w:tab w:val="left" w:pos="993"/>
              </w:tabs>
              <w:spacing w:after="0" w:line="240" w:lineRule="auto"/>
              <w:jc w:val="both"/>
              <w:rPr>
                <w:rFonts w:ascii="Times New Roman" w:hAnsi="Times New Roman" w:cs="Times New Roman"/>
                <w:sz w:val="24"/>
                <w:szCs w:val="24"/>
              </w:rPr>
            </w:pPr>
          </w:p>
          <w:p w14:paraId="7D601F43" w14:textId="77777777" w:rsidR="00263E02" w:rsidRPr="00A43A86" w:rsidRDefault="008B4D14" w:rsidP="00184D97">
            <w:pPr>
              <w:tabs>
                <w:tab w:val="left" w:pos="993"/>
              </w:tabs>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 xml:space="preserve">Būtiska nozīme piekritības definēšanā ir lietu apjoma prognozes un sākotnējās tiesas kapacitātes sabalansēšanā. Risks, ka pirmajos darbības mēnešos tiktu saņemts tiesas kapacitātei neatbilstošs daudzums lietu, būtiski ietekmētu vai pat padarītu neiespējamu tiesas darbu. Ievērojot minēto, sākotnēji jaunveidojamās tiesas kompetencē nododams ierobežots lietu loks, paredzot iespēju to nākotnē paplašināt, vienlaikus ar atbilstošiem risinājumiem tiesas kapacitātei. </w:t>
            </w:r>
          </w:p>
          <w:p w14:paraId="7BD127C5" w14:textId="53B6EFF8" w:rsidR="00263E02" w:rsidRPr="00A43A86" w:rsidRDefault="00263E02" w:rsidP="00263E02">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Tāpat, lai izvairītos no lietu sastrēguma pirmajos darbības gados, paredzēts, ka tiesa, kas līdz 2020. gada 31. </w:t>
            </w:r>
            <w:r w:rsidRPr="00A43A86">
              <w:rPr>
                <w:rFonts w:ascii="Times New Roman" w:hAnsi="Times New Roman" w:cs="Times New Roman"/>
                <w:sz w:val="24"/>
                <w:szCs w:val="24"/>
              </w:rPr>
              <w:lastRenderedPageBreak/>
              <w:t>decembrim pieņēmusi izskatīšanai lietu, kuru izskatīšana pēc būtības ir piekritīga Ekonomisko lietu tiesai, pabeidz uzsākto civillietas izskatīšanu. Minētais regulējums ir attiecināms arī uz apelācijas kārtībā izskatāmām liet</w:t>
            </w:r>
            <w:r w:rsidR="00AE25E1" w:rsidRPr="00A43A86">
              <w:rPr>
                <w:rFonts w:ascii="Times New Roman" w:hAnsi="Times New Roman" w:cs="Times New Roman"/>
                <w:sz w:val="24"/>
                <w:szCs w:val="24"/>
              </w:rPr>
              <w:t>ā</w:t>
            </w:r>
            <w:r w:rsidRPr="00A43A86">
              <w:rPr>
                <w:rFonts w:ascii="Times New Roman" w:hAnsi="Times New Roman" w:cs="Times New Roman"/>
                <w:sz w:val="24"/>
                <w:szCs w:val="24"/>
              </w:rPr>
              <w:t xml:space="preserve">m. Šāds regulējums ietverts, lai nodrošinātu pārdomātu, piesardzīgu un pakāpenisku pieeju attiecībā uz tiesas kompetences noteikšanu un noslodzes veidošanu, un izvairītos no līdzīga veida problēmām, kas tika novērotas </w:t>
            </w:r>
            <w:r w:rsidR="00AE25E1" w:rsidRPr="00A43A86">
              <w:rPr>
                <w:rFonts w:ascii="Times New Roman" w:hAnsi="Times New Roman" w:cs="Times New Roman"/>
                <w:sz w:val="24"/>
                <w:szCs w:val="24"/>
              </w:rPr>
              <w:t>A</w:t>
            </w:r>
            <w:r w:rsidRPr="00A43A86">
              <w:rPr>
                <w:rFonts w:ascii="Times New Roman" w:hAnsi="Times New Roman" w:cs="Times New Roman"/>
                <w:sz w:val="24"/>
                <w:szCs w:val="24"/>
              </w:rPr>
              <w:t xml:space="preserve">dministratīvās rajona tiesas pirmajos gados. </w:t>
            </w:r>
          </w:p>
          <w:p w14:paraId="21EFB531" w14:textId="77777777" w:rsidR="00263E02" w:rsidRPr="00A43A86" w:rsidRDefault="00263E02" w:rsidP="00263E02">
            <w:pPr>
              <w:tabs>
                <w:tab w:val="left" w:pos="993"/>
              </w:tabs>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 xml:space="preserve">Paredzēts, ka apelācijas instances tiesa, atceļot rajona (pilsētas) tiesas spriedumu lietā, kas piekritīga Ekonomisko lietu tiesai, lietu nodod jaunai izskatīšanai Ekonomisko lietu tiesai. Savukārt, kasācijas instances tiesa, atceļot apgabaltiesas spriedumu lietā, kas piekritīga Ekonomisko lietu tiesai, lietu nodod jaunai izskatīšanai Rīgas apgabaltiesai. </w:t>
            </w:r>
          </w:p>
          <w:p w14:paraId="0406DFC3" w14:textId="2C20E89E" w:rsidR="00263E02" w:rsidRPr="00A43A86" w:rsidRDefault="00263E02" w:rsidP="00263E02">
            <w:pPr>
              <w:tabs>
                <w:tab w:val="left" w:pos="993"/>
              </w:tabs>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Attiecībā uz ar nolēmuma izpildi saistīti</w:t>
            </w:r>
            <w:r w:rsidR="00AE25E1" w:rsidRPr="00A43A86">
              <w:rPr>
                <w:rFonts w:ascii="Times New Roman" w:hAnsi="Times New Roman" w:cs="Times New Roman"/>
                <w:sz w:val="24"/>
                <w:szCs w:val="24"/>
              </w:rPr>
              <w:t>em</w:t>
            </w:r>
            <w:r w:rsidRPr="00A43A86">
              <w:rPr>
                <w:rFonts w:ascii="Times New Roman" w:hAnsi="Times New Roman" w:cs="Times New Roman"/>
                <w:sz w:val="24"/>
                <w:szCs w:val="24"/>
              </w:rPr>
              <w:t xml:space="preserve"> jautājumi</w:t>
            </w:r>
            <w:r w:rsidR="00AE25E1" w:rsidRPr="00A43A86">
              <w:rPr>
                <w:rFonts w:ascii="Times New Roman" w:hAnsi="Times New Roman" w:cs="Times New Roman"/>
                <w:sz w:val="24"/>
                <w:szCs w:val="24"/>
              </w:rPr>
              <w:t xml:space="preserve">em </w:t>
            </w:r>
            <w:r w:rsidRPr="00A43A86">
              <w:rPr>
                <w:rFonts w:ascii="Times New Roman" w:hAnsi="Times New Roman" w:cs="Times New Roman"/>
                <w:sz w:val="24"/>
                <w:szCs w:val="24"/>
              </w:rPr>
              <w:t xml:space="preserve">lietā, saglabājams vispārējais regulējums, proti, ka to izlemj tā tiesa, kura nolēmumu pieņēmusi. </w:t>
            </w:r>
          </w:p>
          <w:p w14:paraId="53E19C78" w14:textId="37447BE7" w:rsidR="00263E02" w:rsidRPr="00A43A86" w:rsidRDefault="00263E02" w:rsidP="00263E02">
            <w:pPr>
              <w:spacing w:after="0" w:line="240" w:lineRule="auto"/>
              <w:jc w:val="both"/>
              <w:rPr>
                <w:rFonts w:ascii="Times New Roman" w:hAnsi="Times New Roman" w:cs="Times New Roman"/>
                <w:sz w:val="24"/>
                <w:szCs w:val="24"/>
              </w:rPr>
            </w:pPr>
            <w:r w:rsidRPr="00A43A86">
              <w:rPr>
                <w:rFonts w:ascii="Times New Roman" w:hAnsi="Times New Roman" w:cs="Times New Roman"/>
                <w:sz w:val="24"/>
                <w:szCs w:val="24"/>
              </w:rPr>
              <w:t>Lai</w:t>
            </w:r>
            <w:r w:rsidR="00AE25E1" w:rsidRPr="00A43A86">
              <w:rPr>
                <w:rFonts w:ascii="Times New Roman" w:hAnsi="Times New Roman" w:cs="Times New Roman"/>
                <w:sz w:val="24"/>
                <w:szCs w:val="24"/>
              </w:rPr>
              <w:t xml:space="preserve"> sekmētu procesa kvalitāti šajās specifisko lietu kategorijās</w:t>
            </w:r>
            <w:r w:rsidRPr="00A43A86">
              <w:rPr>
                <w:rFonts w:ascii="Times New Roman" w:hAnsi="Times New Roman" w:cs="Times New Roman"/>
                <w:sz w:val="24"/>
                <w:szCs w:val="24"/>
              </w:rPr>
              <w:t>, paredzēts, ka atbilstoši Civilprocesa likuma 82.</w:t>
            </w:r>
            <w:r w:rsidRPr="00A43A86">
              <w:rPr>
                <w:rFonts w:ascii="Times New Roman" w:hAnsi="Times New Roman" w:cs="Times New Roman"/>
                <w:sz w:val="24"/>
                <w:szCs w:val="24"/>
                <w:vertAlign w:val="superscript"/>
              </w:rPr>
              <w:t>1</w:t>
            </w:r>
            <w:r w:rsidRPr="00A43A86">
              <w:rPr>
                <w:rFonts w:ascii="Times New Roman" w:hAnsi="Times New Roman" w:cs="Times New Roman"/>
                <w:sz w:val="24"/>
                <w:szCs w:val="24"/>
              </w:rPr>
              <w:t xml:space="preserve"> panta pirmajai daļai, fiziskās personas un juridiskās personas Ekonomisko lietu tiesā un Rīgas apgabaltiesā lietas ved pašas vai ar advokāta starpniecību</w:t>
            </w:r>
            <w:r w:rsidR="00AE25E1" w:rsidRPr="00A43A86">
              <w:rPr>
                <w:rFonts w:ascii="Times New Roman" w:hAnsi="Times New Roman" w:cs="Times New Roman"/>
                <w:sz w:val="24"/>
                <w:szCs w:val="24"/>
              </w:rPr>
              <w:t>,</w:t>
            </w:r>
            <w:r w:rsidRPr="00A43A86">
              <w:rPr>
                <w:rFonts w:ascii="Times New Roman" w:hAnsi="Times New Roman" w:cs="Times New Roman"/>
                <w:sz w:val="24"/>
                <w:szCs w:val="24"/>
              </w:rPr>
              <w:t xml:space="preserve"> jo advokātu profesionālā kvalifikācija, pārzinot likumu regulējumu un tiesvedības procesu, var</w:t>
            </w:r>
            <w:r w:rsidR="00C06EB4" w:rsidRPr="00A43A86">
              <w:rPr>
                <w:rFonts w:ascii="Times New Roman" w:hAnsi="Times New Roman" w:cs="Times New Roman"/>
                <w:sz w:val="24"/>
                <w:szCs w:val="24"/>
              </w:rPr>
              <w:t>ētu</w:t>
            </w:r>
            <w:r w:rsidRPr="00A43A86">
              <w:rPr>
                <w:rFonts w:ascii="Times New Roman" w:hAnsi="Times New Roman" w:cs="Times New Roman"/>
                <w:sz w:val="24"/>
                <w:szCs w:val="24"/>
              </w:rPr>
              <w:t xml:space="preserve"> </w:t>
            </w:r>
            <w:r w:rsidR="00C06EB4" w:rsidRPr="00A43A86">
              <w:rPr>
                <w:rFonts w:ascii="Times New Roman" w:hAnsi="Times New Roman" w:cs="Times New Roman"/>
                <w:sz w:val="24"/>
                <w:szCs w:val="24"/>
              </w:rPr>
              <w:t xml:space="preserve">sekmēt </w:t>
            </w:r>
            <w:r w:rsidRPr="00A43A86">
              <w:rPr>
                <w:rFonts w:ascii="Times New Roman" w:hAnsi="Times New Roman" w:cs="Times New Roman"/>
                <w:sz w:val="24"/>
                <w:szCs w:val="24"/>
              </w:rPr>
              <w:t>lietu izskatīšanas kvalitāti, ātrumu un efektivitāti.</w:t>
            </w:r>
          </w:p>
          <w:p w14:paraId="38C313F8" w14:textId="5952222F" w:rsidR="004879F7" w:rsidRPr="00A43A86" w:rsidRDefault="00B92582" w:rsidP="004879F7">
            <w:pPr>
              <w:tabs>
                <w:tab w:val="left" w:pos="709"/>
              </w:tabs>
              <w:spacing w:after="0" w:line="240" w:lineRule="auto"/>
              <w:jc w:val="both"/>
              <w:rPr>
                <w:rFonts w:ascii="Times New Roman" w:eastAsia="Times New Roman" w:hAnsi="Times New Roman" w:cs="Times New Roman"/>
                <w:sz w:val="24"/>
                <w:szCs w:val="24"/>
                <w:lang w:eastAsia="lv-LV"/>
              </w:rPr>
            </w:pPr>
            <w:bookmarkStart w:id="16" w:name="_Hlk9434198"/>
            <w:r w:rsidRPr="00A43A86">
              <w:rPr>
                <w:rFonts w:ascii="Times New Roman" w:eastAsia="Times New Roman" w:hAnsi="Times New Roman" w:cs="Times New Roman"/>
                <w:sz w:val="24"/>
                <w:szCs w:val="24"/>
                <w:lang w:eastAsia="lv-LV"/>
              </w:rPr>
              <w:t xml:space="preserve">Kā secināts Ziņojumā, analizējot vidējo pabeigto civillietu un krimināllietu skaitu uz vienu rajona (pilsētas) tiesas tiesnesi 2017. un 2018. gadā secināms, ka viens tiesnesis vidēji izskata 35 krimināllietas gadā un 100-120 civillietas gadā. </w:t>
            </w:r>
            <w:r w:rsidR="004879F7" w:rsidRPr="00A43A86">
              <w:rPr>
                <w:rFonts w:ascii="Times New Roman" w:eastAsia="Times New Roman" w:hAnsi="Times New Roman" w:cs="Times New Roman"/>
                <w:sz w:val="24"/>
                <w:szCs w:val="24"/>
                <w:lang w:eastAsia="lv-LV"/>
              </w:rPr>
              <w:t xml:space="preserve">Minētais kopsakarā ar provizorisko Ekonomisko lietu tiesas kompetenci rada pamatotu pieņēmumu, ka </w:t>
            </w:r>
            <w:bookmarkEnd w:id="16"/>
            <w:r w:rsidR="00AC637A" w:rsidRPr="00A43A86">
              <w:rPr>
                <w:rFonts w:ascii="Times New Roman" w:eastAsia="Times New Roman" w:hAnsi="Times New Roman" w:cs="Times New Roman"/>
                <w:sz w:val="24"/>
                <w:szCs w:val="24"/>
                <w:lang w:eastAsia="lv-LV"/>
              </w:rPr>
              <w:t>ņemot vērā specializācijas tvērumā ietverto lietu specifiku</w:t>
            </w:r>
            <w:r w:rsidR="00E3327D" w:rsidRPr="00A43A86">
              <w:rPr>
                <w:rFonts w:ascii="Times New Roman" w:eastAsia="Times New Roman" w:hAnsi="Times New Roman" w:cs="Times New Roman"/>
                <w:sz w:val="24"/>
                <w:szCs w:val="24"/>
                <w:lang w:eastAsia="lv-LV"/>
              </w:rPr>
              <w:t>,</w:t>
            </w:r>
            <w:r w:rsidR="00AC637A" w:rsidRPr="00A43A86">
              <w:rPr>
                <w:rFonts w:ascii="Times New Roman" w:eastAsia="Times New Roman" w:hAnsi="Times New Roman" w:cs="Times New Roman"/>
                <w:sz w:val="24"/>
                <w:szCs w:val="24"/>
                <w:lang w:eastAsia="lv-LV"/>
              </w:rPr>
              <w:t xml:space="preserve"> secināms, ka</w:t>
            </w:r>
            <w:r w:rsidR="004879F7" w:rsidRPr="00A43A86">
              <w:rPr>
                <w:rFonts w:ascii="Times New Roman" w:eastAsia="Times New Roman" w:hAnsi="Times New Roman" w:cs="Times New Roman"/>
                <w:sz w:val="24"/>
                <w:szCs w:val="24"/>
                <w:lang w:eastAsia="lv-LV"/>
              </w:rPr>
              <w:t xml:space="preserve"> plānotais tiesnešu skaits Ekonomisko lietu tiesā</w:t>
            </w:r>
            <w:r w:rsidR="00C06EB4" w:rsidRPr="00A43A86">
              <w:rPr>
                <w:rFonts w:ascii="Times New Roman" w:eastAsia="Times New Roman" w:hAnsi="Times New Roman" w:cs="Times New Roman"/>
                <w:sz w:val="24"/>
                <w:szCs w:val="24"/>
                <w:lang w:eastAsia="lv-LV"/>
              </w:rPr>
              <w:t xml:space="preserve"> tiesas darbības sākumā varētu būt</w:t>
            </w:r>
            <w:r w:rsidR="004879F7" w:rsidRPr="00A43A86">
              <w:rPr>
                <w:rFonts w:ascii="Times New Roman" w:eastAsia="Times New Roman" w:hAnsi="Times New Roman" w:cs="Times New Roman"/>
                <w:sz w:val="24"/>
                <w:szCs w:val="24"/>
                <w:lang w:eastAsia="lv-LV"/>
              </w:rPr>
              <w:t xml:space="preserve"> pietiekams. </w:t>
            </w:r>
          </w:p>
          <w:p w14:paraId="5E59AD8A" w14:textId="416224D5" w:rsidR="001605B1" w:rsidRPr="00A43A86" w:rsidRDefault="004879F7" w:rsidP="00CA61CD">
            <w:pPr>
              <w:pStyle w:val="Bezatstarpm"/>
              <w:tabs>
                <w:tab w:val="left" w:pos="993"/>
              </w:tabs>
              <w:jc w:val="both"/>
              <w:rPr>
                <w:rFonts w:ascii="Times New Roman" w:eastAsia="Times New Roman" w:hAnsi="Times New Roman"/>
                <w:sz w:val="24"/>
                <w:szCs w:val="24"/>
                <w:lang w:val="lv-LV" w:eastAsia="lv-LV"/>
              </w:rPr>
            </w:pPr>
            <w:r w:rsidRPr="00A43A86">
              <w:rPr>
                <w:rFonts w:ascii="Times New Roman" w:eastAsia="Times New Roman" w:hAnsi="Times New Roman"/>
                <w:sz w:val="24"/>
                <w:szCs w:val="24"/>
                <w:lang w:val="lv-LV" w:eastAsia="lv-LV"/>
              </w:rPr>
              <w:t>Tāpat j</w:t>
            </w:r>
            <w:r w:rsidR="001605B1" w:rsidRPr="00A43A86">
              <w:rPr>
                <w:rFonts w:ascii="Times New Roman" w:hAnsi="Times New Roman"/>
                <w:sz w:val="24"/>
                <w:szCs w:val="24"/>
                <w:lang w:val="lv-LV"/>
              </w:rPr>
              <w:t xml:space="preserve">āatzīmē, ka plānotais tiesnešu skaits Ekonomisko lietu tiesā </w:t>
            </w:r>
            <w:r w:rsidR="00B910E2" w:rsidRPr="00A43A86">
              <w:rPr>
                <w:rFonts w:ascii="Times New Roman" w:hAnsi="Times New Roman"/>
                <w:sz w:val="24"/>
                <w:szCs w:val="24"/>
                <w:lang w:val="lv-LV"/>
              </w:rPr>
              <w:t xml:space="preserve">(provizoriski pirmajā instancē būtu jābūt 10 tiesnešiem) </w:t>
            </w:r>
            <w:r w:rsidR="0070102C" w:rsidRPr="00A43A86">
              <w:rPr>
                <w:rFonts w:ascii="Times New Roman" w:hAnsi="Times New Roman"/>
                <w:sz w:val="24"/>
                <w:szCs w:val="24"/>
                <w:lang w:val="lv-LV"/>
              </w:rPr>
              <w:t>ir pietiekams, lai nodrošinātu lietu sadali pēc nejaušības principa. Turklāt attiecībā uz Ekonomisko lietu tiesu darbosies visi tie paši tiesneša darba un rīcības uzraudzības mehānismi, kas citās tiesās. Bažas par korupciju tiesā rada nesaprotami un nepamatoti tiesas nolēmumi, tiesas procedūru pārkāpumi, tajā skaitā apieta lietu nejaušās sadales sistēma, nevis tiesnešu skaits pats par sevi.</w:t>
            </w:r>
            <w:r w:rsidR="005E5384" w:rsidRPr="00A43A86">
              <w:rPr>
                <w:rFonts w:ascii="Times New Roman" w:eastAsia="Times New Roman" w:hAnsi="Times New Roman"/>
                <w:sz w:val="24"/>
                <w:szCs w:val="24"/>
                <w:lang w:val="lv-LV" w:eastAsia="lv-LV"/>
              </w:rPr>
              <w:t xml:space="preserve"> </w:t>
            </w:r>
            <w:r w:rsidR="008D5E8D" w:rsidRPr="00A43A86">
              <w:rPr>
                <w:rFonts w:ascii="Times New Roman" w:eastAsia="Times New Roman" w:hAnsi="Times New Roman"/>
                <w:sz w:val="24"/>
                <w:szCs w:val="24"/>
                <w:lang w:val="lv-LV" w:eastAsia="lv-LV"/>
              </w:rPr>
              <w:t>Ekonomisko lietu tiesa kā</w:t>
            </w:r>
            <w:r w:rsidR="00CC289D" w:rsidRPr="00A43A86">
              <w:rPr>
                <w:rFonts w:ascii="Times New Roman" w:eastAsia="Times New Roman" w:hAnsi="Times New Roman"/>
                <w:sz w:val="24"/>
                <w:szCs w:val="24"/>
                <w:lang w:val="lv-LV" w:eastAsia="lv-LV"/>
              </w:rPr>
              <w:t xml:space="preserve"> specializēta</w:t>
            </w:r>
            <w:r w:rsidR="008D5E8D" w:rsidRPr="00A43A86">
              <w:rPr>
                <w:rFonts w:ascii="Times New Roman" w:eastAsia="Times New Roman" w:hAnsi="Times New Roman"/>
                <w:sz w:val="24"/>
                <w:szCs w:val="24"/>
                <w:lang w:val="lv-LV" w:eastAsia="lv-LV"/>
              </w:rPr>
              <w:t xml:space="preserve"> rajona (pilsētas) tiesa izskatīs noteikta rakstura komercstrīdus, ekonomisko</w:t>
            </w:r>
            <w:r w:rsidR="00E3327D" w:rsidRPr="00A43A86">
              <w:rPr>
                <w:rFonts w:ascii="Times New Roman" w:eastAsia="Times New Roman" w:hAnsi="Times New Roman"/>
                <w:sz w:val="24"/>
                <w:szCs w:val="24"/>
                <w:lang w:val="lv-LV" w:eastAsia="lv-LV"/>
              </w:rPr>
              <w:t>s</w:t>
            </w:r>
            <w:r w:rsidR="008D5E8D" w:rsidRPr="00A43A86">
              <w:rPr>
                <w:rFonts w:ascii="Times New Roman" w:eastAsia="Times New Roman" w:hAnsi="Times New Roman"/>
                <w:sz w:val="24"/>
                <w:szCs w:val="24"/>
                <w:lang w:val="lv-LV" w:eastAsia="lv-LV"/>
              </w:rPr>
              <w:t xml:space="preserve"> un finanšu noziegumus, kā arī korupcijas liet</w:t>
            </w:r>
            <w:r w:rsidR="00CC289D" w:rsidRPr="00A43A86">
              <w:rPr>
                <w:rFonts w:ascii="Times New Roman" w:eastAsia="Times New Roman" w:hAnsi="Times New Roman"/>
                <w:sz w:val="24"/>
                <w:szCs w:val="24"/>
                <w:lang w:val="lv-LV" w:eastAsia="lv-LV"/>
              </w:rPr>
              <w:t>as</w:t>
            </w:r>
            <w:r w:rsidR="008D5E8D" w:rsidRPr="00A43A86">
              <w:rPr>
                <w:rFonts w:ascii="Times New Roman" w:eastAsia="Times New Roman" w:hAnsi="Times New Roman"/>
                <w:sz w:val="24"/>
                <w:szCs w:val="24"/>
                <w:lang w:val="lv-LV" w:eastAsia="lv-LV"/>
              </w:rPr>
              <w:t>.</w:t>
            </w:r>
            <w:r w:rsidR="0044330D" w:rsidRPr="00A43A86">
              <w:rPr>
                <w:rFonts w:ascii="Times New Roman" w:hAnsi="Times New Roman"/>
                <w:sz w:val="24"/>
                <w:szCs w:val="24"/>
                <w:lang w:val="lv-LV"/>
              </w:rPr>
              <w:t xml:space="preserve"> </w:t>
            </w:r>
            <w:r w:rsidR="00676EB0" w:rsidRPr="00A43A86">
              <w:rPr>
                <w:rFonts w:ascii="Times New Roman" w:hAnsi="Times New Roman"/>
                <w:sz w:val="24"/>
                <w:szCs w:val="24"/>
                <w:lang w:val="lv-LV"/>
              </w:rPr>
              <w:t xml:space="preserve">Jāatzīmē, ka, nosakot specializētās tiesas kompetences tvērumu, tā sākotnēji noteikta tādās jomās, kas prasa tūlītēju risinājumu. </w:t>
            </w:r>
            <w:r w:rsidR="0070102C" w:rsidRPr="00A43A86">
              <w:rPr>
                <w:rFonts w:ascii="Times New Roman" w:hAnsi="Times New Roman"/>
                <w:sz w:val="24"/>
                <w:szCs w:val="24"/>
                <w:lang w:val="lv-LV"/>
              </w:rPr>
              <w:t xml:space="preserve">Proti, tiek paredzēta </w:t>
            </w:r>
            <w:r w:rsidR="0070102C" w:rsidRPr="00A43A86">
              <w:rPr>
                <w:rFonts w:ascii="Times New Roman" w:hAnsi="Times New Roman"/>
                <w:sz w:val="24"/>
                <w:szCs w:val="24"/>
                <w:lang w:val="lv-LV"/>
              </w:rPr>
              <w:lastRenderedPageBreak/>
              <w:t>pārdomāta, piesardzīga un pakāpeniska pieeja attiecībā uz tiesas kompetences noteikšanu un noslodzes veidošanu, lai izvairītos no lietu sastrēguma pirmajos darbības gados</w:t>
            </w:r>
            <w:r w:rsidR="0070102C" w:rsidRPr="00A43A86">
              <w:rPr>
                <w:rFonts w:ascii="Times New Roman" w:hAnsi="Times New Roman"/>
                <w:sz w:val="26"/>
                <w:szCs w:val="26"/>
                <w:lang w:val="lv-LV"/>
              </w:rPr>
              <w:t xml:space="preserve">. </w:t>
            </w:r>
          </w:p>
          <w:p w14:paraId="4CC29FAC" w14:textId="4F697454" w:rsidR="001605B1" w:rsidRPr="00A43A86" w:rsidRDefault="001605B1" w:rsidP="00A43A86">
            <w:pPr>
              <w:spacing w:after="0" w:line="240" w:lineRule="auto"/>
              <w:jc w:val="both"/>
              <w:rPr>
                <w:rFonts w:ascii="Times New Roman" w:eastAsia="Times New Roman" w:hAnsi="Times New Roman" w:cs="Times New Roman"/>
                <w:sz w:val="24"/>
                <w:szCs w:val="24"/>
                <w:u w:val="single"/>
                <w:lang w:eastAsia="lv-LV"/>
              </w:rPr>
            </w:pPr>
            <w:r w:rsidRPr="00A43A86">
              <w:rPr>
                <w:rFonts w:ascii="Times New Roman" w:hAnsi="Times New Roman" w:cs="Times New Roman"/>
                <w:sz w:val="24"/>
                <w:szCs w:val="24"/>
                <w:lang w:eastAsia="lv-LV"/>
              </w:rPr>
              <w:t xml:space="preserve">Saskaņā ar Tieslietu padomes apstiprinātās kārtības "Tiesnešu specializācijas pamatprincipi un slodzes rādītāju noteikšanas kārtība" (apstiprināta ar </w:t>
            </w:r>
            <w:r w:rsidRPr="00A43A86">
              <w:rPr>
                <w:rFonts w:ascii="Times New Roman" w:hAnsi="Times New Roman" w:cs="Times New Roman"/>
                <w:sz w:val="24"/>
                <w:szCs w:val="24"/>
              </w:rPr>
              <w:t>Tieslietu padomes 2016. gada 17. oktobra lēmumu Nr. 52). 1.4.apakšpunktu t</w:t>
            </w:r>
            <w:r w:rsidRPr="00A43A86">
              <w:rPr>
                <w:rFonts w:ascii="Times New Roman" w:eastAsia="Times New Roman" w:hAnsi="Times New Roman" w:cs="Times New Roman"/>
                <w:sz w:val="24"/>
                <w:szCs w:val="24"/>
                <w:lang w:eastAsia="lv-LV"/>
              </w:rPr>
              <w:t>iesneša specializāciju nosaka, ņemot vērā rajona (pilsētas) tiesas un apgabaltiesas darba organizāciju, tiesneša darba pieredzi un specifiskas zināšanas. Tiesnešu specializāciju tiesas ietvaros nosaka tiesas priekšsēdētājs</w:t>
            </w:r>
            <w:r w:rsidR="00C06EB4" w:rsidRPr="00A43A86">
              <w:rPr>
                <w:rFonts w:ascii="Times New Roman" w:eastAsia="Times New Roman" w:hAnsi="Times New Roman" w:cs="Times New Roman"/>
                <w:sz w:val="24"/>
                <w:szCs w:val="24"/>
                <w:lang w:eastAsia="lv-LV"/>
              </w:rPr>
              <w:t>,</w:t>
            </w:r>
            <w:r w:rsidRPr="00A43A86">
              <w:rPr>
                <w:rFonts w:ascii="Times New Roman" w:eastAsia="Times New Roman" w:hAnsi="Times New Roman" w:cs="Times New Roman"/>
                <w:sz w:val="24"/>
                <w:szCs w:val="24"/>
                <w:lang w:eastAsia="lv-LV"/>
              </w:rPr>
              <w:t xml:space="preserve"> ņemot vērā iepriekš minētos nosacījumus. Līdz ar to tiesas priekšsēdētāja kompetencē būs noteikt, cik tiesneši Ekonomisko lietu tiesā izskatīs krimināllietas, vai tiks noteikta tiesību nozares specializācija, vai arī tiesneši vienlaikus skatīs gan civillietas, gan krimināllietas. </w:t>
            </w:r>
          </w:p>
          <w:p w14:paraId="65A7D461" w14:textId="2A3F7FA0" w:rsidR="00D52A03" w:rsidRPr="00A43A86" w:rsidRDefault="00D52A03" w:rsidP="00D52A03">
            <w:pPr>
              <w:tabs>
                <w:tab w:val="left" w:pos="993"/>
              </w:tabs>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 xml:space="preserve">Attiecībā uz turpmāku Ekonomisko lietu tiesas kompetences paplašināšanu, uzklausot iesaistīto viedokļus (Finanšu ministrija, Ārvalstu investoru padome Latvijā, Latvijas </w:t>
            </w:r>
            <w:r w:rsidR="006376ED">
              <w:rPr>
                <w:rFonts w:ascii="Times New Roman" w:eastAsia="Times New Roman" w:hAnsi="Times New Roman" w:cs="Times New Roman"/>
                <w:sz w:val="24"/>
                <w:szCs w:val="24"/>
                <w:lang w:eastAsia="lv-LV"/>
              </w:rPr>
              <w:t>T</w:t>
            </w:r>
            <w:r w:rsidRPr="00A43A86">
              <w:rPr>
                <w:rFonts w:ascii="Times New Roman" w:eastAsia="Times New Roman" w:hAnsi="Times New Roman" w:cs="Times New Roman"/>
                <w:sz w:val="24"/>
                <w:szCs w:val="24"/>
                <w:lang w:eastAsia="lv-LV"/>
              </w:rPr>
              <w:t>irdzniecības un rūpniecības kamera, Finanšu un kapitāla tirgus komisija un Pastāvīgā Civilprocesa likuma grozījumu darba grupa), secināts, ka, ja iespējams nodrošināt nepieciešamo kapacitāti, tad Ekonomisko lietu tiesas kompetencē būtu nododama arī šādu civillietu izskatīšana:</w:t>
            </w:r>
          </w:p>
          <w:p w14:paraId="728B8798" w14:textId="02FE7CA9" w:rsidR="00D52A03" w:rsidRPr="00A43A86" w:rsidRDefault="00C06EB4" w:rsidP="00D52A03">
            <w:pPr>
              <w:pStyle w:val="Sarakstarindkopa"/>
              <w:numPr>
                <w:ilvl w:val="0"/>
                <w:numId w:val="9"/>
              </w:numPr>
              <w:tabs>
                <w:tab w:val="left" w:pos="709"/>
              </w:tabs>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liela apmēra prasības par zaudējumu atlīdzību</w:t>
            </w:r>
            <w:r w:rsidR="00D52A03" w:rsidRPr="00A43A86">
              <w:rPr>
                <w:rFonts w:ascii="Times New Roman" w:eastAsia="Times New Roman" w:hAnsi="Times New Roman" w:cs="Times New Roman"/>
                <w:sz w:val="24"/>
                <w:szCs w:val="24"/>
                <w:lang w:eastAsia="lv-LV"/>
              </w:rPr>
              <w:t>;</w:t>
            </w:r>
          </w:p>
          <w:p w14:paraId="6DDDC3CF" w14:textId="77777777" w:rsidR="00D52A03" w:rsidRPr="00A43A86" w:rsidRDefault="00D52A03" w:rsidP="00D52A03">
            <w:pPr>
              <w:pStyle w:val="Sarakstarindkopa"/>
              <w:numPr>
                <w:ilvl w:val="0"/>
                <w:numId w:val="9"/>
              </w:numPr>
              <w:tabs>
                <w:tab w:val="left" w:pos="709"/>
              </w:tabs>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juridisko personu maksātnespējas lietas;</w:t>
            </w:r>
          </w:p>
          <w:p w14:paraId="6FADC41F" w14:textId="77777777" w:rsidR="00D52A03" w:rsidRPr="00A43A86" w:rsidRDefault="00D52A03" w:rsidP="00D52A03">
            <w:pPr>
              <w:pStyle w:val="Sarakstarindkopa"/>
              <w:numPr>
                <w:ilvl w:val="0"/>
                <w:numId w:val="9"/>
              </w:numPr>
              <w:ind w:left="0" w:firstLine="360"/>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lietas par publiskos reģistros ierakstītiem saistību nodrošinājuma līdzekļiem (to pilnīgas vai daļējas spēkā esamības vai piemērojamības apstrīdēšanu);</w:t>
            </w:r>
          </w:p>
          <w:p w14:paraId="7849D710" w14:textId="77777777" w:rsidR="00D52A03" w:rsidRPr="00A43A86" w:rsidRDefault="00D52A03" w:rsidP="00D52A03">
            <w:pPr>
              <w:pStyle w:val="Sarakstarindkopa"/>
              <w:numPr>
                <w:ilvl w:val="0"/>
                <w:numId w:val="9"/>
              </w:numPr>
              <w:tabs>
                <w:tab w:val="left" w:pos="709"/>
              </w:tabs>
              <w:spacing w:after="0" w:line="240" w:lineRule="auto"/>
              <w:ind w:left="0" w:firstLine="360"/>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strīdi starp emitentu un akcionāriem;</w:t>
            </w:r>
          </w:p>
          <w:p w14:paraId="43CC801E" w14:textId="77777777" w:rsidR="00D52A03" w:rsidRPr="00A43A86" w:rsidRDefault="00D52A03" w:rsidP="00D52A03">
            <w:pPr>
              <w:pStyle w:val="Sarakstarindkopa"/>
              <w:numPr>
                <w:ilvl w:val="0"/>
                <w:numId w:val="9"/>
              </w:numPr>
              <w:tabs>
                <w:tab w:val="left" w:pos="709"/>
              </w:tabs>
              <w:spacing w:after="0" w:line="240" w:lineRule="auto"/>
              <w:ind w:left="0" w:firstLine="360"/>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emitenta akcionāru savstarpējie strīdi;</w:t>
            </w:r>
          </w:p>
          <w:p w14:paraId="175BC9C1" w14:textId="77777777" w:rsidR="00D52A03" w:rsidRPr="00A43A86" w:rsidRDefault="00D52A03" w:rsidP="00D52A03">
            <w:pPr>
              <w:pStyle w:val="Sarakstarindkopa"/>
              <w:numPr>
                <w:ilvl w:val="0"/>
                <w:numId w:val="9"/>
              </w:numPr>
              <w:tabs>
                <w:tab w:val="left" w:pos="709"/>
              </w:tabs>
              <w:spacing w:after="0" w:line="240" w:lineRule="auto"/>
              <w:ind w:left="0" w:firstLine="360"/>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 xml:space="preserve">strīdi starp regulētā tirgus organizētāju un emitentu, kā arī attiecības starp centrālo vērtspapīru depozitāriju un tā dalībniekiem. </w:t>
            </w:r>
          </w:p>
          <w:p w14:paraId="3757B633" w14:textId="77777777" w:rsidR="00D52A03" w:rsidRPr="00A43A86" w:rsidRDefault="00D52A03" w:rsidP="00D52A03">
            <w:pPr>
              <w:tabs>
                <w:tab w:val="left" w:pos="709"/>
              </w:tabs>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Atbilstoši Finanšu un kapitāla tirgus komisijas rīcībā esošajai informācijai minēto subjektu savstarpējos līgumos parasti tiek paredzēta strīdu izskatīšana šķīrējtiesās, kā arī praksē nav bijuši tiesvedības gadījumi starp minētajiem subjektiem. Tomēr atbilstoši plānotajai Ekonomisko lietu tiesas kompetencei šāda veida strīdu izskatīšana varētu tikt paredzēta specializētajai tiesai, jo tā ir saistīta ar papildu zināšanām ekonomikas un finanšu jomā, kā arī šāda lietu kategorija provizoriski neradītu būtisku papildu noslodzi specializētajai tiesai.</w:t>
            </w:r>
          </w:p>
          <w:p w14:paraId="3AF58823" w14:textId="77777777" w:rsidR="00D52A03" w:rsidRPr="00A43A86" w:rsidRDefault="00D52A03" w:rsidP="00D52A03">
            <w:pPr>
              <w:pStyle w:val="Sarakstarindkopa"/>
              <w:numPr>
                <w:ilvl w:val="0"/>
                <w:numId w:val="9"/>
              </w:numPr>
              <w:tabs>
                <w:tab w:val="left" w:pos="394"/>
              </w:tabs>
              <w:spacing w:after="0" w:line="240" w:lineRule="auto"/>
              <w:ind w:left="0" w:firstLine="360"/>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 xml:space="preserve">prasības, kas izriet no vērtspapīru (kapitāla daļu (akciju), un tām pielīdzināmu vērtspapīru, obligāciju u.c. parāda vērstpapīru) saistībām vai opcijām; </w:t>
            </w:r>
          </w:p>
          <w:p w14:paraId="787476BC" w14:textId="24811297" w:rsidR="00D52A03" w:rsidRPr="00A43A86" w:rsidRDefault="00D52A03" w:rsidP="00D52A03">
            <w:pPr>
              <w:pStyle w:val="Sarakstarindkopa"/>
              <w:numPr>
                <w:ilvl w:val="0"/>
                <w:numId w:val="9"/>
              </w:numPr>
              <w:tabs>
                <w:tab w:val="left" w:pos="819"/>
              </w:tabs>
              <w:spacing w:after="0" w:line="240" w:lineRule="auto"/>
              <w:ind w:left="0" w:firstLine="360"/>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 xml:space="preserve">prasības par šķīrējtiesas līguma (klauzulas) atzīšanu par spēkā neesošu; </w:t>
            </w:r>
          </w:p>
          <w:p w14:paraId="26FC0A34" w14:textId="06B2E66D" w:rsidR="00D52A03" w:rsidRPr="00A43A86" w:rsidRDefault="00D52A03" w:rsidP="00D52A03">
            <w:pPr>
              <w:pStyle w:val="Sarakstarindkopa"/>
              <w:numPr>
                <w:ilvl w:val="0"/>
                <w:numId w:val="9"/>
              </w:numPr>
              <w:tabs>
                <w:tab w:val="left" w:pos="709"/>
              </w:tabs>
              <w:spacing w:after="0" w:line="240" w:lineRule="auto"/>
              <w:ind w:left="0" w:firstLine="360"/>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lastRenderedPageBreak/>
              <w:t>pieteikumus par izpildu raksta izsniegšanu pastāvīgās šķīrējtiesas sprieduma piespiedu izpildei;</w:t>
            </w:r>
          </w:p>
          <w:p w14:paraId="69FDBB44" w14:textId="77777777" w:rsidR="00D14A11" w:rsidRPr="00A43A86" w:rsidRDefault="00D52A03" w:rsidP="00D52A03">
            <w:pPr>
              <w:pStyle w:val="Sarakstarindkopa"/>
              <w:numPr>
                <w:ilvl w:val="0"/>
                <w:numId w:val="9"/>
              </w:numPr>
              <w:tabs>
                <w:tab w:val="left" w:pos="709"/>
              </w:tabs>
              <w:spacing w:after="0" w:line="240" w:lineRule="auto"/>
              <w:ind w:left="0" w:firstLine="360"/>
              <w:jc w:val="both"/>
              <w:rPr>
                <w:rFonts w:ascii="Times New Roman" w:eastAsia="Times New Roman" w:hAnsi="Times New Roman" w:cs="Times New Roman"/>
                <w:sz w:val="24"/>
                <w:szCs w:val="24"/>
                <w:lang w:eastAsia="lv-LV"/>
              </w:rPr>
            </w:pPr>
            <w:r w:rsidRPr="00A43A86">
              <w:rPr>
                <w:rFonts w:ascii="Times New Roman" w:hAnsi="Times New Roman" w:cs="Times New Roman"/>
                <w:sz w:val="24"/>
                <w:szCs w:val="24"/>
              </w:rPr>
              <w:t xml:space="preserve"> tiesiskās aizsardzības procesu lietas.</w:t>
            </w:r>
          </w:p>
          <w:p w14:paraId="30C06537" w14:textId="0DC4C419" w:rsidR="00A95D00" w:rsidRPr="00A43A86" w:rsidRDefault="00A95D00" w:rsidP="00C6211A">
            <w:pPr>
              <w:tabs>
                <w:tab w:val="left" w:pos="709"/>
              </w:tabs>
              <w:spacing w:after="0" w:line="240" w:lineRule="auto"/>
              <w:jc w:val="both"/>
              <w:rPr>
                <w:rFonts w:ascii="Times New Roman" w:eastAsia="Times New Roman" w:hAnsi="Times New Roman" w:cs="Times New Roman"/>
                <w:sz w:val="24"/>
                <w:szCs w:val="24"/>
                <w:lang w:eastAsia="lv-LV"/>
              </w:rPr>
            </w:pPr>
            <w:r w:rsidRPr="00A43A86">
              <w:rPr>
                <w:rFonts w:ascii="Times New Roman" w:hAnsi="Times New Roman" w:cs="Times New Roman"/>
                <w:sz w:val="24"/>
                <w:szCs w:val="24"/>
              </w:rPr>
              <w:t>Vienlaikus pastāv iespējamība nepieciešamības gadījumā turpmāk vērtēt iespējas paplašināt Civilprocesa likuma 30.</w:t>
            </w:r>
            <w:r w:rsidRPr="00A43A86">
              <w:rPr>
                <w:rFonts w:ascii="Times New Roman" w:hAnsi="Times New Roman" w:cs="Times New Roman"/>
                <w:sz w:val="24"/>
                <w:szCs w:val="24"/>
                <w:vertAlign w:val="superscript"/>
              </w:rPr>
              <w:t>4</w:t>
            </w:r>
            <w:r w:rsidRPr="00A43A86">
              <w:rPr>
                <w:rFonts w:ascii="Times New Roman" w:hAnsi="Times New Roman" w:cs="Times New Roman"/>
                <w:sz w:val="24"/>
                <w:szCs w:val="24"/>
              </w:rPr>
              <w:t xml:space="preserve"> nodaļā izskatāmo prasību veidus. </w:t>
            </w:r>
          </w:p>
        </w:tc>
      </w:tr>
      <w:tr w:rsidR="00F81219" w:rsidRPr="00D52A03" w14:paraId="1AA028D9" w14:textId="77777777" w:rsidTr="00E97C8F">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lastRenderedPageBreak/>
              <w:t>3.</w:t>
            </w:r>
          </w:p>
        </w:tc>
        <w:tc>
          <w:tcPr>
            <w:tcW w:w="167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Projekta izstrādē iesaistītās institūcijas</w:t>
            </w:r>
            <w:r w:rsidR="00A1552F" w:rsidRPr="00D52A03">
              <w:rPr>
                <w:rFonts w:ascii="Times New Roman" w:eastAsia="Times New Roman" w:hAnsi="Times New Roman" w:cs="Times New Roman"/>
                <w:sz w:val="24"/>
                <w:szCs w:val="24"/>
                <w:lang w:eastAsia="lv-LV"/>
              </w:rPr>
              <w:t xml:space="preserve"> un publiskas personas kapitālsabiedrības</w:t>
            </w:r>
          </w:p>
        </w:tc>
        <w:tc>
          <w:tcPr>
            <w:tcW w:w="3115" w:type="pct"/>
            <w:tcBorders>
              <w:top w:val="outset" w:sz="6" w:space="0" w:color="414142"/>
              <w:left w:val="outset" w:sz="6" w:space="0" w:color="414142"/>
              <w:bottom w:val="outset" w:sz="6" w:space="0" w:color="414142"/>
              <w:right w:val="outset" w:sz="6" w:space="0" w:color="414142"/>
            </w:tcBorders>
          </w:tcPr>
          <w:p w14:paraId="09DA66A3" w14:textId="7801089A" w:rsidR="00BC4E93" w:rsidRPr="00A43A86" w:rsidRDefault="008B4D14" w:rsidP="00D52A03">
            <w:pPr>
              <w:spacing w:after="0" w:line="240" w:lineRule="auto"/>
              <w:jc w:val="both"/>
              <w:rPr>
                <w:rFonts w:ascii="Times New Roman" w:eastAsia="Times New Roman" w:hAnsi="Times New Roman" w:cs="Times New Roman"/>
                <w:sz w:val="24"/>
                <w:szCs w:val="24"/>
                <w:lang w:eastAsia="lv-LV"/>
              </w:rPr>
            </w:pPr>
            <w:r w:rsidRPr="00A43A86">
              <w:rPr>
                <w:rFonts w:ascii="Times New Roman" w:eastAsia="Times New Roman" w:hAnsi="Times New Roman" w:cs="Times New Roman"/>
                <w:sz w:val="24"/>
                <w:szCs w:val="24"/>
                <w:lang w:eastAsia="lv-LV"/>
              </w:rPr>
              <w:t>Veiktas konsultācijas ar</w:t>
            </w:r>
            <w:r w:rsidR="00BC4E93" w:rsidRPr="00A43A86">
              <w:rPr>
                <w:rFonts w:ascii="Times New Roman" w:eastAsia="Times New Roman" w:hAnsi="Times New Roman" w:cs="Times New Roman"/>
                <w:sz w:val="24"/>
                <w:szCs w:val="24"/>
                <w:lang w:eastAsia="lv-LV"/>
              </w:rPr>
              <w:t xml:space="preserve"> Ārvalstu investoru padom</w:t>
            </w:r>
            <w:r w:rsidRPr="00A43A86">
              <w:rPr>
                <w:rFonts w:ascii="Times New Roman" w:eastAsia="Times New Roman" w:hAnsi="Times New Roman" w:cs="Times New Roman"/>
                <w:sz w:val="24"/>
                <w:szCs w:val="24"/>
                <w:lang w:eastAsia="lv-LV"/>
              </w:rPr>
              <w:t>i</w:t>
            </w:r>
            <w:r w:rsidR="00BC4E93" w:rsidRPr="00A43A86">
              <w:rPr>
                <w:rFonts w:ascii="Times New Roman" w:eastAsia="Times New Roman" w:hAnsi="Times New Roman" w:cs="Times New Roman"/>
                <w:sz w:val="24"/>
                <w:szCs w:val="24"/>
                <w:lang w:eastAsia="lv-LV"/>
              </w:rPr>
              <w:t xml:space="preserve"> Latvijā, Latvijas </w:t>
            </w:r>
            <w:r w:rsidR="00FE4FB1" w:rsidRPr="00A43A86">
              <w:rPr>
                <w:rFonts w:ascii="Times New Roman" w:eastAsia="Times New Roman" w:hAnsi="Times New Roman" w:cs="Times New Roman"/>
                <w:sz w:val="24"/>
                <w:szCs w:val="24"/>
                <w:lang w:eastAsia="lv-LV"/>
              </w:rPr>
              <w:t>T</w:t>
            </w:r>
            <w:r w:rsidR="00BC4E93" w:rsidRPr="00A43A86">
              <w:rPr>
                <w:rFonts w:ascii="Times New Roman" w:eastAsia="Times New Roman" w:hAnsi="Times New Roman" w:cs="Times New Roman"/>
                <w:sz w:val="24"/>
                <w:szCs w:val="24"/>
                <w:lang w:eastAsia="lv-LV"/>
              </w:rPr>
              <w:t>irdzniecības un rūpniecības kamer</w:t>
            </w:r>
            <w:r w:rsidRPr="00A43A86">
              <w:rPr>
                <w:rFonts w:ascii="Times New Roman" w:eastAsia="Times New Roman" w:hAnsi="Times New Roman" w:cs="Times New Roman"/>
                <w:sz w:val="24"/>
                <w:szCs w:val="24"/>
                <w:lang w:eastAsia="lv-LV"/>
              </w:rPr>
              <w:t>u</w:t>
            </w:r>
            <w:r w:rsidR="00BC4E93" w:rsidRPr="00A43A86">
              <w:rPr>
                <w:rFonts w:ascii="Times New Roman" w:eastAsia="Times New Roman" w:hAnsi="Times New Roman" w:cs="Times New Roman"/>
                <w:sz w:val="24"/>
                <w:szCs w:val="24"/>
                <w:lang w:eastAsia="lv-LV"/>
              </w:rPr>
              <w:t>, Finanšu un kapitāla tirgus komisij</w:t>
            </w:r>
            <w:r w:rsidRPr="00A43A86">
              <w:rPr>
                <w:rFonts w:ascii="Times New Roman" w:eastAsia="Times New Roman" w:hAnsi="Times New Roman" w:cs="Times New Roman"/>
                <w:sz w:val="24"/>
                <w:szCs w:val="24"/>
                <w:lang w:eastAsia="lv-LV"/>
              </w:rPr>
              <w:t>u, tiesnešiem. Jautājums par iespējamo Ekonomisko lietu tiesas kompetenci skatīts</w:t>
            </w:r>
            <w:r w:rsidR="00BC4E93" w:rsidRPr="00A43A86">
              <w:rPr>
                <w:rFonts w:ascii="Times New Roman" w:eastAsia="Times New Roman" w:hAnsi="Times New Roman" w:cs="Times New Roman"/>
                <w:sz w:val="24"/>
                <w:szCs w:val="24"/>
                <w:lang w:eastAsia="lv-LV"/>
              </w:rPr>
              <w:t xml:space="preserve"> Pastāvīg</w:t>
            </w:r>
            <w:r w:rsidRPr="00A43A86">
              <w:rPr>
                <w:rFonts w:ascii="Times New Roman" w:eastAsia="Times New Roman" w:hAnsi="Times New Roman" w:cs="Times New Roman"/>
                <w:sz w:val="24"/>
                <w:szCs w:val="24"/>
                <w:lang w:eastAsia="lv-LV"/>
              </w:rPr>
              <w:t>aj</w:t>
            </w:r>
            <w:r w:rsidR="00BC4E93" w:rsidRPr="00A43A86">
              <w:rPr>
                <w:rFonts w:ascii="Times New Roman" w:eastAsia="Times New Roman" w:hAnsi="Times New Roman" w:cs="Times New Roman"/>
                <w:sz w:val="24"/>
                <w:szCs w:val="24"/>
                <w:lang w:eastAsia="lv-LV"/>
              </w:rPr>
              <w:t>ā Civilprocesa likuma grozījumu izstrādes darba grup</w:t>
            </w:r>
            <w:r w:rsidRPr="00A43A86">
              <w:rPr>
                <w:rFonts w:ascii="Times New Roman" w:eastAsia="Times New Roman" w:hAnsi="Times New Roman" w:cs="Times New Roman"/>
                <w:sz w:val="24"/>
                <w:szCs w:val="24"/>
                <w:lang w:eastAsia="lv-LV"/>
              </w:rPr>
              <w:t>ā</w:t>
            </w:r>
            <w:r w:rsidR="00BC4E93" w:rsidRPr="00A43A86">
              <w:rPr>
                <w:rFonts w:ascii="Times New Roman" w:eastAsia="Times New Roman" w:hAnsi="Times New Roman" w:cs="Times New Roman"/>
                <w:sz w:val="24"/>
                <w:szCs w:val="24"/>
                <w:lang w:eastAsia="lv-LV"/>
              </w:rPr>
              <w:t>.</w:t>
            </w:r>
          </w:p>
        </w:tc>
      </w:tr>
      <w:tr w:rsidR="00F81219" w:rsidRPr="00D52A03" w14:paraId="4416C82A" w14:textId="77777777" w:rsidTr="00E97C8F">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4.</w:t>
            </w:r>
          </w:p>
        </w:tc>
        <w:tc>
          <w:tcPr>
            <w:tcW w:w="167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Cita informācija</w:t>
            </w:r>
          </w:p>
        </w:tc>
        <w:tc>
          <w:tcPr>
            <w:tcW w:w="3115" w:type="pct"/>
            <w:tcBorders>
              <w:top w:val="outset" w:sz="6" w:space="0" w:color="414142"/>
              <w:left w:val="outset" w:sz="6" w:space="0" w:color="414142"/>
              <w:bottom w:val="outset" w:sz="6" w:space="0" w:color="414142"/>
              <w:right w:val="outset" w:sz="6" w:space="0" w:color="414142"/>
            </w:tcBorders>
            <w:hideMark/>
          </w:tcPr>
          <w:p w14:paraId="0B5997D2" w14:textId="0BDFAC31" w:rsidR="00040F48" w:rsidRPr="00D52A03" w:rsidRDefault="009F138F" w:rsidP="00633CB1">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 xml:space="preserve">Ziņojuma izstrādē, kā rezultātā izstrādāts </w:t>
            </w:r>
            <w:r w:rsidR="009C5622" w:rsidRPr="00D52A03">
              <w:rPr>
                <w:rFonts w:ascii="Times New Roman" w:eastAsia="Times New Roman" w:hAnsi="Times New Roman" w:cs="Times New Roman"/>
                <w:iCs/>
                <w:sz w:val="24"/>
                <w:szCs w:val="24"/>
                <w:lang w:eastAsia="lv-LV"/>
              </w:rPr>
              <w:t>L</w:t>
            </w:r>
            <w:r w:rsidRPr="00D52A03">
              <w:rPr>
                <w:rFonts w:ascii="Times New Roman" w:eastAsia="Times New Roman" w:hAnsi="Times New Roman" w:cs="Times New Roman"/>
                <w:iCs/>
                <w:sz w:val="24"/>
                <w:szCs w:val="24"/>
                <w:lang w:eastAsia="lv-LV"/>
              </w:rPr>
              <w:t>ikumprojekts, ņemti vērā starptautiski</w:t>
            </w:r>
            <w:r w:rsidR="007D31CC" w:rsidRPr="00D52A03">
              <w:rPr>
                <w:rFonts w:ascii="Times New Roman" w:eastAsia="Times New Roman" w:hAnsi="Times New Roman" w:cs="Times New Roman"/>
                <w:iCs/>
                <w:sz w:val="24"/>
                <w:szCs w:val="24"/>
                <w:lang w:eastAsia="lv-LV"/>
              </w:rPr>
              <w:t>e</w:t>
            </w:r>
            <w:r w:rsidRPr="00D52A03">
              <w:rPr>
                <w:rFonts w:ascii="Times New Roman" w:eastAsia="Times New Roman" w:hAnsi="Times New Roman" w:cs="Times New Roman"/>
                <w:iCs/>
                <w:sz w:val="24"/>
                <w:szCs w:val="24"/>
                <w:lang w:eastAsia="lv-LV"/>
              </w:rPr>
              <w:t xml:space="preserve"> un nacionā</w:t>
            </w:r>
            <w:r w:rsidR="00CC289D" w:rsidRPr="00D52A03">
              <w:rPr>
                <w:rFonts w:ascii="Times New Roman" w:eastAsia="Times New Roman" w:hAnsi="Times New Roman" w:cs="Times New Roman"/>
                <w:iCs/>
                <w:sz w:val="24"/>
                <w:szCs w:val="24"/>
                <w:lang w:eastAsia="lv-LV"/>
              </w:rPr>
              <w:t>li</w:t>
            </w:r>
            <w:r w:rsidR="007D31CC" w:rsidRPr="00D52A03">
              <w:rPr>
                <w:rFonts w:ascii="Times New Roman" w:eastAsia="Times New Roman" w:hAnsi="Times New Roman" w:cs="Times New Roman"/>
                <w:iCs/>
                <w:sz w:val="24"/>
                <w:szCs w:val="24"/>
                <w:lang w:eastAsia="lv-LV"/>
              </w:rPr>
              <w:t>e</w:t>
            </w:r>
            <w:r w:rsidRPr="00D52A03">
              <w:rPr>
                <w:rFonts w:ascii="Times New Roman" w:eastAsia="Times New Roman" w:hAnsi="Times New Roman" w:cs="Times New Roman"/>
                <w:iCs/>
                <w:sz w:val="24"/>
                <w:szCs w:val="24"/>
                <w:lang w:eastAsia="lv-LV"/>
              </w:rPr>
              <w:t xml:space="preserve"> tiesu sistēmas vērtējumi, piemēram, 2018.</w:t>
            </w:r>
            <w:r w:rsidR="00F4263A"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gada 23.</w:t>
            </w:r>
            <w:r w:rsidR="00F4263A"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 xml:space="preserve">augustā publicēts Eiropas Padomes </w:t>
            </w:r>
            <w:r w:rsidRPr="00D52A03">
              <w:rPr>
                <w:rFonts w:ascii="Times New Roman" w:eastAsia="Times New Roman" w:hAnsi="Times New Roman" w:cs="Times New Roman"/>
                <w:i/>
                <w:sz w:val="24"/>
                <w:szCs w:val="24"/>
                <w:lang w:eastAsia="lv-LV"/>
              </w:rPr>
              <w:t>Moneyval</w:t>
            </w:r>
            <w:r w:rsidRPr="00D52A03">
              <w:rPr>
                <w:rFonts w:ascii="Times New Roman" w:eastAsia="Times New Roman" w:hAnsi="Times New Roman" w:cs="Times New Roman"/>
                <w:iCs/>
                <w:sz w:val="24"/>
                <w:szCs w:val="24"/>
                <w:lang w:eastAsia="lv-LV"/>
              </w:rPr>
              <w:t xml:space="preserve"> komitejas savstarpējās novērtēšanas 5.</w:t>
            </w:r>
            <w:r w:rsidR="00F4263A"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kārtas ziņojums par Latviju</w:t>
            </w:r>
            <w:r w:rsidR="000478EC" w:rsidRPr="00D52A03">
              <w:rPr>
                <w:rStyle w:val="Vresatsauce"/>
                <w:rFonts w:ascii="Times New Roman" w:eastAsia="Times New Roman" w:hAnsi="Times New Roman" w:cs="Times New Roman"/>
                <w:iCs/>
                <w:sz w:val="24"/>
                <w:szCs w:val="24"/>
                <w:lang w:eastAsia="lv-LV"/>
              </w:rPr>
              <w:footnoteReference w:id="6"/>
            </w:r>
            <w:r w:rsidRPr="00D52A03">
              <w:rPr>
                <w:rFonts w:ascii="Times New Roman" w:eastAsia="Times New Roman" w:hAnsi="Times New Roman" w:cs="Times New Roman"/>
                <w:iCs/>
                <w:sz w:val="24"/>
                <w:szCs w:val="24"/>
                <w:lang w:eastAsia="lv-LV"/>
              </w:rPr>
              <w:t>, Ekonomiskās sadarbības un attīstības organizācijas pētījums "Tiesiskums komercdarbībai un iekļaujošai izaugsmei Latvijā"</w:t>
            </w:r>
            <w:r w:rsidR="000478EC" w:rsidRPr="00D52A03">
              <w:rPr>
                <w:rStyle w:val="Vresatsauce"/>
                <w:rFonts w:ascii="Times New Roman" w:eastAsia="Times New Roman" w:hAnsi="Times New Roman" w:cs="Times New Roman"/>
                <w:iCs/>
                <w:sz w:val="24"/>
                <w:szCs w:val="24"/>
                <w:lang w:eastAsia="lv-LV"/>
              </w:rPr>
              <w:footnoteReference w:id="7"/>
            </w:r>
            <w:r w:rsidRPr="00D52A03">
              <w:rPr>
                <w:rFonts w:ascii="Times New Roman" w:eastAsia="Times New Roman" w:hAnsi="Times New Roman" w:cs="Times New Roman"/>
                <w:iCs/>
                <w:sz w:val="24"/>
                <w:szCs w:val="24"/>
                <w:lang w:eastAsia="lv-LV"/>
              </w:rPr>
              <w:t>, Eiropas Padomes Tieslietu sistēmu efektivitātes komisijas ziņojums par Latvijas tieslietu sistēmas novērtējumu</w:t>
            </w:r>
            <w:r w:rsidR="000478EC" w:rsidRPr="00D52A03">
              <w:rPr>
                <w:rStyle w:val="Vresatsauce"/>
                <w:rFonts w:ascii="Times New Roman" w:eastAsia="Times New Roman" w:hAnsi="Times New Roman" w:cs="Times New Roman"/>
                <w:iCs/>
                <w:sz w:val="24"/>
                <w:szCs w:val="24"/>
                <w:lang w:eastAsia="lv-LV"/>
              </w:rPr>
              <w:footnoteReference w:id="8"/>
            </w:r>
            <w:r w:rsidRPr="00D52A03">
              <w:rPr>
                <w:rFonts w:ascii="Times New Roman" w:eastAsia="Times New Roman" w:hAnsi="Times New Roman" w:cs="Times New Roman"/>
                <w:iCs/>
                <w:sz w:val="24"/>
                <w:szCs w:val="24"/>
                <w:lang w:eastAsia="lv-LV"/>
              </w:rPr>
              <w:t xml:space="preserve">, Starptautiskā </w:t>
            </w:r>
            <w:r w:rsidR="00A364A5" w:rsidRPr="00D52A03">
              <w:rPr>
                <w:rFonts w:ascii="Times New Roman" w:eastAsia="Times New Roman" w:hAnsi="Times New Roman" w:cs="Times New Roman"/>
                <w:iCs/>
                <w:sz w:val="24"/>
                <w:szCs w:val="24"/>
                <w:lang w:eastAsia="lv-LV"/>
              </w:rPr>
              <w:t>V</w:t>
            </w:r>
            <w:r w:rsidRPr="00D52A03">
              <w:rPr>
                <w:rFonts w:ascii="Times New Roman" w:eastAsia="Times New Roman" w:hAnsi="Times New Roman" w:cs="Times New Roman"/>
                <w:iCs/>
                <w:sz w:val="24"/>
                <w:szCs w:val="24"/>
                <w:lang w:eastAsia="lv-LV"/>
              </w:rPr>
              <w:t>alūtas fonda novērtējums</w:t>
            </w:r>
            <w:r w:rsidR="000478EC" w:rsidRPr="00D52A03">
              <w:rPr>
                <w:rStyle w:val="Vresatsauce"/>
                <w:rFonts w:ascii="Times New Roman" w:eastAsia="Times New Roman" w:hAnsi="Times New Roman" w:cs="Times New Roman"/>
                <w:iCs/>
                <w:sz w:val="24"/>
                <w:szCs w:val="24"/>
                <w:lang w:eastAsia="lv-LV"/>
              </w:rPr>
              <w:footnoteReference w:id="9"/>
            </w:r>
            <w:r w:rsidR="00633CB1" w:rsidRPr="00D52A03">
              <w:rPr>
                <w:rFonts w:ascii="Times New Roman" w:eastAsia="Times New Roman" w:hAnsi="Times New Roman" w:cs="Times New Roman"/>
                <w:iCs/>
                <w:sz w:val="24"/>
                <w:szCs w:val="24"/>
                <w:lang w:eastAsia="lv-LV"/>
              </w:rPr>
              <w:t xml:space="preserve">,  </w:t>
            </w:r>
            <w:r w:rsidR="0081237C" w:rsidRPr="00D52A03">
              <w:rPr>
                <w:rFonts w:ascii="Times New Roman" w:eastAsia="Times New Roman" w:hAnsi="Times New Roman" w:cs="Times New Roman"/>
                <w:iCs/>
                <w:sz w:val="24"/>
                <w:szCs w:val="24"/>
                <w:lang w:eastAsia="lv-LV"/>
              </w:rPr>
              <w:t>Ārvalstu investoru padomes Latvijā</w:t>
            </w:r>
            <w:r w:rsidR="00E97C8F" w:rsidRPr="00D52A03">
              <w:rPr>
                <w:rFonts w:ascii="Times New Roman" w:hAnsi="Times New Roman" w:cs="Times New Roman"/>
              </w:rPr>
              <w:t xml:space="preserve"> nostāja attiecībā uz investīciju aizsardzības jautājumiem. </w:t>
            </w:r>
            <w:r w:rsidR="0081237C" w:rsidRPr="00D52A03">
              <w:rPr>
                <w:rStyle w:val="Vresatsauce"/>
                <w:rFonts w:ascii="Times New Roman" w:eastAsia="Times New Roman" w:hAnsi="Times New Roman" w:cs="Times New Roman"/>
                <w:iCs/>
                <w:sz w:val="24"/>
                <w:szCs w:val="24"/>
                <w:lang w:eastAsia="lv-LV"/>
              </w:rPr>
              <w:footnoteReference w:id="10"/>
            </w:r>
          </w:p>
          <w:p w14:paraId="2B7DD81B" w14:textId="66CCC5F6" w:rsidR="00040F48" w:rsidRPr="00D52A03" w:rsidRDefault="00633CB1" w:rsidP="00CA61CD">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Pārresoru koordinācijas centr</w:t>
            </w:r>
            <w:r w:rsidR="00040F48" w:rsidRPr="00D52A03">
              <w:rPr>
                <w:rFonts w:ascii="Times New Roman" w:eastAsia="Times New Roman" w:hAnsi="Times New Roman" w:cs="Times New Roman"/>
                <w:iCs/>
                <w:sz w:val="24"/>
                <w:szCs w:val="24"/>
                <w:lang w:eastAsia="lv-LV"/>
              </w:rPr>
              <w:t xml:space="preserve">s, sniedzot atzinumu par </w:t>
            </w:r>
            <w:r w:rsidR="001A684E" w:rsidRPr="00D52A03">
              <w:rPr>
                <w:rFonts w:ascii="Times New Roman" w:eastAsia="Times New Roman" w:hAnsi="Times New Roman" w:cs="Times New Roman"/>
                <w:iCs/>
                <w:sz w:val="24"/>
                <w:szCs w:val="24"/>
                <w:lang w:eastAsia="lv-LV"/>
              </w:rPr>
              <w:t>Z</w:t>
            </w:r>
            <w:r w:rsidR="00040F48" w:rsidRPr="00D52A03">
              <w:rPr>
                <w:rFonts w:ascii="Times New Roman" w:eastAsia="Times New Roman" w:hAnsi="Times New Roman" w:cs="Times New Roman"/>
                <w:iCs/>
                <w:sz w:val="24"/>
                <w:szCs w:val="24"/>
                <w:lang w:eastAsia="lv-LV"/>
              </w:rPr>
              <w:t>iņojumu (2019.</w:t>
            </w:r>
            <w:r w:rsidR="001A684E" w:rsidRPr="00D52A03">
              <w:rPr>
                <w:rFonts w:ascii="Times New Roman" w:eastAsia="Times New Roman" w:hAnsi="Times New Roman" w:cs="Times New Roman"/>
                <w:iCs/>
                <w:sz w:val="24"/>
                <w:szCs w:val="24"/>
                <w:lang w:eastAsia="lv-LV"/>
              </w:rPr>
              <w:t> </w:t>
            </w:r>
            <w:r w:rsidR="00040F48" w:rsidRPr="00D52A03">
              <w:rPr>
                <w:rFonts w:ascii="Times New Roman" w:eastAsia="Times New Roman" w:hAnsi="Times New Roman" w:cs="Times New Roman"/>
                <w:iCs/>
                <w:sz w:val="24"/>
                <w:szCs w:val="24"/>
                <w:lang w:eastAsia="lv-LV"/>
              </w:rPr>
              <w:t>gada 10.</w:t>
            </w:r>
            <w:r w:rsidR="001A684E" w:rsidRPr="00D52A03">
              <w:rPr>
                <w:rFonts w:ascii="Times New Roman" w:eastAsia="Times New Roman" w:hAnsi="Times New Roman" w:cs="Times New Roman"/>
                <w:iCs/>
                <w:sz w:val="24"/>
                <w:szCs w:val="24"/>
                <w:lang w:eastAsia="lv-LV"/>
              </w:rPr>
              <w:t> </w:t>
            </w:r>
            <w:r w:rsidR="00040F48" w:rsidRPr="00D52A03">
              <w:rPr>
                <w:rFonts w:ascii="Times New Roman" w:eastAsia="Times New Roman" w:hAnsi="Times New Roman" w:cs="Times New Roman"/>
                <w:iCs/>
                <w:sz w:val="24"/>
                <w:szCs w:val="24"/>
                <w:lang w:eastAsia="lv-LV"/>
              </w:rPr>
              <w:t>jūnija vēstule Nr.</w:t>
            </w:r>
            <w:r w:rsidR="001A684E" w:rsidRPr="00D52A03">
              <w:rPr>
                <w:rFonts w:ascii="Times New Roman" w:eastAsia="Times New Roman" w:hAnsi="Times New Roman" w:cs="Times New Roman"/>
                <w:iCs/>
                <w:sz w:val="24"/>
                <w:szCs w:val="24"/>
                <w:lang w:eastAsia="lv-LV"/>
              </w:rPr>
              <w:t> </w:t>
            </w:r>
            <w:r w:rsidR="00040F48" w:rsidRPr="00D52A03">
              <w:rPr>
                <w:rFonts w:ascii="Times New Roman" w:eastAsia="Times New Roman" w:hAnsi="Times New Roman" w:cs="Times New Roman"/>
                <w:iCs/>
                <w:sz w:val="24"/>
                <w:szCs w:val="24"/>
                <w:lang w:eastAsia="lv-LV"/>
              </w:rPr>
              <w:t>1.2-7/66) "Par ekonomisko lietu tiesas izveidi", a</w:t>
            </w:r>
            <w:r w:rsidR="00040F48" w:rsidRPr="00D52A03">
              <w:rPr>
                <w:rFonts w:ascii="Times New Roman" w:hAnsi="Times New Roman"/>
                <w:sz w:val="24"/>
                <w:szCs w:val="24"/>
              </w:rPr>
              <w:t xml:space="preserve">tzinīgi vērtē Tieslietu </w:t>
            </w:r>
            <w:r w:rsidR="00040F48" w:rsidRPr="00D52A03">
              <w:rPr>
                <w:rFonts w:ascii="Times New Roman" w:eastAsia="Times New Roman" w:hAnsi="Times New Roman" w:cs="Times New Roman"/>
                <w:iCs/>
                <w:sz w:val="24"/>
                <w:szCs w:val="24"/>
                <w:lang w:eastAsia="lv-LV"/>
              </w:rPr>
              <w:t xml:space="preserve">ministrijas iniciatīvu sakārtot tiesas nolēmumu kvalitāti un ātrumu, standartizējot un koncentrējot tiesu resursus komercstrīdu, korupcijas, ekonomikas un finanšu noziegumu jomā. </w:t>
            </w:r>
          </w:p>
          <w:p w14:paraId="226F6234" w14:textId="56A8C003" w:rsidR="00040F48" w:rsidRPr="00D52A03" w:rsidRDefault="00040F48" w:rsidP="00CA61CD">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Ekonomikas ministrija 2019.</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gada 28.</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maija vēstulē (Nr</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 xml:space="preserve">1-13.3/4042) atzinīgi novērtē līdzšinējo pieredzi tiesas specializēšanā, vēršot uzmanību, ka tiesu vai tiesnešu </w:t>
            </w:r>
            <w:r w:rsidRPr="00D52A03">
              <w:rPr>
                <w:rFonts w:ascii="Times New Roman" w:eastAsia="Times New Roman" w:hAnsi="Times New Roman" w:cs="Times New Roman"/>
                <w:iCs/>
                <w:sz w:val="24"/>
                <w:szCs w:val="24"/>
                <w:lang w:eastAsia="lv-LV"/>
              </w:rPr>
              <w:lastRenderedPageBreak/>
              <w:t>specializācijas veidošana komercstrīdu izskatīšanai autortiesību un reklāmas jomā veicinātu labāku tiesnešu izpratni par komercstrīdu, kā arī ļautu kvalitatīvāk pieņemt lēmumus.</w:t>
            </w:r>
          </w:p>
          <w:p w14:paraId="689BEA9E" w14:textId="1EDD82C8" w:rsidR="00040F48" w:rsidRPr="00D52A03" w:rsidRDefault="00040F48" w:rsidP="00CA61CD">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Kultūras ministrija 2019.</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gada 28.</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maija vēstulē (Nr.</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 xml:space="preserve">3.2-2/1039) </w:t>
            </w:r>
            <w:r w:rsidR="00E97C8F" w:rsidRPr="00D52A03">
              <w:rPr>
                <w:rFonts w:ascii="Times New Roman" w:eastAsia="Times New Roman" w:hAnsi="Times New Roman" w:cs="Times New Roman"/>
                <w:iCs/>
                <w:sz w:val="24"/>
                <w:szCs w:val="24"/>
                <w:lang w:eastAsia="lv-LV"/>
              </w:rPr>
              <w:t xml:space="preserve">akcentē, ka </w:t>
            </w:r>
            <w:r w:rsidRPr="00D52A03">
              <w:rPr>
                <w:rFonts w:ascii="Times New Roman" w:eastAsia="Times New Roman" w:hAnsi="Times New Roman" w:cs="Times New Roman"/>
                <w:iCs/>
                <w:sz w:val="24"/>
                <w:szCs w:val="24"/>
                <w:lang w:eastAsia="lv-LV"/>
              </w:rPr>
              <w:t>nozares privātā sektora pārstāvji</w:t>
            </w:r>
            <w:r w:rsidR="00E97C8F" w:rsidRPr="00D52A03">
              <w:rPr>
                <w:rFonts w:ascii="Times New Roman" w:eastAsia="Times New Roman" w:hAnsi="Times New Roman" w:cs="Times New Roman"/>
                <w:iCs/>
                <w:sz w:val="24"/>
                <w:szCs w:val="24"/>
                <w:lang w:eastAsia="lv-LV"/>
              </w:rPr>
              <w:t xml:space="preserve"> </w:t>
            </w:r>
            <w:r w:rsidRPr="00D52A03">
              <w:rPr>
                <w:rFonts w:ascii="Times New Roman" w:eastAsia="Times New Roman" w:hAnsi="Times New Roman" w:cs="Times New Roman"/>
                <w:iCs/>
                <w:sz w:val="24"/>
                <w:szCs w:val="24"/>
                <w:lang w:eastAsia="lv-LV"/>
              </w:rPr>
              <w:t>vairākkārt ir norādījuši uz autortiesību īstenošanas un aizsardzības problemātiku tiesās, jo tiesu spriedumi mēdz būt nekonsekventi, tiesvedība ir ilgstoša, kā arī pastāv ierobežotas zināšanas specifiskās nozarēs. Tā, piemēram, 2014.</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 xml:space="preserve">gadā Ārvalstu investoru padome Latvijā savā pozīcijas ziņojumā par intelektuālā īpašuma veicināšanu un aizsardzību ierosinājusi nodot visas intelektuālā īpašuma (tostarp autortiesību) lietas vienai tiesai. Uz šādu nepieciešamību privātā sektora pārstāvji norādīja arī konceptuālā ziņojuma </w:t>
            </w:r>
            <w:r w:rsidR="001A684E" w:rsidRPr="00D52A03">
              <w:rPr>
                <w:rFonts w:ascii="Times New Roman" w:eastAsia="Times New Roman" w:hAnsi="Times New Roman" w:cs="Times New Roman"/>
                <w:iCs/>
                <w:sz w:val="24"/>
                <w:szCs w:val="24"/>
                <w:lang w:eastAsia="lv-LV"/>
              </w:rPr>
              <w:t>"</w:t>
            </w:r>
            <w:r w:rsidRPr="00D52A03">
              <w:rPr>
                <w:rFonts w:ascii="Times New Roman" w:eastAsia="Times New Roman" w:hAnsi="Times New Roman" w:cs="Times New Roman"/>
                <w:iCs/>
                <w:sz w:val="24"/>
                <w:szCs w:val="24"/>
                <w:lang w:eastAsia="lv-LV"/>
              </w:rPr>
              <w:t>Par intelektuālā īpašuma aizsardzības un pārvaldības sistēmu Latvijas Republikā</w:t>
            </w:r>
            <w:r w:rsidR="001A684E" w:rsidRPr="00D52A03">
              <w:rPr>
                <w:rFonts w:ascii="Times New Roman" w:eastAsia="Times New Roman" w:hAnsi="Times New Roman" w:cs="Times New Roman"/>
                <w:iCs/>
                <w:sz w:val="24"/>
                <w:szCs w:val="24"/>
                <w:lang w:eastAsia="lv-LV"/>
              </w:rPr>
              <w:t>"</w:t>
            </w:r>
            <w:r w:rsidRPr="00D52A03">
              <w:rPr>
                <w:rFonts w:ascii="Times New Roman" w:eastAsia="Times New Roman" w:hAnsi="Times New Roman" w:cs="Times New Roman"/>
                <w:iCs/>
                <w:sz w:val="24"/>
                <w:szCs w:val="24"/>
                <w:lang w:eastAsia="lv-LV"/>
              </w:rPr>
              <w:t xml:space="preserve"> izstrādes gaitā (pieņemts 2017. gadā).</w:t>
            </w:r>
          </w:p>
          <w:p w14:paraId="6A78DFE0" w14:textId="3F51D7D6" w:rsidR="00F32FCF" w:rsidRPr="00D52A03" w:rsidRDefault="00040F48">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Konkurences padome</w:t>
            </w:r>
            <w:r w:rsidR="00176019" w:rsidRPr="00D52A03">
              <w:rPr>
                <w:rFonts w:ascii="Times New Roman" w:eastAsia="Times New Roman" w:hAnsi="Times New Roman" w:cs="Times New Roman"/>
                <w:iCs/>
                <w:sz w:val="24"/>
                <w:szCs w:val="24"/>
                <w:lang w:eastAsia="lv-LV"/>
              </w:rPr>
              <w:t xml:space="preserve"> 2019.</w:t>
            </w:r>
            <w:r w:rsidR="001A684E" w:rsidRPr="00D52A03">
              <w:rPr>
                <w:rFonts w:ascii="Times New Roman" w:eastAsia="Times New Roman" w:hAnsi="Times New Roman" w:cs="Times New Roman"/>
                <w:iCs/>
                <w:sz w:val="24"/>
                <w:szCs w:val="24"/>
                <w:lang w:eastAsia="lv-LV"/>
              </w:rPr>
              <w:t> </w:t>
            </w:r>
            <w:r w:rsidR="00176019" w:rsidRPr="00D52A03">
              <w:rPr>
                <w:rFonts w:ascii="Times New Roman" w:eastAsia="Times New Roman" w:hAnsi="Times New Roman" w:cs="Times New Roman"/>
                <w:iCs/>
                <w:sz w:val="24"/>
                <w:szCs w:val="24"/>
                <w:lang w:eastAsia="lv-LV"/>
              </w:rPr>
              <w:t>gada 20.</w:t>
            </w:r>
            <w:r w:rsidR="001A684E" w:rsidRPr="00D52A03">
              <w:rPr>
                <w:rFonts w:ascii="Times New Roman" w:eastAsia="Times New Roman" w:hAnsi="Times New Roman" w:cs="Times New Roman"/>
                <w:iCs/>
                <w:sz w:val="24"/>
                <w:szCs w:val="24"/>
                <w:lang w:eastAsia="lv-LV"/>
              </w:rPr>
              <w:t> </w:t>
            </w:r>
            <w:r w:rsidR="00176019" w:rsidRPr="00D52A03">
              <w:rPr>
                <w:rFonts w:ascii="Times New Roman" w:eastAsia="Times New Roman" w:hAnsi="Times New Roman" w:cs="Times New Roman"/>
                <w:iCs/>
                <w:sz w:val="24"/>
                <w:szCs w:val="24"/>
                <w:lang w:eastAsia="lv-LV"/>
              </w:rPr>
              <w:t>augusta vēstulē (Nr.</w:t>
            </w:r>
            <w:r w:rsidR="001A684E" w:rsidRPr="00D52A03">
              <w:rPr>
                <w:rFonts w:ascii="Times New Roman" w:eastAsia="Times New Roman" w:hAnsi="Times New Roman" w:cs="Times New Roman"/>
                <w:iCs/>
                <w:sz w:val="24"/>
                <w:szCs w:val="24"/>
                <w:lang w:eastAsia="lv-LV"/>
              </w:rPr>
              <w:t> </w:t>
            </w:r>
            <w:r w:rsidR="00176019" w:rsidRPr="00D52A03">
              <w:rPr>
                <w:rFonts w:ascii="Times New Roman" w:eastAsia="Times New Roman" w:hAnsi="Times New Roman" w:cs="Times New Roman"/>
                <w:iCs/>
                <w:sz w:val="24"/>
                <w:szCs w:val="24"/>
                <w:lang w:eastAsia="lv-LV"/>
              </w:rPr>
              <w:t>1.8-2/803)</w:t>
            </w:r>
            <w:r w:rsidR="00F32FCF" w:rsidRPr="00D52A03">
              <w:rPr>
                <w:rFonts w:ascii="Times New Roman" w:eastAsia="Times New Roman" w:hAnsi="Times New Roman" w:cs="Times New Roman"/>
                <w:iCs/>
                <w:sz w:val="24"/>
                <w:szCs w:val="24"/>
                <w:lang w:eastAsia="lv-LV"/>
              </w:rPr>
              <w:t xml:space="preserve"> paudusi atbalstu iniciatīvai par specializētas tiesas izveidi, kas izskatītu </w:t>
            </w:r>
            <w:r w:rsidR="00176019" w:rsidRPr="00D52A03">
              <w:rPr>
                <w:rFonts w:ascii="Times New Roman" w:eastAsia="Times New Roman" w:hAnsi="Times New Roman" w:cs="Times New Roman"/>
                <w:iCs/>
                <w:sz w:val="24"/>
                <w:szCs w:val="24"/>
                <w:lang w:eastAsia="lv-LV"/>
              </w:rPr>
              <w:t xml:space="preserve">lietas par zaudējumu atlīdzināšanu par konkurences tiesību pārkāpumiem </w:t>
            </w:r>
            <w:r w:rsidR="00F32FCF" w:rsidRPr="00D52A03">
              <w:rPr>
                <w:rFonts w:ascii="Times New Roman" w:eastAsia="Times New Roman" w:hAnsi="Times New Roman" w:cs="Times New Roman"/>
                <w:iCs/>
                <w:sz w:val="24"/>
                <w:szCs w:val="24"/>
                <w:lang w:eastAsia="lv-LV"/>
              </w:rPr>
              <w:t xml:space="preserve">un ar to </w:t>
            </w:r>
            <w:r w:rsidR="00176019" w:rsidRPr="00D52A03">
              <w:rPr>
                <w:rFonts w:ascii="Times New Roman" w:eastAsia="Times New Roman" w:hAnsi="Times New Roman" w:cs="Times New Roman"/>
                <w:iCs/>
                <w:sz w:val="24"/>
                <w:szCs w:val="24"/>
                <w:lang w:eastAsia="lv-LV"/>
              </w:rPr>
              <w:t>tieši saistīt</w:t>
            </w:r>
            <w:r w:rsidR="00F32FCF" w:rsidRPr="00D52A03">
              <w:rPr>
                <w:rFonts w:ascii="Times New Roman" w:eastAsia="Times New Roman" w:hAnsi="Times New Roman" w:cs="Times New Roman"/>
                <w:iCs/>
                <w:sz w:val="24"/>
                <w:szCs w:val="24"/>
                <w:lang w:eastAsia="lv-LV"/>
              </w:rPr>
              <w:t>ā</w:t>
            </w:r>
            <w:r w:rsidR="00176019" w:rsidRPr="00D52A03">
              <w:rPr>
                <w:rFonts w:ascii="Times New Roman" w:eastAsia="Times New Roman" w:hAnsi="Times New Roman" w:cs="Times New Roman"/>
                <w:iCs/>
                <w:sz w:val="24"/>
                <w:szCs w:val="24"/>
                <w:lang w:eastAsia="lv-LV"/>
              </w:rPr>
              <w:t xml:space="preserve">s </w:t>
            </w:r>
            <w:r w:rsidR="00F32FCF" w:rsidRPr="00D52A03">
              <w:rPr>
                <w:rFonts w:ascii="Times New Roman" w:eastAsia="Times New Roman" w:hAnsi="Times New Roman" w:cs="Times New Roman"/>
                <w:iCs/>
                <w:sz w:val="24"/>
                <w:szCs w:val="24"/>
                <w:lang w:eastAsia="lv-LV"/>
              </w:rPr>
              <w:t>lietas</w:t>
            </w:r>
            <w:r w:rsidR="00176019" w:rsidRPr="00D52A03">
              <w:rPr>
                <w:rFonts w:ascii="Times New Roman" w:eastAsia="Times New Roman" w:hAnsi="Times New Roman" w:cs="Times New Roman"/>
                <w:iCs/>
                <w:sz w:val="24"/>
                <w:szCs w:val="24"/>
                <w:lang w:eastAsia="lv-LV"/>
              </w:rPr>
              <w:t xml:space="preserve"> par konkurences tiesību pārkāpumiem. </w:t>
            </w:r>
          </w:p>
          <w:p w14:paraId="7CD0424E" w14:textId="7AC1BF5C" w:rsidR="008557BE" w:rsidRPr="00D52A03" w:rsidRDefault="008557BE">
            <w:pPr>
              <w:spacing w:after="0" w:line="240" w:lineRule="auto"/>
              <w:contextualSpacing/>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Iekšlietu ministrija 2019.</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gada 1.</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jūlija vēstulē (Nr.</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1-55/1535) norādījusi, ka līdz ar specializāciju (tiesas jurisdikcijas koncentrēšanu) tiktu celta tiesas procesa un nolēmumu kvalitāte, paaugstināta procesa efektivitāte, tajā skaitā</w:t>
            </w:r>
            <w:r w:rsidR="001A684E" w:rsidRPr="00D52A03">
              <w:rPr>
                <w:rFonts w:ascii="Times New Roman" w:eastAsia="Times New Roman" w:hAnsi="Times New Roman" w:cs="Times New Roman"/>
                <w:iCs/>
                <w:sz w:val="24"/>
                <w:szCs w:val="24"/>
                <w:lang w:eastAsia="lv-LV"/>
              </w:rPr>
              <w:t>,</w:t>
            </w:r>
            <w:r w:rsidRPr="00D52A03">
              <w:rPr>
                <w:rFonts w:ascii="Times New Roman" w:eastAsia="Times New Roman" w:hAnsi="Times New Roman" w:cs="Times New Roman"/>
                <w:iCs/>
                <w:sz w:val="24"/>
                <w:szCs w:val="24"/>
                <w:lang w:eastAsia="lv-LV"/>
              </w:rPr>
              <w:t xml:space="preserve"> nodrošinot operatīvu lietu izskatīšanu, nodrošināta tiesu prakses vienveidība, specifiskas papildu apmācības gan tiesnešiem, gan tiesu darbiniekiem, kā arī sekmēta tiesnešu profesionālo zināšanu mijiedarbība. </w:t>
            </w:r>
          </w:p>
          <w:p w14:paraId="73D4CB7F" w14:textId="536C2AC5" w:rsidR="008557BE" w:rsidRPr="00D52A03" w:rsidRDefault="008557BE">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 xml:space="preserve">Specializētas tiesas izveide kā atsevišķas tiesas izveide īpaši akcentē valsts politiku prioritizēt konkrētu krimināllietu, tostarp, kas skar noziedzīgi iegūtu līdzekļu legalizēšanu, izskatīšanu. </w:t>
            </w:r>
          </w:p>
          <w:p w14:paraId="77B1A84C" w14:textId="6876937D" w:rsidR="008557BE" w:rsidRPr="00D52A03" w:rsidRDefault="008557BE">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Noraidošu viedokli par specializētās tiesas izveidi ir paudusi Tieslietu padome (2019.</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gada 6.</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jūnija vēstule Nr.</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13-3/98nos)</w:t>
            </w:r>
            <w:r w:rsidR="001A684E" w:rsidRPr="00D52A03">
              <w:rPr>
                <w:rFonts w:ascii="Times New Roman" w:eastAsia="Times New Roman" w:hAnsi="Times New Roman" w:cs="Times New Roman"/>
                <w:iCs/>
                <w:sz w:val="24"/>
                <w:szCs w:val="24"/>
                <w:lang w:eastAsia="lv-LV"/>
              </w:rPr>
              <w:t>,</w:t>
            </w:r>
            <w:r w:rsidRPr="00D52A03">
              <w:rPr>
                <w:rFonts w:ascii="Times New Roman" w:eastAsia="Times New Roman" w:hAnsi="Times New Roman" w:cs="Times New Roman"/>
                <w:iCs/>
                <w:sz w:val="24"/>
                <w:szCs w:val="24"/>
                <w:lang w:eastAsia="lv-LV"/>
              </w:rPr>
              <w:t xml:space="preserve"> norādot, ka sarežģītu lietu izskatīšanā kvalitatīvam tiesvedības procesam ir nepieciešama tiesnešu specializācija, kas ir iespējama esošās tiesu sistēmas ietvaros. </w:t>
            </w:r>
          </w:p>
          <w:p w14:paraId="0195BD0C" w14:textId="2766BA48" w:rsidR="008557BE" w:rsidRPr="00D52A03" w:rsidRDefault="008557BE">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Rīgas apgabaltiesas priekšsēdētāja 2019.</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gada 23.</w:t>
            </w:r>
            <w:r w:rsidR="001A684E" w:rsidRPr="00D52A03">
              <w:rPr>
                <w:rFonts w:ascii="Times New Roman" w:eastAsia="Times New Roman" w:hAnsi="Times New Roman" w:cs="Times New Roman"/>
                <w:iCs/>
                <w:sz w:val="24"/>
                <w:szCs w:val="24"/>
                <w:lang w:eastAsia="lv-LV"/>
              </w:rPr>
              <w:t> </w:t>
            </w:r>
            <w:r w:rsidRPr="00D52A03">
              <w:rPr>
                <w:rFonts w:ascii="Times New Roman" w:eastAsia="Times New Roman" w:hAnsi="Times New Roman" w:cs="Times New Roman"/>
                <w:iCs/>
                <w:sz w:val="24"/>
                <w:szCs w:val="24"/>
                <w:lang w:eastAsia="lv-LV"/>
              </w:rPr>
              <w:t>jūlija vēstulē pauda viedokli, ka jautājums par specializētas tiesas izveidi pēc būtības ir tiesībpolitisks.</w:t>
            </w:r>
            <w:r w:rsidR="00E97C8F" w:rsidRPr="00D52A03">
              <w:rPr>
                <w:rFonts w:ascii="Times New Roman" w:eastAsia="Times New Roman" w:hAnsi="Times New Roman" w:cs="Times New Roman"/>
                <w:iCs/>
                <w:sz w:val="24"/>
                <w:szCs w:val="24"/>
                <w:lang w:eastAsia="lv-LV"/>
              </w:rPr>
              <w:t xml:space="preserve"> Tiek pausts viedoklis, ka lēmuma </w:t>
            </w:r>
            <w:r w:rsidRPr="00D52A03">
              <w:rPr>
                <w:rFonts w:ascii="Times New Roman" w:eastAsia="Times New Roman" w:hAnsi="Times New Roman" w:cs="Times New Roman"/>
                <w:iCs/>
                <w:sz w:val="24"/>
                <w:szCs w:val="24"/>
                <w:lang w:eastAsia="lv-LV"/>
              </w:rPr>
              <w:t xml:space="preserve">pieņemšanā būtu jāņem vērā, ka nav izdarāms nepārprotams apgalvojums, ka līdz šim īstenotie pasākumi tiesu sistēmas efektivitātes nodrošināšanai ir bijuši pietiekami efektīvi, lai risinātu </w:t>
            </w:r>
            <w:r w:rsidR="001A684E" w:rsidRPr="00D52A03">
              <w:rPr>
                <w:rFonts w:ascii="Times New Roman" w:eastAsia="Times New Roman" w:hAnsi="Times New Roman" w:cs="Times New Roman"/>
                <w:iCs/>
                <w:sz w:val="24"/>
                <w:szCs w:val="24"/>
                <w:lang w:eastAsia="lv-LV"/>
              </w:rPr>
              <w:t>Z</w:t>
            </w:r>
            <w:r w:rsidRPr="00D52A03">
              <w:rPr>
                <w:rFonts w:ascii="Times New Roman" w:eastAsia="Times New Roman" w:hAnsi="Times New Roman" w:cs="Times New Roman"/>
                <w:iCs/>
                <w:sz w:val="24"/>
                <w:szCs w:val="24"/>
                <w:lang w:eastAsia="lv-LV"/>
              </w:rPr>
              <w:t xml:space="preserve">iņojumā identificētās problēmas. Līdz ar to tiesnešu specializācijas ieviešana esošo vispārējās jurisdikcijas tiesu ietvaros var nesasniegt </w:t>
            </w:r>
            <w:r w:rsidRPr="00D52A03">
              <w:rPr>
                <w:rFonts w:ascii="Times New Roman" w:eastAsia="Times New Roman" w:hAnsi="Times New Roman" w:cs="Times New Roman"/>
                <w:iCs/>
                <w:sz w:val="24"/>
                <w:szCs w:val="24"/>
                <w:lang w:eastAsia="lv-LV"/>
              </w:rPr>
              <w:lastRenderedPageBreak/>
              <w:t>izvirzītos mērķus. Ņemot vērā pieredzi ar administratīvo tiesu izveidi, ir pamats izdarīt secinājumu, ka jaunas specializētas tiesas izveide rada iespēju veidot jaunu kvalitatīvu un efektīvu tiesu, kas ievērojami var ietekmēt pozitīvu Latvijas reputāciju.</w:t>
            </w:r>
            <w:r w:rsidR="00E97C8F" w:rsidRPr="00D52A03">
              <w:rPr>
                <w:rFonts w:ascii="Times New Roman" w:eastAsia="Times New Roman" w:hAnsi="Times New Roman" w:cs="Times New Roman"/>
                <w:iCs/>
                <w:sz w:val="24"/>
                <w:szCs w:val="24"/>
                <w:lang w:eastAsia="lv-LV"/>
              </w:rPr>
              <w:t xml:space="preserve"> Vēstulē izteikts aicinājums a</w:t>
            </w:r>
            <w:r w:rsidRPr="00D52A03">
              <w:rPr>
                <w:rFonts w:ascii="Times New Roman" w:eastAsia="Times New Roman" w:hAnsi="Times New Roman" w:cs="Times New Roman"/>
                <w:iCs/>
                <w:sz w:val="24"/>
                <w:szCs w:val="24"/>
                <w:lang w:eastAsia="lv-LV"/>
              </w:rPr>
              <w:t xml:space="preserve">tbalstīt Konceptuālā ziņojumā minēto rīcības virzienu par ekonomisko lietu tiesas izveidi. </w:t>
            </w:r>
          </w:p>
          <w:p w14:paraId="3BE3A749" w14:textId="23113C50" w:rsidR="00F32FCF" w:rsidRPr="00D52A03" w:rsidRDefault="00982296">
            <w:pPr>
              <w:spacing w:after="0" w:line="240" w:lineRule="auto"/>
              <w:jc w:val="both"/>
              <w:rPr>
                <w:rFonts w:ascii="Times New Roman" w:eastAsia="Times New Roman" w:hAnsi="Times New Roman" w:cs="Times New Roman"/>
                <w:iCs/>
                <w:sz w:val="24"/>
                <w:szCs w:val="24"/>
                <w:lang w:eastAsia="lv-LV"/>
              </w:rPr>
            </w:pPr>
            <w:r w:rsidRPr="00D52A03">
              <w:rPr>
                <w:rFonts w:ascii="Times New Roman" w:eastAsia="Times New Roman" w:hAnsi="Times New Roman" w:cs="Times New Roman"/>
                <w:iCs/>
                <w:sz w:val="24"/>
                <w:szCs w:val="24"/>
                <w:lang w:eastAsia="lv-LV"/>
              </w:rPr>
              <w:t xml:space="preserve">Tieslietu ministrija sadarbībā ar Rīgas Juridisko augstskolu 17. jūlijā rīkoja diskusiju "Vai ir pienācis laiks specializētai tiesai?" un uz tās aicinātie eksperti, kas pārstāvēja gan uzņēmējus un investorus, gan tiesībaizsardzības un tiesu iestādes, arī Satversmes tiesu, pauda savu viedokli par šādas specializētās tiesas izveides aktualitāti un nepieciešamību. </w:t>
            </w:r>
          </w:p>
          <w:p w14:paraId="4C9E3F43" w14:textId="77777777" w:rsidR="005E5384" w:rsidRPr="00D52A03" w:rsidRDefault="00982296" w:rsidP="00CA61CD">
            <w:pPr>
              <w:spacing w:after="0" w:line="240" w:lineRule="auto"/>
              <w:jc w:val="both"/>
              <w:rPr>
                <w:rFonts w:ascii="Times New Roman" w:hAnsi="Times New Roman" w:cs="Times New Roman"/>
                <w:sz w:val="28"/>
                <w:szCs w:val="28"/>
              </w:rPr>
            </w:pPr>
            <w:r w:rsidRPr="00D52A03">
              <w:rPr>
                <w:rFonts w:ascii="Times New Roman" w:eastAsia="Times New Roman" w:hAnsi="Times New Roman" w:cs="Times New Roman"/>
                <w:iCs/>
                <w:sz w:val="24"/>
                <w:szCs w:val="24"/>
                <w:lang w:eastAsia="lv-LV"/>
              </w:rPr>
              <w:t>Kā rāda līdzšinējā pieredze</w:t>
            </w:r>
            <w:r w:rsidR="001A684E" w:rsidRPr="00D52A03">
              <w:rPr>
                <w:rFonts w:ascii="Times New Roman" w:eastAsia="Times New Roman" w:hAnsi="Times New Roman" w:cs="Times New Roman"/>
                <w:iCs/>
                <w:sz w:val="24"/>
                <w:szCs w:val="24"/>
                <w:lang w:eastAsia="lv-LV"/>
              </w:rPr>
              <w:t>,</w:t>
            </w:r>
            <w:r w:rsidRPr="00D52A03">
              <w:rPr>
                <w:rFonts w:ascii="Times New Roman" w:eastAsia="Times New Roman" w:hAnsi="Times New Roman" w:cs="Times New Roman"/>
                <w:iCs/>
                <w:sz w:val="24"/>
                <w:szCs w:val="24"/>
                <w:lang w:eastAsia="lv-LV"/>
              </w:rPr>
              <w:t xml:space="preserve"> piemēram, saistībā ar </w:t>
            </w:r>
            <w:r w:rsidR="001A684E" w:rsidRPr="00D52A03">
              <w:rPr>
                <w:rFonts w:ascii="Times New Roman" w:eastAsia="Times New Roman" w:hAnsi="Times New Roman" w:cs="Times New Roman"/>
                <w:iCs/>
                <w:sz w:val="24"/>
                <w:szCs w:val="24"/>
                <w:lang w:eastAsia="lv-LV"/>
              </w:rPr>
              <w:t>A</w:t>
            </w:r>
            <w:r w:rsidRPr="00D52A03">
              <w:rPr>
                <w:rFonts w:ascii="Times New Roman" w:eastAsia="Times New Roman" w:hAnsi="Times New Roman" w:cs="Times New Roman"/>
                <w:iCs/>
                <w:sz w:val="24"/>
                <w:szCs w:val="24"/>
                <w:lang w:eastAsia="lv-LV"/>
              </w:rPr>
              <w:t>dministratīvās rajona tiesas izveidi, specializ</w:t>
            </w:r>
            <w:r w:rsidR="008A20C8" w:rsidRPr="00D52A03">
              <w:rPr>
                <w:rFonts w:ascii="Times New Roman" w:eastAsia="Times New Roman" w:hAnsi="Times New Roman" w:cs="Times New Roman"/>
                <w:iCs/>
                <w:sz w:val="24"/>
                <w:szCs w:val="24"/>
                <w:lang w:eastAsia="lv-LV"/>
              </w:rPr>
              <w:t>ē</w:t>
            </w:r>
            <w:r w:rsidRPr="00D52A03">
              <w:rPr>
                <w:rFonts w:ascii="Times New Roman" w:eastAsia="Times New Roman" w:hAnsi="Times New Roman" w:cs="Times New Roman"/>
                <w:iCs/>
                <w:sz w:val="24"/>
                <w:szCs w:val="24"/>
                <w:lang w:eastAsia="lv-LV"/>
              </w:rPr>
              <w:t xml:space="preserve">tas tiesas izveide rada </w:t>
            </w:r>
            <w:r w:rsidR="005E5384" w:rsidRPr="00D52A03">
              <w:rPr>
                <w:rFonts w:ascii="Times New Roman" w:eastAsia="Times New Roman" w:hAnsi="Times New Roman" w:cs="Times New Roman"/>
                <w:iCs/>
                <w:sz w:val="24"/>
                <w:szCs w:val="24"/>
                <w:lang w:eastAsia="lv-LV"/>
              </w:rPr>
              <w:t>nepieciešam</w:t>
            </w:r>
            <w:r w:rsidRPr="00D52A03">
              <w:rPr>
                <w:rFonts w:ascii="Times New Roman" w:eastAsia="Times New Roman" w:hAnsi="Times New Roman" w:cs="Times New Roman"/>
                <w:iCs/>
                <w:sz w:val="24"/>
                <w:szCs w:val="24"/>
                <w:lang w:eastAsia="lv-LV"/>
              </w:rPr>
              <w:t>os</w:t>
            </w:r>
            <w:r w:rsidR="005E5384" w:rsidRPr="00D52A03">
              <w:rPr>
                <w:rFonts w:ascii="Times New Roman" w:eastAsia="Times New Roman" w:hAnsi="Times New Roman" w:cs="Times New Roman"/>
                <w:iCs/>
                <w:sz w:val="24"/>
                <w:szCs w:val="24"/>
                <w:lang w:eastAsia="lv-LV"/>
              </w:rPr>
              <w:t xml:space="preserve"> priekšnosacījum</w:t>
            </w:r>
            <w:r w:rsidRPr="00D52A03">
              <w:rPr>
                <w:rFonts w:ascii="Times New Roman" w:eastAsia="Times New Roman" w:hAnsi="Times New Roman" w:cs="Times New Roman"/>
                <w:iCs/>
                <w:sz w:val="24"/>
                <w:szCs w:val="24"/>
                <w:lang w:eastAsia="lv-LV"/>
              </w:rPr>
              <w:t>us</w:t>
            </w:r>
            <w:r w:rsidR="005E5384" w:rsidRPr="00D52A03">
              <w:rPr>
                <w:rFonts w:ascii="Times New Roman" w:eastAsia="Times New Roman" w:hAnsi="Times New Roman" w:cs="Times New Roman"/>
                <w:iCs/>
                <w:sz w:val="24"/>
                <w:szCs w:val="24"/>
                <w:lang w:eastAsia="lv-LV"/>
              </w:rPr>
              <w:t>, lai tiesa varētu uzņemties vadošo lomu attiecībā uz procesa kvalitātes standartu noteikšanu un tādējādi ietekmēt arī izmeklēšanas un apsūdzības procesu kvalitāti. Tāpat izvirzītā mērķa sasniegšanai paralēli tiek meklēti efektīvi risinājumi izmeklēšanas un apsūdzības kvalitātes celšanai – Ministru kabinets 2019.</w:t>
            </w:r>
            <w:r w:rsidR="00F4263A" w:rsidRPr="00D52A03">
              <w:rPr>
                <w:rFonts w:ascii="Times New Roman" w:eastAsia="Times New Roman" w:hAnsi="Times New Roman" w:cs="Times New Roman"/>
                <w:iCs/>
                <w:sz w:val="24"/>
                <w:szCs w:val="24"/>
                <w:lang w:eastAsia="lv-LV"/>
              </w:rPr>
              <w:t> </w:t>
            </w:r>
            <w:r w:rsidR="005E5384" w:rsidRPr="00D52A03">
              <w:rPr>
                <w:rFonts w:ascii="Times New Roman" w:eastAsia="Times New Roman" w:hAnsi="Times New Roman" w:cs="Times New Roman"/>
                <w:iCs/>
                <w:sz w:val="24"/>
                <w:szCs w:val="24"/>
                <w:lang w:eastAsia="lv-LV"/>
              </w:rPr>
              <w:t>gada 25.</w:t>
            </w:r>
            <w:r w:rsidR="00F4263A" w:rsidRPr="00D52A03">
              <w:rPr>
                <w:rFonts w:ascii="Times New Roman" w:eastAsia="Times New Roman" w:hAnsi="Times New Roman" w:cs="Times New Roman"/>
                <w:iCs/>
                <w:sz w:val="24"/>
                <w:szCs w:val="24"/>
                <w:lang w:eastAsia="lv-LV"/>
              </w:rPr>
              <w:t> </w:t>
            </w:r>
            <w:r w:rsidR="005E5384" w:rsidRPr="00D52A03">
              <w:rPr>
                <w:rFonts w:ascii="Times New Roman" w:eastAsia="Times New Roman" w:hAnsi="Times New Roman" w:cs="Times New Roman"/>
                <w:iCs/>
                <w:sz w:val="24"/>
                <w:szCs w:val="24"/>
                <w:lang w:eastAsia="lv-LV"/>
              </w:rPr>
              <w:t>jūnija sēdē, izskatot Tieslietu ministrijas sagatavoto informatīvo ziņojumu "Par nepieciešamību īstenot revīziju par faktoriem, kas ietekmē efektīvu kriminālprocesu par noziedzīgiem nodarījumiem ekonomikas un finanšu jomā izmeklēšanu un iztiesāšanu" (prot.</w:t>
            </w:r>
            <w:r w:rsidR="00F4263A" w:rsidRPr="00D52A03">
              <w:rPr>
                <w:rFonts w:ascii="Times New Roman" w:eastAsia="Times New Roman" w:hAnsi="Times New Roman" w:cs="Times New Roman"/>
                <w:iCs/>
                <w:sz w:val="24"/>
                <w:szCs w:val="24"/>
                <w:lang w:eastAsia="lv-LV"/>
              </w:rPr>
              <w:t xml:space="preserve"> </w:t>
            </w:r>
            <w:r w:rsidR="005E5384" w:rsidRPr="00D52A03">
              <w:rPr>
                <w:rFonts w:ascii="Times New Roman" w:eastAsia="Times New Roman" w:hAnsi="Times New Roman" w:cs="Times New Roman"/>
                <w:iCs/>
                <w:sz w:val="24"/>
                <w:szCs w:val="24"/>
                <w:lang w:eastAsia="lv-LV"/>
              </w:rPr>
              <w:t>Nr.</w:t>
            </w:r>
            <w:r w:rsidR="00F4263A" w:rsidRPr="00D52A03">
              <w:rPr>
                <w:rFonts w:ascii="Times New Roman" w:eastAsia="Times New Roman" w:hAnsi="Times New Roman" w:cs="Times New Roman"/>
                <w:iCs/>
                <w:sz w:val="24"/>
                <w:szCs w:val="24"/>
                <w:lang w:eastAsia="lv-LV"/>
              </w:rPr>
              <w:t> </w:t>
            </w:r>
            <w:r w:rsidR="005E5384" w:rsidRPr="00D52A03">
              <w:rPr>
                <w:rFonts w:ascii="Times New Roman" w:eastAsia="Times New Roman" w:hAnsi="Times New Roman" w:cs="Times New Roman"/>
                <w:iCs/>
                <w:sz w:val="24"/>
                <w:szCs w:val="24"/>
                <w:lang w:eastAsia="lv-LV"/>
              </w:rPr>
              <w:t>30, 33.</w:t>
            </w:r>
            <w:r w:rsidR="00F4263A" w:rsidRPr="00D52A03">
              <w:rPr>
                <w:rFonts w:ascii="Times New Roman" w:eastAsia="Times New Roman" w:hAnsi="Times New Roman" w:cs="Times New Roman"/>
                <w:iCs/>
                <w:sz w:val="24"/>
                <w:szCs w:val="24"/>
                <w:lang w:eastAsia="lv-LV"/>
              </w:rPr>
              <w:t> </w:t>
            </w:r>
            <w:r w:rsidR="005E5384" w:rsidRPr="00D52A03">
              <w:rPr>
                <w:rFonts w:ascii="Times New Roman" w:eastAsia="Times New Roman" w:hAnsi="Times New Roman" w:cs="Times New Roman"/>
                <w:iCs/>
                <w:sz w:val="24"/>
                <w:szCs w:val="24"/>
                <w:lang w:eastAsia="lv-LV"/>
              </w:rPr>
              <w:t>§), pieņēma to zināšanai un atbalstīja tajā ietverto risinājumu, nosakot Tieslietu ministrijai aicināt Valsts kontroli izvērtēt iespēju veikt revīziju par faktoriem, kas ietekmē kriminālprocesu par noziedzīgiem nodarījumiem ekonomikas un finanšu jomā efektīvu izmeklēšanu un iztiesāšanu. Tāpat Tieslietu ministrija sadarbībā ar Amerikas Savienoto Valstu vēstniecību 2019.</w:t>
            </w:r>
            <w:r w:rsidR="00F4263A" w:rsidRPr="00D52A03">
              <w:rPr>
                <w:rFonts w:ascii="Times New Roman" w:eastAsia="Times New Roman" w:hAnsi="Times New Roman" w:cs="Times New Roman"/>
                <w:iCs/>
                <w:sz w:val="24"/>
                <w:szCs w:val="24"/>
                <w:lang w:eastAsia="lv-LV"/>
              </w:rPr>
              <w:t> </w:t>
            </w:r>
            <w:r w:rsidR="005E5384" w:rsidRPr="00D52A03">
              <w:rPr>
                <w:rFonts w:ascii="Times New Roman" w:eastAsia="Times New Roman" w:hAnsi="Times New Roman" w:cs="Times New Roman"/>
                <w:iCs/>
                <w:sz w:val="24"/>
                <w:szCs w:val="24"/>
                <w:lang w:eastAsia="lv-LV"/>
              </w:rPr>
              <w:t>gada 20.</w:t>
            </w:r>
            <w:r w:rsidR="00F4263A" w:rsidRPr="00D52A03">
              <w:rPr>
                <w:rFonts w:ascii="Times New Roman" w:eastAsia="Times New Roman" w:hAnsi="Times New Roman" w:cs="Times New Roman"/>
                <w:iCs/>
                <w:sz w:val="24"/>
                <w:szCs w:val="24"/>
                <w:lang w:eastAsia="lv-LV"/>
              </w:rPr>
              <w:t> </w:t>
            </w:r>
            <w:r w:rsidR="005E5384" w:rsidRPr="00D52A03">
              <w:rPr>
                <w:rFonts w:ascii="Times New Roman" w:eastAsia="Times New Roman" w:hAnsi="Times New Roman" w:cs="Times New Roman"/>
                <w:iCs/>
                <w:sz w:val="24"/>
                <w:szCs w:val="24"/>
                <w:lang w:eastAsia="lv-LV"/>
              </w:rPr>
              <w:t xml:space="preserve">septembrī organizēja paneļdiskusiju "Procesuālā regulējuma efektivitāte komercstrīdu un ekonomisko noziegumu lietu izskatīšanā". Paneļdiskusijas mērķis ir starpdisciplinārā formātā uzklausīt un apkopot pēc iespējas vairāk un pēc iespējas dažādus risinājumu gan attiecībā uz procesu likumu līdz šim neizmantotajām iespējām, gan attiecībā uz jauniem procesuāliem instrumentiem un jauniem procesa vadības rīkiem, gan iespējams arī attiecībā </w:t>
            </w:r>
            <w:r w:rsidR="006862EB" w:rsidRPr="00D52A03">
              <w:rPr>
                <w:rFonts w:ascii="Times New Roman" w:eastAsia="Times New Roman" w:hAnsi="Times New Roman" w:cs="Times New Roman"/>
                <w:iCs/>
                <w:sz w:val="24"/>
                <w:szCs w:val="24"/>
                <w:lang w:eastAsia="lv-LV"/>
              </w:rPr>
              <w:t xml:space="preserve">uz </w:t>
            </w:r>
            <w:r w:rsidR="005E5384" w:rsidRPr="00D52A03">
              <w:rPr>
                <w:rFonts w:ascii="Times New Roman" w:eastAsia="Times New Roman" w:hAnsi="Times New Roman" w:cs="Times New Roman"/>
                <w:iCs/>
                <w:sz w:val="24"/>
                <w:szCs w:val="24"/>
                <w:lang w:eastAsia="lv-LV"/>
              </w:rPr>
              <w:t>mācību vajadzībām procesā iesaistītajiem profesionāļiem.</w:t>
            </w:r>
            <w:r w:rsidR="005E5384" w:rsidRPr="00D52A03">
              <w:rPr>
                <w:rFonts w:ascii="Times New Roman" w:hAnsi="Times New Roman" w:cs="Times New Roman"/>
                <w:sz w:val="28"/>
                <w:szCs w:val="28"/>
              </w:rPr>
              <w:t xml:space="preserve"> </w:t>
            </w:r>
          </w:p>
          <w:p w14:paraId="1182056C" w14:textId="77BDEF9D" w:rsidR="00CA61CD" w:rsidRPr="00D52A03" w:rsidRDefault="00CA61CD" w:rsidP="00CA61CD">
            <w:pPr>
              <w:spacing w:after="0" w:line="240" w:lineRule="auto"/>
              <w:jc w:val="both"/>
              <w:rPr>
                <w:rFonts w:ascii="Times New Roman" w:eastAsia="Times New Roman" w:hAnsi="Times New Roman" w:cs="Times New Roman"/>
                <w:iCs/>
                <w:sz w:val="24"/>
                <w:szCs w:val="24"/>
                <w:lang w:eastAsia="lv-LV"/>
              </w:rPr>
            </w:pPr>
          </w:p>
        </w:tc>
      </w:tr>
      <w:tr w:rsidR="00F81219" w:rsidRPr="00D52A03" w14:paraId="4A35F0EC" w14:textId="77777777" w:rsidTr="00E97C8F">
        <w:trPr>
          <w:trHeight w:val="128"/>
        </w:trPr>
        <w:tc>
          <w:tcPr>
            <w:tcW w:w="4986" w:type="pct"/>
            <w:gridSpan w:val="3"/>
            <w:tcBorders>
              <w:top w:val="outset" w:sz="6" w:space="0" w:color="414142"/>
              <w:left w:val="nil"/>
              <w:bottom w:val="outset" w:sz="6" w:space="0" w:color="414142"/>
              <w:right w:val="nil"/>
            </w:tcBorders>
          </w:tcPr>
          <w:p w14:paraId="3909DB7C" w14:textId="77777777" w:rsidR="00031256" w:rsidRPr="00D52A0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lastRenderedPageBreak/>
              <w:tab/>
            </w:r>
          </w:p>
        </w:tc>
      </w:tr>
      <w:tr w:rsidR="00F81219" w:rsidRPr="00D52A03" w14:paraId="231B55F5" w14:textId="77777777" w:rsidTr="00E97C8F">
        <w:trPr>
          <w:trHeight w:val="555"/>
        </w:trPr>
        <w:tc>
          <w:tcPr>
            <w:tcW w:w="4986"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D52A0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2A0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81219" w:rsidRPr="00D52A03" w14:paraId="2C9F3255" w14:textId="77777777" w:rsidTr="00E97C8F">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1.</w:t>
            </w:r>
          </w:p>
        </w:tc>
        <w:tc>
          <w:tcPr>
            <w:tcW w:w="167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Sabiedrības mērķgrupas, kuras tiesiskais regulējums ietekmē vai varētu ietekmēt</w:t>
            </w:r>
          </w:p>
        </w:tc>
        <w:tc>
          <w:tcPr>
            <w:tcW w:w="3115" w:type="pct"/>
            <w:tcBorders>
              <w:top w:val="outset" w:sz="6" w:space="0" w:color="414142"/>
              <w:left w:val="outset" w:sz="6" w:space="0" w:color="414142"/>
              <w:bottom w:val="outset" w:sz="6" w:space="0" w:color="414142"/>
              <w:right w:val="outset" w:sz="6" w:space="0" w:color="414142"/>
            </w:tcBorders>
            <w:hideMark/>
          </w:tcPr>
          <w:p w14:paraId="674A68B1" w14:textId="2114A75A" w:rsidR="00CC7C9D" w:rsidRPr="00D52A03" w:rsidRDefault="009C5622" w:rsidP="004F3A25">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Likumprojekta regulējums ietekmē tiesnešus, advokātus un citas personas, kurām būs nepieciešams piedalīties procesā Ekonomisko lietu tiesā.</w:t>
            </w:r>
          </w:p>
        </w:tc>
      </w:tr>
      <w:tr w:rsidR="00F81219" w:rsidRPr="00D52A03" w14:paraId="135FDA25" w14:textId="77777777" w:rsidTr="00E97C8F">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lastRenderedPageBreak/>
              <w:t>2.</w:t>
            </w:r>
          </w:p>
        </w:tc>
        <w:tc>
          <w:tcPr>
            <w:tcW w:w="1671" w:type="pct"/>
            <w:tcBorders>
              <w:top w:val="outset" w:sz="6" w:space="0" w:color="414142"/>
              <w:left w:val="outset" w:sz="6" w:space="0" w:color="414142"/>
              <w:bottom w:val="outset" w:sz="6" w:space="0" w:color="414142"/>
              <w:right w:val="outset" w:sz="6" w:space="0" w:color="414142"/>
            </w:tcBorders>
            <w:hideMark/>
          </w:tcPr>
          <w:p w14:paraId="3D8DE762"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Tiesiskā regulējuma ietekme uz tautsaimniecību un administratīvo slogu</w:t>
            </w:r>
          </w:p>
          <w:p w14:paraId="7B55C5A0" w14:textId="77777777" w:rsidR="00120AC9" w:rsidRPr="00D52A03" w:rsidRDefault="00120AC9" w:rsidP="00120AC9">
            <w:pPr>
              <w:rPr>
                <w:rFonts w:ascii="Times New Roman" w:eastAsia="Times New Roman" w:hAnsi="Times New Roman" w:cs="Times New Roman"/>
                <w:sz w:val="24"/>
                <w:szCs w:val="24"/>
                <w:lang w:eastAsia="lv-LV"/>
              </w:rPr>
            </w:pPr>
          </w:p>
          <w:p w14:paraId="1BB1E646" w14:textId="07F273EB" w:rsidR="00120AC9" w:rsidRPr="00D52A03" w:rsidRDefault="00120AC9" w:rsidP="00120AC9">
            <w:pPr>
              <w:ind w:firstLine="720"/>
              <w:rPr>
                <w:rFonts w:ascii="Times New Roman" w:eastAsia="Times New Roman" w:hAnsi="Times New Roman" w:cs="Times New Roman"/>
                <w:sz w:val="24"/>
                <w:szCs w:val="24"/>
                <w:lang w:eastAsia="lv-LV"/>
              </w:rPr>
            </w:pPr>
          </w:p>
        </w:tc>
        <w:tc>
          <w:tcPr>
            <w:tcW w:w="3115" w:type="pct"/>
            <w:tcBorders>
              <w:top w:val="outset" w:sz="6" w:space="0" w:color="414142"/>
              <w:left w:val="outset" w:sz="6" w:space="0" w:color="414142"/>
              <w:bottom w:val="outset" w:sz="6" w:space="0" w:color="414142"/>
              <w:right w:val="outset" w:sz="6" w:space="0" w:color="414142"/>
            </w:tcBorders>
            <w:hideMark/>
          </w:tcPr>
          <w:p w14:paraId="202EEF2E" w14:textId="77777777" w:rsidR="009C5622" w:rsidRPr="00D52A03" w:rsidRDefault="009C5622" w:rsidP="009C5622">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 xml:space="preserve">Likumprojekts veicina tautsaimniecības attīstību. </w:t>
            </w:r>
          </w:p>
          <w:p w14:paraId="0F39523F" w14:textId="38A56997" w:rsidR="000D52B6" w:rsidRPr="00D52A03" w:rsidRDefault="009C5622" w:rsidP="009C5622">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 xml:space="preserve">Specializētā tiesa būs ilgtermiņa ieguldījums ekonomiski attīstītas un tiesiski sakārtotas valsts izveidē, kas ilgtermiņā atmaksāsies, padarot Latviju par uzņēmējdarbībai un investīcijām ekonomiski labvēlīgu valsti. </w:t>
            </w:r>
            <w:r w:rsidR="00CC7C9D" w:rsidRPr="00D52A03">
              <w:rPr>
                <w:rFonts w:ascii="Times New Roman" w:eastAsia="Times New Roman" w:hAnsi="Times New Roman" w:cs="Times New Roman"/>
                <w:sz w:val="24"/>
                <w:szCs w:val="24"/>
                <w:lang w:eastAsia="lv-LV"/>
              </w:rPr>
              <w:t>Tādējādi minētā risinājuma īstenošanai ilgtermiņā bū</w:t>
            </w:r>
            <w:r w:rsidR="00572D69" w:rsidRPr="00D52A03">
              <w:rPr>
                <w:rFonts w:ascii="Times New Roman" w:eastAsia="Times New Roman" w:hAnsi="Times New Roman" w:cs="Times New Roman"/>
                <w:sz w:val="24"/>
                <w:szCs w:val="24"/>
                <w:lang w:eastAsia="lv-LV"/>
              </w:rPr>
              <w:t>s</w:t>
            </w:r>
            <w:r w:rsidR="00CC7C9D" w:rsidRPr="00D52A03">
              <w:rPr>
                <w:rFonts w:ascii="Times New Roman" w:eastAsia="Times New Roman" w:hAnsi="Times New Roman" w:cs="Times New Roman"/>
                <w:sz w:val="24"/>
                <w:szCs w:val="24"/>
                <w:lang w:eastAsia="lv-LV"/>
              </w:rPr>
              <w:t xml:space="preserve"> pozitīva ietekme uz valsts budžeta ieņēmumiem, kas saistīti ar uzņēmējdarbības vides uzlabošanu un investīciju piesaisti.</w:t>
            </w:r>
          </w:p>
          <w:p w14:paraId="05BE04C4" w14:textId="0B75C63C" w:rsidR="00CC289D" w:rsidRPr="00D52A03" w:rsidRDefault="00CC289D" w:rsidP="00CC289D">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 xml:space="preserve">Ņemot </w:t>
            </w:r>
            <w:r w:rsidR="006862EB" w:rsidRPr="00D52A03">
              <w:rPr>
                <w:rFonts w:ascii="Times New Roman" w:eastAsia="Times New Roman" w:hAnsi="Times New Roman" w:cs="Times New Roman"/>
                <w:sz w:val="24"/>
                <w:szCs w:val="24"/>
                <w:lang w:eastAsia="lv-LV"/>
              </w:rPr>
              <w:t xml:space="preserve">vērā </w:t>
            </w:r>
            <w:r w:rsidRPr="00D52A03">
              <w:rPr>
                <w:rFonts w:ascii="Times New Roman" w:eastAsia="Times New Roman" w:hAnsi="Times New Roman" w:cs="Times New Roman"/>
                <w:sz w:val="24"/>
                <w:szCs w:val="24"/>
                <w:lang w:eastAsia="lv-LV"/>
              </w:rPr>
              <w:t>Rīgas ģeogrāfisko atrašanās vietu, Ekonomisko lietu tiesas izvietošana Rīgā ir atbalstāma no tiesas pieejamības aspekta. Vienlaikus jāatzīmē, ka Ekonomisko lietu tiesas pieejamība tā iemesla dēļ, ka tā atradīsies Rīgā, dažkārt pat palielinās šīs tiesas pieejamību, ja lietas dalībniekiem ir nepieciešams ierasties un klātienē piedalīties tiesas sēdē un ja tam jāizmanto sabiedriskais transports nokļūšanai uz tiesu. Piemēram, no tādām republikas pilsētām kā Daugavpils, Valmiera sabiedriskais transports nekursē</w:t>
            </w:r>
            <w:r w:rsidR="00C652C3" w:rsidRPr="00D52A03">
              <w:rPr>
                <w:rFonts w:ascii="Times New Roman" w:eastAsia="Times New Roman" w:hAnsi="Times New Roman" w:cs="Times New Roman"/>
                <w:sz w:val="24"/>
                <w:szCs w:val="24"/>
                <w:lang w:eastAsia="lv-LV"/>
              </w:rPr>
              <w:t xml:space="preserve"> </w:t>
            </w:r>
            <w:r w:rsidRPr="00D52A03">
              <w:rPr>
                <w:rFonts w:ascii="Times New Roman" w:eastAsia="Times New Roman" w:hAnsi="Times New Roman" w:cs="Times New Roman"/>
                <w:sz w:val="24"/>
                <w:szCs w:val="24"/>
                <w:lang w:eastAsia="lv-LV"/>
              </w:rPr>
              <w:t>uz Zemgales rajona tiesas atrašanās viet</w:t>
            </w:r>
            <w:r w:rsidR="00C652C3" w:rsidRPr="00D52A03">
              <w:rPr>
                <w:rFonts w:ascii="Times New Roman" w:eastAsia="Times New Roman" w:hAnsi="Times New Roman" w:cs="Times New Roman"/>
                <w:sz w:val="24"/>
                <w:szCs w:val="24"/>
                <w:lang w:eastAsia="lv-LV"/>
              </w:rPr>
              <w:t>ām</w:t>
            </w:r>
            <w:r w:rsidRPr="00D52A03">
              <w:rPr>
                <w:rFonts w:ascii="Times New Roman" w:eastAsia="Times New Roman" w:hAnsi="Times New Roman" w:cs="Times New Roman"/>
                <w:sz w:val="24"/>
                <w:szCs w:val="24"/>
                <w:lang w:eastAsia="lv-LV"/>
              </w:rPr>
              <w:t xml:space="preserve">, tostarp, Jelgavu. </w:t>
            </w:r>
            <w:r w:rsidR="005232D3" w:rsidRPr="00D52A03">
              <w:rPr>
                <w:rFonts w:ascii="Times New Roman" w:eastAsia="Times New Roman" w:hAnsi="Times New Roman" w:cs="Times New Roman"/>
                <w:sz w:val="24"/>
                <w:szCs w:val="24"/>
                <w:lang w:eastAsia="lv-LV"/>
              </w:rPr>
              <w:t>Līdz ar to vairākum</w:t>
            </w:r>
            <w:r w:rsidR="00C652C3" w:rsidRPr="00D52A03">
              <w:rPr>
                <w:rFonts w:ascii="Times New Roman" w:eastAsia="Times New Roman" w:hAnsi="Times New Roman" w:cs="Times New Roman"/>
                <w:sz w:val="24"/>
                <w:szCs w:val="24"/>
                <w:lang w:eastAsia="lv-LV"/>
              </w:rPr>
              <w:t>ā</w:t>
            </w:r>
            <w:r w:rsidR="005232D3" w:rsidRPr="00D52A03">
              <w:rPr>
                <w:rFonts w:ascii="Times New Roman" w:eastAsia="Times New Roman" w:hAnsi="Times New Roman" w:cs="Times New Roman"/>
                <w:sz w:val="24"/>
                <w:szCs w:val="24"/>
                <w:lang w:eastAsia="lv-LV"/>
              </w:rPr>
              <w:t xml:space="preserve"> gadījumu Rīga tāpat tiek izmantota kā satiksmes centrs.</w:t>
            </w:r>
          </w:p>
          <w:p w14:paraId="12DBBFF5" w14:textId="57A8894E" w:rsidR="00FD3830" w:rsidRPr="00D52A03" w:rsidRDefault="000D52B6" w:rsidP="00CC289D">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Attiecībā uz administratīvo slogu, kas radīsies, lai ierastos uz tiesas sēdēm, jānorāda, ka tas atsevišķos gadījumos palielināsies, ja lietas dalībniek</w:t>
            </w:r>
            <w:r w:rsidR="00572D69" w:rsidRPr="00D52A03">
              <w:rPr>
                <w:rFonts w:ascii="Times New Roman" w:eastAsia="Times New Roman" w:hAnsi="Times New Roman" w:cs="Times New Roman"/>
                <w:sz w:val="24"/>
                <w:szCs w:val="24"/>
                <w:lang w:eastAsia="lv-LV"/>
              </w:rPr>
              <w:t>s ob</w:t>
            </w:r>
            <w:r w:rsidRPr="00D52A03">
              <w:rPr>
                <w:rFonts w:ascii="Times New Roman" w:eastAsia="Times New Roman" w:hAnsi="Times New Roman" w:cs="Times New Roman"/>
                <w:sz w:val="24"/>
                <w:szCs w:val="24"/>
                <w:lang w:eastAsia="lv-LV"/>
              </w:rPr>
              <w:t xml:space="preserve">jektīvu (no lietas rakstura vai videokonferenču iekārtas noslogotības) iemeslu dēļ </w:t>
            </w:r>
            <w:r w:rsidR="00572D69" w:rsidRPr="00D52A03">
              <w:rPr>
                <w:rFonts w:ascii="Times New Roman" w:eastAsia="Times New Roman" w:hAnsi="Times New Roman" w:cs="Times New Roman"/>
                <w:sz w:val="24"/>
                <w:szCs w:val="24"/>
                <w:lang w:eastAsia="lv-LV"/>
              </w:rPr>
              <w:t>nevarēs</w:t>
            </w:r>
            <w:r w:rsidRPr="00D52A03">
              <w:rPr>
                <w:rFonts w:ascii="Times New Roman" w:eastAsia="Times New Roman" w:hAnsi="Times New Roman" w:cs="Times New Roman"/>
                <w:sz w:val="24"/>
                <w:szCs w:val="24"/>
                <w:lang w:eastAsia="lv-LV"/>
              </w:rPr>
              <w:t xml:space="preserve"> piedalīties lietas izskatīšanā ar videokonferences starpniecību no tās tiesas atrašanās vietas, kura tam ir vistuvāk.</w:t>
            </w:r>
            <w:r w:rsidR="00BF2B3F" w:rsidRPr="00D52A03">
              <w:rPr>
                <w:rFonts w:ascii="Times New Roman" w:eastAsia="Times New Roman" w:hAnsi="Times New Roman" w:cs="Times New Roman"/>
                <w:sz w:val="24"/>
                <w:szCs w:val="24"/>
                <w:lang w:eastAsia="lv-LV"/>
              </w:rPr>
              <w:t xml:space="preserve"> </w:t>
            </w:r>
            <w:r w:rsidR="005232D3" w:rsidRPr="00D52A03">
              <w:rPr>
                <w:rFonts w:ascii="Times New Roman" w:eastAsia="Times New Roman" w:hAnsi="Times New Roman" w:cs="Times New Roman"/>
                <w:sz w:val="24"/>
                <w:szCs w:val="24"/>
                <w:lang w:eastAsia="lv-LV"/>
              </w:rPr>
              <w:t>Vienlaikus</w:t>
            </w:r>
            <w:r w:rsidR="00BF2B3F" w:rsidRPr="00D52A03">
              <w:rPr>
                <w:rFonts w:ascii="Times New Roman" w:eastAsia="Times New Roman" w:hAnsi="Times New Roman" w:cs="Times New Roman"/>
                <w:sz w:val="24"/>
                <w:szCs w:val="24"/>
                <w:lang w:eastAsia="lv-LV"/>
              </w:rPr>
              <w:t xml:space="preserve"> jānorāda, ka daļa no komerclietām, k</w:t>
            </w:r>
            <w:r w:rsidR="005232D3" w:rsidRPr="00D52A03">
              <w:rPr>
                <w:rFonts w:ascii="Times New Roman" w:eastAsia="Times New Roman" w:hAnsi="Times New Roman" w:cs="Times New Roman"/>
                <w:sz w:val="24"/>
                <w:szCs w:val="24"/>
                <w:lang w:eastAsia="lv-LV"/>
              </w:rPr>
              <w:t>uras</w:t>
            </w:r>
            <w:r w:rsidR="00BF2B3F" w:rsidRPr="00D52A03">
              <w:rPr>
                <w:rFonts w:ascii="Times New Roman" w:eastAsia="Times New Roman" w:hAnsi="Times New Roman" w:cs="Times New Roman"/>
                <w:sz w:val="24"/>
                <w:szCs w:val="24"/>
                <w:lang w:eastAsia="lv-LV"/>
              </w:rPr>
              <w:t xml:space="preserve"> plānots nodot Ekonomisko lietu tiesai, jau šobrīd ir koncentrētas vienā tiesā - lietas par kapitālsabiedrību dalībnieku (akcionāru) sapulces lēmumu atzīšanu par spēkā neesošiem izskata Zemgales rajona tiesa (Jelgava), lietas par rūpnieciskā īpašuma tiesībām un  lietas</w:t>
            </w:r>
            <w:r w:rsidR="00C652C3" w:rsidRPr="00D52A03">
              <w:rPr>
                <w:rFonts w:ascii="Times New Roman" w:eastAsia="Times New Roman" w:hAnsi="Times New Roman" w:cs="Times New Roman"/>
                <w:sz w:val="24"/>
                <w:szCs w:val="24"/>
                <w:lang w:eastAsia="lv-LV"/>
              </w:rPr>
              <w:t>,</w:t>
            </w:r>
            <w:r w:rsidR="00BF2B3F" w:rsidRPr="00D52A03">
              <w:rPr>
                <w:rFonts w:ascii="Times New Roman" w:eastAsia="Times New Roman" w:hAnsi="Times New Roman" w:cs="Times New Roman"/>
                <w:sz w:val="24"/>
                <w:szCs w:val="24"/>
                <w:lang w:eastAsia="lv-LV"/>
              </w:rPr>
              <w:t xml:space="preserve"> kuru materiālos ir iekļauts valsts noslēpums</w:t>
            </w:r>
            <w:r w:rsidR="00C652C3" w:rsidRPr="00D52A03">
              <w:rPr>
                <w:rFonts w:ascii="Times New Roman" w:eastAsia="Times New Roman" w:hAnsi="Times New Roman" w:cs="Times New Roman"/>
                <w:sz w:val="24"/>
                <w:szCs w:val="24"/>
                <w:lang w:eastAsia="lv-LV"/>
              </w:rPr>
              <w:t>,</w:t>
            </w:r>
            <w:r w:rsidR="00BF2B3F" w:rsidRPr="00D52A03">
              <w:rPr>
                <w:rFonts w:ascii="Times New Roman" w:eastAsia="Times New Roman" w:hAnsi="Times New Roman" w:cs="Times New Roman"/>
                <w:sz w:val="24"/>
                <w:szCs w:val="24"/>
                <w:lang w:eastAsia="lv-LV"/>
              </w:rPr>
              <w:t xml:space="preserve"> izskata Rīgas pilsētas Vidzemes priekšpilsētas tiesa, lietas par zaudējumu atlīdzināšanu par konkurences tiesību pārkāpumiem izskata Rīgas pilsētas Latgales priekšpilsētas tiesa. Attiecībā uz šīm lietu kategorijām</w:t>
            </w:r>
            <w:r w:rsidR="00E2784F" w:rsidRPr="00D52A03">
              <w:rPr>
                <w:rFonts w:ascii="Times New Roman" w:eastAsia="Times New Roman" w:hAnsi="Times New Roman" w:cs="Times New Roman"/>
                <w:sz w:val="24"/>
                <w:szCs w:val="24"/>
                <w:lang w:eastAsia="lv-LV"/>
              </w:rPr>
              <w:t xml:space="preserve"> nav konstatētas problēmas ar lietas dalībnieku ierašanos uz tiesas sēdēm.</w:t>
            </w:r>
          </w:p>
        </w:tc>
      </w:tr>
      <w:tr w:rsidR="00F81219" w:rsidRPr="00D52A03" w14:paraId="5245BA7A" w14:textId="77777777" w:rsidTr="00E97C8F">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3.</w:t>
            </w:r>
          </w:p>
        </w:tc>
        <w:tc>
          <w:tcPr>
            <w:tcW w:w="167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Administratīvo izmaksu monetārs novērtējums</w:t>
            </w:r>
          </w:p>
        </w:tc>
        <w:tc>
          <w:tcPr>
            <w:tcW w:w="3115" w:type="pct"/>
            <w:tcBorders>
              <w:top w:val="outset" w:sz="6" w:space="0" w:color="414142"/>
              <w:left w:val="outset" w:sz="6" w:space="0" w:color="414142"/>
              <w:bottom w:val="outset" w:sz="6" w:space="0" w:color="414142"/>
              <w:right w:val="outset" w:sz="6" w:space="0" w:color="414142"/>
            </w:tcBorders>
            <w:hideMark/>
          </w:tcPr>
          <w:p w14:paraId="48D29368" w14:textId="5144C3ED" w:rsidR="00CC7C9D" w:rsidRPr="00D52A03" w:rsidRDefault="00982296" w:rsidP="00FD3830">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Administratīvo izmaksu monetāru novērtējumu n</w:t>
            </w:r>
            <w:r w:rsidR="00FF3ED4" w:rsidRPr="00D52A03">
              <w:rPr>
                <w:rFonts w:ascii="Times New Roman" w:eastAsia="Times New Roman" w:hAnsi="Times New Roman" w:cs="Times New Roman"/>
                <w:sz w:val="24"/>
                <w:szCs w:val="24"/>
                <w:lang w:eastAsia="lv-LV"/>
              </w:rPr>
              <w:t>av iespējams precīzi noteikt</w:t>
            </w:r>
            <w:r w:rsidRPr="00D52A03">
              <w:rPr>
                <w:rFonts w:ascii="Times New Roman" w:eastAsia="Times New Roman" w:hAnsi="Times New Roman" w:cs="Times New Roman"/>
                <w:sz w:val="24"/>
                <w:szCs w:val="24"/>
                <w:lang w:eastAsia="lv-LV"/>
              </w:rPr>
              <w:t>, jo tas ir atkarīgs no vairākiem apstākļiem.</w:t>
            </w:r>
            <w:r w:rsidR="00FF3ED4" w:rsidRPr="00D52A03">
              <w:rPr>
                <w:rFonts w:ascii="Times New Roman" w:eastAsia="Times New Roman" w:hAnsi="Times New Roman" w:cs="Times New Roman"/>
                <w:sz w:val="24"/>
                <w:szCs w:val="24"/>
                <w:lang w:eastAsia="lv-LV"/>
              </w:rPr>
              <w:t xml:space="preserve"> </w:t>
            </w:r>
          </w:p>
          <w:p w14:paraId="5D564945" w14:textId="51DB15D5" w:rsidR="00FD3830" w:rsidRPr="00D52A03" w:rsidRDefault="00FD3830" w:rsidP="00FD3830">
            <w:pPr>
              <w:spacing w:after="0" w:line="240" w:lineRule="auto"/>
              <w:jc w:val="both"/>
              <w:rPr>
                <w:rFonts w:ascii="Times New Roman" w:eastAsia="Times New Roman" w:hAnsi="Times New Roman" w:cs="Times New Roman"/>
                <w:sz w:val="24"/>
                <w:szCs w:val="24"/>
                <w:lang w:eastAsia="lv-LV"/>
              </w:rPr>
            </w:pPr>
          </w:p>
        </w:tc>
      </w:tr>
      <w:tr w:rsidR="00F81219" w:rsidRPr="00D52A03" w14:paraId="2C02878A" w14:textId="77777777" w:rsidTr="00E97C8F">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D52A03" w:rsidRDefault="00A1552F"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4.</w:t>
            </w:r>
          </w:p>
        </w:tc>
        <w:tc>
          <w:tcPr>
            <w:tcW w:w="1671" w:type="pct"/>
            <w:tcBorders>
              <w:top w:val="outset" w:sz="6" w:space="0" w:color="414142"/>
              <w:left w:val="outset" w:sz="6" w:space="0" w:color="414142"/>
              <w:bottom w:val="outset" w:sz="6" w:space="0" w:color="414142"/>
              <w:right w:val="outset" w:sz="6" w:space="0" w:color="414142"/>
            </w:tcBorders>
          </w:tcPr>
          <w:p w14:paraId="105AF451" w14:textId="0BBD8082" w:rsidR="00A1552F" w:rsidRPr="00D52A03" w:rsidRDefault="00A1552F"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Atbilstības izmaksu monetārs novērtējums</w:t>
            </w:r>
          </w:p>
        </w:tc>
        <w:tc>
          <w:tcPr>
            <w:tcW w:w="3115" w:type="pct"/>
            <w:tcBorders>
              <w:top w:val="outset" w:sz="6" w:space="0" w:color="414142"/>
              <w:left w:val="outset" w:sz="6" w:space="0" w:color="414142"/>
              <w:bottom w:val="outset" w:sz="6" w:space="0" w:color="414142"/>
              <w:right w:val="outset" w:sz="6" w:space="0" w:color="414142"/>
            </w:tcBorders>
          </w:tcPr>
          <w:p w14:paraId="0C5B7775" w14:textId="32045665" w:rsidR="00794B59" w:rsidRPr="00D52A03" w:rsidRDefault="00C652C3" w:rsidP="001C5969">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Likump</w:t>
            </w:r>
            <w:r w:rsidR="00305EC9" w:rsidRPr="00D52A03">
              <w:rPr>
                <w:rFonts w:ascii="Times New Roman" w:eastAsia="Times New Roman" w:hAnsi="Times New Roman" w:cs="Times New Roman"/>
                <w:sz w:val="24"/>
                <w:szCs w:val="24"/>
                <w:lang w:eastAsia="lv-LV"/>
              </w:rPr>
              <w:t xml:space="preserve">rojekts šo jomu neskar. </w:t>
            </w:r>
          </w:p>
        </w:tc>
      </w:tr>
      <w:tr w:rsidR="00F81219" w:rsidRPr="00D52A03" w14:paraId="058C8E07" w14:textId="77777777" w:rsidTr="00E97C8F">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D52A03" w:rsidRDefault="00A1552F"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5</w:t>
            </w:r>
            <w:r w:rsidR="004D15A9" w:rsidRPr="00D52A03">
              <w:rPr>
                <w:rFonts w:ascii="Times New Roman" w:eastAsia="Times New Roman" w:hAnsi="Times New Roman" w:cs="Times New Roman"/>
                <w:sz w:val="24"/>
                <w:szCs w:val="24"/>
                <w:lang w:eastAsia="lv-LV"/>
              </w:rPr>
              <w:t>.</w:t>
            </w:r>
          </w:p>
        </w:tc>
        <w:tc>
          <w:tcPr>
            <w:tcW w:w="167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Cita informācija</w:t>
            </w:r>
          </w:p>
        </w:tc>
        <w:tc>
          <w:tcPr>
            <w:tcW w:w="3115" w:type="pct"/>
            <w:tcBorders>
              <w:top w:val="outset" w:sz="6" w:space="0" w:color="414142"/>
              <w:left w:val="outset" w:sz="6" w:space="0" w:color="414142"/>
              <w:bottom w:val="single" w:sz="4" w:space="0" w:color="auto"/>
              <w:right w:val="outset" w:sz="6" w:space="0" w:color="414142"/>
            </w:tcBorders>
            <w:hideMark/>
          </w:tcPr>
          <w:p w14:paraId="5CC17AB0" w14:textId="242C76FC" w:rsidR="004D15A9" w:rsidRPr="00D52A03" w:rsidRDefault="004D15A9" w:rsidP="001C5969">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Nav</w:t>
            </w:r>
            <w:r w:rsidR="000E42FD" w:rsidRPr="00D52A03">
              <w:rPr>
                <w:rFonts w:ascii="Times New Roman" w:eastAsia="Times New Roman" w:hAnsi="Times New Roman" w:cs="Times New Roman"/>
                <w:sz w:val="24"/>
                <w:szCs w:val="24"/>
                <w:lang w:eastAsia="lv-LV"/>
              </w:rPr>
              <w:t>.</w:t>
            </w:r>
          </w:p>
        </w:tc>
      </w:tr>
      <w:tr w:rsidR="00F81219" w:rsidRPr="00D52A03" w14:paraId="347A5AC7" w14:textId="77777777" w:rsidTr="00E97C8F">
        <w:trPr>
          <w:trHeight w:val="360"/>
        </w:trPr>
        <w:tc>
          <w:tcPr>
            <w:tcW w:w="4986" w:type="pct"/>
            <w:gridSpan w:val="3"/>
            <w:tcBorders>
              <w:top w:val="single" w:sz="4" w:space="0" w:color="auto"/>
              <w:left w:val="nil"/>
              <w:bottom w:val="nil"/>
              <w:right w:val="nil"/>
            </w:tcBorders>
            <w:vAlign w:val="center"/>
          </w:tcPr>
          <w:p w14:paraId="449ED9EA" w14:textId="77777777" w:rsidR="00504BE1" w:rsidRPr="00D52A03" w:rsidRDefault="00504BE1" w:rsidP="00504BE1">
            <w:pPr>
              <w:rPr>
                <w:rFonts w:ascii="Times New Roman" w:eastAsia="Times New Roman" w:hAnsi="Times New Roman" w:cs="Times New Roman"/>
                <w:sz w:val="24"/>
                <w:szCs w:val="24"/>
                <w:lang w:eastAsia="lv-LV"/>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196"/>
            </w:tblGrid>
            <w:tr w:rsidR="00BC4E93" w:rsidRPr="00D52A03" w14:paraId="01B91984" w14:textId="77777777" w:rsidTr="00C01C70">
              <w:tc>
                <w:tcPr>
                  <w:tcW w:w="5000" w:type="pct"/>
                  <w:tcBorders>
                    <w:top w:val="single" w:sz="4" w:space="0" w:color="auto"/>
                    <w:left w:val="single" w:sz="4" w:space="0" w:color="auto"/>
                    <w:bottom w:val="single" w:sz="4" w:space="0" w:color="auto"/>
                    <w:right w:val="single" w:sz="4" w:space="0" w:color="auto"/>
                  </w:tcBorders>
                  <w:vAlign w:val="center"/>
                  <w:hideMark/>
                </w:tcPr>
                <w:p w14:paraId="7EB85C47" w14:textId="77777777" w:rsidR="00BC4E93" w:rsidRPr="00D52A03" w:rsidRDefault="00BC4E93" w:rsidP="00BC4E93">
                  <w:pPr>
                    <w:spacing w:after="0" w:line="240" w:lineRule="auto"/>
                    <w:jc w:val="center"/>
                    <w:rPr>
                      <w:rFonts w:ascii="Times New Roman" w:eastAsia="Times New Roman" w:hAnsi="Times New Roman" w:cs="Times New Roman"/>
                      <w:b/>
                      <w:bCs/>
                      <w:sz w:val="24"/>
                      <w:szCs w:val="24"/>
                    </w:rPr>
                  </w:pPr>
                  <w:r w:rsidRPr="00D52A03">
                    <w:rPr>
                      <w:rFonts w:ascii="Times New Roman" w:eastAsia="Times New Roman" w:hAnsi="Times New Roman" w:cs="Times New Roman"/>
                      <w:b/>
                      <w:bCs/>
                      <w:sz w:val="24"/>
                      <w:szCs w:val="24"/>
                    </w:rPr>
                    <w:t>III. Tiesību akta projekta ietekme uz valsts budžetu un pašvaldību budžetiem</w:t>
                  </w:r>
                </w:p>
              </w:tc>
            </w:tr>
            <w:tr w:rsidR="00BC4E93" w:rsidRPr="00D52A03" w14:paraId="7026A6F2" w14:textId="77777777" w:rsidTr="00C01C70">
              <w:trPr>
                <w:trHeight w:val="272"/>
              </w:trPr>
              <w:tc>
                <w:tcPr>
                  <w:tcW w:w="5000" w:type="pct"/>
                  <w:tcBorders>
                    <w:top w:val="single" w:sz="4" w:space="0" w:color="auto"/>
                    <w:left w:val="single" w:sz="4" w:space="0" w:color="auto"/>
                    <w:right w:val="single" w:sz="4" w:space="0" w:color="auto"/>
                  </w:tcBorders>
                  <w:vAlign w:val="center"/>
                </w:tcPr>
                <w:p w14:paraId="35148B09" w14:textId="77777777" w:rsidR="00BC4E93" w:rsidRPr="00D52A03" w:rsidRDefault="00BC4E93" w:rsidP="00BC4E93">
                  <w:pPr>
                    <w:spacing w:after="0" w:line="240" w:lineRule="auto"/>
                    <w:jc w:val="center"/>
                    <w:rPr>
                      <w:rFonts w:ascii="Times New Roman" w:eastAsia="Times New Roman" w:hAnsi="Times New Roman" w:cs="Times New Roman"/>
                      <w:bCs/>
                      <w:sz w:val="24"/>
                      <w:szCs w:val="24"/>
                    </w:rPr>
                  </w:pPr>
                  <w:r w:rsidRPr="00D52A03">
                    <w:rPr>
                      <w:rFonts w:ascii="Times New Roman" w:eastAsia="Times New Roman" w:hAnsi="Times New Roman" w:cs="Times New Roman"/>
                      <w:bCs/>
                      <w:sz w:val="24"/>
                      <w:szCs w:val="24"/>
                    </w:rPr>
                    <w:t>Projekts šo jomu neskar.</w:t>
                  </w:r>
                </w:p>
              </w:tc>
            </w:tr>
          </w:tbl>
          <w:p w14:paraId="541E9657" w14:textId="33CFC3FF" w:rsidR="00BC4E93" w:rsidRPr="00D52A03" w:rsidRDefault="00BC4E93" w:rsidP="00504BE1">
            <w:pPr>
              <w:rPr>
                <w:rFonts w:ascii="Times New Roman" w:eastAsia="Times New Roman" w:hAnsi="Times New Roman" w:cs="Times New Roman"/>
                <w:sz w:val="24"/>
                <w:szCs w:val="24"/>
                <w:lang w:eastAsia="lv-LV"/>
              </w:rPr>
            </w:pPr>
          </w:p>
        </w:tc>
      </w:tr>
    </w:tbl>
    <w:p w14:paraId="717F7F2B" w14:textId="553CEE65" w:rsidR="004D15A9" w:rsidRPr="00D52A03" w:rsidRDefault="004D15A9" w:rsidP="00DA596D">
      <w:pPr>
        <w:spacing w:after="0" w:line="240" w:lineRule="auto"/>
        <w:rPr>
          <w:rFonts w:ascii="Times New Roman" w:eastAsia="Times New Roman" w:hAnsi="Times New Roman" w:cs="Times New Roman"/>
          <w:sz w:val="24"/>
          <w:szCs w:val="24"/>
          <w:lang w:eastAsia="lv-LV"/>
        </w:rPr>
      </w:pPr>
    </w:p>
    <w:tbl>
      <w:tblPr>
        <w:tblW w:w="500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1242"/>
        <w:gridCol w:w="7369"/>
      </w:tblGrid>
      <w:tr w:rsidR="00F81219" w:rsidRPr="00D52A03" w14:paraId="4F0360E3" w14:textId="77777777" w:rsidTr="00E97C8F">
        <w:trPr>
          <w:trHeight w:val="45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D52A0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2A03">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F81219" w:rsidRPr="00D52A03" w14:paraId="0B379FE7" w14:textId="77777777" w:rsidTr="00E97C8F">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1.</w:t>
            </w:r>
          </w:p>
        </w:tc>
        <w:tc>
          <w:tcPr>
            <w:tcW w:w="685"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D52A03" w:rsidRDefault="00A1552F"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S</w:t>
            </w:r>
            <w:r w:rsidR="004D15A9" w:rsidRPr="00D52A03">
              <w:rPr>
                <w:rFonts w:ascii="Times New Roman" w:eastAsia="Times New Roman" w:hAnsi="Times New Roman" w:cs="Times New Roman"/>
                <w:sz w:val="24"/>
                <w:szCs w:val="24"/>
                <w:lang w:eastAsia="lv-LV"/>
              </w:rPr>
              <w:t>aistītie tiesību aktu projekti</w:t>
            </w:r>
          </w:p>
        </w:tc>
        <w:tc>
          <w:tcPr>
            <w:tcW w:w="4066" w:type="pct"/>
            <w:tcBorders>
              <w:top w:val="outset" w:sz="6" w:space="0" w:color="414142"/>
              <w:left w:val="outset" w:sz="6" w:space="0" w:color="414142"/>
              <w:bottom w:val="outset" w:sz="6" w:space="0" w:color="414142"/>
              <w:right w:val="outset" w:sz="6" w:space="0" w:color="414142"/>
            </w:tcBorders>
            <w:hideMark/>
          </w:tcPr>
          <w:p w14:paraId="1B579D3B" w14:textId="12FE714C" w:rsidR="00AC637A" w:rsidRPr="00D52A03" w:rsidRDefault="00FC7741" w:rsidP="00AC637A">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 xml:space="preserve">Likumprojekts "Grozījumi likumā "Par tiesu varu"", ar kurā paredzēto regulējumu institucionāli noteikta Ekonomisko lietu tiesa un dots uzdevums Tieslietu padomei noteikt tiesnešu skaitu Ekonomisko lietu tiesā, tiesas darbības teritoriju un atrašanā vietu. </w:t>
            </w:r>
          </w:p>
        </w:tc>
      </w:tr>
      <w:tr w:rsidR="00F81219" w:rsidRPr="00D52A03" w14:paraId="136049D6" w14:textId="77777777" w:rsidTr="00E97C8F">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2.</w:t>
            </w:r>
          </w:p>
        </w:tc>
        <w:tc>
          <w:tcPr>
            <w:tcW w:w="685"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Atbildīgā institūcija</w:t>
            </w:r>
          </w:p>
        </w:tc>
        <w:tc>
          <w:tcPr>
            <w:tcW w:w="4066" w:type="pct"/>
            <w:tcBorders>
              <w:top w:val="outset" w:sz="6" w:space="0" w:color="414142"/>
              <w:left w:val="outset" w:sz="6" w:space="0" w:color="414142"/>
              <w:bottom w:val="outset" w:sz="6" w:space="0" w:color="414142"/>
              <w:right w:val="outset" w:sz="6" w:space="0" w:color="414142"/>
            </w:tcBorders>
            <w:hideMark/>
          </w:tcPr>
          <w:p w14:paraId="5E8E47AB" w14:textId="30D6B93D" w:rsidR="004D15A9" w:rsidRPr="00D52A03" w:rsidRDefault="00633CB1" w:rsidP="001C5969">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Tieslietu</w:t>
            </w:r>
            <w:r w:rsidR="00EF5863" w:rsidRPr="00D52A03">
              <w:rPr>
                <w:rFonts w:ascii="Times New Roman" w:eastAsia="Times New Roman" w:hAnsi="Times New Roman" w:cs="Times New Roman"/>
                <w:sz w:val="24"/>
                <w:szCs w:val="24"/>
                <w:lang w:eastAsia="lv-LV"/>
              </w:rPr>
              <w:t xml:space="preserve"> ministrija</w:t>
            </w:r>
            <w:r w:rsidR="00C652C3" w:rsidRPr="00D52A03">
              <w:rPr>
                <w:rFonts w:ascii="Times New Roman" w:eastAsia="Times New Roman" w:hAnsi="Times New Roman" w:cs="Times New Roman"/>
                <w:sz w:val="24"/>
                <w:szCs w:val="24"/>
                <w:lang w:eastAsia="lv-LV"/>
              </w:rPr>
              <w:t>.</w:t>
            </w:r>
          </w:p>
        </w:tc>
      </w:tr>
      <w:tr w:rsidR="002C6315" w:rsidRPr="00D52A03" w14:paraId="1BB29304" w14:textId="77777777" w:rsidTr="002C6315">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3.</w:t>
            </w:r>
          </w:p>
        </w:tc>
        <w:tc>
          <w:tcPr>
            <w:tcW w:w="685"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Cita informācija</w:t>
            </w:r>
          </w:p>
        </w:tc>
        <w:tc>
          <w:tcPr>
            <w:tcW w:w="4066" w:type="pct"/>
            <w:tcBorders>
              <w:top w:val="outset" w:sz="6" w:space="0" w:color="414142"/>
              <w:left w:val="outset" w:sz="6" w:space="0" w:color="414142"/>
              <w:bottom w:val="outset" w:sz="6" w:space="0" w:color="414142"/>
              <w:right w:val="outset" w:sz="6" w:space="0" w:color="414142"/>
            </w:tcBorders>
            <w:hideMark/>
          </w:tcPr>
          <w:p w14:paraId="7EE11369" w14:textId="0260792B" w:rsidR="000B7282" w:rsidRPr="00D52A03" w:rsidRDefault="000F0436" w:rsidP="000F0436">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Nav.</w:t>
            </w:r>
          </w:p>
        </w:tc>
      </w:tr>
    </w:tbl>
    <w:p w14:paraId="2CBEBB46"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p>
    <w:tbl>
      <w:tblPr>
        <w:tblW w:w="500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64"/>
      </w:tblGrid>
      <w:tr w:rsidR="00F81219" w:rsidRPr="00D52A03" w14:paraId="5DED1206" w14:textId="77777777" w:rsidTr="00E97C8F">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D52A0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2A03">
              <w:rPr>
                <w:rFonts w:ascii="Times New Roman" w:eastAsia="Times New Roman" w:hAnsi="Times New Roman" w:cs="Times New Roman"/>
                <w:b/>
                <w:bCs/>
                <w:sz w:val="24"/>
                <w:szCs w:val="24"/>
                <w:lang w:eastAsia="lv-LV"/>
              </w:rPr>
              <w:t>V. Tiesību akta projekta atbilstība Latvijas Republikas starptautiskajām saistībām</w:t>
            </w:r>
          </w:p>
        </w:tc>
      </w:tr>
      <w:tr w:rsidR="002C6315" w:rsidRPr="00D52A03" w14:paraId="3D3E697F" w14:textId="77777777" w:rsidTr="002C6315">
        <w:tc>
          <w:tcPr>
            <w:tcW w:w="5000" w:type="pct"/>
            <w:tcBorders>
              <w:top w:val="outset" w:sz="6" w:space="0" w:color="414142"/>
              <w:left w:val="outset" w:sz="6" w:space="0" w:color="414142"/>
              <w:bottom w:val="outset" w:sz="6" w:space="0" w:color="414142"/>
              <w:right w:val="outset" w:sz="6" w:space="0" w:color="414142"/>
            </w:tcBorders>
            <w:hideMark/>
          </w:tcPr>
          <w:p w14:paraId="46F4ED3F" w14:textId="7DF19438" w:rsidR="00E45ECD" w:rsidRPr="00D52A03" w:rsidRDefault="00C652C3" w:rsidP="00E45ECD">
            <w:pPr>
              <w:spacing w:after="0" w:line="240" w:lineRule="auto"/>
              <w:jc w:val="center"/>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Likump</w:t>
            </w:r>
            <w:r w:rsidR="00676236" w:rsidRPr="00D52A03">
              <w:rPr>
                <w:rFonts w:ascii="Times New Roman" w:eastAsia="Times New Roman" w:hAnsi="Times New Roman" w:cs="Times New Roman"/>
                <w:sz w:val="24"/>
                <w:szCs w:val="24"/>
                <w:lang w:eastAsia="lv-LV"/>
              </w:rPr>
              <w:t>rojekts šo jomu neskar.</w:t>
            </w:r>
          </w:p>
        </w:tc>
      </w:tr>
    </w:tbl>
    <w:p w14:paraId="31665CF8" w14:textId="77777777" w:rsidR="004D15A9" w:rsidRPr="00D52A03" w:rsidRDefault="004D15A9" w:rsidP="00DA596D">
      <w:pPr>
        <w:spacing w:after="0" w:line="240" w:lineRule="auto"/>
        <w:rPr>
          <w:rFonts w:ascii="Times New Roman" w:eastAsia="Times New Roman" w:hAnsi="Times New Roman" w:cs="Times New Roman"/>
          <w:vanish/>
          <w:sz w:val="24"/>
          <w:szCs w:val="24"/>
          <w:lang w:eastAsia="lv-LV"/>
        </w:rPr>
      </w:pPr>
    </w:p>
    <w:p w14:paraId="63E4FCA9"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p>
    <w:tbl>
      <w:tblPr>
        <w:tblW w:w="500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092"/>
        <w:gridCol w:w="6519"/>
      </w:tblGrid>
      <w:tr w:rsidR="00F81219" w:rsidRPr="00D52A03" w14:paraId="28BF07B0" w14:textId="77777777" w:rsidTr="00E97C8F">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D52A0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2A03">
              <w:rPr>
                <w:rFonts w:ascii="Times New Roman" w:eastAsia="Times New Roman" w:hAnsi="Times New Roman" w:cs="Times New Roman"/>
                <w:b/>
                <w:bCs/>
                <w:sz w:val="24"/>
                <w:szCs w:val="24"/>
                <w:lang w:eastAsia="lv-LV"/>
              </w:rPr>
              <w:t>VI. Sabiedrības līdzdalība un komunikācijas aktivitātes</w:t>
            </w:r>
          </w:p>
        </w:tc>
      </w:tr>
      <w:tr w:rsidR="00F81219" w:rsidRPr="00D52A03" w14:paraId="7B1FA7B2" w14:textId="77777777" w:rsidTr="00E97C8F">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1.</w:t>
            </w:r>
          </w:p>
        </w:tc>
        <w:tc>
          <w:tcPr>
            <w:tcW w:w="1154"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Plānotās sabiedrības līdzdalības un komunikācijas aktivitātes saistībā ar projektu</w:t>
            </w:r>
          </w:p>
        </w:tc>
        <w:tc>
          <w:tcPr>
            <w:tcW w:w="3596" w:type="pct"/>
            <w:tcBorders>
              <w:top w:val="outset" w:sz="6" w:space="0" w:color="414142"/>
              <w:left w:val="outset" w:sz="6" w:space="0" w:color="414142"/>
              <w:bottom w:val="outset" w:sz="6" w:space="0" w:color="414142"/>
              <w:right w:val="outset" w:sz="6" w:space="0" w:color="414142"/>
            </w:tcBorders>
            <w:hideMark/>
          </w:tcPr>
          <w:p w14:paraId="298F5795" w14:textId="4346B5F0" w:rsidR="00091FFD" w:rsidRPr="00D52A03" w:rsidRDefault="00091FFD" w:rsidP="008220AE">
            <w:pPr>
              <w:widowControl w:val="0"/>
              <w:spacing w:after="0" w:line="240" w:lineRule="auto"/>
              <w:ind w:firstLine="720"/>
              <w:jc w:val="both"/>
              <w:rPr>
                <w:rFonts w:ascii="Times New Roman" w:eastAsia="Times New Roman" w:hAnsi="Times New Roman"/>
                <w:sz w:val="24"/>
                <w:szCs w:val="24"/>
                <w:lang w:eastAsia="lv-LV"/>
              </w:rPr>
            </w:pPr>
            <w:r w:rsidRPr="00D52A03">
              <w:rPr>
                <w:rFonts w:ascii="Times New Roman" w:eastAsia="Times New Roman" w:hAnsi="Times New Roman"/>
                <w:sz w:val="24"/>
                <w:szCs w:val="24"/>
                <w:lang w:eastAsia="lv-LV"/>
              </w:rPr>
              <w:t xml:space="preserve">Atbilstoši Ministru kabineta 2009. gada 25. augusta noteikumiem Nr. 970 "Sabiedrības līdzdalības kārtība attīstības plānošanas procesā", lai informētu sabiedrību par </w:t>
            </w:r>
            <w:r w:rsidR="00C652C3" w:rsidRPr="00D52A03">
              <w:rPr>
                <w:rFonts w:ascii="Times New Roman" w:eastAsia="Times New Roman" w:hAnsi="Times New Roman"/>
                <w:sz w:val="24"/>
                <w:szCs w:val="24"/>
                <w:lang w:eastAsia="lv-LV"/>
              </w:rPr>
              <w:t>likump</w:t>
            </w:r>
            <w:r w:rsidRPr="00D52A03">
              <w:rPr>
                <w:rFonts w:ascii="Times New Roman" w:eastAsia="Times New Roman" w:hAnsi="Times New Roman"/>
                <w:sz w:val="24"/>
                <w:szCs w:val="24"/>
                <w:lang w:eastAsia="lv-LV"/>
              </w:rPr>
              <w:t xml:space="preserve">rojektu un dotu iespēju izteikt viedokli, </w:t>
            </w:r>
            <w:r w:rsidR="00BD03A6" w:rsidRPr="00D52A03">
              <w:rPr>
                <w:rFonts w:ascii="Times New Roman" w:eastAsia="Times New Roman" w:hAnsi="Times New Roman"/>
                <w:sz w:val="24"/>
                <w:szCs w:val="24"/>
                <w:lang w:eastAsia="lv-LV"/>
              </w:rPr>
              <w:t xml:space="preserve">informācija par </w:t>
            </w:r>
            <w:r w:rsidR="00C652C3" w:rsidRPr="00D52A03">
              <w:rPr>
                <w:rFonts w:ascii="Times New Roman" w:eastAsia="Times New Roman" w:hAnsi="Times New Roman"/>
                <w:sz w:val="24"/>
                <w:szCs w:val="24"/>
                <w:lang w:eastAsia="lv-LV"/>
              </w:rPr>
              <w:t>l</w:t>
            </w:r>
            <w:r w:rsidR="00BD03A6" w:rsidRPr="00D52A03">
              <w:rPr>
                <w:rFonts w:ascii="Times New Roman" w:eastAsia="Times New Roman" w:hAnsi="Times New Roman"/>
                <w:sz w:val="24"/>
                <w:szCs w:val="24"/>
                <w:lang w:eastAsia="lv-LV"/>
              </w:rPr>
              <w:t xml:space="preserve">ikumprojektu ievietota </w:t>
            </w:r>
            <w:r w:rsidRPr="00D52A03">
              <w:rPr>
                <w:rFonts w:ascii="Times New Roman" w:eastAsia="Times New Roman" w:hAnsi="Times New Roman"/>
                <w:sz w:val="24"/>
                <w:szCs w:val="24"/>
                <w:lang w:eastAsia="lv-LV"/>
              </w:rPr>
              <w:t>Tieslietu ministrijas un Valsts kancelejas mājaslapā.</w:t>
            </w:r>
          </w:p>
        </w:tc>
      </w:tr>
      <w:tr w:rsidR="00F81219" w:rsidRPr="00D52A03" w14:paraId="27BA751E" w14:textId="77777777" w:rsidTr="00E97C8F">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2.</w:t>
            </w:r>
          </w:p>
        </w:tc>
        <w:tc>
          <w:tcPr>
            <w:tcW w:w="1154"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Sabiedrības līdzdalība projekta izstrādē</w:t>
            </w:r>
          </w:p>
        </w:tc>
        <w:tc>
          <w:tcPr>
            <w:tcW w:w="3596" w:type="pct"/>
            <w:tcBorders>
              <w:top w:val="outset" w:sz="6" w:space="0" w:color="414142"/>
              <w:left w:val="outset" w:sz="6" w:space="0" w:color="414142"/>
              <w:bottom w:val="outset" w:sz="6" w:space="0" w:color="414142"/>
              <w:right w:val="outset" w:sz="6" w:space="0" w:color="414142"/>
            </w:tcBorders>
            <w:hideMark/>
          </w:tcPr>
          <w:p w14:paraId="2EF4A4EB" w14:textId="4DBEA7D1" w:rsidR="00305EC9" w:rsidRPr="00D52A03" w:rsidRDefault="00305EC9" w:rsidP="00AF496F">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 xml:space="preserve">Sadarbībā ar Rīgas </w:t>
            </w:r>
            <w:r w:rsidR="006A1F8C" w:rsidRPr="00D52A03">
              <w:rPr>
                <w:rFonts w:ascii="Times New Roman" w:eastAsia="Times New Roman" w:hAnsi="Times New Roman" w:cs="Times New Roman"/>
                <w:sz w:val="24"/>
                <w:szCs w:val="24"/>
                <w:lang w:eastAsia="lv-LV"/>
              </w:rPr>
              <w:t>J</w:t>
            </w:r>
            <w:r w:rsidRPr="00D52A03">
              <w:rPr>
                <w:rFonts w:ascii="Times New Roman" w:eastAsia="Times New Roman" w:hAnsi="Times New Roman" w:cs="Times New Roman"/>
                <w:sz w:val="24"/>
                <w:szCs w:val="24"/>
                <w:lang w:eastAsia="lv-LV"/>
              </w:rPr>
              <w:t>uridisko augstskolu Tieslietu ministrija 2019.</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gada 17.</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jūlijā organizēja publisku diskusiju "Vai pienācis laiks specializētai tiesai?". Diskusiju panelī piedalījās uzņēmēju organizāciju pārstāvji (Latvijas Tirdzniecības un rūpniecības kameras priekšsēdētājs J.</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Endziņš, Ārvalstu investoru padomes Latvijā Investīciju aizsardzības un tiesu efektivitātes darba grupas vadītājs M.</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Vainovskis, kā arī  Finanšu nozares asociācijas juridiskais padomnieks E.</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Pastars), kā arī tiesu varas un ar to saistīto institūciju pārstāvji (Korupcijas novēršanas un apkarošanas biroja priekšnieks J.Straume, Ģenerālprokurors Ē.</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Kalnmeiers, Rīgas apgabaltiesas priekšsēdētāja D.</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Vilsone un Satversmes tiesas priekšsēdētāja I.</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 xml:space="preserve">Ziemele). Paneļa dalībnieki, kas pārstāv uzņēmēju vajadzības, pauda viennozīmīgu atbalstu specializētas tiesas izveidei, uzsverot, ka šis jautājums ir risināms nekavējoties. Arī paneļa dalībnieki, kas pārstāvēja tiesu varu un ar to saistītās institūcijas, pauda atbalstošu pozīciju specializētas tiesas – ekonomisko lietu tiesas izveidei, vienlaikus daži no viņiem norādīja uz aspektiem, kuriem būtu pievēršama īpaša uzmanība specializētas tiesas izveides procesā. </w:t>
            </w:r>
          </w:p>
          <w:p w14:paraId="0D0AA4E1" w14:textId="7E50D2DC" w:rsidR="007951F9" w:rsidRPr="00D52A03" w:rsidRDefault="008220AE" w:rsidP="007951F9">
            <w:pPr>
              <w:spacing w:after="0" w:line="240" w:lineRule="auto"/>
              <w:ind w:firstLine="685"/>
              <w:jc w:val="both"/>
            </w:pPr>
            <w:r w:rsidRPr="00D52A03">
              <w:rPr>
                <w:rFonts w:ascii="Times New Roman" w:eastAsia="Times New Roman" w:hAnsi="Times New Roman" w:cs="Times New Roman"/>
                <w:sz w:val="24"/>
                <w:szCs w:val="24"/>
                <w:lang w:eastAsia="lv-LV"/>
              </w:rPr>
              <w:t>201</w:t>
            </w:r>
            <w:r w:rsidR="000F0436" w:rsidRPr="00D52A03">
              <w:rPr>
                <w:rFonts w:ascii="Times New Roman" w:eastAsia="Times New Roman" w:hAnsi="Times New Roman" w:cs="Times New Roman"/>
                <w:sz w:val="24"/>
                <w:szCs w:val="24"/>
                <w:lang w:eastAsia="lv-LV"/>
              </w:rPr>
              <w:t>9</w:t>
            </w:r>
            <w:r w:rsidRPr="00D52A03">
              <w:rPr>
                <w:rFonts w:ascii="Times New Roman" w:eastAsia="Times New Roman" w:hAnsi="Times New Roman" w:cs="Times New Roman"/>
                <w:sz w:val="24"/>
                <w:szCs w:val="24"/>
                <w:lang w:eastAsia="lv-LV"/>
              </w:rPr>
              <w:t>.</w:t>
            </w:r>
            <w:r w:rsidR="00F4263A" w:rsidRPr="00D52A03">
              <w:rPr>
                <w:rFonts w:ascii="Times New Roman" w:eastAsia="Times New Roman" w:hAnsi="Times New Roman" w:cs="Times New Roman"/>
                <w:sz w:val="24"/>
                <w:szCs w:val="24"/>
                <w:lang w:eastAsia="lv-LV"/>
              </w:rPr>
              <w:t> </w:t>
            </w:r>
            <w:r w:rsidRPr="00D52A03">
              <w:rPr>
                <w:rFonts w:ascii="Times New Roman" w:eastAsia="Times New Roman" w:hAnsi="Times New Roman" w:cs="Times New Roman"/>
                <w:sz w:val="24"/>
                <w:szCs w:val="24"/>
                <w:lang w:eastAsia="lv-LV"/>
              </w:rPr>
              <w:t xml:space="preserve">gada </w:t>
            </w:r>
            <w:r w:rsidR="00311C5C" w:rsidRPr="00D52A03">
              <w:rPr>
                <w:rFonts w:ascii="Times New Roman" w:eastAsia="Times New Roman" w:hAnsi="Times New Roman" w:cs="Times New Roman"/>
                <w:sz w:val="24"/>
                <w:szCs w:val="24"/>
                <w:lang w:eastAsia="lv-LV"/>
              </w:rPr>
              <w:t>20.</w:t>
            </w:r>
            <w:r w:rsidR="00F4263A" w:rsidRPr="00D52A03">
              <w:rPr>
                <w:rFonts w:ascii="Times New Roman" w:eastAsia="Times New Roman" w:hAnsi="Times New Roman" w:cs="Times New Roman"/>
                <w:sz w:val="24"/>
                <w:szCs w:val="24"/>
                <w:lang w:eastAsia="lv-LV"/>
              </w:rPr>
              <w:t> </w:t>
            </w:r>
            <w:r w:rsidR="00F7059C" w:rsidRPr="00D52A03">
              <w:rPr>
                <w:rFonts w:ascii="Times New Roman" w:eastAsia="Times New Roman" w:hAnsi="Times New Roman" w:cs="Times New Roman"/>
                <w:sz w:val="24"/>
                <w:szCs w:val="24"/>
                <w:lang w:eastAsia="lv-LV"/>
              </w:rPr>
              <w:t>augustā</w:t>
            </w:r>
            <w:r w:rsidRPr="00D52A03">
              <w:rPr>
                <w:rFonts w:ascii="Times New Roman" w:eastAsia="Times New Roman" w:hAnsi="Times New Roman" w:cs="Times New Roman"/>
                <w:sz w:val="24"/>
                <w:szCs w:val="24"/>
                <w:lang w:eastAsia="lv-LV"/>
              </w:rPr>
              <w:t>, izskatot Ziņojumu, Ministru kabinets atbalstīja tajā ietvertos pasākumus, līdz ar ko tika izstrādāts</w:t>
            </w:r>
            <w:r w:rsidR="00CC02BE" w:rsidRPr="00D52A03">
              <w:rPr>
                <w:rFonts w:ascii="Times New Roman" w:eastAsia="Times New Roman" w:hAnsi="Times New Roman" w:cs="Times New Roman"/>
                <w:sz w:val="24"/>
                <w:szCs w:val="24"/>
                <w:lang w:eastAsia="lv-LV"/>
              </w:rPr>
              <w:t xml:space="preserve"> </w:t>
            </w:r>
            <w:r w:rsidR="00052E62">
              <w:rPr>
                <w:rFonts w:ascii="Times New Roman" w:eastAsia="Times New Roman" w:hAnsi="Times New Roman" w:cs="Times New Roman"/>
                <w:sz w:val="24"/>
                <w:szCs w:val="24"/>
                <w:lang w:eastAsia="lv-LV"/>
              </w:rPr>
              <w:t>L</w:t>
            </w:r>
            <w:r w:rsidRPr="00D52A03">
              <w:rPr>
                <w:rFonts w:ascii="Times New Roman" w:eastAsia="Times New Roman" w:hAnsi="Times New Roman" w:cs="Times New Roman"/>
                <w:sz w:val="24"/>
                <w:szCs w:val="24"/>
                <w:lang w:eastAsia="lv-LV"/>
              </w:rPr>
              <w:t xml:space="preserve">ikumprojekts. Minētais </w:t>
            </w:r>
            <w:r w:rsidR="00C652C3" w:rsidRPr="00D52A03">
              <w:rPr>
                <w:rFonts w:ascii="Times New Roman" w:eastAsia="Times New Roman" w:hAnsi="Times New Roman" w:cs="Times New Roman"/>
                <w:sz w:val="24"/>
                <w:szCs w:val="24"/>
                <w:lang w:eastAsia="lv-LV"/>
              </w:rPr>
              <w:t>Z</w:t>
            </w:r>
            <w:r w:rsidRPr="00D52A03">
              <w:rPr>
                <w:rFonts w:ascii="Times New Roman" w:eastAsia="Times New Roman" w:hAnsi="Times New Roman" w:cs="Times New Roman"/>
                <w:sz w:val="24"/>
                <w:szCs w:val="24"/>
                <w:lang w:eastAsia="lv-LV"/>
              </w:rPr>
              <w:t>iņojums ir publiski pieejams interneta vietnē:</w:t>
            </w:r>
            <w:r w:rsidR="000F0436" w:rsidRPr="00D52A03">
              <w:rPr>
                <w:rFonts w:ascii="Times New Roman" w:eastAsia="Times New Roman" w:hAnsi="Times New Roman" w:cs="Times New Roman"/>
                <w:sz w:val="24"/>
                <w:szCs w:val="24"/>
                <w:lang w:eastAsia="lv-LV"/>
              </w:rPr>
              <w:t xml:space="preserve"> </w:t>
            </w:r>
            <w:hyperlink r:id="rId8" w:history="1">
              <w:r w:rsidR="00052E62" w:rsidRPr="00E21877">
                <w:rPr>
                  <w:rStyle w:val="Hipersaite"/>
                  <w:rFonts w:ascii="Times New Roman" w:eastAsia="Times New Roman" w:hAnsi="Times New Roman" w:cs="Times New Roman"/>
                  <w:sz w:val="24"/>
                  <w:szCs w:val="24"/>
                  <w:lang w:eastAsia="lv-LV"/>
                </w:rPr>
                <w:t>https://likumi.lv/ta/id/308908-par-konceptualo-zinojumu-par-ekonomisko-lietu-tiesas-izveidi</w:t>
              </w:r>
            </w:hyperlink>
            <w:r w:rsidR="00052E62">
              <w:rPr>
                <w:rFonts w:ascii="Times New Roman" w:eastAsia="Times New Roman" w:hAnsi="Times New Roman" w:cs="Times New Roman"/>
                <w:sz w:val="24"/>
                <w:szCs w:val="24"/>
                <w:lang w:eastAsia="lv-LV"/>
              </w:rPr>
              <w:t xml:space="preserve"> </w:t>
            </w:r>
            <w:r w:rsidR="00311C5C" w:rsidRPr="00D52A03">
              <w:rPr>
                <w:rFonts w:ascii="Times New Roman" w:eastAsia="Times New Roman" w:hAnsi="Times New Roman" w:cs="Times New Roman"/>
                <w:sz w:val="24"/>
                <w:szCs w:val="24"/>
                <w:lang w:eastAsia="lv-LV"/>
              </w:rPr>
              <w:t xml:space="preserve"> </w:t>
            </w:r>
            <w:r w:rsidRPr="00D52A03">
              <w:rPr>
                <w:rFonts w:ascii="Times New Roman" w:eastAsia="Times New Roman" w:hAnsi="Times New Roman" w:cs="Times New Roman"/>
                <w:sz w:val="24"/>
                <w:szCs w:val="24"/>
                <w:lang w:eastAsia="lv-LV"/>
              </w:rPr>
              <w:t xml:space="preserve"> </w:t>
            </w:r>
          </w:p>
          <w:p w14:paraId="1EE08E29" w14:textId="04EAE5B1" w:rsidR="008220AE" w:rsidRPr="00D52A03" w:rsidRDefault="008220AE" w:rsidP="00A5008A">
            <w:pPr>
              <w:spacing w:after="0" w:line="240" w:lineRule="auto"/>
              <w:ind w:firstLine="775"/>
              <w:jc w:val="both"/>
              <w:rPr>
                <w:rFonts w:ascii="Times New Roman" w:eastAsia="Times New Roman" w:hAnsi="Times New Roman"/>
                <w:sz w:val="24"/>
                <w:szCs w:val="24"/>
                <w:lang w:eastAsia="lv-LV"/>
              </w:rPr>
            </w:pPr>
            <w:r w:rsidRPr="00D52A03">
              <w:rPr>
                <w:rFonts w:ascii="Times New Roman" w:eastAsia="Times New Roman" w:hAnsi="Times New Roman"/>
                <w:sz w:val="24"/>
                <w:szCs w:val="24"/>
                <w:lang w:eastAsia="lv-LV"/>
              </w:rPr>
              <w:t xml:space="preserve">Lai informētu sabiedrību par </w:t>
            </w:r>
            <w:r w:rsidR="00C652C3" w:rsidRPr="00D52A03">
              <w:rPr>
                <w:rFonts w:ascii="Times New Roman" w:eastAsia="Times New Roman" w:hAnsi="Times New Roman"/>
                <w:sz w:val="24"/>
                <w:szCs w:val="24"/>
                <w:lang w:eastAsia="lv-LV"/>
              </w:rPr>
              <w:t>l</w:t>
            </w:r>
            <w:r w:rsidR="00F82B77" w:rsidRPr="00D52A03">
              <w:rPr>
                <w:rFonts w:ascii="Times New Roman" w:eastAsia="Times New Roman" w:hAnsi="Times New Roman"/>
                <w:sz w:val="24"/>
                <w:szCs w:val="24"/>
                <w:lang w:eastAsia="lv-LV"/>
              </w:rPr>
              <w:t xml:space="preserve">ikumprojektu </w:t>
            </w:r>
            <w:r w:rsidRPr="00D52A03">
              <w:rPr>
                <w:rFonts w:ascii="Times New Roman" w:eastAsia="Times New Roman" w:hAnsi="Times New Roman"/>
                <w:sz w:val="24"/>
                <w:szCs w:val="24"/>
                <w:lang w:eastAsia="lv-LV"/>
              </w:rPr>
              <w:t>un dotu iespēju izteikt viedokli, 201</w:t>
            </w:r>
            <w:r w:rsidR="00941557" w:rsidRPr="00D52A03">
              <w:rPr>
                <w:rFonts w:ascii="Times New Roman" w:eastAsia="Times New Roman" w:hAnsi="Times New Roman"/>
                <w:sz w:val="24"/>
                <w:szCs w:val="24"/>
                <w:lang w:eastAsia="lv-LV"/>
              </w:rPr>
              <w:t>9</w:t>
            </w:r>
            <w:r w:rsidRPr="00D52A03">
              <w:rPr>
                <w:rFonts w:ascii="Times New Roman" w:eastAsia="Times New Roman" w:hAnsi="Times New Roman"/>
                <w:sz w:val="24"/>
                <w:szCs w:val="24"/>
                <w:lang w:eastAsia="lv-LV"/>
              </w:rPr>
              <w:t>. gada</w:t>
            </w:r>
            <w:r w:rsidR="0033129D">
              <w:rPr>
                <w:rFonts w:ascii="Times New Roman" w:eastAsia="Times New Roman" w:hAnsi="Times New Roman"/>
                <w:sz w:val="24"/>
                <w:szCs w:val="24"/>
                <w:lang w:eastAsia="lv-LV"/>
              </w:rPr>
              <w:t xml:space="preserve"> 10.decembrī</w:t>
            </w:r>
            <w:r w:rsidR="00F7059C" w:rsidRPr="00D52A03">
              <w:rPr>
                <w:rFonts w:ascii="Times New Roman" w:eastAsia="Times New Roman" w:hAnsi="Times New Roman"/>
                <w:sz w:val="24"/>
                <w:szCs w:val="24"/>
                <w:lang w:eastAsia="lv-LV"/>
              </w:rPr>
              <w:t xml:space="preserve"> </w:t>
            </w:r>
            <w:r w:rsidR="00BD03A6" w:rsidRPr="00D52A03">
              <w:rPr>
                <w:rFonts w:ascii="Times New Roman" w:eastAsia="Times New Roman" w:hAnsi="Times New Roman"/>
                <w:sz w:val="24"/>
                <w:szCs w:val="24"/>
                <w:lang w:eastAsia="lv-LV"/>
              </w:rPr>
              <w:t xml:space="preserve">informācija par </w:t>
            </w:r>
            <w:r w:rsidR="00C652C3" w:rsidRPr="00D52A03">
              <w:rPr>
                <w:rFonts w:ascii="Times New Roman" w:eastAsia="Times New Roman" w:hAnsi="Times New Roman"/>
                <w:sz w:val="24"/>
                <w:szCs w:val="24"/>
                <w:lang w:eastAsia="lv-LV"/>
              </w:rPr>
              <w:t>l</w:t>
            </w:r>
            <w:r w:rsidR="00BD03A6" w:rsidRPr="00D52A03">
              <w:rPr>
                <w:rFonts w:ascii="Times New Roman" w:eastAsia="Times New Roman" w:hAnsi="Times New Roman"/>
                <w:sz w:val="24"/>
                <w:szCs w:val="24"/>
                <w:lang w:eastAsia="lv-LV"/>
              </w:rPr>
              <w:t xml:space="preserve">ikumprojektu ievietota </w:t>
            </w:r>
            <w:r w:rsidRPr="00D52A03">
              <w:rPr>
                <w:rFonts w:ascii="Times New Roman" w:eastAsia="Times New Roman" w:hAnsi="Times New Roman"/>
                <w:sz w:val="24"/>
                <w:szCs w:val="24"/>
                <w:lang w:eastAsia="lv-LV"/>
              </w:rPr>
              <w:t>Tieslietu ministrijas</w:t>
            </w:r>
            <w:r w:rsidR="00FC7741" w:rsidRPr="00D52A03">
              <w:rPr>
                <w:rFonts w:ascii="Times New Roman" w:eastAsia="Times New Roman" w:hAnsi="Times New Roman"/>
                <w:sz w:val="24"/>
                <w:szCs w:val="24"/>
                <w:lang w:eastAsia="lv-LV"/>
              </w:rPr>
              <w:t xml:space="preserve"> tīmekļa vietnē</w:t>
            </w:r>
            <w:r w:rsidR="00982296" w:rsidRPr="00D52A03">
              <w:rPr>
                <w:rFonts w:ascii="Times New Roman" w:eastAsia="Times New Roman" w:hAnsi="Times New Roman"/>
                <w:sz w:val="24"/>
                <w:szCs w:val="24"/>
                <w:lang w:eastAsia="lv-LV"/>
              </w:rPr>
              <w:t xml:space="preserve"> un </w:t>
            </w:r>
            <w:r w:rsidR="00982296" w:rsidRPr="00D52A03">
              <w:rPr>
                <w:rFonts w:ascii="Times New Roman" w:eastAsia="Times New Roman" w:hAnsi="Times New Roman"/>
                <w:sz w:val="24"/>
                <w:szCs w:val="24"/>
                <w:lang w:eastAsia="lv-LV"/>
              </w:rPr>
              <w:lastRenderedPageBreak/>
              <w:t>iesniegts Valsts kancelejā publicēšanai mājas lapā</w:t>
            </w:r>
            <w:r w:rsidR="00A5008A" w:rsidRPr="00D52A03">
              <w:rPr>
                <w:rFonts w:ascii="Times New Roman" w:eastAsia="Times New Roman" w:hAnsi="Times New Roman"/>
                <w:sz w:val="24"/>
                <w:szCs w:val="24"/>
                <w:lang w:eastAsia="lv-LV"/>
              </w:rPr>
              <w:t xml:space="preserve">, </w:t>
            </w:r>
            <w:r w:rsidR="00F82B77" w:rsidRPr="00D52A03">
              <w:rPr>
                <w:rFonts w:ascii="Times New Roman" w:eastAsia="Times New Roman" w:hAnsi="Times New Roman"/>
                <w:sz w:val="24"/>
                <w:szCs w:val="24"/>
                <w:lang w:eastAsia="lv-LV"/>
              </w:rPr>
              <w:t xml:space="preserve">aicinot viedokļus par </w:t>
            </w:r>
            <w:r w:rsidR="00C652C3" w:rsidRPr="00D52A03">
              <w:rPr>
                <w:rFonts w:ascii="Times New Roman" w:eastAsia="Times New Roman" w:hAnsi="Times New Roman"/>
                <w:sz w:val="24"/>
                <w:szCs w:val="24"/>
                <w:lang w:eastAsia="lv-LV"/>
              </w:rPr>
              <w:t>likum</w:t>
            </w:r>
            <w:r w:rsidR="00F82B77" w:rsidRPr="00D52A03">
              <w:rPr>
                <w:rFonts w:ascii="Times New Roman" w:eastAsia="Times New Roman" w:hAnsi="Times New Roman"/>
                <w:sz w:val="24"/>
                <w:szCs w:val="24"/>
                <w:lang w:eastAsia="lv-LV"/>
              </w:rPr>
              <w:t>projektu sniegt līdz</w:t>
            </w:r>
            <w:r w:rsidR="00FC7741" w:rsidRPr="00D52A03">
              <w:rPr>
                <w:rFonts w:ascii="Times New Roman" w:eastAsia="Times New Roman" w:hAnsi="Times New Roman"/>
                <w:sz w:val="24"/>
                <w:szCs w:val="24"/>
                <w:lang w:eastAsia="lv-LV"/>
              </w:rPr>
              <w:t xml:space="preserve"> </w:t>
            </w:r>
            <w:r w:rsidR="0033129D">
              <w:rPr>
                <w:rFonts w:ascii="Times New Roman" w:eastAsia="Times New Roman" w:hAnsi="Times New Roman"/>
                <w:sz w:val="24"/>
                <w:szCs w:val="24"/>
                <w:lang w:eastAsia="lv-LV"/>
              </w:rPr>
              <w:t>13.decembrim pl.</w:t>
            </w:r>
            <w:bookmarkStart w:id="17" w:name="_GoBack"/>
            <w:bookmarkEnd w:id="17"/>
            <w:r w:rsidR="0033129D">
              <w:rPr>
                <w:rFonts w:ascii="Times New Roman" w:eastAsia="Times New Roman" w:hAnsi="Times New Roman"/>
                <w:sz w:val="24"/>
                <w:szCs w:val="24"/>
                <w:lang w:eastAsia="lv-LV"/>
              </w:rPr>
              <w:t>10.00</w:t>
            </w:r>
            <w:r w:rsidR="00F82B77" w:rsidRPr="00D52A03">
              <w:rPr>
                <w:rFonts w:ascii="Times New Roman" w:eastAsia="Times New Roman" w:hAnsi="Times New Roman"/>
                <w:sz w:val="24"/>
                <w:szCs w:val="24"/>
                <w:lang w:eastAsia="lv-LV"/>
              </w:rPr>
              <w:t xml:space="preserve">. </w:t>
            </w:r>
          </w:p>
        </w:tc>
      </w:tr>
      <w:tr w:rsidR="00F81219" w:rsidRPr="00D52A03" w14:paraId="221D5F5F" w14:textId="77777777" w:rsidTr="00E97C8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lastRenderedPageBreak/>
              <w:t>3.</w:t>
            </w:r>
          </w:p>
        </w:tc>
        <w:tc>
          <w:tcPr>
            <w:tcW w:w="1154"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Sabiedrības līdzdalības rezultāti</w:t>
            </w:r>
          </w:p>
        </w:tc>
        <w:tc>
          <w:tcPr>
            <w:tcW w:w="3596" w:type="pct"/>
            <w:tcBorders>
              <w:top w:val="outset" w:sz="6" w:space="0" w:color="414142"/>
              <w:left w:val="outset" w:sz="6" w:space="0" w:color="414142"/>
              <w:bottom w:val="outset" w:sz="6" w:space="0" w:color="414142"/>
              <w:right w:val="outset" w:sz="6" w:space="0" w:color="414142"/>
            </w:tcBorders>
            <w:hideMark/>
          </w:tcPr>
          <w:p w14:paraId="3E3C15CE" w14:textId="29CEFD98" w:rsidR="004D15A9" w:rsidRPr="00D52A03" w:rsidRDefault="008220AE" w:rsidP="008A20C8">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sz w:val="24"/>
                <w:szCs w:val="24"/>
                <w:lang w:eastAsia="lv-LV"/>
              </w:rPr>
              <w:t xml:space="preserve">Pēc </w:t>
            </w:r>
            <w:r w:rsidR="00C652C3" w:rsidRPr="00D52A03">
              <w:rPr>
                <w:rFonts w:ascii="Times New Roman" w:eastAsia="Times New Roman" w:hAnsi="Times New Roman"/>
                <w:sz w:val="24"/>
                <w:szCs w:val="24"/>
                <w:lang w:eastAsia="lv-LV"/>
              </w:rPr>
              <w:t>likum</w:t>
            </w:r>
            <w:r w:rsidRPr="00D52A03">
              <w:rPr>
                <w:rFonts w:ascii="Times New Roman" w:eastAsia="Times New Roman" w:hAnsi="Times New Roman"/>
                <w:sz w:val="24"/>
                <w:szCs w:val="24"/>
                <w:lang w:eastAsia="lv-LV"/>
              </w:rPr>
              <w:t xml:space="preserve">projekta ievietošanas Tieslietu ministrijas un Valsts kancelejas mājaslapā sabiedrības līdzdalības nodrošināšanai par </w:t>
            </w:r>
            <w:r w:rsidR="00C652C3" w:rsidRPr="00D52A03">
              <w:rPr>
                <w:rFonts w:ascii="Times New Roman" w:eastAsia="Times New Roman" w:hAnsi="Times New Roman"/>
                <w:sz w:val="24"/>
                <w:szCs w:val="24"/>
                <w:lang w:eastAsia="lv-LV"/>
              </w:rPr>
              <w:t>likum</w:t>
            </w:r>
            <w:r w:rsidRPr="00D52A03">
              <w:rPr>
                <w:rFonts w:ascii="Times New Roman" w:eastAsia="Times New Roman" w:hAnsi="Times New Roman"/>
                <w:sz w:val="24"/>
                <w:szCs w:val="24"/>
                <w:lang w:eastAsia="lv-LV"/>
              </w:rPr>
              <w:t xml:space="preserve">projektu </w:t>
            </w:r>
            <w:r w:rsidR="00FC7741" w:rsidRPr="00D52A03">
              <w:rPr>
                <w:rFonts w:ascii="Times New Roman" w:eastAsia="Times New Roman" w:hAnsi="Times New Roman"/>
                <w:b/>
                <w:bCs/>
                <w:sz w:val="24"/>
                <w:szCs w:val="24"/>
                <w:lang w:eastAsia="lv-LV"/>
              </w:rPr>
              <w:t>___________</w:t>
            </w:r>
            <w:r w:rsidR="00E97C8F" w:rsidRPr="00D52A03">
              <w:rPr>
                <w:rFonts w:ascii="Times New Roman" w:eastAsia="Times New Roman" w:hAnsi="Times New Roman"/>
                <w:b/>
                <w:bCs/>
                <w:sz w:val="24"/>
                <w:szCs w:val="24"/>
                <w:lang w:eastAsia="lv-LV"/>
              </w:rPr>
              <w:t xml:space="preserve"> </w:t>
            </w:r>
          </w:p>
        </w:tc>
      </w:tr>
      <w:tr w:rsidR="002C6315" w:rsidRPr="00D52A03" w14:paraId="5F54E321" w14:textId="77777777" w:rsidTr="002C6315">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4.</w:t>
            </w:r>
          </w:p>
        </w:tc>
        <w:tc>
          <w:tcPr>
            <w:tcW w:w="1154"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Cita informācija</w:t>
            </w:r>
          </w:p>
        </w:tc>
        <w:tc>
          <w:tcPr>
            <w:tcW w:w="3596" w:type="pct"/>
            <w:tcBorders>
              <w:top w:val="outset" w:sz="6" w:space="0" w:color="414142"/>
              <w:left w:val="outset" w:sz="6" w:space="0" w:color="414142"/>
              <w:bottom w:val="outset" w:sz="6" w:space="0" w:color="414142"/>
              <w:right w:val="outset" w:sz="6" w:space="0" w:color="414142"/>
            </w:tcBorders>
            <w:hideMark/>
          </w:tcPr>
          <w:p w14:paraId="053F0FFC" w14:textId="11ADA017" w:rsidR="004D15A9" w:rsidRPr="00D52A03" w:rsidRDefault="004D15A9" w:rsidP="001C5969">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Nav</w:t>
            </w:r>
            <w:r w:rsidR="007047F3" w:rsidRPr="00D52A03">
              <w:rPr>
                <w:rFonts w:ascii="Times New Roman" w:eastAsia="Times New Roman" w:hAnsi="Times New Roman" w:cs="Times New Roman"/>
                <w:sz w:val="24"/>
                <w:szCs w:val="24"/>
                <w:lang w:eastAsia="lv-LV"/>
              </w:rPr>
              <w:t>.</w:t>
            </w:r>
          </w:p>
        </w:tc>
      </w:tr>
    </w:tbl>
    <w:p w14:paraId="569A45C0"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p>
    <w:tbl>
      <w:tblPr>
        <w:tblW w:w="500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232"/>
        <w:gridCol w:w="6379"/>
      </w:tblGrid>
      <w:tr w:rsidR="00F81219" w:rsidRPr="00D52A03" w14:paraId="052FAB11" w14:textId="77777777" w:rsidTr="00E97C8F">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D52A0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52A03">
              <w:rPr>
                <w:rFonts w:ascii="Times New Roman" w:eastAsia="Times New Roman" w:hAnsi="Times New Roman" w:cs="Times New Roman"/>
                <w:b/>
                <w:bCs/>
                <w:sz w:val="24"/>
                <w:szCs w:val="24"/>
                <w:lang w:eastAsia="lv-LV"/>
              </w:rPr>
              <w:t>VII. Tiesību akta projekta izpildes nodrošināšana un tās ietekme uz institūcijām</w:t>
            </w:r>
          </w:p>
        </w:tc>
      </w:tr>
      <w:tr w:rsidR="00F81219" w:rsidRPr="00D52A03" w14:paraId="5F7D14F9" w14:textId="77777777" w:rsidTr="00E97C8F">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1.</w:t>
            </w:r>
          </w:p>
        </w:tc>
        <w:tc>
          <w:tcPr>
            <w:tcW w:w="1231"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Projekta izpildē iesaistītās institūcijas</w:t>
            </w:r>
          </w:p>
        </w:tc>
        <w:tc>
          <w:tcPr>
            <w:tcW w:w="3519" w:type="pct"/>
            <w:tcBorders>
              <w:top w:val="outset" w:sz="6" w:space="0" w:color="414142"/>
              <w:left w:val="outset" w:sz="6" w:space="0" w:color="414142"/>
              <w:bottom w:val="outset" w:sz="6" w:space="0" w:color="414142"/>
              <w:right w:val="outset" w:sz="6" w:space="0" w:color="414142"/>
            </w:tcBorders>
            <w:hideMark/>
          </w:tcPr>
          <w:p w14:paraId="1AEBB4A0" w14:textId="671047F4" w:rsidR="004D15A9" w:rsidRPr="00D52A03" w:rsidRDefault="000F0436" w:rsidP="00982296">
            <w:pPr>
              <w:pStyle w:val="Komentrateksts"/>
            </w:pPr>
            <w:r w:rsidRPr="00D52A03">
              <w:rPr>
                <w:rFonts w:ascii="Times New Roman" w:eastAsia="Times New Roman" w:hAnsi="Times New Roman" w:cs="Times New Roman"/>
                <w:sz w:val="24"/>
                <w:szCs w:val="24"/>
                <w:lang w:eastAsia="lv-LV"/>
              </w:rPr>
              <w:t xml:space="preserve"> Tiesu administrācija, </w:t>
            </w:r>
            <w:r w:rsidR="001F5406" w:rsidRPr="00D52A03">
              <w:rPr>
                <w:rFonts w:ascii="Times New Roman" w:eastAsia="Times New Roman" w:hAnsi="Times New Roman" w:cs="Times New Roman"/>
                <w:sz w:val="24"/>
                <w:szCs w:val="24"/>
                <w:lang w:eastAsia="lv-LV"/>
              </w:rPr>
              <w:t xml:space="preserve">Tieslietu ministrija, </w:t>
            </w:r>
          </w:p>
        </w:tc>
      </w:tr>
      <w:tr w:rsidR="00F81219" w:rsidRPr="00D52A03" w14:paraId="67B81B5D" w14:textId="77777777" w:rsidTr="00E97C8F">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2.</w:t>
            </w:r>
          </w:p>
        </w:tc>
        <w:tc>
          <w:tcPr>
            <w:tcW w:w="1231"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D52A03" w:rsidRDefault="004D15A9" w:rsidP="0042645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519" w:type="pct"/>
            <w:tcBorders>
              <w:top w:val="outset" w:sz="6" w:space="0" w:color="414142"/>
              <w:left w:val="outset" w:sz="6" w:space="0" w:color="414142"/>
              <w:bottom w:val="outset" w:sz="6" w:space="0" w:color="414142"/>
              <w:right w:val="outset" w:sz="6" w:space="0" w:color="414142"/>
            </w:tcBorders>
            <w:hideMark/>
          </w:tcPr>
          <w:p w14:paraId="1E2A393C" w14:textId="1B50F06E" w:rsidR="00FC7741" w:rsidRPr="00D52A03" w:rsidRDefault="00FC7741" w:rsidP="00FC7741">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Jaunas pirmās instances tiesas – Ekonomisko lietu tiesas izveidošana, atslogos vispārējās jurisdikcijas tiesas</w:t>
            </w:r>
            <w:r w:rsidR="009C5622" w:rsidRPr="00D52A03">
              <w:rPr>
                <w:rFonts w:ascii="Times New Roman" w:eastAsia="Times New Roman" w:hAnsi="Times New Roman" w:cs="Times New Roman"/>
                <w:sz w:val="24"/>
                <w:szCs w:val="24"/>
                <w:lang w:eastAsia="lv-LV"/>
              </w:rPr>
              <w:t xml:space="preserve"> no attiecīgu lietu izskatīšanas. </w:t>
            </w:r>
            <w:r w:rsidRPr="00D52A03">
              <w:rPr>
                <w:rFonts w:ascii="Times New Roman" w:eastAsia="Times New Roman" w:hAnsi="Times New Roman" w:cs="Times New Roman"/>
                <w:sz w:val="24"/>
                <w:szCs w:val="24"/>
                <w:lang w:eastAsia="lv-LV"/>
              </w:rPr>
              <w:t>Ekonomisko lietu tiesa tiks izveidota, novirzot vakantās amata vietas specializētās tiesas kapacitātes nodrošināšanai</w:t>
            </w:r>
          </w:p>
          <w:p w14:paraId="020A7F09" w14:textId="54E27B07" w:rsidR="0099242F" w:rsidRPr="00D52A03" w:rsidRDefault="008D4733" w:rsidP="00FC7741">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b/>
                <w:bCs/>
                <w:sz w:val="24"/>
                <w:szCs w:val="24"/>
                <w:lang w:eastAsia="lv-LV"/>
              </w:rPr>
              <w:t xml:space="preserve"> </w:t>
            </w:r>
          </w:p>
        </w:tc>
      </w:tr>
      <w:tr w:rsidR="002C6315" w:rsidRPr="00D52A03" w14:paraId="20A26466" w14:textId="77777777" w:rsidTr="002C6315">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3.</w:t>
            </w:r>
          </w:p>
        </w:tc>
        <w:tc>
          <w:tcPr>
            <w:tcW w:w="1231"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D52A03" w:rsidRDefault="004D15A9" w:rsidP="00DA596D">
            <w:pPr>
              <w:spacing w:after="0" w:line="240" w:lineRule="auto"/>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Cita informācija</w:t>
            </w:r>
          </w:p>
        </w:tc>
        <w:tc>
          <w:tcPr>
            <w:tcW w:w="3519" w:type="pct"/>
            <w:tcBorders>
              <w:top w:val="outset" w:sz="6" w:space="0" w:color="414142"/>
              <w:left w:val="outset" w:sz="6" w:space="0" w:color="414142"/>
              <w:bottom w:val="outset" w:sz="6" w:space="0" w:color="414142"/>
              <w:right w:val="outset" w:sz="6" w:space="0" w:color="414142"/>
            </w:tcBorders>
            <w:hideMark/>
          </w:tcPr>
          <w:p w14:paraId="5BD54AC6" w14:textId="1AFBB80E" w:rsidR="004D15A9" w:rsidRPr="00D52A03" w:rsidRDefault="004D15A9" w:rsidP="0073730D">
            <w:pPr>
              <w:spacing w:after="0" w:line="240" w:lineRule="auto"/>
              <w:jc w:val="both"/>
              <w:rPr>
                <w:rFonts w:ascii="Times New Roman" w:eastAsia="Times New Roman" w:hAnsi="Times New Roman" w:cs="Times New Roman"/>
                <w:sz w:val="24"/>
                <w:szCs w:val="24"/>
                <w:lang w:eastAsia="lv-LV"/>
              </w:rPr>
            </w:pPr>
            <w:r w:rsidRPr="00D52A03">
              <w:rPr>
                <w:rFonts w:ascii="Times New Roman" w:eastAsia="Times New Roman" w:hAnsi="Times New Roman" w:cs="Times New Roman"/>
                <w:sz w:val="24"/>
                <w:szCs w:val="24"/>
                <w:lang w:eastAsia="lv-LV"/>
              </w:rPr>
              <w:t>Nav</w:t>
            </w:r>
            <w:r w:rsidR="007047F3" w:rsidRPr="00D52A03">
              <w:rPr>
                <w:rFonts w:ascii="Times New Roman" w:eastAsia="Times New Roman" w:hAnsi="Times New Roman" w:cs="Times New Roman"/>
                <w:sz w:val="24"/>
                <w:szCs w:val="24"/>
                <w:lang w:eastAsia="lv-LV"/>
              </w:rPr>
              <w:t>.</w:t>
            </w:r>
          </w:p>
        </w:tc>
      </w:tr>
    </w:tbl>
    <w:p w14:paraId="1A14CC98" w14:textId="77777777" w:rsidR="005719DE" w:rsidRPr="00D52A03" w:rsidRDefault="005719DE" w:rsidP="005719DE">
      <w:pPr>
        <w:pStyle w:val="StyleRight"/>
        <w:spacing w:after="0"/>
        <w:jc w:val="both"/>
        <w:rPr>
          <w:rFonts w:eastAsiaTheme="minorHAnsi"/>
          <w:sz w:val="24"/>
          <w:szCs w:val="24"/>
        </w:rPr>
      </w:pPr>
    </w:p>
    <w:p w14:paraId="0D5DB2B5" w14:textId="610FE9B3" w:rsidR="00610B49" w:rsidRDefault="00610B49" w:rsidP="00A5008A">
      <w:pPr>
        <w:pStyle w:val="StyleRight"/>
        <w:spacing w:after="0"/>
        <w:ind w:firstLine="0"/>
        <w:jc w:val="both"/>
        <w:rPr>
          <w:sz w:val="24"/>
          <w:szCs w:val="24"/>
        </w:rPr>
      </w:pPr>
      <w:r w:rsidRPr="00D52A03">
        <w:rPr>
          <w:sz w:val="24"/>
          <w:szCs w:val="24"/>
        </w:rPr>
        <w:t>Iesniedzējs:</w:t>
      </w:r>
    </w:p>
    <w:p w14:paraId="3A856A4B" w14:textId="77777777" w:rsidR="006376ED" w:rsidRPr="00D52A03" w:rsidRDefault="006376ED" w:rsidP="00A5008A">
      <w:pPr>
        <w:pStyle w:val="StyleRight"/>
        <w:spacing w:after="0"/>
        <w:ind w:firstLine="0"/>
        <w:jc w:val="both"/>
        <w:rPr>
          <w:sz w:val="24"/>
          <w:szCs w:val="24"/>
        </w:rPr>
      </w:pPr>
    </w:p>
    <w:p w14:paraId="3ABA5D6B" w14:textId="77777777" w:rsidR="00A5008A" w:rsidRPr="00D52A03" w:rsidRDefault="00A5008A" w:rsidP="00A5008A">
      <w:pPr>
        <w:spacing w:after="0" w:line="240" w:lineRule="auto"/>
        <w:rPr>
          <w:rFonts w:ascii="Times New Roman" w:eastAsia="Times New Roman" w:hAnsi="Times New Roman" w:cs="Times New Roman"/>
          <w:sz w:val="24"/>
          <w:szCs w:val="24"/>
        </w:rPr>
      </w:pPr>
      <w:r w:rsidRPr="00D52A03">
        <w:rPr>
          <w:rFonts w:ascii="Times New Roman" w:eastAsia="Times New Roman" w:hAnsi="Times New Roman" w:cs="Times New Roman"/>
          <w:sz w:val="24"/>
          <w:szCs w:val="24"/>
        </w:rPr>
        <w:t xml:space="preserve">Ministru prezidenta biedrs, </w:t>
      </w:r>
    </w:p>
    <w:p w14:paraId="1A9EB813" w14:textId="4212A660" w:rsidR="00A5008A" w:rsidRPr="00D52A03" w:rsidRDefault="00A5008A" w:rsidP="00A5008A">
      <w:pPr>
        <w:spacing w:after="0" w:line="240" w:lineRule="auto"/>
        <w:rPr>
          <w:rFonts w:ascii="Times New Roman" w:eastAsia="Times New Roman" w:hAnsi="Times New Roman" w:cs="Times New Roman"/>
          <w:sz w:val="24"/>
          <w:szCs w:val="24"/>
        </w:rPr>
      </w:pPr>
      <w:r w:rsidRPr="00D52A03">
        <w:rPr>
          <w:rFonts w:ascii="Times New Roman" w:eastAsia="Times New Roman" w:hAnsi="Times New Roman" w:cs="Times New Roman"/>
          <w:sz w:val="24"/>
          <w:szCs w:val="24"/>
        </w:rPr>
        <w:t>tieslietu ministrs</w:t>
      </w:r>
      <w:r w:rsidRPr="00D52A03">
        <w:rPr>
          <w:rFonts w:ascii="Times New Roman" w:eastAsia="Times New Roman" w:hAnsi="Times New Roman" w:cs="Times New Roman"/>
          <w:sz w:val="24"/>
          <w:szCs w:val="24"/>
        </w:rPr>
        <w:tab/>
      </w:r>
      <w:r w:rsidRPr="00D52A03">
        <w:rPr>
          <w:rFonts w:ascii="Times New Roman" w:eastAsia="Times New Roman" w:hAnsi="Times New Roman" w:cs="Times New Roman"/>
          <w:sz w:val="24"/>
          <w:szCs w:val="24"/>
        </w:rPr>
        <w:tab/>
      </w:r>
      <w:r w:rsidRPr="00D52A03">
        <w:rPr>
          <w:rFonts w:ascii="Times New Roman" w:eastAsia="Times New Roman" w:hAnsi="Times New Roman" w:cs="Times New Roman"/>
          <w:sz w:val="24"/>
          <w:szCs w:val="24"/>
        </w:rPr>
        <w:tab/>
      </w:r>
      <w:r w:rsidRPr="00D52A03">
        <w:rPr>
          <w:rFonts w:ascii="Times New Roman" w:eastAsia="Times New Roman" w:hAnsi="Times New Roman" w:cs="Times New Roman"/>
          <w:sz w:val="24"/>
          <w:szCs w:val="24"/>
        </w:rPr>
        <w:tab/>
      </w:r>
      <w:r w:rsidRPr="00D52A03">
        <w:rPr>
          <w:rFonts w:ascii="Times New Roman" w:eastAsia="Times New Roman" w:hAnsi="Times New Roman" w:cs="Times New Roman"/>
          <w:sz w:val="24"/>
          <w:szCs w:val="24"/>
        </w:rPr>
        <w:tab/>
      </w:r>
      <w:r w:rsidRPr="00D52A03">
        <w:rPr>
          <w:rFonts w:ascii="Times New Roman" w:eastAsia="Times New Roman" w:hAnsi="Times New Roman" w:cs="Times New Roman"/>
          <w:sz w:val="24"/>
          <w:szCs w:val="24"/>
        </w:rPr>
        <w:tab/>
      </w:r>
      <w:r w:rsidRPr="00D52A03">
        <w:rPr>
          <w:rFonts w:ascii="Times New Roman" w:eastAsia="Times New Roman" w:hAnsi="Times New Roman" w:cs="Times New Roman"/>
          <w:sz w:val="24"/>
          <w:szCs w:val="24"/>
        </w:rPr>
        <w:tab/>
      </w:r>
      <w:r w:rsidRPr="00D52A03">
        <w:rPr>
          <w:rFonts w:ascii="Times New Roman" w:eastAsia="Times New Roman" w:hAnsi="Times New Roman" w:cs="Times New Roman"/>
          <w:sz w:val="24"/>
          <w:szCs w:val="24"/>
        </w:rPr>
        <w:tab/>
      </w:r>
      <w:r w:rsidRPr="00D52A03">
        <w:rPr>
          <w:rFonts w:ascii="Times New Roman" w:eastAsia="Times New Roman" w:hAnsi="Times New Roman" w:cs="Times New Roman"/>
          <w:sz w:val="24"/>
          <w:szCs w:val="24"/>
        </w:rPr>
        <w:tab/>
        <w:t>J. Bordāns</w:t>
      </w:r>
    </w:p>
    <w:p w14:paraId="63071606" w14:textId="77777777" w:rsidR="004D15A9" w:rsidRPr="00D52A03" w:rsidRDefault="004D15A9" w:rsidP="00DA596D">
      <w:pPr>
        <w:pStyle w:val="StyleRight"/>
        <w:spacing w:after="0"/>
        <w:ind w:firstLine="0"/>
        <w:jc w:val="both"/>
        <w:rPr>
          <w:sz w:val="24"/>
          <w:szCs w:val="24"/>
        </w:rPr>
      </w:pPr>
    </w:p>
    <w:p w14:paraId="21E4DA6B" w14:textId="77777777" w:rsidR="003A2A0B" w:rsidRPr="00D52A03" w:rsidRDefault="003A2A0B" w:rsidP="00DA596D">
      <w:pPr>
        <w:pStyle w:val="StyleRight"/>
        <w:spacing w:after="0"/>
        <w:ind w:firstLine="0"/>
        <w:jc w:val="both"/>
        <w:rPr>
          <w:sz w:val="22"/>
          <w:szCs w:val="22"/>
        </w:rPr>
      </w:pPr>
    </w:p>
    <w:p w14:paraId="1E822777" w14:textId="043A4384" w:rsidR="00E50B43" w:rsidRPr="00D52A03" w:rsidRDefault="00E50B43" w:rsidP="00BC2633">
      <w:pPr>
        <w:spacing w:after="0" w:line="240" w:lineRule="auto"/>
        <w:rPr>
          <w:rFonts w:ascii="Times New Roman" w:hAnsi="Times New Roman" w:cs="Times New Roman"/>
          <w:sz w:val="20"/>
          <w:szCs w:val="20"/>
        </w:rPr>
      </w:pPr>
    </w:p>
    <w:p w14:paraId="4A3CCE02" w14:textId="7AAAEE1C" w:rsidR="00E50B43" w:rsidRPr="00D52A03" w:rsidRDefault="00E50B43" w:rsidP="00BC2633">
      <w:pPr>
        <w:spacing w:after="0" w:line="240" w:lineRule="auto"/>
        <w:rPr>
          <w:rFonts w:ascii="Times New Roman" w:hAnsi="Times New Roman" w:cs="Times New Roman"/>
          <w:sz w:val="20"/>
          <w:szCs w:val="20"/>
        </w:rPr>
      </w:pPr>
      <w:r w:rsidRPr="00D52A03">
        <w:rPr>
          <w:rFonts w:ascii="Times New Roman" w:hAnsi="Times New Roman" w:cs="Times New Roman"/>
          <w:sz w:val="20"/>
          <w:szCs w:val="20"/>
        </w:rPr>
        <w:t>Miļevska 67036813</w:t>
      </w:r>
    </w:p>
    <w:p w14:paraId="24827D7D" w14:textId="7CB08143" w:rsidR="007C66CC" w:rsidRPr="00D52A03" w:rsidRDefault="0033129D" w:rsidP="00DA596D">
      <w:pPr>
        <w:spacing w:after="0" w:line="240" w:lineRule="auto"/>
        <w:rPr>
          <w:rStyle w:val="Hipersaite"/>
          <w:rFonts w:ascii="Times New Roman" w:hAnsi="Times New Roman" w:cs="Times New Roman"/>
          <w:color w:val="0000FF"/>
          <w:sz w:val="20"/>
          <w:szCs w:val="20"/>
        </w:rPr>
      </w:pPr>
      <w:hyperlink r:id="rId9" w:history="1">
        <w:r w:rsidR="00E50B43" w:rsidRPr="00D52A03">
          <w:rPr>
            <w:rStyle w:val="Hipersaite"/>
            <w:rFonts w:ascii="Times New Roman" w:hAnsi="Times New Roman" w:cs="Times New Roman"/>
            <w:color w:val="0000FF"/>
            <w:sz w:val="20"/>
            <w:szCs w:val="20"/>
          </w:rPr>
          <w:t>Kristine.Milevska@tm.gov.lv</w:t>
        </w:r>
      </w:hyperlink>
    </w:p>
    <w:p w14:paraId="1A5BDC61" w14:textId="77777777" w:rsidR="00FC7741" w:rsidRPr="00D52A03" w:rsidRDefault="00FC7741" w:rsidP="00DA596D">
      <w:pPr>
        <w:spacing w:after="0" w:line="240" w:lineRule="auto"/>
        <w:rPr>
          <w:rStyle w:val="Hipersaite"/>
          <w:rFonts w:ascii="Times New Roman" w:hAnsi="Times New Roman" w:cs="Times New Roman"/>
          <w:color w:val="auto"/>
          <w:sz w:val="20"/>
          <w:szCs w:val="20"/>
        </w:rPr>
      </w:pPr>
    </w:p>
    <w:p w14:paraId="564A70E4" w14:textId="00D9CFDF" w:rsidR="00FC7741" w:rsidRPr="00D52A03" w:rsidRDefault="00FC7741" w:rsidP="00DA596D">
      <w:pPr>
        <w:spacing w:after="0" w:line="240" w:lineRule="auto"/>
        <w:rPr>
          <w:rStyle w:val="Hipersaite"/>
          <w:rFonts w:ascii="Times New Roman" w:hAnsi="Times New Roman" w:cs="Times New Roman"/>
          <w:color w:val="auto"/>
          <w:sz w:val="20"/>
          <w:szCs w:val="20"/>
        </w:rPr>
      </w:pPr>
    </w:p>
    <w:p w14:paraId="3B92CC73" w14:textId="77777777" w:rsidR="00FC7741" w:rsidRPr="00D52A03" w:rsidRDefault="00FC7741" w:rsidP="00FC7741">
      <w:pPr>
        <w:spacing w:after="0" w:line="240" w:lineRule="auto"/>
        <w:rPr>
          <w:rFonts w:ascii="Times New Roman" w:hAnsi="Times New Roman" w:cs="Times New Roman"/>
        </w:rPr>
      </w:pPr>
      <w:r w:rsidRPr="00D52A03">
        <w:rPr>
          <w:rFonts w:ascii="Times New Roman" w:hAnsi="Times New Roman" w:cs="Times New Roman"/>
        </w:rPr>
        <w:t>Šlisere 67036839</w:t>
      </w:r>
    </w:p>
    <w:p w14:paraId="09BA2003" w14:textId="77777777" w:rsidR="00FC7741" w:rsidRDefault="0033129D" w:rsidP="00FC7741">
      <w:pPr>
        <w:spacing w:after="0" w:line="240" w:lineRule="auto"/>
        <w:rPr>
          <w:rFonts w:ascii="Times New Roman" w:hAnsi="Times New Roman" w:cs="Times New Roman"/>
        </w:rPr>
      </w:pPr>
      <w:hyperlink r:id="rId10" w:history="1">
        <w:r w:rsidR="00FC7741" w:rsidRPr="00D52A03">
          <w:rPr>
            <w:rStyle w:val="Hipersaite"/>
            <w:rFonts w:ascii="Times New Roman" w:hAnsi="Times New Roman" w:cs="Times New Roman"/>
          </w:rPr>
          <w:t>Lelde.Slisere@tm.gov.lv</w:t>
        </w:r>
      </w:hyperlink>
    </w:p>
    <w:p w14:paraId="3F0846D9" w14:textId="77777777" w:rsidR="00FC7741" w:rsidRPr="00E97C8F" w:rsidRDefault="00FC7741" w:rsidP="00DA596D">
      <w:pPr>
        <w:spacing w:after="0" w:line="240" w:lineRule="auto"/>
        <w:rPr>
          <w:rFonts w:ascii="Times New Roman" w:hAnsi="Times New Roman" w:cs="Times New Roman"/>
          <w:sz w:val="20"/>
          <w:szCs w:val="20"/>
        </w:rPr>
      </w:pPr>
    </w:p>
    <w:sectPr w:rsidR="00FC7741" w:rsidRPr="00E97C8F"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3A2C4" w14:textId="77777777" w:rsidR="00F14B5E" w:rsidRDefault="00F14B5E" w:rsidP="004D15A9">
      <w:pPr>
        <w:spacing w:after="0" w:line="240" w:lineRule="auto"/>
      </w:pPr>
      <w:r>
        <w:separator/>
      </w:r>
    </w:p>
  </w:endnote>
  <w:endnote w:type="continuationSeparator" w:id="0">
    <w:p w14:paraId="4F494E0F" w14:textId="77777777" w:rsidR="00F14B5E" w:rsidRDefault="00F14B5E"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F14B5E" w:rsidRDefault="00F14B5E" w:rsidP="0042645D">
    <w:pPr>
      <w:pStyle w:val="Kjene"/>
      <w:rPr>
        <w:rFonts w:ascii="Times New Roman" w:hAnsi="Times New Roman" w:cs="Times New Roman"/>
        <w:sz w:val="20"/>
        <w:szCs w:val="20"/>
      </w:rPr>
    </w:pPr>
  </w:p>
  <w:p w14:paraId="6A190106" w14:textId="5831F214" w:rsidR="00F14B5E" w:rsidRPr="0042645D" w:rsidRDefault="00F14B5E" w:rsidP="006C3827">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33129D">
      <w:rPr>
        <w:rFonts w:ascii="Times New Roman" w:hAnsi="Times New Roman" w:cs="Times New Roman"/>
        <w:noProof/>
        <w:sz w:val="20"/>
        <w:szCs w:val="20"/>
      </w:rPr>
      <w:t>10</w:t>
    </w:r>
    <w:r>
      <w:rPr>
        <w:rFonts w:ascii="Times New Roman" w:hAnsi="Times New Roman" w:cs="Times New Roman"/>
        <w:noProof/>
        <w:sz w:val="20"/>
        <w:szCs w:val="20"/>
      </w:rPr>
      <w:t>1219_CPL</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33E62985" w:rsidR="00F14B5E" w:rsidRPr="0042645D" w:rsidRDefault="00F14B5E" w:rsidP="0042645D">
    <w:pPr>
      <w:pStyle w:val="Kjene"/>
      <w:rPr>
        <w:rFonts w:ascii="Times New Roman" w:hAnsi="Times New Roman" w:cs="Times New Roman"/>
        <w:sz w:val="20"/>
        <w:szCs w:val="20"/>
      </w:rPr>
    </w:pPr>
    <w:r>
      <w:rPr>
        <w:rFonts w:ascii="Times New Roman" w:hAnsi="Times New Roman" w:cs="Times New Roman"/>
        <w:sz w:val="20"/>
        <w:szCs w:val="20"/>
      </w:rPr>
      <w:t>TMAnot_</w:t>
    </w:r>
    <w:r w:rsidR="0033129D">
      <w:rPr>
        <w:rFonts w:ascii="Times New Roman" w:hAnsi="Times New Roman" w:cs="Times New Roman"/>
        <w:sz w:val="20"/>
        <w:szCs w:val="20"/>
      </w:rPr>
      <w:t>10</w:t>
    </w:r>
    <w:r>
      <w:rPr>
        <w:rFonts w:ascii="Times New Roman" w:hAnsi="Times New Roman" w:cs="Times New Roman"/>
        <w:sz w:val="20"/>
        <w:szCs w:val="20"/>
      </w:rPr>
      <w:t>1219_CPL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E5B9" w14:textId="77777777" w:rsidR="00F14B5E" w:rsidRDefault="00F14B5E" w:rsidP="004D15A9">
      <w:pPr>
        <w:spacing w:after="0" w:line="240" w:lineRule="auto"/>
      </w:pPr>
      <w:r>
        <w:separator/>
      </w:r>
    </w:p>
  </w:footnote>
  <w:footnote w:type="continuationSeparator" w:id="0">
    <w:p w14:paraId="2DE76D65" w14:textId="77777777" w:rsidR="00F14B5E" w:rsidRDefault="00F14B5E" w:rsidP="004D15A9">
      <w:pPr>
        <w:spacing w:after="0" w:line="240" w:lineRule="auto"/>
      </w:pPr>
      <w:r>
        <w:continuationSeparator/>
      </w:r>
    </w:p>
  </w:footnote>
  <w:footnote w:id="1">
    <w:p w14:paraId="55458573" w14:textId="77777777" w:rsidR="00F14B5E" w:rsidRPr="006376ED" w:rsidRDefault="00F14B5E" w:rsidP="001D534C">
      <w:pPr>
        <w:pStyle w:val="Vresteksts"/>
        <w:rPr>
          <w:rFonts w:ascii="Times New Roman" w:hAnsi="Times New Roman" w:cs="Times New Roman"/>
        </w:rPr>
      </w:pPr>
      <w:r w:rsidRPr="006376ED">
        <w:rPr>
          <w:rStyle w:val="Vresatsauce"/>
          <w:rFonts w:ascii="Times New Roman" w:hAnsi="Times New Roman" w:cs="Times New Roman"/>
        </w:rPr>
        <w:footnoteRef/>
      </w:r>
      <w:r w:rsidRPr="006376ED">
        <w:rPr>
          <w:rFonts w:ascii="Times New Roman" w:hAnsi="Times New Roman" w:cs="Times New Roman"/>
        </w:rPr>
        <w:t xml:space="preserve"> Zālīte M. Jāveido komerctiesas godīgas komercprakses un ekonomikas attīstībai. Jurista Vārds, 13.04.2010., Nr. 15 (610).</w:t>
      </w:r>
    </w:p>
  </w:footnote>
  <w:footnote w:id="2">
    <w:p w14:paraId="7982FA3D" w14:textId="260CA3B1" w:rsidR="00F14B5E" w:rsidRDefault="00F14B5E" w:rsidP="0066120D">
      <w:pPr>
        <w:pStyle w:val="Vresteksts"/>
      </w:pPr>
      <w:r>
        <w:rPr>
          <w:rStyle w:val="Vresatsauce"/>
        </w:rPr>
        <w:footnoteRef/>
      </w:r>
      <w:r>
        <w:t xml:space="preserve"> Koncernu likuma darbības efektivitātes problēmas un to iespējamie risinājumi </w:t>
      </w:r>
      <w:hyperlink r:id="rId1" w:history="1">
        <w:r w:rsidRPr="002F4821">
          <w:rPr>
            <w:rStyle w:val="Hipersaite"/>
          </w:rPr>
          <w:t>http://at.gov.lv/files/uploads/files/7_Resursi/Petijumi/lv_documents_petijumi_Koncerni.pdf</w:t>
        </w:r>
      </w:hyperlink>
    </w:p>
  </w:footnote>
  <w:footnote w:id="3">
    <w:p w14:paraId="4312E605" w14:textId="7209A6D7" w:rsidR="00F14B5E" w:rsidRPr="006376ED" w:rsidRDefault="00F14B5E">
      <w:pPr>
        <w:pStyle w:val="Vresteksts"/>
        <w:rPr>
          <w:rFonts w:ascii="Times New Roman" w:hAnsi="Times New Roman" w:cs="Times New Roman"/>
        </w:rPr>
      </w:pPr>
      <w:r w:rsidRPr="006376ED">
        <w:rPr>
          <w:rStyle w:val="Vresatsauce"/>
          <w:rFonts w:ascii="Times New Roman" w:hAnsi="Times New Roman" w:cs="Times New Roman"/>
        </w:rPr>
        <w:footnoteRef/>
      </w:r>
      <w:r w:rsidRPr="006376ED">
        <w:rPr>
          <w:rFonts w:ascii="Times New Roman" w:hAnsi="Times New Roman" w:cs="Times New Roman"/>
        </w:rPr>
        <w:t xml:space="preserve"> </w:t>
      </w:r>
      <w:r w:rsidR="006376ED" w:rsidRPr="006376ED">
        <w:rPr>
          <w:rFonts w:ascii="Times New Roman" w:hAnsi="Times New Roman" w:cs="Times New Roman"/>
        </w:rPr>
        <w:t xml:space="preserve">Eiropas Savienības Tiesas 2018.gada 6.marta spriedums lietā </w:t>
      </w:r>
      <w:r w:rsidR="006376ED" w:rsidRPr="006376ED">
        <w:rPr>
          <w:rFonts w:ascii="Times New Roman" w:hAnsi="Times New Roman" w:cs="Times New Roman"/>
          <w:i/>
          <w:iCs/>
        </w:rPr>
        <w:t>Achmea</w:t>
      </w:r>
      <w:r w:rsidR="006376ED" w:rsidRPr="006376ED">
        <w:rPr>
          <w:rFonts w:ascii="Times New Roman" w:hAnsi="Times New Roman" w:cs="Times New Roman"/>
        </w:rPr>
        <w:t xml:space="preserve"> </w:t>
      </w:r>
      <w:r w:rsidR="006376ED">
        <w:t>s</w:t>
      </w:r>
      <w:hyperlink r:id="rId2" w:history="1">
        <w:r w:rsidR="006376ED" w:rsidRPr="00503B84">
          <w:rPr>
            <w:rStyle w:val="Hipersaite"/>
            <w:rFonts w:ascii="Times New Roman" w:hAnsi="Times New Roman" w:cs="Times New Roman"/>
          </w:rPr>
          <w:t>http://curia.europa.eu/juris/document/document.jsf;jsessionid=4C6852CCE20F7015D6DF9B80E62056B9?text=&amp;docid=199968&amp;pageIndex=0&amp;doclang=lv&amp;mode=lst&amp;dir=&amp;occ=first&amp;part=1&amp;cid=5796335</w:t>
        </w:r>
      </w:hyperlink>
    </w:p>
    <w:p w14:paraId="29898F71" w14:textId="77777777" w:rsidR="006376ED" w:rsidRDefault="006376ED">
      <w:pPr>
        <w:pStyle w:val="Vresteksts"/>
      </w:pPr>
    </w:p>
  </w:footnote>
  <w:footnote w:id="4">
    <w:p w14:paraId="132E1AC4" w14:textId="77777777" w:rsidR="00F14B5E" w:rsidRPr="00967F4E" w:rsidRDefault="00F14B5E" w:rsidP="00B92582">
      <w:pPr>
        <w:pStyle w:val="Vresteksts"/>
        <w:rPr>
          <w:bCs/>
        </w:rPr>
      </w:pPr>
      <w:r w:rsidRPr="00967F4E">
        <w:rPr>
          <w:bCs/>
          <w:vertAlign w:val="superscript"/>
        </w:rPr>
        <w:footnoteRef/>
      </w:r>
      <w:r w:rsidRPr="00967F4E">
        <w:rPr>
          <w:bCs/>
        </w:rPr>
        <w:t xml:space="preserve"> dalībnieku līgumi, pirmpirkuma tiesību realizācija</w:t>
      </w:r>
    </w:p>
  </w:footnote>
  <w:footnote w:id="5">
    <w:p w14:paraId="37F58812" w14:textId="03F9DD31" w:rsidR="00F14B5E" w:rsidRPr="00967F4E" w:rsidRDefault="00F14B5E" w:rsidP="00B92582">
      <w:pPr>
        <w:pStyle w:val="Vresteksts"/>
      </w:pPr>
      <w:r w:rsidRPr="00967F4E">
        <w:rPr>
          <w:bCs/>
          <w:vertAlign w:val="superscript"/>
        </w:rPr>
        <w:footnoteRef/>
      </w:r>
      <w:r w:rsidRPr="00967F4E">
        <w:rPr>
          <w:bCs/>
        </w:rPr>
        <w:t xml:space="preserve"> akcionāru līgumi, pirmpirkuma tiesību realizācija</w:t>
      </w:r>
    </w:p>
  </w:footnote>
  <w:footnote w:id="6">
    <w:p w14:paraId="3FF17B6A" w14:textId="4CBA98DA" w:rsidR="00F14B5E" w:rsidRPr="005E37E3" w:rsidRDefault="00F14B5E" w:rsidP="00E97C8F">
      <w:pPr>
        <w:pStyle w:val="Vresteksts"/>
        <w:jc w:val="both"/>
      </w:pPr>
      <w:r>
        <w:rPr>
          <w:rStyle w:val="Vresatsauce"/>
        </w:rPr>
        <w:footnoteRef/>
      </w:r>
      <w:r>
        <w:t> </w:t>
      </w:r>
      <w:r w:rsidRPr="00E97C8F">
        <w:rPr>
          <w:rFonts w:ascii="Times New Roman" w:hAnsi="Times New Roman" w:cs="Times New Roman"/>
        </w:rPr>
        <w:t>2018.</w:t>
      </w:r>
      <w:r>
        <w:rPr>
          <w:rFonts w:ascii="Times New Roman" w:hAnsi="Times New Roman" w:cs="Times New Roman"/>
        </w:rPr>
        <w:t> </w:t>
      </w:r>
      <w:r w:rsidRPr="00E97C8F">
        <w:rPr>
          <w:rFonts w:ascii="Times New Roman" w:hAnsi="Times New Roman" w:cs="Times New Roman"/>
        </w:rPr>
        <w:t>gada 23.</w:t>
      </w:r>
      <w:r>
        <w:rPr>
          <w:rFonts w:ascii="Times New Roman" w:hAnsi="Times New Roman" w:cs="Times New Roman"/>
        </w:rPr>
        <w:t> </w:t>
      </w:r>
      <w:r w:rsidRPr="00E97C8F">
        <w:rPr>
          <w:rFonts w:ascii="Times New Roman" w:hAnsi="Times New Roman" w:cs="Times New Roman"/>
        </w:rPr>
        <w:t xml:space="preserve">augustā oficiāli publicēts Eiropas Padomes </w:t>
      </w:r>
      <w:r w:rsidRPr="00E97C8F">
        <w:rPr>
          <w:rFonts w:ascii="Times New Roman" w:hAnsi="Times New Roman" w:cs="Times New Roman"/>
          <w:i/>
          <w:iCs/>
        </w:rPr>
        <w:t>Moneyval</w:t>
      </w:r>
      <w:r w:rsidRPr="00E97C8F">
        <w:rPr>
          <w:rFonts w:ascii="Times New Roman" w:hAnsi="Times New Roman" w:cs="Times New Roman"/>
        </w:rPr>
        <w:t xml:space="preserve"> komitejas savstarpējās novērtēšanas 5.</w:t>
      </w:r>
      <w:r>
        <w:rPr>
          <w:rFonts w:ascii="Times New Roman" w:hAnsi="Times New Roman" w:cs="Times New Roman"/>
        </w:rPr>
        <w:t> </w:t>
      </w:r>
      <w:r w:rsidRPr="00E97C8F">
        <w:rPr>
          <w:rFonts w:ascii="Times New Roman" w:hAnsi="Times New Roman" w:cs="Times New Roman"/>
        </w:rPr>
        <w:t>kārtas ziņojums par Latviju, kurā novērtēti valstī īstenotie pasākumi noziedzīgi iegūtu līdzekļu legalizācijas un terorisma finansēšanas novēršanā (</w:t>
      </w:r>
      <w:hyperlink r:id="rId3" w:history="1">
        <w:r w:rsidRPr="005E37E3">
          <w:rPr>
            <w:rStyle w:val="Hipersaite"/>
            <w:rFonts w:ascii="Times New Roman" w:hAnsi="Times New Roman" w:cs="Times New Roman"/>
          </w:rPr>
          <w:t>https://www.fid.gov.lv/images/Downloads/useful/MONEYVAL20188_5th-Round_MER-Latvia_LV.pdf</w:t>
        </w:r>
      </w:hyperlink>
      <w:r>
        <w:rPr>
          <w:rFonts w:ascii="Times New Roman" w:hAnsi="Times New Roman" w:cs="Times New Roman"/>
        </w:rPr>
        <w:t xml:space="preserve"> (skatīts 2019. gada 29.augustā))</w:t>
      </w:r>
    </w:p>
  </w:footnote>
  <w:footnote w:id="7">
    <w:p w14:paraId="0C5731D3" w14:textId="7C11A753" w:rsidR="00F14B5E" w:rsidRPr="005E37E3" w:rsidRDefault="00F14B5E" w:rsidP="00E97C8F">
      <w:pPr>
        <w:pStyle w:val="Vresteksts"/>
        <w:jc w:val="both"/>
        <w:rPr>
          <w:rFonts w:ascii="Times New Roman" w:hAnsi="Times New Roman" w:cs="Times New Roman"/>
        </w:rPr>
      </w:pPr>
      <w:r w:rsidRPr="005E37E3">
        <w:rPr>
          <w:rStyle w:val="Vresatsauce"/>
          <w:rFonts w:ascii="Times New Roman" w:hAnsi="Times New Roman" w:cs="Times New Roman"/>
        </w:rPr>
        <w:footnoteRef/>
      </w:r>
      <w:r>
        <w:rPr>
          <w:rFonts w:ascii="Times New Roman" w:hAnsi="Times New Roman" w:cs="Times New Roman"/>
        </w:rPr>
        <w:t> </w:t>
      </w:r>
      <w:r w:rsidRPr="005E37E3">
        <w:rPr>
          <w:rFonts w:ascii="Times New Roman" w:hAnsi="Times New Roman" w:cs="Times New Roman"/>
        </w:rPr>
        <w:t xml:space="preserve">OECD pētījums "Tiesiskums komercdarbībai un iekļaujošai izaugsmei Latvijā" </w:t>
      </w:r>
      <w:r w:rsidRPr="00E97C8F">
        <w:rPr>
          <w:rFonts w:ascii="Times New Roman" w:hAnsi="Times New Roman" w:cs="Times New Roman"/>
        </w:rPr>
        <w:t>(</w:t>
      </w:r>
      <w:hyperlink r:id="rId4" w:history="1">
        <w:r w:rsidRPr="00E97C8F">
          <w:rPr>
            <w:rStyle w:val="Hipersaite"/>
            <w:rFonts w:ascii="Times New Roman" w:hAnsi="Times New Roman" w:cs="Times New Roman"/>
            <w:color w:val="auto"/>
          </w:rPr>
          <w:t>https://www.ta.gov.lv/LV/eiropas_socialais_fonds_1520/latvijas_tieslietu_sistemas_novertejums_1533/komerctiesibu_regulejums_ekonomiskas_sadarbibas_un_attistibas_organizaciju_organisation_for_economic_co_operation_and_development_oecd__1561</w:t>
        </w:r>
      </w:hyperlink>
      <w:r w:rsidRPr="00E97C8F">
        <w:rPr>
          <w:rFonts w:ascii="Times New Roman" w:hAnsi="Times New Roman" w:cs="Times New Roman"/>
        </w:rPr>
        <w:t xml:space="preserve"> </w:t>
      </w:r>
      <w:r>
        <w:rPr>
          <w:rFonts w:ascii="Times New Roman" w:hAnsi="Times New Roman" w:cs="Times New Roman"/>
        </w:rPr>
        <w:t>(</w:t>
      </w:r>
      <w:r w:rsidRPr="005E37E3">
        <w:rPr>
          <w:rFonts w:ascii="Times New Roman" w:hAnsi="Times New Roman" w:cs="Times New Roman"/>
        </w:rPr>
        <w:t>skatīts 2019.</w:t>
      </w:r>
      <w:r>
        <w:rPr>
          <w:rFonts w:ascii="Times New Roman" w:hAnsi="Times New Roman" w:cs="Times New Roman"/>
        </w:rPr>
        <w:t> </w:t>
      </w:r>
      <w:r w:rsidRPr="005E37E3">
        <w:rPr>
          <w:rFonts w:ascii="Times New Roman" w:hAnsi="Times New Roman" w:cs="Times New Roman"/>
        </w:rPr>
        <w:t xml:space="preserve">gada </w:t>
      </w:r>
      <w:r>
        <w:rPr>
          <w:rFonts w:ascii="Times New Roman" w:hAnsi="Times New Roman" w:cs="Times New Roman"/>
        </w:rPr>
        <w:t>29.augustā</w:t>
      </w:r>
      <w:r w:rsidRPr="005E37E3">
        <w:rPr>
          <w:rFonts w:ascii="Times New Roman" w:hAnsi="Times New Roman" w:cs="Times New Roman"/>
        </w:rPr>
        <w:t>)</w:t>
      </w:r>
      <w:r>
        <w:rPr>
          <w:rFonts w:ascii="Times New Roman" w:hAnsi="Times New Roman" w:cs="Times New Roman"/>
        </w:rPr>
        <w:t>)</w:t>
      </w:r>
    </w:p>
  </w:footnote>
  <w:footnote w:id="8">
    <w:p w14:paraId="30A24627" w14:textId="44AC48FA" w:rsidR="00F14B5E" w:rsidRPr="005E37E3" w:rsidRDefault="00F14B5E" w:rsidP="00E97C8F">
      <w:pPr>
        <w:pStyle w:val="Vresteksts"/>
        <w:jc w:val="both"/>
        <w:rPr>
          <w:rFonts w:ascii="Times New Roman" w:hAnsi="Times New Roman" w:cs="Times New Roman"/>
        </w:rPr>
      </w:pPr>
      <w:r w:rsidRPr="005E37E3">
        <w:rPr>
          <w:rStyle w:val="Vresatsauce"/>
          <w:rFonts w:ascii="Times New Roman" w:hAnsi="Times New Roman" w:cs="Times New Roman"/>
        </w:rPr>
        <w:footnoteRef/>
      </w:r>
      <w:r>
        <w:rPr>
          <w:rFonts w:ascii="Times New Roman" w:hAnsi="Times New Roman" w:cs="Times New Roman"/>
        </w:rPr>
        <w:t> </w:t>
      </w:r>
      <w:r w:rsidRPr="005E37E3">
        <w:rPr>
          <w:rFonts w:ascii="Times New Roman" w:hAnsi="Times New Roman" w:cs="Times New Roman"/>
        </w:rPr>
        <w:t>CEPEJ ziņojums par Latvijas tieslietu sistēmas novērtējumu (</w:t>
      </w:r>
      <w:hyperlink r:id="rId5" w:history="1">
        <w:r w:rsidRPr="00E97C8F">
          <w:rPr>
            <w:rStyle w:val="Hipersaite"/>
            <w:rFonts w:ascii="Times New Roman" w:hAnsi="Times New Roman" w:cs="Times New Roman"/>
            <w:color w:val="auto"/>
          </w:rPr>
          <w:t>https://www.ta.gov.lv/LV/eiropas_socialais_fonds_1520/latvijas_tieslietu_sistemas_novertejums_1533/tiesu_sistemas_darbiba_eiropas_padomes_komisija_tiesu_efektivitatei_european_commission_for_the_effieciency_of_justice_cepej__1575</w:t>
        </w:r>
      </w:hyperlink>
      <w:r w:rsidRPr="005E37E3">
        <w:rPr>
          <w:rFonts w:ascii="Times New Roman" w:hAnsi="Times New Roman" w:cs="Times New Roman"/>
        </w:rPr>
        <w:t xml:space="preserve"> </w:t>
      </w:r>
      <w:r>
        <w:rPr>
          <w:rFonts w:ascii="Times New Roman" w:hAnsi="Times New Roman" w:cs="Times New Roman"/>
        </w:rPr>
        <w:t>(</w:t>
      </w:r>
      <w:r w:rsidRPr="005E37E3">
        <w:rPr>
          <w:rFonts w:ascii="Times New Roman" w:hAnsi="Times New Roman" w:cs="Times New Roman"/>
        </w:rPr>
        <w:t>skatīts 2019.</w:t>
      </w:r>
      <w:r>
        <w:rPr>
          <w:rFonts w:ascii="Times New Roman" w:hAnsi="Times New Roman" w:cs="Times New Roman"/>
        </w:rPr>
        <w:t> </w:t>
      </w:r>
      <w:r w:rsidRPr="005E37E3">
        <w:rPr>
          <w:rFonts w:ascii="Times New Roman" w:hAnsi="Times New Roman" w:cs="Times New Roman"/>
        </w:rPr>
        <w:t xml:space="preserve">gada </w:t>
      </w:r>
      <w:r>
        <w:rPr>
          <w:rFonts w:ascii="Times New Roman" w:hAnsi="Times New Roman" w:cs="Times New Roman"/>
        </w:rPr>
        <w:t>29.augustā</w:t>
      </w:r>
      <w:r w:rsidRPr="005E37E3">
        <w:rPr>
          <w:rFonts w:ascii="Times New Roman" w:hAnsi="Times New Roman" w:cs="Times New Roman"/>
        </w:rPr>
        <w:t>)</w:t>
      </w:r>
      <w:r>
        <w:rPr>
          <w:rFonts w:ascii="Times New Roman" w:hAnsi="Times New Roman" w:cs="Times New Roman"/>
        </w:rPr>
        <w:t>)</w:t>
      </w:r>
    </w:p>
  </w:footnote>
  <w:footnote w:id="9">
    <w:p w14:paraId="72F7F689" w14:textId="4B68BE28" w:rsidR="00F14B5E" w:rsidRPr="005E37E3" w:rsidRDefault="00F14B5E" w:rsidP="00E97C8F">
      <w:pPr>
        <w:pStyle w:val="Vresteksts"/>
        <w:jc w:val="both"/>
        <w:rPr>
          <w:rFonts w:ascii="Times New Roman" w:hAnsi="Times New Roman" w:cs="Times New Roman"/>
        </w:rPr>
      </w:pPr>
      <w:r w:rsidRPr="005E37E3">
        <w:rPr>
          <w:rStyle w:val="Vresatsauce"/>
          <w:rFonts w:ascii="Times New Roman" w:hAnsi="Times New Roman" w:cs="Times New Roman"/>
        </w:rPr>
        <w:footnoteRef/>
      </w:r>
      <w:r>
        <w:rPr>
          <w:rFonts w:ascii="Times New Roman" w:hAnsi="Times New Roman" w:cs="Times New Roman"/>
        </w:rPr>
        <w:t> </w:t>
      </w:r>
      <w:r w:rsidRPr="005E37E3">
        <w:rPr>
          <w:rFonts w:ascii="Times New Roman" w:hAnsi="Times New Roman" w:cs="Times New Roman"/>
        </w:rPr>
        <w:t>Publikācijas par SVF novērtējumā ietverto maksātnespējas regulējuma un komerctiesību regulējuma analīzi (</w:t>
      </w:r>
      <w:hyperlink r:id="rId6" w:history="1">
        <w:r w:rsidRPr="00E97C8F">
          <w:rPr>
            <w:rStyle w:val="Hipersaite"/>
            <w:rFonts w:ascii="Times New Roman" w:hAnsi="Times New Roman" w:cs="Times New Roman"/>
            <w:color w:val="auto"/>
          </w:rPr>
          <w:t>https://www.ta.gov.lv/LV/eiropas_socialais_fonds_1520/latvijas_tieslietu_sistemas_novertejums_1533/maksatnespeja_starptautisko_valutas_fonds_international_monetary_fund_imf__1560</w:t>
        </w:r>
      </w:hyperlink>
      <w:r w:rsidRPr="00E97C8F">
        <w:rPr>
          <w:rFonts w:ascii="Times New Roman" w:hAnsi="Times New Roman" w:cs="Times New Roman"/>
        </w:rPr>
        <w:t xml:space="preserve"> </w:t>
      </w:r>
      <w:r>
        <w:rPr>
          <w:rFonts w:ascii="Times New Roman" w:hAnsi="Times New Roman" w:cs="Times New Roman"/>
        </w:rPr>
        <w:t>(</w:t>
      </w:r>
      <w:r w:rsidRPr="005E37E3">
        <w:rPr>
          <w:rFonts w:ascii="Times New Roman" w:hAnsi="Times New Roman" w:cs="Times New Roman"/>
        </w:rPr>
        <w:t>skatīts 2019.</w:t>
      </w:r>
      <w:r>
        <w:rPr>
          <w:rFonts w:ascii="Times New Roman" w:hAnsi="Times New Roman" w:cs="Times New Roman"/>
        </w:rPr>
        <w:t> </w:t>
      </w:r>
      <w:r w:rsidRPr="005E37E3">
        <w:rPr>
          <w:rFonts w:ascii="Times New Roman" w:hAnsi="Times New Roman" w:cs="Times New Roman"/>
        </w:rPr>
        <w:t xml:space="preserve">gada </w:t>
      </w:r>
      <w:r>
        <w:rPr>
          <w:rFonts w:ascii="Times New Roman" w:hAnsi="Times New Roman" w:cs="Times New Roman"/>
        </w:rPr>
        <w:t>29.augustā</w:t>
      </w:r>
      <w:r w:rsidRPr="005E37E3">
        <w:rPr>
          <w:rFonts w:ascii="Times New Roman" w:hAnsi="Times New Roman" w:cs="Times New Roman"/>
        </w:rPr>
        <w:t xml:space="preserve">)). </w:t>
      </w:r>
    </w:p>
  </w:footnote>
  <w:footnote w:id="10">
    <w:p w14:paraId="5FF8974A" w14:textId="0A557F5E" w:rsidR="00F14B5E" w:rsidRPr="00F32FCF" w:rsidRDefault="00F14B5E" w:rsidP="00E97C8F">
      <w:pPr>
        <w:pStyle w:val="Vresteksts"/>
        <w:jc w:val="both"/>
      </w:pPr>
      <w:r w:rsidRPr="005E37E3">
        <w:rPr>
          <w:rStyle w:val="Vresatsauce"/>
          <w:rFonts w:ascii="Times New Roman" w:hAnsi="Times New Roman" w:cs="Times New Roman"/>
        </w:rPr>
        <w:footnoteRef/>
      </w:r>
      <w:r>
        <w:rPr>
          <w:rFonts w:ascii="Times New Roman" w:hAnsi="Times New Roman" w:cs="Times New Roman"/>
        </w:rPr>
        <w:t> </w:t>
      </w:r>
      <w:r w:rsidRPr="005E37E3">
        <w:rPr>
          <w:rFonts w:ascii="Times New Roman" w:hAnsi="Times New Roman" w:cs="Times New Roman"/>
        </w:rPr>
        <w:t>FICIL nostāja attiecībā uz investīciju aizsardzības jautājumiem (apstiprināta 2019.</w:t>
      </w:r>
      <w:r>
        <w:rPr>
          <w:rFonts w:ascii="Times New Roman" w:hAnsi="Times New Roman" w:cs="Times New Roman"/>
        </w:rPr>
        <w:t> </w:t>
      </w:r>
      <w:r w:rsidRPr="005E37E3">
        <w:rPr>
          <w:rFonts w:ascii="Times New Roman" w:hAnsi="Times New Roman" w:cs="Times New Roman"/>
        </w:rPr>
        <w:t>gada 30.</w:t>
      </w:r>
      <w:r>
        <w:rPr>
          <w:rFonts w:ascii="Times New Roman" w:hAnsi="Times New Roman" w:cs="Times New Roman"/>
        </w:rPr>
        <w:t> </w:t>
      </w:r>
      <w:r w:rsidRPr="005E37E3">
        <w:rPr>
          <w:rFonts w:ascii="Times New Roman" w:hAnsi="Times New Roman" w:cs="Times New Roman"/>
        </w:rPr>
        <w:t xml:space="preserve">maijā) – </w:t>
      </w:r>
      <w:r w:rsidRPr="00E97C8F">
        <w:rPr>
          <w:rFonts w:ascii="Times New Roman" w:hAnsi="Times New Roman" w:cs="Times New Roman"/>
        </w:rPr>
        <w:t>(</w:t>
      </w:r>
      <w:hyperlink r:id="rId7" w:history="1">
        <w:r w:rsidRPr="00E97C8F">
          <w:rPr>
            <w:rStyle w:val="Hipersaite"/>
            <w:rFonts w:ascii="Times New Roman" w:hAnsi="Times New Roman" w:cs="Times New Roman"/>
            <w:color w:val="auto"/>
          </w:rPr>
          <w:t xml:space="preserve">https://www.ficil.lv/wp-content/uploads/2019/05/LAT_FICIL_Investment_PP_2019.pdf </w:t>
        </w:r>
      </w:hyperlink>
      <w:r>
        <w:rPr>
          <w:rStyle w:val="Hipersaite"/>
          <w:rFonts w:ascii="Times New Roman" w:hAnsi="Times New Roman" w:cs="Times New Roman"/>
          <w:color w:val="auto"/>
        </w:rPr>
        <w:t>(</w:t>
      </w:r>
      <w:r w:rsidRPr="005E37E3">
        <w:rPr>
          <w:rFonts w:ascii="Times New Roman" w:hAnsi="Times New Roman" w:cs="Times New Roman"/>
        </w:rPr>
        <w:t>skatīts 2019.</w:t>
      </w:r>
      <w:r>
        <w:rPr>
          <w:rFonts w:ascii="Times New Roman" w:hAnsi="Times New Roman" w:cs="Times New Roman"/>
        </w:rPr>
        <w:t> </w:t>
      </w:r>
      <w:r w:rsidRPr="005E37E3">
        <w:rPr>
          <w:rFonts w:ascii="Times New Roman" w:hAnsi="Times New Roman" w:cs="Times New Roman"/>
        </w:rPr>
        <w:t xml:space="preserve">gada </w:t>
      </w:r>
      <w:r>
        <w:rPr>
          <w:rFonts w:ascii="Times New Roman" w:hAnsi="Times New Roman" w:cs="Times New Roman"/>
        </w:rPr>
        <w:t>29.augustā</w:t>
      </w:r>
      <w:r w:rsidRPr="005E37E3">
        <w:rPr>
          <w:rFonts w:ascii="Times New Roman" w:hAnsi="Times New Roman" w:cs="Times New Roman"/>
        </w:rPr>
        <w:t>)</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F14B5E" w:rsidRPr="004D15A9" w:rsidRDefault="00F14B5E">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F14B5E" w:rsidRDefault="00F14B5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FF"/>
    <w:multiLevelType w:val="hybridMultilevel"/>
    <w:tmpl w:val="2C2AC9F8"/>
    <w:lvl w:ilvl="0" w:tplc="0BBA40D2">
      <w:start w:val="1"/>
      <w:numFmt w:val="decimal"/>
      <w:lvlText w:val="%1."/>
      <w:lvlJc w:val="left"/>
      <w:pPr>
        <w:ind w:left="635" w:hanging="360"/>
      </w:pPr>
      <w:rPr>
        <w:rFonts w:hint="default"/>
        <w:color w:val="000000" w:themeColor="text1"/>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abstractNum w:abstractNumId="1" w15:restartNumberingAfterBreak="0">
    <w:nsid w:val="3C9013FC"/>
    <w:multiLevelType w:val="hybridMultilevel"/>
    <w:tmpl w:val="6A2CB0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5F6DBA"/>
    <w:multiLevelType w:val="hybridMultilevel"/>
    <w:tmpl w:val="A72CE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50D3787"/>
    <w:multiLevelType w:val="hybridMultilevel"/>
    <w:tmpl w:val="B08EC6D8"/>
    <w:lvl w:ilvl="0" w:tplc="2C621644">
      <w:start w:val="1"/>
      <w:numFmt w:val="decimal"/>
      <w:lvlText w:val="%1."/>
      <w:lvlJc w:val="left"/>
      <w:pPr>
        <w:ind w:left="720" w:hanging="360"/>
      </w:pPr>
      <w:rPr>
        <w:rFonts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CE19CE"/>
    <w:multiLevelType w:val="hybridMultilevel"/>
    <w:tmpl w:val="4F747002"/>
    <w:lvl w:ilvl="0" w:tplc="87E865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0131FE8"/>
    <w:multiLevelType w:val="hybridMultilevel"/>
    <w:tmpl w:val="BC0485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FC193A"/>
    <w:multiLevelType w:val="hybridMultilevel"/>
    <w:tmpl w:val="9B2A1814"/>
    <w:lvl w:ilvl="0" w:tplc="CDD8855C">
      <w:start w:val="1"/>
      <w:numFmt w:val="decimal"/>
      <w:lvlText w:val="%1."/>
      <w:lvlJc w:val="left"/>
      <w:pPr>
        <w:ind w:left="1069" w:hanging="360"/>
      </w:pPr>
      <w:rPr>
        <w:rFonts w:eastAsia="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71075836"/>
    <w:multiLevelType w:val="hybridMultilevel"/>
    <w:tmpl w:val="C6625328"/>
    <w:lvl w:ilvl="0" w:tplc="6CBABD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0D2012"/>
    <w:multiLevelType w:val="hybridMultilevel"/>
    <w:tmpl w:val="E8BE76A4"/>
    <w:lvl w:ilvl="0" w:tplc="2E863D66">
      <w:start w:val="1"/>
      <w:numFmt w:val="decimal"/>
      <w:lvlText w:val="%1."/>
      <w:lvlJc w:val="left"/>
      <w:pPr>
        <w:ind w:left="635" w:hanging="360"/>
      </w:pPr>
      <w:rPr>
        <w:rFonts w:eastAsia="Times New Roman" w:hint="default"/>
        <w:color w:val="000000" w:themeColor="text1"/>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num w:numId="1">
    <w:abstractNumId w:val="6"/>
  </w:num>
  <w:num w:numId="2">
    <w:abstractNumId w:val="5"/>
  </w:num>
  <w:num w:numId="3">
    <w:abstractNumId w:val="8"/>
  </w:num>
  <w:num w:numId="4">
    <w:abstractNumId w:val="9"/>
  </w:num>
  <w:num w:numId="5">
    <w:abstractNumId w:val="3"/>
  </w:num>
  <w:num w:numId="6">
    <w:abstractNumId w:val="0"/>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lv-LV" w:vendorID="71" w:dllVersion="512" w:checkStyle="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2806"/>
    <w:rsid w:val="00003085"/>
    <w:rsid w:val="00005F1C"/>
    <w:rsid w:val="00014536"/>
    <w:rsid w:val="00017601"/>
    <w:rsid w:val="000229C7"/>
    <w:rsid w:val="00026CD8"/>
    <w:rsid w:val="0002757F"/>
    <w:rsid w:val="0003106A"/>
    <w:rsid w:val="00031256"/>
    <w:rsid w:val="00040F48"/>
    <w:rsid w:val="00044A46"/>
    <w:rsid w:val="000478EC"/>
    <w:rsid w:val="00052E62"/>
    <w:rsid w:val="0006053F"/>
    <w:rsid w:val="00061B56"/>
    <w:rsid w:val="000676B0"/>
    <w:rsid w:val="00071FA0"/>
    <w:rsid w:val="00075813"/>
    <w:rsid w:val="00084207"/>
    <w:rsid w:val="000853CF"/>
    <w:rsid w:val="00085EDC"/>
    <w:rsid w:val="000904AC"/>
    <w:rsid w:val="00091FFD"/>
    <w:rsid w:val="0009503B"/>
    <w:rsid w:val="000966C5"/>
    <w:rsid w:val="000A4C65"/>
    <w:rsid w:val="000B2CB7"/>
    <w:rsid w:val="000B7282"/>
    <w:rsid w:val="000C7A6A"/>
    <w:rsid w:val="000D52B6"/>
    <w:rsid w:val="000E3461"/>
    <w:rsid w:val="000E42FD"/>
    <w:rsid w:val="000F0436"/>
    <w:rsid w:val="000F665D"/>
    <w:rsid w:val="00101CD5"/>
    <w:rsid w:val="00106594"/>
    <w:rsid w:val="00120AC9"/>
    <w:rsid w:val="0013140B"/>
    <w:rsid w:val="00131BCD"/>
    <w:rsid w:val="00133773"/>
    <w:rsid w:val="00133E57"/>
    <w:rsid w:val="00136AC0"/>
    <w:rsid w:val="00142C6D"/>
    <w:rsid w:val="00152FD4"/>
    <w:rsid w:val="001605B1"/>
    <w:rsid w:val="001663F1"/>
    <w:rsid w:val="0016658D"/>
    <w:rsid w:val="00176019"/>
    <w:rsid w:val="00184D97"/>
    <w:rsid w:val="0019570F"/>
    <w:rsid w:val="001A25F7"/>
    <w:rsid w:val="001A684E"/>
    <w:rsid w:val="001C5969"/>
    <w:rsid w:val="001D1BBE"/>
    <w:rsid w:val="001D534C"/>
    <w:rsid w:val="001E39E3"/>
    <w:rsid w:val="001E7877"/>
    <w:rsid w:val="001F5406"/>
    <w:rsid w:val="001F68D7"/>
    <w:rsid w:val="00200785"/>
    <w:rsid w:val="002047A9"/>
    <w:rsid w:val="00220682"/>
    <w:rsid w:val="002342F0"/>
    <w:rsid w:val="002379E2"/>
    <w:rsid w:val="00242964"/>
    <w:rsid w:val="002457F7"/>
    <w:rsid w:val="00245C28"/>
    <w:rsid w:val="00250C28"/>
    <w:rsid w:val="00251998"/>
    <w:rsid w:val="00263E02"/>
    <w:rsid w:val="00264A5A"/>
    <w:rsid w:val="0027477F"/>
    <w:rsid w:val="00281515"/>
    <w:rsid w:val="002824C2"/>
    <w:rsid w:val="002848FC"/>
    <w:rsid w:val="00296C72"/>
    <w:rsid w:val="002A5B2A"/>
    <w:rsid w:val="002B3ADC"/>
    <w:rsid w:val="002C1E85"/>
    <w:rsid w:val="002C6315"/>
    <w:rsid w:val="002D43A1"/>
    <w:rsid w:val="002D7BB2"/>
    <w:rsid w:val="002E70EC"/>
    <w:rsid w:val="002F2C80"/>
    <w:rsid w:val="002F3504"/>
    <w:rsid w:val="002F4EC5"/>
    <w:rsid w:val="0030382F"/>
    <w:rsid w:val="00305EC9"/>
    <w:rsid w:val="00311C5C"/>
    <w:rsid w:val="00312E51"/>
    <w:rsid w:val="0031637D"/>
    <w:rsid w:val="00320185"/>
    <w:rsid w:val="0033129D"/>
    <w:rsid w:val="003542C7"/>
    <w:rsid w:val="00354F81"/>
    <w:rsid w:val="00356F63"/>
    <w:rsid w:val="003674FB"/>
    <w:rsid w:val="0036751A"/>
    <w:rsid w:val="00367C63"/>
    <w:rsid w:val="003803BC"/>
    <w:rsid w:val="00384EDA"/>
    <w:rsid w:val="003922B0"/>
    <w:rsid w:val="0039635D"/>
    <w:rsid w:val="003A2A0B"/>
    <w:rsid w:val="003A4959"/>
    <w:rsid w:val="003A5726"/>
    <w:rsid w:val="003A6338"/>
    <w:rsid w:val="003E1648"/>
    <w:rsid w:val="003F126B"/>
    <w:rsid w:val="003F3244"/>
    <w:rsid w:val="003F442D"/>
    <w:rsid w:val="003F7D5C"/>
    <w:rsid w:val="004022D2"/>
    <w:rsid w:val="004123AC"/>
    <w:rsid w:val="00424163"/>
    <w:rsid w:val="0042645D"/>
    <w:rsid w:val="0043541A"/>
    <w:rsid w:val="0044330D"/>
    <w:rsid w:val="00453CCC"/>
    <w:rsid w:val="00461275"/>
    <w:rsid w:val="00463769"/>
    <w:rsid w:val="00471417"/>
    <w:rsid w:val="004729C3"/>
    <w:rsid w:val="0047382B"/>
    <w:rsid w:val="00476189"/>
    <w:rsid w:val="00483493"/>
    <w:rsid w:val="00484760"/>
    <w:rsid w:val="00486210"/>
    <w:rsid w:val="004879F7"/>
    <w:rsid w:val="00491357"/>
    <w:rsid w:val="00492985"/>
    <w:rsid w:val="0049344E"/>
    <w:rsid w:val="00494D84"/>
    <w:rsid w:val="004A21B4"/>
    <w:rsid w:val="004A4664"/>
    <w:rsid w:val="004C0D3E"/>
    <w:rsid w:val="004C3B12"/>
    <w:rsid w:val="004C4875"/>
    <w:rsid w:val="004D15A9"/>
    <w:rsid w:val="004D6115"/>
    <w:rsid w:val="004D6838"/>
    <w:rsid w:val="004F3A25"/>
    <w:rsid w:val="00504BE1"/>
    <w:rsid w:val="00506D56"/>
    <w:rsid w:val="00510DF7"/>
    <w:rsid w:val="00515CEE"/>
    <w:rsid w:val="0052033D"/>
    <w:rsid w:val="005232D3"/>
    <w:rsid w:val="00523419"/>
    <w:rsid w:val="00523451"/>
    <w:rsid w:val="00545A23"/>
    <w:rsid w:val="00551ECE"/>
    <w:rsid w:val="00555F45"/>
    <w:rsid w:val="0056459F"/>
    <w:rsid w:val="00565FDF"/>
    <w:rsid w:val="005719DE"/>
    <w:rsid w:val="00571F4C"/>
    <w:rsid w:val="00572D69"/>
    <w:rsid w:val="0057693F"/>
    <w:rsid w:val="00587A72"/>
    <w:rsid w:val="0059057E"/>
    <w:rsid w:val="005C0266"/>
    <w:rsid w:val="005C2DDA"/>
    <w:rsid w:val="005C6B7F"/>
    <w:rsid w:val="005C7139"/>
    <w:rsid w:val="005D46F2"/>
    <w:rsid w:val="005D4E8A"/>
    <w:rsid w:val="005E37E3"/>
    <w:rsid w:val="005E3C32"/>
    <w:rsid w:val="005E4F99"/>
    <w:rsid w:val="005E5384"/>
    <w:rsid w:val="00610B49"/>
    <w:rsid w:val="00612A92"/>
    <w:rsid w:val="0061337F"/>
    <w:rsid w:val="00623574"/>
    <w:rsid w:val="006301A4"/>
    <w:rsid w:val="00633CB1"/>
    <w:rsid w:val="006376ED"/>
    <w:rsid w:val="006436A1"/>
    <w:rsid w:val="00654C98"/>
    <w:rsid w:val="0066120D"/>
    <w:rsid w:val="0066248F"/>
    <w:rsid w:val="006641E1"/>
    <w:rsid w:val="00676236"/>
    <w:rsid w:val="00676EB0"/>
    <w:rsid w:val="00682B13"/>
    <w:rsid w:val="00684208"/>
    <w:rsid w:val="006862EB"/>
    <w:rsid w:val="00696656"/>
    <w:rsid w:val="006A1F8C"/>
    <w:rsid w:val="006A41F4"/>
    <w:rsid w:val="006C3827"/>
    <w:rsid w:val="006C4297"/>
    <w:rsid w:val="006E07A1"/>
    <w:rsid w:val="006E25FD"/>
    <w:rsid w:val="0070102C"/>
    <w:rsid w:val="007047F3"/>
    <w:rsid w:val="007073FE"/>
    <w:rsid w:val="00714CD7"/>
    <w:rsid w:val="0071597B"/>
    <w:rsid w:val="0072179F"/>
    <w:rsid w:val="00726BA4"/>
    <w:rsid w:val="0073730D"/>
    <w:rsid w:val="007411FA"/>
    <w:rsid w:val="0074572A"/>
    <w:rsid w:val="00757B5F"/>
    <w:rsid w:val="0076658F"/>
    <w:rsid w:val="0077589F"/>
    <w:rsid w:val="00777377"/>
    <w:rsid w:val="00794B59"/>
    <w:rsid w:val="007951F9"/>
    <w:rsid w:val="00795375"/>
    <w:rsid w:val="007A6DF5"/>
    <w:rsid w:val="007C66CC"/>
    <w:rsid w:val="007C76FD"/>
    <w:rsid w:val="007D31CC"/>
    <w:rsid w:val="007D44EF"/>
    <w:rsid w:val="007D4C10"/>
    <w:rsid w:val="007E231C"/>
    <w:rsid w:val="007E2C43"/>
    <w:rsid w:val="007E3924"/>
    <w:rsid w:val="00810E09"/>
    <w:rsid w:val="0081203F"/>
    <w:rsid w:val="0081237C"/>
    <w:rsid w:val="008220AE"/>
    <w:rsid w:val="00827A15"/>
    <w:rsid w:val="00831AE8"/>
    <w:rsid w:val="00841836"/>
    <w:rsid w:val="0084558F"/>
    <w:rsid w:val="008557BE"/>
    <w:rsid w:val="00856A06"/>
    <w:rsid w:val="00863EA6"/>
    <w:rsid w:val="0086545E"/>
    <w:rsid w:val="008711B8"/>
    <w:rsid w:val="008826E9"/>
    <w:rsid w:val="008A20C8"/>
    <w:rsid w:val="008B32AA"/>
    <w:rsid w:val="008B3ED3"/>
    <w:rsid w:val="008B4D14"/>
    <w:rsid w:val="008B67E4"/>
    <w:rsid w:val="008C079F"/>
    <w:rsid w:val="008C4C08"/>
    <w:rsid w:val="008D3076"/>
    <w:rsid w:val="008D4733"/>
    <w:rsid w:val="008D4A4C"/>
    <w:rsid w:val="008D5E8D"/>
    <w:rsid w:val="008E3C68"/>
    <w:rsid w:val="008E4E93"/>
    <w:rsid w:val="008E54F9"/>
    <w:rsid w:val="008E78B2"/>
    <w:rsid w:val="008E7B14"/>
    <w:rsid w:val="008F1335"/>
    <w:rsid w:val="008F6C20"/>
    <w:rsid w:val="009160CE"/>
    <w:rsid w:val="00926383"/>
    <w:rsid w:val="009277AC"/>
    <w:rsid w:val="00941557"/>
    <w:rsid w:val="009520C9"/>
    <w:rsid w:val="00964EA7"/>
    <w:rsid w:val="00967CC8"/>
    <w:rsid w:val="00967F4E"/>
    <w:rsid w:val="00970003"/>
    <w:rsid w:val="0097690A"/>
    <w:rsid w:val="00982296"/>
    <w:rsid w:val="0099242F"/>
    <w:rsid w:val="00997954"/>
    <w:rsid w:val="009A5E0F"/>
    <w:rsid w:val="009A709C"/>
    <w:rsid w:val="009A7FE1"/>
    <w:rsid w:val="009C5622"/>
    <w:rsid w:val="009C68A5"/>
    <w:rsid w:val="009E4BF8"/>
    <w:rsid w:val="009E4D6B"/>
    <w:rsid w:val="009F138F"/>
    <w:rsid w:val="00A005F6"/>
    <w:rsid w:val="00A011EC"/>
    <w:rsid w:val="00A052B5"/>
    <w:rsid w:val="00A13CE6"/>
    <w:rsid w:val="00A1552F"/>
    <w:rsid w:val="00A16001"/>
    <w:rsid w:val="00A17BF7"/>
    <w:rsid w:val="00A33F72"/>
    <w:rsid w:val="00A34B99"/>
    <w:rsid w:val="00A364A5"/>
    <w:rsid w:val="00A43A86"/>
    <w:rsid w:val="00A5008A"/>
    <w:rsid w:val="00A5099B"/>
    <w:rsid w:val="00A63D02"/>
    <w:rsid w:val="00A668D6"/>
    <w:rsid w:val="00A6710F"/>
    <w:rsid w:val="00A72462"/>
    <w:rsid w:val="00A740E1"/>
    <w:rsid w:val="00A848F1"/>
    <w:rsid w:val="00A87B72"/>
    <w:rsid w:val="00A911E2"/>
    <w:rsid w:val="00A95D00"/>
    <w:rsid w:val="00A96C4D"/>
    <w:rsid w:val="00AA2A7A"/>
    <w:rsid w:val="00AB09E5"/>
    <w:rsid w:val="00AB6562"/>
    <w:rsid w:val="00AB6D5A"/>
    <w:rsid w:val="00AC637A"/>
    <w:rsid w:val="00AD7D81"/>
    <w:rsid w:val="00AE25E1"/>
    <w:rsid w:val="00AE5C67"/>
    <w:rsid w:val="00AF496F"/>
    <w:rsid w:val="00AF63A8"/>
    <w:rsid w:val="00B12CA9"/>
    <w:rsid w:val="00B171D9"/>
    <w:rsid w:val="00B204BD"/>
    <w:rsid w:val="00B22BAA"/>
    <w:rsid w:val="00B33973"/>
    <w:rsid w:val="00B424A5"/>
    <w:rsid w:val="00B6414B"/>
    <w:rsid w:val="00B74889"/>
    <w:rsid w:val="00B80982"/>
    <w:rsid w:val="00B81C6E"/>
    <w:rsid w:val="00B83C87"/>
    <w:rsid w:val="00B84E48"/>
    <w:rsid w:val="00B910E2"/>
    <w:rsid w:val="00B92582"/>
    <w:rsid w:val="00BB1F46"/>
    <w:rsid w:val="00BB65A5"/>
    <w:rsid w:val="00BC2633"/>
    <w:rsid w:val="00BC4E93"/>
    <w:rsid w:val="00BC658A"/>
    <w:rsid w:val="00BC7948"/>
    <w:rsid w:val="00BD03A6"/>
    <w:rsid w:val="00BF2B3F"/>
    <w:rsid w:val="00BF327D"/>
    <w:rsid w:val="00BF3A34"/>
    <w:rsid w:val="00C01C70"/>
    <w:rsid w:val="00C06EB4"/>
    <w:rsid w:val="00C11A96"/>
    <w:rsid w:val="00C200AA"/>
    <w:rsid w:val="00C443A4"/>
    <w:rsid w:val="00C47CE8"/>
    <w:rsid w:val="00C47EAB"/>
    <w:rsid w:val="00C505FE"/>
    <w:rsid w:val="00C5221B"/>
    <w:rsid w:val="00C548D3"/>
    <w:rsid w:val="00C563AC"/>
    <w:rsid w:val="00C6211A"/>
    <w:rsid w:val="00C6273E"/>
    <w:rsid w:val="00C652C3"/>
    <w:rsid w:val="00C7332C"/>
    <w:rsid w:val="00C736C8"/>
    <w:rsid w:val="00CA61CD"/>
    <w:rsid w:val="00CC02BE"/>
    <w:rsid w:val="00CC06D8"/>
    <w:rsid w:val="00CC289D"/>
    <w:rsid w:val="00CC7C9D"/>
    <w:rsid w:val="00CE129B"/>
    <w:rsid w:val="00CF670A"/>
    <w:rsid w:val="00CF7335"/>
    <w:rsid w:val="00D01B06"/>
    <w:rsid w:val="00D1107A"/>
    <w:rsid w:val="00D14A11"/>
    <w:rsid w:val="00D313D5"/>
    <w:rsid w:val="00D34BCC"/>
    <w:rsid w:val="00D35CCC"/>
    <w:rsid w:val="00D36918"/>
    <w:rsid w:val="00D4320F"/>
    <w:rsid w:val="00D52A03"/>
    <w:rsid w:val="00D77571"/>
    <w:rsid w:val="00D864D7"/>
    <w:rsid w:val="00D873AF"/>
    <w:rsid w:val="00DA1E44"/>
    <w:rsid w:val="00DA326E"/>
    <w:rsid w:val="00DA52AC"/>
    <w:rsid w:val="00DA596D"/>
    <w:rsid w:val="00DB7C01"/>
    <w:rsid w:val="00DC05FF"/>
    <w:rsid w:val="00DC327C"/>
    <w:rsid w:val="00DD5843"/>
    <w:rsid w:val="00DE2714"/>
    <w:rsid w:val="00DE78C6"/>
    <w:rsid w:val="00DF2149"/>
    <w:rsid w:val="00DF216B"/>
    <w:rsid w:val="00E003C6"/>
    <w:rsid w:val="00E2784F"/>
    <w:rsid w:val="00E32863"/>
    <w:rsid w:val="00E3327D"/>
    <w:rsid w:val="00E34FCE"/>
    <w:rsid w:val="00E40A30"/>
    <w:rsid w:val="00E43CBE"/>
    <w:rsid w:val="00E44C94"/>
    <w:rsid w:val="00E45ECD"/>
    <w:rsid w:val="00E50B43"/>
    <w:rsid w:val="00E5313F"/>
    <w:rsid w:val="00E557CC"/>
    <w:rsid w:val="00E5586E"/>
    <w:rsid w:val="00E55CB2"/>
    <w:rsid w:val="00E56878"/>
    <w:rsid w:val="00E757A8"/>
    <w:rsid w:val="00E75DFD"/>
    <w:rsid w:val="00E81661"/>
    <w:rsid w:val="00E846FC"/>
    <w:rsid w:val="00E9181C"/>
    <w:rsid w:val="00E963A2"/>
    <w:rsid w:val="00E97C76"/>
    <w:rsid w:val="00E97C8F"/>
    <w:rsid w:val="00EA08EB"/>
    <w:rsid w:val="00EA2480"/>
    <w:rsid w:val="00EB4830"/>
    <w:rsid w:val="00EC0A2E"/>
    <w:rsid w:val="00ED1033"/>
    <w:rsid w:val="00ED50F3"/>
    <w:rsid w:val="00ED573E"/>
    <w:rsid w:val="00EE3E7C"/>
    <w:rsid w:val="00EE7ED9"/>
    <w:rsid w:val="00EF1698"/>
    <w:rsid w:val="00EF3D0A"/>
    <w:rsid w:val="00EF5863"/>
    <w:rsid w:val="00EF5DFC"/>
    <w:rsid w:val="00F016E7"/>
    <w:rsid w:val="00F108A7"/>
    <w:rsid w:val="00F130B6"/>
    <w:rsid w:val="00F1458C"/>
    <w:rsid w:val="00F14B5E"/>
    <w:rsid w:val="00F32FCF"/>
    <w:rsid w:val="00F344E5"/>
    <w:rsid w:val="00F41EF2"/>
    <w:rsid w:val="00F4263A"/>
    <w:rsid w:val="00F42AF9"/>
    <w:rsid w:val="00F44CDA"/>
    <w:rsid w:val="00F7059C"/>
    <w:rsid w:val="00F752B6"/>
    <w:rsid w:val="00F81219"/>
    <w:rsid w:val="00F82B77"/>
    <w:rsid w:val="00F878DE"/>
    <w:rsid w:val="00F91583"/>
    <w:rsid w:val="00F953C0"/>
    <w:rsid w:val="00F9616A"/>
    <w:rsid w:val="00FA377F"/>
    <w:rsid w:val="00FB2959"/>
    <w:rsid w:val="00FB5FA4"/>
    <w:rsid w:val="00FC27FD"/>
    <w:rsid w:val="00FC7741"/>
    <w:rsid w:val="00FD1904"/>
    <w:rsid w:val="00FD26F9"/>
    <w:rsid w:val="00FD3830"/>
    <w:rsid w:val="00FE0A1F"/>
    <w:rsid w:val="00FE15DD"/>
    <w:rsid w:val="00FE3A9A"/>
    <w:rsid w:val="00FE4FB1"/>
    <w:rsid w:val="00FF3ED4"/>
    <w:rsid w:val="00FF4741"/>
    <w:rsid w:val="00FF4A43"/>
    <w:rsid w:val="00FF56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042E54"/>
  <w15:docId w15:val="{787610A6-9714-43C3-A9A8-8E6F8315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semiHidden/>
    <w:unhideWhenUsed/>
    <w:rsid w:val="00FF4A4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F4A43"/>
    <w:rPr>
      <w:sz w:val="20"/>
      <w:szCs w:val="20"/>
    </w:rPr>
  </w:style>
  <w:style w:type="character" w:styleId="Vresatsauce">
    <w:name w:val="footnote reference"/>
    <w:aliases w:val="Footnotes refss,Fussnota,Footnote symbol,Footnote reference number,Times 10 Point,Exposant 3 Point,EN Footnote Reference,note TESI,Footnote,Footnote Reference Superscript"/>
    <w:basedOn w:val="Noklusjumarindkopasfonts"/>
    <w:uiPriority w:val="99"/>
    <w:unhideWhenUsed/>
    <w:rsid w:val="00FF4A43"/>
    <w:rPr>
      <w:vertAlign w:val="superscript"/>
    </w:rPr>
  </w:style>
  <w:style w:type="character" w:styleId="Neatrisintapieminana">
    <w:name w:val="Unresolved Mention"/>
    <w:basedOn w:val="Noklusjumarindkopasfonts"/>
    <w:uiPriority w:val="99"/>
    <w:semiHidden/>
    <w:unhideWhenUsed/>
    <w:rsid w:val="00C5221B"/>
    <w:rPr>
      <w:color w:val="605E5C"/>
      <w:shd w:val="clear" w:color="auto" w:fill="E1DFDD"/>
    </w:rPr>
  </w:style>
  <w:style w:type="paragraph" w:customStyle="1" w:styleId="liknoteik1">
    <w:name w:val="lik_noteik1"/>
    <w:basedOn w:val="Parasts"/>
    <w:rsid w:val="00A052B5"/>
    <w:pPr>
      <w:spacing w:before="100" w:beforeAutospacing="1" w:after="100" w:afterAutospacing="1" w:line="360" w:lineRule="auto"/>
      <w:ind w:firstLine="300"/>
      <w:jc w:val="right"/>
    </w:pPr>
    <w:rPr>
      <w:rFonts w:ascii="Times New Roman" w:eastAsia="Times New Roman" w:hAnsi="Times New Roman" w:cs="Times New Roman"/>
      <w:b/>
      <w:bCs/>
      <w:color w:val="414142"/>
      <w:sz w:val="20"/>
      <w:szCs w:val="20"/>
      <w:lang w:eastAsia="lv-LV"/>
    </w:rPr>
  </w:style>
  <w:style w:type="paragraph" w:customStyle="1" w:styleId="likdat1">
    <w:name w:val="lik_dat1"/>
    <w:basedOn w:val="Parasts"/>
    <w:rsid w:val="00A052B5"/>
    <w:pPr>
      <w:spacing w:before="100" w:beforeAutospacing="1" w:after="100" w:afterAutospacing="1" w:line="360" w:lineRule="auto"/>
      <w:ind w:firstLine="300"/>
      <w:jc w:val="right"/>
    </w:pPr>
    <w:rPr>
      <w:rFonts w:ascii="Times New Roman" w:eastAsia="Times New Roman" w:hAnsi="Times New Roman" w:cs="Times New Roman"/>
      <w:color w:val="414142"/>
      <w:sz w:val="20"/>
      <w:szCs w:val="20"/>
      <w:lang w:eastAsia="lv-LV"/>
    </w:rPr>
  </w:style>
  <w:style w:type="paragraph" w:customStyle="1" w:styleId="tv2132">
    <w:name w:val="tv2132"/>
    <w:basedOn w:val="Parasts"/>
    <w:rsid w:val="00982296"/>
    <w:pPr>
      <w:spacing w:after="0" w:line="360" w:lineRule="auto"/>
      <w:ind w:firstLine="300"/>
    </w:pPr>
    <w:rPr>
      <w:rFonts w:ascii="Times New Roman" w:eastAsia="Times New Roman" w:hAnsi="Times New Roman" w:cs="Times New Roman"/>
      <w:color w:val="414142"/>
      <w:sz w:val="20"/>
      <w:szCs w:val="20"/>
      <w:lang w:eastAsia="lv-LV"/>
    </w:rPr>
  </w:style>
  <w:style w:type="paragraph" w:styleId="Paraststmeklis">
    <w:name w:val="Normal (Web)"/>
    <w:basedOn w:val="Parasts"/>
    <w:uiPriority w:val="99"/>
    <w:unhideWhenUsed/>
    <w:rsid w:val="001D53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CF670A"/>
    <w:pPr>
      <w:spacing w:after="0" w:line="240" w:lineRule="auto"/>
    </w:pPr>
    <w:rPr>
      <w:rFonts w:ascii="Calibri" w:eastAsia="Calibri" w:hAnsi="Calibri" w:cs="Times New Roman"/>
      <w:lang w:val="en-US"/>
    </w:rPr>
  </w:style>
  <w:style w:type="table" w:styleId="Reatabula">
    <w:name w:val="Table Grid"/>
    <w:basedOn w:val="Parastatabula"/>
    <w:uiPriority w:val="59"/>
    <w:rsid w:val="00B92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B12CA9"/>
    <w:rPr>
      <w:shd w:val="clear" w:color="auto" w:fill="FFFFFF"/>
    </w:rPr>
  </w:style>
  <w:style w:type="paragraph" w:customStyle="1" w:styleId="Bodytext20">
    <w:name w:val="Body text (2)"/>
    <w:basedOn w:val="Parasts"/>
    <w:link w:val="Bodytext2"/>
    <w:rsid w:val="00B12CA9"/>
    <w:pPr>
      <w:widowControl w:val="0"/>
      <w:shd w:val="clear" w:color="auto" w:fill="FFFFFF"/>
      <w:spacing w:before="400" w:after="0" w:line="244" w:lineRule="exact"/>
      <w:ind w:hanging="480"/>
      <w:jc w:val="center"/>
    </w:pPr>
  </w:style>
  <w:style w:type="paragraph" w:styleId="Nosaukums">
    <w:name w:val="Title"/>
    <w:basedOn w:val="Parasts"/>
    <w:next w:val="Parasts"/>
    <w:link w:val="NosaukumsRakstz"/>
    <w:uiPriority w:val="10"/>
    <w:qFormat/>
    <w:rsid w:val="00B12CA9"/>
    <w:pPr>
      <w:keepNext/>
      <w:keepLines/>
      <w:widowControl w:val="0"/>
      <w:spacing w:after="0"/>
      <w:ind w:left="180"/>
      <w:jc w:val="center"/>
      <w:outlineLvl w:val="0"/>
    </w:pPr>
    <w:rPr>
      <w:rFonts w:ascii="Times New Roman" w:eastAsia="Times New Roman" w:hAnsi="Times New Roman" w:cs="Times New Roman"/>
      <w:b/>
      <w:color w:val="000000"/>
      <w:sz w:val="24"/>
      <w:szCs w:val="24"/>
      <w:lang w:bidi="en-US"/>
    </w:rPr>
  </w:style>
  <w:style w:type="character" w:customStyle="1" w:styleId="NosaukumsRakstz">
    <w:name w:val="Nosaukums Rakstz."/>
    <w:basedOn w:val="Noklusjumarindkopasfonts"/>
    <w:link w:val="Nosaukums"/>
    <w:uiPriority w:val="10"/>
    <w:rsid w:val="00B12CA9"/>
    <w:rPr>
      <w:rFonts w:ascii="Times New Roman" w:eastAsia="Times New Roman" w:hAnsi="Times New Roman" w:cs="Times New Roman"/>
      <w:b/>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6196">
      <w:bodyDiv w:val="1"/>
      <w:marLeft w:val="0"/>
      <w:marRight w:val="0"/>
      <w:marTop w:val="0"/>
      <w:marBottom w:val="0"/>
      <w:divBdr>
        <w:top w:val="none" w:sz="0" w:space="0" w:color="auto"/>
        <w:left w:val="none" w:sz="0" w:space="0" w:color="auto"/>
        <w:bottom w:val="none" w:sz="0" w:space="0" w:color="auto"/>
        <w:right w:val="none" w:sz="0" w:space="0" w:color="auto"/>
      </w:divBdr>
      <w:divsChild>
        <w:div w:id="377632385">
          <w:marLeft w:val="0"/>
          <w:marRight w:val="0"/>
          <w:marTop w:val="0"/>
          <w:marBottom w:val="0"/>
          <w:divBdr>
            <w:top w:val="none" w:sz="0" w:space="0" w:color="auto"/>
            <w:left w:val="none" w:sz="0" w:space="0" w:color="auto"/>
            <w:bottom w:val="none" w:sz="0" w:space="0" w:color="auto"/>
            <w:right w:val="none" w:sz="0" w:space="0" w:color="auto"/>
          </w:divBdr>
          <w:divsChild>
            <w:div w:id="1968196283">
              <w:marLeft w:val="0"/>
              <w:marRight w:val="0"/>
              <w:marTop w:val="0"/>
              <w:marBottom w:val="0"/>
              <w:divBdr>
                <w:top w:val="none" w:sz="0" w:space="0" w:color="auto"/>
                <w:left w:val="none" w:sz="0" w:space="0" w:color="auto"/>
                <w:bottom w:val="none" w:sz="0" w:space="0" w:color="auto"/>
                <w:right w:val="none" w:sz="0" w:space="0" w:color="auto"/>
              </w:divBdr>
              <w:divsChild>
                <w:div w:id="1789935026">
                  <w:marLeft w:val="0"/>
                  <w:marRight w:val="0"/>
                  <w:marTop w:val="0"/>
                  <w:marBottom w:val="0"/>
                  <w:divBdr>
                    <w:top w:val="none" w:sz="0" w:space="0" w:color="auto"/>
                    <w:left w:val="none" w:sz="0" w:space="0" w:color="auto"/>
                    <w:bottom w:val="none" w:sz="0" w:space="0" w:color="auto"/>
                    <w:right w:val="none" w:sz="0" w:space="0" w:color="auto"/>
                  </w:divBdr>
                  <w:divsChild>
                    <w:div w:id="823161033">
                      <w:marLeft w:val="0"/>
                      <w:marRight w:val="0"/>
                      <w:marTop w:val="0"/>
                      <w:marBottom w:val="0"/>
                      <w:divBdr>
                        <w:top w:val="none" w:sz="0" w:space="0" w:color="auto"/>
                        <w:left w:val="none" w:sz="0" w:space="0" w:color="auto"/>
                        <w:bottom w:val="none" w:sz="0" w:space="0" w:color="auto"/>
                        <w:right w:val="none" w:sz="0" w:space="0" w:color="auto"/>
                      </w:divBdr>
                      <w:divsChild>
                        <w:div w:id="1075660951">
                          <w:marLeft w:val="0"/>
                          <w:marRight w:val="0"/>
                          <w:marTop w:val="0"/>
                          <w:marBottom w:val="0"/>
                          <w:divBdr>
                            <w:top w:val="none" w:sz="0" w:space="0" w:color="auto"/>
                            <w:left w:val="none" w:sz="0" w:space="0" w:color="auto"/>
                            <w:bottom w:val="none" w:sz="0" w:space="0" w:color="auto"/>
                            <w:right w:val="none" w:sz="0" w:space="0" w:color="auto"/>
                          </w:divBdr>
                          <w:divsChild>
                            <w:div w:id="1646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1106">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36923053">
      <w:bodyDiv w:val="1"/>
      <w:marLeft w:val="0"/>
      <w:marRight w:val="0"/>
      <w:marTop w:val="0"/>
      <w:marBottom w:val="0"/>
      <w:divBdr>
        <w:top w:val="none" w:sz="0" w:space="0" w:color="auto"/>
        <w:left w:val="none" w:sz="0" w:space="0" w:color="auto"/>
        <w:bottom w:val="none" w:sz="0" w:space="0" w:color="auto"/>
        <w:right w:val="none" w:sz="0" w:space="0" w:color="auto"/>
      </w:divBdr>
    </w:div>
    <w:div w:id="228735995">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406615472">
      <w:bodyDiv w:val="1"/>
      <w:marLeft w:val="0"/>
      <w:marRight w:val="0"/>
      <w:marTop w:val="0"/>
      <w:marBottom w:val="0"/>
      <w:divBdr>
        <w:top w:val="none" w:sz="0" w:space="0" w:color="auto"/>
        <w:left w:val="none" w:sz="0" w:space="0" w:color="auto"/>
        <w:bottom w:val="none" w:sz="0" w:space="0" w:color="auto"/>
        <w:right w:val="none" w:sz="0" w:space="0" w:color="auto"/>
      </w:divBdr>
    </w:div>
    <w:div w:id="840393733">
      <w:bodyDiv w:val="1"/>
      <w:marLeft w:val="0"/>
      <w:marRight w:val="0"/>
      <w:marTop w:val="0"/>
      <w:marBottom w:val="0"/>
      <w:divBdr>
        <w:top w:val="none" w:sz="0" w:space="0" w:color="auto"/>
        <w:left w:val="none" w:sz="0" w:space="0" w:color="auto"/>
        <w:bottom w:val="none" w:sz="0" w:space="0" w:color="auto"/>
        <w:right w:val="none" w:sz="0" w:space="0" w:color="auto"/>
      </w:divBdr>
      <w:divsChild>
        <w:div w:id="462314911">
          <w:marLeft w:val="0"/>
          <w:marRight w:val="0"/>
          <w:marTop w:val="0"/>
          <w:marBottom w:val="0"/>
          <w:divBdr>
            <w:top w:val="none" w:sz="0" w:space="0" w:color="auto"/>
            <w:left w:val="none" w:sz="0" w:space="0" w:color="auto"/>
            <w:bottom w:val="none" w:sz="0" w:space="0" w:color="auto"/>
            <w:right w:val="none" w:sz="0" w:space="0" w:color="auto"/>
          </w:divBdr>
          <w:divsChild>
            <w:div w:id="1397433964">
              <w:marLeft w:val="0"/>
              <w:marRight w:val="0"/>
              <w:marTop w:val="0"/>
              <w:marBottom w:val="0"/>
              <w:divBdr>
                <w:top w:val="none" w:sz="0" w:space="0" w:color="auto"/>
                <w:left w:val="none" w:sz="0" w:space="0" w:color="auto"/>
                <w:bottom w:val="none" w:sz="0" w:space="0" w:color="auto"/>
                <w:right w:val="none" w:sz="0" w:space="0" w:color="auto"/>
              </w:divBdr>
              <w:divsChild>
                <w:div w:id="1426727640">
                  <w:marLeft w:val="0"/>
                  <w:marRight w:val="0"/>
                  <w:marTop w:val="0"/>
                  <w:marBottom w:val="0"/>
                  <w:divBdr>
                    <w:top w:val="none" w:sz="0" w:space="0" w:color="auto"/>
                    <w:left w:val="none" w:sz="0" w:space="0" w:color="auto"/>
                    <w:bottom w:val="none" w:sz="0" w:space="0" w:color="auto"/>
                    <w:right w:val="none" w:sz="0" w:space="0" w:color="auto"/>
                  </w:divBdr>
                  <w:divsChild>
                    <w:div w:id="1888713525">
                      <w:marLeft w:val="0"/>
                      <w:marRight w:val="0"/>
                      <w:marTop w:val="0"/>
                      <w:marBottom w:val="0"/>
                      <w:divBdr>
                        <w:top w:val="none" w:sz="0" w:space="0" w:color="auto"/>
                        <w:left w:val="none" w:sz="0" w:space="0" w:color="auto"/>
                        <w:bottom w:val="none" w:sz="0" w:space="0" w:color="auto"/>
                        <w:right w:val="none" w:sz="0" w:space="0" w:color="auto"/>
                      </w:divBdr>
                      <w:divsChild>
                        <w:div w:id="1108505876">
                          <w:marLeft w:val="0"/>
                          <w:marRight w:val="0"/>
                          <w:marTop w:val="0"/>
                          <w:marBottom w:val="0"/>
                          <w:divBdr>
                            <w:top w:val="none" w:sz="0" w:space="0" w:color="auto"/>
                            <w:left w:val="none" w:sz="0" w:space="0" w:color="auto"/>
                            <w:bottom w:val="none" w:sz="0" w:space="0" w:color="auto"/>
                            <w:right w:val="none" w:sz="0" w:space="0" w:color="auto"/>
                          </w:divBdr>
                          <w:divsChild>
                            <w:div w:id="193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6359">
      <w:bodyDiv w:val="1"/>
      <w:marLeft w:val="0"/>
      <w:marRight w:val="0"/>
      <w:marTop w:val="0"/>
      <w:marBottom w:val="0"/>
      <w:divBdr>
        <w:top w:val="none" w:sz="0" w:space="0" w:color="auto"/>
        <w:left w:val="none" w:sz="0" w:space="0" w:color="auto"/>
        <w:bottom w:val="none" w:sz="0" w:space="0" w:color="auto"/>
        <w:right w:val="none" w:sz="0" w:space="0" w:color="auto"/>
      </w:divBdr>
    </w:div>
    <w:div w:id="901016243">
      <w:bodyDiv w:val="1"/>
      <w:marLeft w:val="0"/>
      <w:marRight w:val="0"/>
      <w:marTop w:val="0"/>
      <w:marBottom w:val="0"/>
      <w:divBdr>
        <w:top w:val="none" w:sz="0" w:space="0" w:color="auto"/>
        <w:left w:val="none" w:sz="0" w:space="0" w:color="auto"/>
        <w:bottom w:val="none" w:sz="0" w:space="0" w:color="auto"/>
        <w:right w:val="none" w:sz="0" w:space="0" w:color="auto"/>
      </w:divBdr>
      <w:divsChild>
        <w:div w:id="983505603">
          <w:marLeft w:val="0"/>
          <w:marRight w:val="0"/>
          <w:marTop w:val="0"/>
          <w:marBottom w:val="0"/>
          <w:divBdr>
            <w:top w:val="none" w:sz="0" w:space="0" w:color="auto"/>
            <w:left w:val="none" w:sz="0" w:space="0" w:color="auto"/>
            <w:bottom w:val="none" w:sz="0" w:space="0" w:color="auto"/>
            <w:right w:val="none" w:sz="0" w:space="0" w:color="auto"/>
          </w:divBdr>
          <w:divsChild>
            <w:div w:id="283776453">
              <w:marLeft w:val="0"/>
              <w:marRight w:val="0"/>
              <w:marTop w:val="0"/>
              <w:marBottom w:val="0"/>
              <w:divBdr>
                <w:top w:val="none" w:sz="0" w:space="0" w:color="auto"/>
                <w:left w:val="none" w:sz="0" w:space="0" w:color="auto"/>
                <w:bottom w:val="none" w:sz="0" w:space="0" w:color="auto"/>
                <w:right w:val="none" w:sz="0" w:space="0" w:color="auto"/>
              </w:divBdr>
              <w:divsChild>
                <w:div w:id="492990135">
                  <w:marLeft w:val="0"/>
                  <w:marRight w:val="0"/>
                  <w:marTop w:val="0"/>
                  <w:marBottom w:val="0"/>
                  <w:divBdr>
                    <w:top w:val="none" w:sz="0" w:space="0" w:color="auto"/>
                    <w:left w:val="none" w:sz="0" w:space="0" w:color="auto"/>
                    <w:bottom w:val="none" w:sz="0" w:space="0" w:color="auto"/>
                    <w:right w:val="none" w:sz="0" w:space="0" w:color="auto"/>
                  </w:divBdr>
                  <w:divsChild>
                    <w:div w:id="1089079884">
                      <w:marLeft w:val="0"/>
                      <w:marRight w:val="0"/>
                      <w:marTop w:val="0"/>
                      <w:marBottom w:val="0"/>
                      <w:divBdr>
                        <w:top w:val="none" w:sz="0" w:space="0" w:color="auto"/>
                        <w:left w:val="none" w:sz="0" w:space="0" w:color="auto"/>
                        <w:bottom w:val="none" w:sz="0" w:space="0" w:color="auto"/>
                        <w:right w:val="none" w:sz="0" w:space="0" w:color="auto"/>
                      </w:divBdr>
                      <w:divsChild>
                        <w:div w:id="869343828">
                          <w:marLeft w:val="0"/>
                          <w:marRight w:val="0"/>
                          <w:marTop w:val="0"/>
                          <w:marBottom w:val="0"/>
                          <w:divBdr>
                            <w:top w:val="none" w:sz="0" w:space="0" w:color="auto"/>
                            <w:left w:val="none" w:sz="0" w:space="0" w:color="auto"/>
                            <w:bottom w:val="none" w:sz="0" w:space="0" w:color="auto"/>
                            <w:right w:val="none" w:sz="0" w:space="0" w:color="auto"/>
                          </w:divBdr>
                          <w:divsChild>
                            <w:div w:id="4780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5894">
      <w:bodyDiv w:val="1"/>
      <w:marLeft w:val="0"/>
      <w:marRight w:val="0"/>
      <w:marTop w:val="0"/>
      <w:marBottom w:val="0"/>
      <w:divBdr>
        <w:top w:val="none" w:sz="0" w:space="0" w:color="auto"/>
        <w:left w:val="none" w:sz="0" w:space="0" w:color="auto"/>
        <w:bottom w:val="none" w:sz="0" w:space="0" w:color="auto"/>
        <w:right w:val="none" w:sz="0" w:space="0" w:color="auto"/>
      </w:divBdr>
    </w:div>
    <w:div w:id="1257053291">
      <w:bodyDiv w:val="1"/>
      <w:marLeft w:val="0"/>
      <w:marRight w:val="0"/>
      <w:marTop w:val="0"/>
      <w:marBottom w:val="0"/>
      <w:divBdr>
        <w:top w:val="none" w:sz="0" w:space="0" w:color="auto"/>
        <w:left w:val="none" w:sz="0" w:space="0" w:color="auto"/>
        <w:bottom w:val="none" w:sz="0" w:space="0" w:color="auto"/>
        <w:right w:val="none" w:sz="0" w:space="0" w:color="auto"/>
      </w:divBdr>
    </w:div>
    <w:div w:id="1655793453">
      <w:bodyDiv w:val="1"/>
      <w:marLeft w:val="0"/>
      <w:marRight w:val="0"/>
      <w:marTop w:val="0"/>
      <w:marBottom w:val="0"/>
      <w:divBdr>
        <w:top w:val="none" w:sz="0" w:space="0" w:color="auto"/>
        <w:left w:val="none" w:sz="0" w:space="0" w:color="auto"/>
        <w:bottom w:val="none" w:sz="0" w:space="0" w:color="auto"/>
        <w:right w:val="none" w:sz="0" w:space="0" w:color="auto"/>
      </w:divBdr>
      <w:divsChild>
        <w:div w:id="20325885">
          <w:marLeft w:val="0"/>
          <w:marRight w:val="0"/>
          <w:marTop w:val="0"/>
          <w:marBottom w:val="0"/>
          <w:divBdr>
            <w:top w:val="none" w:sz="0" w:space="0" w:color="auto"/>
            <w:left w:val="none" w:sz="0" w:space="0" w:color="auto"/>
            <w:bottom w:val="none" w:sz="0" w:space="0" w:color="auto"/>
            <w:right w:val="none" w:sz="0" w:space="0" w:color="auto"/>
          </w:divBdr>
          <w:divsChild>
            <w:div w:id="1172601798">
              <w:marLeft w:val="0"/>
              <w:marRight w:val="0"/>
              <w:marTop w:val="0"/>
              <w:marBottom w:val="0"/>
              <w:divBdr>
                <w:top w:val="none" w:sz="0" w:space="0" w:color="auto"/>
                <w:left w:val="none" w:sz="0" w:space="0" w:color="auto"/>
                <w:bottom w:val="none" w:sz="0" w:space="0" w:color="auto"/>
                <w:right w:val="none" w:sz="0" w:space="0" w:color="auto"/>
              </w:divBdr>
              <w:divsChild>
                <w:div w:id="847907032">
                  <w:marLeft w:val="0"/>
                  <w:marRight w:val="0"/>
                  <w:marTop w:val="0"/>
                  <w:marBottom w:val="0"/>
                  <w:divBdr>
                    <w:top w:val="none" w:sz="0" w:space="0" w:color="auto"/>
                    <w:left w:val="none" w:sz="0" w:space="0" w:color="auto"/>
                    <w:bottom w:val="none" w:sz="0" w:space="0" w:color="auto"/>
                    <w:right w:val="none" w:sz="0" w:space="0" w:color="auto"/>
                  </w:divBdr>
                  <w:divsChild>
                    <w:div w:id="1777797549">
                      <w:marLeft w:val="0"/>
                      <w:marRight w:val="0"/>
                      <w:marTop w:val="0"/>
                      <w:marBottom w:val="0"/>
                      <w:divBdr>
                        <w:top w:val="none" w:sz="0" w:space="0" w:color="auto"/>
                        <w:left w:val="none" w:sz="0" w:space="0" w:color="auto"/>
                        <w:bottom w:val="none" w:sz="0" w:space="0" w:color="auto"/>
                        <w:right w:val="none" w:sz="0" w:space="0" w:color="auto"/>
                      </w:divBdr>
                      <w:divsChild>
                        <w:div w:id="1760910795">
                          <w:marLeft w:val="0"/>
                          <w:marRight w:val="0"/>
                          <w:marTop w:val="0"/>
                          <w:marBottom w:val="0"/>
                          <w:divBdr>
                            <w:top w:val="none" w:sz="0" w:space="0" w:color="auto"/>
                            <w:left w:val="none" w:sz="0" w:space="0" w:color="auto"/>
                            <w:bottom w:val="none" w:sz="0" w:space="0" w:color="auto"/>
                            <w:right w:val="none" w:sz="0" w:space="0" w:color="auto"/>
                          </w:divBdr>
                          <w:divsChild>
                            <w:div w:id="15580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28505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8908-par-konceptualo-zinojumu-par-ekonomisko-lietu-tiesas-izveid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lde.Slisere@tm.gov.lv" TargetMode="External"/><Relationship Id="rId4" Type="http://schemas.openxmlformats.org/officeDocument/2006/relationships/settings" Target="settings.xml"/><Relationship Id="rId9" Type="http://schemas.openxmlformats.org/officeDocument/2006/relationships/hyperlink" Target="mailto:Kristine.Milevska@t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d.gov.lv/images/Downloads/useful/MONEYVAL20188_5th-Round_MER-Latvia_LV.pdf" TargetMode="External"/><Relationship Id="rId7" Type="http://schemas.openxmlformats.org/officeDocument/2006/relationships/hyperlink" Target="https://www.ficil.lv/wp-content/uploads/2019/05/LAT_FICIL_Investment_PP_2019.pdf%20" TargetMode="External"/><Relationship Id="rId2" Type="http://schemas.openxmlformats.org/officeDocument/2006/relationships/hyperlink" Target="http://curia.europa.eu/juris/document/document.jsf;jsessionid=4C6852CCE20F7015D6DF9B80E62056B9?text=&amp;docid=199968&amp;pageIndex=0&amp;doclang=lv&amp;mode=lst&amp;dir=&amp;occ=first&amp;part=1&amp;cid=5796335" TargetMode="External"/><Relationship Id="rId1" Type="http://schemas.openxmlformats.org/officeDocument/2006/relationships/hyperlink" Target="http://at.gov.lv/files/uploads/files/7_Resursi/Petijumi/lv_documents_petijumi_Koncerni.pdf" TargetMode="External"/><Relationship Id="rId6" Type="http://schemas.openxmlformats.org/officeDocument/2006/relationships/hyperlink" Target="https://www.ta.gov.lv/LV/eiropas_socialais_fonds_1520/latvijas_tieslietu_sistemas_novertejums_1533/maksatnespeja_starptautisko_valutas_fonds_international_monetary_fund_imf__1560" TargetMode="External"/><Relationship Id="rId5" Type="http://schemas.openxmlformats.org/officeDocument/2006/relationships/hyperlink" Target="https://www.ta.gov.lv/LV/eiropas_socialais_fonds_1520/latvijas_tieslietu_sistemas_novertejums_1533/tiesu_sistemas_darbiba_eiropas_padomes_komisija_tiesu_efektivitatei_european_commission_for_the_effieciency_of_justice_cepej__1575" TargetMode="External"/><Relationship Id="rId4" Type="http://schemas.openxmlformats.org/officeDocument/2006/relationships/hyperlink" Target="https://www.ta.gov.lv/LV/eiropas_socialais_fonds_1520/latvijas_tieslietu_sistemas_novertejums_1533/komerctiesibu_regulejums_ekonomiskas_sadarbibas_un_attistibas_organizaciju_organisation_for_economic_co_operation_and_development_oecd__1561"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41CF-0E99-4FBE-A4F8-21E5CD1E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31170</Words>
  <Characters>17768</Characters>
  <Application>Microsoft Office Word</Application>
  <DocSecurity>0</DocSecurity>
  <Lines>148</Lines>
  <Paragraphs>97</Paragraphs>
  <ScaleCrop>false</ScaleCrop>
  <HeadingPairs>
    <vt:vector size="2" baseType="variant">
      <vt:variant>
        <vt:lpstr>Nosaukums</vt:lpstr>
      </vt:variant>
      <vt:variant>
        <vt:i4>1</vt:i4>
      </vt:variant>
    </vt:vector>
  </HeadingPairs>
  <TitlesOfParts>
    <vt:vector size="1" baseType="lpstr">
      <vt:lpstr>Likumprojekta "Grozījumi likumā "Par tiesu varu"" sākotnējās ietekmes novērtējuma ziņojums (anotācija)</vt:lpstr>
    </vt:vector>
  </TitlesOfParts>
  <Company>Tieslietu ministrija</Company>
  <LinksUpToDate>false</LinksUpToDate>
  <CharactersWithSpaces>48841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tiesu varu"" sākotnējās ietekmes novērtējuma ziņojums (anotācija)</dc:title>
  <dc:subject>Anotācija</dc:subject>
  <dc:creator>Lelde Šlisere, Kristīne Miļevska</dc:creator>
  <cp:keywords/>
  <dc:description>67036839, Lelde.Slisere@tm.gov.lv_x000d_
67036813, Kristine.Milevska@tm.gov.lv</dc:description>
  <cp:lastModifiedBy>Lelde Slisere</cp:lastModifiedBy>
  <cp:revision>3</cp:revision>
  <cp:lastPrinted>2018-10-17T09:16:00Z</cp:lastPrinted>
  <dcterms:created xsi:type="dcterms:W3CDTF">2019-12-09T09:43:00Z</dcterms:created>
  <dcterms:modified xsi:type="dcterms:W3CDTF">2019-12-10T08:01:00Z</dcterms:modified>
</cp:coreProperties>
</file>