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4" w:rsidRPr="00E553A6" w:rsidRDefault="005D62F2" w:rsidP="008752D4">
      <w:pPr>
        <w:pStyle w:val="Parasts1"/>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Likumprojekta „Bērnu antisociālas uzvedības prevencijas likums</w:t>
      </w:r>
      <w:r w:rsidR="008752D4" w:rsidRPr="00E553A6">
        <w:rPr>
          <w:rFonts w:ascii="Times New Roman" w:eastAsia="Times New Roman" w:hAnsi="Times New Roman"/>
          <w:b/>
          <w:bCs/>
          <w:sz w:val="24"/>
          <w:szCs w:val="24"/>
          <w:lang w:eastAsia="lv-LV"/>
        </w:rPr>
        <w:t>” sākotnējās ietekmes novērtējuma ziņojums (anotācija)</w:t>
      </w:r>
    </w:p>
    <w:p w:rsidR="005703E1" w:rsidRPr="00E553A6" w:rsidRDefault="005703E1" w:rsidP="008752D4">
      <w:pPr>
        <w:pStyle w:val="Parasts1"/>
        <w:spacing w:after="0" w:line="240" w:lineRule="auto"/>
        <w:jc w:val="center"/>
        <w:rPr>
          <w:rFonts w:ascii="Times New Roman" w:eastAsia="Times New Roman" w:hAnsi="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7"/>
        <w:gridCol w:w="2574"/>
        <w:gridCol w:w="11055"/>
      </w:tblGrid>
      <w:tr w:rsidR="008752D4" w:rsidRPr="00E553A6" w:rsidTr="005B430B">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752D4" w:rsidRPr="00E553A6" w:rsidRDefault="008752D4" w:rsidP="005B430B">
            <w:pPr>
              <w:pStyle w:val="Parasts1"/>
              <w:spacing w:after="0" w:line="240" w:lineRule="auto"/>
              <w:ind w:firstLine="300"/>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I. Tiesību akta projekta izstrādes nepieciešamība</w:t>
            </w:r>
          </w:p>
        </w:tc>
      </w:tr>
      <w:tr w:rsidR="008752D4" w:rsidRPr="005D62F2" w:rsidTr="009D4D3C">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897"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Pamatojums</w:t>
            </w:r>
          </w:p>
        </w:tc>
        <w:tc>
          <w:tcPr>
            <w:tcW w:w="3853" w:type="pct"/>
            <w:tcBorders>
              <w:top w:val="outset" w:sz="6" w:space="0" w:color="414142"/>
              <w:left w:val="outset" w:sz="6" w:space="0" w:color="414142"/>
              <w:bottom w:val="outset" w:sz="6" w:space="0" w:color="414142"/>
              <w:right w:val="outset" w:sz="6" w:space="0" w:color="414142"/>
            </w:tcBorders>
            <w:hideMark/>
          </w:tcPr>
          <w:p w:rsidR="008752D4" w:rsidRPr="00E553A6" w:rsidRDefault="00760CCB" w:rsidP="00760CCB">
            <w:pPr>
              <w:pStyle w:val="Parasts1"/>
              <w:spacing w:after="0" w:line="240" w:lineRule="auto"/>
              <w:jc w:val="both"/>
              <w:rPr>
                <w:rFonts w:ascii="Times New Roman" w:hAnsi="Times New Roman"/>
                <w:sz w:val="24"/>
                <w:szCs w:val="24"/>
              </w:rPr>
            </w:pPr>
            <w:r>
              <w:rPr>
                <w:rFonts w:ascii="Times New Roman" w:hAnsi="Times New Roman"/>
                <w:sz w:val="24"/>
                <w:szCs w:val="24"/>
              </w:rPr>
              <w:t>Likumprojekts izstrādāts pēc Tieslietu ministrijas iniciatīvas.</w:t>
            </w:r>
          </w:p>
        </w:tc>
      </w:tr>
      <w:tr w:rsidR="008752D4" w:rsidRPr="00CF1F66" w:rsidTr="009D4D3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w:t>
            </w:r>
          </w:p>
        </w:tc>
        <w:tc>
          <w:tcPr>
            <w:tcW w:w="897"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tc>
        <w:tc>
          <w:tcPr>
            <w:tcW w:w="3853" w:type="pct"/>
            <w:tcBorders>
              <w:top w:val="outset" w:sz="6" w:space="0" w:color="414142"/>
              <w:left w:val="outset" w:sz="6" w:space="0" w:color="414142"/>
              <w:bottom w:val="outset" w:sz="6" w:space="0" w:color="414142"/>
              <w:right w:val="outset" w:sz="6" w:space="0" w:color="414142"/>
            </w:tcBorders>
            <w:hideMark/>
          </w:tcPr>
          <w:p w:rsidR="00760CCB" w:rsidRPr="00760CCB" w:rsidRDefault="00760CCB" w:rsidP="0019091B">
            <w:pPr>
              <w:spacing w:after="200" w:line="276" w:lineRule="auto"/>
              <w:jc w:val="both"/>
              <w:rPr>
                <w:rFonts w:ascii="Times New Roman" w:hAnsi="Times New Roman"/>
                <w:i/>
                <w:sz w:val="24"/>
                <w:szCs w:val="24"/>
                <w:lang w:val="lv-LV"/>
              </w:rPr>
            </w:pPr>
            <w:r w:rsidRPr="00760CCB">
              <w:rPr>
                <w:rFonts w:ascii="Times New Roman" w:hAnsi="Times New Roman"/>
                <w:i/>
                <w:sz w:val="24"/>
                <w:szCs w:val="24"/>
                <w:lang w:val="lv-LV"/>
              </w:rPr>
              <w:t>Problēmas izklāsts</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Latvijas Valsts policijas sagatavotais “Pārskats par nepilngadīgo noziedzības stāvokli, noziedzīgos nodarījumos cietušajiem bērniem un noziedzības novēršanas problēmām”</w:t>
            </w:r>
            <w:r w:rsidRPr="00760CCB">
              <w:rPr>
                <w:rFonts w:ascii="Times New Roman" w:hAnsi="Times New Roman"/>
                <w:sz w:val="24"/>
                <w:szCs w:val="24"/>
                <w:vertAlign w:val="superscript"/>
                <w:lang w:val="lv-LV"/>
              </w:rPr>
              <w:footnoteReference w:id="1"/>
            </w:r>
            <w:r w:rsidRPr="00760CCB">
              <w:rPr>
                <w:rFonts w:ascii="Times New Roman" w:hAnsi="Times New Roman"/>
                <w:sz w:val="24"/>
                <w:szCs w:val="24"/>
                <w:lang w:val="lv-LV"/>
              </w:rPr>
              <w:t xml:space="preserve"> par 2015.gadu apliecina, ka Latvijā pastāvošais tiesiskais regulējums bērnu tiesību jomā ir nepilnīgs un nenodrošina ne vispārējo, ne speciālo prevenciju. Likumpārkāpumus izdarījušo nepilngadīgo skaits ir milzīgs. 2015.gadā 747 nepilngadīgie izdarījuši 935 noziedzīgus nodarījumus. Lielākā daļa nepilngadīgo izdarīto noziedzīgo nodarījumu ir paveikti pret īpašumu (566 noziedzīgi nodarījumi) - visbiežāk izdarītas zādzības (268 noziedzīgi nodarījumi), zādzības, krāpšanas, piesavināšanās nelielā apmērā (254 noziedzīgi nodarījumi), mantas tīša iznīcināšana un bojāšana (177 noziedzīgi nodarījumi) un laupīšanas (62 noziedzīgi nodarījumi). Turklāt salīdzinājumā ar 2014.gadu izdarīto zādzību, krāpšanu, piesavināšanos nelielā apmērā, mantas tīšas iznīcināšanas un bojāšanas gadījumu skaits ir krasi palielinājies, attiecīgi par 89 un 60 gadījumiem. 2015.gadā pieaudzis arī nepilngadīgo izdarīto noziegumu pret veselību skaits (68 noziedzīgi nodarījumi), tai skaitā nepilngadīgie ir izdarījuši sešas slepkavības no kurām piecas izdarītas pastiprinošos apstākļos. Tāpat nepilngadīgie 2015.gadā izdarījuši  69 noziedzīgus nodarījumus, kas bijuši saistīti ar narkotiskajām un psihotropajām vielām.</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2015.gadā nepilngadīgie ir izdarījuši 346 smagus un 45 sevišķi smagus noziegumus. Saskaņā ar Krimināllikuma 7.panta ceturto daļu par smaga nozieguma izdarīšanu paredzēta brīvības atņemšana uz laiku, ilgāku par trim gadiem, bet ne ilgāku par astoņiem gadiem, savukārt saskaņā ar Krimināllikuma 7.panta piekto daļu par sevišķi smaga nozieguma izdarīšanu paredzēta brīvības atņemšana uz laiku, ilgāku par astoņiem gadiem, vai mūža ieslodzījums. Cēsu audzināšanas iestādē nepilngadīgajiem bērni pārsvarā nonāk par izdarītajām slepkavībām, </w:t>
            </w:r>
            <w:r w:rsidRPr="00760CCB">
              <w:rPr>
                <w:rFonts w:ascii="Times New Roman" w:hAnsi="Times New Roman"/>
                <w:sz w:val="24"/>
                <w:szCs w:val="24"/>
                <w:lang w:val="lv-LV"/>
              </w:rPr>
              <w:lastRenderedPageBreak/>
              <w:t>laupīšanām un zādzībām. 2016.gadā Cēsu audzināšanas iestādē nepilngadīgajiem atrodas 32 nepilngadīgie (daļai no tiem spriedums vēl nav stājies spēkā), no kuriem 13 gadījumos noteiktais sods pārsniedz piecus gadus.  Gadījumos, kad nepilngadīgie izdarījuši slepkavības pastiprinošos apstākļos, noteiktais brīvības atņemšanas sods sasniedz 10 gadus (6 nepilngadīgie).</w:t>
            </w:r>
          </w:p>
          <w:p w:rsidR="00EF42EA"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Saskaņā ar Tiesu informatīvās sistēmas datiem</w:t>
            </w:r>
            <w:r w:rsidRPr="00760CCB">
              <w:rPr>
                <w:rFonts w:ascii="Times New Roman" w:hAnsi="Times New Roman"/>
                <w:sz w:val="24"/>
                <w:szCs w:val="24"/>
                <w:vertAlign w:val="superscript"/>
                <w:lang w:val="lv-LV"/>
              </w:rPr>
              <w:footnoteReference w:id="2"/>
            </w:r>
            <w:r w:rsidRPr="00760CCB">
              <w:rPr>
                <w:rFonts w:ascii="Times New Roman" w:hAnsi="Times New Roman"/>
                <w:sz w:val="24"/>
                <w:szCs w:val="24"/>
                <w:lang w:val="lv-LV"/>
              </w:rPr>
              <w:t xml:space="preserve"> 2015.gadā notiesāto nepilngadīgo skaits attiecībā pret visām notiesātajām personām ir sasniedzis 4,3% (414 no 9594 notiesātajiem). 2014.gadā nepilngadīgo skaits, kas tika nodoti Valsts probācijas dienesta uzraudzībā, attiecībā pret visām notiesātajām personām procentuāli ir bijis 5,84%, kas ir augsts rādītājs, salīdzinot ar tādām valstīm kā  Zviedrija (0,2%)</w:t>
            </w:r>
            <w:r w:rsidRPr="00760CCB">
              <w:rPr>
                <w:rFonts w:ascii="Times New Roman" w:hAnsi="Times New Roman"/>
                <w:sz w:val="24"/>
                <w:szCs w:val="24"/>
                <w:vertAlign w:val="superscript"/>
                <w:lang w:val="lv-LV"/>
              </w:rPr>
              <w:footnoteReference w:id="3"/>
            </w:r>
            <w:r w:rsidRPr="00760CCB">
              <w:rPr>
                <w:rFonts w:ascii="Times New Roman" w:hAnsi="Times New Roman"/>
                <w:sz w:val="24"/>
                <w:szCs w:val="24"/>
                <w:lang w:val="lv-LV"/>
              </w:rPr>
              <w:t xml:space="preserve">, Grieķija (0,4%), Dānija (1,8%), Gruzija (2,2%), Armēnija (2,6%) un Igaunija (4,3%). </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Tāpat arī 2015.gadā 3433 nepilngadīgie ir izdarījuši 5989 administratīvos pārkāpumus</w:t>
            </w:r>
            <w:r w:rsidRPr="00760CCB">
              <w:rPr>
                <w:rFonts w:ascii="Times New Roman" w:hAnsi="Times New Roman"/>
                <w:sz w:val="24"/>
                <w:szCs w:val="24"/>
                <w:vertAlign w:val="superscript"/>
                <w:lang w:val="lv-LV"/>
              </w:rPr>
              <w:footnoteReference w:id="4"/>
            </w:r>
            <w:r w:rsidRPr="00760CCB">
              <w:rPr>
                <w:rFonts w:ascii="Times New Roman" w:hAnsi="Times New Roman"/>
                <w:sz w:val="24"/>
                <w:szCs w:val="24"/>
                <w:lang w:val="lv-LV"/>
              </w:rPr>
              <w:t>. Lielākā daļa no tiem ir bijuši par smēķēšanu (1993 administratīvie pārkāpumi), apreibinošo vielu lietošanu vai atrašanos to ietekmē (1164 administratīvie pārkāpumi), pašvaldību saistošo noteikumu pārkāpumiem (429 administratīvie pārkāpumi) un sīko huligānismu (278 administratīvie pārkāpumi). Salīdzinot ar 2014.gadu ir palielinājies nepilngadīgo izdarīto pārkāpumu skaits par sīko huligānismu un apreibinošo vielu lietošanu vai atrašanos to ietekmē.</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Ievērojamais likumpārkāpumus izdarījušo bērnu skaits liecina, ka Latvijā </w:t>
            </w:r>
            <w:r w:rsidR="00EF42EA" w:rsidRPr="00760CCB">
              <w:rPr>
                <w:rFonts w:ascii="Times New Roman" w:hAnsi="Times New Roman"/>
                <w:sz w:val="24"/>
                <w:szCs w:val="24"/>
                <w:lang w:val="lv-LV"/>
              </w:rPr>
              <w:t xml:space="preserve">pastāvošā bērnu likumpārkāpumu prevencijas sistēma nedarbojas apmierinoši. Statistikas dati par izdarītajiem noziegumiem un pārkāpumiem uzrāda tendenci saglabāties nemainīgā līmenī, vai pat palielināties, vienlaikus ir zināms, ka Latvijā iedzīvotāju skaits vecumgrupā līdz 18 gadu vecumam samazinās. </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2015.gadā noziedzīgos nodarījumos ir cietuši 526 nepilngadīgie</w:t>
            </w:r>
            <w:r w:rsidRPr="00760CCB">
              <w:rPr>
                <w:rFonts w:ascii="Times New Roman" w:hAnsi="Times New Roman"/>
                <w:sz w:val="24"/>
                <w:szCs w:val="24"/>
                <w:vertAlign w:val="superscript"/>
                <w:lang w:val="lv-LV"/>
              </w:rPr>
              <w:footnoteReference w:id="5"/>
            </w:r>
            <w:r w:rsidRPr="00760CCB">
              <w:rPr>
                <w:rFonts w:ascii="Times New Roman" w:hAnsi="Times New Roman"/>
                <w:sz w:val="24"/>
                <w:szCs w:val="24"/>
                <w:lang w:val="lv-LV"/>
              </w:rPr>
              <w:t xml:space="preserve">. Lielā daļā gadījumu ir tikusi izdarīta cietsirdība un vardarbība pret nepilngadīgajiem (99 noziedzīgi nodarījumi), izdarīti noziedzīgi nodarījumi </w:t>
            </w:r>
            <w:r w:rsidRPr="00760CCB">
              <w:rPr>
                <w:rFonts w:ascii="Times New Roman" w:hAnsi="Times New Roman"/>
                <w:b/>
                <w:sz w:val="24"/>
                <w:szCs w:val="24"/>
                <w:u w:val="single"/>
                <w:lang w:val="lv-LV"/>
              </w:rPr>
              <w:t xml:space="preserve">pret nepilngadīgo </w:t>
            </w:r>
            <w:r w:rsidRPr="00760CCB">
              <w:rPr>
                <w:rFonts w:ascii="Times New Roman" w:hAnsi="Times New Roman"/>
                <w:b/>
                <w:sz w:val="24"/>
                <w:szCs w:val="24"/>
                <w:u w:val="single"/>
                <w:lang w:val="lv-LV"/>
              </w:rPr>
              <w:lastRenderedPageBreak/>
              <w:t>tikumību un dzimumneaizskaramību (133 noziedzīgi nodarījumi),</w:t>
            </w:r>
            <w:r w:rsidRPr="00760CCB">
              <w:rPr>
                <w:rFonts w:ascii="Times New Roman" w:hAnsi="Times New Roman"/>
                <w:sz w:val="24"/>
                <w:szCs w:val="24"/>
                <w:lang w:val="lv-LV"/>
              </w:rPr>
              <w:t xml:space="preserve"> kā arī nepilngadīgajiem nodarīti miesas bojājumi (56 noziedzīgi nodarījumi). </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Turklāt 2015.gadā ir sastādīti 3169 administratīvie protokoli par bērnu tiesību pārkāpšanu, no kuriem 567 protokoli sastādīti par fizisku vai emocionālu vardarbību pret bērnu un 1517 protokoli par bērna aprūpes pienākumu nepildīšanu, no kuriem 285 gadījumos bērna aprūpes pienākumu nepildīšanas rezultātā bērns izdarījis sīko huligānismu vai lietojis narkotiskās, psihotropās vielas bez ārsta nozīmējuma, vai atradies alkoholisko dzērienu ietekmē, vai nodarbojies ar ubagošanu. Šajos gadījumus saikne starp vecāka nepietiekamas uzvedības veltīšanu bērnam un bērna izdarīto likumpārkāpumu ir acīmredzama.</w:t>
            </w:r>
            <w:r w:rsidR="00EF42EA" w:rsidRPr="00760CCB">
              <w:rPr>
                <w:rFonts w:ascii="Times New Roman" w:hAnsi="Times New Roman"/>
                <w:sz w:val="24"/>
                <w:szCs w:val="24"/>
                <w:lang w:val="lv-LV"/>
              </w:rPr>
              <w:t xml:space="preserve"> Katrs šāds vardarbības gadījums ietekmē bērna psihoemocionālo stāvokli un apdraud tā pilnvērtīgu attīstību. Pārdzīvotā trauma ir viens no riska faktoriem, kas var izraisīt negatīvas izmaiņas bērna uzvedībā.</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Iepriekš uzskaitītie ir tikai tiesībaizsardzības iestādēs reģistrētie likumpārkāpumi pret bērniem. Apkopotā statistika no ziņām, kas iegūta, uzklausot bērnus pa uzticības tālruņiem, apliecina, ka dažādi pārkāpumi pret bērniem ir daudz izplatītāki, nekā var secināt no oficiālās statistikas. Piemēram, no Valsts bērnu tiesību aizsardzības inspekcijas Bērnu un pusaudžu uzticības tālruņa apkopotās statistikas vien izriet, ka 2015. gada pirmajos trīs mēnešos konstatēti 834 gadījumi, kad bērni sūdzējušies par dažāda veida vardarbību gan ģimenē, gan skolā, gan vienaudžu vidū. Tāpat Bērnu un pusaudžu uzticības tālruņa sarunās atklājies, ka liela daļa bērnu ir pakļauti tādām spēcīgām negatīvām emocijām kā apjukums (1593 gadījumi), bezspēcība (940 gadījumi), dusmas (476 gadījumi), bailes (611 gadījumi), aizvainojums (557 gadījumi) un trauksme (1197 gadījumi). Lielais bērnu skaits, kas izmanto uzticības tālruņus, liecina arī par bērnu saskarsmes problēmām un to, ka lielai daļai bērnu ne ģimenes, ne draugu lokā nav uzticības personu, ar kurām varētu izrunāt tiem aktuālās problēmas. Bērna atrašanās izolētībā, kas liedz viņam atrisināt savas problēmas, palielina iespēju, ka bērns pats vēlāk varētu kļūt par varmāku.</w:t>
            </w:r>
            <w:r w:rsidR="00EF42EA" w:rsidRPr="00760CCB">
              <w:rPr>
                <w:rFonts w:ascii="Times New Roman" w:hAnsi="Times New Roman"/>
                <w:sz w:val="24"/>
                <w:szCs w:val="24"/>
                <w:lang w:val="lv-LV"/>
              </w:rPr>
              <w:t xml:space="preserve"> Bērns, kas cietis no vardarbības kļūst ievainojams un viņa tālāka sekmīga iekļaušanās vienaudžu vidū ir apgrūtināta. Atstumtība vienaudžu vidū ir viens no riska faktoriem, kas var nākotnē izveidot deviantu, tai skaitā </w:t>
            </w:r>
            <w:r w:rsidR="00EF42EA" w:rsidRPr="00760CCB">
              <w:rPr>
                <w:rFonts w:ascii="Times New Roman" w:hAnsi="Times New Roman"/>
                <w:sz w:val="24"/>
                <w:szCs w:val="24"/>
                <w:lang w:val="lv-LV"/>
              </w:rPr>
              <w:lastRenderedPageBreak/>
              <w:t xml:space="preserve">vardarbīgu personību. </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Saskaņā ar Labklājības ministrijas sagatavoto “Pārskatu par bērnu stāvokli Latvijā 2014.gadā”</w:t>
            </w:r>
            <w:r w:rsidRPr="00760CCB">
              <w:rPr>
                <w:rFonts w:ascii="Times New Roman" w:hAnsi="Times New Roman"/>
                <w:sz w:val="24"/>
                <w:szCs w:val="24"/>
                <w:vertAlign w:val="superscript"/>
                <w:lang w:val="lv-LV"/>
              </w:rPr>
              <w:footnoteReference w:id="6"/>
            </w:r>
            <w:r w:rsidRPr="00760CCB">
              <w:rPr>
                <w:rFonts w:ascii="Times New Roman" w:hAnsi="Times New Roman"/>
                <w:sz w:val="24"/>
                <w:szCs w:val="24"/>
                <w:lang w:val="lv-LV"/>
              </w:rPr>
              <w:t xml:space="preserve"> 2586 bērni, kuri cietuši no prettiesiskām darbībām, 2014.gadā saņēmuši sociālo rehabilitāciju. Šie bērni ir ne tikai cietuši no prettiesiskām darbībām, bet arī ir bijuši spiesti saskarties ar kriminālprocesa juridiskajām procedūrām, kas arī var atstāt iespējamu negatīvu ietekmi uz bērnu.</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Par vecāku nespēju nodrošināt bērnam labvēlīgu vidi liecina arī personu skaits, kurām pārtrauktas aizgādības tiesības. Saskaņā Valsts bērnu tiesību aizsardzības inspekcijas datiem 2015.gadā tādas bijušas 1235 personas, no kurām 185 gadījumos aizgādības tiesības pārtrauktas, jo ir tikusi konstatēta vardarbība vai ir bijušas pamatotas aizdomas par vardarbību pret bērnu. </w:t>
            </w:r>
          </w:p>
          <w:p w:rsidR="0019091B" w:rsidRPr="00760CCB" w:rsidRDefault="0019091B" w:rsidP="0019091B">
            <w:pPr>
              <w:autoSpaceDE w:val="0"/>
              <w:autoSpaceDN w:val="0"/>
              <w:adjustRightInd w:val="0"/>
              <w:jc w:val="both"/>
              <w:rPr>
                <w:rFonts w:ascii="Times New Roman" w:hAnsi="Times New Roman"/>
                <w:sz w:val="24"/>
                <w:szCs w:val="24"/>
                <w:lang w:val="lv-LV"/>
              </w:rPr>
            </w:pPr>
            <w:r w:rsidRPr="00760CCB">
              <w:rPr>
                <w:rFonts w:ascii="Times New Roman" w:hAnsi="Times New Roman"/>
                <w:sz w:val="24"/>
                <w:szCs w:val="24"/>
                <w:lang w:val="lv-LV"/>
              </w:rPr>
              <w:t>Pastāv problēmas arī ar klaiņojošiem bērniem (2015.gadā Valsts policijas redzeslokā nonākuši 154 bērni, kuri sistemātiski (divas un vairāk reizes gadā) klaiņo</w:t>
            </w:r>
            <w:r w:rsidRPr="00760CCB">
              <w:rPr>
                <w:rFonts w:ascii="Times New Roman" w:hAnsi="Times New Roman"/>
                <w:sz w:val="24"/>
                <w:szCs w:val="24"/>
                <w:vertAlign w:val="superscript"/>
                <w:lang w:val="lv-LV"/>
              </w:rPr>
              <w:footnoteReference w:id="7"/>
            </w:r>
            <w:r w:rsidRPr="00760CCB">
              <w:rPr>
                <w:rFonts w:ascii="Times New Roman" w:hAnsi="Times New Roman"/>
                <w:sz w:val="24"/>
                <w:szCs w:val="24"/>
                <w:lang w:val="lv-LV"/>
              </w:rPr>
              <w:t>) un bērnu saskarsmi ar atkarību izraisošajām vielām - 25% skolēnu vecumā no 13 -15 gadiem 2014. gadā lietojuši kādu tabakas izstrādājumu un 41% 13-15 gadīgo skolēnu ziņojuši par pasīvo smēķēšanu mājās. 2014.gadā ārstēšana narkotisko, psihotropo un toksisko vielu lietošanas radīto problēmu dēļ ir bijusi nepieciešama 425 bērniem</w:t>
            </w:r>
            <w:r w:rsidRPr="00760CCB">
              <w:rPr>
                <w:rFonts w:ascii="Times New Roman" w:hAnsi="Times New Roman"/>
                <w:sz w:val="24"/>
                <w:szCs w:val="24"/>
                <w:vertAlign w:val="superscript"/>
                <w:lang w:val="lv-LV"/>
              </w:rPr>
              <w:footnoteReference w:id="8"/>
            </w:r>
            <w:r w:rsidRPr="00760CCB">
              <w:rPr>
                <w:rFonts w:ascii="Times New Roman" w:hAnsi="Times New Roman"/>
                <w:sz w:val="24"/>
                <w:szCs w:val="24"/>
                <w:lang w:val="lv-LV"/>
              </w:rPr>
              <w:t>.</w:t>
            </w:r>
          </w:p>
          <w:p w:rsidR="0019091B" w:rsidRPr="00760CCB" w:rsidRDefault="0019091B" w:rsidP="0019091B">
            <w:pPr>
              <w:spacing w:after="200" w:line="276" w:lineRule="auto"/>
              <w:jc w:val="both"/>
              <w:rPr>
                <w:rFonts w:ascii="Times New Roman" w:hAnsi="Times New Roman"/>
                <w:sz w:val="24"/>
                <w:szCs w:val="24"/>
                <w:lang w:val="lv-LV"/>
              </w:rPr>
            </w:pPr>
          </w:p>
          <w:p w:rsidR="0019091B" w:rsidRPr="00760CCB" w:rsidRDefault="0019091B" w:rsidP="0019091B">
            <w:pPr>
              <w:autoSpaceDE w:val="0"/>
              <w:autoSpaceDN w:val="0"/>
              <w:adjustRightInd w:val="0"/>
              <w:jc w:val="both"/>
              <w:rPr>
                <w:rFonts w:ascii="Times New Roman" w:hAnsi="Times New Roman"/>
                <w:sz w:val="24"/>
                <w:szCs w:val="24"/>
                <w:lang w:val="lv-LV"/>
              </w:rPr>
            </w:pPr>
            <w:r w:rsidRPr="00760CCB">
              <w:rPr>
                <w:rFonts w:ascii="Times New Roman" w:hAnsi="Times New Roman"/>
                <w:sz w:val="24"/>
                <w:szCs w:val="24"/>
                <w:lang w:val="lv-LV"/>
              </w:rPr>
              <w:t xml:space="preserve">Tāpat </w:t>
            </w:r>
            <w:r w:rsidRPr="00760CCB">
              <w:rPr>
                <w:rFonts w:ascii="Times New Roman" w:hAnsi="Times New Roman"/>
                <w:i/>
                <w:iCs/>
                <w:sz w:val="24"/>
                <w:szCs w:val="24"/>
                <w:lang w:val="lv-LV"/>
              </w:rPr>
              <w:t xml:space="preserve">ar noteiktām slimībām slimojošu pacientu reģistrā </w:t>
            </w:r>
            <w:r w:rsidRPr="00760CCB">
              <w:rPr>
                <w:rFonts w:ascii="Times New Roman" w:hAnsi="Times New Roman"/>
                <w:sz w:val="24"/>
                <w:szCs w:val="24"/>
                <w:lang w:val="lv-LV"/>
              </w:rPr>
              <w:t>kā pacienti ar psihiskiem un</w:t>
            </w:r>
            <w:r w:rsidR="00731CFE">
              <w:rPr>
                <w:rFonts w:ascii="Times New Roman" w:hAnsi="Times New Roman"/>
                <w:sz w:val="24"/>
                <w:szCs w:val="24"/>
                <w:lang w:val="lv-LV"/>
              </w:rPr>
              <w:t xml:space="preserve"> </w:t>
            </w:r>
            <w:r w:rsidRPr="00760CCB">
              <w:rPr>
                <w:rFonts w:ascii="Times New Roman" w:hAnsi="Times New Roman"/>
                <w:sz w:val="24"/>
                <w:szCs w:val="24"/>
                <w:lang w:val="lv-LV"/>
              </w:rPr>
              <w:t>uzvedības traucējumiem 2014.gadā tika uzņemti 1167 bērni (vecumā līdz</w:t>
            </w:r>
            <w:r w:rsidR="007C271A">
              <w:rPr>
                <w:rFonts w:ascii="Times New Roman" w:hAnsi="Times New Roman"/>
                <w:sz w:val="24"/>
                <w:szCs w:val="24"/>
                <w:lang w:val="lv-LV"/>
              </w:rPr>
              <w:t xml:space="preserve"> </w:t>
            </w:r>
            <w:r w:rsidRPr="00760CCB">
              <w:rPr>
                <w:rFonts w:ascii="Times New Roman" w:hAnsi="Times New Roman"/>
                <w:sz w:val="24"/>
                <w:szCs w:val="24"/>
                <w:lang w:val="lv-LV"/>
              </w:rPr>
              <w:t>17 gadiem). 2014.gadā</w:t>
            </w:r>
            <w:r w:rsidR="007C271A">
              <w:rPr>
                <w:rFonts w:ascii="Times New Roman" w:hAnsi="Times New Roman"/>
                <w:sz w:val="24"/>
                <w:szCs w:val="24"/>
                <w:lang w:val="lv-LV"/>
              </w:rPr>
              <w:t xml:space="preserve"> </w:t>
            </w:r>
            <w:r w:rsidRPr="00760CCB">
              <w:rPr>
                <w:rFonts w:ascii="Times New Roman" w:hAnsi="Times New Roman"/>
                <w:sz w:val="24"/>
                <w:szCs w:val="24"/>
                <w:lang w:val="lv-LV"/>
              </w:rPr>
              <w:t>15 nepilngadīgie izdarījuši pašnāvības, līdz ar to pašnāvību skaits (vecuma grupā no 15-19 gadiem), salīdzinot ar 2013.gadu, ir pieaudzis trīs reizes</w:t>
            </w:r>
            <w:r w:rsidRPr="00760CCB">
              <w:rPr>
                <w:rFonts w:ascii="Times New Roman" w:hAnsi="Times New Roman"/>
                <w:sz w:val="24"/>
                <w:szCs w:val="24"/>
                <w:vertAlign w:val="superscript"/>
                <w:lang w:val="lv-LV"/>
              </w:rPr>
              <w:footnoteReference w:id="9"/>
            </w:r>
            <w:r w:rsidRPr="00760CCB">
              <w:rPr>
                <w:rFonts w:ascii="Times New Roman" w:hAnsi="Times New Roman"/>
                <w:sz w:val="24"/>
                <w:szCs w:val="24"/>
                <w:lang w:val="lv-LV"/>
              </w:rPr>
              <w:t>.</w:t>
            </w:r>
          </w:p>
          <w:p w:rsidR="0019091B" w:rsidRPr="00760CCB" w:rsidRDefault="0019091B" w:rsidP="0019091B">
            <w:pPr>
              <w:autoSpaceDE w:val="0"/>
              <w:autoSpaceDN w:val="0"/>
              <w:adjustRightInd w:val="0"/>
              <w:jc w:val="both"/>
              <w:rPr>
                <w:rFonts w:ascii="Times New Roman" w:hAnsi="Times New Roman"/>
                <w:sz w:val="24"/>
                <w:szCs w:val="24"/>
                <w:lang w:val="lv-LV"/>
              </w:rPr>
            </w:pPr>
          </w:p>
          <w:p w:rsidR="0019091B" w:rsidRPr="00760CCB" w:rsidRDefault="00F6176E"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Atspoguļotā statistika norāda, ka Latvijā ik gadu ievērojams skaits bērnu saskaras ar kriminālo un administratīvo justīciju, gan kā likumpārkāpumu veicēji, gan kā cietušie. Likumpārkāpumu izdarījušo bērnu īpatsvars iepretī pil</w:t>
            </w:r>
            <w:r w:rsidR="00CB097B">
              <w:rPr>
                <w:rFonts w:ascii="Times New Roman" w:hAnsi="Times New Roman"/>
                <w:sz w:val="24"/>
                <w:szCs w:val="24"/>
                <w:lang w:val="lv-LV"/>
              </w:rPr>
              <w:t xml:space="preserve">ngadīgajiem likumpārkāpējiem </w:t>
            </w:r>
            <w:r w:rsidRPr="00760CCB">
              <w:rPr>
                <w:rFonts w:ascii="Times New Roman" w:hAnsi="Times New Roman"/>
                <w:sz w:val="24"/>
                <w:szCs w:val="24"/>
                <w:lang w:val="lv-LV"/>
              </w:rPr>
              <w:t xml:space="preserve">daudzkārt pārsniedz citu valstu rādītājus. </w:t>
            </w:r>
            <w:r w:rsidR="00DC2FD2" w:rsidRPr="00760CCB">
              <w:rPr>
                <w:rFonts w:ascii="Times New Roman" w:hAnsi="Times New Roman"/>
                <w:sz w:val="24"/>
                <w:szCs w:val="24"/>
                <w:lang w:val="lv-LV"/>
              </w:rPr>
              <w:t xml:space="preserve">Latvijā bērni izdara netipiski smagus </w:t>
            </w:r>
            <w:r w:rsidR="00DC2FD2" w:rsidRPr="00760CCB">
              <w:rPr>
                <w:rFonts w:ascii="Times New Roman" w:hAnsi="Times New Roman"/>
                <w:sz w:val="24"/>
                <w:szCs w:val="24"/>
                <w:lang w:val="lv-LV"/>
              </w:rPr>
              <w:lastRenderedPageBreak/>
              <w:t xml:space="preserve">noziegumus. Bērnu skaits, kuri cieš no apkārtējo vardarbības, ir ļoti liels. Visi šie apstākļi norāda uz to, ka pastāvošā bērnu likumpārkāpumu prevencijas sistēma nedarbojas efektīvi. </w:t>
            </w:r>
          </w:p>
          <w:p w:rsidR="0019091B"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 xml:space="preserve">Šobrīd </w:t>
            </w:r>
            <w:r w:rsidR="00DC2FD2" w:rsidRPr="00760CCB">
              <w:rPr>
                <w:rFonts w:ascii="Times New Roman" w:eastAsia="Times New Roman" w:hAnsi="Times New Roman"/>
                <w:sz w:val="24"/>
                <w:szCs w:val="24"/>
                <w:lang w:val="lv-LV" w:eastAsia="lv-LV"/>
              </w:rPr>
              <w:t>likumpārkāpumu prevencijas sistēma normatīvi nostiprinātā četros dažādos likumos:</w:t>
            </w:r>
            <w:r w:rsidRPr="00760CCB">
              <w:rPr>
                <w:rFonts w:ascii="Times New Roman" w:eastAsia="Times New Roman" w:hAnsi="Times New Roman"/>
                <w:sz w:val="24"/>
                <w:szCs w:val="24"/>
                <w:lang w:val="lv-LV" w:eastAsia="lv-LV"/>
              </w:rPr>
              <w:t xml:space="preserve"> </w:t>
            </w:r>
            <w:r w:rsidR="007B0EC7" w:rsidRPr="00760CCB">
              <w:rPr>
                <w:rFonts w:ascii="Times New Roman" w:eastAsia="Times New Roman" w:hAnsi="Times New Roman"/>
                <w:sz w:val="24"/>
                <w:szCs w:val="24"/>
                <w:lang w:val="lv-LV" w:eastAsia="lv-LV"/>
              </w:rPr>
              <w:t xml:space="preserve">Latvijas </w:t>
            </w:r>
            <w:r w:rsidRPr="00760CCB">
              <w:rPr>
                <w:rFonts w:ascii="Times New Roman" w:eastAsia="Times New Roman" w:hAnsi="Times New Roman"/>
                <w:sz w:val="24"/>
                <w:szCs w:val="24"/>
                <w:lang w:val="lv-LV" w:eastAsia="lv-LV"/>
              </w:rPr>
              <w:t xml:space="preserve">Administratīvo pārkāpumu kodeksā, Krimināllikumā, likumā “Par audzinoša rakstura piespiedu līdzekļu piemērošanu bērniem” (turpmāk – Audzinoša rakstura piespiedu līdzekļu likums) un Bērnu tiesību aizsardzības likumā. </w:t>
            </w:r>
          </w:p>
          <w:p w:rsidR="000E0934" w:rsidRPr="00760CCB" w:rsidRDefault="000E0934" w:rsidP="0019091B">
            <w:pPr>
              <w:jc w:val="both"/>
              <w:rPr>
                <w:rFonts w:ascii="Times New Roman" w:eastAsia="Times New Roman" w:hAnsi="Times New Roman"/>
                <w:sz w:val="24"/>
                <w:szCs w:val="24"/>
                <w:lang w:val="lv-LV" w:eastAsia="lv-LV"/>
              </w:rPr>
            </w:pPr>
          </w:p>
          <w:p w:rsidR="007B0EC7"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Latvijas Administratīvo pārkāpumu kodeksa 12.</w:t>
            </w:r>
            <w:r w:rsidRPr="00760CCB">
              <w:rPr>
                <w:rFonts w:ascii="Times New Roman" w:eastAsia="Times New Roman" w:hAnsi="Times New Roman"/>
                <w:sz w:val="24"/>
                <w:szCs w:val="24"/>
                <w:vertAlign w:val="superscript"/>
                <w:lang w:val="lv-LV" w:eastAsia="lv-LV"/>
              </w:rPr>
              <w:t>1</w:t>
            </w:r>
            <w:r w:rsidRPr="00760CCB">
              <w:rPr>
                <w:rFonts w:ascii="Times New Roman" w:eastAsia="Times New Roman" w:hAnsi="Times New Roman"/>
                <w:sz w:val="24"/>
                <w:szCs w:val="24"/>
                <w:lang w:val="lv-LV" w:eastAsia="lv-LV"/>
              </w:rPr>
              <w:t xml:space="preserve">pants nosaka, ka </w:t>
            </w:r>
            <w:r w:rsidR="007B0EC7" w:rsidRPr="00760CCB">
              <w:rPr>
                <w:rFonts w:ascii="Times New Roman" w:eastAsia="Times New Roman" w:hAnsi="Times New Roman"/>
                <w:sz w:val="24"/>
                <w:szCs w:val="24"/>
                <w:lang w:val="lv-LV" w:eastAsia="lv-LV"/>
              </w:rPr>
              <w:t>“nepilngadīgajiem vecumā no 14 līdz 18 gadiem par administratīvo pārkāpumu izdarīšanu piemēro audzinoša rakstura piespiedu līdzekļus. Administratīvo sodu nepilngadīgajam vecumā no 14 līdz 18 gadiem piemēro, ja audzinoša rakstura piespiedu līdzekļa piemērošana konkrētajā gadījumā nav lietderīga.” Likums nosaka to, ka audzinoša rakstura piespiedu līdzekļu piemērošana bērniem ir primāra pār administratīvo sodīšanu, tomēr neizslēdz arī administratīvā soda piemēro</w:t>
            </w:r>
            <w:r w:rsidR="000D364A" w:rsidRPr="00760CCB">
              <w:rPr>
                <w:rFonts w:ascii="Times New Roman" w:eastAsia="Times New Roman" w:hAnsi="Times New Roman"/>
                <w:sz w:val="24"/>
                <w:szCs w:val="24"/>
                <w:lang w:val="lv-LV" w:eastAsia="lv-LV"/>
              </w:rPr>
              <w:t xml:space="preserve">šanu. Šāda kārtība ieviesta no 2016.gada 1.jūnija. Līdz tam likumā nebija noteikts pietiekami skaidrs nošķīrums starp gadījumiem, kad jāpiemēro audzinoša rakstura piespiedu līdzekli, kad administratīvais sods. Statistika par laika periodu līdz 2016.gada 1.jūnijam rādīja, ka 97% gadījumu bērniem tika piemēroti administratīvie sodi – brīdinājumi un naudas sodi. </w:t>
            </w:r>
          </w:p>
          <w:p w:rsidR="000D364A" w:rsidRPr="00760CCB" w:rsidRDefault="000D364A" w:rsidP="0019091B">
            <w:pPr>
              <w:jc w:val="both"/>
              <w:rPr>
                <w:rFonts w:ascii="Times New Roman" w:eastAsia="Times New Roman" w:hAnsi="Times New Roman"/>
                <w:sz w:val="24"/>
                <w:szCs w:val="24"/>
                <w:lang w:val="lv-LV" w:eastAsia="lv-LV"/>
              </w:rPr>
            </w:pPr>
          </w:p>
          <w:p w:rsidR="00EC5892" w:rsidRPr="00760CCB" w:rsidRDefault="00106A33"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 xml:space="preserve">Līdzīga situācija veidojas arī krimināltiesiskajā atbildībā. </w:t>
            </w:r>
            <w:r w:rsidR="000D364A" w:rsidRPr="00760CCB">
              <w:rPr>
                <w:rFonts w:ascii="Times New Roman" w:eastAsia="Times New Roman" w:hAnsi="Times New Roman"/>
                <w:sz w:val="24"/>
                <w:szCs w:val="24"/>
                <w:lang w:val="lv-LV" w:eastAsia="lv-LV"/>
              </w:rPr>
              <w:t>Krimināllikuma 66.panta pirmajā daļā noteikts: “Ievērojot noziedzīgā nodarījuma izdarīšanas īpašus apstākļus un par vainīgā personību iegūtās ziņas, kas mīkstina viņa atbildību, tiesa var nepilngadīgo atbrīvot no piespriestā soda, piemērojot likumā noteiktos audzinoša rakstura piespiedu līdzekļus.”</w:t>
            </w:r>
            <w:r w:rsidR="000936D7">
              <w:rPr>
                <w:rFonts w:ascii="Times New Roman" w:eastAsia="Times New Roman" w:hAnsi="Times New Roman"/>
                <w:sz w:val="24"/>
                <w:szCs w:val="24"/>
                <w:lang w:val="lv-LV" w:eastAsia="lv-LV"/>
              </w:rPr>
              <w:t xml:space="preserve"> Savukārt Kriminālprocesa 522. p</w:t>
            </w:r>
            <w:r w:rsidR="000D364A" w:rsidRPr="00760CCB">
              <w:rPr>
                <w:rFonts w:ascii="Times New Roman" w:eastAsia="Times New Roman" w:hAnsi="Times New Roman"/>
                <w:sz w:val="24"/>
                <w:szCs w:val="24"/>
                <w:lang w:val="lv-LV" w:eastAsia="lv-LV"/>
              </w:rPr>
              <w:t xml:space="preserve">antā noteikts, ka “ja tiesa atzīst, ka nepilngadīgais apsūdzētais izdarījis noziedzīgu nodarījumu, taču ievērojot šā nodarījuma izdarīšanas īpašos apstākļus un par vainīgā personu iegūtās ziņas, kas mīkstina viņa atbildību, tiesa var viņu atbrīvot no piespriestā soda un piemērot likumā paredzētos audzinoša rakstura piespiedu līdzekļus. Piemērojot audzinoša rakstura piespiedu līdzekli, tiesa ņem vērā noziedzīga nodarījuma raksturu un bīstamību, apsūdzētā personu raksturojošos datus, kā arī viņa atbildību pastiprinošos un mīkstinošos apstākļus.” </w:t>
            </w:r>
            <w:r w:rsidR="00C97D08" w:rsidRPr="00760CCB">
              <w:rPr>
                <w:rFonts w:ascii="Times New Roman" w:eastAsia="Times New Roman" w:hAnsi="Times New Roman"/>
                <w:sz w:val="24"/>
                <w:szCs w:val="24"/>
                <w:lang w:val="lv-LV" w:eastAsia="lv-LV"/>
              </w:rPr>
              <w:t xml:space="preserve">Kā redzams likums paredz audzinoša rakstura piespiedu līdzekli piemērot tad, ja tas iespējams tieši noziedzīgā nodarījuma rakstura, bīstamības un izdarīšanas apstākļu dēļ. Jautājums par noziedzīgo nodarījumu izdarījušā bērna personību un apstākļiem ir pavisam sekundārs. Tātad šajos gadījumos galvenokārt tiek vērtēts, ko bērns izdarījis, nevis, kāpēc bērns noziedzīgo nodarījumu ir izdarījis. </w:t>
            </w:r>
            <w:r w:rsidR="00CE492D" w:rsidRPr="00760CCB">
              <w:rPr>
                <w:rFonts w:ascii="Times New Roman" w:eastAsia="Times New Roman" w:hAnsi="Times New Roman"/>
                <w:sz w:val="24"/>
                <w:szCs w:val="24"/>
                <w:lang w:val="lv-LV" w:eastAsia="lv-LV"/>
              </w:rPr>
              <w:t xml:space="preserve">Arī kriminālatbildības jomā bērniem dominē “klasiskie” kriminālsodi. </w:t>
            </w:r>
            <w:r w:rsidR="002C095B" w:rsidRPr="00760CCB">
              <w:rPr>
                <w:rFonts w:ascii="Times New Roman" w:eastAsia="Times New Roman" w:hAnsi="Times New Roman"/>
                <w:sz w:val="24"/>
                <w:szCs w:val="24"/>
                <w:lang w:val="lv-LV" w:eastAsia="lv-LV"/>
              </w:rPr>
              <w:t xml:space="preserve">Piemēram 2014.gadā ar spēkā stājušos tiesas spriedumu notiesāts 531 bērns. No tiem 509 bērniem piemēroti kriminālsodi un tikai 22 – audzinoša </w:t>
            </w:r>
            <w:r w:rsidR="002C095B" w:rsidRPr="00760CCB">
              <w:rPr>
                <w:rFonts w:ascii="Times New Roman" w:eastAsia="Times New Roman" w:hAnsi="Times New Roman"/>
                <w:sz w:val="24"/>
                <w:szCs w:val="24"/>
                <w:lang w:val="lv-LV" w:eastAsia="lv-LV"/>
              </w:rPr>
              <w:lastRenderedPageBreak/>
              <w:t xml:space="preserve">rakstura piespiedu līdzekļi. Tātad audzinoša rakstura piespiedu līdzekļi piemēroti 4,3% gadījumu. Arī citos gados šāda tendence saglabājas. </w:t>
            </w:r>
          </w:p>
          <w:p w:rsidR="00F26E42" w:rsidRPr="00760CCB" w:rsidRDefault="00F26E42" w:rsidP="00F26E42">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Lai arī kriminālprocesu un administratīvo procesu regulējošie normatīvie akti nosaka zināmas atšķirības procesā, ja pie atbildības tiek saukts nepilngadīgais (piemēram, attiecībā uz nepilngadīgā nopratināšanu Kriminālprocesa 152., 153.pants), tomēr kopumā atbildīgās iestādes nepilngadīgā lietu izskata tāpat kā pilngadīgās personas lietu. Tiek noskaidroti notikušā apstākļi un, ja ir pietiekams pamats personu uzskatīt par vainīgu nodarītajā, tiek piespriests sods. Šobrīd pastāvošās sistēmas ietvaros netiek meklēts cēlonis, kāpēc bērns izdarīja likumpārkāpumu, kas viņu uz to pamudināja, un netiek spriests, ko darīt, lai bērns mainītu savu uzvedību un turpmāk spētu iekļauties sabiedrībā, atkārtoti neizdarot likumpārkāpumus. Kriminālsoda piemērošana bērniem, kuri nav izdarījuši smagus vai sevišķi smagus noziegumus, nesasniedz sabiedrībai nepieciešamo mērķi – bērns kā pilnvērtīgs sabiedrības loceklis bez antisociālas uzvedības izpausmēm. Lai arī bērna fizioloģiskās attīstības pakāpe bieži vien ir pielīdzināma pieauguša cilvēka fizioloģiskās attīstības pakāpe, bērna psiholoģiskās attīstības pakāpe un emocionālais briedums nav pielīdzinām</w:t>
            </w:r>
            <w:r w:rsidR="000165CE">
              <w:rPr>
                <w:rFonts w:ascii="Times New Roman" w:eastAsia="Times New Roman" w:hAnsi="Times New Roman"/>
                <w:sz w:val="24"/>
                <w:szCs w:val="24"/>
                <w:lang w:val="lv-LV" w:eastAsia="lv-LV"/>
              </w:rPr>
              <w:t>s</w:t>
            </w:r>
            <w:r w:rsidRPr="00760CCB">
              <w:rPr>
                <w:rFonts w:ascii="Times New Roman" w:eastAsia="Times New Roman" w:hAnsi="Times New Roman"/>
                <w:sz w:val="24"/>
                <w:szCs w:val="24"/>
                <w:lang w:val="lv-LV" w:eastAsia="lv-LV"/>
              </w:rPr>
              <w:t xml:space="preserve"> pieauguša cilvēka emocionālajam briedumam. Līdz ar to bērns nav spējīgs izprast nedz kriminālso</w:t>
            </w:r>
            <w:r w:rsidR="000165CE">
              <w:rPr>
                <w:rFonts w:ascii="Times New Roman" w:eastAsia="Times New Roman" w:hAnsi="Times New Roman"/>
                <w:sz w:val="24"/>
                <w:szCs w:val="24"/>
                <w:lang w:val="lv-LV" w:eastAsia="lv-LV"/>
              </w:rPr>
              <w:t>da sodošo dabu, nedz kriminālprocesa ietva</w:t>
            </w:r>
            <w:r w:rsidRPr="00760CCB">
              <w:rPr>
                <w:rFonts w:ascii="Times New Roman" w:eastAsia="Times New Roman" w:hAnsi="Times New Roman"/>
                <w:sz w:val="24"/>
                <w:szCs w:val="24"/>
                <w:lang w:val="lv-LV" w:eastAsia="lv-LV"/>
              </w:rPr>
              <w:t xml:space="preserve">ros veikto procesuālo darbību būtību. </w:t>
            </w:r>
            <w:r w:rsidR="0022662B" w:rsidRPr="00760CCB">
              <w:rPr>
                <w:rFonts w:ascii="Times New Roman" w:eastAsia="Times New Roman" w:hAnsi="Times New Roman"/>
                <w:sz w:val="24"/>
                <w:szCs w:val="24"/>
                <w:lang w:val="lv-LV" w:eastAsia="lv-LV"/>
              </w:rPr>
              <w:t>Kā norādīts pētījumā „Bērniem draudzīga tiesiskā vide Latvijā: fokusā – likump</w:t>
            </w:r>
            <w:r w:rsidR="000165CE">
              <w:rPr>
                <w:rFonts w:ascii="Times New Roman" w:eastAsia="Times New Roman" w:hAnsi="Times New Roman"/>
                <w:sz w:val="24"/>
                <w:szCs w:val="24"/>
                <w:lang w:val="lv-LV" w:eastAsia="lv-LV"/>
              </w:rPr>
              <w:t>ārkāpumu prevencija” (turpmāk - </w:t>
            </w:r>
            <w:r w:rsidR="0022662B" w:rsidRPr="00760CCB">
              <w:rPr>
                <w:rFonts w:ascii="Times New Roman" w:eastAsia="Times New Roman" w:hAnsi="Times New Roman"/>
                <w:sz w:val="24"/>
                <w:szCs w:val="24"/>
                <w:lang w:val="lv-LV" w:eastAsia="lv-LV"/>
              </w:rPr>
              <w:t>bērniem draudzīgas vides pētījums) “bērnam vai jaunietim piemērotās sankcijas un soda izpildes fakts atstāj sekas ne tikai viņu biogrāfijā, bet lielākoties viņa attīstībā. Jo nopietnāks likuma pārkāpums, jo smagāks ir sods; jo smagāks sods, jo vairāk jaunietis tiek atrauts no ierastās vides, rodas vai turpinās veidoties robi izglītībā, profesionālo prasmju gūšanā un attīstībā kopumā. Pēc sodu izpildes sabiedrībai ir jāpieliek papildus pūles, lai jauno cilvēku integrētu sabiedrībā, un, lai atstumtības dēļ, jaunietis neatkārtotu likuma pārkāpumus. Šajā brīdī uzmanība jāpievērš tam, ka jaunietis vairs neattīstās tā, kā tie bērni, kuru likteni saskarsme ar justīcijas bargo pusi nav skārusi, kuri ir bijuši veiksmīgi izglītības, profesijas iegūšanā un karjeras attīstībā – viņi ir kļuvuši gatavi dot sabiedrībai, nevis ņemt no tās. Pretstatā tam, nepilngadīgais vai jaunietis, kura dzīvi ir ietekmējusi likumpārkāpuma izdarīšana un soda izpildes laiks, aizvien vēl būs atbalstāms un sniegt ieguldījumu sabiedrības labā varēs daudz vēlāk, bet daudzi to negribēs vai nespēs nekad” .</w:t>
            </w:r>
          </w:p>
          <w:p w:rsidR="000E0934" w:rsidRPr="00760CCB" w:rsidRDefault="000E0934" w:rsidP="0019091B">
            <w:pPr>
              <w:jc w:val="both"/>
              <w:rPr>
                <w:rFonts w:ascii="Times New Roman" w:eastAsia="Times New Roman" w:hAnsi="Times New Roman"/>
                <w:b/>
                <w:sz w:val="24"/>
                <w:szCs w:val="24"/>
                <w:lang w:val="lv-LV" w:eastAsia="lv-LV"/>
              </w:rPr>
            </w:pPr>
          </w:p>
          <w:p w:rsidR="0019091B"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 xml:space="preserve">Saskaņā ar Audzinoša rakstura piespiedu līdzekļu likuma 6.panta pirmo daļu bērnam ir iespējams piemērot šādus audzinoša rakstura piespiedu līdzekļus: </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1) izteikt brīdinājumu;</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2) uzlikt par pienākumu atvainoties cietušajām personām, ja tās piekrīt tikties ar vainīgo;</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3) nodot bērnu galvojumā vecākiem vai aizbildņiem, kā arī citām personām, iestādēm vai organizācijām;</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4) uzlikt par pienākumu ar savu darbu novērst radītā kaitējuma sekas;</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lastRenderedPageBreak/>
              <w:t>5) bērnam, kurš sasniedzis 15 gadu vecumu un kuram ir ienākumi, — uzlikt par pienākumu atlīdzināt nodarīto zaudējumu;</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6) noteikt uzvedības ierobežojumus;</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7) uzlikt par pienākumu veikt sabiedrisko darbu;</w:t>
            </w:r>
          </w:p>
          <w:p w:rsidR="0019091B" w:rsidRPr="00760CCB" w:rsidRDefault="0019091B" w:rsidP="0019091B">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8) ievietot bērnu sociālās korekcijas izglītības iestādē.</w:t>
            </w:r>
          </w:p>
          <w:p w:rsidR="00164D9A" w:rsidRPr="00760CCB" w:rsidRDefault="00164D9A" w:rsidP="00EF408D">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Audzinoša rakstura piespiedu līdzekļi tiek piem</w:t>
            </w:r>
            <w:r w:rsidR="00EF408D" w:rsidRPr="00760CCB">
              <w:rPr>
                <w:rFonts w:ascii="Times New Roman" w:eastAsia="Times New Roman" w:hAnsi="Times New Roman"/>
                <w:sz w:val="24"/>
                <w:szCs w:val="24"/>
                <w:lang w:val="lv-LV" w:eastAsia="lv-LV"/>
              </w:rPr>
              <w:t xml:space="preserve">ēroti, izvērtējot, cik smags ir bērna izdarītais likumpārkāpums. Lai arī Audzinoša rakstura piespiedu līdzekļu likums kopumā liek vērtēt arī bērna personību un sadzīves apstākļus, veids, kādā šī informācija tiek vākta, nevar nodrošināt to, ka savāktā informācija patiesi uzrāda bērna antisociālās uzvedības cēloņus. Lai sagatavotu lietu izskatīšanai tiek savāktas šādas ziņas: 1) izziņa no sodu reģistra par bērna (kurš sasniedzis 14 gadu vecumu) agrāk izdarītajiem likumpārkāpumiem; 2) izziņa no ģimenes ārsta par bērna veselības stāvokli; 3) raksturojums no izglītības iestādes, ja bērns apmeklē izglītības iestādi, vai darbavietas, ja bērns strādā; 4) izziņa no pašvaldības sociālā dienesta par bērna sadzīves apstākļiem. Šādas atsevišķi savāktas ziņas var gan norādīt uz kādu no cēloņiem, kādēļ bērna uzvedība ir sabiedrībai nepieņemama, taču tikpat iespējams, ka šajās izziņas nozīmīgi fakti neparādās. </w:t>
            </w:r>
          </w:p>
          <w:p w:rsidR="00EF408D" w:rsidRPr="00760CCB" w:rsidRDefault="00EF408D" w:rsidP="00EF408D">
            <w:pPr>
              <w:ind w:firstLine="300"/>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Audzinoša rakstura piespiedu līdzek</w:t>
            </w:r>
            <w:r w:rsidR="00F57A62" w:rsidRPr="00760CCB">
              <w:rPr>
                <w:rFonts w:ascii="Times New Roman" w:eastAsia="Times New Roman" w:hAnsi="Times New Roman"/>
                <w:sz w:val="24"/>
                <w:szCs w:val="24"/>
                <w:lang w:val="lv-LV" w:eastAsia="lv-LV"/>
              </w:rPr>
              <w:t>ļu sistēm</w:t>
            </w:r>
            <w:r w:rsidR="00141269" w:rsidRPr="00760CCB">
              <w:rPr>
                <w:rFonts w:ascii="Times New Roman" w:eastAsia="Times New Roman" w:hAnsi="Times New Roman"/>
                <w:sz w:val="24"/>
                <w:szCs w:val="24"/>
                <w:lang w:val="lv-LV" w:eastAsia="lv-LV"/>
              </w:rPr>
              <w:t>ā ir četri</w:t>
            </w:r>
            <w:r w:rsidR="00F57A62" w:rsidRPr="00760CCB">
              <w:rPr>
                <w:rFonts w:ascii="Times New Roman" w:eastAsia="Times New Roman" w:hAnsi="Times New Roman"/>
                <w:sz w:val="24"/>
                <w:szCs w:val="24"/>
                <w:lang w:val="lv-LV" w:eastAsia="lv-LV"/>
              </w:rPr>
              <w:t xml:space="preserve"> būtiski trūkumi. Pirmkārt, tā reaģē novēloti, </w:t>
            </w:r>
            <w:r w:rsidR="00953A37" w:rsidRPr="00760CCB">
              <w:rPr>
                <w:rFonts w:ascii="Times New Roman" w:eastAsia="Times New Roman" w:hAnsi="Times New Roman"/>
                <w:sz w:val="24"/>
                <w:szCs w:val="24"/>
                <w:lang w:val="lv-LV" w:eastAsia="lv-LV"/>
              </w:rPr>
              <w:t xml:space="preserve">jo tiesībsargājošo iestāžu redzeslokā bērns nonāk 14 gadu vecumā, pavisam reti – 11 gadu vecumā </w:t>
            </w:r>
            <w:r w:rsidR="00141269" w:rsidRPr="00760CCB">
              <w:rPr>
                <w:rFonts w:ascii="Times New Roman" w:eastAsia="Times New Roman" w:hAnsi="Times New Roman"/>
                <w:sz w:val="24"/>
                <w:szCs w:val="24"/>
                <w:lang w:val="lv-LV" w:eastAsia="lv-LV"/>
              </w:rPr>
              <w:t>–</w:t>
            </w:r>
            <w:r w:rsidR="000932E3" w:rsidRPr="00760CCB">
              <w:rPr>
                <w:rFonts w:ascii="Times New Roman" w:eastAsia="Times New Roman" w:hAnsi="Times New Roman"/>
                <w:sz w:val="24"/>
                <w:szCs w:val="24"/>
                <w:lang w:val="lv-LV" w:eastAsia="lv-LV"/>
              </w:rPr>
              <w:t xml:space="preserve"> </w:t>
            </w:r>
            <w:r w:rsidR="00141269" w:rsidRPr="00760CCB">
              <w:rPr>
                <w:rFonts w:ascii="Times New Roman" w:eastAsia="Times New Roman" w:hAnsi="Times New Roman"/>
                <w:sz w:val="24"/>
                <w:szCs w:val="24"/>
                <w:lang w:val="lv-LV" w:eastAsia="lv-LV"/>
              </w:rPr>
              <w:t xml:space="preserve">parasti šādā vecumā antisociālā uzvedība ir jau diezgan izteikta. Otrkārt, audzinoša rakstura piespiedu līdzeklis korespondē bērna izdarītajam likumpārkāpumam, tā juridiskajai kvalifikācijai, izdarīšanas laikam, veidam un apstākļiem. Šāda reakcija nevar būt vērsta uz likumpārkāpumu izraisošo faktoru novēršanu. Tādejādi tas ir jāvērtē drīzāk kā sods, nevis palīdzība tādam bērnam, kas nonācis sociāli riskantos apstākļos. </w:t>
            </w:r>
            <w:r w:rsidR="00CE492D" w:rsidRPr="00760CCB">
              <w:rPr>
                <w:rFonts w:ascii="Times New Roman" w:eastAsia="Times New Roman" w:hAnsi="Times New Roman"/>
                <w:sz w:val="24"/>
                <w:szCs w:val="24"/>
                <w:lang w:val="lv-LV" w:eastAsia="lv-LV"/>
              </w:rPr>
              <w:t xml:space="preserve">Treškārt, informācija, kas tiek vākta par bērna personību un sadzīvi raksturojošiem apstākļiem ir fragmentāra, šāda pierādījumu vākšana nenodrošina to, ka tiek noskaidroti bērna rīcības patiesie, visbiežāk ārpusēji neredzamie un dziļi slēptie iemesli. Ceturtkārt, audzinoša rakstura piespiedu līdzekļi tiek piemēroti tikai bērniem, kas izdarījuši administratīvu pārkāpumu vai noziedzīgu nodarījumu, savukārt ja likumpārkāpums oficiāli netiek fiksēts, vai bērna antisociālajai uzvedībai ir izteikti pasīvs raksturs (neēšana, nemācīšanās, aizbēgšana no mājām, pašsakropļošanās) tiesībsargājošo iestāžu redzeslokā šāds bērns nenonāk un arī audzinoša rakstura piespiedu līdzekļus nesaņem. </w:t>
            </w:r>
          </w:p>
          <w:p w:rsidR="0019091B" w:rsidRPr="00760CCB" w:rsidRDefault="0019091B" w:rsidP="0019091B">
            <w:pPr>
              <w:jc w:val="both"/>
              <w:rPr>
                <w:rFonts w:ascii="Times New Roman" w:eastAsia="Times New Roman" w:hAnsi="Times New Roman"/>
                <w:sz w:val="24"/>
                <w:szCs w:val="24"/>
                <w:lang w:val="lv-LV" w:eastAsia="lv-LV"/>
              </w:rPr>
            </w:pPr>
          </w:p>
          <w:p w:rsidR="0019091B"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 xml:space="preserve">Profilaktisko darbu ar nepilngadīgajiem nosaka Bērnu tiesību aizsardzības likums. Saskaņā ar šā likuma 58.pantu valsts iestāžu uzmanības lokā pamatā nonāk tie bērni, kuru uzvedība jau ir rezultējusies ar likumpārkāpumu, jo ir noteikts, ka pašvaldība profilakses lietu iekārto un uzvedības sociālās korekcijas programmu izstrādā katram bērnam, kurš: </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1) izdarījis noziedzīgu nodarījumu un pirmstiesas izmeklēšanas laikā nav apcietināts;</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lastRenderedPageBreak/>
              <w:t>2) atzīts par vainīgu noziedzīga nodarījuma izdarīšanā, bet sods nav saistīts ar brīvības atņemšanu;</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3) atbrīvots no kriminālatbildības;</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4) atbrīvots no ieslodzījuma vai soda izciešanas vietas;</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 xml:space="preserve">5) izdarījis </w:t>
            </w:r>
            <w:hyperlink r:id="rId9" w:tgtFrame="_blank" w:history="1">
              <w:r w:rsidRPr="00760CCB">
                <w:rPr>
                  <w:rFonts w:ascii="Times New Roman" w:eastAsia="Times New Roman" w:hAnsi="Times New Roman"/>
                  <w:sz w:val="24"/>
                  <w:szCs w:val="24"/>
                  <w:lang w:val="lv-LV" w:eastAsia="lv-LV"/>
                </w:rPr>
                <w:t>Krimināllikumā</w:t>
              </w:r>
            </w:hyperlink>
            <w:r w:rsidRPr="00760CCB">
              <w:rPr>
                <w:rFonts w:ascii="Times New Roman" w:eastAsia="Times New Roman" w:hAnsi="Times New Roman"/>
                <w:sz w:val="24"/>
                <w:szCs w:val="24"/>
                <w:lang w:val="lv-LV" w:eastAsia="lv-LV"/>
              </w:rPr>
              <w:t xml:space="preserve"> paredzētās prettiesiskās darbības pirms 14 gadu vecuma sasniegšanas;</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6) vairāk nekā divas reizes izdarījis Administratīvo pārkāpumu kodeksā paredzētās prettiesiskās darbības;</w:t>
            </w:r>
          </w:p>
          <w:p w:rsidR="0019091B" w:rsidRPr="00760CCB" w:rsidRDefault="0019091B" w:rsidP="0019091B">
            <w:pPr>
              <w:ind w:firstLine="301"/>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7) ubago, klaiņo vai veic citas darbības, kas var novest pie prettiesiskas rīcības.</w:t>
            </w:r>
          </w:p>
          <w:p w:rsidR="0019091B"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Saskaņā ar Bērnu tiesību aizsardzības likumu arī Valsts policija var ņemt profilaktiskajā uzskaitē bērnus, kas izdarījuši likumpārkāpumus, vai tās līdzdalība ir paredzēta pašvaldības izstrādātajā sociālās korekcijas programmā.</w:t>
            </w:r>
          </w:p>
          <w:p w:rsidR="0019091B" w:rsidRPr="00760CCB" w:rsidRDefault="0019091B" w:rsidP="0019091B">
            <w:pPr>
              <w:ind w:firstLine="720"/>
              <w:jc w:val="both"/>
              <w:rPr>
                <w:rFonts w:ascii="Times New Roman" w:eastAsia="Times New Roman" w:hAnsi="Times New Roman"/>
                <w:sz w:val="24"/>
                <w:szCs w:val="24"/>
                <w:lang w:val="lv-LV" w:eastAsia="lv-LV"/>
              </w:rPr>
            </w:pPr>
          </w:p>
          <w:p w:rsidR="0019091B" w:rsidRPr="00760CCB" w:rsidRDefault="0019091B" w:rsidP="0019091B">
            <w:pPr>
              <w:jc w:val="both"/>
              <w:rPr>
                <w:rFonts w:ascii="Times New Roman" w:eastAsia="Times New Roman" w:hAnsi="Times New Roman"/>
                <w:sz w:val="24"/>
                <w:szCs w:val="24"/>
                <w:lang w:val="lv-LV" w:eastAsia="lv-LV"/>
              </w:rPr>
            </w:pPr>
            <w:r w:rsidRPr="00760CCB">
              <w:rPr>
                <w:rFonts w:ascii="Times New Roman" w:eastAsia="Times New Roman" w:hAnsi="Times New Roman"/>
                <w:sz w:val="24"/>
                <w:szCs w:val="24"/>
                <w:lang w:val="lv-LV" w:eastAsia="lv-LV"/>
              </w:rPr>
              <w:t>Šobrīd Latvijā pastāvošā sistēma nenodrošina to, lai laikus tiktu identificēti riski, kas norādītu uz to, ka bērns nākotnē varētu izdarīt kādu likumpārkāpumu, un tādējādi netiek nodrošināta šiem bērniem nepieciešamā pastiprinātā uzmanība. Šobrīd valsts iestāžu uzmanības lokā pamatā nonāk tie bērni, kuru uzvedība jau ir rezultējusies ar likumpārkāpumu, lai arī Bērnu tiesību aizsardzības likuma 58.panta otrajā daļā ir noteikts, ka pašvaldība profilakses lietu iekārto un uzvedības sociālās korekcijas programmu izstrādā katram bērnam, kurš veic darbības, kas var novest pie prettiesiskas rīcības.</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Latvijas Republikas tiesībsarga 2015.gada ziņojumā</w:t>
            </w:r>
            <w:r w:rsidRPr="00760CCB">
              <w:rPr>
                <w:rFonts w:ascii="Times New Roman" w:hAnsi="Times New Roman"/>
                <w:sz w:val="24"/>
                <w:szCs w:val="24"/>
                <w:vertAlign w:val="superscript"/>
                <w:lang w:val="lv-LV"/>
              </w:rPr>
              <w:footnoteReference w:id="10"/>
            </w:r>
            <w:r w:rsidRPr="00760CCB">
              <w:rPr>
                <w:rFonts w:ascii="Times New Roman" w:hAnsi="Times New Roman"/>
                <w:sz w:val="24"/>
                <w:szCs w:val="24"/>
                <w:lang w:val="lv-LV"/>
              </w:rPr>
              <w:t xml:space="preserve"> attiecībā par preventīvo darbu pašvaldībās secināts, ka pedagogi un vecāki pietiekami agri var labi pamanīt bērna uzvedības problēmas, taču nepieciešamo atbalstu bērns visbiežāk laikus nesaņem. Vecākiem ir grūti pieņemt faktu, ka uzvedības traucējumiem varētu būt psihiskās veselības, neiroloģiski vai citi cēloņi, tostarp audzināšanā pieļautas kļūdas. Savukārt pedagogi sevi neapzinās kā bērnu tiesību aizsardzības subjektus, kuriem ir pienākums reaģēt, saskaroties ar pirmajām uzvedības, emocionālo vai mācīšanās traucējumu pazīmēm. Vēl joprojām 50 pašvaldībās uzvedības korekcijas programmas bērniem netiek izstrādātas pēc izglītības iestādes iniciatīvas, kaut gan saskaņā ar normatīvo regulējumu izglītības iestādei ir pienākums ziņot pašvaldībai, ja bērna uzvedībā nav uzlabojumu pēc skolas vai bērnudārza veiktajiem atbalsta pasākumiem. Tiesībsarga veiktajā aptaujā sociālie dienesti kā problēmu norāda, ka no skolām informācija sociālajā dienestā nonāk novēloti, kad problēmas jau ir ļoti aktuālas.</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2015. gadā 28 pašvaldībās programmas izstrādāja tikai pēc policijas iniciatīvas – tas ir novēloti, tad, kad bērns jau ir izdarījis likumpārkāpumu. To apstiprina arī pašvaldības: “Tā kā aktīvs preventīvais darbs ar bērnu tiek uzsākts </w:t>
            </w:r>
            <w:r w:rsidRPr="00760CCB">
              <w:rPr>
                <w:rFonts w:ascii="Times New Roman" w:hAnsi="Times New Roman"/>
                <w:sz w:val="24"/>
                <w:szCs w:val="24"/>
                <w:lang w:val="lv-LV"/>
              </w:rPr>
              <w:lastRenderedPageBreak/>
              <w:t>pēc policijas vai probācijas dienesta ziņojuma, tad bieži vien tas ir novēloti un nedod vēlamo efektu.”</w:t>
            </w:r>
          </w:p>
          <w:p w:rsidR="0019091B" w:rsidRPr="00760CCB" w:rsidRDefault="0019091B" w:rsidP="0019091B">
            <w:pPr>
              <w:spacing w:after="200" w:line="276" w:lineRule="auto"/>
              <w:jc w:val="both"/>
              <w:rPr>
                <w:rFonts w:ascii="Times New Roman" w:hAnsi="Times New Roman"/>
                <w:sz w:val="24"/>
                <w:szCs w:val="24"/>
                <w:lang w:val="lv-LV"/>
              </w:rPr>
            </w:pPr>
            <w:r w:rsidRPr="00760CCB">
              <w:rPr>
                <w:rFonts w:ascii="Times New Roman" w:eastAsia="Times New Roman" w:hAnsi="Times New Roman"/>
                <w:sz w:val="24"/>
                <w:szCs w:val="24"/>
                <w:lang w:val="lv-LV" w:eastAsia="lv-LV"/>
              </w:rPr>
              <w:t xml:space="preserve">104 pašvaldībās </w:t>
            </w:r>
            <w:r w:rsidRPr="00760CCB">
              <w:rPr>
                <w:rFonts w:ascii="Times New Roman" w:hAnsi="Times New Roman"/>
                <w:sz w:val="24"/>
                <w:szCs w:val="24"/>
                <w:lang w:val="lv-LV"/>
              </w:rPr>
              <w:t>uzvedības sociālās korekcijas programmu izstrādāšana ir deleģēta sociālajam dienestam, 6 – starpinstitūciju komisijai, pārējās - citām pašvaldības iestādēm. Divās pašvaldībās programmas neizstrādā. 98 pašvaldībās 2015. gadā programmas ir izstrādātas 0 – 10 bērniem. Ņemot vērā, ka bērni ar uzvedības traucējumiem ir gandrīz katrā klasē, tas liecina, ka katrs riska grupas bērns viņa vajadzībām atbilstošu palīdzību nesaņem</w:t>
            </w:r>
            <w:r w:rsidRPr="00760CCB">
              <w:rPr>
                <w:rFonts w:ascii="Times New Roman" w:hAnsi="Times New Roman"/>
                <w:sz w:val="24"/>
                <w:szCs w:val="24"/>
                <w:vertAlign w:val="superscript"/>
                <w:lang w:val="lv-LV"/>
              </w:rPr>
              <w:footnoteReference w:id="11"/>
            </w:r>
            <w:r w:rsidR="000165CE">
              <w:rPr>
                <w:rFonts w:ascii="Times New Roman" w:hAnsi="Times New Roman"/>
                <w:sz w:val="24"/>
                <w:szCs w:val="24"/>
                <w:lang w:val="lv-LV"/>
              </w:rPr>
              <w:t>"</w:t>
            </w:r>
            <w:r w:rsidRPr="00760CCB">
              <w:rPr>
                <w:rFonts w:ascii="Times New Roman" w:hAnsi="Times New Roman"/>
                <w:sz w:val="24"/>
                <w:szCs w:val="24"/>
                <w:lang w:val="lv-LV"/>
              </w:rPr>
              <w:t>.</w:t>
            </w:r>
          </w:p>
          <w:p w:rsidR="0019091B" w:rsidRPr="00760CCB" w:rsidRDefault="0019091B" w:rsidP="0019091B">
            <w:pPr>
              <w:jc w:val="both"/>
              <w:rPr>
                <w:rFonts w:ascii="Times New Roman" w:hAnsi="Times New Roman"/>
                <w:sz w:val="24"/>
                <w:szCs w:val="24"/>
                <w:lang w:val="lv-LV"/>
              </w:rPr>
            </w:pPr>
            <w:r w:rsidRPr="00760CCB">
              <w:rPr>
                <w:rFonts w:ascii="Times New Roman" w:eastAsia="Times New Roman" w:hAnsi="Times New Roman"/>
                <w:sz w:val="24"/>
                <w:szCs w:val="24"/>
                <w:lang w:val="lv-LV" w:eastAsia="lv-LV"/>
              </w:rPr>
              <w:t>No statistikas redzams, cik plaši Latvijā ir izplatīta dažāda veida vardarbība, kā arī citi pārkāpumi pret bērniem. Katrs bērna tiesību pārkāpums veido bērna attīstībai nelabvēlīgu vidi un paaugstina iespēju, ka bērns, kurš pats ir bijis upuris, nākotnē, iespējams, kļūs par varmāku. Ja bērns atrodas diskomfortā un apkārtējā vide tam nav labvēlīga un piemērota, bērns sāk izrādīt antisociālu uzvedību. Kā minēts bērniem draudzīgas vides pētījumā</w:t>
            </w:r>
            <w:r w:rsidRPr="00760CCB">
              <w:rPr>
                <w:rFonts w:ascii="Times New Roman" w:hAnsi="Times New Roman"/>
                <w:sz w:val="24"/>
                <w:szCs w:val="24"/>
                <w:lang w:val="lv-LV"/>
              </w:rPr>
              <w:t xml:space="preserve">, </w:t>
            </w:r>
            <w:r w:rsidRPr="00760CCB">
              <w:rPr>
                <w:rFonts w:ascii="Times New Roman" w:hAnsi="Times New Roman"/>
                <w:b/>
                <w:sz w:val="24"/>
                <w:szCs w:val="24"/>
                <w:u w:val="single"/>
                <w:lang w:val="lv-LV"/>
              </w:rPr>
              <w:t>„bērna uzvedība norāda, ka konkrētā bērna tiesības jau iepriekš tikušas pārkāptas, un viņa intereses kādā brīdī nav ievērotas vai palikušas novārtā. Aprūpes trūkums, vecāku un citu pieaugušo vienaldzība, nevēlēšanās saprast un apmierināt bērna vajadzības, noved viņu līdz likumpārkāpuma izdarīšanai</w:t>
            </w:r>
            <w:r w:rsidRPr="00760CCB">
              <w:rPr>
                <w:rFonts w:ascii="Times New Roman" w:hAnsi="Times New Roman"/>
                <w:sz w:val="24"/>
                <w:szCs w:val="24"/>
                <w:lang w:val="lv-LV"/>
              </w:rPr>
              <w:t>”</w:t>
            </w:r>
            <w:r w:rsidRPr="00760CCB">
              <w:rPr>
                <w:rFonts w:ascii="Times New Roman" w:hAnsi="Times New Roman"/>
                <w:sz w:val="24"/>
                <w:szCs w:val="24"/>
                <w:vertAlign w:val="superscript"/>
                <w:lang w:val="lv-LV"/>
              </w:rPr>
              <w:footnoteReference w:id="12"/>
            </w:r>
            <w:r w:rsidRPr="00760CCB">
              <w:rPr>
                <w:rFonts w:ascii="Times New Roman" w:hAnsi="Times New Roman"/>
                <w:sz w:val="24"/>
                <w:szCs w:val="24"/>
                <w:lang w:val="lv-LV"/>
              </w:rPr>
              <w:t>. Līdz ar to rodas situācija, kurā bērns, kas pats jau ir cietis no tam nelabvēlīgas vides, tiek sodīts divreiz – pirmo reizi emocionāli, atrodoties tam neatbilstošā vidē, otro, kad valsts ar tiesībsargājošo iestāžu palīdzību tam juridiski piemēro sodu.</w:t>
            </w:r>
            <w:r w:rsidR="005F146D" w:rsidRPr="00760CCB">
              <w:rPr>
                <w:rFonts w:ascii="Times New Roman" w:hAnsi="Times New Roman"/>
                <w:sz w:val="24"/>
                <w:szCs w:val="24"/>
                <w:lang w:val="lv-LV"/>
              </w:rPr>
              <w:t xml:space="preserve"> Tādejādi </w:t>
            </w:r>
            <w:r w:rsidR="00720F4D" w:rsidRPr="00760CCB">
              <w:rPr>
                <w:rFonts w:ascii="Times New Roman" w:hAnsi="Times New Roman"/>
                <w:sz w:val="24"/>
                <w:szCs w:val="24"/>
                <w:lang w:val="lv-LV"/>
              </w:rPr>
              <w:t>sodot bērnu, kas ir izrādījis antisociālu uzvedību, tai skaitā izdarot likumpārkāpumus, tiek sodīts upuris. Pie tam šeit ir novērojama zināma korelācija – jo būtiskāk bērns ir cietis no</w:t>
            </w:r>
            <w:r w:rsidR="00B6170B">
              <w:rPr>
                <w:rFonts w:ascii="Times New Roman" w:hAnsi="Times New Roman"/>
                <w:sz w:val="24"/>
                <w:szCs w:val="24"/>
                <w:lang w:val="lv-LV"/>
              </w:rPr>
              <w:t xml:space="preserve"> apkārtējo cilvēku vardarbības,</w:t>
            </w:r>
            <w:r w:rsidR="00720F4D" w:rsidRPr="00760CCB">
              <w:rPr>
                <w:rFonts w:ascii="Times New Roman" w:hAnsi="Times New Roman"/>
                <w:sz w:val="24"/>
                <w:szCs w:val="24"/>
                <w:lang w:val="lv-LV"/>
              </w:rPr>
              <w:t xml:space="preserve"> vienaldzības vai nelabvēlīgās ietekmes, jo nopietnākus likumpārkāpumus bērns izdara</w:t>
            </w:r>
          </w:p>
          <w:p w:rsidR="0019091B" w:rsidRPr="00760CCB" w:rsidRDefault="0019091B" w:rsidP="0019091B">
            <w:pPr>
              <w:autoSpaceDE w:val="0"/>
              <w:autoSpaceDN w:val="0"/>
              <w:adjustRightInd w:val="0"/>
              <w:jc w:val="both"/>
              <w:rPr>
                <w:rFonts w:ascii="Times New Roman" w:hAnsi="Times New Roman"/>
                <w:sz w:val="24"/>
                <w:szCs w:val="24"/>
                <w:lang w:val="lv-LV"/>
              </w:rPr>
            </w:pPr>
            <w:r w:rsidRPr="00760CCB">
              <w:rPr>
                <w:rFonts w:ascii="Times New Roman" w:hAnsi="Times New Roman"/>
                <w:sz w:val="24"/>
                <w:szCs w:val="24"/>
                <w:lang w:val="lv-LV"/>
              </w:rPr>
              <w:t xml:space="preserve">Ir valstis, kurās jau šobrīd bērnus, kuri izdarījuši likumpārkāpumus, pašus uzskata par upuriem, un tiem tiek piemēroti atbilstoši audzinoši izglītojoši līdzekļi. Tā, piemēram, Šveicē “Valē kantonā ir izveidots visnotaļ unikāls institūciju sadarbības tīkls, lai sniegtu atbalstu jauniešiem, kas izdarījuši likumpārkāpumu (vienlīdzīgi gan zēniem, gan meitenēm, bērniem un pusaudžiem). Sadarbības partneri vienojušies uzskatā, ka vairumā gadījumu jaunieši, kas nonākuši konfliktā ar likumu, nav vis noziedznieki, bet upuri, kas nonākuši sociālās, ar ģimeni vai skolu saistītās, vai profesionālās grūtībās. Dažkārt šīs grūtības ir ļoti nopietnas un nozīmīgas – tādos gadījumos ir jādara viss iespējamais, lai izvairītos no brīvības atņemšanas. Daži jaunieši ir izdarījuši nopietnus noziegumus, kamēr citi atkārtojuši sīkus likumpārkāpumus, tādējādi ar savu uzvedību radot problēmas sabiedrības daļai, pašvaldībai vai pilsētai, kurā viņi jūtas atstumti. Atņemt bērniem brīvību uz īsāku vai garāku laika posmu būtu </w:t>
            </w:r>
            <w:r w:rsidRPr="00760CCB">
              <w:rPr>
                <w:rFonts w:ascii="Times New Roman" w:hAnsi="Times New Roman"/>
                <w:sz w:val="24"/>
                <w:szCs w:val="24"/>
                <w:lang w:val="lv-LV"/>
              </w:rPr>
              <w:lastRenderedPageBreak/>
              <w:t>vieglākais risinājums. Šveices Juvenālās krimināltiesību sistēmas pamatdoma ir meklēt atbilstošu audzinoši izglītojošu līdzekli, lai nepieļautu, ka notiek jauniešu sacelšanās vai viņu izslēgšana no sabiedrības.”</w:t>
            </w:r>
            <w:r w:rsidRPr="00760CCB">
              <w:rPr>
                <w:rFonts w:ascii="Times New Roman" w:hAnsi="Times New Roman"/>
                <w:sz w:val="24"/>
                <w:szCs w:val="24"/>
                <w:vertAlign w:val="superscript"/>
                <w:lang w:val="lv-LV"/>
              </w:rPr>
              <w:footnoteReference w:id="13"/>
            </w:r>
          </w:p>
          <w:p w:rsidR="0019091B" w:rsidRPr="00760CCB" w:rsidRDefault="0019091B" w:rsidP="0019091B">
            <w:pPr>
              <w:autoSpaceDE w:val="0"/>
              <w:autoSpaceDN w:val="0"/>
              <w:adjustRightInd w:val="0"/>
              <w:jc w:val="both"/>
              <w:rPr>
                <w:rFonts w:ascii="Times New Roman" w:hAnsi="Times New Roman"/>
                <w:sz w:val="24"/>
                <w:szCs w:val="24"/>
                <w:lang w:val="lv-LV"/>
              </w:rPr>
            </w:pPr>
          </w:p>
          <w:p w:rsidR="0019091B" w:rsidRPr="00760CCB" w:rsidRDefault="0019091B" w:rsidP="0019091B">
            <w:pPr>
              <w:autoSpaceDE w:val="0"/>
              <w:autoSpaceDN w:val="0"/>
              <w:adjustRightInd w:val="0"/>
              <w:jc w:val="both"/>
              <w:rPr>
                <w:rFonts w:ascii="Times New Roman" w:hAnsi="Times New Roman"/>
                <w:sz w:val="24"/>
                <w:szCs w:val="24"/>
                <w:lang w:val="lv-LV"/>
              </w:rPr>
            </w:pPr>
          </w:p>
          <w:p w:rsidR="0019091B" w:rsidRPr="00760CCB" w:rsidRDefault="001E22EC" w:rsidP="001E22EC">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Zinātnieki, kas pēta bērnu antisociālas uzvedības </w:t>
            </w:r>
            <w:r w:rsidR="006A6E8D" w:rsidRPr="00760CCB">
              <w:rPr>
                <w:rFonts w:ascii="Times New Roman" w:hAnsi="Times New Roman"/>
                <w:sz w:val="24"/>
                <w:szCs w:val="24"/>
                <w:lang w:val="lv-LV"/>
              </w:rPr>
              <w:t>cēloņus</w:t>
            </w:r>
            <w:r w:rsidR="0019091B" w:rsidRPr="00760CCB">
              <w:rPr>
                <w:rFonts w:ascii="Times New Roman" w:hAnsi="Times New Roman"/>
                <w:sz w:val="24"/>
                <w:szCs w:val="24"/>
                <w:vertAlign w:val="superscript"/>
                <w:lang w:val="lv-LV"/>
              </w:rPr>
              <w:footnoteReference w:id="14"/>
            </w:r>
            <w:r w:rsidRPr="00760CCB">
              <w:rPr>
                <w:rFonts w:ascii="Times New Roman" w:hAnsi="Times New Roman"/>
                <w:sz w:val="24"/>
                <w:szCs w:val="24"/>
                <w:lang w:val="lv-LV"/>
              </w:rPr>
              <w:t xml:space="preserve"> ir identificējuši</w:t>
            </w:r>
            <w:r w:rsidR="0019091B" w:rsidRPr="00760CCB">
              <w:rPr>
                <w:rFonts w:ascii="Times New Roman" w:hAnsi="Times New Roman"/>
                <w:sz w:val="24"/>
                <w:szCs w:val="24"/>
                <w:lang w:val="lv-LV"/>
              </w:rPr>
              <w:t xml:space="preserve"> faktorus, kas var izra</w:t>
            </w:r>
            <w:r w:rsidRPr="00760CCB">
              <w:rPr>
                <w:rFonts w:ascii="Times New Roman" w:hAnsi="Times New Roman"/>
                <w:sz w:val="24"/>
                <w:szCs w:val="24"/>
                <w:lang w:val="lv-LV"/>
              </w:rPr>
              <w:t>isīt bērna antisociālu uzvedību un iedalījuši tos</w:t>
            </w:r>
            <w:r w:rsidR="0019091B" w:rsidRPr="00760CCB">
              <w:rPr>
                <w:rFonts w:ascii="Times New Roman" w:hAnsi="Times New Roman"/>
                <w:sz w:val="24"/>
                <w:szCs w:val="24"/>
                <w:lang w:val="lv-LV"/>
              </w:rPr>
              <w:t xml:space="preserve"> piecās grupas – individuālie, ģimenes, skolas, draugu un apkārtnes faktoros. </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Šādi ir izplatītākie riska faktori, kas var ietekmēt bērna uzvedību:</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1) bērnam ģimenē nav nodrošināta labvēlīga vide viņa attīstībai:</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a) vecāku problēmas ar atkarību izraisošo vielu lietošanu;</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b) vecāku konflikti (tai skaitā laulības šķiršanas gadījumā);</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c) bērna vecāki ir pārcēlušies uz dzīvi ārzemēs, kā rezultātā bērnu audzina citi radinieki;</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d) bērna vajadzību apmierināšanai netiek veltīts atbilstošs laiks, kā arī vecāki neveido atbilstošu vidi tam, lai bērns attīstītu komunikācijas spējas ar līdzcilvēkiem;</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e) bieža dzīvesvietas maiņa, kā rezultātā bērnam neveidojas sociāli noturīgas saiknes ar līdzcilvēkiem;</w:t>
            </w: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     </w:t>
            </w:r>
            <w:r w:rsidR="0019091B" w:rsidRPr="00760CCB">
              <w:rPr>
                <w:rFonts w:ascii="Times New Roman" w:hAnsi="Times New Roman"/>
                <w:sz w:val="24"/>
                <w:szCs w:val="24"/>
                <w:lang w:val="lv-LV"/>
              </w:rPr>
              <w:t>d) bērna tuvinieku veselības stāvoklis (smagas slimības);</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2) bērns ir ticis pakļauts vardarbībai;</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3) konflikti skolā;</w:t>
            </w:r>
          </w:p>
          <w:p w:rsidR="0019091B" w:rsidRPr="00760CCB" w:rsidRDefault="0019091B" w:rsidP="0019091B">
            <w:pPr>
              <w:jc w:val="both"/>
              <w:rPr>
                <w:rFonts w:ascii="Times New Roman" w:hAnsi="Times New Roman"/>
                <w:sz w:val="24"/>
                <w:szCs w:val="24"/>
                <w:lang w:val="lv-LV"/>
              </w:rPr>
            </w:pPr>
            <w:r w:rsidRPr="00760CCB">
              <w:rPr>
                <w:rFonts w:ascii="Times New Roman" w:hAnsi="Times New Roman"/>
                <w:sz w:val="24"/>
                <w:szCs w:val="24"/>
                <w:lang w:val="lv-LV"/>
              </w:rPr>
              <w:t>4) bērna veselības stāvoklis (psiholoģiskās, neiroloģiskās saslimšanas).</w:t>
            </w:r>
          </w:p>
          <w:p w:rsidR="001E22EC" w:rsidRPr="00760CCB" w:rsidRDefault="001E22EC" w:rsidP="0019091B">
            <w:pPr>
              <w:jc w:val="both"/>
              <w:rPr>
                <w:rFonts w:ascii="Times New Roman" w:hAnsi="Times New Roman"/>
                <w:sz w:val="24"/>
                <w:szCs w:val="24"/>
                <w:lang w:val="lv-LV"/>
              </w:rPr>
            </w:pPr>
          </w:p>
          <w:p w:rsidR="0019091B" w:rsidRPr="00760CCB" w:rsidRDefault="001E22EC" w:rsidP="0019091B">
            <w:pPr>
              <w:jc w:val="both"/>
              <w:rPr>
                <w:rFonts w:ascii="Times New Roman" w:hAnsi="Times New Roman"/>
                <w:sz w:val="24"/>
                <w:szCs w:val="24"/>
                <w:lang w:val="lv-LV"/>
              </w:rPr>
            </w:pPr>
            <w:r w:rsidRPr="00760CCB">
              <w:rPr>
                <w:rFonts w:ascii="Times New Roman" w:hAnsi="Times New Roman"/>
                <w:sz w:val="24"/>
                <w:szCs w:val="24"/>
                <w:lang w:val="lv-LV"/>
              </w:rPr>
              <w:t xml:space="preserve">Faktiski visi šie riska faktori nav atkarīgi no paša bērna gribas, bet gan no apkārtējo pieaugušo cilvēku rīcības un apkārtējo bērnu rīcības, kā arī tīri no fizioloģiskiem apstākļiem saslimšanu </w:t>
            </w:r>
            <w:r w:rsidR="00511B9D">
              <w:rPr>
                <w:rFonts w:ascii="Times New Roman" w:hAnsi="Times New Roman"/>
                <w:sz w:val="24"/>
                <w:szCs w:val="24"/>
                <w:lang w:val="lv-LV"/>
              </w:rPr>
              <w:t>(</w:t>
            </w:r>
            <w:r w:rsidRPr="00760CCB">
              <w:rPr>
                <w:rFonts w:ascii="Times New Roman" w:hAnsi="Times New Roman"/>
                <w:sz w:val="24"/>
                <w:szCs w:val="24"/>
                <w:lang w:val="lv-LV"/>
              </w:rPr>
              <w:t>fizisku vai garīgu</w:t>
            </w:r>
            <w:r w:rsidR="00511B9D">
              <w:rPr>
                <w:rFonts w:ascii="Times New Roman" w:hAnsi="Times New Roman"/>
                <w:sz w:val="24"/>
                <w:szCs w:val="24"/>
                <w:lang w:val="lv-LV"/>
              </w:rPr>
              <w:t>)</w:t>
            </w:r>
            <w:r w:rsidRPr="00760CCB">
              <w:rPr>
                <w:rFonts w:ascii="Times New Roman" w:hAnsi="Times New Roman"/>
                <w:sz w:val="24"/>
                <w:szCs w:val="24"/>
                <w:lang w:val="lv-LV"/>
              </w:rPr>
              <w:t xml:space="preserve"> gadījumos. </w:t>
            </w:r>
            <w:r w:rsidRPr="00760CCB">
              <w:rPr>
                <w:rFonts w:ascii="Times New Roman" w:hAnsi="Times New Roman"/>
                <w:b/>
                <w:sz w:val="24"/>
                <w:szCs w:val="24"/>
                <w:u w:val="single"/>
                <w:lang w:val="lv-LV"/>
              </w:rPr>
              <w:t>Tādejādi antisociālas uzvedības riski nerodas bērnā, bet gan bērnam apkārtējā vidē un bērns ar savā rīcībā esošajiem resursiem šos riskus novērst nespēj.</w:t>
            </w:r>
            <w:r w:rsidRPr="00760CCB">
              <w:rPr>
                <w:rFonts w:ascii="Times New Roman" w:hAnsi="Times New Roman"/>
                <w:sz w:val="24"/>
                <w:szCs w:val="24"/>
                <w:lang w:val="lv-LV"/>
              </w:rPr>
              <w:t xml:space="preserve">  Kā jau iepriekš anotācijā minēts, Latvijā ik gadu simtiem un pat tūkstošiem bērnu tiek pakļauti vardarbībai, tiek šķirtas tūkstošiem laulību, simtiem bērnu tiek diagnosticētas garīgas saslimšanas un neskaitāmam skaitam bērnu ir konflikti skolā gan ar skolotājiem, gan vienaudžiem. Ja neviens nereaģē uz bērna raidītajiem signāliem par tā atrašanos viņam nepieņemamā vidē, tad bērna uzvedība pamazām sāk saturēt aizvien vairāk antisociālas uzvedības izpausmes, un ar laiku tā jau juridiski </w:t>
            </w:r>
            <w:r w:rsidRPr="00760CCB">
              <w:rPr>
                <w:rFonts w:ascii="Times New Roman" w:hAnsi="Times New Roman"/>
                <w:sz w:val="24"/>
                <w:szCs w:val="24"/>
                <w:lang w:val="lv-LV"/>
              </w:rPr>
              <w:lastRenderedPageBreak/>
              <w:t>tiek kvalificēta kā likumpārkāpums.</w:t>
            </w:r>
          </w:p>
          <w:p w:rsidR="0019091B" w:rsidRPr="00760CCB" w:rsidRDefault="0019091B" w:rsidP="0019091B">
            <w:pPr>
              <w:autoSpaceDE w:val="0"/>
              <w:autoSpaceDN w:val="0"/>
              <w:adjustRightInd w:val="0"/>
              <w:jc w:val="both"/>
              <w:rPr>
                <w:rFonts w:ascii="Times New Roman" w:hAnsi="Times New Roman"/>
                <w:sz w:val="24"/>
                <w:szCs w:val="24"/>
                <w:lang w:val="lv-LV"/>
              </w:rPr>
            </w:pPr>
            <w:r w:rsidRPr="00760CCB">
              <w:rPr>
                <w:rFonts w:ascii="Times New Roman" w:hAnsi="Times New Roman"/>
                <w:sz w:val="24"/>
                <w:szCs w:val="24"/>
                <w:lang w:val="lv-LV"/>
              </w:rPr>
              <w:t>Bērniem draudzīgas vides pētījuma ietvaros tika vērtēta Latvijas pašvaldību un tiesību aizsardzības institūciju sadarbības prakse trijos projekta „Atbalsta sistēma nepilngadīgo likumpārkāpumu prevencijai” pilotprojektos, kuros projekta īstenošanas laikā no 2011.gada 1.janvāra līdz 2012.gada 30.jūnijam tika aprobētas inovatīvas metodes darbam ar riska grupu jauniešiem. Pilotprojektā tika iesaistīti 120 bērni, kuriem konstatēti uzvedības riski vai kuru stāvoklis nosacīts ar riska situāciju. “Tā 88 no analizētajiem 120 gadījumiem, ģimenēs, kurās ir riska bērni, pastāv finansiāla rakstura problēmas, 55 bērni neklausa vecākus vai likumiskos aizbildņus, kas norāda uz neizpratnes un saskarsmes problēmām ģimenēs. Vājas mātes un bērna attiecības konstatētas 35 gadījumos, bet vājas tēva un bērna attiecības – 26 gadījumos. 25 gadījumos vecāki savstarpēji nesadarbojas. Prakses analīze parādīja, ka gandrīz visos gadījumos, kad kāds no vecākiem vai abi vecāki bija atkarīgi no alkohola vai citām vielām, vienlaikus tiek konstatēts sadarbības trūkums starp vecākiem bērnu audzināšanā.</w:t>
            </w:r>
            <w:r w:rsidR="00511B9D">
              <w:rPr>
                <w:rFonts w:ascii="Times New Roman" w:hAnsi="Times New Roman"/>
                <w:sz w:val="24"/>
                <w:szCs w:val="24"/>
                <w:lang w:val="lv-LV"/>
              </w:rPr>
              <w:t xml:space="preserve"> </w:t>
            </w:r>
            <w:r w:rsidRPr="00760CCB">
              <w:rPr>
                <w:rFonts w:ascii="Times New Roman" w:hAnsi="Times New Roman"/>
                <w:sz w:val="24"/>
                <w:szCs w:val="24"/>
                <w:lang w:val="lv-LV"/>
              </w:rPr>
              <w:t>34 gadījumos konstatēti neapmierinoši sadzīves apstākļi. 52 bērniem ir bijušas vājas sekmes, un 48 ir traucējuši skolotāja un klasesbiedru darbu klasē, 43 gadījumos konstatētas problēmas saskarsmē ar vienaudžiem, 32 destruktīvas uzvedības situācijas skolas vidē. Bijuši 29 biežas skolas kavēšanas gadījumi un tikpat daudz – 29 – gadījumu, kad konstatētas problēmas attiecības ar skolotājiem. 13 situācijās fiksēta vardarbīga attieksme pret citiem cilvēkiem. 66 jauniešiem konstatēta zema pašapziņa, 58 – zemas sociālās iemaņas, bet 52 – zemas problēmu risināšanas iemaņas. 23 bērniem bija zemi sasniegumi, 22 – veselības problēmas, 16 bērniem fiksētas problēmas ar depresiju, 10 bērniem konstatētas vardarbīgas autoritātes, bet deviņi – nespēja mācīties, astoņi bērni izjuta fizisko nevarību. Savam vecumam neatbilstošu seksuālo aktivitāti uzrādīja seši bērni, arī bēgšanu vēsture bija sešiem bērniem. Lielākajai daļai projektā iesaistīto bērnu tika konstatēta nespēja ilgāku laiku koncentrēties, sakāpināta pašapziņa un zems iecietīgums pret vilšanos, kā arī verbāla agresija un bezkaunība.”</w:t>
            </w:r>
            <w:r w:rsidRPr="00760CCB">
              <w:rPr>
                <w:rFonts w:ascii="Times New Roman" w:hAnsi="Times New Roman"/>
                <w:sz w:val="24"/>
                <w:szCs w:val="24"/>
                <w:vertAlign w:val="superscript"/>
                <w:lang w:val="lv-LV"/>
              </w:rPr>
              <w:footnoteReference w:id="15"/>
            </w:r>
          </w:p>
          <w:p w:rsidR="0019091B" w:rsidRPr="00760CCB" w:rsidRDefault="00511B9D" w:rsidP="0019091B">
            <w:pPr>
              <w:spacing w:after="200" w:line="276" w:lineRule="auto"/>
              <w:jc w:val="both"/>
              <w:rPr>
                <w:rFonts w:ascii="Times New Roman" w:hAnsi="Times New Roman"/>
                <w:sz w:val="24"/>
                <w:szCs w:val="24"/>
                <w:lang w:val="lv-LV"/>
              </w:rPr>
            </w:pPr>
            <w:r>
              <w:rPr>
                <w:rFonts w:ascii="Times New Roman" w:hAnsi="Times New Roman"/>
                <w:sz w:val="24"/>
                <w:szCs w:val="24"/>
                <w:lang w:val="lv-LV"/>
              </w:rPr>
              <w:t>Bērna antisociālas uzvedības p</w:t>
            </w:r>
            <w:r w:rsidR="00A908DE" w:rsidRPr="00760CCB">
              <w:rPr>
                <w:rFonts w:ascii="Times New Roman" w:hAnsi="Times New Roman"/>
                <w:sz w:val="24"/>
                <w:szCs w:val="24"/>
                <w:lang w:val="lv-LV"/>
              </w:rPr>
              <w:t xml:space="preserve">ētnieki ir konstatējuši sakarību kopumu, ko var nosaukt par bērna “kriminālo karjeru”. </w:t>
            </w:r>
            <w:r w:rsidR="0019091B" w:rsidRPr="00760CCB">
              <w:rPr>
                <w:rFonts w:ascii="Times New Roman" w:hAnsi="Times New Roman"/>
                <w:sz w:val="24"/>
                <w:szCs w:val="24"/>
                <w:lang w:val="lv-LV"/>
              </w:rPr>
              <w:t xml:space="preserve">Sākumā bērns par savu atrašanos tam nelabvēlīgā vidē signalizē ar tādu antisociālu uzvedību kā agresija pret vienaudžiem, skolas kavējumi un sliktas sekmes. Ja šajā posmā bērna vajadzības joprojām netiek apmierinātas, bērns sāk izdarīt sīkus likumpārkāpumus, visbiežāk administratīvos pārkāpumus – dažādus sīkā huligānisma veidus vai sāk lietot dažādas apreibinošās lietas. Ja bērnu pārkāpuma izdarīšanā pieķer, tad bērns nonāk likumsargājošo iestāžu redzeslokā, tomēr, ja bērnu tikai soda par izdarīto pārkāpumu, nevis tiek novērsts </w:t>
            </w:r>
            <w:r w:rsidR="0019091B" w:rsidRPr="00760CCB">
              <w:rPr>
                <w:rFonts w:ascii="Times New Roman" w:hAnsi="Times New Roman"/>
                <w:sz w:val="24"/>
                <w:szCs w:val="24"/>
                <w:lang w:val="lv-LV"/>
              </w:rPr>
              <w:lastRenderedPageBreak/>
              <w:t>cēlonis bērna antisociālajai uzvedībai, tad bērns bieži vien attīsta tālāk savu “noziedzīgo karjeru” un turpina izdarīt administratīvos pārkāpumus vai izdara noziedzīgus nodarījumus. Kā izpētīts</w:t>
            </w:r>
            <w:r w:rsidR="0019091B" w:rsidRPr="00760CCB">
              <w:rPr>
                <w:rFonts w:ascii="Times New Roman" w:hAnsi="Times New Roman"/>
                <w:sz w:val="24"/>
                <w:szCs w:val="24"/>
                <w:vertAlign w:val="superscript"/>
                <w:lang w:val="lv-LV"/>
              </w:rPr>
              <w:footnoteReference w:id="16"/>
            </w:r>
            <w:r w:rsidR="0019091B" w:rsidRPr="00760CCB">
              <w:rPr>
                <w:rFonts w:ascii="Times New Roman" w:hAnsi="Times New Roman"/>
                <w:sz w:val="24"/>
                <w:szCs w:val="24"/>
                <w:lang w:val="lv-LV"/>
              </w:rPr>
              <w:t>, tad 85% no likumpārkāpumus izdarījušajiem pieaugušajiem (kuri notiesāti pirmo reizi ne agrāk kā 20 gadu vecumā) pusaudžu vecumā bija uzvedušies antisociāli vai bija saskārušies ar policiju. Pētījumi</w:t>
            </w:r>
            <w:r w:rsidR="0019091B" w:rsidRPr="00760CCB">
              <w:rPr>
                <w:rFonts w:ascii="Times New Roman" w:hAnsi="Times New Roman"/>
                <w:sz w:val="24"/>
                <w:szCs w:val="24"/>
                <w:vertAlign w:val="superscript"/>
                <w:lang w:val="lv-LV"/>
              </w:rPr>
              <w:footnoteReference w:id="17"/>
            </w:r>
            <w:r w:rsidR="0019091B" w:rsidRPr="00760CCB">
              <w:rPr>
                <w:rFonts w:ascii="Times New Roman" w:hAnsi="Times New Roman"/>
                <w:sz w:val="24"/>
                <w:szCs w:val="24"/>
                <w:lang w:val="lv-LV"/>
              </w:rPr>
              <w:t xml:space="preserve"> arī liecina, jo ātrāk bērns izdara pirmo pārkāpumu (īpaši pirms 12 gadu sasniegšanas), jo lielāka iespēja, ka nākotnē likumpārkāpumi tiks izdarīti atkāroti. Ticis izpētīts, ka 30 – 60% no arestētajiem un notiesātajiem pusaudžiem atkārtoti izdarījuši noziedzīgus nodarījumus jau būdami pieauguši. Saskaņā ar Valsts policijas apkopoto statistiku - no 2015.gadā profilaktiskajā uzskaitē esošajiem 370 bērniem atkārtotus likumpārkāpumus ir izdarījuši liela daļa bērnu – 167 nepilngadīgie izdarīja noziedzīgus nodarījumus, bet 204 administratīvus pārkāpumus</w:t>
            </w:r>
            <w:r w:rsidR="0019091B" w:rsidRPr="00760CCB">
              <w:rPr>
                <w:rFonts w:ascii="Times New Roman" w:hAnsi="Times New Roman"/>
                <w:sz w:val="24"/>
                <w:szCs w:val="24"/>
                <w:vertAlign w:val="superscript"/>
                <w:lang w:val="lv-LV"/>
              </w:rPr>
              <w:footnoteReference w:id="18"/>
            </w:r>
            <w:r w:rsidR="0019091B" w:rsidRPr="00760CCB">
              <w:rPr>
                <w:rFonts w:ascii="Times New Roman" w:hAnsi="Times New Roman"/>
                <w:sz w:val="24"/>
                <w:szCs w:val="24"/>
                <w:lang w:val="lv-LV"/>
              </w:rPr>
              <w:t>.</w:t>
            </w:r>
          </w:p>
          <w:p w:rsidR="0019091B" w:rsidRPr="00760CCB" w:rsidRDefault="000B58A5"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Izvērtējot kriminālās (Krimināllikums un Kriminālprocesa likums) un administratīvi tiesiskās</w:t>
            </w:r>
            <w:r w:rsidR="00511B9D">
              <w:rPr>
                <w:rFonts w:ascii="Times New Roman" w:hAnsi="Times New Roman"/>
                <w:sz w:val="24"/>
                <w:szCs w:val="24"/>
                <w:lang w:val="lv-LV"/>
              </w:rPr>
              <w:t xml:space="preserve"> (</w:t>
            </w:r>
            <w:r w:rsidR="007C3CCB" w:rsidRPr="00760CCB">
              <w:rPr>
                <w:rFonts w:ascii="Times New Roman" w:hAnsi="Times New Roman"/>
                <w:sz w:val="24"/>
                <w:szCs w:val="24"/>
                <w:lang w:val="lv-LV"/>
              </w:rPr>
              <w:t xml:space="preserve">Latvijas Administratīvo pārkāpumu kodekss) </w:t>
            </w:r>
            <w:r w:rsidRPr="00760CCB">
              <w:rPr>
                <w:rFonts w:ascii="Times New Roman" w:hAnsi="Times New Roman"/>
                <w:sz w:val="24"/>
                <w:szCs w:val="24"/>
                <w:lang w:val="lv-LV"/>
              </w:rPr>
              <w:t xml:space="preserve"> justīcijas sistēmas, kā arī audzinoša rakstura piespiedu līdzekļu</w:t>
            </w:r>
            <w:r w:rsidR="007C3CCB" w:rsidRPr="00760CCB">
              <w:rPr>
                <w:rFonts w:ascii="Times New Roman" w:hAnsi="Times New Roman"/>
                <w:sz w:val="24"/>
                <w:szCs w:val="24"/>
                <w:lang w:val="lv-LV"/>
              </w:rPr>
              <w:t xml:space="preserve"> (Audzinoša rakstura piespiedu līdzekļu likums)</w:t>
            </w:r>
            <w:r w:rsidRPr="00760CCB">
              <w:rPr>
                <w:rFonts w:ascii="Times New Roman" w:hAnsi="Times New Roman"/>
                <w:sz w:val="24"/>
                <w:szCs w:val="24"/>
                <w:lang w:val="lv-LV"/>
              </w:rPr>
              <w:t xml:space="preserve"> un likumpārkāpumu profilakses</w:t>
            </w:r>
            <w:r w:rsidR="007C3CCB" w:rsidRPr="00760CCB">
              <w:rPr>
                <w:rFonts w:ascii="Times New Roman" w:hAnsi="Times New Roman"/>
                <w:sz w:val="24"/>
                <w:szCs w:val="24"/>
                <w:lang w:val="lv-LV"/>
              </w:rPr>
              <w:t xml:space="preserve"> (Bērna tiesību aizsardzības likuma 58.pants)</w:t>
            </w:r>
            <w:r w:rsidRPr="00760CCB">
              <w:rPr>
                <w:rFonts w:ascii="Times New Roman" w:hAnsi="Times New Roman"/>
                <w:sz w:val="24"/>
                <w:szCs w:val="24"/>
                <w:lang w:val="lv-LV"/>
              </w:rPr>
              <w:t xml:space="preserve"> piedāvātos risinājumus bērnu antisociālas uzvedības prevencijai izsecināmas četras lielas un sistēmiskas problēmas: </w:t>
            </w:r>
          </w:p>
          <w:p w:rsidR="0019091B" w:rsidRPr="00760CCB" w:rsidRDefault="007C3CC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1.</w:t>
            </w:r>
            <w:r w:rsidR="0019091B" w:rsidRPr="00760CCB">
              <w:rPr>
                <w:rFonts w:ascii="Times New Roman" w:hAnsi="Times New Roman"/>
                <w:sz w:val="24"/>
                <w:szCs w:val="24"/>
                <w:lang w:val="lv-LV"/>
              </w:rPr>
              <w:t xml:space="preserve">Esošā bērnu likumpārkāpumu </w:t>
            </w:r>
            <w:r w:rsidR="00120EB5" w:rsidRPr="00760CCB">
              <w:rPr>
                <w:rFonts w:ascii="Times New Roman" w:hAnsi="Times New Roman"/>
                <w:sz w:val="24"/>
                <w:szCs w:val="24"/>
                <w:lang w:val="lv-LV"/>
              </w:rPr>
              <w:t>prev</w:t>
            </w:r>
            <w:r w:rsidR="0019091B" w:rsidRPr="00760CCB">
              <w:rPr>
                <w:rFonts w:ascii="Times New Roman" w:hAnsi="Times New Roman"/>
                <w:sz w:val="24"/>
                <w:szCs w:val="24"/>
                <w:lang w:val="lv-LV"/>
              </w:rPr>
              <w:t>e</w:t>
            </w:r>
            <w:r w:rsidR="00120EB5" w:rsidRPr="00760CCB">
              <w:rPr>
                <w:rFonts w:ascii="Times New Roman" w:hAnsi="Times New Roman"/>
                <w:sz w:val="24"/>
                <w:szCs w:val="24"/>
                <w:lang w:val="lv-LV"/>
              </w:rPr>
              <w:t>n</w:t>
            </w:r>
            <w:r w:rsidR="0019091B" w:rsidRPr="00760CCB">
              <w:rPr>
                <w:rFonts w:ascii="Times New Roman" w:hAnsi="Times New Roman"/>
                <w:sz w:val="24"/>
                <w:szCs w:val="24"/>
                <w:lang w:val="lv-LV"/>
              </w:rPr>
              <w:t>cijas sistēma ir morāli novecojusi un neatbilst pētījumos balstītajās atziņās par patiesajiem bērnu antisociālas uzvedības cēloņiem. Esošā sistēma pret cietušo pusi izturas kā pret vainīgo.</w:t>
            </w:r>
            <w:r w:rsidR="008D124E" w:rsidRPr="00760CCB">
              <w:rPr>
                <w:rFonts w:ascii="Times New Roman" w:hAnsi="Times New Roman"/>
                <w:sz w:val="24"/>
                <w:szCs w:val="24"/>
                <w:lang w:val="lv-LV"/>
              </w:rPr>
              <w:t xml:space="preserve"> Bērni, kas ir apkārtējo pieaugušo nevērības un vardarbības upuris, tiek atkārtoti viktimizēti ar sodīšanu reaģējot uz situāciju, kurā bērns vēlas pievērst savai problēmai pieaugušo uzmanību. Tādejādi bērna problēma tiek nevis risināta, bet gan padziļināta. </w:t>
            </w:r>
            <w:r w:rsidR="0019091B" w:rsidRPr="00760CCB">
              <w:rPr>
                <w:rFonts w:ascii="Times New Roman" w:hAnsi="Times New Roman"/>
                <w:sz w:val="24"/>
                <w:szCs w:val="24"/>
                <w:lang w:val="lv-LV"/>
              </w:rPr>
              <w:t xml:space="preserve"> Esošā sistēmas reakcija uz nevēlamu bērna uzvedību ir ārkārtīgi novēlota un tās minimālie bērna uzvedības ietekmēšanas līdzekļi absolūti lielākajā daļā gadījumu nespē</w:t>
            </w:r>
            <w:r w:rsidR="00120EB5" w:rsidRPr="00760CCB">
              <w:rPr>
                <w:rFonts w:ascii="Times New Roman" w:hAnsi="Times New Roman"/>
                <w:sz w:val="24"/>
                <w:szCs w:val="24"/>
                <w:lang w:val="lv-LV"/>
              </w:rPr>
              <w:t xml:space="preserve">j risināt jau “ielaistu” </w:t>
            </w:r>
            <w:r w:rsidR="00120EB5" w:rsidRPr="00760CCB">
              <w:rPr>
                <w:rFonts w:ascii="Times New Roman" w:hAnsi="Times New Roman"/>
                <w:sz w:val="24"/>
                <w:szCs w:val="24"/>
                <w:lang w:val="lv-LV"/>
              </w:rPr>
              <w:lastRenderedPageBreak/>
              <w:t>antiso</w:t>
            </w:r>
            <w:r w:rsidRPr="00760CCB">
              <w:rPr>
                <w:rFonts w:ascii="Times New Roman" w:hAnsi="Times New Roman"/>
                <w:sz w:val="24"/>
                <w:szCs w:val="24"/>
                <w:lang w:val="lv-LV"/>
              </w:rPr>
              <w:t>ciālas uzvedības problēmu.</w:t>
            </w:r>
          </w:p>
          <w:p w:rsidR="00E95CBA" w:rsidRPr="00760CCB" w:rsidRDefault="007C3CCB" w:rsidP="00E95CBA">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2. P</w:t>
            </w:r>
            <w:r w:rsidR="00E95CBA" w:rsidRPr="00760CCB">
              <w:rPr>
                <w:rFonts w:ascii="Times New Roman" w:hAnsi="Times New Roman"/>
                <w:sz w:val="24"/>
                <w:szCs w:val="24"/>
                <w:lang w:val="lv-LV"/>
              </w:rPr>
              <w:t xml:space="preserve">astāvošās sistēmas ietvaros tiek reaģēts uz tāda bērna antisociālu uzvedību, kas jau ir sasniedzis 14 gadu vecumu (atsevišķos gadījumos 11 gadu vecumu). Lielākoties tas ir novēloti, jo bērns savu antisociālo uzvedību ir uzsācis jau ilgi pirms tam. Pastāvošās sistēmas ietvaros nav iespējams reaģēt uz pirmajām bērna antisociālas uzvedības izpausmēm, lai novērstu bērna “noziedzīgās karjeras” attīstību, </w:t>
            </w:r>
            <w:r w:rsidRPr="00760CCB">
              <w:rPr>
                <w:rFonts w:ascii="Times New Roman" w:hAnsi="Times New Roman"/>
                <w:sz w:val="24"/>
                <w:szCs w:val="24"/>
                <w:lang w:val="lv-LV"/>
              </w:rPr>
              <w:t xml:space="preserve">kurā konstatētās problēmas vēl var novērst ar samērā vienkāršām metodēm. </w:t>
            </w:r>
          </w:p>
          <w:p w:rsidR="00E95CBA" w:rsidRPr="00760CCB" w:rsidRDefault="007C3CC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3. Esošās sistēmas ietvaros uzsvars ir likts uz iestādes rīcību, policija ierosina un izmeklē lietu, tiesa piespriež sodu, administratīvās komisijas piemēros audzinošā rakstura piespiedu līdzekļus, pašvaldību sociālie dienesti tos izpilda, pašvaldības sociālais dienests izveido bērnam sociālās korekcijas programmu, utt. Visā šajā sistēmā neatrodas vieta bērna vecākiem un viņu atbildībai par sava bērna uzvedības korekciju. Kā redzams no bēr</w:t>
            </w:r>
            <w:r w:rsidR="00511B9D">
              <w:rPr>
                <w:rFonts w:ascii="Times New Roman" w:hAnsi="Times New Roman"/>
                <w:sz w:val="24"/>
                <w:szCs w:val="24"/>
                <w:lang w:val="lv-LV"/>
              </w:rPr>
              <w:t>n</w:t>
            </w:r>
            <w:r w:rsidRPr="00760CCB">
              <w:rPr>
                <w:rFonts w:ascii="Times New Roman" w:hAnsi="Times New Roman"/>
                <w:sz w:val="24"/>
                <w:szCs w:val="24"/>
                <w:lang w:val="lv-LV"/>
              </w:rPr>
              <w:t>a antisociālas uzvedības riska faktoru uzskaitījuma, tieši vecāki lielākoties ir tie, kas veicina bērna uzvedība</w:t>
            </w:r>
            <w:r w:rsidR="00511B9D">
              <w:rPr>
                <w:rFonts w:ascii="Times New Roman" w:hAnsi="Times New Roman"/>
                <w:sz w:val="24"/>
                <w:szCs w:val="24"/>
                <w:lang w:val="lv-LV"/>
              </w:rPr>
              <w:t>s riska faktoru iestāšanos. Tādē</w:t>
            </w:r>
            <w:r w:rsidRPr="00760CCB">
              <w:rPr>
                <w:rFonts w:ascii="Times New Roman" w:hAnsi="Times New Roman"/>
                <w:sz w:val="24"/>
                <w:szCs w:val="24"/>
                <w:lang w:val="lv-LV"/>
              </w:rPr>
              <w:t xml:space="preserve">jādi nedz valsts, nedz pašvaldību iestāžu darbiniekiem, lai arī kādu uzcītību tie paradītu savā darbā, nav iespējams bez vecāku pilnvērtīgas iesaistīšanas risināt bērna antisociālo uzvedības cēloņu identificēšanu un novēršanu. </w:t>
            </w:r>
          </w:p>
          <w:p w:rsidR="007C3CCB" w:rsidRPr="00760CCB" w:rsidRDefault="007C3CCB"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4. </w:t>
            </w:r>
            <w:r w:rsidR="00DF5B6F" w:rsidRPr="00760CCB">
              <w:rPr>
                <w:rFonts w:ascii="Times New Roman" w:hAnsi="Times New Roman"/>
                <w:sz w:val="24"/>
                <w:szCs w:val="24"/>
                <w:lang w:val="lv-LV"/>
              </w:rPr>
              <w:t>Katrā no esošas sistēmas posmiem katra no institūcijām ir atbildīga par kādas procesuālas darbības vai lēmuma pieņemšanu – policija veic apstākļu noskaidrošanu, tiesa taisa spriedumu, pašvaldības sociālais dienests sastāda sociālās korekcijas programmu un pats</w:t>
            </w:r>
            <w:r w:rsidR="00F41616">
              <w:rPr>
                <w:rFonts w:ascii="Times New Roman" w:hAnsi="Times New Roman"/>
                <w:sz w:val="24"/>
                <w:szCs w:val="24"/>
                <w:lang w:val="lv-LV"/>
              </w:rPr>
              <w:t xml:space="preserve"> arī atbild par tā izpildi. Tādē</w:t>
            </w:r>
            <w:r w:rsidR="00DF5B6F" w:rsidRPr="00760CCB">
              <w:rPr>
                <w:rFonts w:ascii="Times New Roman" w:hAnsi="Times New Roman"/>
                <w:sz w:val="24"/>
                <w:szCs w:val="24"/>
                <w:lang w:val="lv-LV"/>
              </w:rPr>
              <w:t>jādi katrā no esošās sistēmas posmi</w:t>
            </w:r>
            <w:r w:rsidR="00F41616">
              <w:rPr>
                <w:rFonts w:ascii="Times New Roman" w:hAnsi="Times New Roman"/>
                <w:sz w:val="24"/>
                <w:szCs w:val="24"/>
                <w:lang w:val="lv-LV"/>
              </w:rPr>
              <w:t>ņiem katra iestāde darbojas tik</w:t>
            </w:r>
            <w:r w:rsidR="00DF5B6F" w:rsidRPr="00760CCB">
              <w:rPr>
                <w:rFonts w:ascii="Times New Roman" w:hAnsi="Times New Roman"/>
                <w:sz w:val="24"/>
                <w:szCs w:val="24"/>
                <w:lang w:val="lv-LV"/>
              </w:rPr>
              <w:t>a</w:t>
            </w:r>
            <w:r w:rsidR="00F41616">
              <w:rPr>
                <w:rFonts w:ascii="Times New Roman" w:hAnsi="Times New Roman"/>
                <w:sz w:val="24"/>
                <w:szCs w:val="24"/>
                <w:lang w:val="lv-LV"/>
              </w:rPr>
              <w:t>i</w:t>
            </w:r>
            <w:r w:rsidR="00DF5B6F" w:rsidRPr="00760CCB">
              <w:rPr>
                <w:rFonts w:ascii="Times New Roman" w:hAnsi="Times New Roman"/>
                <w:sz w:val="24"/>
                <w:szCs w:val="24"/>
                <w:lang w:val="lv-LV"/>
              </w:rPr>
              <w:t xml:space="preserve"> ar savā kompetencē esošiem jautājumiem un iestādes procesa gaitā</w:t>
            </w:r>
            <w:r w:rsidR="00F41616">
              <w:rPr>
                <w:rFonts w:ascii="Times New Roman" w:hAnsi="Times New Roman"/>
                <w:sz w:val="24"/>
                <w:szCs w:val="24"/>
                <w:lang w:val="lv-LV"/>
              </w:rPr>
              <w:t xml:space="preserve"> secīgi nomaina viena otru, tādē</w:t>
            </w:r>
            <w:r w:rsidR="00DF5B6F" w:rsidRPr="00760CCB">
              <w:rPr>
                <w:rFonts w:ascii="Times New Roman" w:hAnsi="Times New Roman"/>
                <w:sz w:val="24"/>
                <w:szCs w:val="24"/>
                <w:lang w:val="lv-LV"/>
              </w:rPr>
              <w:t xml:space="preserve">jādi katra kaut kādā brīdī ir strādājusi ar bērnu, bet neviena nepārredz visu procesu kopumā un arī neatbild par procesu kopumā. </w:t>
            </w:r>
          </w:p>
          <w:p w:rsidR="00E95CBA" w:rsidRDefault="00DF5B6F" w:rsidP="0019091B">
            <w:pPr>
              <w:spacing w:after="200" w:line="276" w:lineRule="auto"/>
              <w:jc w:val="both"/>
              <w:rPr>
                <w:rFonts w:ascii="Times New Roman" w:hAnsi="Times New Roman"/>
                <w:sz w:val="24"/>
                <w:szCs w:val="24"/>
                <w:lang w:val="lv-LV"/>
              </w:rPr>
            </w:pPr>
            <w:r w:rsidRPr="00760CCB">
              <w:rPr>
                <w:rFonts w:ascii="Times New Roman" w:hAnsi="Times New Roman"/>
                <w:sz w:val="24"/>
                <w:szCs w:val="24"/>
                <w:lang w:val="lv-LV"/>
              </w:rPr>
              <w:t xml:space="preserve">Šobrīd Latvijā pastāvošā prevencijas sistēma ir neatbilstoša un tās turpmāka darbība </w:t>
            </w:r>
            <w:r w:rsidR="00585687" w:rsidRPr="00760CCB">
              <w:rPr>
                <w:rFonts w:ascii="Times New Roman" w:hAnsi="Times New Roman"/>
                <w:sz w:val="24"/>
                <w:szCs w:val="24"/>
                <w:lang w:val="lv-LV"/>
              </w:rPr>
              <w:t xml:space="preserve">nostāda Latvijas bērnus ievainojamā situācijā, jo nespēj adekvāti reaģēt uz bērna tiesību un interešu aizskārumu apkārtējās nelabvēlīgās vides ietekmē. </w:t>
            </w:r>
          </w:p>
          <w:p w:rsidR="00E43294" w:rsidRDefault="00E43294" w:rsidP="0019091B">
            <w:pPr>
              <w:spacing w:after="200" w:line="276" w:lineRule="auto"/>
              <w:jc w:val="both"/>
              <w:rPr>
                <w:rFonts w:ascii="Times New Roman" w:hAnsi="Times New Roman"/>
                <w:sz w:val="24"/>
                <w:szCs w:val="24"/>
                <w:lang w:val="lv-LV"/>
              </w:rPr>
            </w:pPr>
            <w:r>
              <w:rPr>
                <w:rFonts w:ascii="Times New Roman" w:hAnsi="Times New Roman"/>
                <w:sz w:val="24"/>
                <w:szCs w:val="24"/>
                <w:lang w:val="lv-LV"/>
              </w:rPr>
              <w:t>Papildus jau tradicionālajiem riskiem, ko rada b</w:t>
            </w:r>
            <w:r w:rsidR="002557DC">
              <w:rPr>
                <w:rFonts w:ascii="Times New Roman" w:hAnsi="Times New Roman"/>
                <w:sz w:val="24"/>
                <w:szCs w:val="24"/>
                <w:lang w:val="lv-LV"/>
              </w:rPr>
              <w:t>ērnu antisociāla</w:t>
            </w:r>
            <w:r>
              <w:rPr>
                <w:rFonts w:ascii="Times New Roman" w:hAnsi="Times New Roman"/>
                <w:sz w:val="24"/>
                <w:szCs w:val="24"/>
                <w:lang w:val="lv-LV"/>
              </w:rPr>
              <w:t xml:space="preserve"> uzvedība, tas ir, sabiedriskās kārtības un sabiedriskās drošības apdraudējumam, 2016.gadā iezīmējās jauna bērnu antisociālas uzvedības tendence, kas </w:t>
            </w:r>
            <w:r>
              <w:rPr>
                <w:rFonts w:ascii="Times New Roman" w:hAnsi="Times New Roman"/>
                <w:sz w:val="24"/>
                <w:szCs w:val="24"/>
                <w:lang w:val="lv-LV"/>
              </w:rPr>
              <w:lastRenderedPageBreak/>
              <w:t>apdraud valsts drošību, proti, bērnu un jauniešu veikti terora akti. Līdz šim šāda tendence skārusi tikai Rietumeiropas valstis un Latvijā terorisma draudu līmenis saglabājas zems. Tomēr, publiski pieejamā informācija liecina,</w:t>
            </w:r>
            <w:r w:rsidR="00F41616">
              <w:rPr>
                <w:rFonts w:ascii="Times New Roman" w:hAnsi="Times New Roman"/>
                <w:sz w:val="24"/>
                <w:szCs w:val="24"/>
                <w:lang w:val="lv-LV"/>
              </w:rPr>
              <w:t xml:space="preserve"> ka virknē terora aktu (piemēram,</w:t>
            </w:r>
            <w:r>
              <w:rPr>
                <w:rFonts w:ascii="Times New Roman" w:hAnsi="Times New Roman"/>
                <w:sz w:val="24"/>
                <w:szCs w:val="24"/>
                <w:lang w:val="lv-LV"/>
              </w:rPr>
              <w:t xml:space="preserve"> ķīlnieku sagrābšanas gadījums Ruānas baznīcā, Francijā 2016.gada jūlijā) iezīmējas tendence, ka šos noziegumus pastrādājuši bērni vai jaunieši, kas jau iepriekš par dažādiem sīkiem pārkāpumiem nonākuši policijas redzeslokā, saskārušies ar formālo kriminālās justīcijas sistēmu, nav sa</w:t>
            </w:r>
            <w:r w:rsidR="00236096">
              <w:rPr>
                <w:rFonts w:ascii="Times New Roman" w:hAnsi="Times New Roman"/>
                <w:sz w:val="24"/>
                <w:szCs w:val="24"/>
                <w:lang w:val="lv-LV"/>
              </w:rPr>
              <w:t>ņē</w:t>
            </w:r>
            <w:r>
              <w:rPr>
                <w:rFonts w:ascii="Times New Roman" w:hAnsi="Times New Roman"/>
                <w:sz w:val="24"/>
                <w:szCs w:val="24"/>
                <w:lang w:val="lv-LV"/>
              </w:rPr>
              <w:t xml:space="preserve">muši pietiekamu uzvedības risku novērtējumu. </w:t>
            </w:r>
            <w:r w:rsidR="00236096">
              <w:rPr>
                <w:rFonts w:ascii="Times New Roman" w:hAnsi="Times New Roman"/>
                <w:sz w:val="24"/>
                <w:szCs w:val="24"/>
                <w:lang w:val="lv-LV"/>
              </w:rPr>
              <w:t>Vēlāk šie bērni ir radikalizējušies vai tikuši pakļauti radikālā islama indoktrinācijai un veikuši terora aktus.</w:t>
            </w:r>
            <w:r w:rsidR="0000743C">
              <w:rPr>
                <w:rFonts w:ascii="Times New Roman" w:hAnsi="Times New Roman"/>
                <w:sz w:val="24"/>
                <w:szCs w:val="24"/>
                <w:lang w:val="lv-LV"/>
              </w:rPr>
              <w:t xml:space="preserve"> Parasti šie bērni ar radikālām idejām iepazīstas tieši interneta vidē.</w:t>
            </w:r>
            <w:r w:rsidR="00236096">
              <w:rPr>
                <w:rFonts w:ascii="Times New Roman" w:hAnsi="Times New Roman"/>
                <w:sz w:val="24"/>
                <w:szCs w:val="24"/>
                <w:lang w:val="lv-LV"/>
              </w:rPr>
              <w:t xml:space="preserve"> </w:t>
            </w:r>
            <w:r w:rsidR="002557DC">
              <w:rPr>
                <w:rFonts w:ascii="Times New Roman" w:hAnsi="Times New Roman"/>
                <w:sz w:val="24"/>
                <w:szCs w:val="24"/>
                <w:lang w:val="lv-LV"/>
              </w:rPr>
              <w:t>Ir zināms, ka noziedzīgā vide ļoti bieži iesaista jauniešus savās aktivitātēs. Jaunieši var kļūt gan par upuriem (jo sevišķi izteikti tas iezīmējas cilvēku tirdzniecības gadījumos), gan arī par noziedzīgu nodarījumu izpildītājiem. Antisociāli un sabiedrībā nepietiekami integrēti bērni un jaunieši ļoti viegli pakļaujas noziedzīgās vides ietekmei, jo jūtās sabiedrības atstumti, nenovērtēti un nevajadzīgi, savukārt noziedzīgā vide sniedz tiem trūkstošo uzmanību, šķietami stabilu sociālo kontaktu loku un š</w:t>
            </w:r>
            <w:r w:rsidR="0000743C">
              <w:rPr>
                <w:rFonts w:ascii="Times New Roman" w:hAnsi="Times New Roman"/>
                <w:sz w:val="24"/>
                <w:szCs w:val="24"/>
                <w:lang w:val="lv-LV"/>
              </w:rPr>
              <w:t xml:space="preserve">ķietamu atbalstu, noteiktu pasaules redzējumu, kurā šim bērnam ir noteikta loma un svarīgi uzdevumi. </w:t>
            </w:r>
            <w:r w:rsidR="002557DC">
              <w:rPr>
                <w:rFonts w:ascii="Times New Roman" w:hAnsi="Times New Roman"/>
                <w:sz w:val="24"/>
                <w:szCs w:val="24"/>
                <w:lang w:val="lv-LV"/>
              </w:rPr>
              <w:t xml:space="preserve"> </w:t>
            </w:r>
            <w:r w:rsidR="0000743C">
              <w:rPr>
                <w:rFonts w:ascii="Times New Roman" w:hAnsi="Times New Roman"/>
                <w:sz w:val="24"/>
                <w:szCs w:val="24"/>
                <w:lang w:val="lv-LV"/>
              </w:rPr>
              <w:t>Līdz ar to valsts, kas neiegulda pietiekamas pūles bērnu antisociāl</w:t>
            </w:r>
            <w:r w:rsidR="00F41616">
              <w:rPr>
                <w:rFonts w:ascii="Times New Roman" w:hAnsi="Times New Roman"/>
                <w:sz w:val="24"/>
                <w:szCs w:val="24"/>
                <w:lang w:val="lv-LV"/>
              </w:rPr>
              <w:t>a</w:t>
            </w:r>
            <w:r w:rsidR="0000743C">
              <w:rPr>
                <w:rFonts w:ascii="Times New Roman" w:hAnsi="Times New Roman"/>
                <w:sz w:val="24"/>
                <w:szCs w:val="24"/>
                <w:lang w:val="lv-LV"/>
              </w:rPr>
              <w:t xml:space="preserve">s uzvedības identificēšanai un novēršanai, pakļauj sevi nedz tikai sabiedriskās drošības un kārtības riskam, bet mūsdienu globalizācijas un interneta vides apstākļos arī valsts drošības riskam. Lai gan Latvijā terorisma draudu līmenis ir zems, </w:t>
            </w:r>
            <w:r w:rsidR="00402893">
              <w:rPr>
                <w:rFonts w:ascii="Times New Roman" w:hAnsi="Times New Roman"/>
                <w:sz w:val="24"/>
                <w:szCs w:val="24"/>
                <w:lang w:val="lv-LV"/>
              </w:rPr>
              <w:t xml:space="preserve">tomēr ņemot vērā potenciālās apdraudējuma sekas, valstij ir jāiegulda pūles, lai Latvija ar laiku neveidotos par valsti, no kuras noziedzīgā vide var vervēt jauniešus dažādu noziedzīgu uzdevumu pildīšanai, tai skaitā teroraktu organizēšanai vai veikšanai. </w:t>
            </w:r>
          </w:p>
          <w:p w:rsidR="002557DC" w:rsidRDefault="002557DC" w:rsidP="0019091B">
            <w:pPr>
              <w:spacing w:after="200" w:line="276" w:lineRule="auto"/>
              <w:jc w:val="both"/>
              <w:rPr>
                <w:rFonts w:ascii="Times New Roman" w:hAnsi="Times New Roman"/>
                <w:sz w:val="24"/>
                <w:szCs w:val="24"/>
                <w:lang w:val="lv-LV"/>
              </w:rPr>
            </w:pPr>
          </w:p>
          <w:p w:rsidR="002557DC" w:rsidRPr="00760CCB" w:rsidRDefault="002557DC" w:rsidP="0019091B">
            <w:pPr>
              <w:spacing w:after="200" w:line="276" w:lineRule="auto"/>
              <w:jc w:val="both"/>
              <w:rPr>
                <w:rFonts w:ascii="Times New Roman" w:hAnsi="Times New Roman"/>
                <w:color w:val="FF0000"/>
                <w:sz w:val="24"/>
                <w:szCs w:val="24"/>
                <w:lang w:val="lv-LV"/>
              </w:rPr>
            </w:pPr>
          </w:p>
          <w:p w:rsidR="009D4D3C" w:rsidRPr="009D4D3C" w:rsidRDefault="00760CCB" w:rsidP="009D4D3C">
            <w:pPr>
              <w:jc w:val="both"/>
              <w:rPr>
                <w:rFonts w:ascii="Times New Roman" w:hAnsi="Times New Roman"/>
                <w:i/>
                <w:sz w:val="24"/>
                <w:szCs w:val="24"/>
                <w:lang w:val="lv-LV"/>
              </w:rPr>
            </w:pPr>
            <w:r>
              <w:rPr>
                <w:rFonts w:ascii="Times New Roman" w:hAnsi="Times New Roman"/>
                <w:i/>
                <w:sz w:val="24"/>
                <w:szCs w:val="24"/>
                <w:lang w:val="lv-LV"/>
              </w:rPr>
              <w:t>Bērnu antisociālas uzvedības prevencijas</w:t>
            </w:r>
            <w:r w:rsidR="009D4D3C" w:rsidRPr="009D4D3C">
              <w:rPr>
                <w:rFonts w:ascii="Times New Roman" w:hAnsi="Times New Roman"/>
                <w:i/>
                <w:sz w:val="24"/>
                <w:szCs w:val="24"/>
                <w:lang w:val="lv-LV"/>
              </w:rPr>
              <w:t xml:space="preserve"> mērķis:</w:t>
            </w:r>
          </w:p>
          <w:p w:rsidR="009D4D3C" w:rsidRP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t xml:space="preserve">Likumprojektā minēti šādi likuma mērķi: </w:t>
            </w:r>
          </w:p>
          <w:p w:rsidR="009D4D3C" w:rsidRPr="009D4D3C" w:rsidRDefault="009D4D3C" w:rsidP="00F41616">
            <w:pPr>
              <w:jc w:val="both"/>
              <w:rPr>
                <w:rFonts w:ascii="Times New Roman" w:eastAsia="Times New Roman" w:hAnsi="Times New Roman"/>
                <w:sz w:val="24"/>
                <w:szCs w:val="24"/>
                <w:lang w:val="lv-LV" w:eastAsia="lv-LV"/>
              </w:rPr>
            </w:pPr>
            <w:r w:rsidRPr="009D4D3C">
              <w:rPr>
                <w:rFonts w:ascii="Times New Roman" w:eastAsia="Times New Roman" w:hAnsi="Times New Roman"/>
                <w:sz w:val="24"/>
                <w:szCs w:val="24"/>
                <w:lang w:val="lv-LV" w:eastAsia="lv-LV"/>
              </w:rPr>
              <w:t>1) veicināt bērnu atturēšanos no pretlikumīgām darbībām, novēršot antisociālās uzvedības risku, veidot un nostiprināt bērnos sabiedrībā pieņemtu vērtību orientāciju, mainīt bērna uzvedību un attieksmi pret sevi un apkārtējiem, kā arī veicināt bērnu iekļaušanu sabiedrībā;</w:t>
            </w:r>
          </w:p>
          <w:p w:rsidR="009D4D3C" w:rsidRPr="009D4D3C" w:rsidRDefault="009D4D3C" w:rsidP="009D4D3C">
            <w:pPr>
              <w:ind w:left="-426" w:firstLine="426"/>
              <w:jc w:val="both"/>
              <w:rPr>
                <w:rFonts w:ascii="Times New Roman" w:eastAsia="Times New Roman" w:hAnsi="Times New Roman"/>
                <w:sz w:val="24"/>
                <w:szCs w:val="24"/>
                <w:lang w:val="lv-LV" w:eastAsia="lv-LV"/>
              </w:rPr>
            </w:pPr>
            <w:r w:rsidRPr="009D4D3C">
              <w:rPr>
                <w:rFonts w:ascii="Times New Roman" w:eastAsia="Times New Roman" w:hAnsi="Times New Roman"/>
                <w:sz w:val="24"/>
                <w:szCs w:val="24"/>
                <w:lang w:val="lv-LV" w:eastAsia="lv-LV"/>
              </w:rPr>
              <w:t>2) stiprināt bērna likumisko pārstāvju lomu bērnu antisociālas uzvedības prevencijā;</w:t>
            </w:r>
          </w:p>
          <w:p w:rsidR="009D4D3C" w:rsidRPr="009D4D3C" w:rsidRDefault="009D4D3C" w:rsidP="009D4D3C">
            <w:pPr>
              <w:ind w:left="-426" w:firstLine="426"/>
              <w:jc w:val="both"/>
              <w:rPr>
                <w:rFonts w:ascii="Times New Roman" w:eastAsia="Times New Roman" w:hAnsi="Times New Roman"/>
                <w:sz w:val="24"/>
                <w:szCs w:val="24"/>
                <w:lang w:val="lv-LV" w:eastAsia="lv-LV"/>
              </w:rPr>
            </w:pPr>
            <w:r w:rsidRPr="009D4D3C">
              <w:rPr>
                <w:rFonts w:ascii="Times New Roman" w:eastAsia="Times New Roman" w:hAnsi="Times New Roman"/>
                <w:sz w:val="24"/>
                <w:szCs w:val="24"/>
                <w:lang w:val="lv-LV" w:eastAsia="lv-LV"/>
              </w:rPr>
              <w:t>3) izveidot efektīvu bērna un bērna likumisko pārstāvju atbalsta institucionālo sistēmu.</w:t>
            </w:r>
          </w:p>
          <w:p w:rsidR="009D4D3C" w:rsidRP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lastRenderedPageBreak/>
              <w:t xml:space="preserve">Likumprojekts izstrādāts, lai risinātu iepriekš minētās problēmas un ieviestu Latvijā tādu bērnu likumpārkāpumu un antisociālas uzvedības prevencijas sistēmu, kas vērsta uz mērķi izzināt un novērst bērna antisociālas uzvedības cēloņus. Likumprojekts paredz tāda mehānisma ieviešanu, lai panāktu, ka bērni, kas neatbilst vispārpieņemtajiem uzvedības standartiem, tai skaitā izdara likumpārkāpumus, ir agresīvi, rupji ignorē sabiedrībā pieņemtās uzvedības un pieklājības normas, netiktu vienkārši sodīti. Sods nekad nevar panākt šādu bērnu uzvedības modeļa izmaiņas. Likumprojekts paredz pilnīgu atteikšanos no sodīšanas funkcijas un no soda filosofijas. Soda vietā tiek likti preventīvie līdzekļi, kuru uzdevums ir nevis radīt ciešanas un kaunu, bet gan koriģēt bērna uzvedības traucējumus un kognitīvos izkropļojumus, palīdzēt nodibināt vai atjaunot saikni ar ģimenes locekļiem un parādīt iespējas pilnvērtīgai brīvā laika pavadīšanai. Likumprojekts paredz ieviest tādu mehānismu, kam jāsasniedz konkrēti bērna antisociālas uzvedības izmaiņu rezultāti, lai panāktu bērna iekļaušanos sabiedrībā. Prevencijas līdzekļi bērniem tiek piemēroti tā, lai tie patiesi novērstu sabiedrībai nevēlamas uzvedības cēloņus un nostiprinātu bērnos pozitīvu vērtīborientāciju un saskanīgu iekļaušanos sabiedrībā. </w:t>
            </w:r>
          </w:p>
          <w:p w:rsidR="009D4D3C" w:rsidRPr="009D4D3C" w:rsidRDefault="009D4D3C" w:rsidP="009D4D3C">
            <w:pPr>
              <w:jc w:val="both"/>
              <w:rPr>
                <w:rFonts w:ascii="Times New Roman" w:eastAsia="Times New Roman" w:hAnsi="Times New Roman"/>
                <w:sz w:val="24"/>
                <w:szCs w:val="24"/>
                <w:lang w:val="lv-LV" w:eastAsia="lv-LV"/>
              </w:rPr>
            </w:pPr>
            <w:r w:rsidRPr="009D4D3C">
              <w:rPr>
                <w:rFonts w:ascii="Times New Roman" w:hAnsi="Times New Roman"/>
                <w:sz w:val="24"/>
                <w:szCs w:val="24"/>
                <w:lang w:val="lv-LV"/>
              </w:rPr>
              <w:t xml:space="preserve">Viena no pašreizējās bērnu likumpārkāpumu prevencijas sistēmas lielākajām problēmā ir tā, ka normatīvi nav nostiprināta bērna vecāku loma bērna korekcijas procesā, kā arī tas, ka normatīvi nav nostiprināta konkrēta bērnu tiesību aizsardzības institūciju sadarbības forma bērnu likumpārkāpumu prevencijas uzdevumu veikšanai. </w:t>
            </w:r>
          </w:p>
          <w:p w:rsidR="009D4D3C" w:rsidRPr="009D4D3C" w:rsidRDefault="00760CCB" w:rsidP="009D4D3C">
            <w:pPr>
              <w:jc w:val="both"/>
              <w:rPr>
                <w:rFonts w:ascii="Times New Roman" w:hAnsi="Times New Roman"/>
                <w:i/>
                <w:sz w:val="24"/>
                <w:szCs w:val="24"/>
                <w:lang w:val="lv-LV"/>
              </w:rPr>
            </w:pPr>
            <w:r>
              <w:rPr>
                <w:rFonts w:ascii="Times New Roman" w:hAnsi="Times New Roman"/>
                <w:i/>
                <w:sz w:val="24"/>
                <w:szCs w:val="24"/>
                <w:lang w:val="lv-LV"/>
              </w:rPr>
              <w:t>Bērnu antisociālas uzvedības prevencijas pamatp</w:t>
            </w:r>
            <w:r w:rsidR="009D4D3C" w:rsidRPr="009D4D3C">
              <w:rPr>
                <w:rFonts w:ascii="Times New Roman" w:hAnsi="Times New Roman"/>
                <w:i/>
                <w:sz w:val="24"/>
                <w:szCs w:val="24"/>
                <w:lang w:val="lv-LV"/>
              </w:rPr>
              <w:t>rincipi:</w:t>
            </w:r>
          </w:p>
          <w:p w:rsidR="009D4D3C" w:rsidRP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t xml:space="preserve">Lai sasniegtu likuma izvirzītos mērķus, likumprojektā tiek nostiprināta virkne principu, kas vērsti uz likuma mērķa sasniegšanu un likuma piemērotājiem strīdīgās situācijās palīdzēs pareizi interpretēt likuma normas un pieņemt pareizos lēmumus. </w:t>
            </w:r>
            <w:r w:rsidRPr="009D4D3C">
              <w:rPr>
                <w:rFonts w:ascii="Times New Roman" w:hAnsi="Times New Roman"/>
                <w:b/>
                <w:sz w:val="24"/>
                <w:szCs w:val="24"/>
                <w:lang w:val="lv-LV"/>
              </w:rPr>
              <w:t>Agrīnās prevencijas princips</w:t>
            </w:r>
            <w:r w:rsidRPr="009D4D3C">
              <w:rPr>
                <w:rFonts w:ascii="Times New Roman" w:hAnsi="Times New Roman"/>
                <w:sz w:val="24"/>
                <w:szCs w:val="24"/>
                <w:lang w:val="lv-LV"/>
              </w:rPr>
              <w:t xml:space="preserve"> vērsts uz to, lai bērnam nepieciešamās korekcijas darbības tiktu uzsāktas tiklīdz parādās antisociālas uzvedības pazīmes, negaidot kāda noteikta vecuma iestāšanos vai kādu konkrētu apstākļu iestāšanos. Tādejādi ir iespējams panākt, ka bērna antisociālās uzvedība ar laiku neagravējas un neveidojas bērna “noziedzīgā karjera”, kā arī ietaupās bērna sociālajai korekcijai nepieciešamie resursi, jo agrīnajās stadijās sociālo korekciju ir iespējams veikt ar vienkāršākiem līdzekļiem, nekā vēlīnajās stadijās. </w:t>
            </w:r>
            <w:r w:rsidRPr="009D4D3C">
              <w:rPr>
                <w:rFonts w:ascii="Times New Roman" w:hAnsi="Times New Roman"/>
                <w:b/>
                <w:sz w:val="24"/>
                <w:szCs w:val="24"/>
                <w:lang w:val="lv-LV"/>
              </w:rPr>
              <w:t xml:space="preserve">Bērna likumisko pārstāvju līdzdarbības un atbildības princips </w:t>
            </w:r>
            <w:r w:rsidRPr="009D4D3C">
              <w:rPr>
                <w:rFonts w:ascii="Times New Roman" w:hAnsi="Times New Roman"/>
                <w:sz w:val="24"/>
                <w:szCs w:val="24"/>
                <w:lang w:val="lv-LV"/>
              </w:rPr>
              <w:t>ietverts likumā ar mērķi nostiprināt vecāku klātbūtni un atbildību par savu bērnu ikkatrā procesa stadijā. Kā tas izriet no pētījumiem par bērnu likum</w:t>
            </w:r>
            <w:r w:rsidR="00F41616">
              <w:rPr>
                <w:rFonts w:ascii="Times New Roman" w:hAnsi="Times New Roman"/>
                <w:sz w:val="24"/>
                <w:szCs w:val="24"/>
                <w:lang w:val="lv-LV"/>
              </w:rPr>
              <w:t>pārkāpumu cēloņiem, tieši vecāku</w:t>
            </w:r>
            <w:r w:rsidRPr="009D4D3C">
              <w:rPr>
                <w:rFonts w:ascii="Times New Roman" w:hAnsi="Times New Roman"/>
                <w:sz w:val="24"/>
                <w:szCs w:val="24"/>
                <w:lang w:val="lv-LV"/>
              </w:rPr>
              <w:t xml:space="preserve"> uzmanības un aprūpes trūkums ir primārais iemesls tam, lai bērna attīstībā un arī ārējā uzvedībā sāktos novirzes no attiecīgajā vecumposmā pieņemamajiem un raksturīgajiem uzvedības modeļiem. Tādejādi vecāku līdziesaistīšana bērna sociālās korekcijas pasākumos ir solis pretī tam, lai vecāki apzinātos savas rīcības sekas un palīdzētu tās novērst, kā arī mainītu savu attieksmi un paradumus bērnu audzināšanā. Papildus tam, jāņem vērā, ka bērns viens pats nevar uzņemties visu atbildību par prevnecijas plānā ietverto prevencijas līdzekļu izpildi, bērns, iespējams, var mainīt savu uzvedību un attieksmi pret apkārtējo vidi un cilvēkiem, taču bērns patstāv</w:t>
            </w:r>
            <w:r w:rsidR="00F41616">
              <w:rPr>
                <w:rFonts w:ascii="Times New Roman" w:hAnsi="Times New Roman"/>
                <w:sz w:val="24"/>
                <w:szCs w:val="24"/>
                <w:lang w:val="lv-LV"/>
              </w:rPr>
              <w:t>īgi nespēj mainīt apkārtējo vidi</w:t>
            </w:r>
            <w:r w:rsidRPr="009D4D3C">
              <w:rPr>
                <w:rFonts w:ascii="Times New Roman" w:hAnsi="Times New Roman"/>
                <w:sz w:val="24"/>
                <w:szCs w:val="24"/>
                <w:lang w:val="lv-LV"/>
              </w:rPr>
              <w:t xml:space="preserve"> un cilvēkus</w:t>
            </w:r>
            <w:r w:rsidR="00F41616">
              <w:rPr>
                <w:rFonts w:ascii="Times New Roman" w:hAnsi="Times New Roman"/>
                <w:sz w:val="24"/>
                <w:szCs w:val="24"/>
                <w:lang w:val="lv-LV"/>
              </w:rPr>
              <w:t>,</w:t>
            </w:r>
            <w:r w:rsidRPr="009D4D3C">
              <w:rPr>
                <w:rFonts w:ascii="Times New Roman" w:hAnsi="Times New Roman"/>
                <w:sz w:val="24"/>
                <w:szCs w:val="24"/>
                <w:lang w:val="lv-LV"/>
              </w:rPr>
              <w:t xml:space="preserve"> un šo cilvēku attieksmi pret sevi. </w:t>
            </w:r>
            <w:r w:rsidRPr="009D4D3C">
              <w:rPr>
                <w:rFonts w:ascii="Times New Roman" w:hAnsi="Times New Roman"/>
                <w:sz w:val="24"/>
                <w:szCs w:val="24"/>
                <w:lang w:val="lv-LV"/>
              </w:rPr>
              <w:lastRenderedPageBreak/>
              <w:t xml:space="preserve">Tādēļ pieaugušā cilvēka atbalsts ir veiksmīga sociālas korekcijas darba priekšnoteikums. </w:t>
            </w:r>
            <w:r w:rsidRPr="009D4D3C">
              <w:rPr>
                <w:rFonts w:ascii="Times New Roman" w:hAnsi="Times New Roman"/>
                <w:b/>
                <w:sz w:val="24"/>
                <w:szCs w:val="24"/>
                <w:lang w:val="lv-LV"/>
              </w:rPr>
              <w:t>Individualizācijas princips</w:t>
            </w:r>
            <w:r w:rsidRPr="009D4D3C">
              <w:rPr>
                <w:rFonts w:ascii="Times New Roman" w:hAnsi="Times New Roman"/>
                <w:sz w:val="24"/>
                <w:szCs w:val="24"/>
                <w:lang w:val="lv-LV"/>
              </w:rPr>
              <w:t xml:space="preserve"> ir vērsts uz to, lai preventīvie līdzekļi izvēlēti tā, lai </w:t>
            </w:r>
            <w:r w:rsidR="006340F8">
              <w:rPr>
                <w:rFonts w:ascii="Times New Roman" w:hAnsi="Times New Roman"/>
                <w:sz w:val="24"/>
                <w:szCs w:val="24"/>
                <w:lang w:val="lv-LV"/>
              </w:rPr>
              <w:t>atbilstu katra konkrētā bērna iz</w:t>
            </w:r>
            <w:r w:rsidRPr="009D4D3C">
              <w:rPr>
                <w:rFonts w:ascii="Times New Roman" w:hAnsi="Times New Roman"/>
                <w:sz w:val="24"/>
                <w:szCs w:val="24"/>
                <w:lang w:val="lv-LV"/>
              </w:rPr>
              <w:t>vērtējumā atklātajiem antisociāl</w:t>
            </w:r>
            <w:r w:rsidR="00F41616">
              <w:rPr>
                <w:rFonts w:ascii="Times New Roman" w:hAnsi="Times New Roman"/>
                <w:sz w:val="24"/>
                <w:szCs w:val="24"/>
                <w:lang w:val="lv-LV"/>
              </w:rPr>
              <w:t>ā</w:t>
            </w:r>
            <w:r w:rsidRPr="009D4D3C">
              <w:rPr>
                <w:rFonts w:ascii="Times New Roman" w:hAnsi="Times New Roman"/>
                <w:sz w:val="24"/>
                <w:szCs w:val="24"/>
                <w:lang w:val="lv-LV"/>
              </w:rPr>
              <w:t>s uzvedības riskiem. Tādejādi katra</w:t>
            </w:r>
            <w:r w:rsidR="00F41616">
              <w:rPr>
                <w:rFonts w:ascii="Times New Roman" w:hAnsi="Times New Roman"/>
                <w:sz w:val="24"/>
                <w:szCs w:val="24"/>
                <w:lang w:val="lv-LV"/>
              </w:rPr>
              <w:t>m</w:t>
            </w:r>
            <w:r w:rsidRPr="009D4D3C">
              <w:rPr>
                <w:rFonts w:ascii="Times New Roman" w:hAnsi="Times New Roman"/>
                <w:sz w:val="24"/>
                <w:szCs w:val="24"/>
                <w:lang w:val="lv-LV"/>
              </w:rPr>
              <w:t xml:space="preserve"> no izvēlētajiem prevencijas līdzekļiem ir jākorespondē konkrētam konstatētam riskam, respektīvi, konkrētam bērnam noteiktajiem preventīvajiem līdzekļiem ir jābūt mērķtiecīgi orientētiem tieši uz konkrētā bērna konkrētiem riskiem. </w:t>
            </w:r>
            <w:r w:rsidRPr="009D4D3C">
              <w:rPr>
                <w:rFonts w:ascii="Times New Roman" w:hAnsi="Times New Roman"/>
                <w:b/>
                <w:sz w:val="24"/>
                <w:szCs w:val="24"/>
                <w:lang w:val="lv-LV"/>
              </w:rPr>
              <w:t>Samērīguma un proporcionalitātes princips</w:t>
            </w:r>
            <w:r w:rsidRPr="009D4D3C">
              <w:rPr>
                <w:rFonts w:ascii="Times New Roman" w:hAnsi="Times New Roman"/>
                <w:sz w:val="24"/>
                <w:szCs w:val="24"/>
                <w:lang w:val="lv-LV"/>
              </w:rPr>
              <w:t xml:space="preserve"> līdzīgi, kā </w:t>
            </w:r>
            <w:r w:rsidR="00F41616">
              <w:rPr>
                <w:rFonts w:ascii="Times New Roman" w:hAnsi="Times New Roman"/>
                <w:sz w:val="24"/>
                <w:szCs w:val="24"/>
                <w:lang w:val="lv-LV"/>
              </w:rPr>
              <w:t>individualizācijas princips liek</w:t>
            </w:r>
            <w:r w:rsidRPr="009D4D3C">
              <w:rPr>
                <w:rFonts w:ascii="Times New Roman" w:hAnsi="Times New Roman"/>
                <w:sz w:val="24"/>
                <w:szCs w:val="24"/>
                <w:lang w:val="lv-LV"/>
              </w:rPr>
              <w:t xml:space="preserve"> izvēlēties katram bērnam piemērotos prevencijas līdzekļus, taču šī principa kontekstā svarīgi ir izvērtēt izvēlētā prevencijas līdzekļa iedarbības pakāpi. Ir svarīgi gan neveikt pārmērīgu intervenci bērna dzīvē, kur tas nav nepieciešams,  tomēr vēl jo vairāk svarīgi ir tas, lai bērnam, kuram ir nepieciešama nopietna intervence, netiktu piemēroti tādi prevencijas līdzekļi, kas nespēj novērst konstatētā riska smaguma pakāpi. </w:t>
            </w:r>
            <w:r w:rsidRPr="009D4D3C">
              <w:rPr>
                <w:rFonts w:ascii="Times New Roman" w:hAnsi="Times New Roman"/>
                <w:b/>
                <w:sz w:val="24"/>
                <w:szCs w:val="24"/>
                <w:lang w:val="lv-LV"/>
              </w:rPr>
              <w:t>Pozītīvās pedagoģijas princips</w:t>
            </w:r>
            <w:r w:rsidRPr="009D4D3C">
              <w:rPr>
                <w:rFonts w:ascii="Times New Roman" w:hAnsi="Times New Roman"/>
                <w:sz w:val="24"/>
                <w:szCs w:val="24"/>
                <w:lang w:val="lv-LV"/>
              </w:rPr>
              <w:t xml:space="preserve"> vērst</w:t>
            </w:r>
            <w:r w:rsidR="00BD5BD0">
              <w:rPr>
                <w:rFonts w:ascii="Times New Roman" w:hAnsi="Times New Roman"/>
                <w:sz w:val="24"/>
                <w:szCs w:val="24"/>
                <w:lang w:val="lv-LV"/>
              </w:rPr>
              <w:t>s</w:t>
            </w:r>
            <w:r w:rsidRPr="009D4D3C">
              <w:rPr>
                <w:rFonts w:ascii="Times New Roman" w:hAnsi="Times New Roman"/>
                <w:sz w:val="24"/>
                <w:szCs w:val="24"/>
                <w:lang w:val="lv-LV"/>
              </w:rPr>
              <w:t xml:space="preserve"> uz to, lai konkrētās aktivitātes, ar kurām tiek īstenoti prevencijas pasākumi būtu orientēti uz bērna aizsardzības faktoru stiprināšanu. Bērni, kuru uzvedība ir antisociāla tiek skolā, ģimenē un apkārtējā sabiedrībā stigmatizēti, kā “neveiksmīgi, sabiedrībai nederīgi” varbūt “slinki” vai  “dumji”. Lai panāktu pozitīvu dinamiku bērna reintegrācijai sabiedrībā ir svarīgi akcentēt katra konkrētā bērna spējas un talantus, stiprināt bērna pārliecību par sevi. </w:t>
            </w:r>
            <w:r w:rsidRPr="009D4D3C">
              <w:rPr>
                <w:rFonts w:ascii="Times New Roman" w:hAnsi="Times New Roman"/>
                <w:b/>
                <w:sz w:val="24"/>
                <w:szCs w:val="24"/>
                <w:lang w:val="lv-LV"/>
              </w:rPr>
              <w:t>Bērna iekļaušanas sabiedrībā princips</w:t>
            </w:r>
            <w:r w:rsidRPr="009D4D3C">
              <w:rPr>
                <w:rFonts w:ascii="Times New Roman" w:hAnsi="Times New Roman"/>
                <w:sz w:val="24"/>
                <w:szCs w:val="24"/>
                <w:lang w:val="lv-LV"/>
              </w:rPr>
              <w:t xml:space="preserve"> ir vērsts uz to, lai nozīmētie prevencijas pasākumi palīdzētu bērnam, kura uzvedība ir bijusi vērsta uz to, lai konfrontētos ar apkārtējos sabiedrību, palīdzētu viņam atkal integrēties sabiedrībā un ievirzīt bērna interešu un spēju īstenošanu sabiedrībai pieņemamā gultnē un formā. </w:t>
            </w:r>
            <w:r w:rsidR="005E36C6">
              <w:rPr>
                <w:rFonts w:ascii="Times New Roman" w:hAnsi="Times New Roman"/>
                <w:b/>
                <w:sz w:val="24"/>
                <w:szCs w:val="24"/>
                <w:lang w:val="lv-LV"/>
              </w:rPr>
              <w:t>Saskaņas atjaunošanas princips</w:t>
            </w:r>
            <w:r w:rsidRPr="009D4D3C">
              <w:rPr>
                <w:rFonts w:ascii="Times New Roman" w:hAnsi="Times New Roman"/>
                <w:sz w:val="24"/>
                <w:szCs w:val="24"/>
                <w:lang w:val="lv-LV"/>
              </w:rPr>
              <w:t xml:space="preserve"> liek konkrētajos pasākumos, kas izvēlēti, lai īstenotu prevencijas līdzekļus pēc iespējas izmantot tā saucamās </w:t>
            </w:r>
            <w:r w:rsidRPr="009D4D3C">
              <w:rPr>
                <w:rFonts w:ascii="Times New Roman" w:hAnsi="Times New Roman"/>
                <w:i/>
                <w:sz w:val="24"/>
                <w:szCs w:val="24"/>
                <w:lang w:val="lv-LV"/>
              </w:rPr>
              <w:t>restorative justice</w:t>
            </w:r>
            <w:r w:rsidRPr="009D4D3C">
              <w:rPr>
                <w:rFonts w:ascii="Times New Roman" w:hAnsi="Times New Roman"/>
                <w:sz w:val="24"/>
                <w:szCs w:val="24"/>
                <w:lang w:val="lv-LV"/>
              </w:rPr>
              <w:t xml:space="preserve"> metodes. Tai skaitā, prevencijas līdzeklis – izlīgums- ir īstenojams nevis sastādot kādu formālu izlīguma dokumentu, bet gan izmantojot </w:t>
            </w:r>
            <w:r w:rsidRPr="009D4D3C">
              <w:rPr>
                <w:rFonts w:ascii="Times New Roman" w:hAnsi="Times New Roman"/>
                <w:i/>
                <w:sz w:val="24"/>
                <w:szCs w:val="24"/>
                <w:lang w:val="lv-LV"/>
              </w:rPr>
              <w:t>restorative justice</w:t>
            </w:r>
            <w:r w:rsidRPr="009D4D3C">
              <w:rPr>
                <w:rFonts w:ascii="Times New Roman" w:hAnsi="Times New Roman"/>
                <w:sz w:val="24"/>
                <w:szCs w:val="24"/>
                <w:lang w:val="lv-LV"/>
              </w:rPr>
              <w:t xml:space="preserve"> dažādas formas organizēšanai un izlīguma sanāksmes norisei. </w:t>
            </w:r>
            <w:r w:rsidRPr="009D4D3C">
              <w:rPr>
                <w:rFonts w:ascii="Times New Roman" w:hAnsi="Times New Roman"/>
                <w:b/>
                <w:sz w:val="24"/>
                <w:szCs w:val="24"/>
                <w:lang w:val="lv-LV"/>
              </w:rPr>
              <w:t>Informācijas pēctecības principa</w:t>
            </w:r>
            <w:r w:rsidRPr="009D4D3C">
              <w:rPr>
                <w:rFonts w:ascii="Times New Roman" w:hAnsi="Times New Roman"/>
                <w:sz w:val="24"/>
                <w:szCs w:val="24"/>
                <w:lang w:val="lv-LV"/>
              </w:rPr>
              <w:t xml:space="preserve"> būtība ir cieši saistīta ar sadarbības grupas vardarbības prevencijas uzdevumu pieaugušajiem (Vardarbības prevencijas likumu). Ja ģimenē, kurā dzīvo bērns, kādam no pieaugušajiem ir ierosināta vardarbības prevencijas lieta, visticamāk šādā ģimenē bērns pats ir cietis no vardarbības, bet iespējams jau arī pats uzvedas antisociāli. Un pretēji – ja bērnam ir iekārtota prevencijas lieta, pastāv iespējamība, ka bērns uzvedas antisociāli tieši ģimenē pārciestās vardarbības (emocionālas, fiziskas un seksuālas vardarbības) dēļ. Tādejādi sadarbības grupas darbs būtu organizējams tā, lai sadarbības grupā veidojas “institucionālā atmiņa”  un ar vienas ģimenes lietām strādātu pēc iespējas tie paši eksperti, kas jau ir piedalījušies citas šai ģimenei piederošas personas lietas izskatīšanā. Tādejādi būtu iespējams identificēt arī gadījumus, kad neviens neziņo per nepieciešamību iekārtot bērnam prevencijas lietu, bet informācija, kas norāda par šādu nepieciešamību, kļūst zināma sadarbības grupai izskatot citas attiecīgajai ģimenei piederošu vai pietuvinātu personu lietas. </w:t>
            </w:r>
            <w:r w:rsidR="005E36C6">
              <w:rPr>
                <w:rFonts w:ascii="Times New Roman" w:hAnsi="Times New Roman"/>
                <w:b/>
                <w:sz w:val="24"/>
                <w:szCs w:val="24"/>
                <w:lang w:val="lv-LV"/>
              </w:rPr>
              <w:t>S</w:t>
            </w:r>
            <w:r w:rsidRPr="009D4D3C">
              <w:rPr>
                <w:rFonts w:ascii="Times New Roman" w:hAnsi="Times New Roman"/>
                <w:b/>
                <w:sz w:val="24"/>
                <w:szCs w:val="24"/>
                <w:lang w:val="lv-LV"/>
              </w:rPr>
              <w:t>adarbības princips</w:t>
            </w:r>
            <w:r w:rsidRPr="009D4D3C">
              <w:rPr>
                <w:rFonts w:ascii="Times New Roman" w:hAnsi="Times New Roman"/>
                <w:sz w:val="24"/>
                <w:szCs w:val="24"/>
                <w:lang w:val="lv-LV"/>
              </w:rPr>
              <w:t xml:space="preserve"> ir vērst</w:t>
            </w:r>
            <w:r w:rsidR="005E36C6">
              <w:rPr>
                <w:rFonts w:ascii="Times New Roman" w:hAnsi="Times New Roman"/>
                <w:sz w:val="24"/>
                <w:szCs w:val="24"/>
                <w:lang w:val="lv-LV"/>
              </w:rPr>
              <w:t>s</w:t>
            </w:r>
            <w:r w:rsidRPr="009D4D3C">
              <w:rPr>
                <w:rFonts w:ascii="Times New Roman" w:hAnsi="Times New Roman"/>
                <w:sz w:val="24"/>
                <w:szCs w:val="24"/>
                <w:lang w:val="lv-LV"/>
              </w:rPr>
              <w:t xml:space="preserve"> uz to, lai stiprinātu bērnu tiesību aizsardzības sistēmas dažādos posmos iesaistīto institūciju un amatpersonu ap</w:t>
            </w:r>
            <w:r w:rsidR="00F41616">
              <w:rPr>
                <w:rFonts w:ascii="Times New Roman" w:hAnsi="Times New Roman"/>
                <w:sz w:val="24"/>
                <w:szCs w:val="24"/>
                <w:lang w:val="lv-LV"/>
              </w:rPr>
              <w:t>z</w:t>
            </w:r>
            <w:r w:rsidRPr="009D4D3C">
              <w:rPr>
                <w:rFonts w:ascii="Times New Roman" w:hAnsi="Times New Roman"/>
                <w:sz w:val="24"/>
                <w:szCs w:val="24"/>
                <w:lang w:val="lv-LV"/>
              </w:rPr>
              <w:t>iņu, ka neviena bērna prob</w:t>
            </w:r>
            <w:r w:rsidR="00F41616">
              <w:rPr>
                <w:rFonts w:ascii="Times New Roman" w:hAnsi="Times New Roman"/>
                <w:sz w:val="24"/>
                <w:szCs w:val="24"/>
                <w:lang w:val="lv-LV"/>
              </w:rPr>
              <w:t>lēma nav pilnībā atrisināma tik</w:t>
            </w:r>
            <w:r w:rsidRPr="009D4D3C">
              <w:rPr>
                <w:rFonts w:ascii="Times New Roman" w:hAnsi="Times New Roman"/>
                <w:sz w:val="24"/>
                <w:szCs w:val="24"/>
                <w:lang w:val="lv-LV"/>
              </w:rPr>
              <w:t>a</w:t>
            </w:r>
            <w:r w:rsidR="00F41616">
              <w:rPr>
                <w:rFonts w:ascii="Times New Roman" w:hAnsi="Times New Roman"/>
                <w:sz w:val="24"/>
                <w:szCs w:val="24"/>
                <w:lang w:val="lv-LV"/>
              </w:rPr>
              <w:t>i</w:t>
            </w:r>
            <w:r w:rsidRPr="009D4D3C">
              <w:rPr>
                <w:rFonts w:ascii="Times New Roman" w:hAnsi="Times New Roman"/>
                <w:sz w:val="24"/>
                <w:szCs w:val="24"/>
                <w:lang w:val="lv-LV"/>
              </w:rPr>
              <w:t xml:space="preserve"> kādas vienas iestādes kompetences </w:t>
            </w:r>
            <w:r w:rsidRPr="009D4D3C">
              <w:rPr>
                <w:rFonts w:ascii="Times New Roman" w:hAnsi="Times New Roman"/>
                <w:sz w:val="24"/>
                <w:szCs w:val="24"/>
                <w:lang w:val="lv-LV"/>
              </w:rPr>
              <w:lastRenderedPageBreak/>
              <w:t>ietveros, bet vienmēr prasa arī citu iestāžu līdzdarbošanos, lai gadījumu atrisinātu pilnīgi un bērna interesēm vi</w:t>
            </w:r>
            <w:r w:rsidR="005E36C6">
              <w:rPr>
                <w:rFonts w:ascii="Times New Roman" w:hAnsi="Times New Roman"/>
                <w:sz w:val="24"/>
                <w:szCs w:val="24"/>
                <w:lang w:val="lv-LV"/>
              </w:rPr>
              <w:t>slabākajā veidā atbilstoši. Tādē</w:t>
            </w:r>
            <w:r w:rsidRPr="009D4D3C">
              <w:rPr>
                <w:rFonts w:ascii="Times New Roman" w:hAnsi="Times New Roman"/>
                <w:sz w:val="24"/>
                <w:szCs w:val="24"/>
                <w:lang w:val="lv-LV"/>
              </w:rPr>
              <w:t xml:space="preserve">jādi vairāku iestāžu līdzdarbošanās šobrīd ir vienīgais saprātīgais un efektīvais </w:t>
            </w:r>
            <w:r w:rsidRPr="00DB3C9C">
              <w:rPr>
                <w:rFonts w:ascii="Times New Roman" w:hAnsi="Times New Roman"/>
                <w:sz w:val="24"/>
                <w:szCs w:val="24"/>
                <w:lang w:val="lv-LV"/>
              </w:rPr>
              <w:t>veids, kā risināt</w:t>
            </w:r>
            <w:r w:rsidR="00DB3C9C" w:rsidRPr="00DB3C9C">
              <w:rPr>
                <w:rFonts w:ascii="Times New Roman" w:hAnsi="Times New Roman"/>
                <w:sz w:val="24"/>
                <w:szCs w:val="24"/>
                <w:lang w:val="lv-LV"/>
              </w:rPr>
              <w:t xml:space="preserve"> konkrētā bērna problēmu</w:t>
            </w:r>
            <w:r w:rsidRPr="00DB3C9C">
              <w:rPr>
                <w:rFonts w:ascii="Times New Roman" w:hAnsi="Times New Roman"/>
                <w:sz w:val="24"/>
                <w:szCs w:val="24"/>
                <w:lang w:val="lv-LV"/>
              </w:rPr>
              <w:t xml:space="preserve">. </w:t>
            </w:r>
            <w:r w:rsidR="005E36C6">
              <w:rPr>
                <w:rFonts w:ascii="Times New Roman" w:hAnsi="Times New Roman"/>
                <w:b/>
                <w:sz w:val="24"/>
                <w:szCs w:val="24"/>
                <w:lang w:val="lv-LV"/>
              </w:rPr>
              <w:t>Iesaistīšanā</w:t>
            </w:r>
            <w:r w:rsidRPr="009D4D3C">
              <w:rPr>
                <w:rFonts w:ascii="Times New Roman" w:hAnsi="Times New Roman"/>
                <w:b/>
                <w:sz w:val="24"/>
                <w:szCs w:val="24"/>
                <w:lang w:val="lv-LV"/>
              </w:rPr>
              <w:t>s princips</w:t>
            </w:r>
            <w:r w:rsidRPr="009D4D3C">
              <w:rPr>
                <w:rFonts w:ascii="Times New Roman" w:hAnsi="Times New Roman"/>
                <w:sz w:val="24"/>
                <w:szCs w:val="24"/>
                <w:lang w:val="lv-LV"/>
              </w:rPr>
              <w:t xml:space="preserve"> ir vērsts uz to, lai pamazām mainītu sabiedrības attieksmi pret bērniem ar antisociālu uzvedību. Pirmkārt, līdzšinējā sodošā filosofija novedusi pie tā, ka sabiedrības apziņā cilvēki, kas uzvedās nevēlami (gan pieaugušie, gan bērni) ir jāizstumj no sabiedrības, jāpārvieto uz brīvības atņemšanas iestādēm vai kā citādi</w:t>
            </w:r>
            <w:r w:rsidR="00F41616">
              <w:rPr>
                <w:rFonts w:ascii="Times New Roman" w:hAnsi="Times New Roman"/>
                <w:sz w:val="24"/>
                <w:szCs w:val="24"/>
                <w:lang w:val="lv-LV"/>
              </w:rPr>
              <w:t xml:space="preserve"> prom no vietējās kopienas, tādē</w:t>
            </w:r>
            <w:r w:rsidRPr="009D4D3C">
              <w:rPr>
                <w:rFonts w:ascii="Times New Roman" w:hAnsi="Times New Roman"/>
                <w:sz w:val="24"/>
                <w:szCs w:val="24"/>
                <w:lang w:val="lv-LV"/>
              </w:rPr>
              <w:t>jādi izstumšana no kopienas ir savdabīgs soda mērs nevēlamajai personai.  Tomēr bērna izstumšana nekad nevar novest pie tā, k</w:t>
            </w:r>
            <w:r w:rsidR="00F41616">
              <w:rPr>
                <w:rFonts w:ascii="Times New Roman" w:hAnsi="Times New Roman"/>
                <w:sz w:val="24"/>
                <w:szCs w:val="24"/>
                <w:lang w:val="lv-LV"/>
              </w:rPr>
              <w:t>a bērns tādē</w:t>
            </w:r>
            <w:r w:rsidRPr="009D4D3C">
              <w:rPr>
                <w:rFonts w:ascii="Times New Roman" w:hAnsi="Times New Roman"/>
                <w:sz w:val="24"/>
                <w:szCs w:val="24"/>
                <w:lang w:val="lv-LV"/>
              </w:rPr>
              <w:t xml:space="preserve">jādi spētu vērst savu uzvedību pozitīvā virzienā.  Otrkārt, bērns ar nevēlamu uzvedību rodas konkrētā ģimenē, konkrētā skolā, konkrētā pilsētā vai pagastā. Tādejādi vietējā sabiedrība ir vismaz daļēji līdzatbildīga par apstākļiem un notikumiem, kas noveduši bērnu līdz antisociālai uzvedībai. Sabiedrības pārstāvju (gan atsevišķu fizisku personu, gan juridisku personu – komersantu, biedrību, nodibinājumu) iesaistīšana prevencijas pasākumos dos pozitīvas izmaiņas apkārtējā sabiedrības attieksmē pret bērnu, proti mainīt sodoši – izstumjošo attieksmi, pret atbalstoši – iekļaujošo attieksmi. </w:t>
            </w:r>
            <w:r w:rsidR="00D60FB5" w:rsidRPr="00D60FB5">
              <w:rPr>
                <w:rFonts w:ascii="Times New Roman" w:hAnsi="Times New Roman"/>
                <w:b/>
                <w:sz w:val="24"/>
                <w:szCs w:val="24"/>
                <w:lang w:val="lv-LV"/>
              </w:rPr>
              <w:t>Bērna labāko interešu aizsardzības princips</w:t>
            </w:r>
            <w:r w:rsidR="00D60FB5">
              <w:rPr>
                <w:rFonts w:ascii="Times New Roman" w:hAnsi="Times New Roman"/>
                <w:sz w:val="24"/>
                <w:szCs w:val="24"/>
                <w:lang w:val="lv-LV"/>
              </w:rPr>
              <w:t xml:space="preserve"> paredz to, </w:t>
            </w:r>
            <w:r w:rsidR="00F41616">
              <w:rPr>
                <w:rFonts w:ascii="Times New Roman" w:hAnsi="Times New Roman"/>
                <w:sz w:val="24"/>
                <w:szCs w:val="24"/>
                <w:lang w:val="lv-LV"/>
              </w:rPr>
              <w:t xml:space="preserve">ka </w:t>
            </w:r>
            <w:r w:rsidR="00D60FB5">
              <w:rPr>
                <w:rFonts w:ascii="Times New Roman" w:hAnsi="Times New Roman"/>
                <w:sz w:val="24"/>
                <w:szCs w:val="24"/>
                <w:lang w:val="lv-LV"/>
              </w:rPr>
              <w:t>lēmumi, kas pieņemti bērna inte</w:t>
            </w:r>
            <w:r w:rsidR="00F41616">
              <w:rPr>
                <w:rFonts w:ascii="Times New Roman" w:hAnsi="Times New Roman"/>
                <w:sz w:val="24"/>
                <w:szCs w:val="24"/>
                <w:lang w:val="lv-LV"/>
              </w:rPr>
              <w:t>rešu aizsardzībai, balstās nevis</w:t>
            </w:r>
            <w:r w:rsidR="00D60FB5">
              <w:rPr>
                <w:rFonts w:ascii="Times New Roman" w:hAnsi="Times New Roman"/>
                <w:sz w:val="24"/>
                <w:szCs w:val="24"/>
                <w:lang w:val="lv-LV"/>
              </w:rPr>
              <w:t xml:space="preserve"> uz formālu faktu prezumpciju un attiecīgās situācijas pielīdzināšanu citām līdzīgām situācijām, bet gan uz konkrētā bērna situācijas individuālu analīzi. Šis princips liek izvērtēt, vai nepastāv vairāki alternatīvi rīcības varianti un salīdzināt, kurš no rīcības variantiem visvairāk konkrētajā situācijā veicina bērna drošību, veselības aprūpi, fizisku un emocionālu attīstību, iespējas iegūt izglītību utt. Piemēram, tiek prezumēts, ka bērnam vislabvēlīgākā vide ir ģimene, tomēr var būt situācijas, kad bērna atstāšana ģimenē apdraud viņa veselību. Līdzīgā kārtā var nākties izvērtēt arī divu bērna interešu sadursmi, interesi saglabāt ierasto vienaudžu socializēšanās loku un interesi atbrīvoties no nevēlamiem ieradumiem un bērnam aizliegtu vienu lietošanas. Visi šie faktori jāapsver katra konkrēta bērna esošās situācijas kontekstā. </w:t>
            </w:r>
          </w:p>
          <w:p w:rsidR="009D4D3C" w:rsidRPr="009D4D3C" w:rsidRDefault="009D4D3C" w:rsidP="009D4D3C">
            <w:pPr>
              <w:jc w:val="both"/>
              <w:rPr>
                <w:rFonts w:ascii="Times New Roman" w:hAnsi="Times New Roman"/>
                <w:sz w:val="24"/>
                <w:szCs w:val="24"/>
                <w:lang w:val="lv-LV"/>
              </w:rPr>
            </w:pPr>
          </w:p>
          <w:p w:rsidR="009D4D3C" w:rsidRPr="009D4D3C" w:rsidRDefault="00760CCB" w:rsidP="009D4D3C">
            <w:pPr>
              <w:jc w:val="both"/>
              <w:rPr>
                <w:rFonts w:ascii="Times New Roman" w:hAnsi="Times New Roman"/>
                <w:i/>
                <w:sz w:val="24"/>
                <w:szCs w:val="24"/>
                <w:lang w:val="lv-LV"/>
              </w:rPr>
            </w:pPr>
            <w:r>
              <w:rPr>
                <w:rFonts w:ascii="Times New Roman" w:hAnsi="Times New Roman"/>
                <w:i/>
                <w:sz w:val="24"/>
                <w:szCs w:val="24"/>
                <w:lang w:val="lv-LV"/>
              </w:rPr>
              <w:t>Prevencijā iesaistāmo bērnu loks</w:t>
            </w:r>
            <w:r w:rsidR="009D4D3C" w:rsidRPr="009D4D3C">
              <w:rPr>
                <w:rFonts w:ascii="Times New Roman" w:hAnsi="Times New Roman"/>
                <w:i/>
                <w:sz w:val="24"/>
                <w:szCs w:val="24"/>
                <w:lang w:val="lv-LV"/>
              </w:rPr>
              <w:t>:</w:t>
            </w:r>
          </w:p>
          <w:p w:rsidR="00ED7844" w:rsidRDefault="00F41616" w:rsidP="009D4D3C">
            <w:pPr>
              <w:jc w:val="both"/>
              <w:rPr>
                <w:rFonts w:ascii="Times New Roman" w:eastAsia="Times New Roman" w:hAnsi="Times New Roman"/>
                <w:sz w:val="24"/>
                <w:szCs w:val="24"/>
                <w:lang w:val="lv-LV" w:eastAsia="lv-LV"/>
              </w:rPr>
            </w:pPr>
            <w:r>
              <w:rPr>
                <w:rFonts w:ascii="Times New Roman" w:hAnsi="Times New Roman"/>
                <w:sz w:val="24"/>
                <w:szCs w:val="24"/>
                <w:lang w:val="lv-LV"/>
              </w:rPr>
              <w:t>Preve</w:t>
            </w:r>
            <w:r w:rsidR="009D4D3C" w:rsidRPr="009D4D3C">
              <w:rPr>
                <w:rFonts w:ascii="Times New Roman" w:hAnsi="Times New Roman"/>
                <w:sz w:val="24"/>
                <w:szCs w:val="24"/>
                <w:lang w:val="lv-LV"/>
              </w:rPr>
              <w:t>n</w:t>
            </w:r>
            <w:r>
              <w:rPr>
                <w:rFonts w:ascii="Times New Roman" w:hAnsi="Times New Roman"/>
                <w:sz w:val="24"/>
                <w:szCs w:val="24"/>
                <w:lang w:val="lv-LV"/>
              </w:rPr>
              <w:t>c</w:t>
            </w:r>
            <w:r w:rsidR="009D4D3C" w:rsidRPr="009D4D3C">
              <w:rPr>
                <w:rFonts w:ascii="Times New Roman" w:hAnsi="Times New Roman"/>
                <w:sz w:val="24"/>
                <w:szCs w:val="24"/>
                <w:lang w:val="lv-LV"/>
              </w:rPr>
              <w:t>ijas sistēmai tiek pakļauti bērni, kas izdarījuši</w:t>
            </w:r>
            <w:r w:rsidR="009D4D3C" w:rsidRPr="009D4D3C">
              <w:rPr>
                <w:rFonts w:ascii="Times New Roman" w:eastAsia="Times New Roman" w:hAnsi="Times New Roman"/>
                <w:sz w:val="24"/>
                <w:szCs w:val="24"/>
                <w:lang w:val="lv-LV" w:eastAsia="lv-LV"/>
              </w:rPr>
              <w:t xml:space="preserve"> likumpārkāpumu, kas klasificējas kā kriminālpārkāpums, mazāk smags noziegums vai administratīvais pārk</w:t>
            </w:r>
            <w:r w:rsidR="005E36C6">
              <w:rPr>
                <w:rFonts w:ascii="Times New Roman" w:eastAsia="Times New Roman" w:hAnsi="Times New Roman"/>
                <w:sz w:val="24"/>
                <w:szCs w:val="24"/>
                <w:lang w:val="lv-LV" w:eastAsia="lv-LV"/>
              </w:rPr>
              <w:t>āpums. Tas nozīmē, ka bērni, kuri</w:t>
            </w:r>
            <w:r w:rsidR="009D4D3C" w:rsidRPr="009D4D3C">
              <w:rPr>
                <w:rFonts w:ascii="Times New Roman" w:eastAsia="Times New Roman" w:hAnsi="Times New Roman"/>
                <w:sz w:val="24"/>
                <w:szCs w:val="24"/>
                <w:lang w:val="lv-LV" w:eastAsia="lv-LV"/>
              </w:rPr>
              <w:t xml:space="preserve"> izdarījuši likumpārkāpumus, kas saskaņā ar Krimināllikumu klasificējami kā smagi vai sevišķi smagi noziedzīgi nodarījumi, joprojām būtu sodāmi ar kriminālsodu. Savukārt bērni, kas izdarījuši kriminālpārkāpumu vai mazāk smagu noziedzīgu nodarījumu nav sodāmi ar kriminālsodu. </w:t>
            </w:r>
            <w:r w:rsidR="00ED7844" w:rsidRPr="00ED7844">
              <w:rPr>
                <w:rFonts w:ascii="Times New Roman" w:eastAsia="Times New Roman" w:hAnsi="Times New Roman"/>
                <w:b/>
                <w:sz w:val="24"/>
                <w:szCs w:val="24"/>
                <w:lang w:val="lv-LV" w:eastAsia="lv-LV"/>
              </w:rPr>
              <w:t>Tomēr konkrētas prevencijas sistēmas un kriminālatbildības sistēmas robežās ir jāturpina izdiskutēt likumprojekta saskaņošanas gaitā.</w:t>
            </w:r>
            <w:r w:rsidR="00ED7844">
              <w:rPr>
                <w:rFonts w:ascii="Times New Roman" w:eastAsia="Times New Roman" w:hAnsi="Times New Roman"/>
                <w:sz w:val="24"/>
                <w:szCs w:val="24"/>
                <w:lang w:val="lv-LV" w:eastAsia="lv-LV"/>
              </w:rPr>
              <w:t xml:space="preserve"> </w:t>
            </w:r>
            <w:r w:rsidR="009D4D3C" w:rsidRPr="009D4D3C">
              <w:rPr>
                <w:rFonts w:ascii="Times New Roman" w:eastAsia="Times New Roman" w:hAnsi="Times New Roman"/>
                <w:sz w:val="24"/>
                <w:szCs w:val="24"/>
                <w:lang w:val="lv-LV" w:eastAsia="lv-LV"/>
              </w:rPr>
              <w:t xml:space="preserve">Atbildība par administratīvo pārkāpumu bērniem vairs netiek paredzēta. Prevencijas sistēmā iekļaujami arī bērni, kuri līdz 14 gadu vecumam, tas ir līdz vecumam, kad persona var tikt saukta pie kriminālatbildības, ir izdarījusi smagu vai sevišķi smagu noziedzīgu nodarījumu. Tāpat šis likums attiecas uz bērniem, kas izcietuši kriminālsodu un atbrīvoti no </w:t>
            </w:r>
            <w:r w:rsidR="009D4D3C" w:rsidRPr="009D4D3C">
              <w:rPr>
                <w:rFonts w:ascii="Times New Roman" w:eastAsia="Times New Roman" w:hAnsi="Times New Roman"/>
                <w:sz w:val="24"/>
                <w:szCs w:val="24"/>
                <w:lang w:val="lv-LV" w:eastAsia="lv-LV"/>
              </w:rPr>
              <w:lastRenderedPageBreak/>
              <w:t>audzināšanas iestādes nepilngadīgajiem pēc pilna soda izciešanas (nevis priekšlaicīgi nosacīti atbrīvojot no soda).</w:t>
            </w:r>
            <w:r w:rsidR="0084361C">
              <w:rPr>
                <w:rFonts w:ascii="Times New Roman" w:eastAsia="Times New Roman" w:hAnsi="Times New Roman"/>
                <w:sz w:val="24"/>
                <w:szCs w:val="24"/>
                <w:lang w:val="lv-LV" w:eastAsia="lv-LV"/>
              </w:rPr>
              <w:t xml:space="preserve"> </w:t>
            </w:r>
            <w:r w:rsidR="00ED7844">
              <w:rPr>
                <w:rFonts w:ascii="Times New Roman" w:eastAsia="Times New Roman" w:hAnsi="Times New Roman"/>
                <w:sz w:val="24"/>
                <w:szCs w:val="24"/>
                <w:lang w:val="lv-LV" w:eastAsia="lv-LV"/>
              </w:rPr>
              <w:t xml:space="preserve">Lai ieviestu Latvijā </w:t>
            </w:r>
            <w:r w:rsidR="0084361C">
              <w:rPr>
                <w:rFonts w:ascii="Times New Roman" w:eastAsia="Times New Roman" w:hAnsi="Times New Roman"/>
                <w:sz w:val="24"/>
                <w:szCs w:val="24"/>
                <w:lang w:val="lv-LV" w:eastAsia="lv-LV"/>
              </w:rPr>
              <w:t xml:space="preserve">Eiropas Parlamenta un Padomes direktīvu (ES) </w:t>
            </w:r>
            <w:r w:rsidR="009D4D3C" w:rsidRPr="009D4D3C">
              <w:rPr>
                <w:rFonts w:ascii="Times New Roman" w:eastAsia="Times New Roman" w:hAnsi="Times New Roman"/>
                <w:sz w:val="24"/>
                <w:szCs w:val="24"/>
                <w:lang w:val="lv-LV" w:eastAsia="lv-LV"/>
              </w:rPr>
              <w:t xml:space="preserve"> </w:t>
            </w:r>
            <w:r w:rsidR="0084361C">
              <w:rPr>
                <w:rFonts w:ascii="Times New Roman" w:eastAsia="Times New Roman" w:hAnsi="Times New Roman"/>
                <w:sz w:val="24"/>
                <w:szCs w:val="24"/>
                <w:lang w:val="lv-LV" w:eastAsia="lv-LV"/>
              </w:rPr>
              <w:t xml:space="preserve">2016/800 par procesuālajām garantijām bērniem, kuri ir aizdomās turētie vai apsūdzētie kriminālprocesā, par likuma subjektiem ir noteikti arī tie bērni, kurie procesa virzītājs kriminālprocesa likuma noteiktajā kārtībā ir lūdzis veikt riska un aizsardzības faktoru izvērtējumu. </w:t>
            </w:r>
          </w:p>
          <w:p w:rsidR="009D4D3C" w:rsidRPr="009D4D3C" w:rsidRDefault="009D4D3C" w:rsidP="009D4D3C">
            <w:pPr>
              <w:jc w:val="both"/>
              <w:rPr>
                <w:rFonts w:ascii="Times New Roman" w:eastAsia="Times New Roman" w:hAnsi="Times New Roman"/>
                <w:sz w:val="24"/>
                <w:szCs w:val="24"/>
                <w:lang w:val="lv-LV" w:eastAsia="lv-LV"/>
              </w:rPr>
            </w:pPr>
            <w:r w:rsidRPr="009D4D3C">
              <w:rPr>
                <w:rFonts w:ascii="Times New Roman" w:eastAsia="Times New Roman" w:hAnsi="Times New Roman"/>
                <w:sz w:val="24"/>
                <w:szCs w:val="24"/>
                <w:lang w:val="lv-LV" w:eastAsia="lv-LV"/>
              </w:rPr>
              <w:t xml:space="preserve">Lai novērstu esošo problēmu, ka bērna situācijai iestādes pievērš uzmanību tikai tad, kad noticis likumpārkāpums, prevencijas sistēmā tiek iesaistīti arī bērni, kuru uzvedība ir antisociāla, bet neveido likumpārkāpumu, vai arī veido likumpārkāpumu, tomēr šie likumpārkāpumi nav kriminālprocesuālā vai administratīvi procesuālā kārtā fiksēti. Pie šādās situācijām ir pieskaitāmi gadījumi, kad bērns patvaļīgi aizgājis no ģimenes, aizbildņa, audžuģimenes, viesģimenes, bērnu aprūpes iestādes, sociālās korekcijas izglītības iestādes; neapmeklē izglītības iestādi, klaiņo, ubago vai veic citas darbības, kas var izraisīt pretlikumīgu darbību; apdraud savu veselību un attīstību, smēķējot, kā arī lietojot alkoholiskos dzērienus, toksiskās, narkotiskās, psihotropās vai citas apreibinošas vielas. Tāpat prevencijas sistēmā ir iesaistāmi bērni, kuri kļuvuši par apkārtesošo pieaugušo likumpārkāpumu vai nevērības upuriem, proti, pakļauti tādiem mājas apstākļiem, aprūpes trūkumam vai vardarbībai, kuru dēļ apdraudēta bērna dzīvība, veselība vai attīstība; dzīvo kopā ar pilngadīgu personu, kurai sadarbības grupa izskata lietu par vardarbīgu uzvedību un atrodas sociālā riska apstākļos; cietis citu personu vardarbības vai likumpārkāpumiem.  Prevencijas lieta var tik ierosināta arī jaunietim ar vardarbīgu uzvedību, ja sadarbības grupa, kas izskata šo vardarbības prevencijas lietu nolemj, ka lietderīgāk jaunietim piemērot bērniem paredzētos prevencijas pasākumus, nevis pieaugušajiem paredzētos piespiedu preventīvos līdzekļus. Šāda kārtība attiecas uz jauniešiem līdz 25 gadu vecumam. </w:t>
            </w:r>
          </w:p>
          <w:p w:rsidR="009D4D3C" w:rsidRPr="009D4D3C" w:rsidRDefault="009D4D3C" w:rsidP="009D4D3C">
            <w:pPr>
              <w:jc w:val="both"/>
              <w:rPr>
                <w:rFonts w:ascii="Times New Roman" w:hAnsi="Times New Roman"/>
                <w:sz w:val="24"/>
                <w:szCs w:val="24"/>
                <w:lang w:val="lv-LV"/>
              </w:rPr>
            </w:pPr>
          </w:p>
          <w:p w:rsidR="009D4D3C" w:rsidRPr="009D4D3C" w:rsidRDefault="009D4D3C" w:rsidP="009D4D3C">
            <w:pPr>
              <w:jc w:val="both"/>
              <w:rPr>
                <w:rFonts w:ascii="Times New Roman" w:hAnsi="Times New Roman"/>
                <w:sz w:val="24"/>
                <w:szCs w:val="24"/>
                <w:lang w:val="lv-LV"/>
              </w:rPr>
            </w:pPr>
          </w:p>
          <w:p w:rsidR="009D4D3C" w:rsidRPr="004B5BBD" w:rsidRDefault="009D4D3C" w:rsidP="009D4D3C">
            <w:pPr>
              <w:jc w:val="both"/>
              <w:rPr>
                <w:rFonts w:ascii="Times New Roman" w:hAnsi="Times New Roman"/>
                <w:i/>
                <w:sz w:val="24"/>
                <w:szCs w:val="24"/>
                <w:lang w:val="lv-LV"/>
              </w:rPr>
            </w:pPr>
            <w:r w:rsidRPr="004B5BBD">
              <w:rPr>
                <w:rFonts w:ascii="Times New Roman" w:hAnsi="Times New Roman"/>
                <w:i/>
                <w:sz w:val="24"/>
                <w:szCs w:val="24"/>
                <w:lang w:val="lv-LV"/>
              </w:rPr>
              <w:t>Prevencijas pasākumi</w:t>
            </w:r>
          </w:p>
          <w:p w:rsidR="009D4D3C" w:rsidRPr="004B5BBD" w:rsidRDefault="009D4D3C" w:rsidP="00351D74">
            <w:pPr>
              <w:ind w:left="80"/>
              <w:jc w:val="both"/>
              <w:rPr>
                <w:rFonts w:ascii="Times New Roman" w:hAnsi="Times New Roman"/>
                <w:sz w:val="24"/>
                <w:szCs w:val="24"/>
                <w:lang w:val="lv-LV"/>
              </w:rPr>
            </w:pPr>
            <w:r w:rsidRPr="004B5BBD">
              <w:rPr>
                <w:rFonts w:ascii="Times New Roman" w:hAnsi="Times New Roman"/>
                <w:sz w:val="24"/>
                <w:szCs w:val="24"/>
                <w:lang w:val="lv-LV"/>
              </w:rPr>
              <w:t>Atkarībā no tā</w:t>
            </w:r>
            <w:r w:rsidR="00F41616" w:rsidRPr="004B5BBD">
              <w:rPr>
                <w:rFonts w:ascii="Times New Roman" w:hAnsi="Times New Roman"/>
                <w:sz w:val="24"/>
                <w:szCs w:val="24"/>
                <w:lang w:val="lv-LV"/>
              </w:rPr>
              <w:t>,</w:t>
            </w:r>
            <w:r w:rsidRPr="004B5BBD">
              <w:rPr>
                <w:rFonts w:ascii="Times New Roman" w:hAnsi="Times New Roman"/>
                <w:sz w:val="24"/>
                <w:szCs w:val="24"/>
                <w:lang w:val="lv-LV"/>
              </w:rPr>
              <w:t xml:space="preserve"> cik nopie</w:t>
            </w:r>
            <w:r w:rsidR="006340F8" w:rsidRPr="004B5BBD">
              <w:rPr>
                <w:rFonts w:ascii="Times New Roman" w:hAnsi="Times New Roman"/>
                <w:sz w:val="24"/>
                <w:szCs w:val="24"/>
                <w:lang w:val="lv-LV"/>
              </w:rPr>
              <w:t>tni antisociālā</w:t>
            </w:r>
            <w:r w:rsidRPr="004B5BBD">
              <w:rPr>
                <w:rFonts w:ascii="Times New Roman" w:hAnsi="Times New Roman"/>
                <w:sz w:val="24"/>
                <w:szCs w:val="24"/>
                <w:lang w:val="lv-LV"/>
              </w:rPr>
              <w:t xml:space="preserve">s uzvedības riski tiek identificēti </w:t>
            </w:r>
            <w:r w:rsidR="006340F8" w:rsidRPr="004B5BBD">
              <w:rPr>
                <w:rFonts w:ascii="Times New Roman" w:hAnsi="Times New Roman"/>
                <w:sz w:val="24"/>
                <w:szCs w:val="24"/>
                <w:lang w:val="lv-LV"/>
              </w:rPr>
              <w:t>riska un aizsardzības faktoru iz</w:t>
            </w:r>
            <w:r w:rsidRPr="004B5BBD">
              <w:rPr>
                <w:rFonts w:ascii="Times New Roman" w:hAnsi="Times New Roman"/>
                <w:sz w:val="24"/>
                <w:szCs w:val="24"/>
                <w:lang w:val="lv-LV"/>
              </w:rPr>
              <w:t>vērtējumā</w:t>
            </w:r>
            <w:r w:rsidR="00F41616" w:rsidRPr="004B5BBD">
              <w:rPr>
                <w:rFonts w:ascii="Times New Roman" w:hAnsi="Times New Roman"/>
                <w:sz w:val="24"/>
                <w:szCs w:val="24"/>
                <w:lang w:val="lv-LV"/>
              </w:rPr>
              <w:t>,</w:t>
            </w:r>
            <w:r w:rsidRPr="004B5BBD">
              <w:rPr>
                <w:rFonts w:ascii="Times New Roman" w:hAnsi="Times New Roman"/>
                <w:sz w:val="24"/>
                <w:szCs w:val="24"/>
                <w:lang w:val="lv-LV"/>
              </w:rPr>
              <w:t xml:space="preserve"> tiem korespondējošie prevenc</w:t>
            </w:r>
            <w:r w:rsidR="00F41616" w:rsidRPr="004B5BBD">
              <w:rPr>
                <w:rFonts w:ascii="Times New Roman" w:hAnsi="Times New Roman"/>
                <w:sz w:val="24"/>
                <w:szCs w:val="24"/>
                <w:lang w:val="lv-LV"/>
              </w:rPr>
              <w:t>ijas pasākumi tiek iedalīti pri</w:t>
            </w:r>
            <w:r w:rsidRPr="004B5BBD">
              <w:rPr>
                <w:rFonts w:ascii="Times New Roman" w:hAnsi="Times New Roman"/>
                <w:sz w:val="24"/>
                <w:szCs w:val="24"/>
                <w:lang w:val="lv-LV"/>
              </w:rPr>
              <w:t xml:space="preserve">mārajos, sekundārajos un terciārajos prevencijas pasākumos. Saskaņā ar likumprojekta </w:t>
            </w:r>
            <w:r w:rsidRPr="004B5BBD">
              <w:rPr>
                <w:rFonts w:ascii="Times New Roman" w:hAnsi="Times New Roman"/>
                <w:color w:val="FF0000"/>
                <w:sz w:val="24"/>
                <w:szCs w:val="24"/>
                <w:lang w:val="lv-LV"/>
              </w:rPr>
              <w:t xml:space="preserve">8.pantā </w:t>
            </w:r>
            <w:r w:rsidRPr="004B5BBD">
              <w:rPr>
                <w:rFonts w:ascii="Times New Roman" w:hAnsi="Times New Roman"/>
                <w:sz w:val="24"/>
                <w:szCs w:val="24"/>
                <w:lang w:val="lv-LV"/>
              </w:rPr>
              <w:t xml:space="preserve">nostiprināto individualizācijas principu un likumprojekta </w:t>
            </w:r>
            <w:r w:rsidRPr="004B5BBD">
              <w:rPr>
                <w:rFonts w:ascii="Times New Roman" w:hAnsi="Times New Roman"/>
                <w:color w:val="FF0000"/>
                <w:sz w:val="24"/>
                <w:szCs w:val="24"/>
                <w:lang w:val="lv-LV"/>
              </w:rPr>
              <w:t xml:space="preserve">9.pantā </w:t>
            </w:r>
            <w:r w:rsidRPr="004B5BBD">
              <w:rPr>
                <w:rFonts w:ascii="Times New Roman" w:hAnsi="Times New Roman"/>
                <w:sz w:val="24"/>
                <w:szCs w:val="24"/>
                <w:lang w:val="lv-LV"/>
              </w:rPr>
              <w:t>nostiprināto samērīguma un proporcionalitātes principu prevencijas pasākumi ir jāizvēlas katram bērnam individuāli atbilstoši veiktajam riska un va</w:t>
            </w:r>
            <w:r w:rsidR="006340F8" w:rsidRPr="004B5BBD">
              <w:rPr>
                <w:rFonts w:ascii="Times New Roman" w:hAnsi="Times New Roman"/>
                <w:sz w:val="24"/>
                <w:szCs w:val="24"/>
                <w:lang w:val="lv-LV"/>
              </w:rPr>
              <w:t>jadzības aizsardzības faktora iz</w:t>
            </w:r>
            <w:r w:rsidRPr="004B5BBD">
              <w:rPr>
                <w:rFonts w:ascii="Times New Roman" w:hAnsi="Times New Roman"/>
                <w:sz w:val="24"/>
                <w:szCs w:val="24"/>
                <w:lang w:val="lv-LV"/>
              </w:rPr>
              <w:t xml:space="preserve">vērtējumam, tiem jābūt samērīgiem un efektīviem, un balstītiem uz bērna antisociālās uzvedības cēloņiem. </w:t>
            </w:r>
          </w:p>
          <w:p w:rsidR="009D4D3C" w:rsidRPr="004B5BBD" w:rsidRDefault="009D4D3C" w:rsidP="00351D74">
            <w:pPr>
              <w:ind w:left="80"/>
              <w:jc w:val="both"/>
              <w:rPr>
                <w:rFonts w:ascii="Times New Roman" w:hAnsi="Times New Roman"/>
                <w:sz w:val="24"/>
                <w:szCs w:val="24"/>
                <w:lang w:val="lv-LV"/>
              </w:rPr>
            </w:pPr>
            <w:r w:rsidRPr="004B5BBD">
              <w:rPr>
                <w:rFonts w:ascii="Times New Roman" w:hAnsi="Times New Roman"/>
                <w:sz w:val="24"/>
                <w:szCs w:val="24"/>
                <w:lang w:val="lv-LV"/>
              </w:rPr>
              <w:t>Primārās prevencijas ietvaros piemērojamie pasākumi pamatā ir vērsti uz to, lai bērns saturīgi pavadītu savu brīvo laiku atbilstoši savām interesēm, iemācītos komunikācijas prasmes un netiktu so</w:t>
            </w:r>
            <w:r w:rsidR="007F60EC" w:rsidRPr="004B5BBD">
              <w:rPr>
                <w:rFonts w:ascii="Times New Roman" w:hAnsi="Times New Roman"/>
                <w:sz w:val="24"/>
                <w:szCs w:val="24"/>
                <w:lang w:val="lv-LV"/>
              </w:rPr>
              <w:t xml:space="preserve">ciāli atstumts. Likumprojekta </w:t>
            </w:r>
            <w:r w:rsidR="007F60EC" w:rsidRPr="004B5BBD">
              <w:rPr>
                <w:rFonts w:ascii="Times New Roman" w:hAnsi="Times New Roman"/>
                <w:color w:val="FF0000"/>
                <w:sz w:val="24"/>
                <w:szCs w:val="24"/>
                <w:lang w:val="lv-LV"/>
              </w:rPr>
              <w:t>20</w:t>
            </w:r>
            <w:r w:rsidRPr="004B5BBD">
              <w:rPr>
                <w:rFonts w:ascii="Times New Roman" w:hAnsi="Times New Roman"/>
                <w:color w:val="FF0000"/>
                <w:sz w:val="24"/>
                <w:szCs w:val="24"/>
                <w:lang w:val="lv-LV"/>
              </w:rPr>
              <w:t xml:space="preserve">.pantā </w:t>
            </w:r>
            <w:r w:rsidRPr="004B5BBD">
              <w:rPr>
                <w:rFonts w:ascii="Times New Roman" w:hAnsi="Times New Roman"/>
                <w:sz w:val="24"/>
                <w:szCs w:val="24"/>
                <w:lang w:val="lv-LV"/>
              </w:rPr>
              <w:t xml:space="preserve">tiek uzskaitīti primārās prevencijas ietvaros piemērojamie pasākumi un tie var būt:  brīvā </w:t>
            </w:r>
            <w:r w:rsidRPr="004B5BBD">
              <w:rPr>
                <w:rFonts w:ascii="Times New Roman" w:hAnsi="Times New Roman"/>
                <w:sz w:val="24"/>
                <w:szCs w:val="24"/>
                <w:lang w:val="lv-LV"/>
              </w:rPr>
              <w:lastRenderedPageBreak/>
              <w:t>laika pavadī</w:t>
            </w:r>
            <w:r w:rsidR="00D137E6" w:rsidRPr="004B5BBD">
              <w:rPr>
                <w:rFonts w:ascii="Times New Roman" w:hAnsi="Times New Roman"/>
                <w:sz w:val="24"/>
                <w:szCs w:val="24"/>
                <w:lang w:val="lv-LV"/>
              </w:rPr>
              <w:t xml:space="preserve">šanas pasākumi (likumprojekta </w:t>
            </w:r>
            <w:r w:rsidR="00D137E6" w:rsidRPr="004B5BBD">
              <w:rPr>
                <w:rFonts w:ascii="Times New Roman" w:hAnsi="Times New Roman"/>
                <w:color w:val="FF0000"/>
                <w:sz w:val="24"/>
                <w:szCs w:val="24"/>
                <w:lang w:val="lv-LV"/>
              </w:rPr>
              <w:t>23</w:t>
            </w:r>
            <w:r w:rsidRPr="004B5BBD">
              <w:rPr>
                <w:rFonts w:ascii="Times New Roman" w:hAnsi="Times New Roman"/>
                <w:sz w:val="24"/>
                <w:szCs w:val="24"/>
                <w:lang w:val="lv-LV"/>
              </w:rPr>
              <w:t>.</w:t>
            </w:r>
            <w:r w:rsidRPr="004B5BBD">
              <w:rPr>
                <w:rFonts w:ascii="Times New Roman" w:hAnsi="Times New Roman"/>
                <w:color w:val="FF0000"/>
                <w:sz w:val="24"/>
                <w:szCs w:val="24"/>
                <w:lang w:val="lv-LV"/>
              </w:rPr>
              <w:t>pants</w:t>
            </w:r>
            <w:r w:rsidRPr="004B5BBD">
              <w:rPr>
                <w:rFonts w:ascii="Times New Roman" w:hAnsi="Times New Roman"/>
                <w:sz w:val="24"/>
                <w:szCs w:val="24"/>
                <w:lang w:val="lv-LV"/>
              </w:rPr>
              <w:t>), ģi</w:t>
            </w:r>
            <w:r w:rsidR="003A6AD3" w:rsidRPr="004B5BBD">
              <w:rPr>
                <w:rFonts w:ascii="Times New Roman" w:hAnsi="Times New Roman"/>
                <w:sz w:val="24"/>
                <w:szCs w:val="24"/>
                <w:lang w:val="lv-LV"/>
              </w:rPr>
              <w:t xml:space="preserve">menes pasākumi (likumprojekta </w:t>
            </w:r>
            <w:r w:rsidR="003A6AD3" w:rsidRPr="004B5BBD">
              <w:rPr>
                <w:rFonts w:ascii="Times New Roman" w:hAnsi="Times New Roman"/>
                <w:color w:val="FF0000"/>
                <w:sz w:val="24"/>
                <w:szCs w:val="24"/>
                <w:lang w:val="lv-LV"/>
              </w:rPr>
              <w:t>20</w:t>
            </w:r>
            <w:r w:rsidRPr="004B5BBD">
              <w:rPr>
                <w:rFonts w:ascii="Times New Roman" w:hAnsi="Times New Roman"/>
                <w:color w:val="FF0000"/>
                <w:sz w:val="24"/>
                <w:szCs w:val="24"/>
                <w:lang w:val="lv-LV"/>
              </w:rPr>
              <w:t>.pants</w:t>
            </w:r>
            <w:r w:rsidRPr="004B5BBD">
              <w:rPr>
                <w:rFonts w:ascii="Times New Roman" w:hAnsi="Times New Roman"/>
                <w:sz w:val="24"/>
                <w:szCs w:val="24"/>
                <w:lang w:val="lv-LV"/>
              </w:rPr>
              <w:t>), izglītības ies</w:t>
            </w:r>
            <w:r w:rsidR="00B55481" w:rsidRPr="004B5BBD">
              <w:rPr>
                <w:rFonts w:ascii="Times New Roman" w:hAnsi="Times New Roman"/>
                <w:sz w:val="24"/>
                <w:szCs w:val="24"/>
                <w:lang w:val="lv-LV"/>
              </w:rPr>
              <w:t xml:space="preserve">tādes pasākumi (likumprojekta </w:t>
            </w:r>
            <w:r w:rsidR="00B55481" w:rsidRPr="004B5BBD">
              <w:rPr>
                <w:rFonts w:ascii="Times New Roman" w:hAnsi="Times New Roman"/>
                <w:color w:val="FF0000"/>
                <w:sz w:val="24"/>
                <w:szCs w:val="24"/>
                <w:lang w:val="lv-LV"/>
              </w:rPr>
              <w:t>26</w:t>
            </w:r>
            <w:r w:rsidRPr="004B5BBD">
              <w:rPr>
                <w:rFonts w:ascii="Times New Roman" w:hAnsi="Times New Roman"/>
                <w:color w:val="FF0000"/>
                <w:sz w:val="24"/>
                <w:szCs w:val="24"/>
                <w:lang w:val="lv-LV"/>
              </w:rPr>
              <w:t>.pants</w:t>
            </w:r>
            <w:r w:rsidRPr="004B5BBD">
              <w:rPr>
                <w:rFonts w:ascii="Times New Roman" w:hAnsi="Times New Roman"/>
                <w:sz w:val="24"/>
                <w:szCs w:val="24"/>
                <w:lang w:val="lv-LV"/>
              </w:rPr>
              <w:t>), interešu izglī</w:t>
            </w:r>
            <w:r w:rsidR="00B55481" w:rsidRPr="004B5BBD">
              <w:rPr>
                <w:rFonts w:ascii="Times New Roman" w:hAnsi="Times New Roman"/>
                <w:sz w:val="24"/>
                <w:szCs w:val="24"/>
                <w:lang w:val="lv-LV"/>
              </w:rPr>
              <w:t>tības pasākumi (</w:t>
            </w:r>
            <w:r w:rsidR="00B55481" w:rsidRPr="004B5BBD">
              <w:rPr>
                <w:rFonts w:ascii="Times New Roman" w:hAnsi="Times New Roman"/>
                <w:color w:val="FF0000"/>
                <w:sz w:val="24"/>
                <w:szCs w:val="24"/>
                <w:lang w:val="lv-LV"/>
              </w:rPr>
              <w:t>likumprojekta 28</w:t>
            </w:r>
            <w:r w:rsidRPr="004B5BBD">
              <w:rPr>
                <w:rFonts w:ascii="Times New Roman" w:hAnsi="Times New Roman"/>
                <w:color w:val="FF0000"/>
                <w:sz w:val="24"/>
                <w:szCs w:val="24"/>
                <w:lang w:val="lv-LV"/>
              </w:rPr>
              <w:t>.pants</w:t>
            </w:r>
            <w:r w:rsidR="00B55481" w:rsidRPr="004B5BBD">
              <w:rPr>
                <w:rFonts w:ascii="Times New Roman" w:hAnsi="Times New Roman"/>
                <w:sz w:val="24"/>
                <w:szCs w:val="24"/>
                <w:lang w:val="lv-LV"/>
              </w:rPr>
              <w:t xml:space="preserve">), dienas </w:t>
            </w:r>
            <w:r w:rsidRPr="004B5BBD">
              <w:rPr>
                <w:rFonts w:ascii="Times New Roman" w:hAnsi="Times New Roman"/>
                <w:sz w:val="24"/>
                <w:szCs w:val="24"/>
                <w:lang w:val="lv-LV"/>
              </w:rPr>
              <w:t>cent</w:t>
            </w:r>
            <w:r w:rsidR="00B55481" w:rsidRPr="004B5BBD">
              <w:rPr>
                <w:rFonts w:ascii="Times New Roman" w:hAnsi="Times New Roman"/>
                <w:sz w:val="24"/>
                <w:szCs w:val="24"/>
                <w:lang w:val="lv-LV"/>
              </w:rPr>
              <w:t>ra apmeklējums (</w:t>
            </w:r>
            <w:r w:rsidR="00B55481" w:rsidRPr="004B5BBD">
              <w:rPr>
                <w:rFonts w:ascii="Times New Roman" w:hAnsi="Times New Roman"/>
                <w:color w:val="FF0000"/>
                <w:sz w:val="24"/>
                <w:szCs w:val="24"/>
                <w:lang w:val="lv-LV"/>
              </w:rPr>
              <w:t>likumprojekta 27</w:t>
            </w:r>
            <w:r w:rsidRPr="004B5BBD">
              <w:rPr>
                <w:rFonts w:ascii="Times New Roman" w:hAnsi="Times New Roman"/>
                <w:color w:val="FF0000"/>
                <w:sz w:val="24"/>
                <w:szCs w:val="24"/>
                <w:lang w:val="lv-LV"/>
              </w:rPr>
              <w:t>.pants</w:t>
            </w:r>
            <w:r w:rsidRPr="004B5BBD">
              <w:rPr>
                <w:rFonts w:ascii="Times New Roman" w:hAnsi="Times New Roman"/>
                <w:sz w:val="24"/>
                <w:szCs w:val="24"/>
                <w:lang w:val="lv-LV"/>
              </w:rPr>
              <w:t>)  vai pienākums novērst nodarītā k</w:t>
            </w:r>
            <w:r w:rsidR="00B55481" w:rsidRPr="004B5BBD">
              <w:rPr>
                <w:rFonts w:ascii="Times New Roman" w:hAnsi="Times New Roman"/>
                <w:sz w:val="24"/>
                <w:szCs w:val="24"/>
                <w:lang w:val="lv-LV"/>
              </w:rPr>
              <w:t xml:space="preserve">aitējuma sekas (likumprojekta </w:t>
            </w:r>
            <w:r w:rsidR="00B55481" w:rsidRPr="004B5BBD">
              <w:rPr>
                <w:rFonts w:ascii="Times New Roman" w:hAnsi="Times New Roman"/>
                <w:color w:val="FF0000"/>
                <w:sz w:val="24"/>
                <w:szCs w:val="24"/>
                <w:lang w:val="lv-LV"/>
              </w:rPr>
              <w:t>24</w:t>
            </w:r>
            <w:r w:rsidRPr="004B5BBD">
              <w:rPr>
                <w:rFonts w:ascii="Times New Roman" w:hAnsi="Times New Roman"/>
                <w:color w:val="FF0000"/>
                <w:sz w:val="24"/>
                <w:szCs w:val="24"/>
                <w:lang w:val="lv-LV"/>
              </w:rPr>
              <w:t>.pants</w:t>
            </w:r>
            <w:r w:rsidRPr="004B5BBD">
              <w:rPr>
                <w:rFonts w:ascii="Times New Roman" w:hAnsi="Times New Roman"/>
                <w:sz w:val="24"/>
                <w:szCs w:val="24"/>
                <w:lang w:val="lv-LV"/>
              </w:rPr>
              <w:t>).</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Brīvā laika pavadīšanas pasākumi:</w:t>
            </w:r>
          </w:p>
          <w:p w:rsidR="00746DFE"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Brīvā laika pavadīšanas pasākumi ir aktivitātes, kas vērstas uz bērna brīvā laika pavadīšanu tādā veidā, kas pilnveido bērnu fiziskā, emocionālā un garīgā jomā. Atšķirībā no prevencijas pasākuma "ģimenes pasākumi", bērns šajās aktivitātes nepiedalās kopā ar saviem vecākiem. Brīvā laika pavadīšanas pasākumi var izpausties, piemēram</w:t>
            </w:r>
            <w:r w:rsidR="00746DFE" w:rsidRPr="00CF1F66">
              <w:rPr>
                <w:rFonts w:ascii="Times New Roman" w:hAnsi="Times New Roman"/>
                <w:sz w:val="24"/>
                <w:szCs w:val="24"/>
                <w:lang w:val="lv-LV"/>
              </w:rPr>
              <w:t>, kā</w:t>
            </w:r>
            <w:r w:rsidRPr="00CF1F66">
              <w:rPr>
                <w:rFonts w:ascii="Times New Roman" w:hAnsi="Times New Roman"/>
                <w:sz w:val="24"/>
                <w:szCs w:val="24"/>
                <w:lang w:val="lv-LV"/>
              </w:rPr>
              <w:t xml:space="preserve"> piedalīšanās dažādās nometnēs, došanās pārgājienos vai individuālā sportošan</w:t>
            </w:r>
            <w:r w:rsidR="00746DFE" w:rsidRPr="00CF1F66">
              <w:rPr>
                <w:rFonts w:ascii="Times New Roman" w:hAnsi="Times New Roman"/>
                <w:sz w:val="24"/>
                <w:szCs w:val="24"/>
                <w:lang w:val="lv-LV"/>
              </w:rPr>
              <w:t>ā</w:t>
            </w:r>
            <w:r w:rsidRPr="00CF1F66">
              <w:rPr>
                <w:rFonts w:ascii="Times New Roman" w:hAnsi="Times New Roman"/>
                <w:sz w:val="24"/>
                <w:szCs w:val="24"/>
                <w:lang w:val="lv-LV"/>
              </w:rPr>
              <w:t xml:space="preserve"> ārpus mājas. Ja bērna vecāki nevar atļauties iegādāties sporta inventāru kādam sportam veidam, ar ko bērns vēlētos nodarboties, tad </w:t>
            </w:r>
            <w:r w:rsidR="0084361C" w:rsidRPr="00CF1F66">
              <w:rPr>
                <w:rFonts w:ascii="Times New Roman" w:hAnsi="Times New Roman"/>
                <w:sz w:val="24"/>
                <w:szCs w:val="24"/>
                <w:lang w:val="lv-LV"/>
              </w:rPr>
              <w:t>šī prevencijas pasākuma šāda inventāra iegāde</w:t>
            </w:r>
            <w:r w:rsidRPr="00CF1F66">
              <w:rPr>
                <w:rFonts w:ascii="Times New Roman" w:hAnsi="Times New Roman"/>
                <w:sz w:val="24"/>
                <w:szCs w:val="24"/>
                <w:lang w:val="lv-LV"/>
              </w:rPr>
              <w:t xml:space="preserve"> (skriešanas apavi, velosipēd</w:t>
            </w:r>
            <w:r w:rsidR="00746DFE" w:rsidRPr="00CF1F66">
              <w:rPr>
                <w:rFonts w:ascii="Times New Roman" w:hAnsi="Times New Roman"/>
                <w:sz w:val="24"/>
                <w:szCs w:val="24"/>
                <w:lang w:val="lv-LV"/>
              </w:rPr>
              <w:t>s, basketbola bumba utt.)</w:t>
            </w:r>
            <w:r w:rsidR="0084361C" w:rsidRPr="00CF1F66">
              <w:rPr>
                <w:rFonts w:ascii="Times New Roman" w:hAnsi="Times New Roman"/>
                <w:sz w:val="24"/>
                <w:szCs w:val="24"/>
                <w:lang w:val="lv-LV"/>
              </w:rPr>
              <w:t xml:space="preserve"> var būt iespējama</w:t>
            </w:r>
            <w:r w:rsidR="00746DFE" w:rsidRPr="00CF1F66">
              <w:rPr>
                <w:rFonts w:ascii="Times New Roman" w:hAnsi="Times New Roman"/>
                <w:sz w:val="24"/>
                <w:szCs w:val="24"/>
                <w:lang w:val="lv-LV"/>
              </w:rPr>
              <w:t xml:space="preserve">. Saturīga brīvā laika pavadīšana kopā ar citiem bērniem uzlabo bērna socializēšanās prasmes, veido pozitīvas attiecības vienaudžu starpā un </w:t>
            </w:r>
            <w:r w:rsidRPr="00CF1F66">
              <w:rPr>
                <w:rFonts w:ascii="Times New Roman" w:hAnsi="Times New Roman"/>
                <w:sz w:val="24"/>
                <w:szCs w:val="24"/>
                <w:lang w:val="lv-LV"/>
              </w:rPr>
              <w:t xml:space="preserve">novērš iespēju, ka bērns varētu sākt klaiņot un meklēt sev citu bērnu kompāniju, lai kopīgi nodotos savu un citu cilvēku veselību vai īpašumu apdraudošām aktivitātēm. </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Kaitējuma seku novēršana:</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Kaitējuma seku novēršana ir bērna darb</w:t>
            </w:r>
            <w:r w:rsidR="0084361C" w:rsidRPr="00CF1F66">
              <w:rPr>
                <w:rFonts w:ascii="Times New Roman" w:hAnsi="Times New Roman"/>
                <w:sz w:val="24"/>
                <w:szCs w:val="24"/>
                <w:lang w:val="lv-LV"/>
              </w:rPr>
              <w:t>ības, kas vērstas uz to, lai</w:t>
            </w:r>
            <w:r w:rsidRPr="00CF1F66">
              <w:rPr>
                <w:rFonts w:ascii="Times New Roman" w:hAnsi="Times New Roman"/>
                <w:sz w:val="24"/>
                <w:szCs w:val="24"/>
                <w:lang w:val="lv-LV"/>
              </w:rPr>
              <w:t xml:space="preserve"> </w:t>
            </w:r>
            <w:r w:rsidR="0084361C" w:rsidRPr="00CF1F66">
              <w:rPr>
                <w:rFonts w:ascii="Times New Roman" w:hAnsi="Times New Roman"/>
                <w:sz w:val="24"/>
                <w:szCs w:val="24"/>
                <w:lang w:val="lv-LV"/>
              </w:rPr>
              <w:t xml:space="preserve">bērna antisociālajā uzvedības rezultātā cietušajām personām pēc </w:t>
            </w:r>
            <w:r w:rsidRPr="00CF1F66">
              <w:rPr>
                <w:rFonts w:ascii="Times New Roman" w:hAnsi="Times New Roman"/>
                <w:sz w:val="24"/>
                <w:szCs w:val="24"/>
                <w:lang w:val="lv-LV"/>
              </w:rPr>
              <w:t xml:space="preserve">iespējas atjaunotu tādu stāvokli, kāds tas bija pirms nodarījuma paveikšanas. Piemēram, ja bērns ir apzīmējis sētu, tad no bērna tiek prasīts, lai tā tiek nomazgāta vai nokrāsota. Ja kāda lieta ir salauzta, tad tā ir jāsalabo vai jāsagādā tās vietā jauna. Ja bērns ir aizskāris kāda cilvēka cieņu (piemēram, rupji kādu nolamājis), tad šādā gadījumā arī atvainošanās </w:t>
            </w:r>
            <w:r w:rsidR="00CA590E" w:rsidRPr="00CF1F66">
              <w:rPr>
                <w:rFonts w:ascii="Times New Roman" w:hAnsi="Times New Roman"/>
                <w:sz w:val="24"/>
                <w:szCs w:val="24"/>
                <w:lang w:val="lv-LV"/>
              </w:rPr>
              <w:t xml:space="preserve">ir </w:t>
            </w:r>
            <w:r w:rsidRPr="00CF1F66">
              <w:rPr>
                <w:rFonts w:ascii="Times New Roman" w:hAnsi="Times New Roman"/>
                <w:sz w:val="24"/>
                <w:szCs w:val="24"/>
                <w:lang w:val="lv-LV"/>
              </w:rPr>
              <w:t xml:space="preserve">nodarītā kaitējuma seku novēršana. Kaitējuma seku novēršanā iespējama arī bērna vecāku iesaistīšanās. Šis prevencijas pasākums liek bērnam saskarties ar savas rīcības negatīvajām sekām, liek apzināties to ietekmi un apmēru uz personām, kam nodarīts kaitējums, tādējādi bērnā tiek mazināta vēlme atkārtoti izdarīt tādu pašu vai jebkādu citu nodarījumu, jo bērns sāk apzināties, ka negatīva rīcība rada negatīvas sekas, kuras dažkārt nav </w:t>
            </w:r>
            <w:r w:rsidR="00CA590E" w:rsidRPr="00CF1F66">
              <w:rPr>
                <w:rFonts w:ascii="Times New Roman" w:hAnsi="Times New Roman"/>
                <w:sz w:val="24"/>
                <w:szCs w:val="24"/>
                <w:lang w:val="lv-LV"/>
              </w:rPr>
              <w:t>iespējams atlīdzināt</w:t>
            </w:r>
            <w:r w:rsidRPr="00CF1F66">
              <w:rPr>
                <w:rFonts w:ascii="Times New Roman" w:hAnsi="Times New Roman"/>
                <w:sz w:val="24"/>
                <w:szCs w:val="24"/>
                <w:lang w:val="lv-LV"/>
              </w:rPr>
              <w:t xml:space="preserve">.  </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Ģimenes pasākumi:</w:t>
            </w:r>
          </w:p>
          <w:p w:rsidR="00CA590E"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Ģimenes pasākumi ir ak</w:t>
            </w:r>
            <w:r w:rsidR="00CA590E" w:rsidRPr="00CF1F66">
              <w:rPr>
                <w:rFonts w:ascii="Times New Roman" w:hAnsi="Times New Roman"/>
                <w:sz w:val="24"/>
                <w:szCs w:val="24"/>
                <w:lang w:val="lv-LV"/>
              </w:rPr>
              <w:t>tivitātes, ko ģimene veic kopā</w:t>
            </w:r>
            <w:r w:rsidRPr="00CF1F66">
              <w:rPr>
                <w:rFonts w:ascii="Times New Roman" w:hAnsi="Times New Roman"/>
                <w:sz w:val="24"/>
                <w:szCs w:val="24"/>
                <w:lang w:val="lv-LV"/>
              </w:rPr>
              <w:t xml:space="preserve"> – kopīgas pastaigas, spēles, sportiskās aktivitātes, izbraucieni, kultūras un izklaides pasākumi, citu ģimenes locekļu apciemošana utt. Realizējot šos pasākumus, tiek novērsts risks, ka bērna vajadzību apmierināšanai tiek veltīts nepietiekami ilgs laiks. Ģimenes pasākumi veicina spēcīgas saiknes izveidošanos ģimenes locekļu starpā, kā arī uzlabo bērna vecāku sasvstarpējās attiecības, kas savukārt pozitīvi ietekmē bērna emocionālo stāvokli. Ar šāda veida pasākumu palīdzību tiek veidota piemērota vide tam, lai bērns attīstītu savas komunikācijas prasmes ar l</w:t>
            </w:r>
            <w:r w:rsidR="00CA590E" w:rsidRPr="00CF1F66">
              <w:rPr>
                <w:rFonts w:ascii="Times New Roman" w:hAnsi="Times New Roman"/>
                <w:sz w:val="24"/>
                <w:szCs w:val="24"/>
                <w:lang w:val="lv-LV"/>
              </w:rPr>
              <w:t>īdzcilvēkiem, kas mazina bērnam iespēju nākotnē neapzināti izraisīt konfliktsituācijas.</w:t>
            </w:r>
          </w:p>
          <w:p w:rsidR="00351D74" w:rsidRPr="00CF1F66" w:rsidRDefault="00CA590E" w:rsidP="00351D74">
            <w:pPr>
              <w:jc w:val="both"/>
              <w:rPr>
                <w:rFonts w:ascii="Times New Roman" w:hAnsi="Times New Roman"/>
                <w:b/>
                <w:sz w:val="24"/>
                <w:szCs w:val="24"/>
                <w:lang w:val="lv-LV"/>
              </w:rPr>
            </w:pPr>
            <w:r w:rsidRPr="00CF1F66">
              <w:rPr>
                <w:rFonts w:ascii="Times New Roman" w:hAnsi="Times New Roman"/>
                <w:b/>
                <w:sz w:val="24"/>
                <w:szCs w:val="24"/>
                <w:lang w:val="lv-LV"/>
              </w:rPr>
              <w:lastRenderedPageBreak/>
              <w:t>Izglītības iestādes pasākumi:</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 xml:space="preserve">Izglītības iestādes pasākumi ir tādi pasākumi, kuru apmeklēšanu organizē izglītības iestādes darbinieki, piemēram, skolēnu kopīga teātra, koncertu, muzeju, izstāžu apmeklēšana. Šie pasākumi var izpausties arī kā sporta nodarbības skolas sporta zālē vai peldbaseinā. Ar citiem bērniem un skolotājiem ārpus ikdienas mācībām kopīgi un saturīgi pavadītais laiks veido pozitīvas attiecības starp tiem, uzlabo bērna socializēšanās prasmes, kā arī mazina destruktīvas uzvedības situācijas iespējas skolas vidē. Pozitīvas attiecības skolasbiedru starpā novērš bērna vēlmi neapmeklēt skolu un var bērnu motivēt uz augstākiem sasniegumiem mācībās. </w:t>
            </w:r>
            <w:r w:rsidR="00CA590E" w:rsidRPr="00CF1F66">
              <w:rPr>
                <w:rFonts w:ascii="Times New Roman" w:hAnsi="Times New Roman"/>
                <w:sz w:val="24"/>
                <w:szCs w:val="24"/>
                <w:lang w:val="lv-LV"/>
              </w:rPr>
              <w:t>Iesaistīšanās šāda veida aktivitātes palīdz bērnam izvēlēties sev piemērotāko vaļasprieku un brīvā laika pavadīšanas jomu (sports, mūzika u.c.). Turklāt ā</w:t>
            </w:r>
            <w:r w:rsidRPr="00CF1F66">
              <w:rPr>
                <w:rFonts w:ascii="Times New Roman" w:hAnsi="Times New Roman"/>
                <w:sz w:val="24"/>
                <w:szCs w:val="24"/>
                <w:lang w:val="lv-LV"/>
              </w:rPr>
              <w:t>rpusskolas kulturālās un intelektuālās aktivitātes vairo bērna zināšanas, savukārt sportiskās aktivitātes uzlabo bērna veselības stāvokli un pašsajūtu, kā visa rezultātā paaugstinās bērna pašvērtējums, līdz ar to bērnam kļūst mazāka nepieciešamība pārkāpt kādus sociālos noteikumus, lai</w:t>
            </w:r>
            <w:r w:rsidR="00CA590E" w:rsidRPr="00CF1F66">
              <w:rPr>
                <w:rFonts w:ascii="Times New Roman" w:hAnsi="Times New Roman"/>
                <w:sz w:val="24"/>
                <w:szCs w:val="24"/>
                <w:lang w:val="lv-LV"/>
              </w:rPr>
              <w:t xml:space="preserve"> pievērstu sev uzmanību. </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Dienas centra apmeklējums:</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sz w:val="24"/>
                <w:szCs w:val="24"/>
                <w:lang w:val="lv-LV"/>
              </w:rPr>
              <w:t>Dienas centra apmeklējums ir bērna atrašanās pašvaldības izveidotā iestādē, kurā viņš atrodas drošā vidē pieaugušo uzraudzībā, izpilda mājas darbus</w:t>
            </w:r>
            <w:r w:rsidR="007D3194" w:rsidRPr="00CF1F66">
              <w:rPr>
                <w:rFonts w:ascii="Times New Roman" w:hAnsi="Times New Roman"/>
                <w:sz w:val="24"/>
                <w:szCs w:val="24"/>
                <w:lang w:val="lv-LV"/>
              </w:rPr>
              <w:t>, attīsta dažādas prasmes un iemaņas</w:t>
            </w:r>
            <w:r w:rsidRPr="00CF1F66">
              <w:rPr>
                <w:rFonts w:ascii="Times New Roman" w:hAnsi="Times New Roman"/>
                <w:sz w:val="24"/>
                <w:szCs w:val="24"/>
                <w:lang w:val="lv-LV"/>
              </w:rPr>
              <w:t xml:space="preserve"> un pavada laiku citu bērnu sabiedrībā. Ar vienaudžiem kopā pavadītais laiks drošā vidē uzlabo bērna socializēšanās prasmes, kā rezultātā vairojas bērna dzīvesprieks un </w:t>
            </w:r>
            <w:r w:rsidR="007D3194" w:rsidRPr="00CF1F66">
              <w:rPr>
                <w:rFonts w:ascii="Times New Roman" w:hAnsi="Times New Roman"/>
                <w:sz w:val="24"/>
                <w:szCs w:val="24"/>
                <w:lang w:val="lv-LV"/>
              </w:rPr>
              <w:t>pašapziņa, turklāt dienas centra</w:t>
            </w:r>
            <w:r w:rsidRPr="00CF1F66">
              <w:rPr>
                <w:rFonts w:ascii="Times New Roman" w:hAnsi="Times New Roman"/>
                <w:sz w:val="24"/>
                <w:szCs w:val="24"/>
                <w:lang w:val="lv-LV"/>
              </w:rPr>
              <w:t xml:space="preserve"> apmeklēšana novērš iespēju, ka bērns savā brīvajā laikā, ja tas nav saturīgi aizpildīts, varētu sākt klaiņot un meklēt citu bērnu kompāniju, lai kopīgi nodotos savai un citu cilvēku veselību vai īpašumu apdraudošām aktivitātēm. </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Interešu izglītības pasākumi:</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Interešu izglītības pasākumi ir bērna individuālo izglītība</w:t>
            </w:r>
            <w:r w:rsidR="007D3194" w:rsidRPr="00CF1F66">
              <w:rPr>
                <w:rFonts w:ascii="Times New Roman" w:hAnsi="Times New Roman"/>
                <w:sz w:val="24"/>
                <w:szCs w:val="24"/>
                <w:lang w:val="lv-LV"/>
              </w:rPr>
              <w:t>s vajadzību un vēlmju realizēšana</w:t>
            </w:r>
            <w:r w:rsidRPr="00CF1F66">
              <w:rPr>
                <w:rFonts w:ascii="Times New Roman" w:hAnsi="Times New Roman"/>
                <w:sz w:val="24"/>
                <w:szCs w:val="24"/>
                <w:lang w:val="lv-LV"/>
              </w:rPr>
              <w:t xml:space="preserve"> izglītības iestādēs, kas īsteno interešu izglītības programmas, piemēram, mūzikas, mākslas, sporta skolās, tehniskās jaunrades namos utt.</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sz w:val="24"/>
                <w:szCs w:val="24"/>
                <w:lang w:val="lv-LV"/>
              </w:rPr>
              <w:t>Interešu izglītības pasākumi ļauj bērnam vispusīgi attīstīties un atklāt savus talantus, paaugstinot bērna pašapziņu. Tiek nodrošināta bērna atrašanās tādā vidē, kur viņš var izpausties un pilnveidoties, attīstot savu personību. Izvēloties kādu interešu izglītības programmu, bērnā rodas piederības sajūta kādai grupai ar vienotām interesēm, kas veicina bērna emocionālo vajadzību apmierināšanu un bērna līdzvērtīgu iekļaušanos vienaudžu vidū.</w:t>
            </w:r>
            <w:r w:rsidRPr="00CF1F66">
              <w:rPr>
                <w:rFonts w:ascii="Times New Roman" w:hAnsi="Times New Roman"/>
                <w:b/>
                <w:sz w:val="24"/>
                <w:szCs w:val="24"/>
                <w:lang w:val="lv-LV"/>
              </w:rPr>
              <w:t xml:space="preserve">  </w:t>
            </w:r>
          </w:p>
          <w:p w:rsidR="00351D74" w:rsidRPr="00CF1F66" w:rsidRDefault="00351D74" w:rsidP="00351D74">
            <w:pPr>
              <w:jc w:val="both"/>
              <w:rPr>
                <w:rFonts w:ascii="Times New Roman" w:hAnsi="Times New Roman"/>
                <w:sz w:val="24"/>
                <w:szCs w:val="24"/>
                <w:lang w:val="lv-LV"/>
              </w:rPr>
            </w:pPr>
          </w:p>
          <w:p w:rsidR="009D4D3C" w:rsidRPr="00CF1F66" w:rsidRDefault="009D4D3C" w:rsidP="007D3194">
            <w:pPr>
              <w:ind w:left="-30"/>
              <w:jc w:val="both"/>
              <w:rPr>
                <w:rFonts w:ascii="Times New Roman" w:hAnsi="Times New Roman"/>
                <w:color w:val="FF0000"/>
                <w:sz w:val="24"/>
                <w:szCs w:val="24"/>
                <w:lang w:val="lv-LV"/>
              </w:rPr>
            </w:pPr>
            <w:r w:rsidRPr="00CF1F66">
              <w:rPr>
                <w:rFonts w:ascii="Times New Roman" w:hAnsi="Times New Roman"/>
                <w:sz w:val="24"/>
                <w:szCs w:val="24"/>
                <w:lang w:val="lv-LV"/>
              </w:rPr>
              <w:t xml:space="preserve">Bērniem, kuru uzvedībā ir novērojami augstāki riska faktori, tiks piemēroti prevencijas pasākumi sekundārās prevencijas ietvaros. Tie ir tādi pasākumi, kas prasa jau padziļinātāku darbu ar bērnu un intervenci ne </w:t>
            </w:r>
            <w:r w:rsidR="0065517A" w:rsidRPr="00CF1F66">
              <w:rPr>
                <w:rFonts w:ascii="Times New Roman" w:hAnsi="Times New Roman"/>
                <w:sz w:val="24"/>
                <w:szCs w:val="24"/>
                <w:lang w:val="lv-LV"/>
              </w:rPr>
              <w:t>tikai</w:t>
            </w:r>
            <w:r w:rsidRPr="00CF1F66">
              <w:rPr>
                <w:rFonts w:ascii="Times New Roman" w:hAnsi="Times New Roman"/>
                <w:sz w:val="24"/>
                <w:szCs w:val="24"/>
                <w:lang w:val="lv-LV"/>
              </w:rPr>
              <w:t xml:space="preserve"> bērna uzvedībā un ikdienas plānojumā, bet arī bērna uztveres un domāšana</w:t>
            </w:r>
            <w:r w:rsidR="004D50C0" w:rsidRPr="00CF1F66">
              <w:rPr>
                <w:rFonts w:ascii="Times New Roman" w:hAnsi="Times New Roman"/>
                <w:sz w:val="24"/>
                <w:szCs w:val="24"/>
                <w:lang w:val="lv-LV"/>
              </w:rPr>
              <w:t>s veidā, skatījumā uz apkārtējo</w:t>
            </w:r>
            <w:r w:rsidRPr="00CF1F66">
              <w:rPr>
                <w:rFonts w:ascii="Times New Roman" w:hAnsi="Times New Roman"/>
                <w:sz w:val="24"/>
                <w:szCs w:val="24"/>
                <w:lang w:val="lv-LV"/>
              </w:rPr>
              <w:t xml:space="preserve"> pasauli un savu vietu tajā. Sekundārās prevencijas ietvaros piemērojamie pasākumi var būt: bērna nosūtīšana pie atbilstoša speciālista (piemēram, psihologa, psihiat</w:t>
            </w:r>
            <w:r w:rsidR="00B55481" w:rsidRPr="00CF1F66">
              <w:rPr>
                <w:rFonts w:ascii="Times New Roman" w:hAnsi="Times New Roman"/>
                <w:sz w:val="24"/>
                <w:szCs w:val="24"/>
                <w:lang w:val="lv-LV"/>
              </w:rPr>
              <w:t xml:space="preserve">ra, narkologa) (likumprojekta </w:t>
            </w:r>
            <w:r w:rsidR="00B55481" w:rsidRPr="00CF1F66">
              <w:rPr>
                <w:rFonts w:ascii="Times New Roman" w:hAnsi="Times New Roman"/>
                <w:color w:val="FF0000"/>
                <w:sz w:val="24"/>
                <w:szCs w:val="24"/>
                <w:lang w:val="lv-LV"/>
              </w:rPr>
              <w:t>30</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bērna iesaistīšana sabiedriskaj</w:t>
            </w:r>
            <w:r w:rsidR="002D6097" w:rsidRPr="00CF1F66">
              <w:rPr>
                <w:rFonts w:ascii="Times New Roman" w:hAnsi="Times New Roman"/>
                <w:sz w:val="24"/>
                <w:szCs w:val="24"/>
                <w:lang w:val="lv-LV"/>
              </w:rPr>
              <w:t>ās aktivitātēs (</w:t>
            </w:r>
            <w:r w:rsidR="002D6097" w:rsidRPr="00CF1F66">
              <w:rPr>
                <w:rFonts w:ascii="Times New Roman" w:hAnsi="Times New Roman"/>
                <w:color w:val="FF0000"/>
                <w:sz w:val="24"/>
                <w:szCs w:val="24"/>
                <w:lang w:val="lv-LV"/>
              </w:rPr>
              <w:t>likumprojekta 31</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vai līdzgaitnieka</w:t>
            </w:r>
            <w:r w:rsidR="002D6097" w:rsidRPr="00CF1F66">
              <w:rPr>
                <w:rFonts w:ascii="Times New Roman" w:hAnsi="Times New Roman"/>
                <w:sz w:val="24"/>
                <w:szCs w:val="24"/>
                <w:lang w:val="lv-LV"/>
              </w:rPr>
              <w:t xml:space="preserve"> piesaistīšana (</w:t>
            </w:r>
            <w:r w:rsidR="002D6097" w:rsidRPr="00CF1F66">
              <w:rPr>
                <w:rFonts w:ascii="Times New Roman" w:hAnsi="Times New Roman"/>
                <w:color w:val="FF0000"/>
                <w:sz w:val="24"/>
                <w:szCs w:val="24"/>
                <w:lang w:val="lv-LV"/>
              </w:rPr>
              <w:t>likumprojekta 35</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xml:space="preserve">). Bērnam var tikt </w:t>
            </w:r>
            <w:r w:rsidRPr="00CF1F66">
              <w:rPr>
                <w:rFonts w:ascii="Times New Roman" w:hAnsi="Times New Roman"/>
                <w:sz w:val="24"/>
                <w:szCs w:val="24"/>
                <w:lang w:val="lv-LV"/>
              </w:rPr>
              <w:lastRenderedPageBreak/>
              <w:t>noteikti uzvedīb</w:t>
            </w:r>
            <w:r w:rsidR="002D6097" w:rsidRPr="00CF1F66">
              <w:rPr>
                <w:rFonts w:ascii="Times New Roman" w:hAnsi="Times New Roman"/>
                <w:sz w:val="24"/>
                <w:szCs w:val="24"/>
                <w:lang w:val="lv-LV"/>
              </w:rPr>
              <w:t xml:space="preserve">as ierobežojumi (likumprojekta </w:t>
            </w:r>
            <w:r w:rsidR="002D6097" w:rsidRPr="00CF1F66">
              <w:rPr>
                <w:rFonts w:ascii="Times New Roman" w:hAnsi="Times New Roman"/>
                <w:color w:val="FF0000"/>
                <w:sz w:val="24"/>
                <w:szCs w:val="24"/>
                <w:lang w:val="lv-LV"/>
              </w:rPr>
              <w:t>32</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vai piemēroti sociālo</w:t>
            </w:r>
            <w:r w:rsidR="002D6097" w:rsidRPr="00CF1F66">
              <w:rPr>
                <w:rFonts w:ascii="Times New Roman" w:hAnsi="Times New Roman"/>
                <w:sz w:val="24"/>
                <w:szCs w:val="24"/>
                <w:lang w:val="lv-LV"/>
              </w:rPr>
              <w:t xml:space="preserve"> un profesionālo</w:t>
            </w:r>
            <w:r w:rsidRPr="00CF1F66">
              <w:rPr>
                <w:rFonts w:ascii="Times New Roman" w:hAnsi="Times New Roman"/>
                <w:sz w:val="24"/>
                <w:szCs w:val="24"/>
                <w:lang w:val="lv-LV"/>
              </w:rPr>
              <w:t xml:space="preserve"> prasmju attīstīšanas vai sociālās korekcijas pasākumi (</w:t>
            </w:r>
            <w:r w:rsidRPr="00CF1F66">
              <w:rPr>
                <w:rFonts w:ascii="Times New Roman" w:hAnsi="Times New Roman"/>
                <w:color w:val="FF0000"/>
                <w:sz w:val="24"/>
                <w:szCs w:val="24"/>
                <w:lang w:val="lv-LV"/>
              </w:rPr>
              <w:t>li</w:t>
            </w:r>
            <w:r w:rsidR="002D6097" w:rsidRPr="00CF1F66">
              <w:rPr>
                <w:rFonts w:ascii="Times New Roman" w:hAnsi="Times New Roman"/>
                <w:color w:val="FF0000"/>
                <w:sz w:val="24"/>
                <w:szCs w:val="24"/>
                <w:lang w:val="lv-LV"/>
              </w:rPr>
              <w:t>kumprojekta 33., 34</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Tāpat bērnam sekundārās prevencijas pasākumu ietvaros ir paredzēta iespēja slēgt izlīgumu ar likumpārkāpuma rezultātā c</w:t>
            </w:r>
            <w:r w:rsidR="002D6097" w:rsidRPr="00CF1F66">
              <w:rPr>
                <w:rFonts w:ascii="Times New Roman" w:hAnsi="Times New Roman"/>
                <w:sz w:val="24"/>
                <w:szCs w:val="24"/>
                <w:lang w:val="lv-LV"/>
              </w:rPr>
              <w:t xml:space="preserve">ietušo personu (likumprojekta </w:t>
            </w:r>
            <w:r w:rsidR="002D6097" w:rsidRPr="00CF1F66">
              <w:rPr>
                <w:rFonts w:ascii="Times New Roman" w:hAnsi="Times New Roman"/>
                <w:color w:val="FF0000"/>
                <w:sz w:val="24"/>
                <w:szCs w:val="24"/>
                <w:lang w:val="lv-LV"/>
              </w:rPr>
              <w:t>29</w:t>
            </w:r>
            <w:r w:rsidRPr="00CF1F66">
              <w:rPr>
                <w:rFonts w:ascii="Times New Roman" w:hAnsi="Times New Roman"/>
                <w:color w:val="FF0000"/>
                <w:sz w:val="24"/>
                <w:szCs w:val="24"/>
                <w:lang w:val="lv-LV"/>
              </w:rPr>
              <w:t>.pants</w:t>
            </w:r>
            <w:r w:rsidRPr="00CF1F66">
              <w:rPr>
                <w:rFonts w:ascii="Times New Roman" w:hAnsi="Times New Roman"/>
                <w:sz w:val="24"/>
                <w:szCs w:val="24"/>
                <w:lang w:val="lv-LV"/>
              </w:rPr>
              <w:t>) atbilstoši</w:t>
            </w:r>
            <w:r w:rsidR="002D6097" w:rsidRPr="00CF1F66">
              <w:rPr>
                <w:rFonts w:ascii="Times New Roman" w:hAnsi="Times New Roman"/>
                <w:sz w:val="24"/>
                <w:szCs w:val="24"/>
                <w:lang w:val="lv-LV"/>
              </w:rPr>
              <w:t xml:space="preserve"> likumprojektā nostiprinātajam saskaņas</w:t>
            </w:r>
            <w:r w:rsidRPr="00CF1F66">
              <w:rPr>
                <w:rFonts w:ascii="Times New Roman" w:hAnsi="Times New Roman"/>
                <w:sz w:val="24"/>
                <w:szCs w:val="24"/>
                <w:lang w:val="lv-LV"/>
              </w:rPr>
              <w:t xml:space="preserve"> atjaunošanas principam (</w:t>
            </w:r>
            <w:r w:rsidRPr="00CF1F66">
              <w:rPr>
                <w:rFonts w:ascii="Times New Roman" w:hAnsi="Times New Roman"/>
                <w:color w:val="FF0000"/>
                <w:sz w:val="24"/>
                <w:szCs w:val="24"/>
                <w:lang w:val="lv-LV"/>
              </w:rPr>
              <w:t>likumprojekta 7.pants</w:t>
            </w:r>
            <w:r w:rsidRPr="00CF1F66">
              <w:rPr>
                <w:rFonts w:ascii="Times New Roman" w:hAnsi="Times New Roman"/>
                <w:sz w:val="24"/>
                <w:szCs w:val="24"/>
                <w:lang w:val="lv-LV"/>
              </w:rPr>
              <w:t xml:space="preserve">). Izlīguma slēgšana ir ne tikai instruments cietušā emocionālā stāvokļa uzlabošanai, bet arī attīsta bērnā empātijas spēju un sniedz bērnam sapratni par izdarītā kaitīgajām un traumējošajām sekām. Attīstot bērnā spēju iedomāties sevi otra cilvēka vietā, tiek samazināta iespēja, ka nākotnē bērns atkārtoti izdarīs līdzīgu nodarījumu. </w:t>
            </w:r>
          </w:p>
          <w:p w:rsidR="00351D74" w:rsidRPr="00CF1F66" w:rsidRDefault="00351D74" w:rsidP="00351D74">
            <w:pPr>
              <w:pStyle w:val="Sarakstarindkopa"/>
              <w:ind w:left="0"/>
              <w:jc w:val="both"/>
              <w:rPr>
                <w:rFonts w:ascii="Times New Roman" w:hAnsi="Times New Roman"/>
                <w:b/>
                <w:sz w:val="24"/>
                <w:szCs w:val="24"/>
              </w:rPr>
            </w:pPr>
            <w:r w:rsidRPr="00CF1F66">
              <w:rPr>
                <w:rFonts w:ascii="Times New Roman" w:hAnsi="Times New Roman"/>
                <w:b/>
                <w:sz w:val="24"/>
                <w:szCs w:val="24"/>
              </w:rPr>
              <w:t>Izlīgums:</w:t>
            </w:r>
          </w:p>
          <w:p w:rsidR="00351D74" w:rsidRPr="00CF1F66" w:rsidRDefault="00351D74" w:rsidP="00351D74">
            <w:pPr>
              <w:pStyle w:val="Sarakstarindkopa"/>
              <w:ind w:left="0"/>
              <w:jc w:val="both"/>
              <w:rPr>
                <w:rFonts w:ascii="Times New Roman" w:hAnsi="Times New Roman"/>
                <w:sz w:val="24"/>
                <w:szCs w:val="24"/>
              </w:rPr>
            </w:pPr>
            <w:r w:rsidRPr="00CF1F66">
              <w:rPr>
                <w:rFonts w:ascii="Times New Roman" w:hAnsi="Times New Roman"/>
                <w:sz w:val="24"/>
                <w:szCs w:val="24"/>
              </w:rPr>
              <w:t>Izlīgums ir viens no saskaņas atjaunošanas principa īstenošanas veidiem. Saskaņas atjaunošanas principa pamatā ir ideja, ka kaitējums, kas radies nodarījuma rezultātā, ir jānovērš, pēc iespējas atjaunojot aizskartās personas dzīvē tādu stāvokli, kāds tas bija iepriekš. Šī p</w:t>
            </w:r>
            <w:r w:rsidR="007D3194" w:rsidRPr="00CF1F66">
              <w:rPr>
                <w:rFonts w:ascii="Times New Roman" w:hAnsi="Times New Roman"/>
                <w:sz w:val="24"/>
                <w:szCs w:val="24"/>
              </w:rPr>
              <w:t>ieeja palīdz cilvēkam saprast no</w:t>
            </w:r>
            <w:r w:rsidRPr="00CF1F66">
              <w:rPr>
                <w:rFonts w:ascii="Times New Roman" w:hAnsi="Times New Roman"/>
                <w:sz w:val="24"/>
                <w:szCs w:val="24"/>
              </w:rPr>
              <w:t>darītā patieso ietekmi, uzņemties atbildību par izdarīto un pēc iespējas atlīdzināt to. Saskaņas atjaunošanas principa pamatā ir trīs pamatlietas – koncentrēšanās uz personai nodarīto kaitējumu un attiecībā</w:t>
            </w:r>
            <w:r w:rsidR="007D3194" w:rsidRPr="00CF1F66">
              <w:rPr>
                <w:rFonts w:ascii="Times New Roman" w:hAnsi="Times New Roman"/>
                <w:sz w:val="24"/>
                <w:szCs w:val="24"/>
              </w:rPr>
              <w:t>m starp nodarījumā iesaistītajiem</w:t>
            </w:r>
            <w:r w:rsidRPr="00CF1F66">
              <w:rPr>
                <w:rFonts w:ascii="Times New Roman" w:hAnsi="Times New Roman"/>
                <w:sz w:val="24"/>
                <w:szCs w:val="24"/>
              </w:rPr>
              <w:t xml:space="preserve">, izdarītais nodarījums rada atbildību un pienākumus, kā arī visiem iesaistītajiem (tai skaitā sabiedrībai) ir jāpieliek pūles </w:t>
            </w:r>
            <w:r w:rsidRPr="00CF1F66">
              <w:rPr>
                <w:rFonts w:ascii="Times New Roman" w:hAnsi="Times New Roman"/>
                <w:bCs/>
                <w:sz w:val="24"/>
                <w:szCs w:val="24"/>
              </w:rPr>
              <w:t>taisnīga risinājuma meklēšan</w:t>
            </w:r>
            <w:r w:rsidR="008F572E" w:rsidRPr="00CF1F66">
              <w:rPr>
                <w:rFonts w:ascii="Times New Roman" w:hAnsi="Times New Roman"/>
                <w:bCs/>
                <w:sz w:val="24"/>
                <w:szCs w:val="24"/>
              </w:rPr>
              <w:t xml:space="preserve">ā un radītā kaitējuma novēršanā. </w:t>
            </w:r>
            <w:r w:rsidRPr="00CF1F66">
              <w:rPr>
                <w:rFonts w:ascii="Times New Roman" w:hAnsi="Times New Roman"/>
                <w:sz w:val="24"/>
                <w:szCs w:val="24"/>
              </w:rPr>
              <w:t xml:space="preserve">Izlīgums ir process, kas nodrošina nodarījumā iesaistītajiem iespēju tikties drošā vidē un profesionāļa vadībā pārrunāt notikušo. Ar sarunas vadītāja palīdzību personai, kam nodarīts kaitējums, ir iespēja pastāstīt otrai pusei par nodarījuma emocionālo, fizisko un materiālo ietekmi, saņemt atbildes uz sev svarīgiem jautājumiem un iesaistīties kaitējuma atlīdzināšanas plāna sagatavošanā. </w:t>
            </w:r>
            <w:r w:rsidRPr="00CF1F66">
              <w:rPr>
                <w:rFonts w:ascii="Times New Roman" w:hAnsi="Times New Roman"/>
                <w:bCs/>
                <w:sz w:val="24"/>
                <w:szCs w:val="24"/>
              </w:rPr>
              <w:t>Kaitējumu var atlīdzināt gan materiāli, gan veicot darbu personas, kam nodarīts kaitējums, labā. </w:t>
            </w:r>
            <w:r w:rsidRPr="00CF1F66">
              <w:rPr>
                <w:rFonts w:ascii="Times New Roman" w:hAnsi="Times New Roman"/>
                <w:sz w:val="24"/>
                <w:szCs w:val="24"/>
              </w:rPr>
              <w:t>Svarīgākais ir tas, lai veiktais atlīdzinājums radītu starp pusēm taisnīguma izjūtu. Izlīguma process attīsta bērnā empātijas spēju un sniedz bērnam sapratni par izdarītā kaitīgajām un traumējošajām sekām. Attīstot bērnā spēju iedomāties sevi otra cilvēka vietā, palielinās iespēja, ka bērns turpmāk izvēlēsies nekaitīgākus veidus, kā risināt konfliktus savā dzīvē un spēs saskatīt savas rīcības cēloņsakarības.</w:t>
            </w:r>
          </w:p>
          <w:p w:rsidR="00351D74" w:rsidRPr="00CF1F66" w:rsidRDefault="00351D74" w:rsidP="00351D74">
            <w:pPr>
              <w:pStyle w:val="Sarakstarindkopa"/>
              <w:spacing w:after="0"/>
              <w:ind w:left="0"/>
              <w:jc w:val="both"/>
              <w:rPr>
                <w:rFonts w:ascii="Times New Roman" w:hAnsi="Times New Roman"/>
                <w:b/>
                <w:sz w:val="24"/>
                <w:szCs w:val="24"/>
              </w:rPr>
            </w:pPr>
            <w:r w:rsidRPr="00CF1F66">
              <w:rPr>
                <w:rFonts w:ascii="Times New Roman" w:hAnsi="Times New Roman"/>
                <w:b/>
                <w:sz w:val="24"/>
                <w:szCs w:val="24"/>
              </w:rPr>
              <w:t>Speciālista konsultācija:</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Šī prevencijas pasākuma ietvaros bērns savu problēmu risināšanai apmeklē atbilstošāko speciālistu (psihologu, psihiatru, narkologu), lai mazinātu psiholoģiskās vai atkarību problēmas, kas izraisījušas bērna antisociālu uzvedību.</w:t>
            </w: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Iesaistīšana sabiedriskajās aktivitātēs:</w:t>
            </w:r>
          </w:p>
          <w:p w:rsidR="00351D74" w:rsidRPr="00CF1F66" w:rsidRDefault="00351D74" w:rsidP="00351D74">
            <w:pPr>
              <w:pStyle w:val="Sarakstarindkopa"/>
              <w:spacing w:after="0"/>
              <w:ind w:left="0"/>
              <w:jc w:val="both"/>
              <w:rPr>
                <w:rFonts w:ascii="Times New Roman" w:hAnsi="Times New Roman"/>
                <w:sz w:val="24"/>
                <w:szCs w:val="24"/>
              </w:rPr>
            </w:pPr>
            <w:r w:rsidRPr="00CF1F66">
              <w:rPr>
                <w:rFonts w:ascii="Times New Roman" w:hAnsi="Times New Roman"/>
                <w:sz w:val="24"/>
                <w:szCs w:val="24"/>
              </w:rPr>
              <w:t xml:space="preserve">Iesaistīšana sabiedriskajās aktivitātēs ir prevencijas pasākums, kura laikā bērns nodarbojas ar savai attīstībai, </w:t>
            </w:r>
            <w:r w:rsidRPr="00CF1F66">
              <w:rPr>
                <w:rFonts w:ascii="Times New Roman" w:hAnsi="Times New Roman"/>
                <w:sz w:val="24"/>
                <w:szCs w:val="24"/>
              </w:rPr>
              <w:lastRenderedPageBreak/>
              <w:t xml:space="preserve">līdzcilvēkiem vai sabiedrībai </w:t>
            </w:r>
            <w:r w:rsidR="008F572E" w:rsidRPr="00CF1F66">
              <w:rPr>
                <w:rFonts w:ascii="Times New Roman" w:hAnsi="Times New Roman"/>
                <w:sz w:val="24"/>
                <w:szCs w:val="24"/>
              </w:rPr>
              <w:t>no</w:t>
            </w:r>
            <w:r w:rsidRPr="00CF1F66">
              <w:rPr>
                <w:rFonts w:ascii="Times New Roman" w:hAnsi="Times New Roman"/>
                <w:sz w:val="24"/>
                <w:szCs w:val="24"/>
              </w:rPr>
              <w:t xml:space="preserve">derīgu darbu. Šis līdzeklis var izpausties, kā </w:t>
            </w:r>
            <w:r w:rsidR="008F572E" w:rsidRPr="00CF1F66">
              <w:rPr>
                <w:rFonts w:ascii="Times New Roman" w:hAnsi="Times New Roman"/>
                <w:sz w:val="24"/>
                <w:szCs w:val="24"/>
              </w:rPr>
              <w:t xml:space="preserve">bērna iesaistīšanās nevalstisko organizāciju darbībā vai kā </w:t>
            </w:r>
            <w:r w:rsidRPr="00CF1F66">
              <w:rPr>
                <w:rFonts w:ascii="Times New Roman" w:hAnsi="Times New Roman"/>
                <w:sz w:val="24"/>
                <w:szCs w:val="24"/>
              </w:rPr>
              <w:t xml:space="preserve">bērna nodarbināšana pie komersantiem vai biedrībās, </w:t>
            </w:r>
            <w:r w:rsidR="008F572E" w:rsidRPr="00CF1F66">
              <w:rPr>
                <w:rFonts w:ascii="Times New Roman" w:hAnsi="Times New Roman"/>
                <w:sz w:val="24"/>
                <w:szCs w:val="24"/>
              </w:rPr>
              <w:t xml:space="preserve">kur bērns veic </w:t>
            </w:r>
            <w:r w:rsidRPr="00CF1F66">
              <w:rPr>
                <w:rFonts w:ascii="Times New Roman" w:hAnsi="Times New Roman"/>
                <w:sz w:val="24"/>
                <w:szCs w:val="24"/>
              </w:rPr>
              <w:t>savam vecumam un spējām atbilstošu darbu, par t</w:t>
            </w:r>
            <w:r w:rsidR="008F572E" w:rsidRPr="00CF1F66">
              <w:rPr>
                <w:rFonts w:ascii="Times New Roman" w:hAnsi="Times New Roman"/>
                <w:sz w:val="24"/>
                <w:szCs w:val="24"/>
              </w:rPr>
              <w:t xml:space="preserve">o saņemot atalgojumu. </w:t>
            </w:r>
            <w:r w:rsidRPr="00CF1F66">
              <w:rPr>
                <w:rFonts w:ascii="Times New Roman" w:hAnsi="Times New Roman"/>
                <w:sz w:val="24"/>
                <w:szCs w:val="24"/>
              </w:rPr>
              <w:t xml:space="preserve">Iesaistoties sabiedriskajās aktivitātēs, bērns sāk apzināties, ka darbs ir viena no svarīgākajām cilvēka dzīves sastāvdaļām, kas sniedz prieku un piepildījumu. Bērnam rodas pozitīva attieksme pret sabiedrisko pienākumu veikšanu, pret darba dienas režīma ievērošanu un atbildības par darba pienākumiem uzņemšanos. Bērns pamazām apgūst prasmi sadarboties ar kolēģiem, kā arī bērnā rodas interese vairot savas zināšanas konkrētajā darbības jomā. </w:t>
            </w:r>
          </w:p>
          <w:p w:rsidR="006370F3"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Uzvedības ierobežojumi:</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 xml:space="preserve">Uzvedības ierobežojumi izpaužas kā aizliegums apmeklēt noteiktas publiskas vietas vai aizliegums satikties un sazināties ar noteiktām personām, kas negatīvi varētu ietekmēt bērna vērtīborientāciju vai uzvedību. </w:t>
            </w:r>
          </w:p>
          <w:p w:rsidR="006370F3" w:rsidRPr="00CF1F66" w:rsidRDefault="006370F3" w:rsidP="00351D74">
            <w:pPr>
              <w:jc w:val="both"/>
              <w:rPr>
                <w:rFonts w:ascii="Times New Roman" w:hAnsi="Times New Roman"/>
                <w:sz w:val="24"/>
                <w:szCs w:val="24"/>
                <w:lang w:val="lv-LV"/>
              </w:rPr>
            </w:pPr>
          </w:p>
          <w:p w:rsidR="006370F3" w:rsidRPr="00CF1F66" w:rsidRDefault="006370F3" w:rsidP="00351D74">
            <w:pPr>
              <w:jc w:val="both"/>
              <w:rPr>
                <w:rFonts w:ascii="Times New Roman" w:hAnsi="Times New Roman"/>
                <w:b/>
                <w:sz w:val="24"/>
                <w:szCs w:val="24"/>
                <w:lang w:val="lv-LV"/>
              </w:rPr>
            </w:pPr>
            <w:r w:rsidRPr="00CF1F66">
              <w:rPr>
                <w:rFonts w:ascii="Times New Roman" w:hAnsi="Times New Roman"/>
                <w:b/>
                <w:sz w:val="24"/>
                <w:szCs w:val="24"/>
                <w:lang w:val="lv-LV"/>
              </w:rPr>
              <w:t>Informatīvo semināru apmeklējumi</w:t>
            </w:r>
          </w:p>
          <w:p w:rsidR="006370F3" w:rsidRPr="00CF1F66" w:rsidRDefault="006370F3" w:rsidP="00351D74">
            <w:pPr>
              <w:jc w:val="both"/>
              <w:rPr>
                <w:rFonts w:ascii="Times New Roman" w:hAnsi="Times New Roman"/>
                <w:sz w:val="24"/>
                <w:szCs w:val="24"/>
                <w:lang w:val="lv-LV"/>
              </w:rPr>
            </w:pPr>
            <w:r w:rsidRPr="00CF1F66">
              <w:rPr>
                <w:rFonts w:ascii="Times New Roman" w:hAnsi="Times New Roman"/>
                <w:sz w:val="24"/>
                <w:szCs w:val="24"/>
                <w:lang w:val="lv-LV"/>
              </w:rPr>
              <w:t xml:space="preserve">Informatīvo semināru apmeklējumi ir prevencijas līdzeklis, kas vērsts uz bērnam saprotamas informācijas sniegšanu par tēmām, kas var ietekmēt bērna antisociālo uzvedību vai viktīmo uzvedību nākotnē. </w:t>
            </w:r>
            <w:r w:rsidR="002A7EEE" w:rsidRPr="00CF1F66">
              <w:rPr>
                <w:rFonts w:ascii="Times New Roman" w:hAnsi="Times New Roman"/>
                <w:sz w:val="24"/>
                <w:szCs w:val="24"/>
                <w:lang w:val="lv-LV"/>
              </w:rPr>
              <w:t xml:space="preserve">Informatīvā semināra tematika jāpiemeklē atkarībā no bērnam konstatētajiem riskiem – nosliece vai paradums lietot atkarību izraisošas vielas, atkarību veicinoši sadzīves paradumi (azartspēles, datora arkarība), paradumi, kas apdraud bērna personisko drošību, viktīma uzvedība vai citādi. </w:t>
            </w:r>
          </w:p>
          <w:p w:rsidR="002A7EEE" w:rsidRPr="00CF1F66" w:rsidRDefault="002A7EEE" w:rsidP="00351D74">
            <w:pPr>
              <w:jc w:val="both"/>
              <w:rPr>
                <w:rFonts w:ascii="Times New Roman" w:hAnsi="Times New Roman"/>
                <w:sz w:val="24"/>
                <w:szCs w:val="24"/>
                <w:lang w:val="lv-LV"/>
              </w:rPr>
            </w:pPr>
          </w:p>
          <w:p w:rsidR="00351D74" w:rsidRPr="00CF1F66" w:rsidRDefault="00351D74" w:rsidP="00351D74">
            <w:pPr>
              <w:jc w:val="both"/>
              <w:rPr>
                <w:rFonts w:ascii="Times New Roman" w:hAnsi="Times New Roman"/>
                <w:b/>
                <w:sz w:val="24"/>
                <w:szCs w:val="24"/>
                <w:lang w:val="lv-LV"/>
              </w:rPr>
            </w:pPr>
            <w:r w:rsidRPr="00CF1F66">
              <w:rPr>
                <w:rFonts w:ascii="Times New Roman" w:hAnsi="Times New Roman"/>
                <w:b/>
                <w:sz w:val="24"/>
                <w:szCs w:val="24"/>
                <w:lang w:val="lv-LV"/>
              </w:rPr>
              <w:t>Sociālo prasmju attīstīšanas pasākumi:</w:t>
            </w:r>
          </w:p>
          <w:p w:rsidR="006370F3" w:rsidRPr="00CF1F66" w:rsidRDefault="006370F3" w:rsidP="006370F3">
            <w:pPr>
              <w:ind w:left="80"/>
              <w:jc w:val="both"/>
              <w:rPr>
                <w:rFonts w:ascii="Times New Roman" w:hAnsi="Times New Roman"/>
                <w:sz w:val="24"/>
                <w:szCs w:val="24"/>
                <w:lang w:val="lv-LV"/>
              </w:rPr>
            </w:pPr>
            <w:r w:rsidRPr="00CF1F66">
              <w:rPr>
                <w:rFonts w:ascii="Times New Roman" w:hAnsi="Times New Roman"/>
                <w:sz w:val="24"/>
                <w:szCs w:val="24"/>
                <w:lang w:val="lv-LV"/>
              </w:rPr>
              <w:t xml:space="preserve">Sekundārās prevencijas ietvaros īstenojamais pasākums - sociālo prasmju attīstīšana – ietver sociālās rehabilitācijas pasākumus, tas ir, sociālo prasmju apgūšanu, ja to trūkst vispār, vai esošo sociālo prasmju attīstīšanu un nostiprināšanu. piemēram, izpratnes veidošanu par higiēnas pasākumiem, mājas uzkopšanas nepieciešamību, ēst gatavošanas, apģērba labošanas pamatu apgūšanu u.c. Šādi pasākumi var tikt veikti gan bērna dzīvesvietā (skolā, “dienas centrā”, sociālajā dienestā, utt.) vai ārpus bērna dzīvesvietas, ja bērnam konstatētie riski norāda uz to, ka ierastā vide, kurā bērns atrodas ir pārāk degradējoša, lai sasniegtu sociālās korekcijas mērķi. Šobrīd Latvijā izglītības iestāde, kas var īstenot šo prevencijas pasākumu, ir sociālās korekcijas izglītības iestāde “Naukšēni.” Saskaņā ar šobrīd spēkā esošo kārtību ievietošana sociālās korekcijas izglītības iestādē ir audzinoša rakstura piespiedu līdzeklis, ko var piemērot tiesnesis bērnam kurš izdarījis noziedzīgu nodarījumu vai administratīvus pārkāpumus. Ievietošana šajā izglītības iestādē bērnam tiek piemērota kā “kvazi – sods”, aizstājot kriminālsoda vai administratīvā soda piemērošanu un bez bērna vai viņa likumisko pārstāvju piekrišanas.  Šāda pieeja nav pareiza. Sociālās rehabilitācijas pakalpojums bērnam nevar tikt piemērots kā sods </w:t>
            </w:r>
            <w:r w:rsidRPr="00CF1F66">
              <w:rPr>
                <w:rFonts w:ascii="Times New Roman" w:hAnsi="Times New Roman"/>
                <w:sz w:val="24"/>
                <w:szCs w:val="24"/>
                <w:lang w:val="lv-LV"/>
              </w:rPr>
              <w:lastRenderedPageBreak/>
              <w:t xml:space="preserve">un pret bērna vecāku gribu. Sociālās rehabilitācijas būtība ir nodrošināt to, ka bērnam, kam dažādu iemeslu dēļ trūkst sociālo prasmju, tiktu iemācīti pamatprincipi par to, kā nodrošināt personisko higiēnu, uzturēt kārtībā savu dzīvesvietu, plānot savu laiku, samērojot mācībām un brīvā laika aktivitātēm paredzēto laiku, veidot sociālos kontaktus ar saviem vienaudžiem, lietderīgi, attīstot savas intereses un talantus, pavadīt brīvo laiku. Papildus sociālās rehabilitācijas pasākumiem sociālās korekcijas izglītības iestādē bērns apgūst vispārējās izglītības mācību programmu. Tādejādi sociālās korekcijas izglītības iestādi nevajadzētu uzskatīt par soda izpildes iestādi, jo šīs iestādes mērķis nav sodīšana. Lai arī sociālās korekcijas izglītības iestādē bērniem ir jāpakļaujas noteiktam iekšējās kārtības režīmam, šāds īpaši pakļautās personas statuss ar īpašu iekšējās kārtības režīmu ir faktiski visās izglītības iestādēs. Tādejādi šajā likumprojektā preventīvā līdzekļa – sociālo prasmju attīstīšanas pasākumi – nozīmēšana paredzēta sadarbības grupai, noslēdzot ar bērna vecākiem administratīvo līgumu. </w:t>
            </w:r>
          </w:p>
          <w:p w:rsidR="00351D74" w:rsidRPr="00CF1F66" w:rsidRDefault="004B5BBD" w:rsidP="00351D74">
            <w:pPr>
              <w:jc w:val="both"/>
              <w:rPr>
                <w:rFonts w:ascii="Times New Roman" w:hAnsi="Times New Roman"/>
                <w:b/>
                <w:sz w:val="24"/>
                <w:szCs w:val="24"/>
                <w:lang w:val="lv-LV"/>
              </w:rPr>
            </w:pPr>
            <w:r w:rsidRPr="00CF1F66">
              <w:rPr>
                <w:rFonts w:ascii="Times New Roman" w:hAnsi="Times New Roman"/>
                <w:b/>
                <w:sz w:val="24"/>
                <w:szCs w:val="24"/>
                <w:lang w:val="lv-LV"/>
              </w:rPr>
              <w:t>S</w:t>
            </w:r>
            <w:r w:rsidR="00351D74" w:rsidRPr="00CF1F66">
              <w:rPr>
                <w:rFonts w:ascii="Times New Roman" w:hAnsi="Times New Roman"/>
                <w:b/>
                <w:sz w:val="24"/>
                <w:szCs w:val="24"/>
                <w:lang w:val="lv-LV"/>
              </w:rPr>
              <w:t>oci</w:t>
            </w:r>
            <w:r w:rsidRPr="00CF1F66">
              <w:rPr>
                <w:rFonts w:ascii="Times New Roman" w:hAnsi="Times New Roman"/>
                <w:b/>
                <w:sz w:val="24"/>
                <w:szCs w:val="24"/>
                <w:lang w:val="lv-LV"/>
              </w:rPr>
              <w:t>ālās korekcijas pasākumi:</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 xml:space="preserve">Sociālās korekcijas pasākumi ir tādi pasākumi, kuru </w:t>
            </w:r>
            <w:r w:rsidR="008F572E" w:rsidRPr="00CF1F66">
              <w:rPr>
                <w:rFonts w:ascii="Times New Roman" w:hAnsi="Times New Roman"/>
                <w:sz w:val="24"/>
                <w:szCs w:val="24"/>
                <w:lang w:val="lv-LV"/>
              </w:rPr>
              <w:t xml:space="preserve">īstenošanas </w:t>
            </w:r>
            <w:r w:rsidRPr="00CF1F66">
              <w:rPr>
                <w:rFonts w:ascii="Times New Roman" w:hAnsi="Times New Roman"/>
                <w:sz w:val="24"/>
                <w:szCs w:val="24"/>
                <w:lang w:val="lv-LV"/>
              </w:rPr>
              <w:t>rezultātā tiek ietekmēti bērna uzskati par to, kā funkcionē sabiedrīb</w:t>
            </w:r>
            <w:r w:rsidR="008F572E" w:rsidRPr="00CF1F66">
              <w:rPr>
                <w:rFonts w:ascii="Times New Roman" w:hAnsi="Times New Roman"/>
                <w:sz w:val="24"/>
                <w:szCs w:val="24"/>
                <w:lang w:val="lv-LV"/>
              </w:rPr>
              <w:t>a, un par to, kādas uzvedības normas</w:t>
            </w:r>
            <w:r w:rsidRPr="00CF1F66">
              <w:rPr>
                <w:rFonts w:ascii="Times New Roman" w:hAnsi="Times New Roman"/>
                <w:sz w:val="24"/>
                <w:szCs w:val="24"/>
                <w:lang w:val="lv-LV"/>
              </w:rPr>
              <w:t xml:space="preserve"> ir jāievēro, lai ikviens </w:t>
            </w:r>
            <w:r w:rsidR="008F572E" w:rsidRPr="00CF1F66">
              <w:rPr>
                <w:rFonts w:ascii="Times New Roman" w:hAnsi="Times New Roman"/>
                <w:sz w:val="24"/>
                <w:szCs w:val="24"/>
                <w:lang w:val="lv-LV"/>
              </w:rPr>
              <w:t>sabiedrības loceklis</w:t>
            </w:r>
            <w:r w:rsidRPr="00CF1F66">
              <w:rPr>
                <w:rFonts w:ascii="Times New Roman" w:hAnsi="Times New Roman"/>
                <w:sz w:val="24"/>
                <w:szCs w:val="24"/>
                <w:lang w:val="lv-LV"/>
              </w:rPr>
              <w:t xml:space="preserve"> justos pēc iespējas labāk.  Šis preven</w:t>
            </w:r>
            <w:r w:rsidR="008F572E" w:rsidRPr="00CF1F66">
              <w:rPr>
                <w:rFonts w:ascii="Times New Roman" w:hAnsi="Times New Roman"/>
                <w:sz w:val="24"/>
                <w:szCs w:val="24"/>
                <w:lang w:val="lv-LV"/>
              </w:rPr>
              <w:t>cijas pasākums var izpausties</w:t>
            </w:r>
            <w:r w:rsidRPr="00CF1F66">
              <w:rPr>
                <w:rFonts w:ascii="Times New Roman" w:hAnsi="Times New Roman"/>
                <w:sz w:val="24"/>
                <w:szCs w:val="24"/>
                <w:lang w:val="lv-LV"/>
              </w:rPr>
              <w:t xml:space="preserve"> kā,</w:t>
            </w:r>
            <w:r w:rsidR="008F572E" w:rsidRPr="00CF1F66">
              <w:rPr>
                <w:rFonts w:ascii="Times New Roman" w:hAnsi="Times New Roman"/>
                <w:sz w:val="24"/>
                <w:szCs w:val="24"/>
                <w:lang w:val="lv-LV"/>
              </w:rPr>
              <w:t xml:space="preserve"> piemēram,</w:t>
            </w:r>
            <w:r w:rsidRPr="00CF1F66">
              <w:rPr>
                <w:rFonts w:ascii="Times New Roman" w:hAnsi="Times New Roman"/>
                <w:sz w:val="24"/>
                <w:szCs w:val="24"/>
                <w:lang w:val="lv-LV"/>
              </w:rPr>
              <w:t xml:space="preserve"> dažāda veida pasākumi atbalsta grupās</w:t>
            </w:r>
            <w:r w:rsidR="00644FB2" w:rsidRPr="00CF1F66">
              <w:rPr>
                <w:rFonts w:ascii="Times New Roman" w:hAnsi="Times New Roman"/>
                <w:sz w:val="24"/>
                <w:szCs w:val="24"/>
                <w:lang w:val="lv-LV"/>
              </w:rPr>
              <w:t>, rehabilitācijas programmas</w:t>
            </w:r>
            <w:r w:rsidRPr="00CF1F66">
              <w:rPr>
                <w:rFonts w:ascii="Times New Roman" w:hAnsi="Times New Roman"/>
                <w:sz w:val="24"/>
                <w:szCs w:val="24"/>
                <w:lang w:val="lv-LV"/>
              </w:rPr>
              <w:t xml:space="preserve"> vai dažādu terapiju pielietošana. Šie pasākumi novērš bērna uztveres deformāciju un veicina to, ka bērna uz</w:t>
            </w:r>
            <w:r w:rsidR="008F572E" w:rsidRPr="00CF1F66">
              <w:rPr>
                <w:rFonts w:ascii="Times New Roman" w:hAnsi="Times New Roman"/>
                <w:sz w:val="24"/>
                <w:szCs w:val="24"/>
                <w:lang w:val="lv-LV"/>
              </w:rPr>
              <w:t>vedība ir saskaņā ar sabiedrībā</w:t>
            </w:r>
            <w:r w:rsidRPr="00CF1F66">
              <w:rPr>
                <w:rFonts w:ascii="Times New Roman" w:hAnsi="Times New Roman"/>
                <w:sz w:val="24"/>
                <w:szCs w:val="24"/>
                <w:lang w:val="lv-LV"/>
              </w:rPr>
              <w:t xml:space="preserve"> pieņemtajiem uzvedības modeļiem un tiesību normām.</w:t>
            </w:r>
          </w:p>
          <w:p w:rsidR="00351D74" w:rsidRPr="00CF1F66" w:rsidRDefault="004B5BBD" w:rsidP="00351D74">
            <w:pPr>
              <w:jc w:val="both"/>
              <w:rPr>
                <w:rFonts w:ascii="Times New Roman" w:hAnsi="Times New Roman"/>
                <w:b/>
                <w:sz w:val="24"/>
                <w:szCs w:val="24"/>
                <w:lang w:val="lv-LV"/>
              </w:rPr>
            </w:pPr>
            <w:r w:rsidRPr="00CF1F66">
              <w:rPr>
                <w:rFonts w:ascii="Times New Roman" w:hAnsi="Times New Roman"/>
                <w:b/>
                <w:sz w:val="24"/>
                <w:szCs w:val="24"/>
                <w:lang w:val="lv-LV"/>
              </w:rPr>
              <w:t>L</w:t>
            </w:r>
            <w:r w:rsidR="00351D74" w:rsidRPr="00CF1F66">
              <w:rPr>
                <w:rFonts w:ascii="Times New Roman" w:hAnsi="Times New Roman"/>
                <w:b/>
                <w:sz w:val="24"/>
                <w:szCs w:val="24"/>
                <w:lang w:val="lv-LV"/>
              </w:rPr>
              <w:t>īdzgaitnieka piesaistīšana</w:t>
            </w:r>
            <w:r w:rsidRPr="00CF1F66">
              <w:rPr>
                <w:rFonts w:ascii="Times New Roman" w:hAnsi="Times New Roman"/>
                <w:b/>
                <w:sz w:val="24"/>
                <w:szCs w:val="24"/>
                <w:lang w:val="lv-LV"/>
              </w:rPr>
              <w:t>:</w:t>
            </w:r>
          </w:p>
          <w:p w:rsidR="00351D74" w:rsidRPr="00CF1F66" w:rsidRDefault="00351D74" w:rsidP="00351D74">
            <w:pPr>
              <w:jc w:val="both"/>
              <w:rPr>
                <w:rFonts w:ascii="Times New Roman" w:hAnsi="Times New Roman"/>
                <w:sz w:val="24"/>
                <w:szCs w:val="24"/>
                <w:lang w:val="lv-LV"/>
              </w:rPr>
            </w:pPr>
            <w:r w:rsidRPr="00CF1F66">
              <w:rPr>
                <w:rFonts w:ascii="Times New Roman" w:hAnsi="Times New Roman"/>
                <w:sz w:val="24"/>
                <w:szCs w:val="24"/>
                <w:lang w:val="lv-LV"/>
              </w:rPr>
              <w:t>Ar līdzgaitnieka piesaistīšanu saprotama kāda bērnam pazīstama cilvēka aktīvāka iesaistīšanās bērna dzīvē – tāda, kurš vēlas bēr</w:t>
            </w:r>
            <w:r w:rsidR="00644FB2" w:rsidRPr="00CF1F66">
              <w:rPr>
                <w:rFonts w:ascii="Times New Roman" w:hAnsi="Times New Roman"/>
                <w:sz w:val="24"/>
                <w:szCs w:val="24"/>
                <w:lang w:val="lv-LV"/>
              </w:rPr>
              <w:t>nam rādīt labu piemēru un kopā ar bērnu un tā ģimeni</w:t>
            </w:r>
            <w:r w:rsidRPr="00CF1F66">
              <w:rPr>
                <w:rFonts w:ascii="Times New Roman" w:hAnsi="Times New Roman"/>
                <w:sz w:val="24"/>
                <w:szCs w:val="24"/>
                <w:lang w:val="lv-LV"/>
              </w:rPr>
              <w:t xml:space="preserve"> pavadīt brīvo laiku, piemēram, apmeklējot pasākumus, spēlējot galda spēles, palīdzot sagatavot mājas darbus skolai vai, iesaistoties jebkādās citās aktivitātēs, kas vērstas uz citu bērnam nozīmēto prevencijas pasākumu īstenošanu. Līdzgaitnieks ar savu pozitīvo piemēru bērnam parāda, ka laiku var pavadīt lietderīgi. Bērnam tiek iemācīts plānot savu laiku un sakārtot savas prioritātes, nošķirot svarīgāko no nesvarīgā, plānojot savu dienas vai nedēļas nodarbību secību. Līdzgaitnieka piesaistīšana novērš risku, ka bērna emocionālo vajadzību pēc uzmanības un atbalsta apmierināšanai netiek veltīts pienācīgs laiks.</w:t>
            </w:r>
          </w:p>
          <w:p w:rsidR="009D4D3C" w:rsidRPr="00CF1F66" w:rsidRDefault="009D4D3C" w:rsidP="009D4D3C">
            <w:pPr>
              <w:ind w:left="80" w:firstLine="426"/>
              <w:jc w:val="both"/>
              <w:rPr>
                <w:rFonts w:ascii="Times New Roman" w:hAnsi="Times New Roman"/>
                <w:sz w:val="24"/>
                <w:szCs w:val="24"/>
                <w:lang w:val="lv-LV"/>
              </w:rPr>
            </w:pPr>
            <w:r w:rsidRPr="00CF1F66">
              <w:rPr>
                <w:rFonts w:ascii="Times New Roman" w:hAnsi="Times New Roman"/>
                <w:sz w:val="24"/>
                <w:szCs w:val="24"/>
                <w:lang w:val="lv-LV"/>
              </w:rPr>
              <w:t>Terciārās prevencijas pasākumi tiek piemēroti bērniem, kas jau iepriekš bijuši sodīti, izcietuši kriminālsodu, prevencijas līdzekļu izpildes laikā izdarījuši jaunus lik</w:t>
            </w:r>
            <w:r w:rsidR="004D50C0" w:rsidRPr="00CF1F66">
              <w:rPr>
                <w:rFonts w:ascii="Times New Roman" w:hAnsi="Times New Roman"/>
                <w:sz w:val="24"/>
                <w:szCs w:val="24"/>
                <w:lang w:val="lv-LV"/>
              </w:rPr>
              <w:t xml:space="preserve">umpārkāpumus, vai arī ir </w:t>
            </w:r>
            <w:r w:rsidRPr="00CF1F66">
              <w:rPr>
                <w:rFonts w:ascii="Times New Roman" w:hAnsi="Times New Roman"/>
                <w:sz w:val="24"/>
                <w:szCs w:val="24"/>
                <w:lang w:val="lv-LV"/>
              </w:rPr>
              <w:t>cietuši no vardarbības vai pamesti bez aprūpes.  Terciārās prevencijas pasāk</w:t>
            </w:r>
            <w:r w:rsidR="004D50C0" w:rsidRPr="00CF1F66">
              <w:rPr>
                <w:rFonts w:ascii="Times New Roman" w:hAnsi="Times New Roman"/>
                <w:sz w:val="24"/>
                <w:szCs w:val="24"/>
                <w:lang w:val="lv-LV"/>
              </w:rPr>
              <w:t>umu plānā iekļauj nepieciešamos</w:t>
            </w:r>
            <w:r w:rsidRPr="00CF1F66">
              <w:rPr>
                <w:rFonts w:ascii="Times New Roman" w:hAnsi="Times New Roman"/>
                <w:sz w:val="24"/>
                <w:szCs w:val="24"/>
                <w:lang w:val="lv-LV"/>
              </w:rPr>
              <w:t xml:space="preserve"> primārās un sekundārās prevencijas</w:t>
            </w:r>
            <w:r w:rsidR="004D50C0" w:rsidRPr="00CF1F66">
              <w:rPr>
                <w:rFonts w:ascii="Times New Roman" w:hAnsi="Times New Roman"/>
                <w:sz w:val="24"/>
                <w:szCs w:val="24"/>
                <w:lang w:val="lv-LV"/>
              </w:rPr>
              <w:t xml:space="preserve"> pasākumus</w:t>
            </w:r>
            <w:r w:rsidRPr="00CF1F66">
              <w:rPr>
                <w:rFonts w:ascii="Times New Roman" w:hAnsi="Times New Roman"/>
                <w:sz w:val="24"/>
                <w:szCs w:val="24"/>
                <w:lang w:val="lv-LV"/>
              </w:rPr>
              <w:t>. Terciārās prevencijas ietvaros notiks darbs arī ar vardarbībā cietušajiem bērniem, pielietojot metodes, kas vērstas uz bērna ilgtermiņa aprūpi (piemēram, sociālā rehabilitācija un reintegrācija), mēģinot novērst vai mazināt traumu un notikušās vardarbības atstātās sekas.</w:t>
            </w:r>
          </w:p>
          <w:p w:rsidR="009D4D3C" w:rsidRPr="00CF1F66" w:rsidRDefault="009D4D3C" w:rsidP="009D4D3C">
            <w:pPr>
              <w:ind w:left="80" w:firstLine="426"/>
              <w:jc w:val="both"/>
              <w:rPr>
                <w:rFonts w:ascii="Times New Roman" w:hAnsi="Times New Roman"/>
                <w:sz w:val="24"/>
                <w:szCs w:val="24"/>
                <w:lang w:val="lv-LV"/>
              </w:rPr>
            </w:pPr>
            <w:r w:rsidRPr="00CF1F66">
              <w:rPr>
                <w:rFonts w:ascii="Times New Roman" w:hAnsi="Times New Roman"/>
                <w:sz w:val="24"/>
                <w:szCs w:val="24"/>
                <w:lang w:val="lv-LV"/>
              </w:rPr>
              <w:t xml:space="preserve">Papildus likumā nosauktajiem prevencijas līdzekļiem, katrai pašvaldībai jāattīsta papildus resursi, ko var </w:t>
            </w:r>
            <w:r w:rsidRPr="00CF1F66">
              <w:rPr>
                <w:rFonts w:ascii="Times New Roman" w:hAnsi="Times New Roman"/>
                <w:sz w:val="24"/>
                <w:szCs w:val="24"/>
                <w:lang w:val="lv-LV"/>
              </w:rPr>
              <w:lastRenderedPageBreak/>
              <w:t>izmantot bērnu anti</w:t>
            </w:r>
            <w:r w:rsidR="004D50C0" w:rsidRPr="00CF1F66">
              <w:rPr>
                <w:rFonts w:ascii="Times New Roman" w:hAnsi="Times New Roman"/>
                <w:sz w:val="24"/>
                <w:szCs w:val="24"/>
                <w:lang w:val="lv-LV"/>
              </w:rPr>
              <w:t xml:space="preserve">sociālas uzvedības prevencijai </w:t>
            </w:r>
            <w:r w:rsidRPr="00CF1F66">
              <w:rPr>
                <w:rFonts w:ascii="Times New Roman" w:hAnsi="Times New Roman"/>
                <w:sz w:val="24"/>
                <w:szCs w:val="24"/>
                <w:lang w:val="lv-LV"/>
              </w:rPr>
              <w:t>un pašvaldība tos var iekļaut prevencijas plānos. Virknei pašvaldību jau šobrīd ir attīstīti sociālās reintegrācijas un sociālas rehabilitācijas pakalpojumi, ko piedāvāt bērniem.</w:t>
            </w:r>
          </w:p>
          <w:p w:rsidR="0065517A" w:rsidRPr="009D4D3C" w:rsidRDefault="004D50C0" w:rsidP="009D4D3C">
            <w:pPr>
              <w:ind w:left="80" w:firstLine="426"/>
              <w:jc w:val="both"/>
              <w:rPr>
                <w:rFonts w:ascii="Times New Roman" w:hAnsi="Times New Roman"/>
                <w:sz w:val="24"/>
                <w:szCs w:val="24"/>
                <w:lang w:val="lv-LV"/>
              </w:rPr>
            </w:pPr>
            <w:r w:rsidRPr="00CF1F66">
              <w:rPr>
                <w:rFonts w:ascii="Times New Roman" w:hAnsi="Times New Roman"/>
                <w:sz w:val="24"/>
                <w:szCs w:val="24"/>
                <w:lang w:val="lv-LV"/>
              </w:rPr>
              <w:t>Ja tas ir</w:t>
            </w:r>
            <w:r w:rsidR="0065517A" w:rsidRPr="00CF1F66">
              <w:rPr>
                <w:rFonts w:ascii="Times New Roman" w:hAnsi="Times New Roman"/>
                <w:sz w:val="24"/>
                <w:szCs w:val="24"/>
                <w:lang w:val="lv-LV"/>
              </w:rPr>
              <w:t xml:space="preserve"> nepieciešams, b</w:t>
            </w:r>
            <w:r w:rsidR="0065517A">
              <w:rPr>
                <w:rFonts w:ascii="Times New Roman" w:hAnsi="Times New Roman"/>
                <w:sz w:val="24"/>
                <w:szCs w:val="24"/>
                <w:lang w:val="lv-LV"/>
              </w:rPr>
              <w:t>ērnam ar sekundārās prevencijas vajadzībām prevencijas pasākumu plānā var iekļaut arī atsevišķus primārās prevencijas pasākumus. Tomēr šādās situācijā ir jāraug</w:t>
            </w:r>
            <w:r w:rsidR="008A23D6">
              <w:rPr>
                <w:rFonts w:ascii="Times New Roman" w:hAnsi="Times New Roman"/>
                <w:sz w:val="24"/>
                <w:szCs w:val="24"/>
                <w:lang w:val="lv-LV"/>
              </w:rPr>
              <w:t>ās, lai sekundārās prevencijas pasākumu vietā netiktu noteikti primārās prevencijas pasākumi, proti, uzsvaram ir jābūt uz sekundārās prevencijas pasākumiem</w:t>
            </w:r>
            <w:r>
              <w:rPr>
                <w:rFonts w:ascii="Times New Roman" w:hAnsi="Times New Roman"/>
                <w:sz w:val="24"/>
                <w:szCs w:val="24"/>
                <w:lang w:val="lv-LV"/>
              </w:rPr>
              <w:t>,</w:t>
            </w:r>
            <w:r w:rsidR="008A23D6">
              <w:rPr>
                <w:rFonts w:ascii="Times New Roman" w:hAnsi="Times New Roman"/>
                <w:sz w:val="24"/>
                <w:szCs w:val="24"/>
                <w:lang w:val="lv-LV"/>
              </w:rPr>
              <w:t xml:space="preserve"> un primārās prevencijas pasākumi var tikt</w:t>
            </w:r>
            <w:r>
              <w:rPr>
                <w:rFonts w:ascii="Times New Roman" w:hAnsi="Times New Roman"/>
                <w:sz w:val="24"/>
                <w:szCs w:val="24"/>
                <w:lang w:val="lv-LV"/>
              </w:rPr>
              <w:t xml:space="preserve"> noteikti vienīgi kā papildinoši</w:t>
            </w:r>
            <w:r w:rsidR="008A23D6">
              <w:rPr>
                <w:rFonts w:ascii="Times New Roman" w:hAnsi="Times New Roman"/>
                <w:sz w:val="24"/>
                <w:szCs w:val="24"/>
                <w:lang w:val="lv-LV"/>
              </w:rPr>
              <w:t xml:space="preserve"> pasākumi. Un otrādi – ja bērnam nepieciešama primārā prevenijca, var tikt noteikts arī kāds sekundārās prevencijas pasākums kāda īpaša riska mazināšanai, bet uzsvaram šajā gadījumā jābūt uz prim</w:t>
            </w:r>
            <w:r w:rsidR="00FB7C58">
              <w:rPr>
                <w:rFonts w:ascii="Times New Roman" w:hAnsi="Times New Roman"/>
                <w:sz w:val="24"/>
                <w:szCs w:val="24"/>
                <w:lang w:val="lv-LV"/>
              </w:rPr>
              <w:t>āro prevenciju.</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Ņemot vērā vecāku milzīgo lomu atbilstošas vides nodrošināšanai, lai bērna uzvedība varētu mainīties, likumprojektā par</w:t>
            </w:r>
            <w:r w:rsidR="007F60EC">
              <w:rPr>
                <w:rFonts w:ascii="Times New Roman" w:hAnsi="Times New Roman"/>
                <w:sz w:val="24"/>
                <w:szCs w:val="24"/>
                <w:lang w:val="lv-LV"/>
              </w:rPr>
              <w:t>edzēta iespēja (</w:t>
            </w:r>
            <w:r w:rsidR="007F60EC" w:rsidRPr="007F60EC">
              <w:rPr>
                <w:rFonts w:ascii="Times New Roman" w:hAnsi="Times New Roman"/>
                <w:color w:val="FF0000"/>
                <w:sz w:val="24"/>
                <w:szCs w:val="24"/>
                <w:lang w:val="lv-LV"/>
              </w:rPr>
              <w:t>likumprojekta 20.panta septītā</w:t>
            </w:r>
            <w:r w:rsidRPr="007F60EC">
              <w:rPr>
                <w:rFonts w:ascii="Times New Roman" w:hAnsi="Times New Roman"/>
                <w:color w:val="FF0000"/>
                <w:sz w:val="24"/>
                <w:szCs w:val="24"/>
                <w:lang w:val="lv-LV"/>
              </w:rPr>
              <w:t xml:space="preserve"> </w:t>
            </w:r>
            <w:r w:rsidRPr="009D4D3C">
              <w:rPr>
                <w:rFonts w:ascii="Times New Roman" w:hAnsi="Times New Roman"/>
                <w:sz w:val="24"/>
                <w:szCs w:val="24"/>
                <w:lang w:val="lv-LV"/>
              </w:rPr>
              <w:t>daļa) piemērot dažādus prevencijas pasākumus arī bērna likumiskajiem pārstāvjiem (speciālista konsultācija, sociālo prasmju attīstīšana, līdzgaitnieka piesaistīšana) tajos gadījumos, kad konstatējams, ka bērna uzvedībā nebūs sagaidāmas pozitīvas pārmaiņas, ja arī bērna likumisko pārstāvju dzīvesveids un apkārtējās pasaules uztvere nemainīsies. Šobrīd likumprojektā iekļauti tikai daži preventīvie līdzekļi, kas paredzēti vecākiem, tom</w:t>
            </w:r>
            <w:r w:rsidR="004D50C0">
              <w:rPr>
                <w:rFonts w:ascii="Times New Roman" w:hAnsi="Times New Roman"/>
                <w:sz w:val="24"/>
                <w:szCs w:val="24"/>
                <w:lang w:val="lv-LV"/>
              </w:rPr>
              <w:t>ēr ar laiku, kad valsts attīstīs papildu</w:t>
            </w:r>
            <w:r w:rsidRPr="009D4D3C">
              <w:rPr>
                <w:rFonts w:ascii="Times New Roman" w:hAnsi="Times New Roman"/>
                <w:sz w:val="24"/>
                <w:szCs w:val="24"/>
                <w:lang w:val="lv-LV"/>
              </w:rPr>
              <w:t xml:space="preserve"> pakalpojumus vecāku prasmju izveidošanai, attīstīšanai un nostiprināšanai, šis preventīvo līdzekļu klāsts varētu tikt papildināts. </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Dažkārt var rasties situācijas, ka prevencijas</w:t>
            </w:r>
            <w:r w:rsidR="004D50C0">
              <w:rPr>
                <w:rFonts w:ascii="Times New Roman" w:hAnsi="Times New Roman"/>
                <w:sz w:val="24"/>
                <w:szCs w:val="24"/>
                <w:lang w:val="lv-LV"/>
              </w:rPr>
              <w:t xml:space="preserve"> pasākumu nevar u</w:t>
            </w:r>
            <w:r w:rsidRPr="009D4D3C">
              <w:rPr>
                <w:rFonts w:ascii="Times New Roman" w:hAnsi="Times New Roman"/>
                <w:sz w:val="24"/>
                <w:szCs w:val="24"/>
                <w:lang w:val="lv-LV"/>
              </w:rPr>
              <w:t>zsākt pildīt vai nevar izpildīt pienācīgā kārtā, kamēr kāda valsts vai pašvaldību iestāde nav veikusi kādu savā kompetencē ietilpstošu darbību. Piemēram, varētu rasties situācija, ka bērna</w:t>
            </w:r>
            <w:r w:rsidR="004D50C0">
              <w:rPr>
                <w:rFonts w:ascii="Times New Roman" w:hAnsi="Times New Roman"/>
                <w:sz w:val="24"/>
                <w:szCs w:val="24"/>
                <w:lang w:val="lv-LV"/>
              </w:rPr>
              <w:t>m ir nepieciešams vienas pašvald</w:t>
            </w:r>
            <w:r w:rsidRPr="009D4D3C">
              <w:rPr>
                <w:rFonts w:ascii="Times New Roman" w:hAnsi="Times New Roman"/>
                <w:sz w:val="24"/>
                <w:szCs w:val="24"/>
                <w:lang w:val="lv-LV"/>
              </w:rPr>
              <w:t>ības ietvaros vai citā</w:t>
            </w:r>
            <w:r w:rsidR="004D50C0">
              <w:rPr>
                <w:rFonts w:ascii="Times New Roman" w:hAnsi="Times New Roman"/>
                <w:sz w:val="24"/>
                <w:szCs w:val="24"/>
                <w:lang w:val="lv-LV"/>
              </w:rPr>
              <w:t xml:space="preserve"> pašvaldībā nomainīt skolu. To </w:t>
            </w:r>
            <w:r w:rsidRPr="009D4D3C">
              <w:rPr>
                <w:rFonts w:ascii="Times New Roman" w:hAnsi="Times New Roman"/>
                <w:sz w:val="24"/>
                <w:szCs w:val="24"/>
                <w:lang w:val="lv-LV"/>
              </w:rPr>
              <w:t>no praktiskā viedokļa daudz vienkāršāk izdarīt, ja skolām ir pienākums sadarboties ar vecāku</w:t>
            </w:r>
            <w:r w:rsidR="004D50C0">
              <w:rPr>
                <w:rFonts w:ascii="Times New Roman" w:hAnsi="Times New Roman"/>
                <w:sz w:val="24"/>
                <w:szCs w:val="24"/>
                <w:lang w:val="lv-LV"/>
              </w:rPr>
              <w:t xml:space="preserve"> un bērnu šajā jautājumā. Tādēļ</w:t>
            </w:r>
            <w:r w:rsidRPr="009D4D3C">
              <w:rPr>
                <w:rFonts w:ascii="Times New Roman" w:hAnsi="Times New Roman"/>
                <w:sz w:val="24"/>
                <w:szCs w:val="24"/>
                <w:lang w:val="lv-LV"/>
              </w:rPr>
              <w:t xml:space="preserve"> prevencijas pasākuma plānā var iekļaut konkrētus uzdevumus, kurus veic prevencijas lietā iesaistītās institūcijas, pieaicinātie eksperti vai bērna uzticības persona. Šie uzdevumi tiek veikti, lai palīdzētu sekmīgāk īstenot prevencijas pasākumus un tie ir prevencijas pasākumu plāna atbalsta pasākumi. </w:t>
            </w:r>
          </w:p>
          <w:p w:rsidR="009D4D3C" w:rsidRPr="009D4D3C" w:rsidRDefault="009D4D3C" w:rsidP="009D4D3C">
            <w:pPr>
              <w:ind w:left="80" w:firstLine="426"/>
              <w:jc w:val="both"/>
              <w:rPr>
                <w:rFonts w:ascii="Times New Roman" w:hAnsi="Times New Roman"/>
                <w:sz w:val="24"/>
                <w:szCs w:val="24"/>
                <w:lang w:val="lv-LV"/>
              </w:rPr>
            </w:pPr>
          </w:p>
          <w:p w:rsidR="009D4D3C" w:rsidRPr="009D4D3C" w:rsidRDefault="009D4D3C" w:rsidP="009D4D3C">
            <w:pPr>
              <w:ind w:left="80"/>
              <w:jc w:val="both"/>
              <w:rPr>
                <w:rFonts w:ascii="Times New Roman" w:hAnsi="Times New Roman"/>
                <w:sz w:val="24"/>
                <w:szCs w:val="24"/>
                <w:lang w:val="lv-LV"/>
              </w:rPr>
            </w:pPr>
          </w:p>
          <w:p w:rsidR="00EC762D" w:rsidRPr="009D4D3C" w:rsidRDefault="00EC762D" w:rsidP="00EC762D">
            <w:pPr>
              <w:ind w:left="80" w:firstLine="426"/>
              <w:jc w:val="both"/>
              <w:rPr>
                <w:rFonts w:ascii="Times New Roman" w:hAnsi="Times New Roman"/>
                <w:i/>
                <w:sz w:val="24"/>
                <w:szCs w:val="24"/>
                <w:lang w:val="lv-LV"/>
              </w:rPr>
            </w:pPr>
            <w:r w:rsidRPr="009D4D3C">
              <w:rPr>
                <w:rFonts w:ascii="Times New Roman" w:hAnsi="Times New Roman"/>
                <w:i/>
                <w:sz w:val="24"/>
                <w:szCs w:val="24"/>
                <w:lang w:val="lv-LV"/>
              </w:rPr>
              <w:t>Pevencijas pasākumu finansēšana</w:t>
            </w:r>
          </w:p>
          <w:p w:rsidR="00EC762D" w:rsidRPr="009D4D3C" w:rsidRDefault="00EC762D" w:rsidP="00EC762D">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Prevencijas pasākumu finansēšana paredzēta no dažādiem finanšu avotiem gan valsts un pašvaldību budžetiem, gan privāto personu finansējuma. </w:t>
            </w:r>
          </w:p>
          <w:p w:rsidR="00EC762D" w:rsidRPr="009D4D3C" w:rsidRDefault="00EC762D" w:rsidP="00EC762D">
            <w:pPr>
              <w:ind w:left="80" w:firstLine="426"/>
              <w:jc w:val="both"/>
              <w:rPr>
                <w:rFonts w:ascii="Times New Roman" w:hAnsi="Times New Roman"/>
                <w:sz w:val="24"/>
                <w:szCs w:val="24"/>
                <w:lang w:val="lv-LV"/>
              </w:rPr>
            </w:pPr>
            <w:r w:rsidRPr="009D4D3C">
              <w:rPr>
                <w:rFonts w:ascii="Times New Roman" w:hAnsi="Times New Roman"/>
                <w:sz w:val="24"/>
                <w:szCs w:val="24"/>
                <w:lang w:val="lv-LV"/>
              </w:rPr>
              <w:t>Primārās prevencijas ietvaros īstenojamie pasākumi tiek finansēti no pašvaldības budžeta. Pašvaldības jau tagad, īstenojot savas funkcijas, nodrošina saviem iedzīvotājiem gan interešu izglītības pasākum</w:t>
            </w:r>
            <w:r w:rsidR="00175047">
              <w:rPr>
                <w:rFonts w:ascii="Times New Roman" w:hAnsi="Times New Roman"/>
                <w:sz w:val="24"/>
                <w:szCs w:val="24"/>
                <w:lang w:val="lv-LV"/>
              </w:rPr>
              <w:t>u pieejamību, gan dienas</w:t>
            </w:r>
            <w:r w:rsidRPr="009D4D3C">
              <w:rPr>
                <w:rFonts w:ascii="Times New Roman" w:hAnsi="Times New Roman"/>
                <w:sz w:val="24"/>
                <w:szCs w:val="24"/>
                <w:lang w:val="lv-LV"/>
              </w:rPr>
              <w:t xml:space="preserve"> centru darbību, gan organizē dažādus pasākumus ģimenēm. Likumprojekta izstrādes gaitā lielākā daļa pašvaldību sniedza Tieslietu ministrijai pārskatu par brīvā laika un interšu izglītības aktivitātēm, ko pašvaldības </w:t>
            </w:r>
            <w:r w:rsidRPr="009D4D3C">
              <w:rPr>
                <w:rFonts w:ascii="Times New Roman" w:hAnsi="Times New Roman"/>
                <w:sz w:val="24"/>
                <w:szCs w:val="24"/>
                <w:lang w:val="lv-LV"/>
              </w:rPr>
              <w:lastRenderedPageBreak/>
              <w:t xml:space="preserve">saviem iedzīvotājiem nodrošina bez maksas. Ja prevencijas pasākumu plānā bērnam ir noteiktas kādas brīvā laika pavadīšanas aktivitātes, ko pašvaldība nefinansē visiem tās iedzīvotājiem (piemēram, teātra, kino apmeklējums), tad šo pasākumu finansēšana ir jānodrošina vecākiem. Tāpat vecāki finansē prevencijas pasākumus, kas paredz novērst bērna nodarītā kaitējuma sekas, jo šāds pienākums gulstas uz vecākiem saskaņā ar Civillikuma noteikumiem par deliktu. Šādu zaudējumu atlīdzināšanai no valsts vai pašvaldību budžeta nav nekāda juridiska pamata, izņemot gadījumus, kad bērns atrodas ārpusģimenes aprūpē. </w:t>
            </w:r>
          </w:p>
          <w:p w:rsidR="00EC762D" w:rsidRPr="009D4D3C" w:rsidRDefault="00EC762D" w:rsidP="00EC762D">
            <w:pPr>
              <w:ind w:left="80" w:firstLine="426"/>
              <w:jc w:val="both"/>
              <w:rPr>
                <w:rFonts w:ascii="Times New Roman" w:hAnsi="Times New Roman"/>
                <w:sz w:val="24"/>
                <w:szCs w:val="24"/>
                <w:lang w:val="lv-LV"/>
              </w:rPr>
            </w:pPr>
            <w:r w:rsidRPr="009D4D3C">
              <w:rPr>
                <w:rFonts w:ascii="Times New Roman" w:hAnsi="Times New Roman"/>
                <w:sz w:val="24"/>
                <w:szCs w:val="24"/>
                <w:lang w:val="lv-LV"/>
              </w:rPr>
              <w:t>Sekundārās un terciārās prevencijas ietvaros īstenojamie pasākumi ir finansējami no valsts budžeta. Ir jānodrošina, ka bērni, kuri izdarījuši likumpārkāpumus vai kuru uzvedībā ir konstatēti augsti riski, saņem sev atbilstošus pasākumus neatkarīgi no tā, kurā Latvijas vietā tie dzīvo un kādus pakalpojumu tiem var piedāvāt bērna dzīvesvietas pašvaldība. Tāpat no valsts budžeta līdzekļiem ir finansējama sociālā rehabilitācija vardarbībā cietušajiem bērniem, kā arī prevencijas pasākumi, kas jāpiemēro bērna likumiskajiem pārstāvjiem.</w:t>
            </w:r>
          </w:p>
          <w:p w:rsidR="00EC762D" w:rsidRDefault="00EC762D" w:rsidP="00EC762D">
            <w:pPr>
              <w:ind w:left="80" w:firstLine="426"/>
              <w:jc w:val="both"/>
              <w:rPr>
                <w:rFonts w:ascii="Times New Roman" w:hAnsi="Times New Roman"/>
                <w:sz w:val="24"/>
                <w:szCs w:val="24"/>
                <w:lang w:val="lv-LV"/>
              </w:rPr>
            </w:pPr>
            <w:r w:rsidRPr="009D4D3C">
              <w:rPr>
                <w:rFonts w:ascii="Times New Roman" w:hAnsi="Times New Roman"/>
                <w:sz w:val="24"/>
                <w:szCs w:val="24"/>
                <w:lang w:val="lv-LV"/>
              </w:rPr>
              <w:t>Bērna likumiskie pārstāvji finansē tos prevencijas pasākumus, kas nav ietverti likumprojektā, bet par kuru īstenošanas nepieciešamību un iekļaušanu prevencijas pasākumu plānā bērna likumiskie pārstāvji var vienoties ar sadarbības grupu. Ja pašvaldība bērnu antisociālas</w:t>
            </w:r>
            <w:r w:rsidR="004D50C0">
              <w:rPr>
                <w:rFonts w:ascii="Times New Roman" w:hAnsi="Times New Roman"/>
                <w:sz w:val="24"/>
                <w:szCs w:val="24"/>
                <w:lang w:val="lv-LV"/>
              </w:rPr>
              <w:t xml:space="preserve"> uzvedības novēršanas sistēmā ir</w:t>
            </w:r>
            <w:r w:rsidRPr="009D4D3C">
              <w:rPr>
                <w:rFonts w:ascii="Times New Roman" w:hAnsi="Times New Roman"/>
                <w:sz w:val="24"/>
                <w:szCs w:val="24"/>
                <w:lang w:val="lv-LV"/>
              </w:rPr>
              <w:t xml:space="preserve"> iesaistījusi privātpersonas, likumprojekts pieļauj iespēju, ka arī privātpersonas sedz izdevumus par prevencijas pasākumu aktivitātēm, ko šis privātpersonas bērniem piedāvā. </w:t>
            </w:r>
          </w:p>
          <w:p w:rsidR="00EC762D" w:rsidRPr="009D4D3C" w:rsidRDefault="00EC762D" w:rsidP="00EC762D">
            <w:pPr>
              <w:ind w:left="80" w:firstLine="426"/>
              <w:jc w:val="both"/>
              <w:rPr>
                <w:rFonts w:ascii="Times New Roman" w:hAnsi="Times New Roman"/>
                <w:sz w:val="24"/>
                <w:szCs w:val="24"/>
                <w:lang w:val="lv-LV"/>
              </w:rPr>
            </w:pPr>
          </w:p>
          <w:p w:rsidR="009D4D3C" w:rsidRPr="009D4D3C" w:rsidRDefault="00A25578" w:rsidP="009D4D3C">
            <w:pPr>
              <w:jc w:val="both"/>
              <w:rPr>
                <w:rFonts w:ascii="Times New Roman" w:hAnsi="Times New Roman"/>
                <w:i/>
                <w:sz w:val="24"/>
                <w:szCs w:val="24"/>
                <w:lang w:val="lv-LV"/>
              </w:rPr>
            </w:pPr>
            <w:r>
              <w:rPr>
                <w:rFonts w:ascii="Times New Roman" w:hAnsi="Times New Roman"/>
                <w:i/>
                <w:sz w:val="24"/>
                <w:szCs w:val="24"/>
                <w:lang w:val="lv-LV"/>
              </w:rPr>
              <w:t>Riska un ai</w:t>
            </w:r>
            <w:r w:rsidR="009D4D3C" w:rsidRPr="009D4D3C">
              <w:rPr>
                <w:rFonts w:ascii="Times New Roman" w:hAnsi="Times New Roman"/>
                <w:i/>
                <w:sz w:val="24"/>
                <w:szCs w:val="24"/>
                <w:lang w:val="lv-LV"/>
              </w:rPr>
              <w:t>zs</w:t>
            </w:r>
            <w:r w:rsidR="00163C4F">
              <w:rPr>
                <w:rFonts w:ascii="Times New Roman" w:hAnsi="Times New Roman"/>
                <w:i/>
                <w:sz w:val="24"/>
                <w:szCs w:val="24"/>
                <w:lang w:val="lv-LV"/>
              </w:rPr>
              <w:t>ardzības faktoru iz</w:t>
            </w:r>
            <w:r w:rsidR="009D4D3C" w:rsidRPr="009D4D3C">
              <w:rPr>
                <w:rFonts w:ascii="Times New Roman" w:hAnsi="Times New Roman"/>
                <w:i/>
                <w:sz w:val="24"/>
                <w:szCs w:val="24"/>
                <w:lang w:val="lv-LV"/>
              </w:rPr>
              <w:t>vērtējums</w:t>
            </w:r>
          </w:p>
          <w:p w:rsidR="009D4D3C" w:rsidRPr="00163C4F" w:rsidRDefault="009D4D3C" w:rsidP="009D4D3C">
            <w:pPr>
              <w:jc w:val="both"/>
              <w:rPr>
                <w:rFonts w:ascii="Times New Roman" w:hAnsi="Times New Roman"/>
                <w:strike/>
                <w:sz w:val="24"/>
                <w:szCs w:val="24"/>
                <w:lang w:val="lv-LV"/>
              </w:rPr>
            </w:pPr>
            <w:r w:rsidRPr="009D4D3C">
              <w:rPr>
                <w:rFonts w:ascii="Times New Roman" w:hAnsi="Times New Roman"/>
                <w:sz w:val="24"/>
                <w:szCs w:val="24"/>
                <w:lang w:val="lv-LV"/>
              </w:rPr>
              <w:t xml:space="preserve">Likumprojekts paredz, ka pamats prevencijas līdzekļu noteikšanai konkrētam bērnam ir </w:t>
            </w:r>
            <w:r w:rsidR="006340F8">
              <w:rPr>
                <w:rFonts w:ascii="Times New Roman" w:hAnsi="Times New Roman"/>
                <w:sz w:val="24"/>
                <w:szCs w:val="24"/>
                <w:lang w:val="lv-LV"/>
              </w:rPr>
              <w:t>riska un aizsardzības faktoru iz</w:t>
            </w:r>
            <w:r w:rsidRPr="009D4D3C">
              <w:rPr>
                <w:rFonts w:ascii="Times New Roman" w:hAnsi="Times New Roman"/>
                <w:sz w:val="24"/>
                <w:szCs w:val="24"/>
                <w:lang w:val="lv-LV"/>
              </w:rPr>
              <w:t xml:space="preserve">vērtējums. Riska un aizsardzības faktoru izvērtējuma mērķis ir konstatēt bērna problēmas, kuras jāņem vērā, izvēloties prevencijas līdzekļus. </w:t>
            </w:r>
            <w:r w:rsidR="00163C4F" w:rsidRPr="00CF1F66">
              <w:rPr>
                <w:rFonts w:ascii="Times New Roman" w:hAnsi="Times New Roman"/>
                <w:sz w:val="24"/>
                <w:szCs w:val="24"/>
                <w:lang w:val="lv-LV"/>
              </w:rPr>
              <w:t>Riska un aizsardzības faktoru izvērtējumu neveiks sociālais darbinieks, bet gan bērna antisociālās uzvedības izvērtējuma eksperts</w:t>
            </w:r>
            <w:r w:rsidR="00163C4F">
              <w:rPr>
                <w:rFonts w:ascii="Times New Roman" w:hAnsi="Times New Roman"/>
                <w:color w:val="FF0000"/>
                <w:sz w:val="24"/>
                <w:szCs w:val="24"/>
                <w:lang w:val="lv-LV"/>
              </w:rPr>
              <w:t xml:space="preserve">. </w:t>
            </w:r>
            <w:r w:rsidRPr="009D4D3C">
              <w:rPr>
                <w:rFonts w:ascii="Times New Roman" w:hAnsi="Times New Roman"/>
                <w:sz w:val="24"/>
                <w:szCs w:val="24"/>
                <w:lang w:val="lv-LV"/>
              </w:rPr>
              <w:t xml:space="preserve">Metode riska un aizsardzības faktoru izvērtējumam tieši bērnu antisociālas uzvedības cēloņu novērtēšanai ir izstrādāta Latvijā Valsts bērnu tiesību aizsardzības inspekcijas ESF līdzfinansētā projekta 9.2.1.3/16/I/001 “Atbalsta sistēmas pilnveide bērniem ar saskarsmes grūtībām, uzvedības traucējumiem un vardarbību ģimenē” ietvaros.Metode pēc kādas jāveic šis </w:t>
            </w:r>
            <w:r w:rsidR="006340F8">
              <w:rPr>
                <w:rFonts w:ascii="Times New Roman" w:hAnsi="Times New Roman"/>
                <w:sz w:val="24"/>
                <w:szCs w:val="24"/>
                <w:lang w:val="lv-LV"/>
              </w:rPr>
              <w:t>riska un aizsardzības faktoru iz</w:t>
            </w:r>
            <w:r w:rsidRPr="009D4D3C">
              <w:rPr>
                <w:rFonts w:ascii="Times New Roman" w:hAnsi="Times New Roman"/>
                <w:sz w:val="24"/>
                <w:szCs w:val="24"/>
                <w:lang w:val="lv-LV"/>
              </w:rPr>
              <w:t xml:space="preserve">vērtējums tiks detalizētāk noregulēta Ministru kabineta noteikumos. Likumprojekts paredz, ka </w:t>
            </w:r>
            <w:r w:rsidR="006340F8">
              <w:rPr>
                <w:rFonts w:ascii="Times New Roman" w:hAnsi="Times New Roman"/>
                <w:sz w:val="24"/>
                <w:szCs w:val="24"/>
                <w:lang w:val="lv-LV"/>
              </w:rPr>
              <w:t>riska un aizsardzības faktoru iz</w:t>
            </w:r>
            <w:r w:rsidRPr="009D4D3C">
              <w:rPr>
                <w:rFonts w:ascii="Times New Roman" w:hAnsi="Times New Roman"/>
                <w:sz w:val="24"/>
                <w:szCs w:val="24"/>
                <w:lang w:val="lv-LV"/>
              </w:rPr>
              <w:t>vērtējums ir jāveic arī pēc prevencijas pasākumu plāna pabeigšanas, lai novērtētu prevencijas pasākumu kopumu efektivitāti un to, vai b</w:t>
            </w:r>
            <w:r w:rsidR="004D50C0">
              <w:rPr>
                <w:rFonts w:ascii="Times New Roman" w:hAnsi="Times New Roman"/>
                <w:sz w:val="24"/>
                <w:szCs w:val="24"/>
                <w:lang w:val="lv-LV"/>
              </w:rPr>
              <w:t>ērnam joprojām nesaglabājas anti</w:t>
            </w:r>
            <w:r w:rsidRPr="009D4D3C">
              <w:rPr>
                <w:rFonts w:ascii="Times New Roman" w:hAnsi="Times New Roman"/>
                <w:sz w:val="24"/>
                <w:szCs w:val="24"/>
                <w:lang w:val="lv-LV"/>
              </w:rPr>
              <w:t xml:space="preserve">sociālas uzvedības riski, kas būtu jānovērš. </w:t>
            </w:r>
          </w:p>
          <w:p w:rsidR="009D4D3C" w:rsidRPr="009D4D3C" w:rsidRDefault="009D4D3C" w:rsidP="009D4D3C">
            <w:pPr>
              <w:ind w:left="80"/>
              <w:jc w:val="both"/>
              <w:rPr>
                <w:rFonts w:ascii="Times New Roman" w:hAnsi="Times New Roman"/>
                <w:sz w:val="24"/>
                <w:szCs w:val="24"/>
                <w:lang w:val="lv-LV"/>
              </w:rPr>
            </w:pPr>
          </w:p>
          <w:p w:rsidR="009D4D3C" w:rsidRPr="009D4D3C" w:rsidRDefault="00760CCB" w:rsidP="009D4D3C">
            <w:pPr>
              <w:ind w:left="80"/>
              <w:jc w:val="both"/>
              <w:rPr>
                <w:rFonts w:ascii="Times New Roman" w:hAnsi="Times New Roman"/>
                <w:i/>
                <w:sz w:val="24"/>
                <w:szCs w:val="24"/>
                <w:lang w:val="lv-LV"/>
              </w:rPr>
            </w:pPr>
            <w:r>
              <w:rPr>
                <w:rFonts w:ascii="Times New Roman" w:hAnsi="Times New Roman"/>
                <w:i/>
                <w:sz w:val="24"/>
                <w:szCs w:val="24"/>
                <w:lang w:val="lv-LV"/>
              </w:rPr>
              <w:t xml:space="preserve">Vienošanās par prevencijas pasākumiem </w:t>
            </w:r>
          </w:p>
          <w:p w:rsid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Lai arī sociālais darbinieks un vēlāk sadarbības grupa izvērtē, kādi prevencijas pasākumi bērnam ir </w:t>
            </w:r>
            <w:r w:rsidRPr="009D4D3C">
              <w:rPr>
                <w:rFonts w:ascii="Times New Roman" w:hAnsi="Times New Roman"/>
                <w:sz w:val="24"/>
                <w:szCs w:val="24"/>
                <w:lang w:val="lv-LV"/>
              </w:rPr>
              <w:lastRenderedPageBreak/>
              <w:t>piemērojami, nozīmīgā loma šajā procesā ir arī bērnam un viņa likumiskajam pārstāvim. Šobrīd pastāvošās sistēmas ietvaros brīdī, kad bērns ir nonācis tiesībaizsargājošo iestāžu uzmanības lokā, bērna likumiskajiem pārstāvjiem nav iespēju sadarboties ar valsts institūcijām, lai ietekmētu procesu, kā bērns tiek saukts pie atbildības. Šāda kārtība dabiski var radīt pretestību pret valsts iestāžu darbību, jo intervence ģimenē ir noteikts privātās dzīves interešu aizskārums. Prevencijas lietas process veidots tādejādi, lai bērna vecāki tiktu iesaistīti un līdzdarbotos jau prevencijas līdzekļu izvēlēs stadijā un dotu savu piekrišanu visām sadarbības grupas veik</w:t>
            </w:r>
            <w:r w:rsidR="004D50C0">
              <w:rPr>
                <w:rFonts w:ascii="Times New Roman" w:hAnsi="Times New Roman"/>
                <w:sz w:val="24"/>
                <w:szCs w:val="24"/>
                <w:lang w:val="lv-LV"/>
              </w:rPr>
              <w:t>t</w:t>
            </w:r>
            <w:r w:rsidRPr="009D4D3C">
              <w:rPr>
                <w:rFonts w:ascii="Times New Roman" w:hAnsi="Times New Roman"/>
                <w:sz w:val="24"/>
                <w:szCs w:val="24"/>
                <w:lang w:val="lv-LV"/>
              </w:rPr>
              <w:t>ajām darbībām. Tas palielina veiksmīgu prevencijas pasākumu plāna izpildes iespēju. Kad ir panākta vienošanās par prevencijas pasākumu plāna saturu, tad sadarbības grupa ar bērna likumisko pārst</w:t>
            </w:r>
            <w:r w:rsidR="002539BB">
              <w:rPr>
                <w:rFonts w:ascii="Times New Roman" w:hAnsi="Times New Roman"/>
                <w:sz w:val="24"/>
                <w:szCs w:val="24"/>
                <w:lang w:val="lv-LV"/>
              </w:rPr>
              <w:t xml:space="preserve">āvi slēdz administratīvo līgumu – </w:t>
            </w:r>
            <w:r w:rsidR="002539BB" w:rsidRPr="002539BB">
              <w:rPr>
                <w:rFonts w:ascii="Times New Roman" w:hAnsi="Times New Roman"/>
                <w:b/>
                <w:sz w:val="24"/>
                <w:szCs w:val="24"/>
                <w:lang w:val="lv-LV"/>
              </w:rPr>
              <w:t>vienošanos par prevencijas pasākumiem</w:t>
            </w:r>
            <w:r w:rsidR="002539BB">
              <w:rPr>
                <w:rFonts w:ascii="Times New Roman" w:hAnsi="Times New Roman"/>
                <w:sz w:val="24"/>
                <w:szCs w:val="24"/>
                <w:lang w:val="lv-LV"/>
              </w:rPr>
              <w:t>.</w:t>
            </w:r>
            <w:r w:rsidRPr="009D4D3C">
              <w:rPr>
                <w:rFonts w:ascii="Times New Roman" w:hAnsi="Times New Roman"/>
                <w:sz w:val="24"/>
                <w:szCs w:val="24"/>
                <w:lang w:val="lv-LV"/>
              </w:rPr>
              <w:t xml:space="preserve"> Tiesisko attiecību noregulējums administratīvā līguma formā, nevis administratīvā akta formā izvēlēts divu iemeslu dēļ. Pirmkārt, administratīvā līguma forma ietver sevī abu pušu vienošanos par tālāko rīcību un tālākajiem tiesiskajiem pienākumiem. Tā kā prevencijas līdzekļu piemērošana skar tādu jūtīgu privātās dzīves aspektu, kā bērnu audzināšana ģimenē un bērna personības veidošanu, tad vecāku vai to aizstājošu personu piekrišana šādiem pasākumiem ir svarīgs priekšnoteikums gan tam, lai nenotiktu nesamērīga iejaukšanās personu privātajā dzīvē, gan arī tam, lai pasākumu īstenošana būtu sekmīga un pārmaiņas bērna dzīvē patiešām tiku ieviestas. Otrkārt, gadījumā, ja prevencijas pasākumu plāns netiek pildīts, esošie administratīvā akta piespiedu izpildes mehāniski nav piemērojami, lai pret bērna un viņa vecāku gribu izpildītu preventīvos piespiedu līdzekļus. Līdz ar to faktiski nav nekādas lietderības piemērot tādus prevencijas līdzekļus ar tādiem nosacījumiem, kuriem jau nav pilnīga bērna un bērna vecāku atbalsta.</w:t>
            </w:r>
          </w:p>
          <w:p w:rsidR="00760CCB" w:rsidRDefault="00760CCB" w:rsidP="009D4D3C">
            <w:pPr>
              <w:ind w:left="80" w:firstLine="426"/>
              <w:jc w:val="both"/>
              <w:rPr>
                <w:rFonts w:ascii="Times New Roman" w:hAnsi="Times New Roman"/>
                <w:sz w:val="24"/>
                <w:szCs w:val="24"/>
                <w:lang w:val="lv-LV"/>
              </w:rPr>
            </w:pPr>
          </w:p>
          <w:p w:rsidR="00760CCB" w:rsidRPr="00760CCB" w:rsidRDefault="00760CCB" w:rsidP="009D4D3C">
            <w:pPr>
              <w:ind w:left="80" w:firstLine="426"/>
              <w:jc w:val="both"/>
              <w:rPr>
                <w:rFonts w:ascii="Times New Roman" w:hAnsi="Times New Roman"/>
                <w:i/>
                <w:sz w:val="24"/>
                <w:szCs w:val="24"/>
                <w:lang w:val="lv-LV"/>
              </w:rPr>
            </w:pPr>
            <w:r w:rsidRPr="00760CCB">
              <w:rPr>
                <w:rFonts w:ascii="Times New Roman" w:hAnsi="Times New Roman"/>
                <w:i/>
                <w:sz w:val="24"/>
                <w:szCs w:val="24"/>
                <w:lang w:val="lv-LV"/>
              </w:rPr>
              <w:t>Uzticības persona</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Ja bērna vecāki nepilda savu līdzdarbības pienākumu, jo, piemēram, ir atkarīgi no alkohola vai narkotiskajām vienām, ir prombūtnē, neiesaistās procesā veselības stāvokļa dēļ, vienkārši ignorē pienākumu iesaistīties prevencijas procesā, vai arī bez jebkāda objektīva pamatojuma nepiekrīt veikt </w:t>
            </w:r>
            <w:r w:rsidR="006340F8">
              <w:rPr>
                <w:rFonts w:ascii="Times New Roman" w:hAnsi="Times New Roman"/>
                <w:sz w:val="24"/>
                <w:szCs w:val="24"/>
                <w:lang w:val="lv-LV"/>
              </w:rPr>
              <w:t>riska un aizsardzības faktoru iz</w:t>
            </w:r>
            <w:r w:rsidRPr="009D4D3C">
              <w:rPr>
                <w:rFonts w:ascii="Times New Roman" w:hAnsi="Times New Roman"/>
                <w:sz w:val="24"/>
                <w:szCs w:val="24"/>
                <w:lang w:val="lv-LV"/>
              </w:rPr>
              <w:t>vērtējumu</w:t>
            </w:r>
            <w:r w:rsidR="004D50C0">
              <w:rPr>
                <w:rFonts w:ascii="Times New Roman" w:hAnsi="Times New Roman"/>
                <w:sz w:val="24"/>
                <w:szCs w:val="24"/>
                <w:lang w:val="lv-LV"/>
              </w:rPr>
              <w:t>,</w:t>
            </w:r>
            <w:r w:rsidRPr="009D4D3C">
              <w:rPr>
                <w:rFonts w:ascii="Times New Roman" w:hAnsi="Times New Roman"/>
                <w:sz w:val="24"/>
                <w:szCs w:val="24"/>
                <w:lang w:val="lv-LV"/>
              </w:rPr>
              <w:t xml:space="preserve"> vai nepiekrīt nevienam no konstatētajiem riskiem atbilstošajiem prevencijas līdzekļiem, sadarbības grupa var lemt par uzticības personas nozīmēšanu šīs prevencijas ietvaros. Tāpat par uzticības personas nozīmēšanu var lemt gadījumos, kad vecākiem ir pretējas intereses lietā un tie savstarpēji nevar vienoties (piemēram vecāku šķiršanās gadījumā vai tad, ja ģimene faktiski ir izirusi) tādejādi nesamērīgi novilcinot brīdi, kad bērnam var uzsākt sociālo korekciju. </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Uzticības personai ir pienākums sniegt bērnam atbalstu riska un aizsardzības faktoru izvērtēšanas laikā, prevencijas pasākumu izvēlē un prevencijas pasākumu plāna izpildē. Par bērna uzticības personu ieceļ tādu personu, ar kuru bērnam ir labas attiecības un kurai bērns uzticas un kura ir spējīga aizstāt vecākus prevencijas plāna īstenošanas laikā, piemēram, kādu no vecvecākiem, pilngadīgu brāli vai māsu, citu radinieku vai klases </w:t>
            </w:r>
            <w:r w:rsidRPr="009D4D3C">
              <w:rPr>
                <w:rFonts w:ascii="Times New Roman" w:hAnsi="Times New Roman"/>
                <w:sz w:val="24"/>
                <w:szCs w:val="24"/>
                <w:lang w:val="lv-LV"/>
              </w:rPr>
              <w:lastRenderedPageBreak/>
              <w:t xml:space="preserve">audzinātāju skolā, ja bērnam nav ģimenes un radinieku. Uzticības persona slēdz administratīvo līgumu par prevencijas līdzekļu nozīmēšanu, ja šādu līgumu nenoslēdz likumiskie pārstāvji. Bērna uzticības personas iecelšanas mērķis ir panākt bērnam nozīmēto prevencijas pasākumu sekmīgu īstenošanu, poti, panākt to, ka bērnam tiek sniegta nepieciešamā palīdzība un sociālā korekcija, neskatoties uz to, ka vecāki nav spējīgi pilnvērtīgi pildīt savus vecāka pienākumus. </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Uzticības personas nozīmēšana gan nekādi neietekmē vecāka likumiskā pārstāvja statusu. Vecāks joprojām saglabā gan Civillikumā noteiktās aizgādības tiesības pār bērnu, gan Administratīvā procesa likumā noteiktās bērna interešu pārstāvības tiesības publiski tiesiskajās attiecībās. </w:t>
            </w:r>
          </w:p>
          <w:p w:rsidR="009D4D3C" w:rsidRPr="009D4D3C" w:rsidRDefault="009D4D3C" w:rsidP="009D4D3C">
            <w:pPr>
              <w:ind w:left="80" w:firstLine="426"/>
              <w:jc w:val="both"/>
              <w:rPr>
                <w:rFonts w:ascii="Times New Roman" w:hAnsi="Times New Roman"/>
                <w:sz w:val="24"/>
                <w:szCs w:val="24"/>
                <w:lang w:val="lv-LV"/>
              </w:rPr>
            </w:pPr>
            <w:r w:rsidRPr="009D4D3C">
              <w:rPr>
                <w:rFonts w:ascii="Times New Roman" w:hAnsi="Times New Roman"/>
                <w:sz w:val="24"/>
                <w:szCs w:val="24"/>
                <w:lang w:val="lv-LV"/>
              </w:rPr>
              <w:t xml:space="preserve"> </w:t>
            </w:r>
          </w:p>
          <w:p w:rsidR="009D4D3C" w:rsidRPr="009D4D3C" w:rsidRDefault="009D4D3C" w:rsidP="009D4D3C">
            <w:pPr>
              <w:jc w:val="both"/>
              <w:rPr>
                <w:rFonts w:ascii="Times New Roman" w:hAnsi="Times New Roman"/>
                <w:i/>
                <w:sz w:val="24"/>
                <w:szCs w:val="24"/>
                <w:lang w:val="lv-LV"/>
              </w:rPr>
            </w:pPr>
          </w:p>
          <w:p w:rsidR="009D4D3C" w:rsidRPr="009D4D3C" w:rsidRDefault="009D4D3C" w:rsidP="009D4D3C">
            <w:pPr>
              <w:jc w:val="both"/>
              <w:rPr>
                <w:rFonts w:ascii="Times New Roman" w:hAnsi="Times New Roman"/>
                <w:i/>
                <w:sz w:val="24"/>
                <w:szCs w:val="24"/>
                <w:lang w:val="lv-LV"/>
              </w:rPr>
            </w:pPr>
            <w:r w:rsidRPr="009D4D3C">
              <w:rPr>
                <w:rFonts w:ascii="Times New Roman" w:hAnsi="Times New Roman"/>
                <w:i/>
                <w:sz w:val="24"/>
                <w:szCs w:val="24"/>
                <w:lang w:val="lv-LV"/>
              </w:rPr>
              <w:t>Sadarbības grupa</w:t>
            </w:r>
            <w:r w:rsidR="00760CCB">
              <w:rPr>
                <w:rFonts w:ascii="Times New Roman" w:hAnsi="Times New Roman"/>
                <w:i/>
                <w:sz w:val="24"/>
                <w:szCs w:val="24"/>
                <w:lang w:val="lv-LV"/>
              </w:rPr>
              <w:t>s sastāvs</w:t>
            </w:r>
            <w:r w:rsidRPr="009D4D3C">
              <w:rPr>
                <w:rFonts w:ascii="Times New Roman" w:hAnsi="Times New Roman"/>
                <w:i/>
                <w:sz w:val="24"/>
                <w:szCs w:val="24"/>
                <w:lang w:val="lv-LV"/>
              </w:rPr>
              <w:t xml:space="preserve"> </w:t>
            </w:r>
          </w:p>
          <w:p w:rsidR="0038755D" w:rsidRPr="00754016" w:rsidRDefault="009D4D3C" w:rsidP="009D4D3C">
            <w:pPr>
              <w:jc w:val="both"/>
              <w:rPr>
                <w:rFonts w:ascii="Times New Roman" w:hAnsi="Times New Roman"/>
                <w:color w:val="FABF8F" w:themeColor="accent6" w:themeTint="99"/>
                <w:sz w:val="24"/>
                <w:szCs w:val="24"/>
                <w:lang w:val="lv-LV"/>
              </w:rPr>
            </w:pPr>
            <w:r w:rsidRPr="009D4D3C">
              <w:rPr>
                <w:rFonts w:ascii="Times New Roman" w:hAnsi="Times New Roman"/>
                <w:sz w:val="24"/>
                <w:szCs w:val="24"/>
                <w:lang w:val="lv-LV"/>
              </w:rPr>
              <w:t xml:space="preserve">Sadarbības grupa ir speciālistu kopums, kas pārstāv speciāli apmācītas personas ar padziļinātu izpratni par bērna vajadzībām. </w:t>
            </w:r>
            <w:r w:rsidRPr="00EC608B">
              <w:rPr>
                <w:rFonts w:ascii="Times New Roman" w:hAnsi="Times New Roman"/>
                <w:color w:val="FF0000"/>
                <w:sz w:val="24"/>
                <w:szCs w:val="24"/>
                <w:lang w:val="lv-LV"/>
              </w:rPr>
              <w:t xml:space="preserve">Likumprojekta </w:t>
            </w:r>
            <w:r w:rsidR="00EC608B" w:rsidRPr="00EC608B">
              <w:rPr>
                <w:rFonts w:ascii="Times New Roman" w:hAnsi="Times New Roman"/>
                <w:color w:val="FF0000"/>
                <w:sz w:val="24"/>
                <w:szCs w:val="24"/>
                <w:lang w:val="lv-LV"/>
              </w:rPr>
              <w:t>36</w:t>
            </w:r>
            <w:r w:rsidRPr="00EC608B">
              <w:rPr>
                <w:rFonts w:ascii="Times New Roman" w:hAnsi="Times New Roman"/>
                <w:color w:val="FF0000"/>
                <w:sz w:val="24"/>
                <w:szCs w:val="24"/>
                <w:lang w:val="lv-LV"/>
              </w:rPr>
              <w:t xml:space="preserve">.pantā </w:t>
            </w:r>
            <w:r w:rsidRPr="009D4D3C">
              <w:rPr>
                <w:rFonts w:ascii="Times New Roman" w:hAnsi="Times New Roman"/>
                <w:sz w:val="24"/>
                <w:szCs w:val="24"/>
                <w:lang w:val="lv-LV"/>
              </w:rPr>
              <w:t>ir noteikts sadarbības grupas sastāvs un to nosacīti var iedalīt “pastāvīgajā sastāvā” un “mainīgajā sastāvā”. Sadarbības grupā pastāvīgi darbosies sadarbības grupas priekšsēdētājs, pašvaldības sociālā dienesta pārstāvis, bāriņtiesas pārstāvis, kā arī pašvaldības jaunatnes lietu speciālists, ja attiecīgajā pašvaldībā tāds ir pieejams. Savukārt sadarbības grupas mainīgajā sastāvā, izskatot konkrētu prevencijas lietu, darbojas arī sociālais pedagogs no skolas, kurā mācās konkrētais bērns, ārstniecības personu (vēlams ģimenes ārsts vai pediatrs vai ārsts no pašvaldības pedagoģiski – medicīniskās komisijas), psihologs un Valsts probācijas dienesta pārstāvis, ja kāda no iesaistītajām personām būs probācijas klients. Sadarbības grupas priekšsēdētājs, izvērtējot katras konkrētās lietas apstākļus, var paplašināt pieaicināmo speciālistu loku, ja tas sekmēs bērna lietas iekārtošanu un izskatīšanu vai prevencijas pasākumu izpildi. Papildus pieaicināmo speciālistu loks var ietvert policijas pārstāvji, kā arī jebkuras citas personas pieaicināšanu, kurai ir speciālas zināšanas vai īpaša pieredze darbā ar antisociālas uzvedības bērniem. Savukārt prevencijas pasākumu īstenošanā iesaistīto personu loks nav aprobežots. Atbilstoši iesaistīšanas principa jēgai, ja sadarbības grupa atzīst, ka konkrēta sabiedrības pārstāvja iesaistīšana konkrētu prevencijas pasākumu īstenošanā ir lietderīga un attiecīgais sabiedrības pārstāvis tam piekrīt, ikviena persona var sniegt savu atbalstu prevencijas pasākumu īstenošanā. Ja sadarbības grupai izveidojas regulārāka sadarbība ar konkrētu fizisko personu, biedrību vai komersantu, par šādu privātpersonu iesaisti prevencijas pasākumu īstenošanā var noslēgt līdzdarbības līgumu</w:t>
            </w:r>
            <w:r w:rsidRPr="00CF1F66">
              <w:rPr>
                <w:rFonts w:ascii="Times New Roman" w:hAnsi="Times New Roman"/>
                <w:sz w:val="24"/>
                <w:szCs w:val="24"/>
                <w:lang w:val="lv-LV"/>
              </w:rPr>
              <w:t xml:space="preserve">. </w:t>
            </w:r>
            <w:r w:rsidR="00666D9E" w:rsidRPr="00CF1F66">
              <w:rPr>
                <w:rFonts w:ascii="Times New Roman" w:hAnsi="Times New Roman"/>
                <w:sz w:val="24"/>
                <w:szCs w:val="24"/>
                <w:lang w:val="lv-LV"/>
              </w:rPr>
              <w:t>Ja ir grūtības vai šķēršļi prevencijas pasākumu plāna izpildē, tad</w:t>
            </w:r>
            <w:r w:rsidR="00754016" w:rsidRPr="00CF1F66">
              <w:rPr>
                <w:rFonts w:ascii="Times New Roman" w:hAnsi="Times New Roman"/>
                <w:sz w:val="24"/>
                <w:szCs w:val="24"/>
                <w:lang w:val="lv-LV"/>
              </w:rPr>
              <w:t xml:space="preserve"> sadarbības grupa var pieai</w:t>
            </w:r>
            <w:r w:rsidR="00F54956" w:rsidRPr="00CF1F66">
              <w:rPr>
                <w:rFonts w:ascii="Times New Roman" w:hAnsi="Times New Roman"/>
                <w:sz w:val="24"/>
                <w:szCs w:val="24"/>
                <w:lang w:val="lv-LV"/>
              </w:rPr>
              <w:t>cināt arī gadījuma vadītāju, kurš</w:t>
            </w:r>
            <w:r w:rsidR="00754016" w:rsidRPr="00CF1F66">
              <w:rPr>
                <w:rFonts w:ascii="Times New Roman" w:hAnsi="Times New Roman"/>
                <w:sz w:val="24"/>
                <w:szCs w:val="24"/>
                <w:lang w:val="lv-LV"/>
              </w:rPr>
              <w:t xml:space="preserve"> sadarbības grupai palīdz organizatoriskajos un </w:t>
            </w:r>
            <w:r w:rsidR="00F54956" w:rsidRPr="00CF1F66">
              <w:rPr>
                <w:rFonts w:ascii="Times New Roman" w:hAnsi="Times New Roman"/>
                <w:sz w:val="24"/>
                <w:szCs w:val="24"/>
                <w:lang w:val="lv-LV"/>
              </w:rPr>
              <w:t>komunikācijas darbos, kā arī</w:t>
            </w:r>
            <w:r w:rsidR="00754016" w:rsidRPr="00CF1F66">
              <w:rPr>
                <w:rFonts w:ascii="Times New Roman" w:hAnsi="Times New Roman"/>
                <w:sz w:val="24"/>
                <w:szCs w:val="24"/>
                <w:lang w:val="lv-LV"/>
              </w:rPr>
              <w:t xml:space="preserve"> veic prevencijas plāna izpildes uzraudzību. Likumprojekta 39.pants nosaka, ka sadarbības grupas priekšsēdētājs ir pašvaldības iecelta vai pilnvarota amatpersona</w:t>
            </w:r>
            <w:r w:rsidR="006708B2" w:rsidRPr="00CF1F66">
              <w:rPr>
                <w:rFonts w:ascii="Times New Roman" w:hAnsi="Times New Roman"/>
                <w:sz w:val="24"/>
                <w:szCs w:val="24"/>
                <w:lang w:val="lv-LV"/>
              </w:rPr>
              <w:t>, kura institucionāli ir padota pašvaldībai, bet funkcionāli – tieslietu ministram.</w:t>
            </w:r>
            <w:r w:rsidR="00754016" w:rsidRPr="00CF1F66">
              <w:rPr>
                <w:rFonts w:ascii="Times New Roman" w:hAnsi="Times New Roman"/>
                <w:sz w:val="24"/>
                <w:szCs w:val="24"/>
                <w:lang w:val="lv-LV"/>
              </w:rPr>
              <w:t xml:space="preserve"> Sadarbības grupas </w:t>
            </w:r>
            <w:r w:rsidR="00754016" w:rsidRPr="00CF1F66">
              <w:rPr>
                <w:rFonts w:ascii="Times New Roman" w:hAnsi="Times New Roman"/>
                <w:sz w:val="24"/>
                <w:szCs w:val="24"/>
                <w:lang w:val="lv-LV"/>
              </w:rPr>
              <w:lastRenderedPageBreak/>
              <w:t>priekšsēdētāju ieceļ amatā, ja tas darboj</w:t>
            </w:r>
            <w:r w:rsidR="00A60DF8" w:rsidRPr="00CF1F66">
              <w:rPr>
                <w:rFonts w:ascii="Times New Roman" w:hAnsi="Times New Roman"/>
                <w:sz w:val="24"/>
                <w:szCs w:val="24"/>
                <w:lang w:val="lv-LV"/>
              </w:rPr>
              <w:t>as pašvaldībā, kurā ir pietiekami liels prevencijas lietu skaits, lai sadarbības grupas priekšsēdētājs būtu nodarbināts uz pilnu slodzi. Pretējā gadījumā sadarbības grupas priekšsēdētājs tiek pilnvarots veikt šo pienākumu papildus savam pamatdarbam</w:t>
            </w:r>
          </w:p>
          <w:p w:rsidR="009D4D3C" w:rsidRPr="009D4D3C" w:rsidRDefault="0038755D" w:rsidP="009D4D3C">
            <w:pPr>
              <w:jc w:val="both"/>
              <w:rPr>
                <w:rFonts w:ascii="Times New Roman" w:hAnsi="Times New Roman"/>
                <w:sz w:val="24"/>
                <w:szCs w:val="24"/>
                <w:lang w:val="lv-LV"/>
              </w:rPr>
            </w:pPr>
            <w:r>
              <w:rPr>
                <w:rFonts w:ascii="Times New Roman" w:hAnsi="Times New Roman"/>
                <w:sz w:val="24"/>
                <w:szCs w:val="24"/>
                <w:lang w:val="lv-LV"/>
              </w:rPr>
              <w:t xml:space="preserve">Sadarbības grupa nepārņem to iestāžu kompetenci, kura sadarbības grupai deleģējušas savus pārstāvjus, tas ir, bāriņtiesa joprojām saglabā visu savu parasto kompetenci, lai arī tās pārstāvis darbojas sadarbības grupā, Valsts probācijas dienesta saglabā visu savu līdzšinējo kompetenci, neskatoties uz faktu, ka tā amatpersona dažkārt piedalās sadarbības grupas sēdēs. Arī pašvaldības sociālajam dienestam  bērnu antisociālas uzvedības prevencijas uzdevums ir noteikts kā viens papildus uzdevums visiem līdzšinējiem uzdevumiem. </w:t>
            </w:r>
          </w:p>
          <w:p w:rsidR="009D4D3C" w:rsidRPr="009D4D3C" w:rsidRDefault="009D4D3C" w:rsidP="009D4D3C">
            <w:pPr>
              <w:jc w:val="both"/>
              <w:rPr>
                <w:rFonts w:ascii="Times New Roman" w:hAnsi="Times New Roman"/>
                <w:sz w:val="24"/>
                <w:szCs w:val="24"/>
                <w:lang w:val="lv-LV"/>
              </w:rPr>
            </w:pPr>
          </w:p>
          <w:p w:rsidR="009D4D3C" w:rsidRPr="009D4D3C" w:rsidRDefault="009D4D3C" w:rsidP="009D4D3C">
            <w:pPr>
              <w:jc w:val="both"/>
              <w:rPr>
                <w:rFonts w:ascii="Times New Roman" w:hAnsi="Times New Roman"/>
                <w:i/>
                <w:sz w:val="24"/>
                <w:szCs w:val="24"/>
                <w:lang w:val="lv-LV"/>
              </w:rPr>
            </w:pPr>
            <w:r w:rsidRPr="009D4D3C">
              <w:rPr>
                <w:rFonts w:ascii="Times New Roman" w:hAnsi="Times New Roman"/>
                <w:i/>
                <w:sz w:val="24"/>
                <w:szCs w:val="24"/>
                <w:lang w:val="lv-LV"/>
              </w:rPr>
              <w:t>Sadarbības grupas darbības finansēšana</w:t>
            </w:r>
          </w:p>
          <w:p w:rsidR="009D4D3C" w:rsidRP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t>Izmaksas sadarbības grupas darbības nodrošināšanai gulstas gan uz valsts, gan pašvaldību budžetu. Pašvaldībai ir jānodrošina sadarbības grupa ar darba telpām un darbam nepieciešamo aprīkojumu (biroja tehnika, kancelejas preces). No valsts budžeta tiek segtas pārējās ar šo deleģēto valsts pārvaldes u</w:t>
            </w:r>
            <w:r w:rsidR="00EC762D">
              <w:rPr>
                <w:rFonts w:ascii="Times New Roman" w:hAnsi="Times New Roman"/>
                <w:sz w:val="24"/>
                <w:szCs w:val="24"/>
                <w:lang w:val="lv-LV"/>
              </w:rPr>
              <w:t>zdevumu saistītās izmaksas, tai</w:t>
            </w:r>
            <w:r w:rsidRPr="009D4D3C">
              <w:rPr>
                <w:rFonts w:ascii="Times New Roman" w:hAnsi="Times New Roman"/>
                <w:sz w:val="24"/>
                <w:szCs w:val="24"/>
                <w:lang w:val="lv-LV"/>
              </w:rPr>
              <w:t xml:space="preserve"> skaitā lietas sagatavošanai, izskatīšanai un izpildei veltītās darba stundas, informācijas sistēmas NPAIS uzturēšanu, u.c. Valsts budžeta finansējums pašvaldībām tiek nodrošināts, kā maksājums par vienas prevencijas lietas iekārtošanu, izskatīšanu un izpildi, konstantas summas apmērā par katru izskatīto prevencijas lietu. </w:t>
            </w:r>
          </w:p>
          <w:p w:rsidR="009D4D3C" w:rsidRPr="009D4D3C" w:rsidRDefault="009D4D3C" w:rsidP="009D4D3C">
            <w:pPr>
              <w:jc w:val="both"/>
              <w:rPr>
                <w:rFonts w:ascii="Times New Roman" w:hAnsi="Times New Roman"/>
                <w:sz w:val="24"/>
                <w:szCs w:val="24"/>
                <w:lang w:val="lv-LV"/>
              </w:rPr>
            </w:pPr>
          </w:p>
          <w:p w:rsidR="009D4D3C" w:rsidRPr="009D4D3C" w:rsidRDefault="009D4D3C" w:rsidP="009D4D3C">
            <w:pPr>
              <w:jc w:val="both"/>
              <w:rPr>
                <w:rFonts w:ascii="Times New Roman" w:hAnsi="Times New Roman"/>
                <w:i/>
                <w:sz w:val="24"/>
                <w:szCs w:val="24"/>
                <w:lang w:val="lv-LV"/>
              </w:rPr>
            </w:pPr>
            <w:r w:rsidRPr="009D4D3C">
              <w:rPr>
                <w:rFonts w:ascii="Times New Roman" w:hAnsi="Times New Roman"/>
                <w:i/>
                <w:sz w:val="24"/>
                <w:szCs w:val="24"/>
                <w:lang w:val="lv-LV"/>
              </w:rPr>
              <w:t>Valsts pārvaldes uzdevuma deleģēšana</w:t>
            </w:r>
          </w:p>
          <w:p w:rsidR="009D4D3C" w:rsidRP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t xml:space="preserve">Antisociālas uzvedības prevencija ir jauna Tieslietu ministrijas valsts pārvaldes funkcija. Šīs funkcijas ietvaros Tieslietu ministrija gan organizē bērnu antisociālas uzvedības sistēmas izveidi valstī, gan nodrošina šīs sistēmas darbību, gan veic metodisko uzraudzību un vadību par šo funkciju, administrē tam paredzēto valsts finansējumu, u.c. Ar šo likumu pašvaldību sociālajiem dienestiem tiek deleģēti uzdevumi nodrošināt sadarbības grupas darbību un koordinēt prevencijas līdzekļu piemērošanu un izpildi. Šo uzdevumu izpildes ietvaros sadarbības grupas priekšsēdētājs ir Tieslietu ministrijas funkcionālā padotībā, tas ir, ar Tieslietu ministrijas derogācijas tiesībām un tiesībām dot konkrētus rīkojumus un norādījumus. </w:t>
            </w:r>
            <w:r w:rsidRPr="00BD7193">
              <w:rPr>
                <w:rFonts w:ascii="Times New Roman" w:hAnsi="Times New Roman"/>
                <w:color w:val="FF0000"/>
                <w:sz w:val="24"/>
                <w:szCs w:val="24"/>
                <w:lang w:val="lv-LV"/>
              </w:rPr>
              <w:t>Padotības</w:t>
            </w:r>
            <w:r w:rsidRPr="009D4D3C">
              <w:rPr>
                <w:rFonts w:ascii="Times New Roman" w:hAnsi="Times New Roman"/>
                <w:sz w:val="24"/>
                <w:szCs w:val="24"/>
                <w:lang w:val="lv-LV"/>
              </w:rPr>
              <w:t xml:space="preserve"> forma iepretī pārraudzības formai izvēlēta tamdēļ, ka Tieslietu ministrijai jānodrošina labai pārvaldībai atbilstoša un efektīvā funkcijas izpilde katrā no šobrīd esošajām 119 pašvaldībām. Tādejādi pašvaldības sociālais dienests, kas institucionāli ietilpst pašvaldībā, tas ir, pastarpinātās pārvaldes iestāžu struktūrā, attiecībā uz šo valsts pārvaldes funkciju ir padots Tieslietu ministrijai. Lai nodrošinātu sadarbības grupas darbības tiesiskumu, tieslietu ministram ir tiesības atstādināt no amata sadarbības grupas priekšsēdētāju, ja to nav izdarījusi attiecīgās pašvaldības pilnvarotā amatpersona. Atstādināšana attiecas tikai uz bērnu antisociālas uzvedības prevencijas uzdevumu veikšanu. Šādu tiesību tieslietu ministrs var izmantot izņēmuma kārtā tad, ja sadarbības grupas darbība sistemātiski prettiesiska un nekvalitatīva un šos </w:t>
            </w:r>
            <w:r w:rsidRPr="009D4D3C">
              <w:rPr>
                <w:rFonts w:ascii="Times New Roman" w:hAnsi="Times New Roman"/>
                <w:sz w:val="24"/>
                <w:szCs w:val="24"/>
                <w:lang w:val="lv-LV"/>
              </w:rPr>
              <w:lastRenderedPageBreak/>
              <w:t xml:space="preserve">trūkumus nevar novērst ar metodisko vadību, kā arī ja sadarbības grupa vispār nepilda tai deleģēto uzdevumu, tas ir, sadarbības grupas sistemātiskas bezdarbības gadījumos. </w:t>
            </w:r>
          </w:p>
          <w:p w:rsidR="009D4D3C" w:rsidRDefault="009D4D3C" w:rsidP="009D4D3C">
            <w:pPr>
              <w:jc w:val="both"/>
              <w:rPr>
                <w:rFonts w:ascii="Times New Roman" w:hAnsi="Times New Roman"/>
                <w:sz w:val="24"/>
                <w:szCs w:val="24"/>
                <w:lang w:val="lv-LV"/>
              </w:rPr>
            </w:pPr>
            <w:r w:rsidRPr="009D4D3C">
              <w:rPr>
                <w:rFonts w:ascii="Times New Roman" w:hAnsi="Times New Roman"/>
                <w:sz w:val="24"/>
                <w:szCs w:val="24"/>
                <w:lang w:val="lv-LV"/>
              </w:rPr>
              <w:t>Vadoties no lietvedībā esošo lietu skaita un pašvaldības organizatoriskiem apsvērumiem vienā pašvaldībā var izveidot vairākas sadarbības grupas, tāpat va</w:t>
            </w:r>
            <w:r w:rsidR="00BD7193">
              <w:rPr>
                <w:rFonts w:ascii="Times New Roman" w:hAnsi="Times New Roman"/>
                <w:sz w:val="24"/>
                <w:szCs w:val="24"/>
                <w:lang w:val="lv-LV"/>
              </w:rPr>
              <w:t>irākas pašvaldības var apvienot</w:t>
            </w:r>
            <w:r w:rsidRPr="009D4D3C">
              <w:rPr>
                <w:rFonts w:ascii="Times New Roman" w:hAnsi="Times New Roman"/>
                <w:sz w:val="24"/>
                <w:szCs w:val="24"/>
                <w:lang w:val="lv-LV"/>
              </w:rPr>
              <w:t xml:space="preserve"> savus resursus, lai kopīgi izveidotu vienu sadarbības grupu bērnu antisociālas prevencijas lietu koordinēšanai. Lielākajā daļā pašvaldību jau šobrīd darbojas sadarbības grupas, starpinstitūciju komisijas vai bērnu lietu komisijas, kas piemēro audzinoša rakstura piespiedu līdzekļus bērniem vai izstrādā sociālās korekcijas programmas, vai risina citus ar bērnu tiesību nodrošināšanu saistītus jautājumus. Sadarbības grupa, kas tiek izveidota uz šī likuma pamata, var tikt izmantota kā platforma arī citu, pašvaldības autonomajā kompetencē ietilpstošo bērnu tiesību jautājumu risināšanai, ja pašvaldība to uzskata par lietderīgu. </w:t>
            </w:r>
          </w:p>
          <w:p w:rsidR="006A6E8D" w:rsidRDefault="006A6E8D" w:rsidP="009D4D3C">
            <w:pPr>
              <w:jc w:val="both"/>
              <w:rPr>
                <w:rFonts w:ascii="Times New Roman" w:hAnsi="Times New Roman"/>
                <w:sz w:val="24"/>
                <w:szCs w:val="24"/>
                <w:lang w:val="lv-LV"/>
              </w:rPr>
            </w:pPr>
          </w:p>
          <w:p w:rsidR="006A6E8D" w:rsidRPr="00395E9C" w:rsidRDefault="006A6E8D" w:rsidP="009D4D3C">
            <w:pPr>
              <w:jc w:val="both"/>
              <w:rPr>
                <w:rFonts w:ascii="Times New Roman" w:hAnsi="Times New Roman"/>
                <w:i/>
                <w:sz w:val="24"/>
                <w:szCs w:val="24"/>
                <w:lang w:val="lv-LV"/>
              </w:rPr>
            </w:pPr>
            <w:r w:rsidRPr="00395E9C">
              <w:rPr>
                <w:rFonts w:ascii="Times New Roman" w:hAnsi="Times New Roman"/>
                <w:i/>
                <w:sz w:val="24"/>
                <w:szCs w:val="24"/>
                <w:lang w:val="lv-LV"/>
              </w:rPr>
              <w:t>Likum</w:t>
            </w:r>
            <w:r w:rsidR="00FD4526" w:rsidRPr="00395E9C">
              <w:rPr>
                <w:rFonts w:ascii="Times New Roman" w:hAnsi="Times New Roman"/>
                <w:i/>
                <w:sz w:val="24"/>
                <w:szCs w:val="24"/>
                <w:lang w:val="lv-LV"/>
              </w:rPr>
              <w:t>ā lietotie termini</w:t>
            </w:r>
          </w:p>
          <w:p w:rsidR="00FD4526" w:rsidRDefault="00FD4526" w:rsidP="009D4D3C">
            <w:pPr>
              <w:jc w:val="both"/>
              <w:rPr>
                <w:rFonts w:ascii="Times New Roman" w:hAnsi="Times New Roman"/>
                <w:sz w:val="24"/>
                <w:szCs w:val="24"/>
                <w:lang w:val="lv-LV"/>
              </w:rPr>
            </w:pPr>
            <w:r>
              <w:rPr>
                <w:rFonts w:ascii="Times New Roman" w:hAnsi="Times New Roman"/>
                <w:sz w:val="24"/>
                <w:szCs w:val="24"/>
                <w:lang w:val="lv-LV"/>
              </w:rPr>
              <w:t>Bērnu antisociālas uzvedības prevencijas sistēma tiek veidota tā, lai tā nedz pēc satura, nedz pēc formas nelīdzinātos tradicionālajai kriminālajai justīcijai, kura bērnu uzvedības korekcijai ir neefektīva. Lai kriminālprocesam raksturīgās izmeklēšanas un procesa virzības metodes nepārnesu bērnu antisociālas uzvedības prevencijas</w:t>
            </w:r>
            <w:r w:rsidR="00BD7193">
              <w:rPr>
                <w:rFonts w:ascii="Times New Roman" w:hAnsi="Times New Roman"/>
                <w:sz w:val="24"/>
                <w:szCs w:val="24"/>
                <w:lang w:val="lv-LV"/>
              </w:rPr>
              <w:t xml:space="preserve"> sistēmā, šajā likumprojektā </w:t>
            </w:r>
            <w:r>
              <w:rPr>
                <w:rFonts w:ascii="Times New Roman" w:hAnsi="Times New Roman"/>
                <w:sz w:val="24"/>
                <w:szCs w:val="24"/>
                <w:lang w:val="lv-LV"/>
              </w:rPr>
              <w:t xml:space="preserve">virkne terminu apzināti </w:t>
            </w:r>
            <w:r w:rsidR="00BD7193">
              <w:rPr>
                <w:rFonts w:ascii="Times New Roman" w:hAnsi="Times New Roman"/>
                <w:sz w:val="24"/>
                <w:szCs w:val="24"/>
                <w:lang w:val="lv-LV"/>
              </w:rPr>
              <w:t>tiek lietoti tā, lai pat lietotā</w:t>
            </w:r>
            <w:r>
              <w:rPr>
                <w:rFonts w:ascii="Times New Roman" w:hAnsi="Times New Roman"/>
                <w:sz w:val="24"/>
                <w:szCs w:val="24"/>
                <w:lang w:val="lv-LV"/>
              </w:rPr>
              <w:t xml:space="preserve">s terminoloģijas ziņā neatgādinātu kriminālprocesu. </w:t>
            </w:r>
            <w:r w:rsidR="00742759">
              <w:rPr>
                <w:rFonts w:ascii="Times New Roman" w:hAnsi="Times New Roman"/>
                <w:sz w:val="24"/>
                <w:szCs w:val="24"/>
                <w:lang w:val="lv-LV"/>
              </w:rPr>
              <w:t>Lietvedības procesa daļas, kādās nosacīti var sadalīt visu bērnu antisociāl</w:t>
            </w:r>
            <w:r w:rsidR="00BD7193">
              <w:rPr>
                <w:rFonts w:ascii="Times New Roman" w:hAnsi="Times New Roman"/>
                <w:sz w:val="24"/>
                <w:szCs w:val="24"/>
                <w:lang w:val="lv-LV"/>
              </w:rPr>
              <w:t>ā</w:t>
            </w:r>
            <w:r w:rsidR="00742759">
              <w:rPr>
                <w:rFonts w:ascii="Times New Roman" w:hAnsi="Times New Roman"/>
                <w:sz w:val="24"/>
                <w:szCs w:val="24"/>
                <w:lang w:val="lv-LV"/>
              </w:rPr>
              <w:t xml:space="preserve">s uzvedības prevencijas procesu no brīža, kad tiek saņemta informācija par bērnu, līdz brīdim, kad lieta tiek slēgta, tiek sauktas nevis par procesa stadijām, bet par procesa posmiem. Kriminālprocesā un administratīvo pārkāpumu procesā, saņemot informāciju par iespējamu noziedzīgu nodarījumu vai administratīvo pārkāpumu, tiek “ierosināta” lieta. Šajā likumprojektā lietvedības uzsākšanas apzīmēšanai tiek lietots termins “lietas iekārtošana”. Savukārt preventīvie līdzekļi bērniem tiek nevis “piemēroti” vai “uzlikti”, kā tas parasti tiek teikts attiecībā uz sodiem, bet gan “noteikti”. </w:t>
            </w:r>
            <w:r w:rsidR="00395E9C">
              <w:rPr>
                <w:rFonts w:ascii="Times New Roman" w:hAnsi="Times New Roman"/>
                <w:sz w:val="24"/>
                <w:szCs w:val="24"/>
                <w:lang w:val="lv-LV"/>
              </w:rPr>
              <w:t xml:space="preserve">Īpaši termini tiek ieviesti arī attiecībā uz procesa dalībniekiem. Lai neradītu asociācijas ar kriminālprocesu, termina “cietušais” vietā tiek lietots termins “persona, kam nodarīts kaitējums”. </w:t>
            </w:r>
          </w:p>
          <w:p w:rsidR="00FB7C58" w:rsidRDefault="00FB7C58" w:rsidP="009D4D3C">
            <w:pPr>
              <w:jc w:val="both"/>
              <w:rPr>
                <w:rFonts w:ascii="Times New Roman" w:hAnsi="Times New Roman"/>
                <w:sz w:val="24"/>
                <w:szCs w:val="24"/>
                <w:lang w:val="lv-LV"/>
              </w:rPr>
            </w:pPr>
          </w:p>
          <w:p w:rsidR="00FB7C58" w:rsidRPr="002178B3" w:rsidRDefault="00FB7C58" w:rsidP="009D4D3C">
            <w:pPr>
              <w:jc w:val="both"/>
              <w:rPr>
                <w:rFonts w:ascii="Times New Roman" w:hAnsi="Times New Roman"/>
                <w:i/>
                <w:sz w:val="24"/>
                <w:szCs w:val="24"/>
                <w:lang w:val="lv-LV"/>
              </w:rPr>
            </w:pPr>
            <w:r w:rsidRPr="002178B3">
              <w:rPr>
                <w:rFonts w:ascii="Times New Roman" w:hAnsi="Times New Roman"/>
                <w:i/>
                <w:sz w:val="24"/>
                <w:szCs w:val="24"/>
                <w:lang w:val="lv-LV"/>
              </w:rPr>
              <w:t>Bērnu antisociālas uzvedības prevencijas tiesiskuma kontrole</w:t>
            </w:r>
          </w:p>
          <w:p w:rsidR="00FB7C58" w:rsidRPr="009D4D3C" w:rsidRDefault="002178B3" w:rsidP="009D4D3C">
            <w:pPr>
              <w:jc w:val="both"/>
              <w:rPr>
                <w:rFonts w:ascii="Times New Roman" w:hAnsi="Times New Roman"/>
                <w:sz w:val="24"/>
                <w:szCs w:val="24"/>
                <w:lang w:val="lv-LV"/>
              </w:rPr>
            </w:pPr>
            <w:r>
              <w:rPr>
                <w:rFonts w:ascii="Times New Roman" w:hAnsi="Times New Roman"/>
                <w:sz w:val="24"/>
                <w:szCs w:val="24"/>
                <w:lang w:val="lv-LV"/>
              </w:rPr>
              <w:t>Bērnu antiosociālas uzvedības prevencija tiek veikta administratīvā procesa ietveros ar šajā likumprojektā noteiktajām, atsevišķām lietvedības īpatnībām. Līdz ar to</w:t>
            </w:r>
            <w:r w:rsidR="00BD7193">
              <w:rPr>
                <w:rFonts w:ascii="Times New Roman" w:hAnsi="Times New Roman"/>
                <w:sz w:val="24"/>
                <w:szCs w:val="24"/>
                <w:lang w:val="lv-LV"/>
              </w:rPr>
              <w:t>,</w:t>
            </w:r>
            <w:r>
              <w:rPr>
                <w:rFonts w:ascii="Times New Roman" w:hAnsi="Times New Roman"/>
                <w:sz w:val="24"/>
                <w:szCs w:val="24"/>
                <w:lang w:val="lv-LV"/>
              </w:rPr>
              <w:t xml:space="preserve"> šajā likumprojektā minēto lēmumu un faktiskās rīcības pārsūdzība ir pakļauta administratīvajai tiesai. Neatliekamo prevencijas pasākumu piemērošana ir administratīvais akts, kuru administratīvā akta adresāts – bērna likumiskais pārstāvis var pārsūdzēt, iesniedzot pieteikumu Administratīvajā rajona tiesā. </w:t>
            </w:r>
            <w:r w:rsidR="003C4C7E">
              <w:rPr>
                <w:rFonts w:ascii="Times New Roman" w:hAnsi="Times New Roman"/>
                <w:sz w:val="24"/>
                <w:szCs w:val="24"/>
                <w:lang w:val="lv-LV"/>
              </w:rPr>
              <w:t xml:space="preserve">Vienošanās par prevencijas pasākumiem ir administratīvais līgums Administratīvā procesa likuma un Valsts pārvaldes iekārtas likuma izpratnē. Saskaņā ar Valsta pārvaldes iekārtas likuma 85.panta </w:t>
            </w:r>
            <w:r w:rsidR="003C4C7E">
              <w:rPr>
                <w:rFonts w:ascii="Times New Roman" w:hAnsi="Times New Roman"/>
                <w:sz w:val="24"/>
                <w:szCs w:val="24"/>
                <w:lang w:val="lv-LV"/>
              </w:rPr>
              <w:lastRenderedPageBreak/>
              <w:t xml:space="preserve">pirmo daļu katra no līdzēja pusēm var vērsties tiesā par pienācīgu līguma nepildīšanu. Tiesai nevar iesniegt pieteikumu par pašu līguma noslēgšanas faktu, jo līguma noslēgšana ir brīvprātīga un balstās uz visu pušu piekrišanu līguma saturam un līguma mērķiem. Tiesības pārstāvēt bērnu </w:t>
            </w:r>
            <w:r w:rsidR="001465C9">
              <w:rPr>
                <w:rFonts w:ascii="Times New Roman" w:hAnsi="Times New Roman"/>
                <w:sz w:val="24"/>
                <w:szCs w:val="24"/>
                <w:lang w:val="lv-LV"/>
              </w:rPr>
              <w:t>administratīvā akta vai faktiskās rīcības pārsūdzības gadījumā vai tad, ja tiek iesniegta sūdzība par administratīvā līguma neizpildi, ir bērna likumiskajam pārstāvim. Tas attiecas arī uz gadījumiem, kad bērnam bērnu antisociālas prevencijas ietvaros ir nozīmēta uzticības persona. Saskaņā ar Administratīvā procesa likuma 21.panta otro un trešo daļu nepilngadīgas fiziskas personas tiesības īsteno likumiskais pārstāvis un uzticības personas nozīmēšana neietekmē šīs tiesības. Uzticības personas nozīmēšana ir administratīvais akts. Likumiskais pārstāvis vai pati uzticības persona šo lēmumu var pārsūdzēt Administratīvajā rajona tiesā. Tā kā uzticības persona tiek nozīmēta gadījumos, kad likumiskais pārstāvis nesadarbojas ar sadarbības grupu un tādejādi kaitē bērna tiesībām uz aprūpi, attīstību un izglītību</w:t>
            </w:r>
            <w:r w:rsidR="00291F67">
              <w:rPr>
                <w:rFonts w:ascii="Times New Roman" w:hAnsi="Times New Roman"/>
                <w:sz w:val="24"/>
                <w:szCs w:val="24"/>
                <w:lang w:val="lv-LV"/>
              </w:rPr>
              <w:t xml:space="preserve">, kā arī traucē bērnam saņemt nepieciešamo speciālistu palīdzību un atbalstu, lēmuma pārsūdzēšana neaptur lēmuma darbību. </w:t>
            </w:r>
          </w:p>
          <w:p w:rsidR="006128F4" w:rsidRPr="009D4D3C" w:rsidRDefault="006128F4" w:rsidP="00D743CD">
            <w:pPr>
              <w:jc w:val="both"/>
              <w:rPr>
                <w:sz w:val="28"/>
                <w:lang w:val="lv-LV"/>
              </w:rPr>
            </w:pPr>
          </w:p>
        </w:tc>
      </w:tr>
      <w:tr w:rsidR="008752D4" w:rsidRPr="00CF1F66" w:rsidTr="009D4D3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3.</w:t>
            </w:r>
          </w:p>
        </w:tc>
        <w:tc>
          <w:tcPr>
            <w:tcW w:w="897"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Projekta izstrādē iesaistītās institūcijas</w:t>
            </w:r>
          </w:p>
        </w:tc>
        <w:tc>
          <w:tcPr>
            <w:tcW w:w="3853" w:type="pct"/>
            <w:tcBorders>
              <w:top w:val="outset" w:sz="6" w:space="0" w:color="414142"/>
              <w:left w:val="outset" w:sz="6" w:space="0" w:color="414142"/>
              <w:bottom w:val="outset" w:sz="6" w:space="0" w:color="414142"/>
              <w:right w:val="outset" w:sz="6" w:space="0" w:color="414142"/>
            </w:tcBorders>
            <w:hideMark/>
          </w:tcPr>
          <w:p w:rsidR="008412FF" w:rsidRDefault="009D4D3C" w:rsidP="00945665">
            <w:pPr>
              <w:pStyle w:val="Parasts1"/>
              <w:spacing w:after="0" w:line="240" w:lineRule="auto"/>
              <w:ind w:firstLine="682"/>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Likumprojekta izstrādei tika nodibināta darba grupa, kuras sastāvā tika iekļauto eksperti no Tieslietu ministrijas, Valsts kancelejas, Valsts Probācijas dienesta, Valsts bērnu tiesību aizsardzības inspekcijas, Tiesībsarga biroja, Rīgas Domes Labklājības departamenta, Ventspils medicīniski-pedagoģiskās komisijas.</w:t>
            </w:r>
          </w:p>
          <w:p w:rsidR="009D4D3C" w:rsidRDefault="009D4D3C" w:rsidP="00945665">
            <w:pPr>
              <w:pStyle w:val="Parasts1"/>
              <w:spacing w:after="0" w:line="240" w:lineRule="auto"/>
              <w:ind w:firstLine="682"/>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Pirms likumprojekta izsludināšanas Valsts sekretāru sanāksmē Tieslietu ministrija sadarbībā ar pašvaldībām ir rīkojusi trīs reģionālās sanāksmes Rīgā</w:t>
            </w:r>
            <w:r w:rsidR="00033ACE">
              <w:rPr>
                <w:rFonts w:ascii="Times New Roman" w:eastAsia="Times New Roman" w:hAnsi="Times New Roman"/>
                <w:bCs/>
                <w:sz w:val="24"/>
                <w:szCs w:val="24"/>
                <w:lang w:eastAsia="lv-LV"/>
              </w:rPr>
              <w:t xml:space="preserve"> (19.11.15.)</w:t>
            </w:r>
            <w:r>
              <w:rPr>
                <w:rFonts w:ascii="Times New Roman" w:eastAsia="Times New Roman" w:hAnsi="Times New Roman"/>
                <w:bCs/>
                <w:sz w:val="24"/>
                <w:szCs w:val="24"/>
                <w:lang w:eastAsia="lv-LV"/>
              </w:rPr>
              <w:t>, Rēzeknē</w:t>
            </w:r>
            <w:r w:rsidR="006A6E8D">
              <w:rPr>
                <w:rFonts w:ascii="Times New Roman" w:eastAsia="Times New Roman" w:hAnsi="Times New Roman"/>
                <w:bCs/>
                <w:sz w:val="24"/>
                <w:szCs w:val="24"/>
                <w:lang w:eastAsia="lv-LV"/>
              </w:rPr>
              <w:t xml:space="preserve"> (18.12.16</w:t>
            </w:r>
            <w:r w:rsidR="00033ACE">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un Valmierā</w:t>
            </w:r>
            <w:r w:rsidR="00033ACE">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 pašvaldību dienestu darbiniekiem likumprojekta apspriešanai. </w:t>
            </w:r>
            <w:r w:rsidR="00DB3C9C" w:rsidRPr="00CF1F66">
              <w:rPr>
                <w:rFonts w:ascii="Times New Roman" w:eastAsia="Times New Roman" w:hAnsi="Times New Roman"/>
                <w:bCs/>
                <w:sz w:val="24"/>
                <w:szCs w:val="24"/>
                <w:lang w:eastAsia="lv-LV"/>
              </w:rPr>
              <w:t>Tāpat arī likumprojekta izstrādes gaitā tika iesaistīti biedrības "Latvijas Pašvaldību savienība" deleģētie pārstāvji.</w:t>
            </w:r>
          </w:p>
          <w:p w:rsidR="00033ACE" w:rsidRDefault="00033ACE" w:rsidP="00945665">
            <w:pPr>
              <w:pStyle w:val="Parasts1"/>
              <w:spacing w:after="0" w:line="240" w:lineRule="auto"/>
              <w:ind w:firstLine="682"/>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Likumprojekta satura galvenie virzieni tika prezentēti Valsts Bērnu tiesībai aizsardzības inspekcijas rīkotajā seminārā pašvaldību administratīvo komisiju pārstāvjiem (Rīgā 17.06.16.)</w:t>
            </w:r>
          </w:p>
          <w:p w:rsidR="00E87FE0" w:rsidRPr="007F60EC" w:rsidRDefault="00E87FE0" w:rsidP="00945665">
            <w:pPr>
              <w:pStyle w:val="Parasts1"/>
              <w:spacing w:after="0" w:line="240" w:lineRule="auto"/>
              <w:ind w:firstLine="682"/>
              <w:jc w:val="both"/>
              <w:rPr>
                <w:rFonts w:ascii="Times New Roman" w:eastAsia="Times New Roman" w:hAnsi="Times New Roman"/>
                <w:bCs/>
                <w:color w:val="FF0000"/>
                <w:sz w:val="24"/>
                <w:szCs w:val="24"/>
                <w:lang w:eastAsia="lv-LV"/>
              </w:rPr>
            </w:pPr>
          </w:p>
        </w:tc>
      </w:tr>
      <w:tr w:rsidR="008752D4" w:rsidRPr="009D4D3C" w:rsidTr="009D4D3C">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4.</w:t>
            </w:r>
          </w:p>
        </w:tc>
        <w:tc>
          <w:tcPr>
            <w:tcW w:w="897"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Cita informācija</w:t>
            </w:r>
          </w:p>
        </w:tc>
        <w:tc>
          <w:tcPr>
            <w:tcW w:w="3853"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334484">
            <w:pPr>
              <w:pStyle w:val="Parasts1"/>
              <w:spacing w:after="0" w:line="240" w:lineRule="auto"/>
              <w:ind w:firstLine="682"/>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Nav</w:t>
            </w:r>
            <w:r w:rsidR="00C60570">
              <w:rPr>
                <w:rFonts w:ascii="Times New Roman" w:eastAsia="Times New Roman" w:hAnsi="Times New Roman"/>
                <w:sz w:val="24"/>
                <w:szCs w:val="24"/>
                <w:lang w:eastAsia="lv-LV"/>
              </w:rPr>
              <w:t>.</w:t>
            </w:r>
          </w:p>
        </w:tc>
      </w:tr>
    </w:tbl>
    <w:p w:rsidR="00F85567" w:rsidRPr="00E553A6" w:rsidRDefault="00F85567" w:rsidP="008752D4">
      <w:pPr>
        <w:pStyle w:val="Parasts1"/>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8"/>
        <w:gridCol w:w="4447"/>
        <w:gridCol w:w="9181"/>
      </w:tblGrid>
      <w:tr w:rsidR="00F85567" w:rsidRPr="00CF1F66" w:rsidTr="00B0631B">
        <w:trPr>
          <w:trHeight w:val="55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rsidR="00F85567" w:rsidRPr="00E553A6" w:rsidRDefault="00F85567" w:rsidP="00B0631B">
            <w:pPr>
              <w:pStyle w:val="Parasts1"/>
              <w:spacing w:after="0" w:line="240" w:lineRule="auto"/>
              <w:ind w:firstLine="300"/>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II. Tiesību akta projekta ietekme uz sabiedrību, tautsaimniecības attīstību un administratīvo slogu</w:t>
            </w:r>
          </w:p>
        </w:tc>
      </w:tr>
      <w:tr w:rsidR="00F85567" w:rsidRPr="00CF1F66" w:rsidTr="00B0631B">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85567" w:rsidRDefault="00E87FE0" w:rsidP="00E87FE0">
            <w:pPr>
              <w:pStyle w:val="Parasts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Bērni ar antisociālu uzvedību – </w:t>
            </w:r>
          </w:p>
          <w:p w:rsidR="00E87FE0" w:rsidRDefault="00E87FE0" w:rsidP="00E87FE0">
            <w:pPr>
              <w:pStyle w:val="Parasts1"/>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bērni, kas izdara kriminālpārkāpumus vai mazāk smagus noziegumus (550)</w:t>
            </w:r>
          </w:p>
          <w:p w:rsidR="00E87FE0" w:rsidRDefault="00E87FE0" w:rsidP="00E87FE0">
            <w:pPr>
              <w:pStyle w:val="Parasts1"/>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bērni, kas izdara administratīvos pārkāpumus (8500)</w:t>
            </w:r>
          </w:p>
          <w:p w:rsidR="00E87FE0" w:rsidRDefault="00E87FE0" w:rsidP="00E87FE0">
            <w:pPr>
              <w:pStyle w:val="Parasts1"/>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antisociāli bērni, kas nav izdarījuši likumpārkāpumus vai nav atbildības subjekti </w:t>
            </w:r>
            <w:r w:rsidR="00760CCB">
              <w:rPr>
                <w:rFonts w:ascii="Times New Roman" w:eastAsia="Times New Roman" w:hAnsi="Times New Roman"/>
                <w:sz w:val="24"/>
                <w:szCs w:val="24"/>
                <w:lang w:eastAsia="lv-LV"/>
              </w:rPr>
              <w:lastRenderedPageBreak/>
              <w:t>(4500</w:t>
            </w:r>
            <w:r>
              <w:rPr>
                <w:rFonts w:ascii="Times New Roman" w:eastAsia="Times New Roman" w:hAnsi="Times New Roman"/>
                <w:sz w:val="24"/>
                <w:szCs w:val="24"/>
                <w:lang w:eastAsia="lv-LV"/>
              </w:rPr>
              <w:t>)</w:t>
            </w:r>
          </w:p>
          <w:p w:rsidR="00E87FE0" w:rsidRDefault="0059095D" w:rsidP="00E87FE0">
            <w:pPr>
              <w:pStyle w:val="Parasts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Bērnu likumiskie pārstāvji</w:t>
            </w:r>
            <w:r w:rsidR="00E87FE0">
              <w:rPr>
                <w:rFonts w:ascii="Times New Roman" w:eastAsia="Times New Roman" w:hAnsi="Times New Roman"/>
                <w:sz w:val="24"/>
                <w:szCs w:val="24"/>
                <w:lang w:eastAsia="lv-LV"/>
              </w:rPr>
              <w:t xml:space="preserve">  ~ 20 00 rēķinot, ka ne visiem bērniem ir pilnas ģimenes.</w:t>
            </w:r>
          </w:p>
          <w:p w:rsidR="00E87FE0" w:rsidRPr="00E553A6" w:rsidRDefault="00E87FE0" w:rsidP="00E87FE0">
            <w:pPr>
              <w:pStyle w:val="Parasts1"/>
              <w:spacing w:after="0" w:line="240" w:lineRule="auto"/>
              <w:jc w:val="both"/>
              <w:rPr>
                <w:rFonts w:ascii="Times New Roman" w:eastAsia="Times New Roman" w:hAnsi="Times New Roman"/>
                <w:sz w:val="24"/>
                <w:szCs w:val="24"/>
                <w:lang w:eastAsia="lv-LV"/>
              </w:rPr>
            </w:pPr>
          </w:p>
        </w:tc>
      </w:tr>
      <w:tr w:rsidR="00F85567" w:rsidRPr="00CF1F66" w:rsidTr="00B0631B">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3E57D5" w:rsidRDefault="00311185" w:rsidP="003D7073">
            <w:pPr>
              <w:pStyle w:val="Parasts1"/>
              <w:spacing w:after="0" w:line="240" w:lineRule="auto"/>
              <w:ind w:left="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Tiesiskajam regulējumam nav tiešas ietekmes uz tautsaimniecību. Tomēr likumpārkāpumu prevencijas sistēmas ieviešana citās valstīs ir pierādījusi, ka ilgtermiņā investīcijas, kas ieguldītas likumpārkāpumu prevencijā, atmaksājas uz noziedzības mazināšanās rēķina. </w:t>
            </w:r>
            <w:r w:rsidR="00494C0C">
              <w:rPr>
                <w:rFonts w:ascii="Times New Roman" w:eastAsia="Times New Roman" w:hAnsi="Times New Roman"/>
                <w:sz w:val="24"/>
                <w:szCs w:val="24"/>
                <w:lang w:eastAsia="lv-LV"/>
              </w:rPr>
              <w:t xml:space="preserve">Tātad samazinās arī resursi, ko valsts tērē nozieguma seku administrēšanai. </w:t>
            </w:r>
          </w:p>
          <w:p w:rsidR="003E57D5" w:rsidRDefault="003E57D5" w:rsidP="003D7073">
            <w:pPr>
              <w:pStyle w:val="Parasts1"/>
              <w:spacing w:after="0" w:line="240" w:lineRule="auto"/>
              <w:ind w:left="80"/>
              <w:jc w:val="both"/>
              <w:rPr>
                <w:rFonts w:ascii="Times New Roman" w:eastAsia="Times New Roman" w:hAnsi="Times New Roman"/>
                <w:sz w:val="24"/>
                <w:szCs w:val="24"/>
                <w:lang w:eastAsia="lv-LV"/>
              </w:rPr>
            </w:pPr>
          </w:p>
          <w:p w:rsidR="003E57D5" w:rsidRPr="00AA7F81" w:rsidRDefault="003E57D5" w:rsidP="003E57D5">
            <w:pPr>
              <w:pStyle w:val="Parasts1"/>
              <w:spacing w:after="0" w:line="240" w:lineRule="auto"/>
              <w:ind w:left="80"/>
              <w:jc w:val="both"/>
              <w:rPr>
                <w:rFonts w:ascii="Times New Roman" w:eastAsia="Times New Roman" w:hAnsi="Times New Roman"/>
                <w:sz w:val="24"/>
                <w:szCs w:val="24"/>
                <w:lang w:eastAsia="lv-LV"/>
              </w:rPr>
            </w:pPr>
            <w:r w:rsidRPr="00AA7F81">
              <w:rPr>
                <w:rFonts w:ascii="Times New Roman" w:eastAsia="Times New Roman" w:hAnsi="Times New Roman"/>
                <w:sz w:val="24"/>
                <w:szCs w:val="24"/>
                <w:lang w:eastAsia="lv-LV"/>
              </w:rPr>
              <w:t xml:space="preserve">Pieredze pasaulē norāda uz to, ka </w:t>
            </w:r>
            <w:r w:rsidRPr="00494C0C">
              <w:rPr>
                <w:rFonts w:ascii="Times New Roman" w:eastAsia="Times New Roman" w:hAnsi="Times New Roman"/>
                <w:b/>
                <w:sz w:val="24"/>
                <w:szCs w:val="24"/>
                <w:u w:val="single"/>
                <w:lang w:eastAsia="lv-LV"/>
              </w:rPr>
              <w:t>izmaksas bērnu noziegumu prevencijai ilgtermiņā atmaksājas</w:t>
            </w:r>
            <w:r w:rsidRPr="00AA7F81">
              <w:rPr>
                <w:rFonts w:ascii="Times New Roman" w:eastAsia="Times New Roman" w:hAnsi="Times New Roman"/>
                <w:sz w:val="24"/>
                <w:szCs w:val="24"/>
                <w:lang w:eastAsia="lv-LV"/>
              </w:rPr>
              <w:t xml:space="preserve">, </w:t>
            </w:r>
            <w:r w:rsidR="00494C0C">
              <w:rPr>
                <w:rFonts w:ascii="Times New Roman" w:eastAsia="Times New Roman" w:hAnsi="Times New Roman"/>
                <w:sz w:val="24"/>
                <w:szCs w:val="24"/>
                <w:lang w:eastAsia="lv-LV"/>
              </w:rPr>
              <w:t xml:space="preserve">ja salīdzina kādas izmaksas ir kriminālajai justīcijai pirms bērnu likumpārkāpumu prevencijas pasākumiem un kādas izmaksas ir tad, kad darbojas prevencijas pasākumi, kas vērsti uz bērnu antisociālas un noziedzīgas uzvedības prevenciju. </w:t>
            </w:r>
            <w:r w:rsidRPr="00AA7F81">
              <w:rPr>
                <w:rFonts w:ascii="Times New Roman" w:eastAsia="Times New Roman" w:hAnsi="Times New Roman"/>
                <w:sz w:val="24"/>
                <w:szCs w:val="24"/>
                <w:lang w:eastAsia="lv-LV"/>
              </w:rPr>
              <w:t xml:space="preserve">. </w:t>
            </w:r>
            <w:r w:rsidRPr="00AA7F81">
              <w:rPr>
                <w:rFonts w:ascii="Times New Roman" w:eastAsia="Times New Roman" w:hAnsi="Times New Roman"/>
                <w:b/>
                <w:sz w:val="24"/>
                <w:szCs w:val="24"/>
                <w:u w:val="single"/>
                <w:lang w:eastAsia="lv-LV"/>
              </w:rPr>
              <w:t>Tiek uzskatīts, ka izmaksas bērnu likumpārkāpumu prevencijas sistēmas uzturēšanai ir nevis izdevumi, bet gan ieguldījumi nākotnē.</w:t>
            </w:r>
            <w:r w:rsidR="00494C0C">
              <w:rPr>
                <w:rFonts w:ascii="Times New Roman" w:eastAsia="Times New Roman" w:hAnsi="Times New Roman"/>
                <w:sz w:val="24"/>
                <w:szCs w:val="24"/>
                <w:lang w:eastAsia="lv-LV"/>
              </w:rPr>
              <w:t xml:space="preserve"> ASV, Kanādā un Īrijā</w:t>
            </w:r>
            <w:r w:rsidRPr="00AA7F81">
              <w:rPr>
                <w:rFonts w:ascii="Times New Roman" w:eastAsia="Times New Roman" w:hAnsi="Times New Roman"/>
                <w:sz w:val="24"/>
                <w:szCs w:val="24"/>
                <w:lang w:eastAsia="lv-LV"/>
              </w:rPr>
              <w:t xml:space="preserve"> veikti aprēķini, ka katrs viens bērnu likumpārkāpumu sistēmā ieguldīts euro</w:t>
            </w:r>
            <w:r w:rsidR="00494C0C">
              <w:rPr>
                <w:rFonts w:ascii="Times New Roman" w:eastAsia="Times New Roman" w:hAnsi="Times New Roman"/>
                <w:sz w:val="24"/>
                <w:szCs w:val="24"/>
                <w:lang w:eastAsia="lv-LV"/>
              </w:rPr>
              <w:t xml:space="preserve"> vai dolārs</w:t>
            </w:r>
            <w:r w:rsidRPr="00AA7F81">
              <w:rPr>
                <w:rFonts w:ascii="Times New Roman" w:eastAsia="Times New Roman" w:hAnsi="Times New Roman"/>
                <w:sz w:val="24"/>
                <w:szCs w:val="24"/>
                <w:lang w:eastAsia="lv-LV"/>
              </w:rPr>
              <w:t>, vai nākotnē ietaupīt 3 līdz pat 45 euro.</w:t>
            </w:r>
            <w:r w:rsidRPr="00AA7F81">
              <w:rPr>
                <w:rStyle w:val="Vresatsauce"/>
                <w:rFonts w:ascii="Times New Roman" w:eastAsia="Times New Roman" w:hAnsi="Times New Roman"/>
                <w:sz w:val="24"/>
                <w:szCs w:val="24"/>
                <w:lang w:eastAsia="lv-LV"/>
              </w:rPr>
              <w:footnoteReference w:id="19"/>
            </w:r>
            <w:r>
              <w:rPr>
                <w:rFonts w:ascii="Times New Roman" w:eastAsia="Times New Roman" w:hAnsi="Times New Roman"/>
                <w:sz w:val="24"/>
                <w:szCs w:val="24"/>
                <w:lang w:eastAsia="lv-LV"/>
              </w:rPr>
              <w:t xml:space="preserve"> </w:t>
            </w:r>
            <w:r w:rsidR="00494C0C">
              <w:rPr>
                <w:rFonts w:ascii="Times New Roman" w:eastAsia="Times New Roman" w:hAnsi="Times New Roman"/>
                <w:sz w:val="24"/>
                <w:szCs w:val="24"/>
                <w:lang w:eastAsia="lv-LV"/>
              </w:rPr>
              <w:t>Ir piln</w:t>
            </w:r>
            <w:r w:rsidR="00511B9D">
              <w:rPr>
                <w:rFonts w:ascii="Times New Roman" w:eastAsia="Times New Roman" w:hAnsi="Times New Roman"/>
                <w:sz w:val="24"/>
                <w:szCs w:val="24"/>
                <w:lang w:eastAsia="lv-LV"/>
              </w:rPr>
              <w:t>īgs pamats apgalvot, ka ieviešot</w:t>
            </w:r>
            <w:r w:rsidR="00494C0C">
              <w:rPr>
                <w:rFonts w:ascii="Times New Roman" w:eastAsia="Times New Roman" w:hAnsi="Times New Roman"/>
                <w:sz w:val="24"/>
                <w:szCs w:val="24"/>
                <w:lang w:eastAsia="lv-LV"/>
              </w:rPr>
              <w:t xml:space="preserve"> bērnu antisociālas prevencijas sistēmu, arī Latvijā samazināsies resursi, kas tiek iegultīti kriminālās justīcijas īstenošanā. </w:t>
            </w:r>
          </w:p>
          <w:p w:rsidR="003E57D5" w:rsidRDefault="003E57D5" w:rsidP="003D7073">
            <w:pPr>
              <w:pStyle w:val="Parasts1"/>
              <w:spacing w:after="0" w:line="240" w:lineRule="auto"/>
              <w:ind w:left="80"/>
              <w:jc w:val="both"/>
              <w:rPr>
                <w:rFonts w:ascii="Times New Roman" w:eastAsia="Times New Roman" w:hAnsi="Times New Roman"/>
                <w:sz w:val="24"/>
                <w:szCs w:val="24"/>
                <w:lang w:eastAsia="lv-LV"/>
              </w:rPr>
            </w:pPr>
          </w:p>
          <w:p w:rsidR="007A2B9C" w:rsidRDefault="00494C0C" w:rsidP="00494C0C">
            <w:pPr>
              <w:pStyle w:val="Parasts1"/>
              <w:spacing w:after="0" w:line="240" w:lineRule="auto"/>
              <w:ind w:left="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Latvijā nav veikti precīzi aprēķini, cik izmaksā viena krimināllieta vai administratīvā pārkāpuma lieta. Izdevumi kriminālās justīcijas administrēšanai nosacīti var tikt iedalīti šādās izdevumu kategorijās</w:t>
            </w:r>
            <w:r w:rsidR="00311185">
              <w:rPr>
                <w:rFonts w:ascii="Times New Roman" w:eastAsia="Times New Roman" w:hAnsi="Times New Roman"/>
                <w:sz w:val="24"/>
                <w:szCs w:val="24"/>
                <w:lang w:eastAsia="lv-LV"/>
              </w:rPr>
              <w:t>: 1) Valsts policijas resursi lietas izmeklēšanai; 2) izņemto pierād</w:t>
            </w:r>
            <w:r w:rsidR="007A2B9C">
              <w:rPr>
                <w:rFonts w:ascii="Times New Roman" w:eastAsia="Times New Roman" w:hAnsi="Times New Roman"/>
                <w:sz w:val="24"/>
                <w:szCs w:val="24"/>
                <w:lang w:eastAsia="lv-LV"/>
              </w:rPr>
              <w:t xml:space="preserve">ījumu glabāšana un iznīcināšana </w:t>
            </w:r>
            <w:r w:rsidR="007A2B9C" w:rsidRPr="007A2B9C">
              <w:rPr>
                <w:rFonts w:ascii="Times New Roman" w:eastAsia="Times New Roman" w:hAnsi="Times New Roman"/>
                <w:b/>
                <w:sz w:val="24"/>
                <w:szCs w:val="24"/>
                <w:lang w:eastAsia="lv-LV"/>
              </w:rPr>
              <w:t xml:space="preserve">(1 519 000 euro) </w:t>
            </w:r>
            <w:r w:rsidR="007A2B9C">
              <w:rPr>
                <w:rStyle w:val="Vresatsauce"/>
                <w:rFonts w:ascii="Times New Roman" w:eastAsia="Times New Roman" w:hAnsi="Times New Roman"/>
                <w:sz w:val="24"/>
                <w:szCs w:val="24"/>
                <w:lang w:eastAsia="lv-LV"/>
              </w:rPr>
              <w:footnoteReference w:id="20"/>
            </w:r>
            <w:r w:rsidR="00311185">
              <w:rPr>
                <w:rFonts w:ascii="Times New Roman" w:eastAsia="Times New Roman" w:hAnsi="Times New Roman"/>
                <w:sz w:val="24"/>
                <w:szCs w:val="24"/>
                <w:lang w:eastAsia="lv-LV"/>
              </w:rPr>
              <w:t xml:space="preserve">; 3) prokuratūras </w:t>
            </w:r>
            <w:r w:rsidR="007A2B9C">
              <w:rPr>
                <w:rFonts w:ascii="Times New Roman" w:eastAsia="Times New Roman" w:hAnsi="Times New Roman"/>
                <w:sz w:val="24"/>
                <w:szCs w:val="24"/>
                <w:lang w:eastAsia="lv-LV"/>
              </w:rPr>
              <w:t xml:space="preserve">iestāžu resursi </w:t>
            </w:r>
            <w:r w:rsidR="007A2B9C" w:rsidRPr="007A2B9C">
              <w:rPr>
                <w:rFonts w:ascii="Times New Roman" w:eastAsia="Times New Roman" w:hAnsi="Times New Roman"/>
                <w:b/>
                <w:sz w:val="24"/>
                <w:szCs w:val="24"/>
                <w:lang w:eastAsia="lv-LV"/>
              </w:rPr>
              <w:t>(23 661 000 euro )</w:t>
            </w:r>
            <w:r w:rsidR="00311185">
              <w:rPr>
                <w:rFonts w:ascii="Times New Roman" w:eastAsia="Times New Roman" w:hAnsi="Times New Roman"/>
                <w:sz w:val="24"/>
                <w:szCs w:val="24"/>
                <w:lang w:eastAsia="lv-LV"/>
              </w:rPr>
              <w:t>; 4) tiesas darbs lietas iztiesāšanai</w:t>
            </w:r>
            <w:r w:rsidR="007A2B9C">
              <w:rPr>
                <w:rFonts w:ascii="Times New Roman" w:eastAsia="Times New Roman" w:hAnsi="Times New Roman"/>
                <w:sz w:val="24"/>
                <w:szCs w:val="24"/>
                <w:lang w:eastAsia="lv-LV"/>
              </w:rPr>
              <w:t xml:space="preserve"> </w:t>
            </w:r>
            <w:r w:rsidR="007A2B9C" w:rsidRPr="007A2B9C">
              <w:rPr>
                <w:rFonts w:ascii="Times New Roman" w:eastAsia="Times New Roman" w:hAnsi="Times New Roman"/>
                <w:b/>
                <w:sz w:val="24"/>
                <w:szCs w:val="24"/>
                <w:lang w:eastAsia="lv-LV"/>
              </w:rPr>
              <w:t>(36 976 000 euro)</w:t>
            </w:r>
            <w:r w:rsidR="00311185">
              <w:rPr>
                <w:rFonts w:ascii="Times New Roman" w:eastAsia="Times New Roman" w:hAnsi="Times New Roman"/>
                <w:sz w:val="24"/>
                <w:szCs w:val="24"/>
                <w:lang w:eastAsia="lv-LV"/>
              </w:rPr>
              <w:t xml:space="preserve">; </w:t>
            </w:r>
            <w:r w:rsidR="007A2B9C">
              <w:rPr>
                <w:rFonts w:ascii="Times New Roman" w:eastAsia="Times New Roman" w:hAnsi="Times New Roman"/>
                <w:sz w:val="24"/>
                <w:szCs w:val="24"/>
                <w:lang w:eastAsia="lv-LV"/>
              </w:rPr>
              <w:t>5</w:t>
            </w:r>
            <w:r w:rsidR="00EA6DB3">
              <w:rPr>
                <w:rFonts w:ascii="Times New Roman" w:eastAsia="Times New Roman" w:hAnsi="Times New Roman"/>
                <w:sz w:val="24"/>
                <w:szCs w:val="24"/>
                <w:lang w:eastAsia="lv-LV"/>
              </w:rPr>
              <w:t>) izmaksas par valsts nodrošināto juridisko palīdzību</w:t>
            </w:r>
            <w:r w:rsidR="007A2B9C">
              <w:rPr>
                <w:rFonts w:ascii="Times New Roman" w:eastAsia="Times New Roman" w:hAnsi="Times New Roman"/>
                <w:sz w:val="24"/>
                <w:szCs w:val="24"/>
                <w:lang w:eastAsia="lv-LV"/>
              </w:rPr>
              <w:t xml:space="preserve"> krimināllietās un tiesu izpildītāju darbs </w:t>
            </w:r>
            <w:r w:rsidR="007A2B9C" w:rsidRPr="007A2B9C">
              <w:rPr>
                <w:rFonts w:ascii="Times New Roman" w:eastAsia="Times New Roman" w:hAnsi="Times New Roman"/>
                <w:b/>
                <w:sz w:val="24"/>
                <w:szCs w:val="24"/>
                <w:lang w:eastAsia="lv-LV"/>
              </w:rPr>
              <w:t>(2 606 000 euro)</w:t>
            </w:r>
            <w:r w:rsidR="00EA6DB3">
              <w:rPr>
                <w:rFonts w:ascii="Times New Roman" w:eastAsia="Times New Roman" w:hAnsi="Times New Roman"/>
                <w:sz w:val="24"/>
                <w:szCs w:val="24"/>
                <w:lang w:eastAsia="lv-LV"/>
              </w:rPr>
              <w:t>;</w:t>
            </w:r>
            <w:r w:rsidR="00311185">
              <w:rPr>
                <w:rFonts w:ascii="Times New Roman" w:eastAsia="Times New Roman" w:hAnsi="Times New Roman"/>
                <w:sz w:val="24"/>
                <w:szCs w:val="24"/>
                <w:lang w:eastAsia="lv-LV"/>
              </w:rPr>
              <w:t xml:space="preserve"> </w:t>
            </w:r>
            <w:r w:rsidR="007A2B9C">
              <w:rPr>
                <w:rFonts w:ascii="Times New Roman" w:eastAsia="Times New Roman" w:hAnsi="Times New Roman"/>
                <w:sz w:val="24"/>
                <w:szCs w:val="24"/>
                <w:lang w:eastAsia="lv-LV"/>
              </w:rPr>
              <w:t>5</w:t>
            </w:r>
            <w:r w:rsidR="00702E00">
              <w:rPr>
                <w:rFonts w:ascii="Times New Roman" w:eastAsia="Times New Roman" w:hAnsi="Times New Roman"/>
                <w:sz w:val="24"/>
                <w:szCs w:val="24"/>
                <w:lang w:eastAsia="lv-LV"/>
              </w:rPr>
              <w:t>) ieslodzītā uzturēšana ieslodzījuma vietā, ja piespriests brīvības atņem</w:t>
            </w:r>
            <w:r w:rsidR="00EA6DB3">
              <w:rPr>
                <w:rFonts w:ascii="Times New Roman" w:eastAsia="Times New Roman" w:hAnsi="Times New Roman"/>
                <w:sz w:val="24"/>
                <w:szCs w:val="24"/>
                <w:lang w:eastAsia="lv-LV"/>
              </w:rPr>
              <w:t>šanas sods</w:t>
            </w:r>
            <w:r w:rsidR="007A2B9C">
              <w:rPr>
                <w:rFonts w:ascii="Times New Roman" w:eastAsia="Times New Roman" w:hAnsi="Times New Roman"/>
                <w:sz w:val="24"/>
                <w:szCs w:val="24"/>
                <w:lang w:eastAsia="lv-LV"/>
              </w:rPr>
              <w:t xml:space="preserve"> </w:t>
            </w:r>
            <w:r w:rsidR="007A2B9C" w:rsidRPr="007A2B9C">
              <w:rPr>
                <w:rFonts w:ascii="Times New Roman" w:eastAsia="Times New Roman" w:hAnsi="Times New Roman"/>
                <w:b/>
                <w:sz w:val="24"/>
                <w:szCs w:val="24"/>
                <w:lang w:eastAsia="lv-LV"/>
              </w:rPr>
              <w:t>(46 879 000 euro)</w:t>
            </w:r>
            <w:r w:rsidR="007A2B9C">
              <w:rPr>
                <w:rFonts w:ascii="Times New Roman" w:eastAsia="Times New Roman" w:hAnsi="Times New Roman"/>
                <w:sz w:val="24"/>
                <w:szCs w:val="24"/>
                <w:lang w:eastAsia="lv-LV"/>
              </w:rPr>
              <w:t>; 6</w:t>
            </w:r>
            <w:r w:rsidR="00702E00">
              <w:rPr>
                <w:rFonts w:ascii="Times New Roman" w:eastAsia="Times New Roman" w:hAnsi="Times New Roman"/>
                <w:sz w:val="24"/>
                <w:szCs w:val="24"/>
                <w:lang w:eastAsia="lv-LV"/>
              </w:rPr>
              <w:t>) Valsts probācijas dienesta darbs par piespiedu darba administrēšanu un resocializācijas programmu veikšanu</w:t>
            </w:r>
            <w:r w:rsidR="007A2B9C">
              <w:rPr>
                <w:rFonts w:ascii="Times New Roman" w:eastAsia="Times New Roman" w:hAnsi="Times New Roman"/>
                <w:sz w:val="24"/>
                <w:szCs w:val="24"/>
                <w:lang w:eastAsia="lv-LV"/>
              </w:rPr>
              <w:t xml:space="preserve"> </w:t>
            </w:r>
            <w:r w:rsidR="007A2B9C" w:rsidRPr="007A2B9C">
              <w:rPr>
                <w:rFonts w:ascii="Times New Roman" w:eastAsia="Times New Roman" w:hAnsi="Times New Roman"/>
                <w:b/>
                <w:sz w:val="24"/>
                <w:szCs w:val="24"/>
                <w:lang w:eastAsia="lv-LV"/>
              </w:rPr>
              <w:t>(6 340 000 euro)</w:t>
            </w:r>
            <w:r w:rsidR="007A2B9C">
              <w:rPr>
                <w:rFonts w:ascii="Times New Roman" w:eastAsia="Times New Roman" w:hAnsi="Times New Roman"/>
                <w:sz w:val="24"/>
                <w:szCs w:val="24"/>
                <w:lang w:eastAsia="lv-LV"/>
              </w:rPr>
              <w:t>; 7</w:t>
            </w:r>
            <w:r w:rsidR="00702E00">
              <w:rPr>
                <w:rFonts w:ascii="Times New Roman" w:eastAsia="Times New Roman" w:hAnsi="Times New Roman"/>
                <w:sz w:val="24"/>
                <w:szCs w:val="24"/>
                <w:lang w:eastAsia="lv-LV"/>
              </w:rPr>
              <w:t xml:space="preserve">) valsts kompensācijas izmaksas cietušajam, ja izdarīts tīšs noziedzīgs nodarījums, kura rezultātā iestājusies cietušā nāve vai </w:t>
            </w:r>
            <w:r w:rsidR="00702E00">
              <w:rPr>
                <w:rFonts w:ascii="Times New Roman" w:eastAsia="Times New Roman" w:hAnsi="Times New Roman"/>
                <w:sz w:val="24"/>
                <w:szCs w:val="24"/>
                <w:lang w:eastAsia="lv-LV"/>
              </w:rPr>
              <w:lastRenderedPageBreak/>
              <w:t>smagi miesas bijājumi, u.c.</w:t>
            </w:r>
            <w:r w:rsidR="007A2B9C">
              <w:rPr>
                <w:rFonts w:ascii="Times New Roman" w:eastAsia="Times New Roman" w:hAnsi="Times New Roman"/>
                <w:sz w:val="24"/>
                <w:szCs w:val="24"/>
                <w:lang w:eastAsia="lv-LV"/>
              </w:rPr>
              <w:t xml:space="preserve"> </w:t>
            </w:r>
            <w:r w:rsidR="007A2B9C" w:rsidRPr="007A2B9C">
              <w:rPr>
                <w:rFonts w:ascii="Times New Roman" w:eastAsia="Times New Roman" w:hAnsi="Times New Roman"/>
                <w:b/>
                <w:sz w:val="24"/>
                <w:szCs w:val="24"/>
                <w:lang w:eastAsia="lv-LV"/>
              </w:rPr>
              <w:t>(656 000 euro)</w:t>
            </w:r>
            <w:r w:rsidR="007D4D39" w:rsidRPr="007A2B9C">
              <w:rPr>
                <w:rFonts w:ascii="Times New Roman" w:eastAsia="Times New Roman" w:hAnsi="Times New Roman"/>
                <w:b/>
                <w:sz w:val="24"/>
                <w:szCs w:val="24"/>
                <w:lang w:eastAsia="lv-LV"/>
              </w:rPr>
              <w:t>;</w:t>
            </w:r>
            <w:r w:rsidR="007A2B9C">
              <w:rPr>
                <w:rFonts w:ascii="Times New Roman" w:eastAsia="Times New Roman" w:hAnsi="Times New Roman"/>
                <w:sz w:val="24"/>
                <w:szCs w:val="24"/>
                <w:lang w:eastAsia="lv-LV"/>
              </w:rPr>
              <w:t xml:space="preserve"> 8) izmaksas Sodu reģistru, meklēšanā esošo personu un lietu reģistrs, biometrisko datu reģistrs, u.c. uzturēšanai </w:t>
            </w:r>
            <w:r w:rsidR="007A2B9C" w:rsidRPr="007A2B9C">
              <w:rPr>
                <w:rFonts w:ascii="Times New Roman" w:eastAsia="Times New Roman" w:hAnsi="Times New Roman"/>
                <w:b/>
                <w:sz w:val="24"/>
                <w:szCs w:val="24"/>
                <w:lang w:eastAsia="lv-LV"/>
              </w:rPr>
              <w:t>(11 601 000 euro)</w:t>
            </w:r>
            <w:r w:rsidR="007D4D39">
              <w:rPr>
                <w:rFonts w:ascii="Times New Roman" w:eastAsia="Times New Roman" w:hAnsi="Times New Roman"/>
                <w:sz w:val="24"/>
                <w:szCs w:val="24"/>
                <w:lang w:eastAsia="lv-LV"/>
              </w:rPr>
              <w:t>.</w:t>
            </w:r>
            <w:r w:rsidR="00702E00">
              <w:rPr>
                <w:rFonts w:ascii="Times New Roman" w:eastAsia="Times New Roman" w:hAnsi="Times New Roman"/>
                <w:sz w:val="24"/>
                <w:szCs w:val="24"/>
                <w:lang w:eastAsia="lv-LV"/>
              </w:rPr>
              <w:t xml:space="preserve">  </w:t>
            </w:r>
          </w:p>
          <w:p w:rsidR="007A2B9C" w:rsidRDefault="007A2B9C" w:rsidP="00494C0C">
            <w:pPr>
              <w:pStyle w:val="Parasts1"/>
              <w:spacing w:after="0" w:line="240" w:lineRule="auto"/>
              <w:ind w:left="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Tātad šobrīd aplēšamās izmaksas kriminālās justīcijas administrēšanai ir </w:t>
            </w:r>
            <w:r w:rsidR="006631A2" w:rsidRPr="006631A2">
              <w:rPr>
                <w:rFonts w:ascii="Times New Roman" w:eastAsia="Times New Roman" w:hAnsi="Times New Roman"/>
                <w:b/>
                <w:sz w:val="24"/>
                <w:szCs w:val="24"/>
                <w:lang w:eastAsia="lv-LV"/>
              </w:rPr>
              <w:t>aptuveni 130 238 000 euro gadā.</w:t>
            </w:r>
            <w:r w:rsidR="006631A2">
              <w:rPr>
                <w:rFonts w:ascii="Times New Roman" w:eastAsia="Times New Roman" w:hAnsi="Times New Roman"/>
                <w:sz w:val="24"/>
                <w:szCs w:val="24"/>
                <w:lang w:eastAsia="lv-LV"/>
              </w:rPr>
              <w:t xml:space="preserve"> Šajās izmaksās netiek ieskaitīts Valsts policijas darbs krimināllietas izmeklēšanas stadijā. </w:t>
            </w:r>
            <w:r w:rsidR="00C874FA">
              <w:rPr>
                <w:rFonts w:ascii="Times New Roman" w:eastAsia="Times New Roman" w:hAnsi="Times New Roman"/>
                <w:sz w:val="24"/>
                <w:szCs w:val="24"/>
                <w:lang w:eastAsia="lv-LV"/>
              </w:rPr>
              <w:t>Pirmās instances tiesā pēdējo četru gadu laikā ik gadu tiek ierosinātas ap 10 000 krimināllietu</w:t>
            </w:r>
            <w:r w:rsidR="00DF1304">
              <w:rPr>
                <w:rFonts w:ascii="Times New Roman" w:eastAsia="Times New Roman" w:hAnsi="Times New Roman"/>
                <w:sz w:val="24"/>
                <w:szCs w:val="24"/>
                <w:lang w:eastAsia="lv-LV"/>
              </w:rPr>
              <w:t xml:space="preserve"> (2013.gadā – 9122; 2014.gadā – 9482; 2015.gadā – 10475, 2016.gada pirmajā pusē – 5572)</w:t>
            </w:r>
            <w:r w:rsidR="00DF1304">
              <w:rPr>
                <w:rStyle w:val="Vresatsauce"/>
                <w:rFonts w:ascii="Times New Roman" w:eastAsia="Times New Roman" w:hAnsi="Times New Roman"/>
                <w:sz w:val="24"/>
                <w:szCs w:val="24"/>
                <w:lang w:eastAsia="lv-LV"/>
              </w:rPr>
              <w:footnoteReference w:id="21"/>
            </w:r>
            <w:r w:rsidR="00DF1304">
              <w:rPr>
                <w:rFonts w:ascii="Times New Roman" w:eastAsia="Times New Roman" w:hAnsi="Times New Roman"/>
                <w:sz w:val="24"/>
                <w:szCs w:val="24"/>
                <w:lang w:eastAsia="lv-LV"/>
              </w:rPr>
              <w:t xml:space="preserve"> </w:t>
            </w:r>
            <w:r w:rsidR="00C874FA">
              <w:rPr>
                <w:rFonts w:ascii="Times New Roman" w:eastAsia="Times New Roman" w:hAnsi="Times New Roman"/>
                <w:sz w:val="24"/>
                <w:szCs w:val="24"/>
                <w:lang w:eastAsia="lv-LV"/>
              </w:rPr>
              <w:t xml:space="preserve">. </w:t>
            </w:r>
          </w:p>
          <w:p w:rsidR="006631A2" w:rsidRDefault="006631A2" w:rsidP="00494C0C">
            <w:pPr>
              <w:pStyle w:val="Parasts1"/>
              <w:spacing w:after="0" w:line="240" w:lineRule="auto"/>
              <w:ind w:left="80"/>
              <w:jc w:val="both"/>
              <w:rPr>
                <w:rFonts w:ascii="Times New Roman" w:eastAsia="Times New Roman" w:hAnsi="Times New Roman"/>
                <w:sz w:val="24"/>
                <w:szCs w:val="24"/>
                <w:lang w:eastAsia="lv-LV"/>
              </w:rPr>
            </w:pPr>
          </w:p>
          <w:p w:rsidR="006631A2" w:rsidRDefault="006631A2" w:rsidP="00494C0C">
            <w:pPr>
              <w:pStyle w:val="Parasts1"/>
              <w:spacing w:after="0" w:line="240" w:lineRule="auto"/>
              <w:ind w:left="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Aprēķini par vienas administratīvo pārkāpumu lietas izmaksām nav veikti. Pēdējo gadu laikā Latvijā sastādīti vidēji 450 000 līdz 500 000 administratīvo pārkāpumu protokolu. </w:t>
            </w:r>
            <w:r w:rsidR="00465778">
              <w:rPr>
                <w:rFonts w:ascii="Times New Roman" w:eastAsia="Times New Roman" w:hAnsi="Times New Roman"/>
                <w:sz w:val="24"/>
                <w:szCs w:val="24"/>
                <w:lang w:eastAsia="lv-LV"/>
              </w:rPr>
              <w:t>Resursi, ko Valsts policija, pašvaldību policijas, pašvaldību administratīvās komisijas, Valsts ieņēmumu dienests, Valsts robežsardze, Pārtikas veterinārais dienests, Valsts darba inspekcija, tiesas, prokuratūra un tiesu izpildītāji iegulda administratīvo pārkāpumu lietvedības</w:t>
            </w:r>
            <w:r w:rsidR="00C874FA">
              <w:rPr>
                <w:rFonts w:ascii="Times New Roman" w:eastAsia="Times New Roman" w:hAnsi="Times New Roman"/>
                <w:sz w:val="24"/>
                <w:szCs w:val="24"/>
                <w:lang w:eastAsia="lv-LV"/>
              </w:rPr>
              <w:t xml:space="preserve"> administrēšanai ir vismaz salīdzināmi ar resursiem, kas tiek tērēti kriminālprocesa administrēšanai. </w:t>
            </w:r>
          </w:p>
          <w:p w:rsidR="007A2B9C" w:rsidRDefault="007A2B9C" w:rsidP="00C874FA">
            <w:pPr>
              <w:pStyle w:val="Parasts1"/>
              <w:spacing w:after="0" w:line="240" w:lineRule="auto"/>
              <w:jc w:val="both"/>
              <w:rPr>
                <w:rFonts w:ascii="Times New Roman" w:eastAsia="Times New Roman" w:hAnsi="Times New Roman"/>
                <w:sz w:val="24"/>
                <w:szCs w:val="24"/>
                <w:lang w:eastAsia="lv-LV"/>
              </w:rPr>
            </w:pPr>
          </w:p>
          <w:p w:rsidR="00A762B8" w:rsidRDefault="00702E00" w:rsidP="00494C0C">
            <w:pPr>
              <w:pStyle w:val="Parasts1"/>
              <w:spacing w:after="0" w:line="240" w:lineRule="auto"/>
              <w:ind w:left="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tam gandrīz katrs noziedzīgs nodarījums ir </w:t>
            </w:r>
            <w:r w:rsidRPr="007A2B9C">
              <w:rPr>
                <w:rFonts w:ascii="Times New Roman" w:eastAsia="Times New Roman" w:hAnsi="Times New Roman"/>
                <w:b/>
                <w:sz w:val="24"/>
                <w:szCs w:val="24"/>
                <w:lang w:eastAsia="lv-LV"/>
              </w:rPr>
              <w:t>saistīts ar noteikta mantiska zaudējuma vai morāla k</w:t>
            </w:r>
            <w:r w:rsidR="0064004E" w:rsidRPr="007A2B9C">
              <w:rPr>
                <w:rFonts w:ascii="Times New Roman" w:eastAsia="Times New Roman" w:hAnsi="Times New Roman"/>
                <w:b/>
                <w:sz w:val="24"/>
                <w:szCs w:val="24"/>
                <w:lang w:eastAsia="lv-LV"/>
              </w:rPr>
              <w:t>aitējuma nodarīšanu cietušajiem,</w:t>
            </w:r>
            <w:r w:rsidR="0064004E">
              <w:rPr>
                <w:rFonts w:ascii="Times New Roman" w:eastAsia="Times New Roman" w:hAnsi="Times New Roman"/>
                <w:sz w:val="24"/>
                <w:szCs w:val="24"/>
                <w:lang w:eastAsia="lv-LV"/>
              </w:rPr>
              <w:t xml:space="preserve"> līdz ar to zaudējumi, ko nodara viens noziedzīgs nodarījums neatver tikai valsts izmaksas, bet var skart ikvienu sabiedrības locekli.</w:t>
            </w:r>
            <w:r>
              <w:rPr>
                <w:rFonts w:ascii="Times New Roman" w:eastAsia="Times New Roman" w:hAnsi="Times New Roman"/>
                <w:sz w:val="24"/>
                <w:szCs w:val="24"/>
                <w:lang w:eastAsia="lv-LV"/>
              </w:rPr>
              <w:t xml:space="preserve"> </w:t>
            </w:r>
          </w:p>
          <w:p w:rsidR="00C73BB1" w:rsidRPr="00C73BB1" w:rsidRDefault="00EA6DB3" w:rsidP="007A2B9C">
            <w:pPr>
              <w:pStyle w:val="Parasts1"/>
              <w:spacing w:after="0" w:line="240" w:lineRule="auto"/>
              <w:ind w:left="8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 </w:t>
            </w:r>
          </w:p>
          <w:p w:rsidR="00C874FA" w:rsidRDefault="00C874FA" w:rsidP="00C874FA">
            <w:pPr>
              <w:pStyle w:val="Parasts1"/>
              <w:spacing w:after="0" w:line="240" w:lineRule="auto"/>
              <w:ind w:left="80"/>
              <w:jc w:val="both"/>
              <w:rPr>
                <w:rFonts w:ascii="Times New Roman" w:eastAsia="Times New Roman" w:hAnsi="Times New Roman"/>
                <w:sz w:val="24"/>
                <w:szCs w:val="24"/>
                <w:lang w:eastAsia="lv-LV"/>
              </w:rPr>
            </w:pPr>
          </w:p>
          <w:p w:rsidR="00C874FA" w:rsidRDefault="00C874FA" w:rsidP="00C874FA">
            <w:pPr>
              <w:pStyle w:val="Parasts1"/>
              <w:spacing w:after="0" w:line="240" w:lineRule="auto"/>
              <w:ind w:left="80"/>
              <w:jc w:val="both"/>
              <w:rPr>
                <w:rFonts w:ascii="Times New Roman" w:eastAsia="Times New Roman" w:hAnsi="Times New Roman"/>
                <w:sz w:val="24"/>
                <w:szCs w:val="24"/>
                <w:lang w:eastAsia="lv-LV"/>
              </w:rPr>
            </w:pPr>
          </w:p>
          <w:p w:rsidR="00C874FA" w:rsidRPr="00E553A6" w:rsidRDefault="00C874FA" w:rsidP="00C874FA">
            <w:pPr>
              <w:pStyle w:val="Parasts1"/>
              <w:spacing w:after="0" w:line="240" w:lineRule="auto"/>
              <w:ind w:left="80"/>
              <w:jc w:val="both"/>
              <w:rPr>
                <w:rFonts w:ascii="Times New Roman" w:eastAsia="Times New Roman" w:hAnsi="Times New Roman"/>
                <w:sz w:val="24"/>
                <w:szCs w:val="24"/>
                <w:lang w:eastAsia="lv-LV"/>
              </w:rPr>
            </w:pPr>
          </w:p>
        </w:tc>
      </w:tr>
      <w:tr w:rsidR="00F85567" w:rsidRPr="00CF1F66" w:rsidTr="00B0631B">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AA7F81" w:rsidRDefault="00AA7F81"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Administratīvo izmaksu monetārs novērtējums bērna likumiskajiem pārstāvjiem.</w:t>
            </w:r>
          </w:p>
          <w:p w:rsidR="008F2015" w:rsidRDefault="008F2015"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Riska un aizsardzības faktoru novērtējums un prevencijas pasākuma plāna sastādīšana:</w:t>
            </w:r>
          </w:p>
          <w:p w:rsidR="008F2015" w:rsidRDefault="0067140C"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608</w:t>
            </w:r>
            <w:r w:rsidR="00AA7F81">
              <w:rPr>
                <w:rFonts w:ascii="Times New Roman" w:eastAsia="Times New Roman" w:hAnsi="Times New Roman"/>
                <w:sz w:val="24"/>
                <w:szCs w:val="24"/>
                <w:lang w:eastAsia="lv-LV"/>
              </w:rPr>
              <w:t xml:space="preserve"> 000 </w:t>
            </w:r>
            <w:r>
              <w:rPr>
                <w:rFonts w:ascii="Times New Roman" w:eastAsia="Times New Roman" w:hAnsi="Times New Roman"/>
                <w:sz w:val="24"/>
                <w:szCs w:val="24"/>
                <w:lang w:eastAsia="lv-LV"/>
              </w:rPr>
              <w:t>= 3,8 x 8</w:t>
            </w:r>
            <w:r w:rsidR="00AA7F81">
              <w:rPr>
                <w:rFonts w:ascii="Times New Roman" w:eastAsia="Times New Roman" w:hAnsi="Times New Roman"/>
                <w:sz w:val="24"/>
                <w:szCs w:val="24"/>
                <w:lang w:eastAsia="lv-LV"/>
              </w:rPr>
              <w:t xml:space="preserve"> x 20 000 x 1, kur:</w:t>
            </w:r>
          </w:p>
          <w:p w:rsidR="00AA7F81" w:rsidRDefault="0067140C"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(f)  - </w:t>
            </w:r>
            <w:r w:rsidR="00AA7F81">
              <w:rPr>
                <w:rFonts w:ascii="Times New Roman" w:eastAsia="Times New Roman" w:hAnsi="Times New Roman"/>
                <w:sz w:val="24"/>
                <w:szCs w:val="24"/>
                <w:lang w:eastAsia="lv-LV"/>
              </w:rPr>
              <w:t xml:space="preserve">3,8 ir vienas stundas darba samaksas </w:t>
            </w:r>
            <w:r>
              <w:rPr>
                <w:rFonts w:ascii="Times New Roman" w:eastAsia="Times New Roman" w:hAnsi="Times New Roman"/>
                <w:sz w:val="24"/>
                <w:szCs w:val="24"/>
                <w:lang w:eastAsia="lv-LV"/>
              </w:rPr>
              <w:t xml:space="preserve">vidējā likme </w:t>
            </w:r>
            <w:r w:rsidR="00AA7F8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(2016.gadā);</w:t>
            </w:r>
          </w:p>
          <w:p w:rsidR="0067140C" w:rsidRDefault="00F00B0D"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  - 8</w:t>
            </w:r>
            <w:r w:rsidR="0067140C">
              <w:rPr>
                <w:rFonts w:ascii="Times New Roman" w:eastAsia="Times New Roman" w:hAnsi="Times New Roman"/>
                <w:sz w:val="24"/>
                <w:szCs w:val="24"/>
                <w:lang w:eastAsia="lv-LV"/>
              </w:rPr>
              <w:t xml:space="preserve"> ir laiks, kas likumiskajām pārstāvim jāvelta, lai līdzdarbotos riska un aizsardzības faktoru </w:t>
            </w:r>
            <w:r>
              <w:rPr>
                <w:rFonts w:ascii="Times New Roman" w:eastAsia="Times New Roman" w:hAnsi="Times New Roman"/>
                <w:sz w:val="24"/>
                <w:szCs w:val="24"/>
                <w:lang w:eastAsia="lv-LV"/>
              </w:rPr>
              <w:t xml:space="preserve">sākotnējā un noslēdzošajā </w:t>
            </w:r>
            <w:r w:rsidR="0067140C">
              <w:rPr>
                <w:rFonts w:ascii="Times New Roman" w:eastAsia="Times New Roman" w:hAnsi="Times New Roman"/>
                <w:sz w:val="24"/>
                <w:szCs w:val="24"/>
                <w:lang w:eastAsia="lv-LV"/>
              </w:rPr>
              <w:t>izvērtēšanā, tai skaitā ceļā uz iestādi;</w:t>
            </w:r>
          </w:p>
          <w:p w:rsidR="0067140C" w:rsidRDefault="0067140C"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 – 20 000 ir prognoze par likumisko pārstāvju skaitu, kurus varētu skart šis pienākums</w:t>
            </w:r>
          </w:p>
          <w:p w:rsidR="0067140C" w:rsidRDefault="0067140C"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(b) – 1 ir biežuma koeficients, ņemot vērā apstākli, ka </w:t>
            </w:r>
            <w:r w:rsidR="00F00B0D">
              <w:rPr>
                <w:rFonts w:ascii="Times New Roman" w:eastAsia="Times New Roman" w:hAnsi="Times New Roman"/>
                <w:sz w:val="24"/>
                <w:szCs w:val="24"/>
                <w:lang w:eastAsia="lv-LV"/>
              </w:rPr>
              <w:t xml:space="preserve">riska un aizsardzības faktoru izvērtējuma biežums ir atkarīgs no prevencijas plāna īstenošanas panākumiem. Tipiskajā situācijā šis novērtējums ir jāveic divreiz – sākotnējais novērtējums un noslēgums novērtējums – laiks abu novērtējumu veikšanai jau ir ierēķināts kritērijā (l). </w:t>
            </w:r>
          </w:p>
          <w:p w:rsidR="008F2015" w:rsidRDefault="008F2015" w:rsidP="00334484">
            <w:pPr>
              <w:pStyle w:val="Parasts1"/>
              <w:spacing w:after="0" w:line="240" w:lineRule="auto"/>
              <w:ind w:firstLine="541"/>
              <w:jc w:val="both"/>
              <w:rPr>
                <w:rFonts w:ascii="Times New Roman" w:eastAsia="Times New Roman" w:hAnsi="Times New Roman"/>
                <w:sz w:val="24"/>
                <w:szCs w:val="24"/>
                <w:lang w:eastAsia="lv-LV"/>
              </w:rPr>
            </w:pPr>
          </w:p>
          <w:p w:rsidR="008F2015" w:rsidRDefault="008F2015"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Dalība sadarbības grupas sēdē:</w:t>
            </w:r>
          </w:p>
          <w:p w:rsidR="00F00B0D" w:rsidRDefault="00F00B0D"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380 000 = 3,8 x 5 x 20 000 x 1</w:t>
            </w:r>
            <w:r w:rsidR="00BC68E1">
              <w:rPr>
                <w:rFonts w:ascii="Times New Roman" w:eastAsia="Times New Roman" w:hAnsi="Times New Roman"/>
                <w:sz w:val="24"/>
                <w:szCs w:val="24"/>
                <w:lang w:eastAsia="lv-LV"/>
              </w:rPr>
              <w:t>, kur:</w:t>
            </w: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r w:rsidRPr="00BC68E1">
              <w:rPr>
                <w:rFonts w:ascii="Times New Roman" w:eastAsia="Times New Roman" w:hAnsi="Times New Roman"/>
                <w:sz w:val="24"/>
                <w:szCs w:val="24"/>
                <w:lang w:eastAsia="lv-LV"/>
              </w:rPr>
              <w:t>(f)  - 3,8 ir vienas stundas darba samaksas vidējā likme  (2016.gadā);</w:t>
            </w: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 – 5 laiks, kas likumiskajam pārstāvim jāvelta dalībai sadarbības grupas sēdē, ap pieņēmumu, ka sadarbības grupas sēdē viena bērna lietu varētu skatīt 1 stundu, nokļūšana uz un no iestādes, kur notiek sadarbības grupas sēde aizņem 1 stundu, bet laiks, kas vajadzīgs lai sagatavotos sēdei un iepazītos ar piedāvāto prevencijas pasākumu plānu – 3 stundas;</w:t>
            </w: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r w:rsidRPr="00BC68E1">
              <w:rPr>
                <w:rFonts w:ascii="Times New Roman" w:eastAsia="Times New Roman" w:hAnsi="Times New Roman"/>
                <w:sz w:val="24"/>
                <w:szCs w:val="24"/>
                <w:lang w:eastAsia="lv-LV"/>
              </w:rPr>
              <w:t>(n) – 20 000 ir prognoze par likumisko pārstāvju skaitu, kurus varētu skart šis pienākums</w:t>
            </w: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 – 1 sadarbības grupas sēde tipiskā prevencijas procesa norises gaitā notiek 1 reizi.</w:t>
            </w: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p>
          <w:p w:rsidR="00BC68E1" w:rsidRDefault="00BC68E1"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Administratīvās izmaksas, kas rodas prevencijas pasākumu plāna izpildes gaitā nav iespējams aprēķināt, jo prevencijas pasākumi ir pārāk indivudualizēti un atkarīgi no apstākļiem un konteksta, tie var būt veicami kopā ar vecākiem, vai arī bez to līdzdalības. Pie tam daļa no tiem nebūtu vērtējama, kā administratīvās izmaksas, ja, piemēram, kopā ar bērnu ir jāapmeklē kāds kultūras vai izklaides pasākums, kas jau tāpat ģimenē tiek darīts. </w:t>
            </w:r>
          </w:p>
          <w:p w:rsidR="001750B6" w:rsidRDefault="001750B6" w:rsidP="00334484">
            <w:pPr>
              <w:pStyle w:val="Parasts1"/>
              <w:spacing w:after="0" w:line="240" w:lineRule="auto"/>
              <w:ind w:firstLine="541"/>
              <w:jc w:val="both"/>
              <w:rPr>
                <w:rFonts w:ascii="Times New Roman" w:eastAsia="Times New Roman" w:hAnsi="Times New Roman"/>
                <w:sz w:val="24"/>
                <w:szCs w:val="24"/>
                <w:lang w:eastAsia="lv-LV"/>
              </w:rPr>
            </w:pPr>
          </w:p>
          <w:p w:rsidR="001750B6" w:rsidRDefault="001750B6"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Dalība sadarbības grupas sēdē, ja prevencijas pasākumu plāns netiek pildīts, vai ir jauni likumpārkāpumi un piemērotie prevencijas pasākumi ir jāpārskata:</w:t>
            </w:r>
          </w:p>
          <w:p w:rsidR="001750B6" w:rsidRDefault="001750B6" w:rsidP="00334484">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133 = 3,8 x 5 x 7 000 x 1, kur:</w:t>
            </w:r>
          </w:p>
          <w:p w:rsidR="001750B6" w:rsidRDefault="001750B6" w:rsidP="001750B6">
            <w:pPr>
              <w:pStyle w:val="Parasts1"/>
              <w:spacing w:after="0" w:line="240" w:lineRule="auto"/>
              <w:ind w:firstLine="541"/>
              <w:jc w:val="both"/>
              <w:rPr>
                <w:rFonts w:ascii="Times New Roman" w:eastAsia="Times New Roman" w:hAnsi="Times New Roman"/>
                <w:sz w:val="24"/>
                <w:szCs w:val="24"/>
                <w:lang w:eastAsia="lv-LV"/>
              </w:rPr>
            </w:pPr>
            <w:r w:rsidRPr="00BC68E1">
              <w:rPr>
                <w:rFonts w:ascii="Times New Roman" w:eastAsia="Times New Roman" w:hAnsi="Times New Roman"/>
                <w:sz w:val="24"/>
                <w:szCs w:val="24"/>
                <w:lang w:eastAsia="lv-LV"/>
              </w:rPr>
              <w:t>(f)  - 3,8 ir vienas stundas darba samaksas vidējā likme  (2016.gadā);</w:t>
            </w:r>
          </w:p>
          <w:p w:rsidR="001750B6" w:rsidRDefault="001750B6" w:rsidP="001750B6">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 – 5 laiks, kas likumiskajam pārstāvim jāvelta dalībai sadarbības grupas sēdē, ap pieņēmumu, ka sadarbības grupas sēdē viena bērna lietu varētu skatīt 1 stundu, nokļūšana uz un no iestādes, kur notiek sadarbības grupas sēde aizņem 1 stundu, bet laiks, kas vajadzīgs lai sagatavotos sēdei un iepazītos ar piedāvāto prevencijas pasākumu plānu – 3 stundas;</w:t>
            </w:r>
          </w:p>
          <w:p w:rsidR="001750B6" w:rsidRDefault="001750B6" w:rsidP="001750B6">
            <w:pPr>
              <w:pStyle w:val="Parasts1"/>
              <w:spacing w:after="0" w:line="240" w:lineRule="auto"/>
              <w:ind w:firstLine="541"/>
              <w:jc w:val="both"/>
              <w:rPr>
                <w:rFonts w:ascii="Times New Roman" w:eastAsia="Times New Roman" w:hAnsi="Times New Roman"/>
                <w:sz w:val="24"/>
                <w:szCs w:val="24"/>
                <w:lang w:eastAsia="lv-LV"/>
              </w:rPr>
            </w:pPr>
            <w:r w:rsidRPr="00BC68E1">
              <w:rPr>
                <w:rFonts w:ascii="Times New Roman" w:eastAsia="Times New Roman" w:hAnsi="Times New Roman"/>
                <w:sz w:val="24"/>
                <w:szCs w:val="24"/>
                <w:lang w:eastAsia="lv-LV"/>
              </w:rPr>
              <w:t xml:space="preserve">(n) – </w:t>
            </w:r>
            <w:r w:rsidR="0059095D">
              <w:rPr>
                <w:rFonts w:ascii="Times New Roman" w:eastAsia="Times New Roman" w:hAnsi="Times New Roman"/>
                <w:sz w:val="24"/>
                <w:szCs w:val="24"/>
                <w:lang w:eastAsia="lv-LV"/>
              </w:rPr>
              <w:t>7 000 ir prognoze par likumisko pārstāvju skaitu, kam būtu jāpiedalās atkārtotajās sēdēs (saskaņā ar PSIM metodiku netipisko situāciju skaits var būt ap 1/3 no sākotnējās mērķgrupas skaita)</w:t>
            </w:r>
          </w:p>
          <w:p w:rsidR="001750B6" w:rsidRDefault="001750B6" w:rsidP="001750B6">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(b) – 1 sadarbības grupas sēde tipiskā prevencijas procesa norises gaitā notiek 1 reizi.</w:t>
            </w:r>
          </w:p>
          <w:p w:rsidR="0059095D" w:rsidRDefault="0059095D" w:rsidP="001750B6">
            <w:pPr>
              <w:pStyle w:val="Parasts1"/>
              <w:spacing w:after="0" w:line="240" w:lineRule="auto"/>
              <w:ind w:firstLine="541"/>
              <w:jc w:val="both"/>
              <w:rPr>
                <w:rFonts w:ascii="Times New Roman" w:eastAsia="Times New Roman" w:hAnsi="Times New Roman"/>
                <w:sz w:val="24"/>
                <w:szCs w:val="24"/>
                <w:lang w:eastAsia="lv-LV"/>
              </w:rPr>
            </w:pPr>
          </w:p>
          <w:p w:rsidR="0059095D" w:rsidRDefault="0059095D" w:rsidP="001750B6">
            <w:pPr>
              <w:pStyle w:val="Parasts1"/>
              <w:spacing w:after="0" w:line="240" w:lineRule="auto"/>
              <w:ind w:firstLine="5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Kopējās šobrīd prognozējamās administratīvās izmaksas likumiskajiem pārstāvjiem – 1 121 000 euro</w:t>
            </w:r>
          </w:p>
          <w:p w:rsidR="00E27E75" w:rsidRPr="00E553A6" w:rsidRDefault="00E27E75" w:rsidP="008F2015">
            <w:pPr>
              <w:pStyle w:val="Parasts1"/>
              <w:spacing w:after="0" w:line="240" w:lineRule="auto"/>
              <w:jc w:val="both"/>
              <w:rPr>
                <w:rFonts w:ascii="Times New Roman" w:eastAsia="Times New Roman" w:hAnsi="Times New Roman"/>
                <w:sz w:val="24"/>
                <w:szCs w:val="24"/>
                <w:lang w:eastAsia="lv-LV"/>
              </w:rPr>
            </w:pPr>
          </w:p>
        </w:tc>
      </w:tr>
      <w:tr w:rsidR="00F85567" w:rsidRPr="00EA6DB3" w:rsidTr="00C60570">
        <w:trPr>
          <w:trHeight w:val="180"/>
        </w:trPr>
        <w:tc>
          <w:tcPr>
            <w:tcW w:w="2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B0631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85567" w:rsidRPr="00E553A6" w:rsidRDefault="00F85567" w:rsidP="00334484">
            <w:pPr>
              <w:pStyle w:val="Parasts1"/>
              <w:spacing w:after="0" w:line="240" w:lineRule="auto"/>
              <w:ind w:firstLine="541"/>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Nav</w:t>
            </w:r>
            <w:r w:rsidR="00C60570">
              <w:rPr>
                <w:rFonts w:ascii="Times New Roman" w:eastAsia="Times New Roman" w:hAnsi="Times New Roman"/>
                <w:sz w:val="24"/>
                <w:szCs w:val="24"/>
                <w:lang w:eastAsia="lv-LV"/>
              </w:rPr>
              <w:t>.</w:t>
            </w:r>
          </w:p>
        </w:tc>
      </w:tr>
    </w:tbl>
    <w:p w:rsidR="00F85567" w:rsidRPr="00E553A6" w:rsidRDefault="00F85567" w:rsidP="008752D4">
      <w:pPr>
        <w:pStyle w:val="Parasts1"/>
        <w:spacing w:after="0" w:line="240" w:lineRule="auto"/>
        <w:rPr>
          <w:rFonts w:ascii="Times New Roman" w:eastAsia="Times New Roman" w:hAnsi="Times New Roman"/>
          <w:sz w:val="24"/>
          <w:szCs w:val="24"/>
          <w:lang w:eastAsia="lv-LV"/>
        </w:rPr>
      </w:pPr>
    </w:p>
    <w:tbl>
      <w:tblPr>
        <w:tblStyle w:val="Reatabula1"/>
        <w:tblW w:w="4884" w:type="pct"/>
        <w:tblInd w:w="108" w:type="dxa"/>
        <w:tblLayout w:type="fixed"/>
        <w:tblLook w:val="04A0" w:firstRow="1" w:lastRow="0" w:firstColumn="1" w:lastColumn="0" w:noHBand="0" w:noVBand="1"/>
      </w:tblPr>
      <w:tblGrid>
        <w:gridCol w:w="2741"/>
        <w:gridCol w:w="2278"/>
        <w:gridCol w:w="2289"/>
        <w:gridCol w:w="2286"/>
        <w:gridCol w:w="2286"/>
        <w:gridCol w:w="2286"/>
      </w:tblGrid>
      <w:tr w:rsidR="002961FE" w:rsidRPr="00CF1F66" w:rsidTr="00824F24">
        <w:trPr>
          <w:trHeight w:val="360"/>
        </w:trPr>
        <w:tc>
          <w:tcPr>
            <w:tcW w:w="5000" w:type="pct"/>
            <w:gridSpan w:val="6"/>
            <w:hideMark/>
          </w:tcPr>
          <w:p w:rsidR="002961FE" w:rsidRPr="00E553A6" w:rsidRDefault="002961FE" w:rsidP="002961FE">
            <w:pPr>
              <w:spacing w:before="100" w:beforeAutospacing="1" w:line="360" w:lineRule="auto"/>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III. Tiesību akta projekta ietekme uz valsts budžetu un pašvaldību budžetiem</w:t>
            </w:r>
          </w:p>
        </w:tc>
      </w:tr>
      <w:tr w:rsidR="002961FE" w:rsidRPr="00E553A6" w:rsidTr="00824F24">
        <w:tc>
          <w:tcPr>
            <w:tcW w:w="967" w:type="pct"/>
            <w:vMerge w:val="restart"/>
            <w:hideMark/>
          </w:tcPr>
          <w:p w:rsidR="002961FE" w:rsidRPr="00E553A6" w:rsidRDefault="002961FE" w:rsidP="002961FE">
            <w:pPr>
              <w:spacing w:before="100" w:beforeAutospacing="1" w:line="360" w:lineRule="auto"/>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Rādītāji</w:t>
            </w:r>
          </w:p>
        </w:tc>
        <w:tc>
          <w:tcPr>
            <w:tcW w:w="1612" w:type="pct"/>
            <w:gridSpan w:val="2"/>
            <w:vMerge w:val="restart"/>
            <w:hideMark/>
          </w:tcPr>
          <w:p w:rsidR="002961FE" w:rsidRPr="00E553A6" w:rsidRDefault="002961FE" w:rsidP="002961FE">
            <w:pPr>
              <w:spacing w:before="100" w:beforeAutospacing="1" w:line="360" w:lineRule="auto"/>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2</w:t>
            </w:r>
            <w:r w:rsidR="00B8071F">
              <w:rPr>
                <w:rFonts w:ascii="Times New Roman" w:eastAsia="Times New Roman" w:hAnsi="Times New Roman"/>
                <w:b/>
                <w:bCs/>
                <w:sz w:val="24"/>
                <w:szCs w:val="24"/>
                <w:lang w:eastAsia="lv-LV"/>
              </w:rPr>
              <w:t>016</w:t>
            </w:r>
            <w:r w:rsidRPr="00E553A6">
              <w:rPr>
                <w:rFonts w:ascii="Times New Roman" w:eastAsia="Times New Roman" w:hAnsi="Times New Roman"/>
                <w:b/>
                <w:bCs/>
                <w:sz w:val="24"/>
                <w:szCs w:val="24"/>
                <w:lang w:eastAsia="lv-LV"/>
              </w:rPr>
              <w:t>. gads</w:t>
            </w:r>
          </w:p>
        </w:tc>
        <w:tc>
          <w:tcPr>
            <w:tcW w:w="2421" w:type="pct"/>
            <w:gridSpan w:val="3"/>
            <w:hideMark/>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Turpmākie trīs gadi (</w:t>
            </w:r>
            <w:r w:rsidRPr="00E553A6">
              <w:rPr>
                <w:rFonts w:ascii="Times New Roman" w:eastAsia="Times New Roman" w:hAnsi="Times New Roman"/>
                <w:i/>
                <w:iCs/>
                <w:sz w:val="24"/>
                <w:szCs w:val="24"/>
                <w:lang w:eastAsia="lv-LV"/>
              </w:rPr>
              <w:t>euro</w:t>
            </w:r>
            <w:r w:rsidRPr="00E553A6">
              <w:rPr>
                <w:rFonts w:ascii="Times New Roman" w:eastAsia="Times New Roman" w:hAnsi="Times New Roman"/>
                <w:sz w:val="24"/>
                <w:szCs w:val="24"/>
                <w:lang w:eastAsia="lv-LV"/>
              </w:rPr>
              <w:t>)</w:t>
            </w:r>
          </w:p>
        </w:tc>
      </w:tr>
      <w:tr w:rsidR="002961FE" w:rsidRPr="00E553A6" w:rsidTr="00824F24">
        <w:tc>
          <w:tcPr>
            <w:tcW w:w="967" w:type="pct"/>
            <w:vMerge/>
            <w:hideMark/>
          </w:tcPr>
          <w:p w:rsidR="002961FE" w:rsidRPr="00E553A6" w:rsidRDefault="002961FE" w:rsidP="002961FE">
            <w:pPr>
              <w:rPr>
                <w:rFonts w:ascii="Times New Roman" w:eastAsia="Times New Roman" w:hAnsi="Times New Roman"/>
                <w:b/>
                <w:bCs/>
                <w:sz w:val="24"/>
                <w:szCs w:val="24"/>
                <w:lang w:eastAsia="lv-LV"/>
              </w:rPr>
            </w:pPr>
          </w:p>
        </w:tc>
        <w:tc>
          <w:tcPr>
            <w:tcW w:w="1612" w:type="pct"/>
            <w:gridSpan w:val="2"/>
            <w:vMerge/>
            <w:hideMark/>
          </w:tcPr>
          <w:p w:rsidR="002961FE" w:rsidRPr="00E553A6" w:rsidRDefault="002961FE" w:rsidP="002961FE">
            <w:pPr>
              <w:rPr>
                <w:rFonts w:ascii="Times New Roman" w:eastAsia="Times New Roman" w:hAnsi="Times New Roman"/>
                <w:b/>
                <w:bCs/>
                <w:sz w:val="24"/>
                <w:szCs w:val="24"/>
                <w:lang w:eastAsia="lv-LV"/>
              </w:rPr>
            </w:pPr>
          </w:p>
        </w:tc>
        <w:tc>
          <w:tcPr>
            <w:tcW w:w="807" w:type="pct"/>
            <w:hideMark/>
          </w:tcPr>
          <w:p w:rsidR="002961FE" w:rsidRPr="00E553A6" w:rsidRDefault="00B8071F" w:rsidP="002961FE">
            <w:pPr>
              <w:spacing w:before="100" w:beforeAutospacing="1" w:line="36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2017</w:t>
            </w:r>
            <w:r w:rsidR="00C60570">
              <w:rPr>
                <w:rFonts w:ascii="Times New Roman" w:eastAsia="Times New Roman" w:hAnsi="Times New Roman"/>
                <w:b/>
                <w:bCs/>
                <w:sz w:val="24"/>
                <w:szCs w:val="24"/>
                <w:lang w:eastAsia="lv-LV"/>
              </w:rPr>
              <w:t>.</w:t>
            </w:r>
          </w:p>
        </w:tc>
        <w:tc>
          <w:tcPr>
            <w:tcW w:w="807" w:type="pct"/>
            <w:hideMark/>
          </w:tcPr>
          <w:p w:rsidR="002961FE" w:rsidRPr="00E553A6" w:rsidRDefault="002961FE" w:rsidP="00B8071F">
            <w:pPr>
              <w:spacing w:before="100" w:beforeAutospacing="1" w:line="360" w:lineRule="auto"/>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201</w:t>
            </w:r>
            <w:r w:rsidR="00B8071F">
              <w:rPr>
                <w:rFonts w:ascii="Times New Roman" w:eastAsia="Times New Roman" w:hAnsi="Times New Roman"/>
                <w:b/>
                <w:bCs/>
                <w:sz w:val="24"/>
                <w:szCs w:val="24"/>
                <w:lang w:eastAsia="lv-LV"/>
              </w:rPr>
              <w:t>8</w:t>
            </w:r>
            <w:r w:rsidR="00C60570">
              <w:rPr>
                <w:rFonts w:ascii="Times New Roman" w:eastAsia="Times New Roman" w:hAnsi="Times New Roman"/>
                <w:b/>
                <w:bCs/>
                <w:sz w:val="24"/>
                <w:szCs w:val="24"/>
                <w:lang w:eastAsia="lv-LV"/>
              </w:rPr>
              <w:t>.</w:t>
            </w:r>
          </w:p>
        </w:tc>
        <w:tc>
          <w:tcPr>
            <w:tcW w:w="807" w:type="pct"/>
            <w:hideMark/>
          </w:tcPr>
          <w:p w:rsidR="002961FE" w:rsidRPr="00E553A6" w:rsidRDefault="002961FE" w:rsidP="00B8071F">
            <w:pPr>
              <w:spacing w:before="100" w:beforeAutospacing="1" w:line="360" w:lineRule="auto"/>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201</w:t>
            </w:r>
            <w:r w:rsidR="00B8071F">
              <w:rPr>
                <w:rFonts w:ascii="Times New Roman" w:eastAsia="Times New Roman" w:hAnsi="Times New Roman"/>
                <w:b/>
                <w:bCs/>
                <w:sz w:val="24"/>
                <w:szCs w:val="24"/>
                <w:lang w:eastAsia="lv-LV"/>
              </w:rPr>
              <w:t>9</w:t>
            </w:r>
            <w:r w:rsidR="00C60570">
              <w:rPr>
                <w:rFonts w:ascii="Times New Roman" w:eastAsia="Times New Roman" w:hAnsi="Times New Roman"/>
                <w:b/>
                <w:bCs/>
                <w:sz w:val="24"/>
                <w:szCs w:val="24"/>
                <w:lang w:eastAsia="lv-LV"/>
              </w:rPr>
              <w:t>.</w:t>
            </w:r>
          </w:p>
        </w:tc>
      </w:tr>
      <w:tr w:rsidR="002961FE" w:rsidRPr="00E553A6" w:rsidTr="00824F24">
        <w:tc>
          <w:tcPr>
            <w:tcW w:w="967" w:type="pct"/>
            <w:vMerge/>
            <w:hideMark/>
          </w:tcPr>
          <w:p w:rsidR="002961FE" w:rsidRPr="00E553A6" w:rsidRDefault="002961FE" w:rsidP="002961FE">
            <w:pPr>
              <w:rPr>
                <w:rFonts w:ascii="Times New Roman" w:eastAsia="Times New Roman" w:hAnsi="Times New Roman"/>
                <w:b/>
                <w:bCs/>
                <w:sz w:val="24"/>
                <w:szCs w:val="24"/>
                <w:lang w:eastAsia="lv-LV"/>
              </w:rPr>
            </w:pPr>
          </w:p>
        </w:tc>
        <w:tc>
          <w:tcPr>
            <w:tcW w:w="804" w:type="pct"/>
            <w:hideMark/>
          </w:tcPr>
          <w:p w:rsidR="002961FE" w:rsidRPr="00E553A6" w:rsidRDefault="002961FE" w:rsidP="002961FE">
            <w:pPr>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saskaņā ar valsts budžetu kārtējam gadam</w:t>
            </w:r>
          </w:p>
        </w:tc>
        <w:tc>
          <w:tcPr>
            <w:tcW w:w="808" w:type="pct"/>
            <w:hideMark/>
          </w:tcPr>
          <w:p w:rsidR="002961FE" w:rsidRPr="00E553A6" w:rsidRDefault="002961FE" w:rsidP="002961FE">
            <w:pPr>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izmaiņas kārtējā gadā, salīdzinot ar valsts budžetu kārtējam gadam</w:t>
            </w:r>
          </w:p>
        </w:tc>
        <w:tc>
          <w:tcPr>
            <w:tcW w:w="807" w:type="pct"/>
            <w:hideMark/>
          </w:tcPr>
          <w:p w:rsidR="002961FE" w:rsidRPr="00E553A6" w:rsidRDefault="002961FE" w:rsidP="002961FE">
            <w:pPr>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izma</w:t>
            </w:r>
            <w:r w:rsidR="00B8071F">
              <w:rPr>
                <w:rFonts w:ascii="Times New Roman" w:eastAsia="Times New Roman" w:hAnsi="Times New Roman"/>
                <w:sz w:val="24"/>
                <w:szCs w:val="24"/>
                <w:lang w:eastAsia="lv-LV"/>
              </w:rPr>
              <w:t>iņas, salīdzinot ar kārtējo 2016</w:t>
            </w:r>
            <w:r w:rsidRPr="00E553A6">
              <w:rPr>
                <w:rFonts w:ascii="Times New Roman" w:eastAsia="Times New Roman" w:hAnsi="Times New Roman"/>
                <w:sz w:val="24"/>
                <w:szCs w:val="24"/>
                <w:lang w:eastAsia="lv-LV"/>
              </w:rPr>
              <w:t>. gadu</w:t>
            </w:r>
          </w:p>
        </w:tc>
        <w:tc>
          <w:tcPr>
            <w:tcW w:w="807" w:type="pct"/>
            <w:hideMark/>
          </w:tcPr>
          <w:p w:rsidR="002961FE" w:rsidRPr="00E553A6" w:rsidRDefault="002961FE" w:rsidP="002961FE">
            <w:pPr>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izma</w:t>
            </w:r>
            <w:r w:rsidR="00B8071F">
              <w:rPr>
                <w:rFonts w:ascii="Times New Roman" w:eastAsia="Times New Roman" w:hAnsi="Times New Roman"/>
                <w:sz w:val="24"/>
                <w:szCs w:val="24"/>
                <w:lang w:eastAsia="lv-LV"/>
              </w:rPr>
              <w:t>iņas, salīdzinot ar kārtējo 2016</w:t>
            </w:r>
            <w:r w:rsidRPr="00E553A6">
              <w:rPr>
                <w:rFonts w:ascii="Times New Roman" w:eastAsia="Times New Roman" w:hAnsi="Times New Roman"/>
                <w:sz w:val="24"/>
                <w:szCs w:val="24"/>
                <w:lang w:eastAsia="lv-LV"/>
              </w:rPr>
              <w:t>. gadu</w:t>
            </w:r>
          </w:p>
        </w:tc>
        <w:tc>
          <w:tcPr>
            <w:tcW w:w="807" w:type="pct"/>
            <w:hideMark/>
          </w:tcPr>
          <w:p w:rsidR="002961FE" w:rsidRPr="00E553A6" w:rsidRDefault="002961FE" w:rsidP="002961FE">
            <w:pPr>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izmaiņas,</w:t>
            </w:r>
            <w:r w:rsidR="00B8071F">
              <w:rPr>
                <w:rFonts w:ascii="Times New Roman" w:eastAsia="Times New Roman" w:hAnsi="Times New Roman"/>
                <w:sz w:val="24"/>
                <w:szCs w:val="24"/>
                <w:lang w:eastAsia="lv-LV"/>
              </w:rPr>
              <w:t xml:space="preserve"> salīdzinot ar kārtējo 2016</w:t>
            </w:r>
            <w:r w:rsidR="00DD0DF9">
              <w:rPr>
                <w:rFonts w:ascii="Times New Roman" w:eastAsia="Times New Roman" w:hAnsi="Times New Roman"/>
                <w:sz w:val="24"/>
                <w:szCs w:val="24"/>
                <w:lang w:eastAsia="lv-LV"/>
              </w:rPr>
              <w:t>.</w:t>
            </w:r>
            <w:r w:rsidRPr="00E553A6">
              <w:rPr>
                <w:rFonts w:ascii="Times New Roman" w:eastAsia="Times New Roman" w:hAnsi="Times New Roman"/>
                <w:sz w:val="24"/>
                <w:szCs w:val="24"/>
                <w:lang w:eastAsia="lv-LV"/>
              </w:rPr>
              <w:t xml:space="preserve"> gadu</w:t>
            </w:r>
          </w:p>
        </w:tc>
      </w:tr>
      <w:tr w:rsidR="002961FE" w:rsidRPr="00E553A6" w:rsidTr="005D62F2">
        <w:tc>
          <w:tcPr>
            <w:tcW w:w="967" w:type="pct"/>
            <w:hideMark/>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804" w:type="pc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8" w:type="pc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7" w:type="pc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7" w:type="pc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7" w:type="pc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 Budžeta ieņēmumi:</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1.1. valsts pamatbudžets, tai skaitā ieņēmumi no maksas pakalpojumiem un citi pašu ieņēmumi</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1.2. valsts speciālais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1.3. pašvaldību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 Budžeta izdevumi:</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2.1. valsts pamatbudžets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2.2. valsts speciālais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2.3. pašvaldību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 Finansiālā ietekme:</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3.1. valsts pamatbudžets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3.2. speciālais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3.3. pašvaldību budžets</w:t>
            </w:r>
          </w:p>
        </w:tc>
        <w:tc>
          <w:tcPr>
            <w:tcW w:w="804" w:type="pct"/>
          </w:tcPr>
          <w:p w:rsidR="002961FE" w:rsidRPr="00E553A6" w:rsidRDefault="002961FE" w:rsidP="002961FE">
            <w:pPr>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vMerge w:val="restar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4. Finanšu līdzekļi papildu izdevumu finansēšanai (kompensējošu izdevumu samazinājumu norāda ar "+" zīmi)</w:t>
            </w:r>
          </w:p>
        </w:tc>
        <w:tc>
          <w:tcPr>
            <w:tcW w:w="804" w:type="pct"/>
            <w:vMerge w:val="restar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vMerge/>
            <w:hideMark/>
          </w:tcPr>
          <w:p w:rsidR="002961FE" w:rsidRPr="00E553A6" w:rsidRDefault="002961FE" w:rsidP="002961FE">
            <w:pPr>
              <w:rPr>
                <w:rFonts w:ascii="Times New Roman" w:eastAsia="Times New Roman" w:hAnsi="Times New Roman"/>
                <w:sz w:val="24"/>
                <w:szCs w:val="24"/>
                <w:lang w:eastAsia="lv-LV"/>
              </w:rPr>
            </w:pPr>
          </w:p>
        </w:tc>
        <w:tc>
          <w:tcPr>
            <w:tcW w:w="804" w:type="pct"/>
            <w:vMerge/>
          </w:tcPr>
          <w:p w:rsidR="002961FE" w:rsidRPr="00E553A6" w:rsidRDefault="002961FE" w:rsidP="002961FE">
            <w:pP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vMerge/>
            <w:hideMark/>
          </w:tcPr>
          <w:p w:rsidR="002961FE" w:rsidRPr="00E553A6" w:rsidRDefault="002961FE" w:rsidP="002961FE">
            <w:pPr>
              <w:rPr>
                <w:rFonts w:ascii="Times New Roman" w:eastAsia="Times New Roman" w:hAnsi="Times New Roman"/>
                <w:sz w:val="24"/>
                <w:szCs w:val="24"/>
                <w:lang w:eastAsia="lv-LV"/>
              </w:rPr>
            </w:pPr>
          </w:p>
        </w:tc>
        <w:tc>
          <w:tcPr>
            <w:tcW w:w="804" w:type="pct"/>
            <w:vMerge/>
          </w:tcPr>
          <w:p w:rsidR="002961FE" w:rsidRPr="00E553A6" w:rsidRDefault="002961FE" w:rsidP="002961FE">
            <w:pPr>
              <w:rPr>
                <w:rFonts w:ascii="Times New Roman" w:eastAsia="Times New Roman" w:hAnsi="Times New Roman"/>
                <w:sz w:val="24"/>
                <w:szCs w:val="24"/>
                <w:lang w:eastAsia="lv-LV"/>
              </w:rPr>
            </w:pPr>
          </w:p>
        </w:tc>
        <w:tc>
          <w:tcPr>
            <w:tcW w:w="808"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5. Precizēta finansiālā ietekme:</w:t>
            </w:r>
          </w:p>
        </w:tc>
        <w:tc>
          <w:tcPr>
            <w:tcW w:w="804" w:type="pct"/>
            <w:vMerge w:val="restart"/>
          </w:tcPr>
          <w:p w:rsidR="002961FE" w:rsidRPr="00E553A6" w:rsidRDefault="002961FE" w:rsidP="002961FE">
            <w:pPr>
              <w:spacing w:before="100" w:beforeAutospacing="1" w:line="360" w:lineRule="auto"/>
              <w:jc w:val="cente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5.1. valsts pamatbudžets</w:t>
            </w:r>
          </w:p>
        </w:tc>
        <w:tc>
          <w:tcPr>
            <w:tcW w:w="804" w:type="pct"/>
            <w:vMerge/>
          </w:tcPr>
          <w:p w:rsidR="002961FE" w:rsidRPr="00E553A6" w:rsidRDefault="002961FE" w:rsidP="002961FE">
            <w:pPr>
              <w:rPr>
                <w:rFonts w:ascii="Times New Roman" w:eastAsia="Times New Roman" w:hAnsi="Times New Roman"/>
                <w:sz w:val="24"/>
                <w:szCs w:val="24"/>
                <w:lang w:eastAsia="lv-LV"/>
              </w:rPr>
            </w:pPr>
          </w:p>
        </w:tc>
        <w:tc>
          <w:tcPr>
            <w:tcW w:w="808"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c>
          <w:tcPr>
            <w:tcW w:w="807" w:type="pct"/>
          </w:tcPr>
          <w:p w:rsidR="002961FE" w:rsidRPr="00E553A6" w:rsidRDefault="002961FE" w:rsidP="002961FE">
            <w:pPr>
              <w:jc w:val="cente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5.2. speciālais budžets</w:t>
            </w:r>
          </w:p>
        </w:tc>
        <w:tc>
          <w:tcPr>
            <w:tcW w:w="804" w:type="pct"/>
            <w:vMerge/>
          </w:tcPr>
          <w:p w:rsidR="002961FE" w:rsidRPr="00E553A6" w:rsidRDefault="002961FE" w:rsidP="002961FE">
            <w:pPr>
              <w:rPr>
                <w:rFonts w:ascii="Times New Roman" w:eastAsia="Times New Roman" w:hAnsi="Times New Roman"/>
                <w:sz w:val="24"/>
                <w:szCs w:val="24"/>
                <w:lang w:eastAsia="lv-LV"/>
              </w:rPr>
            </w:pPr>
          </w:p>
        </w:tc>
        <w:tc>
          <w:tcPr>
            <w:tcW w:w="808"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5.3. pašvaldību budžets</w:t>
            </w:r>
          </w:p>
        </w:tc>
        <w:tc>
          <w:tcPr>
            <w:tcW w:w="804" w:type="pct"/>
            <w:vMerge/>
          </w:tcPr>
          <w:p w:rsidR="002961FE" w:rsidRPr="00E553A6" w:rsidRDefault="002961FE" w:rsidP="002961FE">
            <w:pPr>
              <w:rPr>
                <w:rFonts w:ascii="Times New Roman" w:eastAsia="Times New Roman" w:hAnsi="Times New Roman"/>
                <w:sz w:val="24"/>
                <w:szCs w:val="24"/>
                <w:lang w:eastAsia="lv-LV"/>
              </w:rPr>
            </w:pPr>
          </w:p>
        </w:tc>
        <w:tc>
          <w:tcPr>
            <w:tcW w:w="808"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c>
          <w:tcPr>
            <w:tcW w:w="807" w:type="pct"/>
          </w:tcPr>
          <w:p w:rsidR="002961FE" w:rsidRPr="00E553A6" w:rsidRDefault="002961FE" w:rsidP="002961FE">
            <w:pPr>
              <w:rPr>
                <w:rFonts w:ascii="Times New Roman" w:eastAsia="Times New Roman" w:hAnsi="Times New Roman"/>
                <w:sz w:val="24"/>
                <w:szCs w:val="24"/>
                <w:lang w:eastAsia="lv-LV"/>
              </w:rPr>
            </w:pPr>
          </w:p>
        </w:tc>
      </w:tr>
      <w:tr w:rsidR="002961FE" w:rsidRPr="005D62F2"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6. Detalizēts ieņēmumu un izdevumu aprēķins (ja nepieciešams, detalizētu ieņēmumu un izdevumu aprēķinu var pievienot anotācijas pielikumā):</w:t>
            </w:r>
          </w:p>
        </w:tc>
        <w:tc>
          <w:tcPr>
            <w:tcW w:w="4033" w:type="pct"/>
            <w:gridSpan w:val="5"/>
            <w:vMerge w:val="restart"/>
          </w:tcPr>
          <w:p w:rsidR="002961FE" w:rsidRPr="00E553A6" w:rsidRDefault="002961FE" w:rsidP="006D08F6">
            <w:pPr>
              <w:ind w:firstLine="264"/>
              <w:jc w:val="both"/>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6.1. detalizēts ieņēmumu aprēķins</w:t>
            </w:r>
          </w:p>
        </w:tc>
        <w:tc>
          <w:tcPr>
            <w:tcW w:w="4033" w:type="pct"/>
            <w:gridSpan w:val="5"/>
            <w:vMerge/>
          </w:tcPr>
          <w:p w:rsidR="002961FE" w:rsidRPr="00E553A6" w:rsidRDefault="002961FE" w:rsidP="002961FE">
            <w:pPr>
              <w:rPr>
                <w:rFonts w:ascii="Times New Roman" w:eastAsia="Times New Roman" w:hAnsi="Times New Roman"/>
                <w:sz w:val="24"/>
                <w:szCs w:val="24"/>
                <w:lang w:eastAsia="lv-LV"/>
              </w:rPr>
            </w:pPr>
          </w:p>
        </w:tc>
      </w:tr>
      <w:tr w:rsidR="002961FE" w:rsidRPr="00E553A6" w:rsidTr="005D62F2">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6.2. detalizēts izdevumu aprēķins</w:t>
            </w:r>
          </w:p>
        </w:tc>
        <w:tc>
          <w:tcPr>
            <w:tcW w:w="4033" w:type="pct"/>
            <w:gridSpan w:val="5"/>
            <w:vMerge/>
          </w:tcPr>
          <w:p w:rsidR="002961FE" w:rsidRPr="00E553A6" w:rsidRDefault="002961FE" w:rsidP="002961FE">
            <w:pPr>
              <w:rPr>
                <w:rFonts w:ascii="Times New Roman" w:eastAsia="Times New Roman" w:hAnsi="Times New Roman"/>
                <w:sz w:val="24"/>
                <w:szCs w:val="24"/>
                <w:lang w:eastAsia="lv-LV"/>
              </w:rPr>
            </w:pPr>
          </w:p>
        </w:tc>
      </w:tr>
      <w:tr w:rsidR="002961FE" w:rsidRPr="00E553A6" w:rsidTr="00824F24">
        <w:trPr>
          <w:trHeight w:val="555"/>
        </w:trPr>
        <w:tc>
          <w:tcPr>
            <w:tcW w:w="967" w:type="pct"/>
            <w:hideMark/>
          </w:tcPr>
          <w:p w:rsidR="002961FE" w:rsidRPr="00E553A6" w:rsidRDefault="002961FE" w:rsidP="002961FE">
            <w:pPr>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7. Cita informācija</w:t>
            </w:r>
          </w:p>
        </w:tc>
        <w:tc>
          <w:tcPr>
            <w:tcW w:w="4033" w:type="pct"/>
            <w:gridSpan w:val="5"/>
            <w:hideMark/>
          </w:tcPr>
          <w:p w:rsidR="002961FE" w:rsidRPr="00E553A6" w:rsidRDefault="006D08F6" w:rsidP="006D08F6">
            <w:pPr>
              <w:spacing w:after="120"/>
              <w:ind w:firstLine="264"/>
              <w:jc w:val="both"/>
              <w:rPr>
                <w:rFonts w:ascii="Times New Roman" w:hAnsi="Times New Roman"/>
                <w:sz w:val="24"/>
                <w:szCs w:val="24"/>
                <w:lang w:eastAsia="lv-LV"/>
              </w:rPr>
            </w:pPr>
            <w:r>
              <w:rPr>
                <w:rFonts w:ascii="Times New Roman" w:hAnsi="Times New Roman"/>
                <w:sz w:val="24"/>
                <w:szCs w:val="24"/>
                <w:lang w:eastAsia="lv-LV"/>
              </w:rPr>
              <w:t>Nav.</w:t>
            </w:r>
          </w:p>
        </w:tc>
      </w:tr>
    </w:tbl>
    <w:p w:rsidR="00F85567" w:rsidRPr="00E553A6" w:rsidRDefault="00F85567" w:rsidP="008752D4">
      <w:pPr>
        <w:pStyle w:val="Parasts1"/>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8"/>
        <w:gridCol w:w="4160"/>
        <w:gridCol w:w="9468"/>
      </w:tblGrid>
      <w:tr w:rsidR="008752D4" w:rsidRPr="00CF1F66" w:rsidTr="005B430B">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752D4" w:rsidRPr="00E553A6" w:rsidRDefault="008752D4" w:rsidP="005B430B">
            <w:pPr>
              <w:pStyle w:val="Parasts1"/>
              <w:spacing w:after="0" w:line="240" w:lineRule="auto"/>
              <w:ind w:firstLine="300"/>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IV. Tiesību akta projekta ietekme uz spēkā esošo tiesību normu sistēmu</w:t>
            </w:r>
          </w:p>
        </w:tc>
      </w:tr>
      <w:tr w:rsidR="008752D4" w:rsidRPr="00CF1F66" w:rsidTr="005B430B">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DD23B5" w:rsidRDefault="00951764" w:rsidP="003C28BE">
            <w:pPr>
              <w:pStyle w:val="Parasts1"/>
              <w:spacing w:after="0" w:line="240" w:lineRule="auto"/>
              <w:ind w:firstLine="29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ar Bērnu antisociālas uzvedības prevencijas likuma spēkā stāšanos spēku zaudē likums “Par audzinoša rakstura </w:t>
            </w:r>
            <w:r w:rsidR="005D2235">
              <w:rPr>
                <w:rFonts w:ascii="Times New Roman" w:eastAsia="Times New Roman" w:hAnsi="Times New Roman"/>
                <w:sz w:val="24"/>
                <w:szCs w:val="24"/>
                <w:lang w:eastAsia="lv-LV"/>
              </w:rPr>
              <w:t xml:space="preserve">piespiedu līdzekļu piemērošanu bērniem”, kā arī Bērnu tiesību aizsardzības likuma 58.pants. Tā kā turpmāk netiek paredzēta administratīvā atbildības </w:t>
            </w:r>
            <w:r w:rsidR="005D2235">
              <w:rPr>
                <w:rFonts w:ascii="Times New Roman" w:eastAsia="Times New Roman" w:hAnsi="Times New Roman"/>
                <w:sz w:val="24"/>
                <w:szCs w:val="24"/>
                <w:lang w:eastAsia="lv-LV"/>
              </w:rPr>
              <w:lastRenderedPageBreak/>
              <w:t xml:space="preserve">iespējamība bērniem, no Latvijas Administratīvo pārkāpumu kodeksa (Administratīvo pārkāpumu procesa likuma) ir jāizslēdz tiesību normas, kas nosaka bērnu administratīvo atbildību un tās piemērošanas īpašos noteikumus. </w:t>
            </w:r>
          </w:p>
          <w:p w:rsidR="005D2235" w:rsidRPr="00CF1F66" w:rsidRDefault="005D2235" w:rsidP="003C28BE">
            <w:pPr>
              <w:pStyle w:val="Parasts1"/>
              <w:spacing w:after="0" w:line="240" w:lineRule="auto"/>
              <w:ind w:firstLine="297"/>
              <w:jc w:val="both"/>
              <w:rPr>
                <w:rFonts w:ascii="Times New Roman" w:eastAsia="Times New Roman" w:hAnsi="Times New Roman"/>
                <w:sz w:val="24"/>
                <w:szCs w:val="24"/>
                <w:lang w:eastAsia="lv-LV"/>
              </w:rPr>
            </w:pPr>
            <w:r w:rsidRPr="00D743CD">
              <w:rPr>
                <w:rFonts w:ascii="Times New Roman" w:eastAsia="Times New Roman" w:hAnsi="Times New Roman"/>
                <w:sz w:val="24"/>
                <w:szCs w:val="24"/>
                <w:lang w:eastAsia="lv-LV"/>
              </w:rPr>
              <w:t>Šī likumprojekta spēkā stāšanās ir saistīta ar divu citu likumprojektu spēkā stāšanos un tie kopā veido reformu likumpārkāpumu prevencijas jomā</w:t>
            </w:r>
            <w:r>
              <w:rPr>
                <w:rFonts w:ascii="Times New Roman" w:eastAsia="Times New Roman" w:hAnsi="Times New Roman"/>
                <w:sz w:val="24"/>
                <w:szCs w:val="24"/>
                <w:lang w:eastAsia="lv-LV"/>
              </w:rPr>
              <w:t xml:space="preserve">. Grozījumi Krimināllikumā paredz atteikties no kriminālatbildības bērniem gadījumos, kad izdarīts kriminālpārkāpums vai mazāk smags noziegums. Tādejādi šādi bērni no tradicionālās kriminālās justīcijas nonāk bērnu antisociālas uzvedības prevencijas </w:t>
            </w:r>
            <w:r w:rsidR="00E87F45">
              <w:rPr>
                <w:rFonts w:ascii="Times New Roman" w:eastAsia="Times New Roman" w:hAnsi="Times New Roman"/>
                <w:sz w:val="24"/>
                <w:szCs w:val="24"/>
                <w:lang w:eastAsia="lv-LV"/>
              </w:rPr>
              <w:t>justīcijā. Ar šo likumprojektu cieši saistīts arī Vardarbības novēršanas likums. Šis likums nosaka reakcijas pasākumus gadījumos, kad kāda pilngadīgas personas antisociālā uzvedība izpaužas kā vardarbība, kas vērsta pret apkārtējiem cilvēkiem. Arī šie jautājumi tiek nodoti starpinstitucionālas sadarbības grupas izpētei un izvērtēšanai, lai piemērotu vardarbīgajai personai piespiedu preventīvos līdzekļu</w:t>
            </w:r>
            <w:r w:rsidR="00FB2417">
              <w:rPr>
                <w:rFonts w:ascii="Times New Roman" w:eastAsia="Times New Roman" w:hAnsi="Times New Roman"/>
                <w:sz w:val="24"/>
                <w:szCs w:val="24"/>
                <w:lang w:eastAsia="lv-LV"/>
              </w:rPr>
              <w:t>s. Bērni, kuri</w:t>
            </w:r>
            <w:r w:rsidR="00E87F45">
              <w:rPr>
                <w:rFonts w:ascii="Times New Roman" w:eastAsia="Times New Roman" w:hAnsi="Times New Roman"/>
                <w:sz w:val="24"/>
                <w:szCs w:val="24"/>
                <w:lang w:eastAsia="lv-LV"/>
              </w:rPr>
              <w:t xml:space="preserve"> dzīvo kopā ar šādu </w:t>
            </w:r>
            <w:r w:rsidR="00E87F45" w:rsidRPr="00CF1F66">
              <w:rPr>
                <w:rFonts w:ascii="Times New Roman" w:eastAsia="Times New Roman" w:hAnsi="Times New Roman"/>
                <w:sz w:val="24"/>
                <w:szCs w:val="24"/>
                <w:lang w:eastAsia="lv-LV"/>
              </w:rPr>
              <w:t>vardarbību personu</w:t>
            </w:r>
            <w:r w:rsidR="00FB2417" w:rsidRPr="00CF1F66">
              <w:rPr>
                <w:rFonts w:ascii="Times New Roman" w:eastAsia="Times New Roman" w:hAnsi="Times New Roman"/>
                <w:sz w:val="24"/>
                <w:szCs w:val="24"/>
                <w:lang w:eastAsia="lv-LV"/>
              </w:rPr>
              <w:t>,</w:t>
            </w:r>
            <w:r w:rsidR="00E87F45" w:rsidRPr="00CF1F66">
              <w:rPr>
                <w:rFonts w:ascii="Times New Roman" w:eastAsia="Times New Roman" w:hAnsi="Times New Roman"/>
                <w:sz w:val="24"/>
                <w:szCs w:val="24"/>
                <w:lang w:eastAsia="lv-LV"/>
              </w:rPr>
              <w:t xml:space="preserve"> ļoti bieži ir vardarbības upuri un tādejādi arī šī likumprojekta subjekti. </w:t>
            </w:r>
          </w:p>
          <w:p w:rsidR="00123BF6" w:rsidRPr="00CF1F66" w:rsidRDefault="00123BF6"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Turklāt izmaiņas jāveic arī Kriminālprocesa likumā, atspoguļojot, kādas kriminālprocesuālās darbības jāveic, ja Krimināllikumā paredzēto nodarījumu izdarījis bērns.</w:t>
            </w:r>
          </w:p>
          <w:p w:rsidR="004E3200" w:rsidRPr="00CF1F66" w:rsidRDefault="004E3200"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B</w:t>
            </w:r>
            <w:r w:rsidR="00FB2417" w:rsidRPr="00CF1F66">
              <w:rPr>
                <w:rFonts w:ascii="Times New Roman" w:eastAsia="Times New Roman" w:hAnsi="Times New Roman"/>
                <w:sz w:val="24"/>
                <w:szCs w:val="24"/>
                <w:lang w:eastAsia="lv-LV"/>
              </w:rPr>
              <w:t>ērnu antisociālas uzvedības preven</w:t>
            </w:r>
            <w:r w:rsidR="006A6E8D" w:rsidRPr="00CF1F66">
              <w:rPr>
                <w:rFonts w:ascii="Times New Roman" w:eastAsia="Times New Roman" w:hAnsi="Times New Roman"/>
                <w:sz w:val="24"/>
                <w:szCs w:val="24"/>
                <w:lang w:eastAsia="lv-LV"/>
              </w:rPr>
              <w:t>cijas likumam būs pakārtoti četri Ministru kabi</w:t>
            </w:r>
            <w:r w:rsidRPr="00CF1F66">
              <w:rPr>
                <w:rFonts w:ascii="Times New Roman" w:eastAsia="Times New Roman" w:hAnsi="Times New Roman"/>
                <w:sz w:val="24"/>
                <w:szCs w:val="24"/>
                <w:lang w:eastAsia="lv-LV"/>
              </w:rPr>
              <w:t>n</w:t>
            </w:r>
            <w:r w:rsidR="006A6E8D" w:rsidRPr="00CF1F66">
              <w:rPr>
                <w:rFonts w:ascii="Times New Roman" w:eastAsia="Times New Roman" w:hAnsi="Times New Roman"/>
                <w:sz w:val="24"/>
                <w:szCs w:val="24"/>
                <w:lang w:eastAsia="lv-LV"/>
              </w:rPr>
              <w:t>e</w:t>
            </w:r>
            <w:r w:rsidRPr="00CF1F66">
              <w:rPr>
                <w:rFonts w:ascii="Times New Roman" w:eastAsia="Times New Roman" w:hAnsi="Times New Roman"/>
                <w:sz w:val="24"/>
                <w:szCs w:val="24"/>
                <w:lang w:eastAsia="lv-LV"/>
              </w:rPr>
              <w:t>ta noteikumi:</w:t>
            </w:r>
          </w:p>
          <w:p w:rsidR="00E87F45" w:rsidRPr="00CF1F66" w:rsidRDefault="00EC762D"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1) l</w:t>
            </w:r>
            <w:r w:rsidR="00E87F45" w:rsidRPr="00CF1F66">
              <w:rPr>
                <w:rFonts w:ascii="Times New Roman" w:eastAsia="Times New Roman" w:hAnsi="Times New Roman"/>
                <w:sz w:val="24"/>
                <w:szCs w:val="24"/>
                <w:lang w:eastAsia="lv-LV"/>
              </w:rPr>
              <w:t xml:space="preserve">ikumprojekta </w:t>
            </w:r>
            <w:r w:rsidR="007F60EC" w:rsidRPr="00CF1F66">
              <w:rPr>
                <w:rFonts w:ascii="Times New Roman" w:eastAsia="Times New Roman" w:hAnsi="Times New Roman"/>
                <w:sz w:val="24"/>
                <w:szCs w:val="24"/>
                <w:lang w:eastAsia="lv-LV"/>
              </w:rPr>
              <w:t>49</w:t>
            </w:r>
            <w:r w:rsidR="00E87F45" w:rsidRPr="00CF1F66">
              <w:rPr>
                <w:rFonts w:ascii="Times New Roman" w:eastAsia="Times New Roman" w:hAnsi="Times New Roman"/>
                <w:sz w:val="24"/>
                <w:szCs w:val="24"/>
                <w:lang w:eastAsia="lv-LV"/>
              </w:rPr>
              <w:t xml:space="preserve">.panta </w:t>
            </w:r>
            <w:r w:rsidR="007F60EC" w:rsidRPr="00CF1F66">
              <w:rPr>
                <w:rFonts w:ascii="Times New Roman" w:eastAsia="Times New Roman" w:hAnsi="Times New Roman"/>
                <w:sz w:val="24"/>
                <w:szCs w:val="24"/>
                <w:lang w:eastAsia="lv-LV"/>
              </w:rPr>
              <w:t>pirmās</w:t>
            </w:r>
            <w:r w:rsidR="004E3200" w:rsidRPr="00CF1F66">
              <w:rPr>
                <w:rFonts w:ascii="Times New Roman" w:eastAsia="Times New Roman" w:hAnsi="Times New Roman"/>
                <w:sz w:val="24"/>
                <w:szCs w:val="24"/>
                <w:lang w:eastAsia="lv-LV"/>
              </w:rPr>
              <w:t xml:space="preserve"> daļas 2.punktā ietver</w:t>
            </w:r>
            <w:r w:rsidR="007F60EC" w:rsidRPr="00CF1F66">
              <w:rPr>
                <w:rFonts w:ascii="Times New Roman" w:eastAsia="Times New Roman" w:hAnsi="Times New Roman"/>
                <w:sz w:val="24"/>
                <w:szCs w:val="24"/>
                <w:lang w:eastAsia="lv-LV"/>
              </w:rPr>
              <w:t>t</w:t>
            </w:r>
            <w:r w:rsidR="004E3200" w:rsidRPr="00CF1F66">
              <w:rPr>
                <w:rFonts w:ascii="Times New Roman" w:eastAsia="Times New Roman" w:hAnsi="Times New Roman"/>
                <w:sz w:val="24"/>
                <w:szCs w:val="24"/>
                <w:lang w:eastAsia="lv-LV"/>
              </w:rPr>
              <w:t xml:space="preserve">s deleģējums Ministru kabinetam noteikt kārtību, kādā veic bērna </w:t>
            </w:r>
            <w:r w:rsidR="006340F8" w:rsidRPr="00CF1F66">
              <w:rPr>
                <w:rFonts w:ascii="Times New Roman" w:eastAsia="Times New Roman" w:hAnsi="Times New Roman"/>
                <w:sz w:val="24"/>
                <w:szCs w:val="24"/>
                <w:lang w:eastAsia="lv-LV"/>
              </w:rPr>
              <w:t>riska un aizsardzības faktora iz</w:t>
            </w:r>
            <w:r w:rsidR="004E3200" w:rsidRPr="00CF1F66">
              <w:rPr>
                <w:rFonts w:ascii="Times New Roman" w:eastAsia="Times New Roman" w:hAnsi="Times New Roman"/>
                <w:sz w:val="24"/>
                <w:szCs w:val="24"/>
                <w:lang w:eastAsia="lv-LV"/>
              </w:rPr>
              <w:t>vērtējumu un sniedz psihologa vai pašvaldī</w:t>
            </w:r>
            <w:r w:rsidRPr="00CF1F66">
              <w:rPr>
                <w:rFonts w:ascii="Times New Roman" w:eastAsia="Times New Roman" w:hAnsi="Times New Roman"/>
                <w:sz w:val="24"/>
                <w:szCs w:val="24"/>
                <w:lang w:eastAsia="lv-LV"/>
              </w:rPr>
              <w:t>bas sociālā darbinieka atzinumu;</w:t>
            </w:r>
            <w:r w:rsidR="004E3200" w:rsidRPr="00CF1F66">
              <w:rPr>
                <w:rFonts w:ascii="Times New Roman" w:eastAsia="Times New Roman" w:hAnsi="Times New Roman"/>
                <w:sz w:val="24"/>
                <w:szCs w:val="24"/>
                <w:lang w:eastAsia="lv-LV"/>
              </w:rPr>
              <w:t xml:space="preserve"> </w:t>
            </w:r>
          </w:p>
          <w:p w:rsidR="004E3200" w:rsidRPr="00CF1F66" w:rsidRDefault="00EC762D"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2) l</w:t>
            </w:r>
            <w:r w:rsidR="004E3200" w:rsidRPr="00CF1F66">
              <w:rPr>
                <w:rFonts w:ascii="Times New Roman" w:eastAsia="Times New Roman" w:hAnsi="Times New Roman"/>
                <w:sz w:val="24"/>
                <w:szCs w:val="24"/>
                <w:lang w:eastAsia="lv-LV"/>
              </w:rPr>
              <w:t xml:space="preserve">ikumprojekta </w:t>
            </w:r>
            <w:r w:rsidR="007F60EC" w:rsidRPr="00CF1F66">
              <w:rPr>
                <w:rFonts w:ascii="Times New Roman" w:eastAsia="Times New Roman" w:hAnsi="Times New Roman"/>
                <w:sz w:val="24"/>
                <w:szCs w:val="24"/>
                <w:lang w:eastAsia="lv-LV"/>
              </w:rPr>
              <w:t>52</w:t>
            </w:r>
            <w:r w:rsidR="004E3200" w:rsidRPr="00CF1F66">
              <w:rPr>
                <w:rFonts w:ascii="Times New Roman" w:eastAsia="Times New Roman" w:hAnsi="Times New Roman"/>
                <w:sz w:val="24"/>
                <w:szCs w:val="24"/>
                <w:lang w:eastAsia="lv-LV"/>
              </w:rPr>
              <w:t>.panta</w:t>
            </w:r>
            <w:r w:rsidR="007F60EC" w:rsidRPr="00CF1F66">
              <w:rPr>
                <w:rFonts w:ascii="Times New Roman" w:eastAsia="Times New Roman" w:hAnsi="Times New Roman"/>
                <w:sz w:val="24"/>
                <w:szCs w:val="24"/>
                <w:lang w:eastAsia="lv-LV"/>
              </w:rPr>
              <w:t xml:space="preserve"> ceturtaj</w:t>
            </w:r>
            <w:r w:rsidR="004E3200" w:rsidRPr="00CF1F66">
              <w:rPr>
                <w:rFonts w:ascii="Times New Roman" w:eastAsia="Times New Roman" w:hAnsi="Times New Roman"/>
                <w:sz w:val="24"/>
                <w:szCs w:val="24"/>
                <w:lang w:eastAsia="lv-LV"/>
              </w:rPr>
              <w:t>ā daļā ietver</w:t>
            </w:r>
            <w:r w:rsidRPr="00CF1F66">
              <w:rPr>
                <w:rFonts w:ascii="Times New Roman" w:eastAsia="Times New Roman" w:hAnsi="Times New Roman"/>
                <w:sz w:val="24"/>
                <w:szCs w:val="24"/>
                <w:lang w:eastAsia="lv-LV"/>
              </w:rPr>
              <w:t>t</w:t>
            </w:r>
            <w:r w:rsidR="004E3200" w:rsidRPr="00CF1F66">
              <w:rPr>
                <w:rFonts w:ascii="Times New Roman" w:eastAsia="Times New Roman" w:hAnsi="Times New Roman"/>
                <w:sz w:val="24"/>
                <w:szCs w:val="24"/>
                <w:lang w:eastAsia="lv-LV"/>
              </w:rPr>
              <w:t>s deleģējums Ministru kabinetam noteikt prevencijas pasākumu plāna izstrādāšanas kārtību</w:t>
            </w:r>
            <w:r w:rsidRPr="00CF1F66">
              <w:rPr>
                <w:rFonts w:ascii="Times New Roman" w:eastAsia="Times New Roman" w:hAnsi="Times New Roman"/>
                <w:sz w:val="24"/>
                <w:szCs w:val="24"/>
                <w:lang w:eastAsia="lv-LV"/>
              </w:rPr>
              <w:t>;</w:t>
            </w:r>
          </w:p>
          <w:p w:rsidR="00EC762D" w:rsidRPr="00CF1F66" w:rsidRDefault="00EC762D"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 xml:space="preserve">3) likumprojekta </w:t>
            </w:r>
            <w:r w:rsidR="007F60EC" w:rsidRPr="00CF1F66">
              <w:rPr>
                <w:rFonts w:ascii="Times New Roman" w:eastAsia="Times New Roman" w:hAnsi="Times New Roman"/>
                <w:sz w:val="24"/>
                <w:szCs w:val="24"/>
                <w:lang w:eastAsia="lv-LV"/>
              </w:rPr>
              <w:t>33</w:t>
            </w:r>
            <w:r w:rsidRPr="00CF1F66">
              <w:rPr>
                <w:rFonts w:ascii="Times New Roman" w:eastAsia="Times New Roman" w:hAnsi="Times New Roman"/>
                <w:sz w:val="24"/>
                <w:szCs w:val="24"/>
                <w:lang w:eastAsia="lv-LV"/>
              </w:rPr>
              <w:t>.panta trešajā daļā ir ietverts deleģējums Ministru kabinetam noteikt sociālās rehabilitācijas izglītības iestādes iekšējās kārtības noteikumus</w:t>
            </w:r>
            <w:r w:rsidR="006A6E8D" w:rsidRPr="00CF1F66">
              <w:rPr>
                <w:rFonts w:ascii="Times New Roman" w:eastAsia="Times New Roman" w:hAnsi="Times New Roman"/>
                <w:sz w:val="24"/>
                <w:szCs w:val="24"/>
                <w:lang w:eastAsia="lv-LV"/>
              </w:rPr>
              <w:t>;</w:t>
            </w:r>
          </w:p>
          <w:p w:rsidR="006A6E8D" w:rsidRPr="00CF1F66" w:rsidRDefault="006A6E8D"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 xml:space="preserve">4) likumprojekta </w:t>
            </w:r>
            <w:r w:rsidR="007F60EC" w:rsidRPr="00CF1F66">
              <w:rPr>
                <w:rFonts w:ascii="Times New Roman" w:eastAsia="Times New Roman" w:hAnsi="Times New Roman"/>
                <w:sz w:val="24"/>
                <w:szCs w:val="24"/>
                <w:lang w:eastAsia="lv-LV"/>
              </w:rPr>
              <w:t>21</w:t>
            </w:r>
            <w:r w:rsidRPr="00CF1F66">
              <w:rPr>
                <w:rFonts w:ascii="Times New Roman" w:eastAsia="Times New Roman" w:hAnsi="Times New Roman"/>
                <w:sz w:val="24"/>
                <w:szCs w:val="24"/>
                <w:lang w:eastAsia="lv-LV"/>
              </w:rPr>
              <w:t>.panta otrajā daļā ietverts deleģējums Ministru kabinetam noteikt kārtību, kādā valsts administrē bērnu antisociālas uzvedības prevencijai piešķirtos finanšu līdzekļus.</w:t>
            </w:r>
          </w:p>
          <w:p w:rsidR="004E3200" w:rsidRDefault="004E3200" w:rsidP="003C28BE">
            <w:pPr>
              <w:pStyle w:val="Parasts1"/>
              <w:spacing w:after="0" w:line="240" w:lineRule="auto"/>
              <w:ind w:firstLine="297"/>
              <w:jc w:val="both"/>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Tā kā šis likumprojekts paredz jaunu</w:t>
            </w:r>
            <w:r>
              <w:rPr>
                <w:rFonts w:ascii="Times New Roman" w:eastAsia="Times New Roman" w:hAnsi="Times New Roman"/>
                <w:sz w:val="24"/>
                <w:szCs w:val="24"/>
                <w:lang w:eastAsia="lv-LV"/>
              </w:rPr>
              <w:t xml:space="preserve"> Tieslietu ministrijas funkciju, </w:t>
            </w:r>
            <w:r w:rsidRPr="004E3200">
              <w:rPr>
                <w:rFonts w:ascii="Times New Roman" w:eastAsia="Times New Roman" w:hAnsi="Times New Roman"/>
                <w:sz w:val="24"/>
                <w:szCs w:val="24"/>
                <w:lang w:eastAsia="lv-LV"/>
              </w:rPr>
              <w:t>bērnu antisociālas uzvedības prev</w:t>
            </w:r>
            <w:r>
              <w:rPr>
                <w:rFonts w:ascii="Times New Roman" w:eastAsia="Times New Roman" w:hAnsi="Times New Roman"/>
                <w:sz w:val="24"/>
                <w:szCs w:val="24"/>
                <w:lang w:eastAsia="lv-LV"/>
              </w:rPr>
              <w:t>encijas plānošana un īstenošana, tad attiecīgs precizējums ir izdarāms arī 2003.gada 29.aprīļa Ministru kabineta noteikumos Nr.243 “Tieslietu ministrijas nolikums”.</w:t>
            </w:r>
          </w:p>
          <w:p w:rsidR="00E579DD" w:rsidRDefault="009D3226" w:rsidP="003C28BE">
            <w:pPr>
              <w:pStyle w:val="Parasts1"/>
              <w:spacing w:after="0" w:line="240" w:lineRule="auto"/>
              <w:ind w:firstLine="29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Nepilngadīgo personu atbalsta informācijas sistēmā iekļaujamā informācija noteikta 2014.gada 25.marta Ministru kabineta noteikumos Nr.157 “Nepilngadīgo personu atbalsta informācijas sistēmas noteikumi”. Šie noteikumi būs jāgroza papildinot tos ar sistēmā iekļaujamo </w:t>
            </w:r>
            <w:r>
              <w:rPr>
                <w:rFonts w:ascii="Times New Roman" w:eastAsia="Times New Roman" w:hAnsi="Times New Roman"/>
                <w:sz w:val="24"/>
                <w:szCs w:val="24"/>
                <w:lang w:eastAsia="lv-LV"/>
              </w:rPr>
              <w:lastRenderedPageBreak/>
              <w:t xml:space="preserve">informāciju par bērnu antisociālas uzvedības prevencijas procesu. </w:t>
            </w:r>
          </w:p>
          <w:p w:rsidR="00E87F45" w:rsidRPr="00E553A6" w:rsidRDefault="00E87F45" w:rsidP="003C28BE">
            <w:pPr>
              <w:pStyle w:val="Parasts1"/>
              <w:spacing w:after="0" w:line="240" w:lineRule="auto"/>
              <w:ind w:firstLine="297"/>
              <w:jc w:val="both"/>
              <w:rPr>
                <w:rFonts w:ascii="Times New Roman" w:eastAsia="Times New Roman" w:hAnsi="Times New Roman"/>
                <w:sz w:val="24"/>
                <w:szCs w:val="24"/>
                <w:lang w:eastAsia="lv-LV"/>
              </w:rPr>
            </w:pPr>
          </w:p>
        </w:tc>
      </w:tr>
      <w:tr w:rsidR="008752D4" w:rsidRPr="00760CCB" w:rsidTr="005B430B">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8752D4" w:rsidRPr="00E553A6" w:rsidRDefault="004E3200" w:rsidP="006D08F6">
            <w:pPr>
              <w:pStyle w:val="Parasts1"/>
              <w:spacing w:after="0" w:line="240" w:lineRule="auto"/>
              <w:ind w:firstLine="29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Tieslietu ministrija. </w:t>
            </w:r>
          </w:p>
        </w:tc>
      </w:tr>
      <w:tr w:rsidR="008752D4" w:rsidRPr="00E87F45" w:rsidTr="005B430B">
        <w:tc>
          <w:tcPr>
            <w:tcW w:w="2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8752D4" w:rsidRPr="00E553A6" w:rsidRDefault="008752D4" w:rsidP="006D08F6">
            <w:pPr>
              <w:pStyle w:val="Parasts1"/>
              <w:spacing w:after="0" w:line="240" w:lineRule="auto"/>
              <w:ind w:firstLine="297"/>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Nav</w:t>
            </w:r>
            <w:r w:rsidR="00BF2BE7">
              <w:rPr>
                <w:rFonts w:ascii="Times New Roman" w:eastAsia="Times New Roman" w:hAnsi="Times New Roman"/>
                <w:sz w:val="24"/>
                <w:szCs w:val="24"/>
                <w:lang w:eastAsia="lv-LV"/>
              </w:rPr>
              <w:t>.</w:t>
            </w:r>
          </w:p>
        </w:tc>
      </w:tr>
    </w:tbl>
    <w:p w:rsidR="008752D4" w:rsidRPr="00E553A6" w:rsidRDefault="008752D4" w:rsidP="008752D4">
      <w:pPr>
        <w:pStyle w:val="Parasts1"/>
        <w:spacing w:after="0" w:line="240" w:lineRule="auto"/>
        <w:rPr>
          <w:rFonts w:ascii="Times New Roman" w:eastAsia="Times New Roman" w:hAnsi="Times New Roman"/>
          <w:sz w:val="24"/>
          <w:szCs w:val="24"/>
          <w:lang w:eastAsia="lv-LV"/>
        </w:rPr>
      </w:pPr>
    </w:p>
    <w:p w:rsidR="00446049" w:rsidRDefault="00446049" w:rsidP="008752D4">
      <w:pPr>
        <w:pStyle w:val="Parasts1"/>
        <w:spacing w:after="0" w:line="240" w:lineRule="auto"/>
        <w:rPr>
          <w:rFonts w:ascii="Times New Roman" w:eastAsia="Times New Roman" w:hAnsi="Times New Roman"/>
          <w:sz w:val="24"/>
          <w:szCs w:val="24"/>
          <w:lang w:eastAsia="lv-LV"/>
        </w:rPr>
      </w:pPr>
    </w:p>
    <w:tbl>
      <w:tblPr>
        <w:tblW w:w="14580" w:type="dxa"/>
        <w:jc w:val="center"/>
        <w:tblInd w:w="-2"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240"/>
        <w:gridCol w:w="477"/>
        <w:gridCol w:w="259"/>
        <w:gridCol w:w="3707"/>
        <w:gridCol w:w="338"/>
        <w:gridCol w:w="1102"/>
        <w:gridCol w:w="1395"/>
        <w:gridCol w:w="2552"/>
        <w:gridCol w:w="4276"/>
        <w:gridCol w:w="234"/>
      </w:tblGrid>
      <w:tr w:rsidR="00022347" w:rsidRPr="00373B19" w:rsidTr="00004437">
        <w:trPr>
          <w:gridBefore w:val="1"/>
          <w:wBefore w:w="240" w:type="dxa"/>
          <w:jc w:val="center"/>
        </w:trPr>
        <w:tc>
          <w:tcPr>
            <w:tcW w:w="14340" w:type="dxa"/>
            <w:gridSpan w:val="9"/>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jc w:val="center"/>
              <w:rPr>
                <w:rFonts w:ascii="Times New Roman" w:hAnsi="Times New Roman"/>
                <w:b/>
                <w:sz w:val="24"/>
                <w:szCs w:val="24"/>
              </w:rPr>
            </w:pPr>
            <w:r w:rsidRPr="00022347">
              <w:rPr>
                <w:rFonts w:ascii="Times New Roman" w:hAnsi="Times New Roman"/>
                <w:b/>
                <w:sz w:val="24"/>
                <w:szCs w:val="24"/>
              </w:rPr>
              <w:t>V. Tiesību akta projekta atbilstība Latvijas Republikas starptautiskajām saistībām</w:t>
            </w:r>
          </w:p>
        </w:tc>
      </w:tr>
      <w:tr w:rsidR="00022347" w:rsidRPr="00E52A52" w:rsidTr="00004437">
        <w:trPr>
          <w:gridBefore w:val="1"/>
          <w:wBefore w:w="240" w:type="dxa"/>
          <w:jc w:val="center"/>
        </w:trPr>
        <w:tc>
          <w:tcPr>
            <w:tcW w:w="736" w:type="dxa"/>
            <w:gridSpan w:val="2"/>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1.</w:t>
            </w:r>
          </w:p>
        </w:tc>
        <w:tc>
          <w:tcPr>
            <w:tcW w:w="5147"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Saistības pret Eiropas Savienību</w:t>
            </w:r>
          </w:p>
        </w:tc>
        <w:tc>
          <w:tcPr>
            <w:tcW w:w="8457" w:type="dxa"/>
            <w:gridSpan w:val="4"/>
            <w:tcBorders>
              <w:top w:val="outset" w:sz="6" w:space="0" w:color="auto"/>
              <w:left w:val="outset" w:sz="6" w:space="0" w:color="auto"/>
              <w:bottom w:val="outset" w:sz="6" w:space="0" w:color="auto"/>
              <w:right w:val="outset" w:sz="6" w:space="0" w:color="auto"/>
            </w:tcBorders>
          </w:tcPr>
          <w:p w:rsidR="00022347" w:rsidRPr="003C0BAC" w:rsidRDefault="00022347" w:rsidP="00755762">
            <w:pPr>
              <w:autoSpaceDE w:val="0"/>
              <w:autoSpaceDN w:val="0"/>
              <w:adjustRightInd w:val="0"/>
              <w:rPr>
                <w:rFonts w:ascii="Times New Roman" w:hAnsi="Times New Roman"/>
                <w:bCs/>
                <w:sz w:val="24"/>
                <w:szCs w:val="24"/>
                <w:lang w:val="lv-LV"/>
              </w:rPr>
            </w:pPr>
            <w:r w:rsidRPr="003C0BAC">
              <w:rPr>
                <w:rFonts w:ascii="Times New Roman" w:hAnsi="Times New Roman"/>
                <w:bCs/>
                <w:sz w:val="24"/>
                <w:szCs w:val="24"/>
                <w:lang w:val="lv-LV"/>
              </w:rPr>
              <w:t>Eiropas Parlamenta un Padomes 2016.gada 11.maija Direktīva 2016/800 par procesuālajām garantijām bērniem, kuri ir aizdomās turētie vai apsūdzētie kriminālprocesā</w:t>
            </w:r>
            <w:r w:rsidR="00755762">
              <w:rPr>
                <w:rFonts w:ascii="Times New Roman" w:hAnsi="Times New Roman"/>
                <w:bCs/>
                <w:sz w:val="24"/>
                <w:szCs w:val="24"/>
                <w:lang w:val="lv-LV"/>
              </w:rPr>
              <w:t xml:space="preserve"> </w:t>
            </w:r>
          </w:p>
        </w:tc>
      </w:tr>
      <w:tr w:rsidR="00022347" w:rsidRPr="00E52A52" w:rsidTr="00004437">
        <w:trPr>
          <w:gridBefore w:val="1"/>
          <w:wBefore w:w="240" w:type="dxa"/>
          <w:jc w:val="center"/>
        </w:trPr>
        <w:tc>
          <w:tcPr>
            <w:tcW w:w="736" w:type="dxa"/>
            <w:gridSpan w:val="2"/>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2.</w:t>
            </w:r>
          </w:p>
        </w:tc>
        <w:tc>
          <w:tcPr>
            <w:tcW w:w="5147"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Citas starptautiskās saistības</w:t>
            </w:r>
          </w:p>
        </w:tc>
        <w:tc>
          <w:tcPr>
            <w:tcW w:w="8457" w:type="dxa"/>
            <w:gridSpan w:val="4"/>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both"/>
              <w:rPr>
                <w:rFonts w:ascii="Times New Roman" w:hAnsi="Times New Roman"/>
                <w:sz w:val="24"/>
                <w:szCs w:val="24"/>
              </w:rPr>
            </w:pPr>
            <w:r>
              <w:rPr>
                <w:rFonts w:ascii="Times New Roman" w:hAnsi="Times New Roman"/>
                <w:sz w:val="24"/>
                <w:szCs w:val="24"/>
              </w:rPr>
              <w:t>Nav</w:t>
            </w:r>
          </w:p>
        </w:tc>
      </w:tr>
      <w:tr w:rsidR="00022347" w:rsidRPr="00E52A52" w:rsidTr="00004437">
        <w:trPr>
          <w:gridBefore w:val="1"/>
          <w:wBefore w:w="240" w:type="dxa"/>
          <w:jc w:val="center"/>
        </w:trPr>
        <w:tc>
          <w:tcPr>
            <w:tcW w:w="736" w:type="dxa"/>
            <w:gridSpan w:val="2"/>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3.</w:t>
            </w:r>
          </w:p>
        </w:tc>
        <w:tc>
          <w:tcPr>
            <w:tcW w:w="5147"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Cita informācija</w:t>
            </w:r>
          </w:p>
        </w:tc>
        <w:tc>
          <w:tcPr>
            <w:tcW w:w="8457" w:type="dxa"/>
            <w:gridSpan w:val="4"/>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both"/>
              <w:rPr>
                <w:rFonts w:ascii="Times New Roman" w:hAnsi="Times New Roman"/>
                <w:sz w:val="24"/>
                <w:szCs w:val="24"/>
              </w:rPr>
            </w:pPr>
            <w:r w:rsidRPr="00022347">
              <w:rPr>
                <w:rFonts w:ascii="Times New Roman" w:hAnsi="Times New Roman"/>
                <w:sz w:val="24"/>
                <w:szCs w:val="24"/>
              </w:rPr>
              <w:t>Nav</w:t>
            </w:r>
          </w:p>
        </w:tc>
      </w:tr>
      <w:tr w:rsidR="00022347" w:rsidRPr="00E52A52" w:rsidTr="00004437">
        <w:trPr>
          <w:gridBefore w:val="1"/>
          <w:wBefore w:w="240" w:type="dxa"/>
          <w:jc w:val="center"/>
        </w:trPr>
        <w:tc>
          <w:tcPr>
            <w:tcW w:w="14340" w:type="dxa"/>
            <w:gridSpan w:val="9"/>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ind w:left="57"/>
              <w:jc w:val="center"/>
              <w:rPr>
                <w:rFonts w:ascii="Times New Roman" w:hAnsi="Times New Roman"/>
                <w:b/>
                <w:sz w:val="24"/>
                <w:szCs w:val="24"/>
              </w:rPr>
            </w:pPr>
            <w:r w:rsidRPr="00022347">
              <w:rPr>
                <w:rFonts w:ascii="Times New Roman" w:hAnsi="Times New Roman"/>
                <w:b/>
                <w:sz w:val="24"/>
                <w:szCs w:val="24"/>
              </w:rPr>
              <w:t>1.tabula</w:t>
            </w:r>
          </w:p>
          <w:p w:rsidR="00022347" w:rsidRPr="00022347" w:rsidRDefault="00022347" w:rsidP="00351D74">
            <w:pPr>
              <w:ind w:left="57"/>
              <w:jc w:val="center"/>
              <w:rPr>
                <w:rFonts w:ascii="Times New Roman" w:hAnsi="Times New Roman"/>
                <w:sz w:val="24"/>
                <w:szCs w:val="24"/>
              </w:rPr>
            </w:pPr>
            <w:r w:rsidRPr="00022347">
              <w:rPr>
                <w:rFonts w:ascii="Times New Roman" w:hAnsi="Times New Roman"/>
                <w:b/>
                <w:sz w:val="24"/>
                <w:szCs w:val="24"/>
              </w:rPr>
              <w:t>Tiesību akta projekta atbilstība ES tiesību aktiem</w:t>
            </w:r>
          </w:p>
        </w:tc>
      </w:tr>
      <w:tr w:rsidR="00022347" w:rsidRPr="00E52A52" w:rsidTr="00CF1F66">
        <w:trPr>
          <w:gridBefore w:val="1"/>
          <w:wBefore w:w="240" w:type="dxa"/>
          <w:trHeight w:val="876"/>
          <w:jc w:val="center"/>
        </w:trPr>
        <w:tc>
          <w:tcPr>
            <w:tcW w:w="4443"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z w:val="24"/>
                <w:szCs w:val="24"/>
              </w:rPr>
            </w:pPr>
            <w:r w:rsidRPr="00022347">
              <w:rPr>
                <w:rFonts w:ascii="Times New Roman" w:hAnsi="Times New Roman"/>
                <w:sz w:val="24"/>
                <w:szCs w:val="24"/>
              </w:rPr>
              <w:t>Attiecīgā ES tiesību akta datums, numurs un nosaukums</w:t>
            </w:r>
          </w:p>
        </w:tc>
        <w:tc>
          <w:tcPr>
            <w:tcW w:w="9897" w:type="dxa"/>
            <w:gridSpan w:val="6"/>
            <w:tcBorders>
              <w:top w:val="outset" w:sz="6" w:space="0" w:color="auto"/>
              <w:left w:val="outset" w:sz="6" w:space="0" w:color="auto"/>
              <w:bottom w:val="outset" w:sz="6" w:space="0" w:color="auto"/>
              <w:right w:val="outset" w:sz="6" w:space="0" w:color="auto"/>
            </w:tcBorders>
          </w:tcPr>
          <w:p w:rsidR="00022347" w:rsidRPr="003C0BAC" w:rsidRDefault="009B66A6" w:rsidP="00351D74">
            <w:pPr>
              <w:pStyle w:val="Sarakstarindkopa"/>
              <w:ind w:left="57" w:right="114"/>
              <w:jc w:val="both"/>
              <w:rPr>
                <w:rFonts w:ascii="Times New Roman" w:hAnsi="Times New Roman"/>
                <w:snapToGrid w:val="0"/>
                <w:sz w:val="24"/>
                <w:szCs w:val="24"/>
              </w:rPr>
            </w:pPr>
            <w:r w:rsidRPr="003C0BAC">
              <w:rPr>
                <w:rFonts w:ascii="Times New Roman" w:hAnsi="Times New Roman"/>
                <w:bCs/>
                <w:sz w:val="24"/>
                <w:szCs w:val="24"/>
              </w:rPr>
              <w:t>Eiropas Parlamenta un Padomes 2016.gada 11.maija Direktīva 2016/800 par procesuālajām garantijām bērniem, kuri ir aizdomās turētie vai apsūdzētie kriminālprocesā</w:t>
            </w:r>
            <w:r w:rsidR="00755762">
              <w:rPr>
                <w:rFonts w:ascii="Times New Roman" w:hAnsi="Times New Roman"/>
                <w:bCs/>
                <w:sz w:val="24"/>
                <w:szCs w:val="24"/>
              </w:rPr>
              <w:t xml:space="preserve"> (turpmāk = Direktīva 2016/800)</w:t>
            </w:r>
          </w:p>
        </w:tc>
      </w:tr>
      <w:tr w:rsidR="00022347" w:rsidRPr="00E52A52"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ind w:left="57"/>
              <w:jc w:val="center"/>
              <w:rPr>
                <w:rFonts w:ascii="Times New Roman" w:hAnsi="Times New Roman"/>
                <w:sz w:val="24"/>
                <w:szCs w:val="24"/>
              </w:rPr>
            </w:pPr>
            <w:r w:rsidRPr="00022347">
              <w:rPr>
                <w:rFonts w:ascii="Times New Roman" w:hAnsi="Times New Roman"/>
                <w:sz w:val="24"/>
                <w:szCs w:val="24"/>
              </w:rPr>
              <w:t>A</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ind w:left="57"/>
              <w:jc w:val="center"/>
              <w:rPr>
                <w:rFonts w:ascii="Times New Roman" w:hAnsi="Times New Roman"/>
                <w:sz w:val="24"/>
                <w:szCs w:val="24"/>
              </w:rPr>
            </w:pPr>
            <w:r w:rsidRPr="00022347">
              <w:rPr>
                <w:rFonts w:ascii="Times New Roman" w:hAnsi="Times New Roman"/>
                <w:sz w:val="24"/>
                <w:szCs w:val="24"/>
              </w:rPr>
              <w:t>B</w:t>
            </w:r>
          </w:p>
        </w:tc>
        <w:tc>
          <w:tcPr>
            <w:tcW w:w="2552" w:type="dxa"/>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ind w:left="57"/>
              <w:jc w:val="center"/>
              <w:rPr>
                <w:rFonts w:ascii="Times New Roman" w:hAnsi="Times New Roman"/>
                <w:sz w:val="24"/>
                <w:szCs w:val="24"/>
              </w:rPr>
            </w:pPr>
            <w:r w:rsidRPr="00022347">
              <w:rPr>
                <w:rFonts w:ascii="Times New Roman" w:hAnsi="Times New Roman"/>
                <w:sz w:val="24"/>
                <w:szCs w:val="24"/>
              </w:rPr>
              <w:t>C</w:t>
            </w:r>
          </w:p>
        </w:tc>
        <w:tc>
          <w:tcPr>
            <w:tcW w:w="4510" w:type="dxa"/>
            <w:gridSpan w:val="2"/>
            <w:tcBorders>
              <w:top w:val="outset" w:sz="6" w:space="0" w:color="auto"/>
              <w:left w:val="outset" w:sz="6" w:space="0" w:color="auto"/>
              <w:bottom w:val="outset" w:sz="6" w:space="0" w:color="auto"/>
              <w:right w:val="outset" w:sz="6" w:space="0" w:color="auto"/>
            </w:tcBorders>
            <w:vAlign w:val="center"/>
          </w:tcPr>
          <w:p w:rsidR="00022347" w:rsidRPr="00022347" w:rsidRDefault="00022347" w:rsidP="00351D74">
            <w:pPr>
              <w:ind w:left="57"/>
              <w:jc w:val="center"/>
              <w:rPr>
                <w:rFonts w:ascii="Times New Roman" w:hAnsi="Times New Roman"/>
                <w:sz w:val="24"/>
                <w:szCs w:val="24"/>
              </w:rPr>
            </w:pPr>
            <w:r w:rsidRPr="00022347">
              <w:rPr>
                <w:rFonts w:ascii="Times New Roman" w:hAnsi="Times New Roman"/>
                <w:sz w:val="24"/>
                <w:szCs w:val="24"/>
              </w:rPr>
              <w:t>D</w:t>
            </w:r>
          </w:p>
        </w:tc>
      </w:tr>
      <w:tr w:rsidR="00022347"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022347" w:rsidRPr="003C0BAC" w:rsidRDefault="00022347" w:rsidP="00022347">
            <w:pPr>
              <w:ind w:left="57"/>
              <w:rPr>
                <w:rFonts w:ascii="Times New Roman" w:hAnsi="Times New Roman"/>
                <w:sz w:val="24"/>
                <w:szCs w:val="24"/>
              </w:rPr>
            </w:pPr>
            <w:r w:rsidRPr="003C0BAC">
              <w:rPr>
                <w:rFonts w:ascii="Times New Roman" w:hAnsi="Times New Roman"/>
                <w:sz w:val="24"/>
                <w:szCs w:val="24"/>
              </w:rPr>
              <w:t>Direktīvas 2016/800 7.pant</w:t>
            </w:r>
            <w:r w:rsidR="00755762">
              <w:rPr>
                <w:rFonts w:ascii="Times New Roman" w:hAnsi="Times New Roman"/>
                <w:sz w:val="24"/>
                <w:szCs w:val="24"/>
              </w:rPr>
              <w:t>a 1.punkts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022347" w:rsidRDefault="00022347" w:rsidP="00351D74">
            <w:pPr>
              <w:ind w:left="57"/>
              <w:jc w:val="center"/>
              <w:rPr>
                <w:rFonts w:ascii="Times New Roman" w:eastAsia="Times New Roman" w:hAnsi="Times New Roman"/>
                <w:sz w:val="24"/>
                <w:szCs w:val="24"/>
                <w:lang w:eastAsia="lv-LV"/>
              </w:rPr>
            </w:pPr>
            <w:r w:rsidRPr="003C0BAC">
              <w:rPr>
                <w:rFonts w:ascii="Times New Roman" w:eastAsia="Times New Roman" w:hAnsi="Times New Roman"/>
                <w:sz w:val="24"/>
                <w:szCs w:val="24"/>
                <w:lang w:eastAsia="lv-LV"/>
              </w:rPr>
              <w:t>Likumprojekta 51.pant</w:t>
            </w:r>
            <w:r w:rsidR="00755762">
              <w:rPr>
                <w:rFonts w:ascii="Times New Roman" w:eastAsia="Times New Roman" w:hAnsi="Times New Roman"/>
                <w:sz w:val="24"/>
                <w:szCs w:val="24"/>
                <w:lang w:eastAsia="lv-LV"/>
              </w:rPr>
              <w:t>a pirmā daļa</w:t>
            </w:r>
          </w:p>
          <w:p w:rsidR="00536F6F" w:rsidRPr="003C0BAC" w:rsidRDefault="00536F6F" w:rsidP="00351D74">
            <w:pPr>
              <w:ind w:left="57"/>
              <w:jc w:val="center"/>
              <w:rPr>
                <w:rFonts w:ascii="Times New Roman" w:hAnsi="Times New Roman"/>
                <w:sz w:val="24"/>
                <w:szCs w:val="24"/>
              </w:rPr>
            </w:pPr>
            <w:r>
              <w:rPr>
                <w:rFonts w:ascii="Times New Roman" w:eastAsia="Times New Roman" w:hAnsi="Times New Roman"/>
                <w:sz w:val="24"/>
                <w:szCs w:val="24"/>
                <w:lang w:eastAsia="lv-LV"/>
              </w:rPr>
              <w:t>Likumprojekta 9.pants</w:t>
            </w:r>
          </w:p>
        </w:tc>
        <w:tc>
          <w:tcPr>
            <w:tcW w:w="2552" w:type="dxa"/>
            <w:tcBorders>
              <w:top w:val="outset" w:sz="6" w:space="0" w:color="auto"/>
              <w:left w:val="outset" w:sz="6" w:space="0" w:color="auto"/>
              <w:bottom w:val="outset" w:sz="6" w:space="0" w:color="auto"/>
              <w:right w:val="outset" w:sz="6" w:space="0" w:color="auto"/>
            </w:tcBorders>
          </w:tcPr>
          <w:p w:rsidR="00022347" w:rsidRPr="003C0BAC" w:rsidRDefault="00755762" w:rsidP="00351D74">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Pārņemts</w:t>
            </w:r>
            <w:r w:rsidRPr="003C0BAC">
              <w:rPr>
                <w:rFonts w:ascii="Times New Roman" w:eastAsia="Times New Roman" w:hAnsi="Times New Roman"/>
                <w:sz w:val="24"/>
                <w:szCs w:val="24"/>
                <w:lang w:eastAsia="lv-LV"/>
              </w:rPr>
              <w:t xml:space="preserve"> </w:t>
            </w:r>
            <w:r w:rsidR="00022347" w:rsidRPr="003C0BAC">
              <w:rPr>
                <w:rFonts w:ascii="Times New Roman" w:eastAsia="Times New Roman" w:hAnsi="Times New Roman"/>
                <w:sz w:val="24"/>
                <w:szCs w:val="24"/>
                <w:lang w:eastAsia="lv-LV"/>
              </w:rPr>
              <w:t>pilnībā</w:t>
            </w:r>
          </w:p>
          <w:p w:rsidR="00022347" w:rsidRPr="003C0BAC" w:rsidRDefault="00022347" w:rsidP="00351D74">
            <w:pPr>
              <w:ind w:left="57"/>
              <w:jc w:val="center"/>
              <w:rPr>
                <w:rFonts w:ascii="Times New Roman" w:hAnsi="Times New Roman"/>
                <w:sz w:val="24"/>
                <w:szCs w:val="24"/>
              </w:rPr>
            </w:pPr>
          </w:p>
        </w:tc>
        <w:tc>
          <w:tcPr>
            <w:tcW w:w="4510" w:type="dxa"/>
            <w:gridSpan w:val="2"/>
            <w:tcBorders>
              <w:top w:val="outset" w:sz="6" w:space="0" w:color="auto"/>
              <w:left w:val="outset" w:sz="6" w:space="0" w:color="auto"/>
              <w:bottom w:val="outset" w:sz="6" w:space="0" w:color="auto"/>
              <w:right w:val="outset" w:sz="6" w:space="0" w:color="auto"/>
            </w:tcBorders>
          </w:tcPr>
          <w:p w:rsidR="00022347" w:rsidRPr="003C0BAC" w:rsidRDefault="00755762" w:rsidP="00351D74">
            <w:pPr>
              <w:ind w:left="57"/>
              <w:jc w:val="center"/>
              <w:rPr>
                <w:rFonts w:ascii="Times New Roman" w:hAnsi="Times New Roman"/>
                <w:sz w:val="24"/>
                <w:szCs w:val="24"/>
              </w:rPr>
            </w:pPr>
            <w:r>
              <w:rPr>
                <w:rFonts w:ascii="Times New Roman" w:eastAsia="Times New Roman" w:hAnsi="Times New Roman"/>
                <w:sz w:val="24"/>
                <w:szCs w:val="24"/>
                <w:lang w:eastAsia="lv-LV"/>
              </w:rPr>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2.punkts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16.panta otrā daļa</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Pārņemts pilnībā</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3.punkts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Likumprojekta 51.pants. </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755762">
            <w:pPr>
              <w:spacing w:before="100" w:beforeAutospacing="1" w:after="100" w:afterAutospacing="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Pārņemts daļēji. Pilnībā tiks pārņemts ar Ministru kabineta noteikumiem par </w:t>
            </w:r>
            <w:r>
              <w:rPr>
                <w:rFonts w:ascii="Times New Roman" w:hAnsi="Times New Roman"/>
                <w:sz w:val="24"/>
                <w:szCs w:val="24"/>
              </w:rPr>
              <w:t>k</w:t>
            </w:r>
            <w:r w:rsidRPr="00034492">
              <w:rPr>
                <w:rFonts w:ascii="Times New Roman" w:hAnsi="Times New Roman"/>
                <w:sz w:val="24"/>
                <w:szCs w:val="24"/>
              </w:rPr>
              <w:t xml:space="preserve">ārtību, kādā veic bērna riska un </w:t>
            </w:r>
            <w:r w:rsidRPr="00034492">
              <w:rPr>
                <w:rFonts w:ascii="Times New Roman" w:hAnsi="Times New Roman"/>
                <w:sz w:val="24"/>
                <w:szCs w:val="24"/>
              </w:rPr>
              <w:lastRenderedPageBreak/>
              <w:t>aizsardzības faktora izvērtējumu un sniedz psihologa vai sociālā darbinieka atzinumu par vardarbībā cietušu bērnu</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lastRenderedPageBreak/>
              <w:t>Direktīvas 2016/800 7.pant</w:t>
            </w:r>
            <w:r>
              <w:rPr>
                <w:rFonts w:ascii="Times New Roman" w:hAnsi="Times New Roman"/>
                <w:sz w:val="24"/>
                <w:szCs w:val="24"/>
              </w:rPr>
              <w:t>a 4.punkts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51., kā arī 5. – 15.pantā</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Pārņemts pilnībā</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5.punkts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5.pants</w:t>
            </w:r>
          </w:p>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46.pants.</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755762">
            <w:pPr>
              <w:spacing w:before="100" w:beforeAutospacing="1" w:after="100" w:afterAutospacing="1"/>
              <w:rPr>
                <w:rFonts w:ascii="Times New Roman" w:eastAsia="Times New Roman" w:hAnsi="Times New Roman"/>
                <w:sz w:val="24"/>
                <w:szCs w:val="24"/>
                <w:lang w:eastAsia="lv-LV"/>
              </w:rPr>
            </w:pPr>
            <w:r w:rsidRPr="00CF1F66">
              <w:rPr>
                <w:rFonts w:ascii="Times New Roman" w:eastAsia="Times New Roman" w:hAnsi="Times New Roman"/>
                <w:sz w:val="24"/>
                <w:szCs w:val="24"/>
                <w:lang w:eastAsia="lv-LV"/>
              </w:rPr>
              <w:t>Pārņemts daļēji,</w:t>
            </w:r>
            <w:r>
              <w:rPr>
                <w:rFonts w:ascii="Times New Roman" w:eastAsia="Times New Roman" w:hAnsi="Times New Roman"/>
                <w:sz w:val="24"/>
                <w:szCs w:val="24"/>
                <w:lang w:eastAsia="lv-LV"/>
              </w:rPr>
              <w:t xml:space="preserve"> pilnībā tiks pārņemts ar likumprojektu “Grozījumi Kriminālprocesa likumā”</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6.punkts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7.punkts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36.pants</w:t>
            </w:r>
          </w:p>
          <w:p w:rsidR="00755762"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17.panta pirmās daļas 3.punkts</w:t>
            </w:r>
          </w:p>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18.panta pirmā daļa</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Pārņemts pilnībā</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neparedz stingrākas prasības, nekā ES tiesību aktā</w:t>
            </w: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8.punkts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p>
        </w:tc>
      </w:tr>
      <w:tr w:rsidR="00755762"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755762">
            <w:pPr>
              <w:ind w:left="57"/>
              <w:rPr>
                <w:rFonts w:ascii="Times New Roman" w:hAnsi="Times New Roman"/>
                <w:sz w:val="24"/>
                <w:szCs w:val="24"/>
              </w:rPr>
            </w:pPr>
            <w:r w:rsidRPr="003C0BAC">
              <w:rPr>
                <w:rFonts w:ascii="Times New Roman" w:hAnsi="Times New Roman"/>
                <w:sz w:val="24"/>
                <w:szCs w:val="24"/>
              </w:rPr>
              <w:t>Direktīvas 2016/800 7.pant</w:t>
            </w:r>
            <w:r>
              <w:rPr>
                <w:rFonts w:ascii="Times New Roman" w:hAnsi="Times New Roman"/>
                <w:sz w:val="24"/>
                <w:szCs w:val="24"/>
              </w:rPr>
              <w:t>a 9.punkts</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Likumprojekta 9.pants</w:t>
            </w:r>
          </w:p>
        </w:tc>
        <w:tc>
          <w:tcPr>
            <w:tcW w:w="2552" w:type="dxa"/>
            <w:tcBorders>
              <w:top w:val="outset" w:sz="6" w:space="0" w:color="auto"/>
              <w:left w:val="outset" w:sz="6" w:space="0" w:color="auto"/>
              <w:bottom w:val="outset" w:sz="6" w:space="0" w:color="auto"/>
              <w:right w:val="outset" w:sz="6" w:space="0" w:color="auto"/>
            </w:tcBorders>
          </w:tcPr>
          <w:p w:rsidR="00755762" w:rsidRPr="003C0BAC" w:rsidRDefault="00755762" w:rsidP="00351D74">
            <w:p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Pārņemts pilnībā</w:t>
            </w:r>
          </w:p>
        </w:tc>
        <w:tc>
          <w:tcPr>
            <w:tcW w:w="4510" w:type="dxa"/>
            <w:gridSpan w:val="2"/>
            <w:tcBorders>
              <w:top w:val="outset" w:sz="6" w:space="0" w:color="auto"/>
              <w:left w:val="outset" w:sz="6" w:space="0" w:color="auto"/>
              <w:bottom w:val="outset" w:sz="6" w:space="0" w:color="auto"/>
              <w:right w:val="outset" w:sz="6" w:space="0" w:color="auto"/>
            </w:tcBorders>
          </w:tcPr>
          <w:p w:rsidR="00755762" w:rsidRPr="003C0BAC" w:rsidRDefault="00755762" w:rsidP="00351D74">
            <w:pPr>
              <w:ind w:left="5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Likumprojekts neparedz stingrākas prasības, nekā ES tiesību aktā</w:t>
            </w:r>
          </w:p>
        </w:tc>
      </w:tr>
      <w:tr w:rsidR="00022347"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pacing w:val="-3"/>
                <w:sz w:val="24"/>
                <w:szCs w:val="24"/>
              </w:rPr>
            </w:pPr>
            <w:r w:rsidRPr="00022347">
              <w:rPr>
                <w:rFonts w:ascii="Times New Roman" w:hAnsi="Times New Roman"/>
                <w:spacing w:val="-3"/>
                <w:sz w:val="24"/>
                <w:szCs w:val="24"/>
              </w:rPr>
              <w:t>Kā ir izmantota ES tiesību aktā paredzētā rīcības brīvība dalībvalstij pārņemt vai ieviest noteiktas ES tiesību akta normas?</w:t>
            </w:r>
          </w:p>
          <w:p w:rsidR="00022347" w:rsidRPr="00022347" w:rsidRDefault="00022347" w:rsidP="00351D74">
            <w:pPr>
              <w:ind w:left="57"/>
              <w:rPr>
                <w:rFonts w:ascii="Times New Roman" w:hAnsi="Times New Roman"/>
                <w:b/>
                <w:sz w:val="24"/>
                <w:szCs w:val="24"/>
              </w:rPr>
            </w:pPr>
            <w:r w:rsidRPr="00022347">
              <w:rPr>
                <w:rFonts w:ascii="Times New Roman" w:hAnsi="Times New Roman"/>
                <w:spacing w:val="-3"/>
                <w:sz w:val="24"/>
                <w:szCs w:val="24"/>
              </w:rPr>
              <w:t>Kādēļ?</w:t>
            </w:r>
          </w:p>
        </w:tc>
        <w:tc>
          <w:tcPr>
            <w:tcW w:w="2835"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center"/>
              <w:rPr>
                <w:rFonts w:ascii="Times New Roman" w:hAnsi="Times New Roman"/>
                <w:b/>
                <w:sz w:val="24"/>
                <w:szCs w:val="24"/>
              </w:rPr>
            </w:pPr>
            <w:r w:rsidRPr="00022347">
              <w:rPr>
                <w:rFonts w:ascii="Times New Roman" w:hAnsi="Times New Roman"/>
                <w:snapToGrid w:val="0"/>
                <w:sz w:val="24"/>
                <w:szCs w:val="24"/>
              </w:rPr>
              <w:t>Nav attiecināms</w:t>
            </w:r>
          </w:p>
        </w:tc>
        <w:tc>
          <w:tcPr>
            <w:tcW w:w="2552" w:type="dxa"/>
            <w:tcBorders>
              <w:bottom w:val="single" w:sz="4" w:space="0" w:color="auto"/>
            </w:tcBorders>
          </w:tcPr>
          <w:p w:rsidR="00022347" w:rsidRPr="00022347" w:rsidRDefault="00022347" w:rsidP="00351D74">
            <w:pPr>
              <w:ind w:left="57"/>
              <w:jc w:val="center"/>
              <w:rPr>
                <w:rFonts w:ascii="Times New Roman" w:hAnsi="Times New Roman"/>
                <w:b/>
                <w:sz w:val="24"/>
                <w:szCs w:val="24"/>
              </w:rPr>
            </w:pPr>
          </w:p>
        </w:tc>
        <w:tc>
          <w:tcPr>
            <w:tcW w:w="4510" w:type="dxa"/>
            <w:gridSpan w:val="2"/>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center"/>
              <w:rPr>
                <w:rFonts w:ascii="Times New Roman" w:hAnsi="Times New Roman"/>
                <w:b/>
                <w:sz w:val="24"/>
                <w:szCs w:val="24"/>
              </w:rPr>
            </w:pPr>
          </w:p>
        </w:tc>
      </w:tr>
      <w:tr w:rsidR="00022347" w:rsidRPr="00EE035C"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b/>
                <w:sz w:val="24"/>
                <w:szCs w:val="24"/>
              </w:rPr>
            </w:pPr>
            <w:r w:rsidRPr="00022347">
              <w:rPr>
                <w:rFonts w:ascii="Times New Roman" w:hAnsi="Times New Roman"/>
                <w:spacing w:val="-4"/>
                <w:sz w:val="24"/>
                <w:szCs w:val="24"/>
              </w:rPr>
              <w:t>Saistības sniegt paziņojumu ES institūcijām un ES dalībvalstīm atbilstoši normatīvajiem aktiem, kas regulē informācijas sniegšanu par tehnisko noteikumu, valsts atbalsta piešķir</w:t>
            </w:r>
            <w:r w:rsidRPr="00022347">
              <w:rPr>
                <w:rFonts w:ascii="Times New Roman" w:hAnsi="Times New Roman"/>
                <w:spacing w:val="-4"/>
                <w:sz w:val="24"/>
                <w:szCs w:val="24"/>
              </w:rPr>
              <w:softHyphen/>
              <w:t xml:space="preserve">šanas un finanšu noteikumu (attiecībā uz </w:t>
            </w:r>
            <w:r w:rsidRPr="00022347">
              <w:rPr>
                <w:rFonts w:ascii="Times New Roman" w:hAnsi="Times New Roman"/>
                <w:spacing w:val="-4"/>
                <w:sz w:val="24"/>
                <w:szCs w:val="24"/>
              </w:rPr>
              <w:lastRenderedPageBreak/>
              <w:t>monetāro politiku) projektiem</w:t>
            </w:r>
          </w:p>
        </w:tc>
        <w:tc>
          <w:tcPr>
            <w:tcW w:w="2835"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center"/>
              <w:rPr>
                <w:rFonts w:ascii="Times New Roman" w:hAnsi="Times New Roman"/>
                <w:b/>
                <w:sz w:val="24"/>
                <w:szCs w:val="24"/>
              </w:rPr>
            </w:pPr>
            <w:r w:rsidRPr="00022347">
              <w:rPr>
                <w:rFonts w:ascii="Times New Roman" w:hAnsi="Times New Roman"/>
                <w:sz w:val="24"/>
                <w:szCs w:val="24"/>
              </w:rPr>
              <w:lastRenderedPageBreak/>
              <w:t>Nav attiecināms</w:t>
            </w:r>
          </w:p>
        </w:tc>
        <w:tc>
          <w:tcPr>
            <w:tcW w:w="2552" w:type="dxa"/>
            <w:tcBorders>
              <w:top w:val="single" w:sz="4" w:space="0" w:color="auto"/>
            </w:tcBorders>
          </w:tcPr>
          <w:p w:rsidR="00022347" w:rsidRPr="00022347" w:rsidRDefault="00022347" w:rsidP="00351D74">
            <w:pPr>
              <w:ind w:left="57"/>
              <w:jc w:val="center"/>
              <w:rPr>
                <w:rFonts w:ascii="Times New Roman" w:hAnsi="Times New Roman"/>
                <w:b/>
                <w:sz w:val="24"/>
                <w:szCs w:val="24"/>
              </w:rPr>
            </w:pPr>
          </w:p>
        </w:tc>
        <w:tc>
          <w:tcPr>
            <w:tcW w:w="4510" w:type="dxa"/>
            <w:gridSpan w:val="2"/>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jc w:val="center"/>
              <w:rPr>
                <w:rFonts w:ascii="Times New Roman" w:hAnsi="Times New Roman"/>
                <w:b/>
                <w:sz w:val="24"/>
                <w:szCs w:val="24"/>
              </w:rPr>
            </w:pPr>
          </w:p>
        </w:tc>
      </w:tr>
      <w:tr w:rsidR="00022347" w:rsidRPr="00E52A52" w:rsidTr="00CF1F66">
        <w:trPr>
          <w:gridBefore w:val="1"/>
          <w:wBefore w:w="240" w:type="dxa"/>
          <w:jc w:val="center"/>
        </w:trPr>
        <w:tc>
          <w:tcPr>
            <w:tcW w:w="4443" w:type="dxa"/>
            <w:gridSpan w:val="3"/>
            <w:tcBorders>
              <w:top w:val="outset" w:sz="6" w:space="0" w:color="auto"/>
              <w:left w:val="outset" w:sz="6" w:space="0" w:color="auto"/>
              <w:bottom w:val="outset" w:sz="6" w:space="0" w:color="auto"/>
              <w:right w:val="outset" w:sz="6" w:space="0" w:color="auto"/>
            </w:tcBorders>
          </w:tcPr>
          <w:p w:rsidR="00022347" w:rsidRPr="00022347" w:rsidRDefault="00022347" w:rsidP="00351D74">
            <w:pPr>
              <w:ind w:left="57"/>
              <w:rPr>
                <w:rFonts w:ascii="Times New Roman" w:hAnsi="Times New Roman"/>
                <w:spacing w:val="-3"/>
                <w:sz w:val="24"/>
                <w:szCs w:val="24"/>
              </w:rPr>
            </w:pPr>
            <w:r w:rsidRPr="00022347">
              <w:rPr>
                <w:rFonts w:ascii="Times New Roman" w:hAnsi="Times New Roman"/>
                <w:sz w:val="24"/>
                <w:szCs w:val="24"/>
              </w:rPr>
              <w:lastRenderedPageBreak/>
              <w:t>Cita informācija</w:t>
            </w:r>
          </w:p>
        </w:tc>
        <w:tc>
          <w:tcPr>
            <w:tcW w:w="9897" w:type="dxa"/>
            <w:gridSpan w:val="6"/>
            <w:tcBorders>
              <w:top w:val="outset" w:sz="6" w:space="0" w:color="auto"/>
              <w:left w:val="outset" w:sz="6" w:space="0" w:color="auto"/>
              <w:bottom w:val="outset" w:sz="6" w:space="0" w:color="auto"/>
              <w:right w:val="outset" w:sz="6" w:space="0" w:color="auto"/>
            </w:tcBorders>
          </w:tcPr>
          <w:p w:rsidR="00022347" w:rsidRPr="00022347" w:rsidRDefault="00755762" w:rsidP="00755762">
            <w:pPr>
              <w:ind w:left="57"/>
              <w:jc w:val="both"/>
              <w:rPr>
                <w:rFonts w:ascii="Times New Roman" w:hAnsi="Times New Roman"/>
                <w:snapToGrid w:val="0"/>
                <w:sz w:val="24"/>
                <w:szCs w:val="24"/>
              </w:rPr>
            </w:pPr>
            <w:r>
              <w:rPr>
                <w:rFonts w:ascii="Times New Roman" w:hAnsi="Times New Roman"/>
                <w:bCs/>
                <w:sz w:val="24"/>
                <w:szCs w:val="24"/>
                <w:lang w:val="lv-LV"/>
              </w:rPr>
              <w:t>Direktīva 2016/800)</w:t>
            </w:r>
            <w:r>
              <w:rPr>
                <w:rFonts w:ascii="Times New Roman" w:hAnsi="Times New Roman"/>
                <w:sz w:val="24"/>
                <w:szCs w:val="24"/>
              </w:rPr>
              <w:t xml:space="preserve"> pilnībā (t.i., 1. – 6.pants, 7.panta 5., 6., 8. un 9.punkts, kā arī 8. – 23.pants) tiek pārņemts ar likumprojektu “Grozījumi Kriminālprocesa likumā” (atbildīgā – Tieslietu ministrija)</w:t>
            </w:r>
          </w:p>
        </w:tc>
      </w:tr>
      <w:tr w:rsidR="008752D4" w:rsidRPr="00666D9E" w:rsidTr="00004437">
        <w:tblPrEx>
          <w:jc w:val="lef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234" w:type="dxa"/>
          <w:trHeight w:val="420"/>
        </w:trPr>
        <w:tc>
          <w:tcPr>
            <w:tcW w:w="14346" w:type="dxa"/>
            <w:gridSpan w:val="9"/>
            <w:tcBorders>
              <w:top w:val="outset" w:sz="6" w:space="0" w:color="414142"/>
              <w:left w:val="outset" w:sz="6" w:space="0" w:color="414142"/>
              <w:bottom w:val="outset" w:sz="6" w:space="0" w:color="414142"/>
              <w:right w:val="outset" w:sz="6" w:space="0" w:color="414142"/>
            </w:tcBorders>
            <w:vAlign w:val="center"/>
            <w:hideMark/>
          </w:tcPr>
          <w:p w:rsidR="008752D4" w:rsidRPr="00E553A6" w:rsidRDefault="008752D4" w:rsidP="005B430B">
            <w:pPr>
              <w:pStyle w:val="Parasts1"/>
              <w:spacing w:after="0" w:line="240" w:lineRule="auto"/>
              <w:ind w:firstLine="300"/>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VI. Sabiedrības līdzdalība un komunikācijas aktivitātes</w:t>
            </w:r>
          </w:p>
        </w:tc>
      </w:tr>
      <w:tr w:rsidR="008752D4" w:rsidRPr="00CF1F66" w:rsidTr="00004437">
        <w:tblPrEx>
          <w:jc w:val="lef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234" w:type="dxa"/>
          <w:trHeight w:val="540"/>
        </w:trPr>
        <w:tc>
          <w:tcPr>
            <w:tcW w:w="717" w:type="dxa"/>
            <w:gridSpan w:val="2"/>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4304" w:type="dxa"/>
            <w:gridSpan w:val="3"/>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Plānotās sabiedrības līdzdalības un komunikācijas aktivitātes saistībā ar projektu</w:t>
            </w:r>
          </w:p>
        </w:tc>
        <w:tc>
          <w:tcPr>
            <w:tcW w:w="9325" w:type="dxa"/>
            <w:gridSpan w:val="4"/>
            <w:tcBorders>
              <w:top w:val="outset" w:sz="6" w:space="0" w:color="414142"/>
              <w:left w:val="outset" w:sz="6" w:space="0" w:color="414142"/>
              <w:bottom w:val="outset" w:sz="6" w:space="0" w:color="414142"/>
              <w:right w:val="outset" w:sz="6" w:space="0" w:color="414142"/>
            </w:tcBorders>
            <w:hideMark/>
          </w:tcPr>
          <w:p w:rsidR="008752D4" w:rsidRPr="00E553A6" w:rsidRDefault="008752D4" w:rsidP="006D08F6">
            <w:pPr>
              <w:pStyle w:val="Parasts1"/>
              <w:spacing w:after="0" w:line="240" w:lineRule="auto"/>
              <w:ind w:firstLine="348"/>
              <w:jc w:val="both"/>
              <w:rPr>
                <w:rFonts w:ascii="Times New Roman" w:eastAsia="Times New Roman" w:hAnsi="Times New Roman"/>
                <w:sz w:val="24"/>
                <w:szCs w:val="24"/>
                <w:lang w:eastAsia="lv-LV"/>
              </w:rPr>
            </w:pPr>
          </w:p>
        </w:tc>
      </w:tr>
      <w:tr w:rsidR="008752D4" w:rsidRPr="00CF1F66" w:rsidTr="00004437">
        <w:tblPrEx>
          <w:jc w:val="lef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234" w:type="dxa"/>
          <w:trHeight w:val="330"/>
        </w:trPr>
        <w:tc>
          <w:tcPr>
            <w:tcW w:w="717" w:type="dxa"/>
            <w:gridSpan w:val="2"/>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2.</w:t>
            </w:r>
          </w:p>
        </w:tc>
        <w:tc>
          <w:tcPr>
            <w:tcW w:w="4304" w:type="dxa"/>
            <w:gridSpan w:val="3"/>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Sabiedrības līdzdalība projekta izstrādē</w:t>
            </w:r>
          </w:p>
        </w:tc>
        <w:tc>
          <w:tcPr>
            <w:tcW w:w="9325" w:type="dxa"/>
            <w:gridSpan w:val="4"/>
            <w:tcBorders>
              <w:top w:val="outset" w:sz="6" w:space="0" w:color="414142"/>
              <w:left w:val="outset" w:sz="6" w:space="0" w:color="414142"/>
              <w:bottom w:val="outset" w:sz="6" w:space="0" w:color="414142"/>
              <w:right w:val="outset" w:sz="6" w:space="0" w:color="414142"/>
            </w:tcBorders>
            <w:hideMark/>
          </w:tcPr>
          <w:p w:rsidR="008752D4" w:rsidRPr="00E553A6" w:rsidRDefault="00DB3ADD" w:rsidP="006D08F6">
            <w:pPr>
              <w:pStyle w:val="Parasts1"/>
              <w:spacing w:after="0" w:line="240" w:lineRule="auto"/>
              <w:ind w:firstLine="34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2015.gada 4.decembrī Tieslietu ministrija rīkoja publisku </w:t>
            </w:r>
            <w:r w:rsidR="000E78D0">
              <w:rPr>
                <w:rFonts w:ascii="Times New Roman" w:eastAsia="Times New Roman" w:hAnsi="Times New Roman"/>
                <w:sz w:val="24"/>
                <w:szCs w:val="24"/>
                <w:lang w:eastAsia="lv-LV"/>
              </w:rPr>
              <w:t xml:space="preserve">ekspertu </w:t>
            </w:r>
            <w:r>
              <w:rPr>
                <w:rFonts w:ascii="Times New Roman" w:eastAsia="Times New Roman" w:hAnsi="Times New Roman"/>
                <w:sz w:val="24"/>
                <w:szCs w:val="24"/>
                <w:lang w:eastAsia="lv-LV"/>
              </w:rPr>
              <w:t xml:space="preserve">diskusiju </w:t>
            </w:r>
            <w:r w:rsidR="000E78D0" w:rsidRPr="000E78D0">
              <w:rPr>
                <w:rFonts w:ascii="Times New Roman" w:eastAsia="Times New Roman" w:hAnsi="Times New Roman"/>
                <w:sz w:val="24"/>
                <w:szCs w:val="24"/>
                <w:lang w:eastAsia="lv-LV"/>
              </w:rPr>
              <w:t>„Bērns vai likumpārkāpējs: sodīt vai audzināt?”</w:t>
            </w:r>
            <w:r w:rsidR="000E78D0">
              <w:rPr>
                <w:rFonts w:ascii="Times New Roman" w:eastAsia="Times New Roman" w:hAnsi="Times New Roman"/>
                <w:sz w:val="24"/>
                <w:szCs w:val="24"/>
                <w:lang w:eastAsia="lv-LV"/>
              </w:rPr>
              <w:t xml:space="preserve">. </w:t>
            </w:r>
            <w:r w:rsidR="000E78D0" w:rsidRPr="000E78D0">
              <w:rPr>
                <w:rFonts w:ascii="Times New Roman" w:eastAsia="Times New Roman" w:hAnsi="Times New Roman"/>
                <w:sz w:val="24"/>
                <w:szCs w:val="24"/>
                <w:lang w:eastAsia="lv-LV"/>
              </w:rPr>
              <w:t>Diskusijas ietvaros tika izdiskutēti jautājumi, kas dalāmi divos blokos: 1) “Kāpēc nedarbojas esošā sociālās korekcijas sistēma bērniem?”; 2) “Kā nākotnē veidot sociālās korekcijas sistēmu bērniem?”</w:t>
            </w:r>
            <w:r w:rsidR="000E78D0">
              <w:rPr>
                <w:rFonts w:ascii="Times New Roman" w:eastAsia="Times New Roman" w:hAnsi="Times New Roman"/>
                <w:sz w:val="24"/>
                <w:szCs w:val="24"/>
                <w:lang w:eastAsia="lv-LV"/>
              </w:rPr>
              <w:t xml:space="preserve"> </w:t>
            </w:r>
            <w:r w:rsidR="000E78D0" w:rsidRPr="000E78D0">
              <w:rPr>
                <w:rFonts w:ascii="Times New Roman" w:eastAsia="Times New Roman" w:hAnsi="Times New Roman"/>
                <w:sz w:val="24"/>
                <w:szCs w:val="24"/>
                <w:lang w:eastAsia="lv-LV"/>
              </w:rPr>
              <w:t>Diskusijā piedalījās aptuveni 50 dalībnieki (diskusanti, klausītāji: sociālie darbinieki, bērnu psihologi, bērnu tiesību speciālisti, cilvēki, kas ikdienā strādā ar jauniešiem, juristi un citi attiecīgās jomas speciālisti)</w:t>
            </w:r>
            <w:r w:rsidR="000E78D0">
              <w:rPr>
                <w:rFonts w:ascii="Times New Roman" w:eastAsia="Times New Roman" w:hAnsi="Times New Roman"/>
                <w:sz w:val="24"/>
                <w:szCs w:val="24"/>
                <w:lang w:eastAsia="lv-LV"/>
              </w:rPr>
              <w:t xml:space="preserve">. </w:t>
            </w:r>
            <w:r w:rsidR="000E78D0" w:rsidRPr="000E78D0">
              <w:rPr>
                <w:rFonts w:ascii="Times New Roman" w:eastAsia="Times New Roman" w:hAnsi="Times New Roman"/>
                <w:sz w:val="24"/>
                <w:szCs w:val="24"/>
                <w:lang w:eastAsia="lv-LV"/>
              </w:rPr>
              <w:t>Tika nodrošināta arī diskusijas vērošana internetā (tiešraidē)</w:t>
            </w:r>
            <w:r w:rsidR="000E78D0">
              <w:rPr>
                <w:rFonts w:ascii="Times New Roman" w:eastAsia="Times New Roman" w:hAnsi="Times New Roman"/>
                <w:sz w:val="24"/>
                <w:szCs w:val="24"/>
                <w:lang w:eastAsia="lv-LV"/>
              </w:rPr>
              <w:t xml:space="preserve"> ar iespējām diskusijas dalībniekiem iesūtīt jautājumus. </w:t>
            </w:r>
          </w:p>
        </w:tc>
      </w:tr>
      <w:tr w:rsidR="008752D4" w:rsidRPr="000E78D0" w:rsidTr="00004437">
        <w:tblPrEx>
          <w:jc w:val="lef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234" w:type="dxa"/>
          <w:trHeight w:val="465"/>
        </w:trPr>
        <w:tc>
          <w:tcPr>
            <w:tcW w:w="717" w:type="dxa"/>
            <w:gridSpan w:val="2"/>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w:t>
            </w:r>
          </w:p>
        </w:tc>
        <w:tc>
          <w:tcPr>
            <w:tcW w:w="4304" w:type="dxa"/>
            <w:gridSpan w:val="3"/>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Sabiedrības līdzdalības rezultāti</w:t>
            </w:r>
          </w:p>
        </w:tc>
        <w:tc>
          <w:tcPr>
            <w:tcW w:w="9325" w:type="dxa"/>
            <w:gridSpan w:val="4"/>
            <w:tcBorders>
              <w:top w:val="outset" w:sz="6" w:space="0" w:color="414142"/>
              <w:left w:val="outset" w:sz="6" w:space="0" w:color="414142"/>
              <w:bottom w:val="outset" w:sz="6" w:space="0" w:color="414142"/>
              <w:right w:val="outset" w:sz="6" w:space="0" w:color="414142"/>
            </w:tcBorders>
            <w:hideMark/>
          </w:tcPr>
          <w:p w:rsidR="008752D4" w:rsidRPr="00E553A6" w:rsidRDefault="008752D4" w:rsidP="006D08F6">
            <w:pPr>
              <w:pStyle w:val="Parasts1"/>
              <w:spacing w:after="0" w:line="240" w:lineRule="auto"/>
              <w:ind w:firstLine="348"/>
              <w:jc w:val="both"/>
              <w:rPr>
                <w:rFonts w:ascii="Times New Roman" w:eastAsia="Times New Roman" w:hAnsi="Times New Roman"/>
                <w:sz w:val="24"/>
                <w:szCs w:val="24"/>
                <w:lang w:eastAsia="lv-LV"/>
              </w:rPr>
            </w:pPr>
          </w:p>
        </w:tc>
      </w:tr>
      <w:tr w:rsidR="008752D4" w:rsidRPr="000E78D0" w:rsidTr="00004437">
        <w:tblPrEx>
          <w:jc w:val="lef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gridAfter w:val="1"/>
          <w:wAfter w:w="234" w:type="dxa"/>
          <w:trHeight w:val="146"/>
        </w:trPr>
        <w:tc>
          <w:tcPr>
            <w:tcW w:w="717" w:type="dxa"/>
            <w:gridSpan w:val="2"/>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4.</w:t>
            </w:r>
          </w:p>
        </w:tc>
        <w:tc>
          <w:tcPr>
            <w:tcW w:w="4304" w:type="dxa"/>
            <w:gridSpan w:val="3"/>
            <w:tcBorders>
              <w:top w:val="outset" w:sz="6" w:space="0" w:color="414142"/>
              <w:left w:val="outset" w:sz="6" w:space="0" w:color="414142"/>
              <w:bottom w:val="outset" w:sz="6" w:space="0" w:color="414142"/>
              <w:right w:val="outset" w:sz="6" w:space="0" w:color="414142"/>
            </w:tcBorders>
            <w:hideMark/>
          </w:tcPr>
          <w:p w:rsidR="008752D4" w:rsidRPr="00E553A6" w:rsidRDefault="008752D4" w:rsidP="005B430B">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Cita informācija</w:t>
            </w:r>
          </w:p>
        </w:tc>
        <w:tc>
          <w:tcPr>
            <w:tcW w:w="9325" w:type="dxa"/>
            <w:gridSpan w:val="4"/>
            <w:tcBorders>
              <w:top w:val="outset" w:sz="6" w:space="0" w:color="414142"/>
              <w:left w:val="outset" w:sz="6" w:space="0" w:color="414142"/>
              <w:bottom w:val="outset" w:sz="6" w:space="0" w:color="414142"/>
              <w:right w:val="outset" w:sz="6" w:space="0" w:color="414142"/>
            </w:tcBorders>
            <w:hideMark/>
          </w:tcPr>
          <w:p w:rsidR="008752D4" w:rsidRPr="00E553A6" w:rsidRDefault="008752D4" w:rsidP="006D08F6">
            <w:pPr>
              <w:pStyle w:val="Parasts1"/>
              <w:spacing w:after="0" w:line="240" w:lineRule="auto"/>
              <w:ind w:firstLine="348"/>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Nav</w:t>
            </w:r>
            <w:r w:rsidR="00BF2BE7">
              <w:rPr>
                <w:rFonts w:ascii="Times New Roman" w:eastAsia="Times New Roman" w:hAnsi="Times New Roman"/>
                <w:sz w:val="24"/>
                <w:szCs w:val="24"/>
                <w:lang w:eastAsia="lv-LV"/>
              </w:rPr>
              <w:t>.</w:t>
            </w:r>
          </w:p>
        </w:tc>
      </w:tr>
    </w:tbl>
    <w:p w:rsidR="00177CFA" w:rsidRPr="00E553A6" w:rsidRDefault="00177CFA" w:rsidP="00177CFA">
      <w:pPr>
        <w:pStyle w:val="Parasts1"/>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8"/>
        <w:gridCol w:w="5451"/>
        <w:gridCol w:w="8177"/>
      </w:tblGrid>
      <w:tr w:rsidR="00177CFA" w:rsidRPr="00CF1F66" w:rsidTr="00303AD6">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177CFA" w:rsidRPr="00E553A6" w:rsidRDefault="00177CFA" w:rsidP="00303AD6">
            <w:pPr>
              <w:pStyle w:val="Parasts1"/>
              <w:spacing w:after="0" w:line="240" w:lineRule="auto"/>
              <w:ind w:firstLine="300"/>
              <w:jc w:val="center"/>
              <w:rPr>
                <w:rFonts w:ascii="Times New Roman" w:eastAsia="Times New Roman" w:hAnsi="Times New Roman"/>
                <w:b/>
                <w:bCs/>
                <w:sz w:val="24"/>
                <w:szCs w:val="24"/>
                <w:lang w:eastAsia="lv-LV"/>
              </w:rPr>
            </w:pPr>
            <w:r w:rsidRPr="00E553A6">
              <w:rPr>
                <w:rFonts w:ascii="Times New Roman" w:eastAsia="Times New Roman" w:hAnsi="Times New Roman"/>
                <w:b/>
                <w:bCs/>
                <w:sz w:val="24"/>
                <w:szCs w:val="24"/>
                <w:lang w:eastAsia="lv-LV"/>
              </w:rPr>
              <w:t>VII. Tiesību akta projekta izpildes nodrošināšana un tās ietekme uz institūcijām</w:t>
            </w:r>
          </w:p>
        </w:tc>
      </w:tr>
      <w:tr w:rsidR="00177CFA" w:rsidRPr="00CF1F66" w:rsidTr="00303AD6">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177CFA" w:rsidRDefault="00592F8B" w:rsidP="006D08F6">
            <w:pPr>
              <w:pStyle w:val="Parasts1"/>
              <w:spacing w:after="0" w:line="240" w:lineRule="auto"/>
              <w:ind w:firstLine="3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šo likumprojektu Tieslietu ministrijai tiek noteikta jauna valsts pārvaldes funkcija – bērnu antisociālas uzvedības prevencija. Šīs funkcijas īstenošanai Tieslietu ministrijā tiek izveidots jauns departaments. Šī departamenta kompetencē būs arī funkcijas – vardarbības prevencija īstenošana, kas Tieslietu ministrijai tiek noteikta ar Vardarbības prevencijas likumu. </w:t>
            </w:r>
            <w:r w:rsidR="00777209">
              <w:rPr>
                <w:rFonts w:ascii="Times New Roman" w:eastAsia="Times New Roman" w:hAnsi="Times New Roman"/>
                <w:sz w:val="24"/>
                <w:szCs w:val="24"/>
                <w:lang w:eastAsia="lv-LV"/>
              </w:rPr>
              <w:t xml:space="preserve">Jaunajā departamentā paredzētas 6 štata vietas. Departamenta uzdevums būs veikt metodisko vadību </w:t>
            </w:r>
            <w:r w:rsidR="00E579DD">
              <w:rPr>
                <w:rFonts w:ascii="Times New Roman" w:eastAsia="Times New Roman" w:hAnsi="Times New Roman"/>
                <w:sz w:val="24"/>
                <w:szCs w:val="24"/>
                <w:lang w:eastAsia="lv-LV"/>
              </w:rPr>
              <w:t xml:space="preserve">prevencijas procesa virzībai, riska un aizsardzības faktoru novērtēšanai, prevencijas pasākumu plāna sastādīšanai, kā arī administrēt funkcijas izpildei piešķirtos finanšu līdzekļus, uzraudzīt to izlietojumu un analizēt funkcijas izpildes efektivitāti. </w:t>
            </w:r>
          </w:p>
          <w:p w:rsidR="00592F8B" w:rsidRDefault="00592F8B" w:rsidP="006D08F6">
            <w:pPr>
              <w:pStyle w:val="Parasts1"/>
              <w:spacing w:after="0" w:line="240" w:lineRule="auto"/>
              <w:ind w:firstLine="3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Bērnu antisociālas uzvedības prevencijas funkcijas deleģēto uzdevumu izpildē iesaistītas šādas valsts un pašvaldību institūcijas:</w:t>
            </w:r>
          </w:p>
          <w:p w:rsidR="00592F8B" w:rsidRDefault="00592F8B" w:rsidP="00592F8B">
            <w:pPr>
              <w:pStyle w:val="Parasts1"/>
              <w:numPr>
                <w:ilvl w:val="0"/>
                <w:numId w:val="7"/>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soci</w:t>
            </w:r>
            <w:r w:rsidR="00CF1F66">
              <w:rPr>
                <w:rFonts w:ascii="Times New Roman" w:eastAsia="Times New Roman" w:hAnsi="Times New Roman"/>
                <w:sz w:val="24"/>
                <w:szCs w:val="24"/>
                <w:lang w:eastAsia="lv-LV"/>
              </w:rPr>
              <w:t xml:space="preserve">ālais dienests </w:t>
            </w:r>
          </w:p>
          <w:p w:rsidR="00A92ADE" w:rsidRDefault="00777209" w:rsidP="00A92ADE">
            <w:pPr>
              <w:pStyle w:val="Parasts1"/>
              <w:numPr>
                <w:ilvl w:val="0"/>
                <w:numId w:val="7"/>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Bāriņtiesas</w:t>
            </w:r>
            <w:r w:rsidR="00A92ADE">
              <w:rPr>
                <w:rFonts w:ascii="Times New Roman" w:eastAsia="Times New Roman" w:hAnsi="Times New Roman"/>
                <w:sz w:val="24"/>
                <w:szCs w:val="24"/>
                <w:lang w:eastAsia="lv-LV"/>
              </w:rPr>
              <w:t>, jaunatnes lietu speciālists, sociālais pedagogs, Valsts probācijas dienests, psihologs, ārstniecības persona.</w:t>
            </w:r>
          </w:p>
          <w:p w:rsidR="00A92ADE" w:rsidRDefault="00A92ADE" w:rsidP="00A92ADE">
            <w:pPr>
              <w:pStyle w:val="Parasts1"/>
              <w:spacing w:after="0" w:line="240" w:lineRule="auto"/>
              <w:ind w:left="68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Procesā var iesaistīt – valsts vai pašvaldības</w:t>
            </w:r>
            <w:r w:rsidR="00EC608B">
              <w:rPr>
                <w:rFonts w:ascii="Times New Roman" w:eastAsia="Times New Roman" w:hAnsi="Times New Roman"/>
                <w:sz w:val="24"/>
                <w:szCs w:val="24"/>
                <w:lang w:eastAsia="lv-LV"/>
              </w:rPr>
              <w:t xml:space="preserve"> policijas amatpersonas</w:t>
            </w:r>
            <w:r>
              <w:rPr>
                <w:rFonts w:ascii="Times New Roman" w:eastAsia="Times New Roman" w:hAnsi="Times New Roman"/>
                <w:sz w:val="24"/>
                <w:szCs w:val="24"/>
                <w:lang w:eastAsia="lv-LV"/>
              </w:rPr>
              <w:t xml:space="preserve">, sabiedrisko organizāciju pārstāvjus. </w:t>
            </w:r>
          </w:p>
          <w:p w:rsidR="00A92ADE" w:rsidRPr="00A92ADE" w:rsidRDefault="00E579DD" w:rsidP="00E579DD">
            <w:pPr>
              <w:pStyle w:val="Parasts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Prevencijas pasākumu plāna izpildē var būt iesaistītas dažādas institūcijas, pamatā jau šobrīd tie ir pašvaldību sociālie dienesti sadarbībā ar nevalstiskajām organizācijām.</w:t>
            </w:r>
          </w:p>
        </w:tc>
      </w:tr>
      <w:tr w:rsidR="00177CFA" w:rsidRPr="00CF1F66" w:rsidTr="00303AD6">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lastRenderedPageBreak/>
              <w:t>2.</w:t>
            </w:r>
          </w:p>
        </w:tc>
        <w:tc>
          <w:tcPr>
            <w:tcW w:w="190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 xml:space="preserve">Projekta izpildes ietekme uz pārvaldes funkcijām un institucionālo struktūru. </w:t>
            </w:r>
          </w:p>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6D08F6">
            <w:pPr>
              <w:pStyle w:val="Parasts1"/>
              <w:spacing w:after="0" w:line="240" w:lineRule="auto"/>
              <w:ind w:firstLine="327"/>
              <w:rPr>
                <w:rFonts w:ascii="Times New Roman" w:eastAsia="Times New Roman" w:hAnsi="Times New Roman"/>
                <w:sz w:val="24"/>
                <w:szCs w:val="24"/>
                <w:lang w:eastAsia="lv-LV"/>
              </w:rPr>
            </w:pPr>
          </w:p>
        </w:tc>
      </w:tr>
      <w:tr w:rsidR="00177CFA" w:rsidRPr="00E553A6" w:rsidTr="00824F24">
        <w:trPr>
          <w:trHeight w:val="219"/>
        </w:trPr>
        <w:tc>
          <w:tcPr>
            <w:tcW w:w="25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303AD6">
            <w:pPr>
              <w:pStyle w:val="Parasts1"/>
              <w:spacing w:after="0" w:line="240" w:lineRule="auto"/>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177CFA" w:rsidRPr="00E553A6" w:rsidRDefault="00177CFA" w:rsidP="006D08F6">
            <w:pPr>
              <w:pStyle w:val="Parasts1"/>
              <w:spacing w:after="0" w:line="240" w:lineRule="auto"/>
              <w:ind w:firstLine="327"/>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Nav</w:t>
            </w:r>
            <w:r w:rsidR="00BF2BE7">
              <w:rPr>
                <w:rFonts w:ascii="Times New Roman" w:eastAsia="Times New Roman" w:hAnsi="Times New Roman"/>
                <w:sz w:val="24"/>
                <w:szCs w:val="24"/>
                <w:lang w:eastAsia="lv-LV"/>
              </w:rPr>
              <w:t>.</w:t>
            </w:r>
          </w:p>
        </w:tc>
      </w:tr>
    </w:tbl>
    <w:p w:rsidR="00177CFA" w:rsidRPr="00E553A6" w:rsidRDefault="00177CFA" w:rsidP="00177CFA">
      <w:pPr>
        <w:pStyle w:val="Parasts1"/>
        <w:spacing w:after="0" w:line="240" w:lineRule="auto"/>
        <w:rPr>
          <w:rFonts w:ascii="Times New Roman" w:hAnsi="Times New Roman"/>
          <w:sz w:val="24"/>
          <w:szCs w:val="24"/>
        </w:rPr>
      </w:pPr>
    </w:p>
    <w:p w:rsidR="008A7F96" w:rsidRDefault="008A7F96" w:rsidP="002D1999">
      <w:pPr>
        <w:pStyle w:val="Parasts1"/>
        <w:spacing w:after="0" w:line="240" w:lineRule="auto"/>
        <w:jc w:val="both"/>
        <w:rPr>
          <w:rFonts w:ascii="Times New Roman" w:eastAsia="Times New Roman" w:hAnsi="Times New Roman"/>
          <w:sz w:val="24"/>
          <w:szCs w:val="24"/>
          <w:lang w:eastAsia="lv-LV"/>
        </w:rPr>
      </w:pPr>
    </w:p>
    <w:p w:rsidR="00E729BD" w:rsidRPr="00E553A6" w:rsidRDefault="00E729BD" w:rsidP="002D1999">
      <w:pPr>
        <w:pStyle w:val="Parasts1"/>
        <w:spacing w:after="0" w:line="240" w:lineRule="auto"/>
        <w:jc w:val="both"/>
        <w:rPr>
          <w:rFonts w:ascii="Times New Roman" w:eastAsia="Times New Roman" w:hAnsi="Times New Roman"/>
          <w:sz w:val="24"/>
          <w:szCs w:val="24"/>
          <w:lang w:eastAsia="lv-LV"/>
        </w:rPr>
      </w:pPr>
    </w:p>
    <w:p w:rsidR="002D1999" w:rsidRPr="00E553A6" w:rsidRDefault="002D1999" w:rsidP="002D1999">
      <w:pPr>
        <w:pStyle w:val="Parasts1"/>
        <w:spacing w:after="0" w:line="240" w:lineRule="auto"/>
        <w:jc w:val="both"/>
        <w:rPr>
          <w:rFonts w:ascii="Times New Roman" w:eastAsia="Times New Roman" w:hAnsi="Times New Roman"/>
          <w:sz w:val="24"/>
          <w:szCs w:val="24"/>
          <w:lang w:eastAsia="lv-LV"/>
        </w:rPr>
      </w:pPr>
      <w:r w:rsidRPr="00E553A6">
        <w:rPr>
          <w:rFonts w:ascii="Times New Roman" w:eastAsia="Times New Roman" w:hAnsi="Times New Roman"/>
          <w:sz w:val="24"/>
          <w:szCs w:val="24"/>
          <w:lang w:eastAsia="lv-LV"/>
        </w:rPr>
        <w:t>Iesniedzējs:</w:t>
      </w:r>
    </w:p>
    <w:p w:rsidR="00131A18" w:rsidRPr="00E553A6" w:rsidRDefault="00195160" w:rsidP="00131A18">
      <w:pPr>
        <w:pStyle w:val="Parasts1"/>
        <w:spacing w:after="0"/>
        <w:jc w:val="both"/>
        <w:rPr>
          <w:rFonts w:ascii="Times New Roman" w:hAnsi="Times New Roman"/>
          <w:sz w:val="24"/>
          <w:szCs w:val="24"/>
        </w:rPr>
      </w:pPr>
      <w:r>
        <w:rPr>
          <w:rFonts w:ascii="Times New Roman" w:hAnsi="Times New Roman"/>
          <w:sz w:val="24"/>
          <w:szCs w:val="24"/>
        </w:rPr>
        <w:t>t</w:t>
      </w:r>
      <w:r w:rsidR="00131A18" w:rsidRPr="00E553A6">
        <w:rPr>
          <w:rFonts w:ascii="Times New Roman" w:hAnsi="Times New Roman"/>
          <w:sz w:val="24"/>
          <w:szCs w:val="24"/>
        </w:rPr>
        <w:t>ieslietu ministrs</w:t>
      </w:r>
      <w:r w:rsidR="00131A18" w:rsidRPr="00E553A6">
        <w:rPr>
          <w:rFonts w:ascii="Times New Roman" w:hAnsi="Times New Roman"/>
          <w:sz w:val="24"/>
          <w:szCs w:val="24"/>
        </w:rPr>
        <w:tab/>
      </w:r>
      <w:r w:rsidR="00131A18" w:rsidRPr="00E553A6">
        <w:rPr>
          <w:rFonts w:ascii="Times New Roman" w:hAnsi="Times New Roman"/>
          <w:sz w:val="24"/>
          <w:szCs w:val="24"/>
        </w:rPr>
        <w:tab/>
      </w:r>
      <w:r w:rsidR="00131A18" w:rsidRPr="00E553A6">
        <w:rPr>
          <w:rFonts w:ascii="Times New Roman" w:hAnsi="Times New Roman"/>
          <w:sz w:val="24"/>
          <w:szCs w:val="24"/>
        </w:rPr>
        <w:tab/>
      </w:r>
      <w:r w:rsidR="00131A18" w:rsidRPr="00E553A6">
        <w:rPr>
          <w:rFonts w:ascii="Times New Roman" w:hAnsi="Times New Roman"/>
          <w:sz w:val="24"/>
          <w:szCs w:val="24"/>
        </w:rPr>
        <w:tab/>
      </w:r>
      <w:r w:rsidR="00131A18" w:rsidRPr="00E553A6">
        <w:rPr>
          <w:rFonts w:ascii="Times New Roman" w:hAnsi="Times New Roman"/>
          <w:sz w:val="24"/>
          <w:szCs w:val="24"/>
        </w:rPr>
        <w:tab/>
      </w:r>
      <w:r w:rsidR="00131A18" w:rsidRPr="00E553A6">
        <w:rPr>
          <w:rFonts w:ascii="Times New Roman" w:hAnsi="Times New Roman"/>
          <w:sz w:val="24"/>
          <w:szCs w:val="24"/>
        </w:rPr>
        <w:tab/>
      </w:r>
      <w:r w:rsidR="00131A18" w:rsidRPr="00E553A6">
        <w:rPr>
          <w:rFonts w:ascii="Times New Roman" w:hAnsi="Times New Roman"/>
          <w:sz w:val="24"/>
          <w:szCs w:val="24"/>
        </w:rPr>
        <w:tab/>
        <w:t>Dz</w:t>
      </w:r>
      <w:r w:rsidR="00131A18">
        <w:rPr>
          <w:rFonts w:ascii="Times New Roman" w:hAnsi="Times New Roman"/>
          <w:sz w:val="24"/>
          <w:szCs w:val="24"/>
        </w:rPr>
        <w:t xml:space="preserve">intars </w:t>
      </w:r>
      <w:r w:rsidR="00131A18" w:rsidRPr="00E553A6">
        <w:rPr>
          <w:rFonts w:ascii="Times New Roman" w:hAnsi="Times New Roman"/>
          <w:sz w:val="24"/>
          <w:szCs w:val="24"/>
        </w:rPr>
        <w:t>Rasnačs</w:t>
      </w:r>
    </w:p>
    <w:p w:rsidR="003A3626" w:rsidRDefault="003A3626" w:rsidP="00334484">
      <w:pPr>
        <w:pStyle w:val="Parasts1"/>
        <w:spacing w:after="0"/>
        <w:rPr>
          <w:rFonts w:ascii="Times New Roman" w:hAnsi="Times New Roman"/>
          <w:szCs w:val="24"/>
        </w:rPr>
      </w:pPr>
    </w:p>
    <w:p w:rsidR="00E729BD" w:rsidRDefault="00E729BD" w:rsidP="00334484">
      <w:pPr>
        <w:pStyle w:val="Parasts1"/>
        <w:spacing w:after="0"/>
        <w:rPr>
          <w:rFonts w:ascii="Times New Roman" w:hAnsi="Times New Roman"/>
          <w:szCs w:val="24"/>
        </w:rPr>
      </w:pPr>
    </w:p>
    <w:p w:rsidR="00E729BD" w:rsidRDefault="00E729BD" w:rsidP="00334484">
      <w:pPr>
        <w:pStyle w:val="Parasts1"/>
        <w:spacing w:after="0"/>
        <w:rPr>
          <w:rFonts w:ascii="Times New Roman" w:hAnsi="Times New Roman"/>
          <w:szCs w:val="24"/>
        </w:rPr>
      </w:pPr>
    </w:p>
    <w:p w:rsidR="00C3225F" w:rsidRPr="00E553A6" w:rsidRDefault="00CF1F66" w:rsidP="00C3225F">
      <w:pPr>
        <w:pStyle w:val="Parasts1"/>
        <w:spacing w:after="0" w:line="240" w:lineRule="auto"/>
        <w:rPr>
          <w:rFonts w:ascii="Times New Roman" w:hAnsi="Times New Roman"/>
          <w:sz w:val="20"/>
          <w:szCs w:val="20"/>
        </w:rPr>
      </w:pPr>
      <w:r>
        <w:rPr>
          <w:rFonts w:ascii="Times New Roman" w:hAnsi="Times New Roman"/>
          <w:sz w:val="20"/>
          <w:szCs w:val="20"/>
        </w:rPr>
        <w:t>11</w:t>
      </w:r>
      <w:r w:rsidR="00C3225F" w:rsidRPr="00E553A6">
        <w:rPr>
          <w:rFonts w:ascii="Times New Roman" w:hAnsi="Times New Roman"/>
          <w:sz w:val="20"/>
          <w:szCs w:val="20"/>
        </w:rPr>
        <w:t>.</w:t>
      </w:r>
      <w:r w:rsidR="00B73600">
        <w:rPr>
          <w:rFonts w:ascii="Times New Roman" w:hAnsi="Times New Roman"/>
          <w:sz w:val="20"/>
          <w:szCs w:val="20"/>
        </w:rPr>
        <w:t>0</w:t>
      </w:r>
      <w:r>
        <w:rPr>
          <w:rFonts w:ascii="Times New Roman" w:hAnsi="Times New Roman"/>
          <w:sz w:val="20"/>
          <w:szCs w:val="20"/>
        </w:rPr>
        <w:t>1</w:t>
      </w:r>
      <w:r w:rsidR="00C3225F" w:rsidRPr="00E553A6">
        <w:rPr>
          <w:rFonts w:ascii="Times New Roman" w:hAnsi="Times New Roman"/>
          <w:sz w:val="20"/>
          <w:szCs w:val="20"/>
        </w:rPr>
        <w:t>.</w:t>
      </w:r>
      <w:r w:rsidR="002D1999" w:rsidRPr="00E553A6">
        <w:rPr>
          <w:rFonts w:ascii="Times New Roman" w:hAnsi="Times New Roman"/>
          <w:sz w:val="20"/>
          <w:szCs w:val="20"/>
        </w:rPr>
        <w:t>201</w:t>
      </w:r>
      <w:r>
        <w:rPr>
          <w:rFonts w:ascii="Times New Roman" w:hAnsi="Times New Roman"/>
          <w:sz w:val="20"/>
          <w:szCs w:val="20"/>
        </w:rPr>
        <w:t>7</w:t>
      </w:r>
      <w:r w:rsidR="002D1999" w:rsidRPr="00E553A6">
        <w:rPr>
          <w:rFonts w:ascii="Times New Roman" w:hAnsi="Times New Roman"/>
          <w:sz w:val="20"/>
          <w:szCs w:val="20"/>
        </w:rPr>
        <w:t xml:space="preserve"> </w:t>
      </w:r>
      <w:r w:rsidR="00277E49" w:rsidRPr="00E553A6">
        <w:rPr>
          <w:rFonts w:ascii="Times New Roman" w:hAnsi="Times New Roman"/>
          <w:sz w:val="20"/>
          <w:szCs w:val="20"/>
        </w:rPr>
        <w:t>16:30</w:t>
      </w:r>
    </w:p>
    <w:p w:rsidR="004E1169" w:rsidRDefault="00CF1F66" w:rsidP="00CF1F66">
      <w:pPr>
        <w:pStyle w:val="Parasts1"/>
        <w:spacing w:after="0" w:line="240" w:lineRule="auto"/>
        <w:rPr>
          <w:rFonts w:ascii="Times New Roman" w:hAnsi="Times New Roman"/>
          <w:sz w:val="20"/>
          <w:szCs w:val="20"/>
        </w:rPr>
      </w:pPr>
      <w:r>
        <w:rPr>
          <w:rFonts w:ascii="Times New Roman" w:hAnsi="Times New Roman"/>
          <w:sz w:val="20"/>
          <w:szCs w:val="20"/>
        </w:rPr>
        <w:t>12982</w:t>
      </w:r>
      <w:bookmarkStart w:id="0" w:name="_GoBack"/>
      <w:bookmarkEnd w:id="0"/>
    </w:p>
    <w:p w:rsidR="00CF1F66" w:rsidRPr="004E1169" w:rsidRDefault="00CF1F66" w:rsidP="00CF1F66">
      <w:pPr>
        <w:pStyle w:val="Parasts1"/>
        <w:spacing w:after="0" w:line="240" w:lineRule="auto"/>
        <w:rPr>
          <w:rFonts w:ascii="Times New Roman" w:eastAsia="Times New Roman" w:hAnsi="Times New Roman"/>
          <w:sz w:val="20"/>
          <w:szCs w:val="20"/>
          <w:lang w:eastAsia="lv-LV"/>
        </w:rPr>
      </w:pPr>
      <w:r>
        <w:rPr>
          <w:rFonts w:ascii="Times New Roman" w:hAnsi="Times New Roman"/>
          <w:sz w:val="20"/>
          <w:szCs w:val="20"/>
        </w:rPr>
        <w:t>Anda.Smiltena@tm.gov.lv</w:t>
      </w:r>
    </w:p>
    <w:sectPr w:rsidR="00CF1F66" w:rsidRPr="004E1169" w:rsidSect="0019091B">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1C" w:rsidRDefault="0084361C" w:rsidP="000F4227">
      <w:pPr>
        <w:pStyle w:val="Parasts1"/>
        <w:spacing w:after="0" w:line="240" w:lineRule="auto"/>
      </w:pPr>
      <w:r>
        <w:separator/>
      </w:r>
    </w:p>
  </w:endnote>
  <w:endnote w:type="continuationSeparator" w:id="0">
    <w:p w:rsidR="0084361C" w:rsidRDefault="0084361C" w:rsidP="000F4227">
      <w:pPr>
        <w:pStyle w:val="Parasts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eltenham-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66" w:rsidRDefault="00CF1F6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1C" w:rsidRPr="006E3671" w:rsidRDefault="00CF1F66" w:rsidP="006E3671">
    <w:pPr>
      <w:pStyle w:val="Parasts1"/>
      <w:spacing w:after="0" w:line="240" w:lineRule="auto"/>
      <w:jc w:val="both"/>
      <w:rPr>
        <w:rFonts w:ascii="Times New Roman" w:eastAsia="Times New Roman" w:hAnsi="Times New Roman"/>
        <w:bCs/>
        <w:sz w:val="20"/>
        <w:szCs w:val="20"/>
        <w:lang w:eastAsia="lv-LV"/>
      </w:rPr>
    </w:pPr>
    <w:r>
      <w:rPr>
        <w:rFonts w:ascii="Times New Roman" w:hAnsi="Times New Roman"/>
        <w:sz w:val="20"/>
        <w:szCs w:val="20"/>
      </w:rPr>
      <w:t>TMAnot_110117_BAUPL</w:t>
    </w:r>
    <w:r w:rsidR="0084361C" w:rsidRPr="00E23BD1">
      <w:rPr>
        <w:rFonts w:ascii="Times New Roman" w:hAnsi="Times New Roman"/>
        <w:sz w:val="20"/>
        <w:szCs w:val="20"/>
      </w:rPr>
      <w:t xml:space="preserve">; </w:t>
    </w:r>
    <w:r w:rsidR="0084361C" w:rsidRPr="00E23BD1">
      <w:rPr>
        <w:rFonts w:ascii="Times New Roman" w:eastAsia="Times New Roman" w:hAnsi="Times New Roman"/>
        <w:bCs/>
        <w:sz w:val="20"/>
        <w:szCs w:val="20"/>
        <w:lang w:eastAsia="lv-LV"/>
      </w:rPr>
      <w:t>Likumprojekta „</w:t>
    </w:r>
    <w:r>
      <w:rPr>
        <w:rFonts w:ascii="Times New Roman" w:eastAsia="Times New Roman" w:hAnsi="Times New Roman"/>
        <w:bCs/>
        <w:sz w:val="20"/>
        <w:szCs w:val="20"/>
        <w:lang w:eastAsia="lv-LV"/>
      </w:rPr>
      <w:t>Bērnu antisociālas uzvedības prevencijas likums</w:t>
    </w:r>
    <w:r w:rsidR="0084361C" w:rsidRPr="00E23BD1">
      <w:rPr>
        <w:rFonts w:ascii="Times New Roman" w:eastAsia="Times New Roman" w:hAnsi="Times New Roman"/>
        <w:bCs/>
        <w:sz w:val="20"/>
        <w:szCs w:val="20"/>
        <w:lang w:eastAsia="lv-LV"/>
      </w:rPr>
      <w:t>” sākotnējās ietekmes n</w:t>
    </w:r>
    <w:r w:rsidR="0084361C">
      <w:rPr>
        <w:rFonts w:ascii="Times New Roman" w:eastAsia="Times New Roman" w:hAnsi="Times New Roman"/>
        <w:bCs/>
        <w:sz w:val="20"/>
        <w:szCs w:val="20"/>
        <w:lang w:eastAsia="lv-LV"/>
      </w:rPr>
      <w:t>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1C" w:rsidRPr="00CF1F66" w:rsidRDefault="00CF1F66" w:rsidP="00CF1F66">
    <w:pPr>
      <w:pStyle w:val="Kjene"/>
    </w:pPr>
    <w:r w:rsidRPr="00CF1F66">
      <w:t>TMAnot_110117_BAUPL; Likumprojekta „Bērnu antisociālas uzvedības prevencijas likums”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1C" w:rsidRDefault="0084361C" w:rsidP="000F4227">
      <w:pPr>
        <w:pStyle w:val="Parasts1"/>
        <w:spacing w:after="0" w:line="240" w:lineRule="auto"/>
      </w:pPr>
      <w:r>
        <w:separator/>
      </w:r>
    </w:p>
  </w:footnote>
  <w:footnote w:type="continuationSeparator" w:id="0">
    <w:p w:rsidR="0084361C" w:rsidRDefault="0084361C" w:rsidP="000F4227">
      <w:pPr>
        <w:pStyle w:val="Parasts1"/>
        <w:spacing w:after="0" w:line="240" w:lineRule="auto"/>
      </w:pPr>
      <w:r>
        <w:continuationSeparator/>
      </w:r>
    </w:p>
  </w:footnote>
  <w:footnote w:id="1">
    <w:p w:rsidR="0084361C" w:rsidRPr="0021297A" w:rsidRDefault="0084361C" w:rsidP="0019091B">
      <w:pPr>
        <w:pStyle w:val="Vresteksts"/>
        <w:jc w:val="both"/>
      </w:pPr>
      <w:r>
        <w:rPr>
          <w:rStyle w:val="Vresatsauce"/>
        </w:rPr>
        <w:footnoteRef/>
      </w:r>
      <w:r>
        <w:t xml:space="preserve"> </w:t>
      </w:r>
      <w:r w:rsidRPr="0021297A">
        <w:t>Pārskats par nepilngadīgo noziedzības stāvokli, noziedzīgos nodarījumos cietušajiem bērniem un n</w:t>
      </w:r>
      <w:r>
        <w:t xml:space="preserve">oziedzības novēršanas problēmām (pieejams </w:t>
      </w:r>
      <w:r w:rsidRPr="0021297A">
        <w:t>http://www.vp.gov.lv/?id=305</w:t>
      </w:r>
      <w:r>
        <w:t>)</w:t>
      </w:r>
    </w:p>
  </w:footnote>
  <w:footnote w:id="2">
    <w:p w:rsidR="0084361C" w:rsidRPr="0086543E" w:rsidRDefault="0084361C" w:rsidP="0019091B">
      <w:pPr>
        <w:pStyle w:val="Vresteksts"/>
      </w:pPr>
      <w:r>
        <w:rPr>
          <w:rStyle w:val="Vresatsauce"/>
        </w:rPr>
        <w:footnoteRef/>
      </w:r>
      <w:r>
        <w:t xml:space="preserve"> Tiesu informatīvās sistēmas datu bāze (Pieejams: </w:t>
      </w:r>
      <w:r w:rsidRPr="0086543E">
        <w:t>http://tis.ta.gov.lv/tisreal?FORM=TIS_STaT_O</w:t>
      </w:r>
      <w:r>
        <w:t>)</w:t>
      </w:r>
    </w:p>
  </w:footnote>
  <w:footnote w:id="3">
    <w:p w:rsidR="0084361C" w:rsidRPr="00FB1E2E" w:rsidRDefault="0084361C" w:rsidP="0019091B">
      <w:pPr>
        <w:pStyle w:val="Vresteksts"/>
        <w:jc w:val="both"/>
      </w:pPr>
      <w:r>
        <w:rPr>
          <w:rStyle w:val="Vresatsauce"/>
        </w:rPr>
        <w:footnoteRef/>
      </w:r>
      <w:r>
        <w:t xml:space="preserve"> Eiropas Padomes ikgadējā sodu statistika SPACE II par 2014.gadu (Pieejams </w:t>
      </w:r>
      <w:r w:rsidRPr="00FB1E2E">
        <w:t>http://wp.unil.ch/space/files/2016/05/SPACE-II_report_2014-final.pdf</w:t>
      </w:r>
      <w:r>
        <w:t>)</w:t>
      </w:r>
    </w:p>
  </w:footnote>
  <w:footnote w:id="4">
    <w:p w:rsidR="0084361C" w:rsidRPr="009A2C84" w:rsidRDefault="0084361C" w:rsidP="0019091B">
      <w:pPr>
        <w:pStyle w:val="Vresteksts"/>
      </w:pPr>
      <w:r>
        <w:rPr>
          <w:rStyle w:val="Vresatsauce"/>
        </w:rPr>
        <w:footnoteRef/>
      </w:r>
      <w:r w:rsidRPr="009A2C84">
        <w:t xml:space="preserve"> Pārskats par nepilngadīgo noziedzības stāvokli, noziedzīgos nodarījumos cietušajiem bērniem un noziedzības novēršanas problēmām</w:t>
      </w:r>
      <w:r>
        <w:t xml:space="preserve"> (pieejams </w:t>
      </w:r>
      <w:r w:rsidRPr="0021297A">
        <w:t>http://www.vp.gov.lv/?id=305</w:t>
      </w:r>
      <w:r>
        <w:t>)</w:t>
      </w:r>
    </w:p>
  </w:footnote>
  <w:footnote w:id="5">
    <w:p w:rsidR="0084361C" w:rsidRPr="009A2C84" w:rsidRDefault="0084361C" w:rsidP="0019091B">
      <w:pPr>
        <w:pStyle w:val="Vresteksts"/>
      </w:pPr>
      <w:r>
        <w:rPr>
          <w:rStyle w:val="Vresatsauce"/>
        </w:rPr>
        <w:footnoteRef/>
      </w:r>
      <w:r w:rsidRPr="009A2C84">
        <w:t xml:space="preserve"> Pārskats par nepilngadīgo noziedzības stāvokli, noziedzīgos nodarījumos cietušajiem bērniem un noziedzības novēršanas problēmām</w:t>
      </w:r>
      <w:r>
        <w:t xml:space="preserve"> (pieejams </w:t>
      </w:r>
      <w:r w:rsidRPr="0021297A">
        <w:t>http://www.vp.gov.lv/?id=305</w:t>
      </w:r>
      <w:r>
        <w:t>)</w:t>
      </w:r>
    </w:p>
  </w:footnote>
  <w:footnote w:id="6">
    <w:p w:rsidR="0084361C" w:rsidRPr="009A2C84" w:rsidRDefault="0084361C" w:rsidP="0019091B">
      <w:pPr>
        <w:pStyle w:val="Vresteksts"/>
        <w:jc w:val="both"/>
      </w:pPr>
      <w:r>
        <w:rPr>
          <w:rStyle w:val="Vresatsauce"/>
        </w:rPr>
        <w:footnoteRef/>
      </w:r>
      <w:r>
        <w:t> </w:t>
      </w:r>
      <w:r w:rsidRPr="009A2C84">
        <w:t>Pārskats par bērnu stāvokli Latvijā 2014.gadā (Pieejams http://www.lm.gov.lv/upload/berns_gimene/lmzino_031215_bernu_parskats_.2509.pdf)</w:t>
      </w:r>
    </w:p>
  </w:footnote>
  <w:footnote w:id="7">
    <w:p w:rsidR="0084361C" w:rsidRPr="009A2C84" w:rsidRDefault="0084361C" w:rsidP="0019091B">
      <w:pPr>
        <w:pStyle w:val="Vresteksts"/>
        <w:jc w:val="both"/>
      </w:pPr>
      <w:r>
        <w:rPr>
          <w:rStyle w:val="Vresatsauce"/>
        </w:rPr>
        <w:footnoteRef/>
      </w:r>
      <w:r w:rsidRPr="009A2C84">
        <w:t xml:space="preserve"> Pārskats par nepilngadīgo noziedzības stāvokli, noziedzīgos nodarījumos cietušajiem bērniem un noziedzības novēršanas problēmām</w:t>
      </w:r>
      <w:r>
        <w:t xml:space="preserve"> (pieejams </w:t>
      </w:r>
      <w:r w:rsidRPr="0021297A">
        <w:t>http://www.vp.gov.lv/?id=305</w:t>
      </w:r>
      <w:r>
        <w:t>)</w:t>
      </w:r>
    </w:p>
  </w:footnote>
  <w:footnote w:id="8">
    <w:p w:rsidR="0084361C" w:rsidRPr="009A2C84" w:rsidRDefault="0084361C" w:rsidP="0019091B">
      <w:pPr>
        <w:pStyle w:val="Vresteksts"/>
        <w:jc w:val="both"/>
      </w:pPr>
      <w:r>
        <w:rPr>
          <w:rStyle w:val="Vresatsauce"/>
        </w:rPr>
        <w:footnoteRef/>
      </w:r>
      <w:r>
        <w:t> </w:t>
      </w:r>
      <w:r w:rsidRPr="009A2C84">
        <w:t>Pārskats par bērnu stāvokli Latvijā 2014.gadā (Pieejams http://www.lm.gov.lv/upload/berns_gimene/lmzino_031215_bernu_parskats_.2509.pdf)</w:t>
      </w:r>
    </w:p>
  </w:footnote>
  <w:footnote w:id="9">
    <w:p w:rsidR="0084361C" w:rsidRPr="009A2C84" w:rsidRDefault="0084361C" w:rsidP="0019091B">
      <w:pPr>
        <w:pStyle w:val="Vresteksts"/>
        <w:jc w:val="both"/>
      </w:pPr>
      <w:r>
        <w:rPr>
          <w:rStyle w:val="Vresatsauce"/>
        </w:rPr>
        <w:footnoteRef/>
      </w:r>
      <w:r>
        <w:t> </w:t>
      </w:r>
      <w:r w:rsidRPr="009A2C84">
        <w:t>Pārskats par bērnu stāvokli Latvijā 2014.gadā (Pieejams http://www.lm.gov.lv/upload/berns_gimene/lmzino_031215_bernu_parskats_.2509.pdf)</w:t>
      </w:r>
    </w:p>
  </w:footnote>
  <w:footnote w:id="10">
    <w:p w:rsidR="0084361C" w:rsidRPr="009A2C84" w:rsidRDefault="0084361C" w:rsidP="0019091B">
      <w:pPr>
        <w:pStyle w:val="Vresteksts"/>
        <w:jc w:val="both"/>
      </w:pPr>
      <w:r>
        <w:rPr>
          <w:rStyle w:val="Vresatsauce"/>
        </w:rPr>
        <w:footnoteRef/>
      </w:r>
      <w:r>
        <w:t> </w:t>
      </w:r>
      <w:r w:rsidRPr="009A2C84">
        <w:t>Latvijas Republikas tiesībsarga 2015.gada ziņojums (Pieejams</w:t>
      </w:r>
      <w:r>
        <w:t xml:space="preserve"> </w:t>
      </w:r>
      <w:r w:rsidRPr="009A2C84">
        <w:t>http://www.tiesibsargs.lv/files/content/zinojumi/Tiesibsarga_2015_gada_zinojums.pdf</w:t>
      </w:r>
      <w:r>
        <w:t>)</w:t>
      </w:r>
    </w:p>
  </w:footnote>
  <w:footnote w:id="11">
    <w:p w:rsidR="0084361C" w:rsidRPr="009A2C84" w:rsidRDefault="0084361C" w:rsidP="0019091B">
      <w:pPr>
        <w:pStyle w:val="Vresteksts"/>
        <w:jc w:val="both"/>
      </w:pPr>
      <w:r>
        <w:rPr>
          <w:rStyle w:val="Vresatsauce"/>
        </w:rPr>
        <w:footnoteRef/>
      </w:r>
      <w:r>
        <w:t> </w:t>
      </w:r>
      <w:r w:rsidRPr="009A2C84">
        <w:t>Latvijas Republikas tiesībsarga 2015.gada ziņojums (Pieejams</w:t>
      </w:r>
      <w:r>
        <w:t xml:space="preserve"> </w:t>
      </w:r>
      <w:r w:rsidRPr="009A2C84">
        <w:t>http://www.tiesibsargs.lv/files/content/zinojumi/Tiesibsarga_2015_gada_zinojums.pdf</w:t>
      </w:r>
      <w:r>
        <w:t>)</w:t>
      </w:r>
    </w:p>
  </w:footnote>
  <w:footnote w:id="12">
    <w:p w:rsidR="0084361C" w:rsidRPr="007716B4" w:rsidRDefault="0084361C" w:rsidP="0019091B">
      <w:pPr>
        <w:pStyle w:val="Vresteksts"/>
        <w:jc w:val="both"/>
      </w:pPr>
      <w:r>
        <w:rPr>
          <w:rStyle w:val="Vresatsauce"/>
        </w:rPr>
        <w:footnoteRef/>
      </w:r>
      <w:r>
        <w:t> P</w:t>
      </w:r>
      <w:r w:rsidRPr="007716B4">
        <w:t>ētījums „Bērniem draudzīga tiesiskā vide Latvijā: fokusā – likumpārkāpumu prevencija”(pieejams:http://providus.lv/upload_file/Projekti/Kriminalitesibas/Berniem_draudziga_tiesiska_vide_LV_1.pdf)</w:t>
      </w:r>
    </w:p>
  </w:footnote>
  <w:footnote w:id="13">
    <w:p w:rsidR="0084361C" w:rsidRPr="007716B4" w:rsidRDefault="0084361C" w:rsidP="0019091B">
      <w:pPr>
        <w:pStyle w:val="Vresteksts"/>
        <w:jc w:val="both"/>
      </w:pPr>
      <w:r>
        <w:rPr>
          <w:rStyle w:val="Vresatsauce"/>
        </w:rPr>
        <w:footnoteRef/>
      </w:r>
      <w:r>
        <w:t> P</w:t>
      </w:r>
      <w:r w:rsidRPr="007716B4">
        <w:t>ētījums „Bērniem draudzīga tiesiskā vide Latvijā: fokusā – likumpārkāpumu prevencija”(pieejams:http://providus.lv/upload_file/Projekti/Kriminalitesibas/Berniem_draudziga_tiesiska_vide_LV_1.pdf)</w:t>
      </w:r>
    </w:p>
  </w:footnote>
  <w:footnote w:id="14">
    <w:p w:rsidR="0084361C" w:rsidRPr="006C0A3F" w:rsidRDefault="0084361C" w:rsidP="0019091B">
      <w:pPr>
        <w:autoSpaceDE w:val="0"/>
        <w:autoSpaceDN w:val="0"/>
        <w:adjustRightInd w:val="0"/>
        <w:jc w:val="both"/>
        <w:rPr>
          <w:rFonts w:ascii="Cheltenham-Bold" w:hAnsi="Cheltenham-Bold" w:cs="Cheltenham-Bold"/>
          <w:b/>
          <w:bCs/>
        </w:rPr>
      </w:pPr>
      <w:r>
        <w:rPr>
          <w:rStyle w:val="Vresatsauce"/>
        </w:rPr>
        <w:footnoteRef/>
      </w:r>
      <w:r w:rsidRPr="006C0A3F">
        <w:t xml:space="preserve"> </w:t>
      </w:r>
      <w:r w:rsidRPr="006C0A3F">
        <w:rPr>
          <w:rFonts w:ascii="Times New Roman" w:hAnsi="Times New Roman"/>
          <w:bCs/>
        </w:rPr>
        <w:t>J. David Hawkins, Todd I. Herrenkohl, David P. Farrington, Devon Brewer, Richard F. Catalano, Tracy W. Harachi, and Lynn Cothern “Predictors of youth violence”</w:t>
      </w:r>
      <w:r w:rsidRPr="006C0A3F">
        <w:rPr>
          <w:rFonts w:ascii="Times New Roman" w:hAnsi="Times New Roman"/>
        </w:rPr>
        <w:t xml:space="preserve"> (Pieejams http://www.crim.cam.ac.uk/people/academic_research/david_farrington/predviol.pdf)</w:t>
      </w:r>
    </w:p>
  </w:footnote>
  <w:footnote w:id="15">
    <w:p w:rsidR="0084361C" w:rsidRPr="00C7052C" w:rsidRDefault="0084361C" w:rsidP="0019091B">
      <w:pPr>
        <w:pStyle w:val="Vresteksts"/>
        <w:jc w:val="both"/>
      </w:pPr>
      <w:r>
        <w:rPr>
          <w:rStyle w:val="Vresatsauce"/>
        </w:rPr>
        <w:footnoteRef/>
      </w:r>
      <w:r>
        <w:t> P</w:t>
      </w:r>
      <w:r w:rsidRPr="007716B4">
        <w:t>ētījums „Bērniem draudzīga tiesiskā vide Latvijā: fokusā – likumpārkāpumu prevencija”(pieejams:http://providus.lv/upload_file/Projekti/Kriminalitesibas/Berniem_draudziga_tiesiska_vide_LV_1.pdf)</w:t>
      </w:r>
    </w:p>
  </w:footnote>
  <w:footnote w:id="16">
    <w:p w:rsidR="0084361C" w:rsidRPr="006F1A3D" w:rsidRDefault="0084361C" w:rsidP="0019091B">
      <w:pPr>
        <w:pStyle w:val="Vresteksts"/>
      </w:pPr>
      <w:r>
        <w:rPr>
          <w:rStyle w:val="Vresatsauce"/>
        </w:rPr>
        <w:footnoteRef/>
      </w:r>
      <w:r>
        <w:t xml:space="preserve"> Amber L.Beckley, Avshalom Caspi, Honalee Harrington, Renate M.Houts, Tara Renae Mcgee, Nick Morgan, felix Schroeder, Sandhya Ramrakha, Richie Poulton, Terrie E.Moffitt “Adult-onset offenders: Is a tailored theory warranted?” (Pieejams: </w:t>
      </w:r>
      <w:r w:rsidRPr="0000364C">
        <w:t>http://www.moffittcaspi.com/sites/moffittcaspi.com/files/field/publication_uploads/BECKLEY_ADULT-ONSET_JCJ.pdf</w:t>
      </w:r>
      <w:r>
        <w:t>)</w:t>
      </w:r>
    </w:p>
  </w:footnote>
  <w:footnote w:id="17">
    <w:p w:rsidR="0084361C" w:rsidRPr="006C7D2B" w:rsidRDefault="0084361C" w:rsidP="0019091B">
      <w:pPr>
        <w:jc w:val="both"/>
        <w:rPr>
          <w:sz w:val="23"/>
          <w:szCs w:val="23"/>
        </w:rPr>
      </w:pPr>
      <w:r>
        <w:rPr>
          <w:rStyle w:val="Vresatsauce"/>
        </w:rPr>
        <w:footnoteRef/>
      </w:r>
      <w:r w:rsidRPr="002163E3">
        <w:t xml:space="preserve"> </w:t>
      </w:r>
      <w:r w:rsidRPr="006C7D2B">
        <w:t>Rolf Loeber, David P. Farrington, David Petechuk “From juvenile delinquency to young adult offending” (pieejams</w:t>
      </w:r>
      <w:r>
        <w:t xml:space="preserve"> </w:t>
      </w:r>
      <w:r w:rsidRPr="006C7D2B">
        <w:t>http://www.crim.cam.ac.uk/people/academic_research/david_farrington/nijbull.pdf)</w:t>
      </w:r>
    </w:p>
  </w:footnote>
  <w:footnote w:id="18">
    <w:p w:rsidR="0084361C" w:rsidRPr="00BF1E80" w:rsidRDefault="0084361C" w:rsidP="0019091B">
      <w:pPr>
        <w:pStyle w:val="Vresteksts"/>
      </w:pPr>
      <w:r>
        <w:rPr>
          <w:rStyle w:val="Vresatsauce"/>
        </w:rPr>
        <w:footnoteRef/>
      </w:r>
      <w:r w:rsidRPr="00BF1E80">
        <w:t xml:space="preserve"> </w:t>
      </w:r>
      <w:r w:rsidRPr="009A2C84">
        <w:t>Pārskats par nepilngadīgo noziedzības stāvokli, noziedzīgos nodarījumos cietušajiem bērniem un noziedzības novēršanas problēmām</w:t>
      </w:r>
      <w:r>
        <w:t xml:space="preserve"> (pieejams </w:t>
      </w:r>
      <w:r w:rsidRPr="0021297A">
        <w:t>http://www.vp.gov.lv/?id=305</w:t>
      </w:r>
      <w:r>
        <w:t>)</w:t>
      </w:r>
    </w:p>
  </w:footnote>
  <w:footnote w:id="19">
    <w:p w:rsidR="0084361C" w:rsidRDefault="0084361C" w:rsidP="003E57D5">
      <w:pPr>
        <w:pStyle w:val="Vresteksts"/>
      </w:pPr>
      <w:r>
        <w:rPr>
          <w:rStyle w:val="Vresatsauce"/>
        </w:rPr>
        <w:footnoteRef/>
      </w:r>
      <w:r>
        <w:t xml:space="preserve"> Save Money, Protect Society and Realise Youth Potential: Improving Youth Justice Systems During a Time of Economic Crisis, Moore M., International Juvenile Justice Observatory, Brussels, 2013, p.51 -53</w:t>
      </w:r>
    </w:p>
  </w:footnote>
  <w:footnote w:id="20">
    <w:p w:rsidR="0084361C" w:rsidRDefault="0084361C">
      <w:pPr>
        <w:pStyle w:val="Vresteksts"/>
      </w:pPr>
      <w:r>
        <w:rPr>
          <w:rStyle w:val="Vresatsauce"/>
        </w:rPr>
        <w:footnoteRef/>
      </w:r>
      <w:r>
        <w:t xml:space="preserve"> Šeit un turpmāk izmaksas norādītas saskaņā ar likumu “Par valsts budzētu 2016.gadam”, noapaļojot līdz tūkstotim</w:t>
      </w:r>
    </w:p>
  </w:footnote>
  <w:footnote w:id="21">
    <w:p w:rsidR="0084361C" w:rsidRDefault="0084361C">
      <w:pPr>
        <w:pStyle w:val="Vresteksts"/>
      </w:pPr>
      <w:r>
        <w:rPr>
          <w:rStyle w:val="Vresatsauce"/>
        </w:rPr>
        <w:footnoteRef/>
      </w:r>
      <w:r>
        <w:t xml:space="preserve"> Dati ņemti no Tiesu informācijas sistēmas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66" w:rsidRDefault="00CF1F6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1C" w:rsidRPr="004D15A9" w:rsidRDefault="0084361C">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CF1F66">
      <w:rPr>
        <w:rFonts w:ascii="Times New Roman" w:hAnsi="Times New Roman"/>
        <w:noProof/>
        <w:sz w:val="24"/>
        <w:szCs w:val="24"/>
      </w:rPr>
      <w:t>40</w:t>
    </w:r>
    <w:r w:rsidRPr="004D15A9">
      <w:rPr>
        <w:rFonts w:ascii="Times New Roman" w:hAnsi="Times New Roman"/>
        <w:sz w:val="24"/>
        <w:szCs w:val="24"/>
      </w:rPr>
      <w:fldChar w:fldCharType="end"/>
    </w:r>
  </w:p>
  <w:p w:rsidR="0084361C" w:rsidRDefault="0084361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66" w:rsidRDefault="00CF1F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17B"/>
    <w:multiLevelType w:val="hybridMultilevel"/>
    <w:tmpl w:val="0122E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0E52C0E"/>
    <w:multiLevelType w:val="hybridMultilevel"/>
    <w:tmpl w:val="B8D2EF1A"/>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
    <w:nsid w:val="2520045A"/>
    <w:multiLevelType w:val="hybridMultilevel"/>
    <w:tmpl w:val="F2D21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DCD3FD1"/>
    <w:multiLevelType w:val="hybridMultilevel"/>
    <w:tmpl w:val="AEBE5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B322968"/>
    <w:multiLevelType w:val="hybridMultilevel"/>
    <w:tmpl w:val="022CBA1C"/>
    <w:lvl w:ilvl="0" w:tplc="ED86D528">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5">
    <w:nsid w:val="3B45145A"/>
    <w:multiLevelType w:val="hybridMultilevel"/>
    <w:tmpl w:val="77EC29CC"/>
    <w:lvl w:ilvl="0" w:tplc="BDD2C202">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6">
    <w:nsid w:val="418F3CDD"/>
    <w:multiLevelType w:val="hybridMultilevel"/>
    <w:tmpl w:val="AB94EFFC"/>
    <w:lvl w:ilvl="0" w:tplc="5F42C2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44FF3703"/>
    <w:multiLevelType w:val="hybridMultilevel"/>
    <w:tmpl w:val="8D625DA6"/>
    <w:lvl w:ilvl="0" w:tplc="AB4E750A">
      <w:start w:val="1"/>
      <w:numFmt w:val="decimal"/>
      <w:lvlText w:val="%1)"/>
      <w:lvlJc w:val="left"/>
      <w:pPr>
        <w:ind w:left="687" w:hanging="360"/>
      </w:pPr>
      <w:rPr>
        <w:rFonts w:hint="default"/>
      </w:rPr>
    </w:lvl>
    <w:lvl w:ilvl="1" w:tplc="04260019" w:tentative="1">
      <w:start w:val="1"/>
      <w:numFmt w:val="lowerLetter"/>
      <w:lvlText w:val="%2."/>
      <w:lvlJc w:val="left"/>
      <w:pPr>
        <w:ind w:left="1407" w:hanging="360"/>
      </w:pPr>
    </w:lvl>
    <w:lvl w:ilvl="2" w:tplc="0426001B" w:tentative="1">
      <w:start w:val="1"/>
      <w:numFmt w:val="lowerRoman"/>
      <w:lvlText w:val="%3."/>
      <w:lvlJc w:val="right"/>
      <w:pPr>
        <w:ind w:left="2127" w:hanging="180"/>
      </w:pPr>
    </w:lvl>
    <w:lvl w:ilvl="3" w:tplc="0426000F" w:tentative="1">
      <w:start w:val="1"/>
      <w:numFmt w:val="decimal"/>
      <w:lvlText w:val="%4."/>
      <w:lvlJc w:val="left"/>
      <w:pPr>
        <w:ind w:left="2847" w:hanging="360"/>
      </w:pPr>
    </w:lvl>
    <w:lvl w:ilvl="4" w:tplc="04260019" w:tentative="1">
      <w:start w:val="1"/>
      <w:numFmt w:val="lowerLetter"/>
      <w:lvlText w:val="%5."/>
      <w:lvlJc w:val="left"/>
      <w:pPr>
        <w:ind w:left="3567" w:hanging="360"/>
      </w:pPr>
    </w:lvl>
    <w:lvl w:ilvl="5" w:tplc="0426001B" w:tentative="1">
      <w:start w:val="1"/>
      <w:numFmt w:val="lowerRoman"/>
      <w:lvlText w:val="%6."/>
      <w:lvlJc w:val="right"/>
      <w:pPr>
        <w:ind w:left="4287" w:hanging="180"/>
      </w:pPr>
    </w:lvl>
    <w:lvl w:ilvl="6" w:tplc="0426000F" w:tentative="1">
      <w:start w:val="1"/>
      <w:numFmt w:val="decimal"/>
      <w:lvlText w:val="%7."/>
      <w:lvlJc w:val="left"/>
      <w:pPr>
        <w:ind w:left="5007" w:hanging="360"/>
      </w:pPr>
    </w:lvl>
    <w:lvl w:ilvl="7" w:tplc="04260019" w:tentative="1">
      <w:start w:val="1"/>
      <w:numFmt w:val="lowerLetter"/>
      <w:lvlText w:val="%8."/>
      <w:lvlJc w:val="left"/>
      <w:pPr>
        <w:ind w:left="5727" w:hanging="360"/>
      </w:pPr>
    </w:lvl>
    <w:lvl w:ilvl="8" w:tplc="0426001B" w:tentative="1">
      <w:start w:val="1"/>
      <w:numFmt w:val="lowerRoman"/>
      <w:lvlText w:val="%9."/>
      <w:lvlJc w:val="right"/>
      <w:pPr>
        <w:ind w:left="6447" w:hanging="180"/>
      </w:pPr>
    </w:lvl>
  </w:abstractNum>
  <w:abstractNum w:abstractNumId="8">
    <w:nsid w:val="4EF438F5"/>
    <w:multiLevelType w:val="hybridMultilevel"/>
    <w:tmpl w:val="A49A3534"/>
    <w:lvl w:ilvl="0" w:tplc="2B862A22">
      <w:start w:val="1"/>
      <w:numFmt w:val="decimal"/>
      <w:lvlText w:val="%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9">
    <w:nsid w:val="4F581E1B"/>
    <w:multiLevelType w:val="hybridMultilevel"/>
    <w:tmpl w:val="A4D4E2AA"/>
    <w:lvl w:ilvl="0" w:tplc="FE662004">
      <w:start w:val="283"/>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nsid w:val="68C22CFC"/>
    <w:multiLevelType w:val="hybridMultilevel"/>
    <w:tmpl w:val="6B02B3C4"/>
    <w:lvl w:ilvl="0" w:tplc="E9781F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3"/>
  </w:num>
  <w:num w:numId="5">
    <w:abstractNumId w:val="1"/>
  </w:num>
  <w:num w:numId="6">
    <w:abstractNumId w:val="8"/>
  </w:num>
  <w:num w:numId="7">
    <w:abstractNumId w:val="7"/>
  </w:num>
  <w:num w:numId="8">
    <w:abstractNumId w:val="2"/>
  </w:num>
  <w:num w:numId="9">
    <w:abstractNumId w:val="9"/>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lde Stepanova">
    <w15:presenceInfo w15:providerId="Windows Live" w15:userId="bb675b399502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D4"/>
    <w:rsid w:val="00004437"/>
    <w:rsid w:val="0000743C"/>
    <w:rsid w:val="00013E66"/>
    <w:rsid w:val="00013F38"/>
    <w:rsid w:val="00015C53"/>
    <w:rsid w:val="000165CE"/>
    <w:rsid w:val="00016CF2"/>
    <w:rsid w:val="00022347"/>
    <w:rsid w:val="000251E2"/>
    <w:rsid w:val="00033ACE"/>
    <w:rsid w:val="0004002B"/>
    <w:rsid w:val="00045587"/>
    <w:rsid w:val="00045618"/>
    <w:rsid w:val="00046450"/>
    <w:rsid w:val="000467E3"/>
    <w:rsid w:val="00060A32"/>
    <w:rsid w:val="00065BEA"/>
    <w:rsid w:val="00071FB0"/>
    <w:rsid w:val="00077825"/>
    <w:rsid w:val="0008327A"/>
    <w:rsid w:val="00085E7B"/>
    <w:rsid w:val="000932E3"/>
    <w:rsid w:val="000936D7"/>
    <w:rsid w:val="00095DFC"/>
    <w:rsid w:val="0009634A"/>
    <w:rsid w:val="000A04F4"/>
    <w:rsid w:val="000B58A5"/>
    <w:rsid w:val="000C00E3"/>
    <w:rsid w:val="000C14FB"/>
    <w:rsid w:val="000C45C8"/>
    <w:rsid w:val="000C537A"/>
    <w:rsid w:val="000C7E93"/>
    <w:rsid w:val="000D364A"/>
    <w:rsid w:val="000D4F77"/>
    <w:rsid w:val="000D6B9A"/>
    <w:rsid w:val="000E0934"/>
    <w:rsid w:val="000E6CE1"/>
    <w:rsid w:val="000E72B9"/>
    <w:rsid w:val="000E78D0"/>
    <w:rsid w:val="000E7ED4"/>
    <w:rsid w:val="000F042A"/>
    <w:rsid w:val="000F06E1"/>
    <w:rsid w:val="000F24DE"/>
    <w:rsid w:val="000F2C09"/>
    <w:rsid w:val="000F4227"/>
    <w:rsid w:val="000F7178"/>
    <w:rsid w:val="00100C0E"/>
    <w:rsid w:val="001032C3"/>
    <w:rsid w:val="00106A33"/>
    <w:rsid w:val="00120EB5"/>
    <w:rsid w:val="00123AA5"/>
    <w:rsid w:val="00123BF6"/>
    <w:rsid w:val="001250D5"/>
    <w:rsid w:val="00131A18"/>
    <w:rsid w:val="00141269"/>
    <w:rsid w:val="001465C9"/>
    <w:rsid w:val="001500FC"/>
    <w:rsid w:val="0016059F"/>
    <w:rsid w:val="00163C4F"/>
    <w:rsid w:val="00164D9A"/>
    <w:rsid w:val="0017023C"/>
    <w:rsid w:val="00173BFE"/>
    <w:rsid w:val="00175047"/>
    <w:rsid w:val="001750B6"/>
    <w:rsid w:val="00176B6A"/>
    <w:rsid w:val="001773F1"/>
    <w:rsid w:val="00177CFA"/>
    <w:rsid w:val="001807E6"/>
    <w:rsid w:val="00181827"/>
    <w:rsid w:val="00182545"/>
    <w:rsid w:val="00183598"/>
    <w:rsid w:val="00187EC7"/>
    <w:rsid w:val="0019091B"/>
    <w:rsid w:val="00194336"/>
    <w:rsid w:val="00195160"/>
    <w:rsid w:val="00196B33"/>
    <w:rsid w:val="001A1BEF"/>
    <w:rsid w:val="001A5428"/>
    <w:rsid w:val="001A608A"/>
    <w:rsid w:val="001B4714"/>
    <w:rsid w:val="001D4460"/>
    <w:rsid w:val="001E22EC"/>
    <w:rsid w:val="001E5B43"/>
    <w:rsid w:val="001E6B96"/>
    <w:rsid w:val="0020501C"/>
    <w:rsid w:val="002059B9"/>
    <w:rsid w:val="00206C79"/>
    <w:rsid w:val="002165C2"/>
    <w:rsid w:val="002178B3"/>
    <w:rsid w:val="00222823"/>
    <w:rsid w:val="00223AA6"/>
    <w:rsid w:val="00225748"/>
    <w:rsid w:val="0022662B"/>
    <w:rsid w:val="00227EC7"/>
    <w:rsid w:val="00230185"/>
    <w:rsid w:val="00230651"/>
    <w:rsid w:val="0023082F"/>
    <w:rsid w:val="00236096"/>
    <w:rsid w:val="00251481"/>
    <w:rsid w:val="002519E6"/>
    <w:rsid w:val="002539BB"/>
    <w:rsid w:val="0025571A"/>
    <w:rsid w:val="002557DC"/>
    <w:rsid w:val="00262706"/>
    <w:rsid w:val="00264265"/>
    <w:rsid w:val="00266B80"/>
    <w:rsid w:val="00270A0A"/>
    <w:rsid w:val="00270A3A"/>
    <w:rsid w:val="00272B2E"/>
    <w:rsid w:val="002768CE"/>
    <w:rsid w:val="00277E49"/>
    <w:rsid w:val="00280EA8"/>
    <w:rsid w:val="00285A26"/>
    <w:rsid w:val="00286DBF"/>
    <w:rsid w:val="00291F67"/>
    <w:rsid w:val="00292668"/>
    <w:rsid w:val="002961FE"/>
    <w:rsid w:val="0029655D"/>
    <w:rsid w:val="002A3C8A"/>
    <w:rsid w:val="002A7EEE"/>
    <w:rsid w:val="002C095B"/>
    <w:rsid w:val="002C1B54"/>
    <w:rsid w:val="002D1999"/>
    <w:rsid w:val="002D6097"/>
    <w:rsid w:val="002E49B0"/>
    <w:rsid w:val="002F161E"/>
    <w:rsid w:val="002F326E"/>
    <w:rsid w:val="002F5DD8"/>
    <w:rsid w:val="00302750"/>
    <w:rsid w:val="00303AD6"/>
    <w:rsid w:val="00305E7A"/>
    <w:rsid w:val="00306B53"/>
    <w:rsid w:val="00306C2C"/>
    <w:rsid w:val="00311185"/>
    <w:rsid w:val="003117F2"/>
    <w:rsid w:val="00334484"/>
    <w:rsid w:val="00334618"/>
    <w:rsid w:val="00351D74"/>
    <w:rsid w:val="003548F6"/>
    <w:rsid w:val="00361D92"/>
    <w:rsid w:val="003673B8"/>
    <w:rsid w:val="00377DBE"/>
    <w:rsid w:val="0038755D"/>
    <w:rsid w:val="0039105F"/>
    <w:rsid w:val="0039436A"/>
    <w:rsid w:val="00395E9C"/>
    <w:rsid w:val="003A2A09"/>
    <w:rsid w:val="003A3626"/>
    <w:rsid w:val="003A44F3"/>
    <w:rsid w:val="003A6AD3"/>
    <w:rsid w:val="003B361C"/>
    <w:rsid w:val="003B5B7B"/>
    <w:rsid w:val="003C0BAC"/>
    <w:rsid w:val="003C28BE"/>
    <w:rsid w:val="003C400F"/>
    <w:rsid w:val="003C4C7E"/>
    <w:rsid w:val="003D663D"/>
    <w:rsid w:val="003D7073"/>
    <w:rsid w:val="003D7D41"/>
    <w:rsid w:val="003E28EF"/>
    <w:rsid w:val="003E57D5"/>
    <w:rsid w:val="003F0572"/>
    <w:rsid w:val="003F1AC3"/>
    <w:rsid w:val="004012C7"/>
    <w:rsid w:val="00402893"/>
    <w:rsid w:val="00402A7B"/>
    <w:rsid w:val="004033DF"/>
    <w:rsid w:val="004040AB"/>
    <w:rsid w:val="00417436"/>
    <w:rsid w:val="0042045D"/>
    <w:rsid w:val="004254C9"/>
    <w:rsid w:val="00425D2F"/>
    <w:rsid w:val="00446049"/>
    <w:rsid w:val="00447ABD"/>
    <w:rsid w:val="00450970"/>
    <w:rsid w:val="00452271"/>
    <w:rsid w:val="004563C8"/>
    <w:rsid w:val="004577C8"/>
    <w:rsid w:val="00461777"/>
    <w:rsid w:val="00462984"/>
    <w:rsid w:val="00464062"/>
    <w:rsid w:val="00464D3E"/>
    <w:rsid w:val="004652BF"/>
    <w:rsid w:val="00465778"/>
    <w:rsid w:val="00473733"/>
    <w:rsid w:val="00481CB7"/>
    <w:rsid w:val="004928A9"/>
    <w:rsid w:val="00494C0C"/>
    <w:rsid w:val="004A2598"/>
    <w:rsid w:val="004A435A"/>
    <w:rsid w:val="004A4F65"/>
    <w:rsid w:val="004A5FBF"/>
    <w:rsid w:val="004B51AF"/>
    <w:rsid w:val="004B5BBD"/>
    <w:rsid w:val="004D27F9"/>
    <w:rsid w:val="004D454B"/>
    <w:rsid w:val="004D50C0"/>
    <w:rsid w:val="004E1169"/>
    <w:rsid w:val="004E3200"/>
    <w:rsid w:val="004E5309"/>
    <w:rsid w:val="004E6DB8"/>
    <w:rsid w:val="004E7E1C"/>
    <w:rsid w:val="004F3F11"/>
    <w:rsid w:val="004F60F5"/>
    <w:rsid w:val="0050744E"/>
    <w:rsid w:val="00511B9D"/>
    <w:rsid w:val="00512D91"/>
    <w:rsid w:val="00514666"/>
    <w:rsid w:val="0051663D"/>
    <w:rsid w:val="00521C77"/>
    <w:rsid w:val="00523996"/>
    <w:rsid w:val="005326A7"/>
    <w:rsid w:val="00536C7D"/>
    <w:rsid w:val="00536F6F"/>
    <w:rsid w:val="00540143"/>
    <w:rsid w:val="0055783E"/>
    <w:rsid w:val="0056122A"/>
    <w:rsid w:val="00562BD4"/>
    <w:rsid w:val="00565BDE"/>
    <w:rsid w:val="00567047"/>
    <w:rsid w:val="005703E1"/>
    <w:rsid w:val="00571C5A"/>
    <w:rsid w:val="00571EBC"/>
    <w:rsid w:val="00573197"/>
    <w:rsid w:val="005779B7"/>
    <w:rsid w:val="00585687"/>
    <w:rsid w:val="00586642"/>
    <w:rsid w:val="00587D09"/>
    <w:rsid w:val="0059095D"/>
    <w:rsid w:val="00592F8B"/>
    <w:rsid w:val="00595837"/>
    <w:rsid w:val="005A2301"/>
    <w:rsid w:val="005A5819"/>
    <w:rsid w:val="005B226E"/>
    <w:rsid w:val="005B430B"/>
    <w:rsid w:val="005C5BA3"/>
    <w:rsid w:val="005D2235"/>
    <w:rsid w:val="005D62F2"/>
    <w:rsid w:val="005D7293"/>
    <w:rsid w:val="005D759E"/>
    <w:rsid w:val="005E3314"/>
    <w:rsid w:val="005E36C6"/>
    <w:rsid w:val="005E7562"/>
    <w:rsid w:val="005F0295"/>
    <w:rsid w:val="005F146D"/>
    <w:rsid w:val="005F7B6E"/>
    <w:rsid w:val="006008DA"/>
    <w:rsid w:val="0061145D"/>
    <w:rsid w:val="006128F4"/>
    <w:rsid w:val="00613FAE"/>
    <w:rsid w:val="00624A53"/>
    <w:rsid w:val="00624C2F"/>
    <w:rsid w:val="00625853"/>
    <w:rsid w:val="006320D1"/>
    <w:rsid w:val="006340F8"/>
    <w:rsid w:val="00634FE5"/>
    <w:rsid w:val="0063564A"/>
    <w:rsid w:val="006370F3"/>
    <w:rsid w:val="0064004E"/>
    <w:rsid w:val="0064390D"/>
    <w:rsid w:val="00644FB2"/>
    <w:rsid w:val="006472D0"/>
    <w:rsid w:val="0065292B"/>
    <w:rsid w:val="006529BE"/>
    <w:rsid w:val="00652F33"/>
    <w:rsid w:val="0065517A"/>
    <w:rsid w:val="00656D8D"/>
    <w:rsid w:val="006631A2"/>
    <w:rsid w:val="00666D9E"/>
    <w:rsid w:val="00670771"/>
    <w:rsid w:val="006708B2"/>
    <w:rsid w:val="0067140C"/>
    <w:rsid w:val="00671CE0"/>
    <w:rsid w:val="006819F8"/>
    <w:rsid w:val="006938D6"/>
    <w:rsid w:val="006A0065"/>
    <w:rsid w:val="006A1E36"/>
    <w:rsid w:val="006A34DC"/>
    <w:rsid w:val="006A558C"/>
    <w:rsid w:val="006A6E8D"/>
    <w:rsid w:val="006C4138"/>
    <w:rsid w:val="006C4BD6"/>
    <w:rsid w:val="006C614A"/>
    <w:rsid w:val="006C6BC0"/>
    <w:rsid w:val="006D08F6"/>
    <w:rsid w:val="006D36CD"/>
    <w:rsid w:val="006D74B5"/>
    <w:rsid w:val="006E3671"/>
    <w:rsid w:val="006F0A0F"/>
    <w:rsid w:val="00702E00"/>
    <w:rsid w:val="00715F9C"/>
    <w:rsid w:val="00720F4D"/>
    <w:rsid w:val="00731CFE"/>
    <w:rsid w:val="00735AA0"/>
    <w:rsid w:val="00736607"/>
    <w:rsid w:val="0074169F"/>
    <w:rsid w:val="007422D9"/>
    <w:rsid w:val="00742759"/>
    <w:rsid w:val="00746DFE"/>
    <w:rsid w:val="00752900"/>
    <w:rsid w:val="00754016"/>
    <w:rsid w:val="00755762"/>
    <w:rsid w:val="00760CCB"/>
    <w:rsid w:val="00771033"/>
    <w:rsid w:val="00772040"/>
    <w:rsid w:val="00773DD0"/>
    <w:rsid w:val="00774326"/>
    <w:rsid w:val="00776CDF"/>
    <w:rsid w:val="00777209"/>
    <w:rsid w:val="00785A01"/>
    <w:rsid w:val="00787068"/>
    <w:rsid w:val="00796209"/>
    <w:rsid w:val="007A2B9C"/>
    <w:rsid w:val="007A603D"/>
    <w:rsid w:val="007B0EC7"/>
    <w:rsid w:val="007C0FE1"/>
    <w:rsid w:val="007C271A"/>
    <w:rsid w:val="007C3CCB"/>
    <w:rsid w:val="007C76DB"/>
    <w:rsid w:val="007C777B"/>
    <w:rsid w:val="007D16B2"/>
    <w:rsid w:val="007D3194"/>
    <w:rsid w:val="007D4D39"/>
    <w:rsid w:val="007D5A09"/>
    <w:rsid w:val="007D7812"/>
    <w:rsid w:val="007E76F9"/>
    <w:rsid w:val="007F60EC"/>
    <w:rsid w:val="00813EE1"/>
    <w:rsid w:val="00814F1B"/>
    <w:rsid w:val="008171E8"/>
    <w:rsid w:val="00824F24"/>
    <w:rsid w:val="008309CD"/>
    <w:rsid w:val="008412FF"/>
    <w:rsid w:val="00842745"/>
    <w:rsid w:val="0084361C"/>
    <w:rsid w:val="0085252E"/>
    <w:rsid w:val="00860152"/>
    <w:rsid w:val="0086125C"/>
    <w:rsid w:val="00861EA7"/>
    <w:rsid w:val="00863991"/>
    <w:rsid w:val="00874711"/>
    <w:rsid w:val="008750A4"/>
    <w:rsid w:val="008752D4"/>
    <w:rsid w:val="00877BF6"/>
    <w:rsid w:val="00883EE1"/>
    <w:rsid w:val="00884830"/>
    <w:rsid w:val="00887C32"/>
    <w:rsid w:val="00890F09"/>
    <w:rsid w:val="00892C66"/>
    <w:rsid w:val="008948CD"/>
    <w:rsid w:val="00894991"/>
    <w:rsid w:val="008A23D6"/>
    <w:rsid w:val="008A28EF"/>
    <w:rsid w:val="008A777A"/>
    <w:rsid w:val="008A7F96"/>
    <w:rsid w:val="008B1304"/>
    <w:rsid w:val="008B274B"/>
    <w:rsid w:val="008B564B"/>
    <w:rsid w:val="008D0E18"/>
    <w:rsid w:val="008D124E"/>
    <w:rsid w:val="008D5D43"/>
    <w:rsid w:val="008E577C"/>
    <w:rsid w:val="008E6DA0"/>
    <w:rsid w:val="008F04E1"/>
    <w:rsid w:val="008F2015"/>
    <w:rsid w:val="008F2DC3"/>
    <w:rsid w:val="008F572E"/>
    <w:rsid w:val="009037F9"/>
    <w:rsid w:val="00914537"/>
    <w:rsid w:val="0091588D"/>
    <w:rsid w:val="00924360"/>
    <w:rsid w:val="00933E9F"/>
    <w:rsid w:val="009431F1"/>
    <w:rsid w:val="0094421C"/>
    <w:rsid w:val="009446FA"/>
    <w:rsid w:val="00945665"/>
    <w:rsid w:val="00946DDC"/>
    <w:rsid w:val="00946ED6"/>
    <w:rsid w:val="00951764"/>
    <w:rsid w:val="00953A37"/>
    <w:rsid w:val="00957294"/>
    <w:rsid w:val="0096298A"/>
    <w:rsid w:val="009644BF"/>
    <w:rsid w:val="00972F9C"/>
    <w:rsid w:val="009739D2"/>
    <w:rsid w:val="00977CAC"/>
    <w:rsid w:val="00983CE2"/>
    <w:rsid w:val="0099099B"/>
    <w:rsid w:val="00997DA5"/>
    <w:rsid w:val="00997F14"/>
    <w:rsid w:val="009A1B8F"/>
    <w:rsid w:val="009B00B4"/>
    <w:rsid w:val="009B66A6"/>
    <w:rsid w:val="009B6848"/>
    <w:rsid w:val="009C0232"/>
    <w:rsid w:val="009C6E18"/>
    <w:rsid w:val="009D1B0C"/>
    <w:rsid w:val="009D2067"/>
    <w:rsid w:val="009D2284"/>
    <w:rsid w:val="009D294F"/>
    <w:rsid w:val="009D3226"/>
    <w:rsid w:val="009D4902"/>
    <w:rsid w:val="009D4D3C"/>
    <w:rsid w:val="009D6F17"/>
    <w:rsid w:val="009E3BC8"/>
    <w:rsid w:val="009E4BAD"/>
    <w:rsid w:val="009E7E34"/>
    <w:rsid w:val="00A071B2"/>
    <w:rsid w:val="00A0768A"/>
    <w:rsid w:val="00A10BFC"/>
    <w:rsid w:val="00A13520"/>
    <w:rsid w:val="00A16734"/>
    <w:rsid w:val="00A25578"/>
    <w:rsid w:val="00A475BF"/>
    <w:rsid w:val="00A51CEE"/>
    <w:rsid w:val="00A60CE1"/>
    <w:rsid w:val="00A60DF8"/>
    <w:rsid w:val="00A7588E"/>
    <w:rsid w:val="00A762B8"/>
    <w:rsid w:val="00A76B31"/>
    <w:rsid w:val="00A802B4"/>
    <w:rsid w:val="00A908DE"/>
    <w:rsid w:val="00A92ADE"/>
    <w:rsid w:val="00AA7F81"/>
    <w:rsid w:val="00AB0B5A"/>
    <w:rsid w:val="00AB1CC7"/>
    <w:rsid w:val="00AB5E65"/>
    <w:rsid w:val="00AB612F"/>
    <w:rsid w:val="00AC7E1B"/>
    <w:rsid w:val="00AD385D"/>
    <w:rsid w:val="00AD722A"/>
    <w:rsid w:val="00AE6B6A"/>
    <w:rsid w:val="00AF2913"/>
    <w:rsid w:val="00B0004A"/>
    <w:rsid w:val="00B008C7"/>
    <w:rsid w:val="00B041BC"/>
    <w:rsid w:val="00B0619D"/>
    <w:rsid w:val="00B0631B"/>
    <w:rsid w:val="00B14BED"/>
    <w:rsid w:val="00B27CC4"/>
    <w:rsid w:val="00B30488"/>
    <w:rsid w:val="00B4792F"/>
    <w:rsid w:val="00B51E62"/>
    <w:rsid w:val="00B52EA4"/>
    <w:rsid w:val="00B55481"/>
    <w:rsid w:val="00B6170B"/>
    <w:rsid w:val="00B6323C"/>
    <w:rsid w:val="00B6452A"/>
    <w:rsid w:val="00B73600"/>
    <w:rsid w:val="00B75E56"/>
    <w:rsid w:val="00B8071F"/>
    <w:rsid w:val="00B835BB"/>
    <w:rsid w:val="00BA1168"/>
    <w:rsid w:val="00BA4456"/>
    <w:rsid w:val="00BA7C7C"/>
    <w:rsid w:val="00BB0356"/>
    <w:rsid w:val="00BC0548"/>
    <w:rsid w:val="00BC50C4"/>
    <w:rsid w:val="00BC68E1"/>
    <w:rsid w:val="00BC7F30"/>
    <w:rsid w:val="00BC7F98"/>
    <w:rsid w:val="00BD1434"/>
    <w:rsid w:val="00BD31C6"/>
    <w:rsid w:val="00BD5BD0"/>
    <w:rsid w:val="00BD65E1"/>
    <w:rsid w:val="00BD7193"/>
    <w:rsid w:val="00BE1591"/>
    <w:rsid w:val="00BE4CFB"/>
    <w:rsid w:val="00BF0FDF"/>
    <w:rsid w:val="00BF2BE7"/>
    <w:rsid w:val="00BF7ACA"/>
    <w:rsid w:val="00C1053B"/>
    <w:rsid w:val="00C10A09"/>
    <w:rsid w:val="00C1109F"/>
    <w:rsid w:val="00C2183A"/>
    <w:rsid w:val="00C2434E"/>
    <w:rsid w:val="00C26D0E"/>
    <w:rsid w:val="00C3219E"/>
    <w:rsid w:val="00C3225F"/>
    <w:rsid w:val="00C3575A"/>
    <w:rsid w:val="00C46FA1"/>
    <w:rsid w:val="00C60570"/>
    <w:rsid w:val="00C6586C"/>
    <w:rsid w:val="00C67FC0"/>
    <w:rsid w:val="00C72B2D"/>
    <w:rsid w:val="00C7357E"/>
    <w:rsid w:val="00C73BB1"/>
    <w:rsid w:val="00C74274"/>
    <w:rsid w:val="00C749BF"/>
    <w:rsid w:val="00C85E48"/>
    <w:rsid w:val="00C874FA"/>
    <w:rsid w:val="00C96EC4"/>
    <w:rsid w:val="00C97D08"/>
    <w:rsid w:val="00CA0DB8"/>
    <w:rsid w:val="00CA590E"/>
    <w:rsid w:val="00CA6F02"/>
    <w:rsid w:val="00CB097B"/>
    <w:rsid w:val="00CB0E68"/>
    <w:rsid w:val="00CB0F6D"/>
    <w:rsid w:val="00CB77DF"/>
    <w:rsid w:val="00CC1EF3"/>
    <w:rsid w:val="00CC5F19"/>
    <w:rsid w:val="00CD0CDE"/>
    <w:rsid w:val="00CD49BE"/>
    <w:rsid w:val="00CE492D"/>
    <w:rsid w:val="00CE4DE2"/>
    <w:rsid w:val="00CE50DA"/>
    <w:rsid w:val="00CF1F66"/>
    <w:rsid w:val="00CF41CD"/>
    <w:rsid w:val="00CF600D"/>
    <w:rsid w:val="00D04751"/>
    <w:rsid w:val="00D067B6"/>
    <w:rsid w:val="00D13749"/>
    <w:rsid w:val="00D137E6"/>
    <w:rsid w:val="00D149A0"/>
    <w:rsid w:val="00D32D53"/>
    <w:rsid w:val="00D532E9"/>
    <w:rsid w:val="00D563C1"/>
    <w:rsid w:val="00D6000A"/>
    <w:rsid w:val="00D60FB5"/>
    <w:rsid w:val="00D634DD"/>
    <w:rsid w:val="00D646E7"/>
    <w:rsid w:val="00D65337"/>
    <w:rsid w:val="00D65C14"/>
    <w:rsid w:val="00D65EE5"/>
    <w:rsid w:val="00D743CD"/>
    <w:rsid w:val="00D75F84"/>
    <w:rsid w:val="00D768D8"/>
    <w:rsid w:val="00D82C6E"/>
    <w:rsid w:val="00D97BD1"/>
    <w:rsid w:val="00DA04A3"/>
    <w:rsid w:val="00DA50DE"/>
    <w:rsid w:val="00DA51FE"/>
    <w:rsid w:val="00DB3ADD"/>
    <w:rsid w:val="00DB3C9C"/>
    <w:rsid w:val="00DC2FD2"/>
    <w:rsid w:val="00DC6A2C"/>
    <w:rsid w:val="00DD0DF9"/>
    <w:rsid w:val="00DD23B5"/>
    <w:rsid w:val="00DD75CF"/>
    <w:rsid w:val="00DE0382"/>
    <w:rsid w:val="00DE1F57"/>
    <w:rsid w:val="00DF1304"/>
    <w:rsid w:val="00DF1CA1"/>
    <w:rsid w:val="00DF4983"/>
    <w:rsid w:val="00DF5B6F"/>
    <w:rsid w:val="00DF6053"/>
    <w:rsid w:val="00E000E0"/>
    <w:rsid w:val="00E00762"/>
    <w:rsid w:val="00E01A44"/>
    <w:rsid w:val="00E034C3"/>
    <w:rsid w:val="00E046B4"/>
    <w:rsid w:val="00E10E47"/>
    <w:rsid w:val="00E10FA1"/>
    <w:rsid w:val="00E23BD1"/>
    <w:rsid w:val="00E26396"/>
    <w:rsid w:val="00E27E75"/>
    <w:rsid w:val="00E3418C"/>
    <w:rsid w:val="00E35351"/>
    <w:rsid w:val="00E36D8D"/>
    <w:rsid w:val="00E43294"/>
    <w:rsid w:val="00E44CD0"/>
    <w:rsid w:val="00E54ED4"/>
    <w:rsid w:val="00E553A6"/>
    <w:rsid w:val="00E56705"/>
    <w:rsid w:val="00E579DD"/>
    <w:rsid w:val="00E60898"/>
    <w:rsid w:val="00E64D49"/>
    <w:rsid w:val="00E655D9"/>
    <w:rsid w:val="00E729BD"/>
    <w:rsid w:val="00E8788A"/>
    <w:rsid w:val="00E87F45"/>
    <w:rsid w:val="00E87FE0"/>
    <w:rsid w:val="00E95CBA"/>
    <w:rsid w:val="00E973D6"/>
    <w:rsid w:val="00EA3FD0"/>
    <w:rsid w:val="00EA69B1"/>
    <w:rsid w:val="00EA6DB3"/>
    <w:rsid w:val="00EA6EAD"/>
    <w:rsid w:val="00EB4070"/>
    <w:rsid w:val="00EB4AC3"/>
    <w:rsid w:val="00EB7820"/>
    <w:rsid w:val="00EC5892"/>
    <w:rsid w:val="00EC608B"/>
    <w:rsid w:val="00EC762D"/>
    <w:rsid w:val="00ED53CC"/>
    <w:rsid w:val="00ED7844"/>
    <w:rsid w:val="00EE4964"/>
    <w:rsid w:val="00EE62E7"/>
    <w:rsid w:val="00EF13AB"/>
    <w:rsid w:val="00EF1B6A"/>
    <w:rsid w:val="00EF408D"/>
    <w:rsid w:val="00EF42EA"/>
    <w:rsid w:val="00EF7025"/>
    <w:rsid w:val="00EF7F59"/>
    <w:rsid w:val="00F00B0D"/>
    <w:rsid w:val="00F03C2B"/>
    <w:rsid w:val="00F05FB6"/>
    <w:rsid w:val="00F1283C"/>
    <w:rsid w:val="00F17932"/>
    <w:rsid w:val="00F26C15"/>
    <w:rsid w:val="00F26E42"/>
    <w:rsid w:val="00F31410"/>
    <w:rsid w:val="00F33A89"/>
    <w:rsid w:val="00F378C7"/>
    <w:rsid w:val="00F41616"/>
    <w:rsid w:val="00F53422"/>
    <w:rsid w:val="00F54284"/>
    <w:rsid w:val="00F54956"/>
    <w:rsid w:val="00F57A62"/>
    <w:rsid w:val="00F60FD4"/>
    <w:rsid w:val="00F6176E"/>
    <w:rsid w:val="00F66397"/>
    <w:rsid w:val="00F77083"/>
    <w:rsid w:val="00F772CB"/>
    <w:rsid w:val="00F80855"/>
    <w:rsid w:val="00F829D0"/>
    <w:rsid w:val="00F85567"/>
    <w:rsid w:val="00F85D45"/>
    <w:rsid w:val="00FA1CE3"/>
    <w:rsid w:val="00FB02A8"/>
    <w:rsid w:val="00FB2417"/>
    <w:rsid w:val="00FB7C58"/>
    <w:rsid w:val="00FC2EBB"/>
    <w:rsid w:val="00FC327E"/>
    <w:rsid w:val="00FC4B01"/>
    <w:rsid w:val="00FC7491"/>
    <w:rsid w:val="00FD0826"/>
    <w:rsid w:val="00FD4526"/>
    <w:rsid w:val="00FE4CBE"/>
    <w:rsid w:val="00FE51DB"/>
    <w:rsid w:val="00FE718E"/>
    <w:rsid w:val="00FF1DF8"/>
    <w:rsid w:val="00FF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2A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8752D4"/>
    <w:pPr>
      <w:spacing w:after="200" w:line="276" w:lineRule="auto"/>
    </w:pPr>
    <w:rPr>
      <w:sz w:val="22"/>
      <w:szCs w:val="22"/>
      <w:lang w:val="lv-LV"/>
    </w:rPr>
  </w:style>
  <w:style w:type="paragraph" w:customStyle="1" w:styleId="StyleRight">
    <w:name w:val="Style Right"/>
    <w:basedOn w:val="Parasts1"/>
    <w:rsid w:val="008752D4"/>
    <w:pPr>
      <w:spacing w:after="120" w:line="240" w:lineRule="auto"/>
      <w:ind w:firstLine="720"/>
      <w:jc w:val="right"/>
    </w:pPr>
    <w:rPr>
      <w:rFonts w:ascii="Times New Roman" w:eastAsia="Times New Roman" w:hAnsi="Times New Roman"/>
      <w:sz w:val="28"/>
      <w:szCs w:val="28"/>
    </w:rPr>
  </w:style>
  <w:style w:type="paragraph" w:styleId="Galvene">
    <w:name w:val="header"/>
    <w:basedOn w:val="Parasts1"/>
    <w:link w:val="GalveneRakstz"/>
    <w:uiPriority w:val="99"/>
    <w:unhideWhenUsed/>
    <w:rsid w:val="008752D4"/>
    <w:pPr>
      <w:tabs>
        <w:tab w:val="center" w:pos="4153"/>
        <w:tab w:val="right" w:pos="8306"/>
      </w:tabs>
      <w:spacing w:after="0" w:line="240" w:lineRule="auto"/>
    </w:pPr>
  </w:style>
  <w:style w:type="character" w:customStyle="1" w:styleId="GalveneRakstz">
    <w:name w:val="Galvene Rakstz."/>
    <w:link w:val="Galvene"/>
    <w:uiPriority w:val="99"/>
    <w:rsid w:val="008752D4"/>
    <w:rPr>
      <w:rFonts w:ascii="Calibri" w:eastAsia="Calibri" w:hAnsi="Calibri" w:cs="Times New Roman"/>
    </w:rPr>
  </w:style>
  <w:style w:type="paragraph" w:styleId="Kjene">
    <w:name w:val="footer"/>
    <w:basedOn w:val="Parasts1"/>
    <w:link w:val="KjeneRakstz"/>
    <w:uiPriority w:val="99"/>
    <w:unhideWhenUsed/>
    <w:rsid w:val="008752D4"/>
    <w:pPr>
      <w:tabs>
        <w:tab w:val="center" w:pos="4153"/>
        <w:tab w:val="right" w:pos="8306"/>
      </w:tabs>
      <w:spacing w:after="0" w:line="240" w:lineRule="auto"/>
    </w:pPr>
  </w:style>
  <w:style w:type="character" w:customStyle="1" w:styleId="KjeneRakstz">
    <w:name w:val="Kājene Rakstz."/>
    <w:link w:val="Kjene"/>
    <w:uiPriority w:val="99"/>
    <w:rsid w:val="008752D4"/>
    <w:rPr>
      <w:rFonts w:ascii="Calibri" w:eastAsia="Calibri" w:hAnsi="Calibri" w:cs="Times New Roman"/>
    </w:rPr>
  </w:style>
  <w:style w:type="paragraph" w:customStyle="1" w:styleId="tv2131">
    <w:name w:val="tv2131"/>
    <w:basedOn w:val="Parasts1"/>
    <w:rsid w:val="000F4227"/>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semiHidden/>
    <w:unhideWhenUsed/>
    <w:rsid w:val="00C67FC0"/>
    <w:rPr>
      <w:sz w:val="16"/>
      <w:szCs w:val="16"/>
    </w:rPr>
  </w:style>
  <w:style w:type="paragraph" w:styleId="Komentrateksts">
    <w:name w:val="annotation text"/>
    <w:basedOn w:val="Parasts1"/>
    <w:link w:val="KomentratekstsRakstz"/>
    <w:uiPriority w:val="99"/>
    <w:semiHidden/>
    <w:unhideWhenUsed/>
    <w:rsid w:val="00C67FC0"/>
    <w:rPr>
      <w:sz w:val="20"/>
      <w:szCs w:val="20"/>
    </w:rPr>
  </w:style>
  <w:style w:type="character" w:customStyle="1" w:styleId="KomentratekstsRakstz">
    <w:name w:val="Komentāra teksts Rakstz."/>
    <w:link w:val="Komentrateksts"/>
    <w:uiPriority w:val="99"/>
    <w:semiHidden/>
    <w:rsid w:val="00C67FC0"/>
    <w:rPr>
      <w:lang w:eastAsia="en-US"/>
    </w:rPr>
  </w:style>
  <w:style w:type="paragraph" w:styleId="Komentratma">
    <w:name w:val="annotation subject"/>
    <w:basedOn w:val="Komentrateksts"/>
    <w:next w:val="Komentrateksts"/>
    <w:link w:val="KomentratmaRakstz"/>
    <w:uiPriority w:val="99"/>
    <w:semiHidden/>
    <w:unhideWhenUsed/>
    <w:rsid w:val="00C67FC0"/>
    <w:rPr>
      <w:b/>
      <w:bCs/>
    </w:rPr>
  </w:style>
  <w:style w:type="character" w:customStyle="1" w:styleId="KomentratmaRakstz">
    <w:name w:val="Komentāra tēma Rakstz."/>
    <w:link w:val="Komentratma"/>
    <w:uiPriority w:val="99"/>
    <w:semiHidden/>
    <w:rsid w:val="00C67FC0"/>
    <w:rPr>
      <w:b/>
      <w:bCs/>
      <w:lang w:eastAsia="en-US"/>
    </w:rPr>
  </w:style>
  <w:style w:type="paragraph" w:styleId="Balonteksts">
    <w:name w:val="Balloon Text"/>
    <w:basedOn w:val="Parasts1"/>
    <w:link w:val="BalontekstsRakstz"/>
    <w:uiPriority w:val="99"/>
    <w:semiHidden/>
    <w:unhideWhenUsed/>
    <w:rsid w:val="00C67FC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C67FC0"/>
    <w:rPr>
      <w:rFonts w:ascii="Tahoma" w:hAnsi="Tahoma" w:cs="Tahoma"/>
      <w:sz w:val="16"/>
      <w:szCs w:val="16"/>
      <w:lang w:eastAsia="en-US"/>
    </w:rPr>
  </w:style>
  <w:style w:type="character" w:customStyle="1" w:styleId="spelle">
    <w:name w:val="spelle"/>
    <w:rsid w:val="00FD0826"/>
  </w:style>
  <w:style w:type="paragraph" w:customStyle="1" w:styleId="naisf">
    <w:name w:val="naisf"/>
    <w:basedOn w:val="Parasts1"/>
    <w:rsid w:val="004E5309"/>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6C614A"/>
    <w:rPr>
      <w:color w:val="0000FF"/>
      <w:u w:val="single"/>
    </w:rPr>
  </w:style>
  <w:style w:type="paragraph" w:styleId="Vresteksts">
    <w:name w:val="footnote text"/>
    <w:basedOn w:val="Parasts1"/>
    <w:link w:val="VrestekstsRakstz"/>
    <w:uiPriority w:val="99"/>
    <w:semiHidden/>
    <w:unhideWhenUsed/>
    <w:rsid w:val="006C614A"/>
    <w:pPr>
      <w:spacing w:after="0" w:line="240" w:lineRule="auto"/>
    </w:pPr>
    <w:rPr>
      <w:sz w:val="20"/>
      <w:szCs w:val="20"/>
    </w:rPr>
  </w:style>
  <w:style w:type="character" w:customStyle="1" w:styleId="VrestekstsRakstz">
    <w:name w:val="Vēres teksts Rakstz."/>
    <w:link w:val="Vresteksts"/>
    <w:uiPriority w:val="99"/>
    <w:semiHidden/>
    <w:rsid w:val="006C614A"/>
    <w:rPr>
      <w:lang w:eastAsia="en-US"/>
    </w:rPr>
  </w:style>
  <w:style w:type="character" w:styleId="Vresatsauce">
    <w:name w:val="footnote reference"/>
    <w:aliases w:val="4_G"/>
    <w:unhideWhenUsed/>
    <w:rsid w:val="006C614A"/>
    <w:rPr>
      <w:vertAlign w:val="superscript"/>
    </w:rPr>
  </w:style>
  <w:style w:type="paragraph" w:styleId="Sarakstarindkopa">
    <w:name w:val="List Paragraph"/>
    <w:basedOn w:val="Parasts1"/>
    <w:uiPriority w:val="34"/>
    <w:qFormat/>
    <w:rsid w:val="0096298A"/>
    <w:pPr>
      <w:ind w:left="720"/>
      <w:contextualSpacing/>
    </w:pPr>
  </w:style>
  <w:style w:type="paragraph" w:styleId="Bezatstarpm">
    <w:name w:val="No Spacing"/>
    <w:uiPriority w:val="1"/>
    <w:qFormat/>
    <w:rsid w:val="006128F4"/>
    <w:rPr>
      <w:sz w:val="22"/>
      <w:szCs w:val="22"/>
      <w:lang w:val="lv-LV"/>
    </w:rPr>
  </w:style>
  <w:style w:type="table" w:customStyle="1" w:styleId="Reatabula1">
    <w:name w:val="Režģa tabula1"/>
    <w:basedOn w:val="Parastatabula"/>
    <w:next w:val="Reatabula"/>
    <w:uiPriority w:val="59"/>
    <w:rsid w:val="002961F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9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2A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8752D4"/>
    <w:pPr>
      <w:spacing w:after="200" w:line="276" w:lineRule="auto"/>
    </w:pPr>
    <w:rPr>
      <w:sz w:val="22"/>
      <w:szCs w:val="22"/>
      <w:lang w:val="lv-LV"/>
    </w:rPr>
  </w:style>
  <w:style w:type="paragraph" w:customStyle="1" w:styleId="StyleRight">
    <w:name w:val="Style Right"/>
    <w:basedOn w:val="Parasts1"/>
    <w:rsid w:val="008752D4"/>
    <w:pPr>
      <w:spacing w:after="120" w:line="240" w:lineRule="auto"/>
      <w:ind w:firstLine="720"/>
      <w:jc w:val="right"/>
    </w:pPr>
    <w:rPr>
      <w:rFonts w:ascii="Times New Roman" w:eastAsia="Times New Roman" w:hAnsi="Times New Roman"/>
      <w:sz w:val="28"/>
      <w:szCs w:val="28"/>
    </w:rPr>
  </w:style>
  <w:style w:type="paragraph" w:styleId="Galvene">
    <w:name w:val="header"/>
    <w:basedOn w:val="Parasts1"/>
    <w:link w:val="GalveneRakstz"/>
    <w:uiPriority w:val="99"/>
    <w:unhideWhenUsed/>
    <w:rsid w:val="008752D4"/>
    <w:pPr>
      <w:tabs>
        <w:tab w:val="center" w:pos="4153"/>
        <w:tab w:val="right" w:pos="8306"/>
      </w:tabs>
      <w:spacing w:after="0" w:line="240" w:lineRule="auto"/>
    </w:pPr>
  </w:style>
  <w:style w:type="character" w:customStyle="1" w:styleId="GalveneRakstz">
    <w:name w:val="Galvene Rakstz."/>
    <w:link w:val="Galvene"/>
    <w:uiPriority w:val="99"/>
    <w:rsid w:val="008752D4"/>
    <w:rPr>
      <w:rFonts w:ascii="Calibri" w:eastAsia="Calibri" w:hAnsi="Calibri" w:cs="Times New Roman"/>
    </w:rPr>
  </w:style>
  <w:style w:type="paragraph" w:styleId="Kjene">
    <w:name w:val="footer"/>
    <w:basedOn w:val="Parasts1"/>
    <w:link w:val="KjeneRakstz"/>
    <w:uiPriority w:val="99"/>
    <w:unhideWhenUsed/>
    <w:rsid w:val="008752D4"/>
    <w:pPr>
      <w:tabs>
        <w:tab w:val="center" w:pos="4153"/>
        <w:tab w:val="right" w:pos="8306"/>
      </w:tabs>
      <w:spacing w:after="0" w:line="240" w:lineRule="auto"/>
    </w:pPr>
  </w:style>
  <w:style w:type="character" w:customStyle="1" w:styleId="KjeneRakstz">
    <w:name w:val="Kājene Rakstz."/>
    <w:link w:val="Kjene"/>
    <w:uiPriority w:val="99"/>
    <w:rsid w:val="008752D4"/>
    <w:rPr>
      <w:rFonts w:ascii="Calibri" w:eastAsia="Calibri" w:hAnsi="Calibri" w:cs="Times New Roman"/>
    </w:rPr>
  </w:style>
  <w:style w:type="paragraph" w:customStyle="1" w:styleId="tv2131">
    <w:name w:val="tv2131"/>
    <w:basedOn w:val="Parasts1"/>
    <w:rsid w:val="000F4227"/>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semiHidden/>
    <w:unhideWhenUsed/>
    <w:rsid w:val="00C67FC0"/>
    <w:rPr>
      <w:sz w:val="16"/>
      <w:szCs w:val="16"/>
    </w:rPr>
  </w:style>
  <w:style w:type="paragraph" w:styleId="Komentrateksts">
    <w:name w:val="annotation text"/>
    <w:basedOn w:val="Parasts1"/>
    <w:link w:val="KomentratekstsRakstz"/>
    <w:uiPriority w:val="99"/>
    <w:semiHidden/>
    <w:unhideWhenUsed/>
    <w:rsid w:val="00C67FC0"/>
    <w:rPr>
      <w:sz w:val="20"/>
      <w:szCs w:val="20"/>
    </w:rPr>
  </w:style>
  <w:style w:type="character" w:customStyle="1" w:styleId="KomentratekstsRakstz">
    <w:name w:val="Komentāra teksts Rakstz."/>
    <w:link w:val="Komentrateksts"/>
    <w:uiPriority w:val="99"/>
    <w:semiHidden/>
    <w:rsid w:val="00C67FC0"/>
    <w:rPr>
      <w:lang w:eastAsia="en-US"/>
    </w:rPr>
  </w:style>
  <w:style w:type="paragraph" w:styleId="Komentratma">
    <w:name w:val="annotation subject"/>
    <w:basedOn w:val="Komentrateksts"/>
    <w:next w:val="Komentrateksts"/>
    <w:link w:val="KomentratmaRakstz"/>
    <w:uiPriority w:val="99"/>
    <w:semiHidden/>
    <w:unhideWhenUsed/>
    <w:rsid w:val="00C67FC0"/>
    <w:rPr>
      <w:b/>
      <w:bCs/>
    </w:rPr>
  </w:style>
  <w:style w:type="character" w:customStyle="1" w:styleId="KomentratmaRakstz">
    <w:name w:val="Komentāra tēma Rakstz."/>
    <w:link w:val="Komentratma"/>
    <w:uiPriority w:val="99"/>
    <w:semiHidden/>
    <w:rsid w:val="00C67FC0"/>
    <w:rPr>
      <w:b/>
      <w:bCs/>
      <w:lang w:eastAsia="en-US"/>
    </w:rPr>
  </w:style>
  <w:style w:type="paragraph" w:styleId="Balonteksts">
    <w:name w:val="Balloon Text"/>
    <w:basedOn w:val="Parasts1"/>
    <w:link w:val="BalontekstsRakstz"/>
    <w:uiPriority w:val="99"/>
    <w:semiHidden/>
    <w:unhideWhenUsed/>
    <w:rsid w:val="00C67FC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C67FC0"/>
    <w:rPr>
      <w:rFonts w:ascii="Tahoma" w:hAnsi="Tahoma" w:cs="Tahoma"/>
      <w:sz w:val="16"/>
      <w:szCs w:val="16"/>
      <w:lang w:eastAsia="en-US"/>
    </w:rPr>
  </w:style>
  <w:style w:type="character" w:customStyle="1" w:styleId="spelle">
    <w:name w:val="spelle"/>
    <w:rsid w:val="00FD0826"/>
  </w:style>
  <w:style w:type="paragraph" w:customStyle="1" w:styleId="naisf">
    <w:name w:val="naisf"/>
    <w:basedOn w:val="Parasts1"/>
    <w:rsid w:val="004E5309"/>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6C614A"/>
    <w:rPr>
      <w:color w:val="0000FF"/>
      <w:u w:val="single"/>
    </w:rPr>
  </w:style>
  <w:style w:type="paragraph" w:styleId="Vresteksts">
    <w:name w:val="footnote text"/>
    <w:basedOn w:val="Parasts1"/>
    <w:link w:val="VrestekstsRakstz"/>
    <w:uiPriority w:val="99"/>
    <w:semiHidden/>
    <w:unhideWhenUsed/>
    <w:rsid w:val="006C614A"/>
    <w:pPr>
      <w:spacing w:after="0" w:line="240" w:lineRule="auto"/>
    </w:pPr>
    <w:rPr>
      <w:sz w:val="20"/>
      <w:szCs w:val="20"/>
    </w:rPr>
  </w:style>
  <w:style w:type="character" w:customStyle="1" w:styleId="VrestekstsRakstz">
    <w:name w:val="Vēres teksts Rakstz."/>
    <w:link w:val="Vresteksts"/>
    <w:uiPriority w:val="99"/>
    <w:semiHidden/>
    <w:rsid w:val="006C614A"/>
    <w:rPr>
      <w:lang w:eastAsia="en-US"/>
    </w:rPr>
  </w:style>
  <w:style w:type="character" w:styleId="Vresatsauce">
    <w:name w:val="footnote reference"/>
    <w:aliases w:val="4_G"/>
    <w:unhideWhenUsed/>
    <w:rsid w:val="006C614A"/>
    <w:rPr>
      <w:vertAlign w:val="superscript"/>
    </w:rPr>
  </w:style>
  <w:style w:type="paragraph" w:styleId="Sarakstarindkopa">
    <w:name w:val="List Paragraph"/>
    <w:basedOn w:val="Parasts1"/>
    <w:uiPriority w:val="34"/>
    <w:qFormat/>
    <w:rsid w:val="0096298A"/>
    <w:pPr>
      <w:ind w:left="720"/>
      <w:contextualSpacing/>
    </w:pPr>
  </w:style>
  <w:style w:type="paragraph" w:styleId="Bezatstarpm">
    <w:name w:val="No Spacing"/>
    <w:uiPriority w:val="1"/>
    <w:qFormat/>
    <w:rsid w:val="006128F4"/>
    <w:rPr>
      <w:sz w:val="22"/>
      <w:szCs w:val="22"/>
      <w:lang w:val="lv-LV"/>
    </w:rPr>
  </w:style>
  <w:style w:type="table" w:customStyle="1" w:styleId="Reatabula1">
    <w:name w:val="Režģa tabula1"/>
    <w:basedOn w:val="Parastatabula"/>
    <w:next w:val="Reatabula"/>
    <w:uiPriority w:val="59"/>
    <w:rsid w:val="002961F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9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2117">
      <w:bodyDiv w:val="1"/>
      <w:marLeft w:val="0"/>
      <w:marRight w:val="0"/>
      <w:marTop w:val="0"/>
      <w:marBottom w:val="0"/>
      <w:divBdr>
        <w:top w:val="none" w:sz="0" w:space="0" w:color="auto"/>
        <w:left w:val="none" w:sz="0" w:space="0" w:color="auto"/>
        <w:bottom w:val="none" w:sz="0" w:space="0" w:color="auto"/>
        <w:right w:val="none" w:sz="0" w:space="0" w:color="auto"/>
      </w:divBdr>
    </w:div>
    <w:div w:id="259459440">
      <w:bodyDiv w:val="1"/>
      <w:marLeft w:val="0"/>
      <w:marRight w:val="0"/>
      <w:marTop w:val="0"/>
      <w:marBottom w:val="0"/>
      <w:divBdr>
        <w:top w:val="none" w:sz="0" w:space="0" w:color="auto"/>
        <w:left w:val="none" w:sz="0" w:space="0" w:color="auto"/>
        <w:bottom w:val="none" w:sz="0" w:space="0" w:color="auto"/>
        <w:right w:val="none" w:sz="0" w:space="0" w:color="auto"/>
      </w:divBdr>
    </w:div>
    <w:div w:id="459881999">
      <w:bodyDiv w:val="1"/>
      <w:marLeft w:val="0"/>
      <w:marRight w:val="0"/>
      <w:marTop w:val="0"/>
      <w:marBottom w:val="0"/>
      <w:divBdr>
        <w:top w:val="none" w:sz="0" w:space="0" w:color="auto"/>
        <w:left w:val="none" w:sz="0" w:space="0" w:color="auto"/>
        <w:bottom w:val="none" w:sz="0" w:space="0" w:color="auto"/>
        <w:right w:val="none" w:sz="0" w:space="0" w:color="auto"/>
      </w:divBdr>
      <w:divsChild>
        <w:div w:id="460340906">
          <w:marLeft w:val="0"/>
          <w:marRight w:val="0"/>
          <w:marTop w:val="0"/>
          <w:marBottom w:val="0"/>
          <w:divBdr>
            <w:top w:val="none" w:sz="0" w:space="0" w:color="auto"/>
            <w:left w:val="none" w:sz="0" w:space="0" w:color="auto"/>
            <w:bottom w:val="none" w:sz="0" w:space="0" w:color="auto"/>
            <w:right w:val="none" w:sz="0" w:space="0" w:color="auto"/>
          </w:divBdr>
          <w:divsChild>
            <w:div w:id="1371804507">
              <w:marLeft w:val="0"/>
              <w:marRight w:val="0"/>
              <w:marTop w:val="0"/>
              <w:marBottom w:val="0"/>
              <w:divBdr>
                <w:top w:val="none" w:sz="0" w:space="0" w:color="auto"/>
                <w:left w:val="none" w:sz="0" w:space="0" w:color="auto"/>
                <w:bottom w:val="none" w:sz="0" w:space="0" w:color="auto"/>
                <w:right w:val="none" w:sz="0" w:space="0" w:color="auto"/>
              </w:divBdr>
              <w:divsChild>
                <w:div w:id="26494689">
                  <w:marLeft w:val="0"/>
                  <w:marRight w:val="0"/>
                  <w:marTop w:val="0"/>
                  <w:marBottom w:val="0"/>
                  <w:divBdr>
                    <w:top w:val="none" w:sz="0" w:space="0" w:color="auto"/>
                    <w:left w:val="none" w:sz="0" w:space="0" w:color="auto"/>
                    <w:bottom w:val="none" w:sz="0" w:space="0" w:color="auto"/>
                    <w:right w:val="none" w:sz="0" w:space="0" w:color="auto"/>
                  </w:divBdr>
                  <w:divsChild>
                    <w:div w:id="363479521">
                      <w:marLeft w:val="0"/>
                      <w:marRight w:val="0"/>
                      <w:marTop w:val="0"/>
                      <w:marBottom w:val="0"/>
                      <w:divBdr>
                        <w:top w:val="none" w:sz="0" w:space="0" w:color="auto"/>
                        <w:left w:val="none" w:sz="0" w:space="0" w:color="auto"/>
                        <w:bottom w:val="none" w:sz="0" w:space="0" w:color="auto"/>
                        <w:right w:val="none" w:sz="0" w:space="0" w:color="auto"/>
                      </w:divBdr>
                      <w:divsChild>
                        <w:div w:id="1975059125">
                          <w:marLeft w:val="0"/>
                          <w:marRight w:val="0"/>
                          <w:marTop w:val="0"/>
                          <w:marBottom w:val="0"/>
                          <w:divBdr>
                            <w:top w:val="none" w:sz="0" w:space="0" w:color="auto"/>
                            <w:left w:val="none" w:sz="0" w:space="0" w:color="auto"/>
                            <w:bottom w:val="none" w:sz="0" w:space="0" w:color="auto"/>
                            <w:right w:val="none" w:sz="0" w:space="0" w:color="auto"/>
                          </w:divBdr>
                          <w:divsChild>
                            <w:div w:id="80300881">
                              <w:marLeft w:val="0"/>
                              <w:marRight w:val="0"/>
                              <w:marTop w:val="0"/>
                              <w:marBottom w:val="567"/>
                              <w:divBdr>
                                <w:top w:val="none" w:sz="0" w:space="0" w:color="auto"/>
                                <w:left w:val="none" w:sz="0" w:space="0" w:color="auto"/>
                                <w:bottom w:val="none" w:sz="0" w:space="0" w:color="auto"/>
                                <w:right w:val="none" w:sz="0" w:space="0" w:color="auto"/>
                              </w:divBdr>
                            </w:div>
                            <w:div w:id="116825100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99414">
      <w:bodyDiv w:val="1"/>
      <w:marLeft w:val="0"/>
      <w:marRight w:val="0"/>
      <w:marTop w:val="0"/>
      <w:marBottom w:val="0"/>
      <w:divBdr>
        <w:top w:val="none" w:sz="0" w:space="0" w:color="auto"/>
        <w:left w:val="none" w:sz="0" w:space="0" w:color="auto"/>
        <w:bottom w:val="none" w:sz="0" w:space="0" w:color="auto"/>
        <w:right w:val="none" w:sz="0" w:space="0" w:color="auto"/>
      </w:divBdr>
    </w:div>
    <w:div w:id="1310673719">
      <w:bodyDiv w:val="1"/>
      <w:marLeft w:val="0"/>
      <w:marRight w:val="0"/>
      <w:marTop w:val="0"/>
      <w:marBottom w:val="0"/>
      <w:divBdr>
        <w:top w:val="none" w:sz="0" w:space="0" w:color="auto"/>
        <w:left w:val="none" w:sz="0" w:space="0" w:color="auto"/>
        <w:bottom w:val="none" w:sz="0" w:space="0" w:color="auto"/>
        <w:right w:val="none" w:sz="0" w:space="0" w:color="auto"/>
      </w:divBdr>
    </w:div>
    <w:div w:id="1771197866">
      <w:bodyDiv w:val="1"/>
      <w:marLeft w:val="0"/>
      <w:marRight w:val="0"/>
      <w:marTop w:val="0"/>
      <w:marBottom w:val="0"/>
      <w:divBdr>
        <w:top w:val="none" w:sz="0" w:space="0" w:color="auto"/>
        <w:left w:val="none" w:sz="0" w:space="0" w:color="auto"/>
        <w:bottom w:val="none" w:sz="0" w:space="0" w:color="auto"/>
        <w:right w:val="none" w:sz="0" w:space="0" w:color="auto"/>
      </w:divBdr>
    </w:div>
    <w:div w:id="1876037391">
      <w:bodyDiv w:val="1"/>
      <w:marLeft w:val="0"/>
      <w:marRight w:val="0"/>
      <w:marTop w:val="0"/>
      <w:marBottom w:val="0"/>
      <w:divBdr>
        <w:top w:val="none" w:sz="0" w:space="0" w:color="auto"/>
        <w:left w:val="none" w:sz="0" w:space="0" w:color="auto"/>
        <w:bottom w:val="none" w:sz="0" w:space="0" w:color="auto"/>
        <w:right w:val="none" w:sz="0" w:space="0" w:color="auto"/>
      </w:divBdr>
      <w:divsChild>
        <w:div w:id="1202941916">
          <w:marLeft w:val="0"/>
          <w:marRight w:val="0"/>
          <w:marTop w:val="0"/>
          <w:marBottom w:val="0"/>
          <w:divBdr>
            <w:top w:val="none" w:sz="0" w:space="0" w:color="auto"/>
            <w:left w:val="none" w:sz="0" w:space="0" w:color="auto"/>
            <w:bottom w:val="none" w:sz="0" w:space="0" w:color="auto"/>
            <w:right w:val="none" w:sz="0" w:space="0" w:color="auto"/>
          </w:divBdr>
          <w:divsChild>
            <w:div w:id="63993679">
              <w:marLeft w:val="0"/>
              <w:marRight w:val="0"/>
              <w:marTop w:val="0"/>
              <w:marBottom w:val="0"/>
              <w:divBdr>
                <w:top w:val="none" w:sz="0" w:space="0" w:color="auto"/>
                <w:left w:val="none" w:sz="0" w:space="0" w:color="auto"/>
                <w:bottom w:val="none" w:sz="0" w:space="0" w:color="auto"/>
                <w:right w:val="none" w:sz="0" w:space="0" w:color="auto"/>
              </w:divBdr>
              <w:divsChild>
                <w:div w:id="430517588">
                  <w:marLeft w:val="0"/>
                  <w:marRight w:val="0"/>
                  <w:marTop w:val="0"/>
                  <w:marBottom w:val="0"/>
                  <w:divBdr>
                    <w:top w:val="none" w:sz="0" w:space="0" w:color="auto"/>
                    <w:left w:val="none" w:sz="0" w:space="0" w:color="auto"/>
                    <w:bottom w:val="none" w:sz="0" w:space="0" w:color="auto"/>
                    <w:right w:val="none" w:sz="0" w:space="0" w:color="auto"/>
                  </w:divBdr>
                  <w:divsChild>
                    <w:div w:id="18072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4599">
      <w:bodyDiv w:val="1"/>
      <w:marLeft w:val="0"/>
      <w:marRight w:val="0"/>
      <w:marTop w:val="0"/>
      <w:marBottom w:val="0"/>
      <w:divBdr>
        <w:top w:val="none" w:sz="0" w:space="0" w:color="auto"/>
        <w:left w:val="none" w:sz="0" w:space="0" w:color="auto"/>
        <w:bottom w:val="none" w:sz="0" w:space="0" w:color="auto"/>
        <w:right w:val="none" w:sz="0" w:space="0" w:color="auto"/>
      </w:divBdr>
    </w:div>
    <w:div w:id="2086877615">
      <w:bodyDiv w:val="1"/>
      <w:marLeft w:val="0"/>
      <w:marRight w:val="0"/>
      <w:marTop w:val="0"/>
      <w:marBottom w:val="0"/>
      <w:divBdr>
        <w:top w:val="none" w:sz="0" w:space="0" w:color="auto"/>
        <w:left w:val="none" w:sz="0" w:space="0" w:color="auto"/>
        <w:bottom w:val="none" w:sz="0" w:space="0" w:color="auto"/>
        <w:right w:val="none" w:sz="0" w:space="0" w:color="auto"/>
      </w:divBdr>
    </w:div>
    <w:div w:id="20924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kumi.lv/ta/id/88966-kriminallikums"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80E2-5B27-4C55-AF6C-47870F85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64520</Words>
  <Characters>36777</Characters>
  <Application>Microsoft Office Word</Application>
  <DocSecurity>4</DocSecurity>
  <Lines>306</Lines>
  <Paragraphs>202</Paragraphs>
  <ScaleCrop>false</ScaleCrop>
  <HeadingPairs>
    <vt:vector size="2" baseType="variant">
      <vt:variant>
        <vt:lpstr>Nosaukums</vt:lpstr>
      </vt:variant>
      <vt:variant>
        <vt:i4>1</vt:i4>
      </vt:variant>
    </vt:vector>
  </HeadingPairs>
  <TitlesOfParts>
    <vt:vector size="1" baseType="lpstr">
      <vt:lpstr>Likumprojekta „Grozījumi Administratīvā procesa likumā”sākotnējās ietekmes novērtējuma ziņojums (anotācija)</vt:lpstr>
    </vt:vector>
  </TitlesOfParts>
  <Company>Tieslietu ministrija</Company>
  <LinksUpToDate>false</LinksUpToDate>
  <CharactersWithSpaces>101095</CharactersWithSpaces>
  <SharedDoc>false</SharedDoc>
  <HLinks>
    <vt:vector size="36" baseType="variant">
      <vt:variant>
        <vt:i4>6357077</vt:i4>
      </vt:variant>
      <vt:variant>
        <vt:i4>15</vt:i4>
      </vt:variant>
      <vt:variant>
        <vt:i4>0</vt:i4>
      </vt:variant>
      <vt:variant>
        <vt:i4>5</vt:i4>
      </vt:variant>
      <vt:variant>
        <vt:lpwstr>mailto:Uldis.Rudziks@tm.gov.lv</vt:lpwstr>
      </vt:variant>
      <vt:variant>
        <vt:lpwstr/>
      </vt:variant>
      <vt:variant>
        <vt:i4>4587584</vt:i4>
      </vt:variant>
      <vt:variant>
        <vt:i4>12</vt:i4>
      </vt:variant>
      <vt:variant>
        <vt:i4>0</vt:i4>
      </vt:variant>
      <vt:variant>
        <vt:i4>5</vt:i4>
      </vt:variant>
      <vt:variant>
        <vt:lpwstr>http://www.tm.gov.lv/</vt:lpwstr>
      </vt:variant>
      <vt:variant>
        <vt:lpwstr/>
      </vt:variant>
      <vt:variant>
        <vt:i4>4587584</vt:i4>
      </vt:variant>
      <vt:variant>
        <vt:i4>9</vt:i4>
      </vt:variant>
      <vt:variant>
        <vt:i4>0</vt:i4>
      </vt:variant>
      <vt:variant>
        <vt:i4>5</vt:i4>
      </vt:variant>
      <vt:variant>
        <vt:lpwstr>http://www.tm.gov.lv/</vt:lpwstr>
      </vt:variant>
      <vt:variant>
        <vt:lpwstr/>
      </vt:variant>
      <vt:variant>
        <vt:i4>196693</vt:i4>
      </vt:variant>
      <vt:variant>
        <vt:i4>6</vt:i4>
      </vt:variant>
      <vt:variant>
        <vt:i4>0</vt:i4>
      </vt:variant>
      <vt:variant>
        <vt:i4>5</vt:i4>
      </vt:variant>
      <vt:variant>
        <vt:lpwstr>http://www.tiesas.lv/</vt:lpwstr>
      </vt:variant>
      <vt:variant>
        <vt:lpwstr/>
      </vt:variant>
      <vt:variant>
        <vt:i4>196693</vt:i4>
      </vt:variant>
      <vt:variant>
        <vt:i4>3</vt:i4>
      </vt:variant>
      <vt:variant>
        <vt:i4>0</vt:i4>
      </vt:variant>
      <vt:variant>
        <vt:i4>5</vt:i4>
      </vt:variant>
      <vt:variant>
        <vt:lpwstr>http://www.tiesas.lv/</vt:lpwstr>
      </vt:variant>
      <vt:variant>
        <vt:lpwstr/>
      </vt:variant>
      <vt:variant>
        <vt:i4>196693</vt:i4>
      </vt:variant>
      <vt:variant>
        <vt:i4>0</vt:i4>
      </vt:variant>
      <vt:variant>
        <vt:i4>0</vt:i4>
      </vt:variant>
      <vt:variant>
        <vt:i4>5</vt:i4>
      </vt:variant>
      <vt:variant>
        <vt:lpwstr>http://www.tiesas.lv/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Administratīvā procesa likumā”sākotnējās ietekmes novērtējuma ziņojums (anotācija)</dc:title>
  <dc:subject>Sākotnējās ietekmes novērtējuma ziņojums (anotācija)</dc:subject>
  <dc:creator>Tieslietu ministrija</dc:creator>
  <dc:description>U.Rudziks, 67036902, Uldis.Rudziks@tm.gov.lv
G.Kukle, 67036967, Guna.Kukle@tm.gov.lv
I.Māliņa, 67036910, Ilze.Malina@tm.gov.lv</dc:description>
  <cp:lastModifiedBy>Anda Smiltena</cp:lastModifiedBy>
  <cp:revision>2</cp:revision>
  <cp:lastPrinted>2016-11-30T13:00:00Z</cp:lastPrinted>
  <dcterms:created xsi:type="dcterms:W3CDTF">2017-01-11T14:12:00Z</dcterms:created>
  <dcterms:modified xsi:type="dcterms:W3CDTF">2017-01-11T14:12:00Z</dcterms:modified>
</cp:coreProperties>
</file>