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96D" w:rsidRPr="00873A7C" w:rsidRDefault="00394159" w:rsidP="00873A7C">
      <w:pPr>
        <w:spacing w:after="0" w:line="240" w:lineRule="auto"/>
        <w:jc w:val="center"/>
        <w:rPr>
          <w:rFonts w:ascii="Times New Roman" w:eastAsia="Times New Roman" w:hAnsi="Times New Roman" w:cs="Times New Roman"/>
          <w:b/>
          <w:bCs/>
          <w:sz w:val="24"/>
          <w:szCs w:val="24"/>
          <w:lang w:eastAsia="lv-LV"/>
        </w:rPr>
      </w:pPr>
      <w:r w:rsidRPr="00873A7C">
        <w:rPr>
          <w:rFonts w:ascii="Times New Roman" w:hAnsi="Times New Roman" w:cs="Times New Roman"/>
          <w:b/>
          <w:sz w:val="24"/>
          <w:szCs w:val="24"/>
        </w:rPr>
        <w:t>Minist</w:t>
      </w:r>
      <w:r w:rsidR="00601D39" w:rsidRPr="008833CD">
        <w:rPr>
          <w:rFonts w:ascii="Times New Roman" w:hAnsi="Times New Roman" w:cs="Times New Roman"/>
          <w:b/>
          <w:sz w:val="24"/>
          <w:szCs w:val="24"/>
        </w:rPr>
        <w:t>ru kabineta noteikumu projekta “</w:t>
      </w:r>
      <w:r w:rsidRPr="00873A7C">
        <w:rPr>
          <w:rFonts w:ascii="Times New Roman" w:hAnsi="Times New Roman" w:cs="Times New Roman"/>
          <w:b/>
          <w:sz w:val="24"/>
          <w:szCs w:val="24"/>
        </w:rPr>
        <w:t>Grozījumi Ministru kabineta 2009.</w:t>
      </w:r>
      <w:r w:rsidR="00601D39" w:rsidRPr="00873A7C">
        <w:rPr>
          <w:rFonts w:ascii="Times New Roman" w:hAnsi="Times New Roman" w:cs="Times New Roman"/>
          <w:b/>
          <w:sz w:val="24"/>
          <w:szCs w:val="24"/>
        </w:rPr>
        <w:t> </w:t>
      </w:r>
      <w:r w:rsidRPr="00873A7C">
        <w:rPr>
          <w:rFonts w:ascii="Times New Roman" w:hAnsi="Times New Roman" w:cs="Times New Roman"/>
          <w:b/>
          <w:sz w:val="24"/>
          <w:szCs w:val="24"/>
        </w:rPr>
        <w:t>gada 22.</w:t>
      </w:r>
      <w:r w:rsidR="00601D39" w:rsidRPr="00873A7C">
        <w:rPr>
          <w:rFonts w:ascii="Times New Roman" w:hAnsi="Times New Roman" w:cs="Times New Roman"/>
          <w:b/>
          <w:sz w:val="24"/>
          <w:szCs w:val="24"/>
        </w:rPr>
        <w:t> </w:t>
      </w:r>
      <w:r w:rsidRPr="00873A7C">
        <w:rPr>
          <w:rFonts w:ascii="Times New Roman" w:hAnsi="Times New Roman" w:cs="Times New Roman"/>
          <w:b/>
          <w:sz w:val="24"/>
          <w:szCs w:val="24"/>
        </w:rPr>
        <w:t>decembra noteikumos Nr.</w:t>
      </w:r>
      <w:r w:rsidR="00601D39" w:rsidRPr="00873A7C">
        <w:rPr>
          <w:rFonts w:ascii="Times New Roman" w:hAnsi="Times New Roman" w:cs="Times New Roman"/>
          <w:b/>
          <w:sz w:val="24"/>
          <w:szCs w:val="24"/>
        </w:rPr>
        <w:t> 1493 “</w:t>
      </w:r>
      <w:r w:rsidRPr="00873A7C">
        <w:rPr>
          <w:rFonts w:ascii="Times New Roman" w:hAnsi="Times New Roman" w:cs="Times New Roman"/>
          <w:b/>
          <w:sz w:val="24"/>
          <w:szCs w:val="24"/>
        </w:rPr>
        <w:t>Noteikumi par valsts nodrošinātās juridiskās palīdzības apjomu, samaksas apmēru, atlīdzināmajiem izdevumiem un to izmaksas kārtību”</w:t>
      </w:r>
      <w:r w:rsidR="00D1003C" w:rsidRPr="00873A7C">
        <w:rPr>
          <w:rFonts w:ascii="Times New Roman" w:hAnsi="Times New Roman" w:cs="Times New Roman"/>
          <w:b/>
          <w:sz w:val="24"/>
          <w:szCs w:val="24"/>
        </w:rPr>
        <w:t>”</w:t>
      </w:r>
      <w:r w:rsidR="004D15A9" w:rsidRPr="00873A7C">
        <w:rPr>
          <w:rFonts w:ascii="Times New Roman" w:eastAsia="Times New Roman" w:hAnsi="Times New Roman" w:cs="Times New Roman"/>
          <w:b/>
          <w:bCs/>
          <w:sz w:val="24"/>
          <w:szCs w:val="24"/>
          <w:lang w:eastAsia="lv-LV"/>
        </w:rPr>
        <w:t xml:space="preserve"> sākotnējās ietekmes novērtējuma ziņojums (anotācija)</w:t>
      </w:r>
    </w:p>
    <w:p w:rsidR="003B5122" w:rsidRPr="00873A7C" w:rsidRDefault="003B5122" w:rsidP="00873A7C">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090"/>
        <w:gridCol w:w="337"/>
        <w:gridCol w:w="91"/>
        <w:gridCol w:w="6085"/>
      </w:tblGrid>
      <w:tr w:rsidR="00873A7C" w:rsidRPr="00873A7C" w:rsidTr="00670710">
        <w:trPr>
          <w:trHeight w:val="405"/>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rsidR="004D15A9" w:rsidRPr="00873A7C" w:rsidRDefault="004D15A9" w:rsidP="008833CD">
            <w:pPr>
              <w:spacing w:after="0" w:line="240" w:lineRule="auto"/>
              <w:jc w:val="center"/>
              <w:rPr>
                <w:rFonts w:ascii="Times New Roman" w:eastAsia="Times New Roman" w:hAnsi="Times New Roman" w:cs="Times New Roman"/>
                <w:b/>
                <w:bCs/>
                <w:sz w:val="24"/>
                <w:szCs w:val="24"/>
                <w:lang w:eastAsia="lv-LV"/>
              </w:rPr>
            </w:pPr>
            <w:r w:rsidRPr="00873A7C">
              <w:rPr>
                <w:rFonts w:ascii="Times New Roman" w:eastAsia="Times New Roman" w:hAnsi="Times New Roman" w:cs="Times New Roman"/>
                <w:b/>
                <w:bCs/>
                <w:sz w:val="24"/>
                <w:szCs w:val="24"/>
                <w:lang w:eastAsia="lv-LV"/>
              </w:rPr>
              <w:t>I. Tiesību akta projekta izstrādes nepieciešamība</w:t>
            </w:r>
          </w:p>
        </w:tc>
      </w:tr>
      <w:tr w:rsidR="00873A7C" w:rsidRPr="00873A7C" w:rsidTr="00670710">
        <w:trPr>
          <w:trHeight w:val="79"/>
        </w:trPr>
        <w:tc>
          <w:tcPr>
            <w:tcW w:w="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1.</w:t>
            </w:r>
          </w:p>
        </w:tc>
        <w:tc>
          <w:tcPr>
            <w:tcW w:w="1154"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Pamatojums</w:t>
            </w:r>
          </w:p>
        </w:tc>
        <w:tc>
          <w:tcPr>
            <w:tcW w:w="3596" w:type="pct"/>
            <w:gridSpan w:val="3"/>
            <w:tcBorders>
              <w:top w:val="outset" w:sz="6" w:space="0" w:color="414142"/>
              <w:left w:val="outset" w:sz="6" w:space="0" w:color="414142"/>
              <w:bottom w:val="outset" w:sz="6" w:space="0" w:color="414142"/>
              <w:right w:val="outset" w:sz="6" w:space="0" w:color="414142"/>
            </w:tcBorders>
            <w:hideMark/>
          </w:tcPr>
          <w:p w:rsidR="004D15A9" w:rsidRPr="00873A7C" w:rsidRDefault="0068617D">
            <w:pPr>
              <w:spacing w:after="0" w:line="240" w:lineRule="auto"/>
              <w:ind w:firstLine="254"/>
              <w:jc w:val="both"/>
              <w:rPr>
                <w:rFonts w:ascii="Times New Roman" w:eastAsia="Times New Roman" w:hAnsi="Times New Roman" w:cs="Times New Roman"/>
                <w:sz w:val="24"/>
                <w:szCs w:val="24"/>
                <w:lang w:eastAsia="lv-LV"/>
              </w:rPr>
            </w:pPr>
            <w:r w:rsidRPr="00873A7C">
              <w:rPr>
                <w:rFonts w:ascii="Times New Roman" w:hAnsi="Times New Roman" w:cs="Times New Roman"/>
                <w:sz w:val="24"/>
                <w:szCs w:val="24"/>
              </w:rPr>
              <w:t>Ministru kabineta noteikumu projekts “Grozījumi Ministru kabineta 2009. gada 22.</w:t>
            </w:r>
            <w:r w:rsidR="00330A3F" w:rsidRPr="00873A7C">
              <w:rPr>
                <w:rFonts w:ascii="Times New Roman" w:hAnsi="Times New Roman" w:cs="Times New Roman"/>
                <w:sz w:val="24"/>
                <w:szCs w:val="24"/>
              </w:rPr>
              <w:t> </w:t>
            </w:r>
            <w:r w:rsidRPr="00873A7C">
              <w:rPr>
                <w:rFonts w:ascii="Times New Roman" w:hAnsi="Times New Roman" w:cs="Times New Roman"/>
                <w:sz w:val="24"/>
                <w:szCs w:val="24"/>
              </w:rPr>
              <w:t>decembra noteikumos Nr. 1493 “Noteikumi par valsts nodrošinātās juridiskās palīdzības apjomu, samaksas apmēru, atlīdzināmajiem izdevumiem un to izmaksas kārtību”” (turpmāk – Noteikumu projekts) izstrādāts</w:t>
            </w:r>
            <w:r w:rsidR="00AB7988">
              <w:rPr>
                <w:rFonts w:ascii="Times New Roman" w:hAnsi="Times New Roman" w:cs="Times New Roman"/>
                <w:sz w:val="24"/>
                <w:szCs w:val="24"/>
              </w:rPr>
              <w:t xml:space="preserve"> pēc Tieslietu ministrijas iniciatīvas</w:t>
            </w:r>
            <w:r w:rsidR="003F64D8">
              <w:rPr>
                <w:rFonts w:ascii="Times New Roman" w:hAnsi="Times New Roman" w:cs="Times New Roman"/>
                <w:sz w:val="24"/>
                <w:szCs w:val="24"/>
              </w:rPr>
              <w:t>,</w:t>
            </w:r>
            <w:r w:rsidR="00AB7988">
              <w:rPr>
                <w:rFonts w:ascii="Times New Roman" w:hAnsi="Times New Roman" w:cs="Times New Roman"/>
                <w:sz w:val="24"/>
                <w:szCs w:val="24"/>
              </w:rPr>
              <w:t xml:space="preserve"> ņemot vērā Latvijas Zvērinātu advokātu padomes</w:t>
            </w:r>
            <w:r w:rsidR="00F86C0F">
              <w:rPr>
                <w:rFonts w:ascii="Times New Roman" w:hAnsi="Times New Roman" w:cs="Times New Roman"/>
                <w:sz w:val="24"/>
                <w:szCs w:val="24"/>
              </w:rPr>
              <w:t xml:space="preserve"> </w:t>
            </w:r>
            <w:proofErr w:type="gramStart"/>
            <w:r w:rsidR="00F86C0F">
              <w:rPr>
                <w:rFonts w:ascii="Times New Roman" w:hAnsi="Times New Roman" w:cs="Times New Roman"/>
                <w:sz w:val="24"/>
                <w:szCs w:val="24"/>
              </w:rPr>
              <w:t>(</w:t>
            </w:r>
            <w:proofErr w:type="gramEnd"/>
            <w:r w:rsidR="00F86C0F">
              <w:rPr>
                <w:rFonts w:ascii="Times New Roman" w:hAnsi="Times New Roman" w:cs="Times New Roman"/>
                <w:sz w:val="24"/>
                <w:szCs w:val="24"/>
              </w:rPr>
              <w:t>turpmāk – LZAP)</w:t>
            </w:r>
            <w:r w:rsidR="00AB7988">
              <w:rPr>
                <w:rFonts w:ascii="Times New Roman" w:hAnsi="Times New Roman" w:cs="Times New Roman"/>
                <w:sz w:val="24"/>
                <w:szCs w:val="24"/>
              </w:rPr>
              <w:t xml:space="preserve"> un Juridiskās palīdzības administrācijas ierosinājumus.</w:t>
            </w:r>
            <w:r w:rsidRPr="00873A7C">
              <w:rPr>
                <w:rFonts w:ascii="Times New Roman" w:hAnsi="Times New Roman" w:cs="Times New Roman"/>
                <w:sz w:val="24"/>
                <w:szCs w:val="24"/>
              </w:rPr>
              <w:t xml:space="preserve">  </w:t>
            </w:r>
          </w:p>
        </w:tc>
      </w:tr>
      <w:tr w:rsidR="00873A7C" w:rsidRPr="00873A7C" w:rsidTr="00670710">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2.</w:t>
            </w:r>
          </w:p>
        </w:tc>
        <w:tc>
          <w:tcPr>
            <w:tcW w:w="1154"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596" w:type="pct"/>
            <w:gridSpan w:val="3"/>
            <w:tcBorders>
              <w:top w:val="outset" w:sz="6" w:space="0" w:color="414142"/>
              <w:left w:val="outset" w:sz="6" w:space="0" w:color="414142"/>
              <w:bottom w:val="outset" w:sz="6" w:space="0" w:color="414142"/>
              <w:right w:val="outset" w:sz="6" w:space="0" w:color="414142"/>
            </w:tcBorders>
            <w:hideMark/>
          </w:tcPr>
          <w:p w:rsidR="000932C1" w:rsidRPr="00525C01" w:rsidRDefault="0084616E">
            <w:pPr>
              <w:tabs>
                <w:tab w:val="left" w:pos="6096"/>
              </w:tabs>
              <w:spacing w:after="0" w:line="240" w:lineRule="auto"/>
              <w:ind w:firstLine="254"/>
              <w:jc w:val="both"/>
              <w:rPr>
                <w:rFonts w:ascii="Times New Roman" w:hAnsi="Times New Roman" w:cs="Times New Roman"/>
                <w:sz w:val="24"/>
                <w:szCs w:val="24"/>
              </w:rPr>
            </w:pPr>
            <w:r w:rsidRPr="00525C01">
              <w:rPr>
                <w:rFonts w:ascii="Times New Roman" w:hAnsi="Times New Roman" w:cs="Times New Roman"/>
                <w:sz w:val="24"/>
                <w:szCs w:val="24"/>
              </w:rPr>
              <w:t>Ministru kabineta 2009.</w:t>
            </w:r>
            <w:r w:rsidR="00560F62" w:rsidRPr="00525C01">
              <w:rPr>
                <w:rFonts w:ascii="Times New Roman" w:hAnsi="Times New Roman" w:cs="Times New Roman"/>
                <w:sz w:val="24"/>
                <w:szCs w:val="24"/>
              </w:rPr>
              <w:t> </w:t>
            </w:r>
            <w:r w:rsidRPr="00525C01">
              <w:rPr>
                <w:rFonts w:ascii="Times New Roman" w:hAnsi="Times New Roman" w:cs="Times New Roman"/>
                <w:sz w:val="24"/>
                <w:szCs w:val="24"/>
              </w:rPr>
              <w:t>gada 22.</w:t>
            </w:r>
            <w:r w:rsidR="00560F62" w:rsidRPr="00525C01">
              <w:rPr>
                <w:rFonts w:ascii="Times New Roman" w:hAnsi="Times New Roman" w:cs="Times New Roman"/>
                <w:sz w:val="24"/>
                <w:szCs w:val="24"/>
              </w:rPr>
              <w:t> </w:t>
            </w:r>
            <w:r w:rsidRPr="00525C01">
              <w:rPr>
                <w:rFonts w:ascii="Times New Roman" w:hAnsi="Times New Roman" w:cs="Times New Roman"/>
                <w:sz w:val="24"/>
                <w:szCs w:val="24"/>
              </w:rPr>
              <w:t>decembra noteikumi Nr.</w:t>
            </w:r>
            <w:r w:rsidR="00601D39" w:rsidRPr="00525C01">
              <w:rPr>
                <w:rFonts w:ascii="Times New Roman" w:hAnsi="Times New Roman" w:cs="Times New Roman"/>
                <w:sz w:val="24"/>
                <w:szCs w:val="24"/>
              </w:rPr>
              <w:t> </w:t>
            </w:r>
            <w:r w:rsidRPr="00525C01">
              <w:rPr>
                <w:rFonts w:ascii="Times New Roman" w:hAnsi="Times New Roman" w:cs="Times New Roman"/>
                <w:sz w:val="24"/>
                <w:szCs w:val="24"/>
              </w:rPr>
              <w:t>1493 „Noteikumi par valsts nodrošinātās juridiskās palīdzības apjomu, samaksas apmēru, atlīdzināmajiem izdevumiem un t</w:t>
            </w:r>
            <w:r w:rsidR="00601D39" w:rsidRPr="00525C01">
              <w:rPr>
                <w:rFonts w:ascii="Times New Roman" w:hAnsi="Times New Roman" w:cs="Times New Roman"/>
                <w:sz w:val="24"/>
                <w:szCs w:val="24"/>
              </w:rPr>
              <w:t xml:space="preserve">o izmaksas kārtību” </w:t>
            </w:r>
            <w:r w:rsidR="00152991" w:rsidRPr="00525C01">
              <w:rPr>
                <w:rFonts w:ascii="Times New Roman" w:hAnsi="Times New Roman" w:cs="Times New Roman"/>
                <w:sz w:val="24"/>
                <w:szCs w:val="24"/>
              </w:rPr>
              <w:t>nosaka juridiskās palīdzības veidus, apjomu, samaksas apmēru un ar tās sniegšanu saistītos atlīdzināmos izdevumus, to apmēru un izmaksas kārtību.</w:t>
            </w:r>
            <w:r w:rsidR="000260E6" w:rsidRPr="00525C01">
              <w:rPr>
                <w:rFonts w:ascii="Times New Roman" w:hAnsi="Times New Roman" w:cs="Times New Roman"/>
                <w:sz w:val="24"/>
                <w:szCs w:val="24"/>
              </w:rPr>
              <w:t>(turpmāk – Noteikumi Nr.1493)</w:t>
            </w:r>
            <w:r w:rsidR="00152991" w:rsidRPr="00525C01">
              <w:rPr>
                <w:rFonts w:ascii="Times New Roman" w:hAnsi="Times New Roman" w:cs="Times New Roman"/>
                <w:sz w:val="24"/>
                <w:szCs w:val="24"/>
              </w:rPr>
              <w:t xml:space="preserve"> </w:t>
            </w:r>
          </w:p>
          <w:p w:rsidR="002E2543" w:rsidRPr="00525C01" w:rsidRDefault="002E2543" w:rsidP="002E2543">
            <w:pPr>
              <w:spacing w:after="0" w:line="240" w:lineRule="auto"/>
              <w:ind w:firstLine="254"/>
              <w:jc w:val="both"/>
              <w:rPr>
                <w:rFonts w:ascii="Times New Roman" w:hAnsi="Times New Roman" w:cs="Times New Roman"/>
                <w:sz w:val="24"/>
                <w:szCs w:val="24"/>
              </w:rPr>
            </w:pPr>
            <w:r w:rsidRPr="00525C01">
              <w:rPr>
                <w:rFonts w:ascii="Times New Roman" w:hAnsi="Times New Roman" w:cs="Times New Roman"/>
                <w:sz w:val="24"/>
                <w:szCs w:val="24"/>
              </w:rPr>
              <w:t xml:space="preserve">Lai nodrošinātu valsts garantētās juridiskās palīdzības sniegšanu civillietās, administratīvajās lietās un pārrobežu strīdu lietās Juridiskās palīdzības administrācija slēdz juridiskās palīdzības līgumus ar personām, kas atbilstoši Valsts nodrošinātās juridiskās palīdzības likumam var būt par valsts nodrošinātās juridiskās palīdzības sniedzējiem. Uz 2017. gada decembra mēnesi noslēgti 149 līgumi ar juridiskās palīdzības sniedzējiem un vērtējot noslēgto līgumu skaitu ilgtermiņā, secināms, ka kopumā kopš </w:t>
            </w:r>
            <w:proofErr w:type="gramStart"/>
            <w:r w:rsidRPr="00525C01">
              <w:rPr>
                <w:rFonts w:ascii="Times New Roman" w:hAnsi="Times New Roman" w:cs="Times New Roman"/>
                <w:sz w:val="24"/>
                <w:szCs w:val="24"/>
              </w:rPr>
              <w:t>2016.gada</w:t>
            </w:r>
            <w:proofErr w:type="gramEnd"/>
            <w:r w:rsidRPr="00525C01">
              <w:rPr>
                <w:rFonts w:ascii="Times New Roman" w:hAnsi="Times New Roman" w:cs="Times New Roman"/>
                <w:sz w:val="24"/>
                <w:szCs w:val="24"/>
              </w:rPr>
              <w:t xml:space="preserve">, bet jo īpaši 2017.gadā ir vērojama to pozitīva pieauguma tendence. </w:t>
            </w:r>
            <w:proofErr w:type="gramStart"/>
            <w:r w:rsidRPr="00525C01">
              <w:rPr>
                <w:rFonts w:ascii="Times New Roman" w:hAnsi="Times New Roman" w:cs="Times New Roman"/>
                <w:sz w:val="24"/>
                <w:szCs w:val="24"/>
              </w:rPr>
              <w:t>Savukārt,</w:t>
            </w:r>
            <w:proofErr w:type="gramEnd"/>
            <w:r w:rsidRPr="00525C01">
              <w:rPr>
                <w:rFonts w:ascii="Times New Roman" w:hAnsi="Times New Roman" w:cs="Times New Roman"/>
                <w:sz w:val="24"/>
                <w:szCs w:val="24"/>
              </w:rPr>
              <w:t xml:space="preserve"> juridiskās palīdzības sniegšanu krimināllietās organizē zvērinātu advokātu vecākie, iesaistot ievērojamu skaitu zvērinātu advokātu. </w:t>
            </w:r>
          </w:p>
          <w:p w:rsidR="008B54B8" w:rsidRPr="00525C01" w:rsidRDefault="008B54B8" w:rsidP="00B70E6A">
            <w:pPr>
              <w:pStyle w:val="tv2131"/>
              <w:spacing w:line="240" w:lineRule="auto"/>
              <w:ind w:firstLine="254"/>
              <w:jc w:val="both"/>
              <w:rPr>
                <w:color w:val="auto"/>
                <w:sz w:val="24"/>
                <w:szCs w:val="24"/>
              </w:rPr>
            </w:pPr>
            <w:r w:rsidRPr="00525C01">
              <w:rPr>
                <w:color w:val="auto"/>
                <w:sz w:val="24"/>
                <w:szCs w:val="24"/>
              </w:rPr>
              <w:t xml:space="preserve">Valsts kontroles </w:t>
            </w:r>
            <w:proofErr w:type="gramStart"/>
            <w:r w:rsidRPr="00525C01">
              <w:rPr>
                <w:color w:val="auto"/>
                <w:sz w:val="24"/>
                <w:szCs w:val="24"/>
              </w:rPr>
              <w:t>2017.gada</w:t>
            </w:r>
            <w:proofErr w:type="gramEnd"/>
            <w:r w:rsidRPr="00525C01">
              <w:rPr>
                <w:color w:val="auto"/>
                <w:sz w:val="24"/>
                <w:szCs w:val="24"/>
              </w:rPr>
              <w:t xml:space="preserve"> 5.jūnija ziņojumā “Vai tiesu iekārtas attīstības pasākumi ir veicinājuši tiesu darbības efektivitāti?” norādīts, ka, vērtējot tiesu pieejamību, īpaša uzmanība būtu jāpievērš valsts juridiskās palīdzības pieejamībai. Valsts kontrole norāda, ka valsts budžeta līdzekļu apmērs valsts nodrošinātajai juridiskajai palīdzībai ir viens no zemākajiem Eiropā. </w:t>
            </w:r>
          </w:p>
          <w:p w:rsidR="009A3F17" w:rsidRPr="00525C01" w:rsidRDefault="008B54B8" w:rsidP="00B70E6A">
            <w:pPr>
              <w:pStyle w:val="tv2131"/>
              <w:spacing w:line="240" w:lineRule="auto"/>
              <w:ind w:firstLine="254"/>
              <w:jc w:val="both"/>
              <w:rPr>
                <w:color w:val="auto"/>
                <w:sz w:val="24"/>
                <w:szCs w:val="24"/>
              </w:rPr>
            </w:pPr>
            <w:r w:rsidRPr="00525C01">
              <w:rPr>
                <w:color w:val="auto"/>
                <w:sz w:val="24"/>
                <w:szCs w:val="24"/>
              </w:rPr>
              <w:t>Tāpat n</w:t>
            </w:r>
            <w:r w:rsidR="002A5584" w:rsidRPr="00525C01">
              <w:rPr>
                <w:color w:val="auto"/>
                <w:sz w:val="24"/>
                <w:szCs w:val="24"/>
              </w:rPr>
              <w:t>orādāms, ka</w:t>
            </w:r>
            <w:r w:rsidR="001F5BB2" w:rsidRPr="00525C01">
              <w:rPr>
                <w:color w:val="auto"/>
                <w:sz w:val="24"/>
                <w:szCs w:val="24"/>
              </w:rPr>
              <w:t xml:space="preserve"> </w:t>
            </w:r>
            <w:proofErr w:type="gramStart"/>
            <w:r w:rsidR="001704B9" w:rsidRPr="00525C01">
              <w:rPr>
                <w:color w:val="auto"/>
                <w:sz w:val="24"/>
                <w:szCs w:val="24"/>
              </w:rPr>
              <w:t>2017.gada</w:t>
            </w:r>
            <w:proofErr w:type="gramEnd"/>
            <w:r w:rsidR="001704B9" w:rsidRPr="00525C01">
              <w:rPr>
                <w:color w:val="auto"/>
                <w:sz w:val="24"/>
                <w:szCs w:val="24"/>
              </w:rPr>
              <w:t xml:space="preserve"> 3.novembrī </w:t>
            </w:r>
            <w:r w:rsidRPr="00525C01">
              <w:rPr>
                <w:color w:val="auto"/>
                <w:sz w:val="24"/>
                <w:szCs w:val="24"/>
              </w:rPr>
              <w:t xml:space="preserve">LZAP </w:t>
            </w:r>
            <w:r w:rsidR="00925E21" w:rsidRPr="00525C01">
              <w:rPr>
                <w:color w:val="auto"/>
                <w:sz w:val="24"/>
                <w:szCs w:val="24"/>
              </w:rPr>
              <w:t>vērsās</w:t>
            </w:r>
            <w:r w:rsidRPr="00525C01">
              <w:rPr>
                <w:color w:val="auto"/>
                <w:sz w:val="24"/>
                <w:szCs w:val="24"/>
              </w:rPr>
              <w:t xml:space="preserve"> </w:t>
            </w:r>
            <w:r w:rsidR="001704B9" w:rsidRPr="00525C01">
              <w:rPr>
                <w:color w:val="auto"/>
                <w:sz w:val="24"/>
                <w:szCs w:val="24"/>
              </w:rPr>
              <w:t>Tieslietu ministrij</w:t>
            </w:r>
            <w:r w:rsidR="00925E21" w:rsidRPr="00525C01">
              <w:rPr>
                <w:color w:val="auto"/>
                <w:sz w:val="24"/>
                <w:szCs w:val="24"/>
              </w:rPr>
              <w:t>ā, vēršot uzmanību uz</w:t>
            </w:r>
            <w:r w:rsidR="001704B9" w:rsidRPr="00525C01">
              <w:rPr>
                <w:color w:val="auto"/>
                <w:sz w:val="24"/>
                <w:szCs w:val="24"/>
              </w:rPr>
              <w:t xml:space="preserve"> nepieciešamību paaugstināt valsts nodrošinātās juridiskā</w:t>
            </w:r>
            <w:r w:rsidRPr="00525C01">
              <w:rPr>
                <w:color w:val="auto"/>
                <w:sz w:val="24"/>
                <w:szCs w:val="24"/>
              </w:rPr>
              <w:t>s</w:t>
            </w:r>
            <w:r w:rsidR="001704B9" w:rsidRPr="00525C01">
              <w:rPr>
                <w:color w:val="auto"/>
                <w:sz w:val="24"/>
                <w:szCs w:val="24"/>
              </w:rPr>
              <w:t xml:space="preserve"> palīdzības samaksas apmērus, </w:t>
            </w:r>
            <w:r w:rsidR="00925E21" w:rsidRPr="00525C01">
              <w:rPr>
                <w:color w:val="auto"/>
                <w:sz w:val="24"/>
                <w:szCs w:val="24"/>
              </w:rPr>
              <w:t xml:space="preserve">kā arī </w:t>
            </w:r>
            <w:r w:rsidR="001704B9" w:rsidRPr="00525C01">
              <w:rPr>
                <w:color w:val="auto"/>
                <w:sz w:val="24"/>
                <w:szCs w:val="24"/>
              </w:rPr>
              <w:t>norād</w:t>
            </w:r>
            <w:r w:rsidR="00925E21" w:rsidRPr="00525C01">
              <w:rPr>
                <w:color w:val="auto"/>
                <w:sz w:val="24"/>
                <w:szCs w:val="24"/>
              </w:rPr>
              <w:t>ot</w:t>
            </w:r>
            <w:r w:rsidR="001704B9" w:rsidRPr="00525C01">
              <w:rPr>
                <w:color w:val="auto"/>
                <w:sz w:val="24"/>
                <w:szCs w:val="24"/>
              </w:rPr>
              <w:t xml:space="preserve"> uz </w:t>
            </w:r>
            <w:r w:rsidR="001F5BB2" w:rsidRPr="00525C01">
              <w:rPr>
                <w:color w:val="auto"/>
                <w:sz w:val="24"/>
                <w:szCs w:val="24"/>
              </w:rPr>
              <w:t>valsts nodrošinātās juridiskās palīdzības sniedzēju atlīdzības samērīgumu</w:t>
            </w:r>
            <w:r w:rsidRPr="00525C01">
              <w:rPr>
                <w:color w:val="auto"/>
                <w:sz w:val="24"/>
                <w:szCs w:val="24"/>
              </w:rPr>
              <w:t xml:space="preserve"> ar ieguldīto darbu</w:t>
            </w:r>
            <w:r w:rsidR="00EF22B9" w:rsidRPr="00525C01">
              <w:rPr>
                <w:color w:val="auto"/>
                <w:sz w:val="24"/>
                <w:szCs w:val="24"/>
              </w:rPr>
              <w:t>. Vēstulē</w:t>
            </w:r>
            <w:r w:rsidR="00595746" w:rsidRPr="00525C01">
              <w:rPr>
                <w:color w:val="auto"/>
                <w:sz w:val="24"/>
                <w:szCs w:val="24"/>
              </w:rPr>
              <w:t xml:space="preserve"> </w:t>
            </w:r>
            <w:r w:rsidR="001F5BB2" w:rsidRPr="00525C01">
              <w:rPr>
                <w:color w:val="auto"/>
                <w:sz w:val="24"/>
                <w:szCs w:val="24"/>
              </w:rPr>
              <w:t>lūg</w:t>
            </w:r>
            <w:r w:rsidR="00EF22B9" w:rsidRPr="00525C01">
              <w:rPr>
                <w:color w:val="auto"/>
                <w:sz w:val="24"/>
                <w:szCs w:val="24"/>
              </w:rPr>
              <w:t xml:space="preserve">ts </w:t>
            </w:r>
            <w:r w:rsidR="001F5BB2" w:rsidRPr="00525C01">
              <w:rPr>
                <w:color w:val="auto"/>
                <w:sz w:val="24"/>
                <w:szCs w:val="24"/>
              </w:rPr>
              <w:t>pārskatīt un paaugstināt samaksas apmēru par sniegto juridisko palīdzību valsts nodrošinātās juridiskās palīdzības sniedzējiem.</w:t>
            </w:r>
            <w:r w:rsidR="00CE0C64" w:rsidRPr="00525C01">
              <w:rPr>
                <w:color w:val="auto"/>
                <w:sz w:val="24"/>
                <w:szCs w:val="24"/>
              </w:rPr>
              <w:t xml:space="preserve"> </w:t>
            </w:r>
          </w:p>
          <w:p w:rsidR="00C0169D" w:rsidRPr="00525C01" w:rsidRDefault="00C34993" w:rsidP="00C0169D">
            <w:pPr>
              <w:pStyle w:val="tv2131"/>
              <w:spacing w:line="240" w:lineRule="auto"/>
              <w:ind w:firstLine="254"/>
              <w:jc w:val="both"/>
              <w:rPr>
                <w:color w:val="auto"/>
                <w:sz w:val="24"/>
                <w:szCs w:val="24"/>
              </w:rPr>
            </w:pPr>
            <w:r w:rsidRPr="00525C01">
              <w:rPr>
                <w:color w:val="auto"/>
                <w:sz w:val="24"/>
                <w:szCs w:val="24"/>
              </w:rPr>
              <w:t xml:space="preserve">Ņemot vērā valsts budžeta </w:t>
            </w:r>
            <w:r w:rsidR="00C0169D" w:rsidRPr="00525C01">
              <w:rPr>
                <w:color w:val="auto"/>
                <w:sz w:val="24"/>
                <w:szCs w:val="24"/>
              </w:rPr>
              <w:t xml:space="preserve">iespējas un noteiktās prioritātes, </w:t>
            </w:r>
            <w:r w:rsidR="00925E21" w:rsidRPr="00525C01">
              <w:rPr>
                <w:color w:val="auto"/>
                <w:sz w:val="24"/>
                <w:szCs w:val="24"/>
              </w:rPr>
              <w:t xml:space="preserve">vienlaikus </w:t>
            </w:r>
            <w:r w:rsidR="008650B4" w:rsidRPr="00525C01">
              <w:rPr>
                <w:color w:val="auto"/>
                <w:sz w:val="24"/>
                <w:szCs w:val="24"/>
              </w:rPr>
              <w:t>izprot</w:t>
            </w:r>
            <w:r w:rsidR="00925E21" w:rsidRPr="00525C01">
              <w:rPr>
                <w:color w:val="auto"/>
                <w:sz w:val="24"/>
                <w:szCs w:val="24"/>
              </w:rPr>
              <w:t>ot</w:t>
            </w:r>
            <w:r w:rsidR="008650B4" w:rsidRPr="00525C01">
              <w:rPr>
                <w:color w:val="auto"/>
                <w:sz w:val="24"/>
                <w:szCs w:val="24"/>
              </w:rPr>
              <w:t xml:space="preserve"> nepieciešamību veikt neatliekamas darbības valsts nodrošinātās juridiskās palīdzības samaksas apmēru paaugstināšanai</w:t>
            </w:r>
            <w:r w:rsidR="00925E21" w:rsidRPr="00525C01">
              <w:rPr>
                <w:color w:val="auto"/>
                <w:sz w:val="24"/>
                <w:szCs w:val="24"/>
              </w:rPr>
              <w:t>, izskatīta iespēja</w:t>
            </w:r>
            <w:r w:rsidR="00C0169D" w:rsidRPr="00525C01">
              <w:rPr>
                <w:color w:val="auto"/>
                <w:sz w:val="24"/>
                <w:szCs w:val="24"/>
              </w:rPr>
              <w:t xml:space="preserve"> paaugstināt samaksas apmērus atsevišķās valsts nodrošinātās juridiskās palīdzības pozīcijās.</w:t>
            </w:r>
            <w:r w:rsidR="004D5E04" w:rsidRPr="00525C01">
              <w:rPr>
                <w:color w:val="auto"/>
                <w:sz w:val="24"/>
                <w:szCs w:val="24"/>
              </w:rPr>
              <w:t xml:space="preserve"> </w:t>
            </w:r>
          </w:p>
          <w:p w:rsidR="00C0169D" w:rsidRPr="00525C01" w:rsidRDefault="008650B4" w:rsidP="00C0169D">
            <w:pPr>
              <w:pStyle w:val="tv2131"/>
              <w:spacing w:line="240" w:lineRule="auto"/>
              <w:ind w:firstLine="254"/>
              <w:jc w:val="both"/>
              <w:rPr>
                <w:color w:val="auto"/>
                <w:sz w:val="24"/>
                <w:szCs w:val="24"/>
              </w:rPr>
            </w:pPr>
            <w:r w:rsidRPr="00525C01">
              <w:rPr>
                <w:color w:val="auto"/>
                <w:sz w:val="24"/>
                <w:szCs w:val="24"/>
              </w:rPr>
              <w:lastRenderedPageBreak/>
              <w:t>Saskaņā ar Noteikumu projektu v</w:t>
            </w:r>
            <w:r w:rsidR="00C0169D" w:rsidRPr="00525C01">
              <w:rPr>
                <w:color w:val="auto"/>
                <w:sz w:val="24"/>
                <w:szCs w:val="24"/>
              </w:rPr>
              <w:t>alsts nodrošinātās juridiskās palīdzības samaksas apmēri civillietās, administratīvajās lietās, pārrobežu strīdu lietās un lietās saskaņā ar Ārstniecības likumu tiks paaugstināti tādā</w:t>
            </w:r>
            <w:r w:rsidR="00D57FFE" w:rsidRPr="00525C01">
              <w:rPr>
                <w:color w:val="auto"/>
                <w:sz w:val="24"/>
                <w:szCs w:val="24"/>
              </w:rPr>
              <w:t>s</w:t>
            </w:r>
            <w:r w:rsidR="00C0169D" w:rsidRPr="00525C01">
              <w:rPr>
                <w:color w:val="auto"/>
                <w:sz w:val="24"/>
                <w:szCs w:val="24"/>
              </w:rPr>
              <w:t xml:space="preserve"> pozīcijā</w:t>
            </w:r>
            <w:r w:rsidR="00D57FFE" w:rsidRPr="00525C01">
              <w:rPr>
                <w:color w:val="auto"/>
                <w:sz w:val="24"/>
                <w:szCs w:val="24"/>
              </w:rPr>
              <w:t>s</w:t>
            </w:r>
            <w:r w:rsidR="00C0169D" w:rsidRPr="00525C01">
              <w:rPr>
                <w:color w:val="auto"/>
                <w:sz w:val="24"/>
                <w:szCs w:val="24"/>
              </w:rPr>
              <w:t>, kā:</w:t>
            </w:r>
          </w:p>
          <w:p w:rsidR="00C0169D" w:rsidRPr="00525C01" w:rsidRDefault="008650B4" w:rsidP="00C0169D">
            <w:pPr>
              <w:pStyle w:val="tv2131"/>
              <w:numPr>
                <w:ilvl w:val="0"/>
                <w:numId w:val="4"/>
              </w:numPr>
              <w:spacing w:line="240" w:lineRule="auto"/>
              <w:jc w:val="both"/>
              <w:rPr>
                <w:color w:val="auto"/>
                <w:sz w:val="24"/>
                <w:szCs w:val="24"/>
              </w:rPr>
            </w:pPr>
            <w:r w:rsidRPr="00525C01">
              <w:rPr>
                <w:color w:val="auto"/>
                <w:sz w:val="24"/>
                <w:szCs w:val="24"/>
              </w:rPr>
              <w:t>p</w:t>
            </w:r>
            <w:r w:rsidR="00C0169D" w:rsidRPr="00525C01">
              <w:rPr>
                <w:color w:val="auto"/>
                <w:sz w:val="24"/>
                <w:szCs w:val="24"/>
              </w:rPr>
              <w:t>ar prasības pieteikuma, pieteikuma tiesvedības uzsākšanai, kreditora pieteikuma maksātnespējas procesā, pretprasības, blakus sūdzības vai izlīguma sagatavošan</w:t>
            </w:r>
            <w:r w:rsidR="000073FE" w:rsidRPr="00525C01">
              <w:rPr>
                <w:color w:val="auto"/>
                <w:sz w:val="24"/>
                <w:szCs w:val="24"/>
              </w:rPr>
              <w:t>u</w:t>
            </w:r>
            <w:r w:rsidR="00C0169D" w:rsidRPr="00525C01">
              <w:rPr>
                <w:color w:val="auto"/>
                <w:sz w:val="24"/>
                <w:szCs w:val="24"/>
              </w:rPr>
              <w:t xml:space="preserve"> – samaksas paaugstinājums par</w:t>
            </w:r>
            <w:r w:rsidRPr="00525C01">
              <w:rPr>
                <w:color w:val="auto"/>
                <w:sz w:val="24"/>
                <w:szCs w:val="24"/>
              </w:rPr>
              <w:t xml:space="preserve"> 15 </w:t>
            </w:r>
            <w:proofErr w:type="spellStart"/>
            <w:r w:rsidRPr="00525C01">
              <w:rPr>
                <w:color w:val="auto"/>
                <w:sz w:val="24"/>
                <w:szCs w:val="24"/>
              </w:rPr>
              <w:t>euro</w:t>
            </w:r>
            <w:proofErr w:type="spellEnd"/>
            <w:r w:rsidRPr="00525C01">
              <w:rPr>
                <w:color w:val="auto"/>
                <w:sz w:val="24"/>
                <w:szCs w:val="24"/>
              </w:rPr>
              <w:t xml:space="preserve"> (</w:t>
            </w:r>
            <w:r w:rsidR="00C0169D" w:rsidRPr="00525C01">
              <w:rPr>
                <w:color w:val="auto"/>
                <w:sz w:val="24"/>
                <w:szCs w:val="24"/>
              </w:rPr>
              <w:t>42%</w:t>
            </w:r>
            <w:r w:rsidRPr="00525C01">
              <w:rPr>
                <w:color w:val="auto"/>
                <w:sz w:val="24"/>
                <w:szCs w:val="24"/>
              </w:rPr>
              <w:t xml:space="preserve"> pieaugums</w:t>
            </w:r>
            <w:r w:rsidR="00D251B2" w:rsidRPr="00525C01">
              <w:rPr>
                <w:color w:val="auto"/>
                <w:sz w:val="24"/>
                <w:szCs w:val="24"/>
              </w:rPr>
              <w:t>,</w:t>
            </w:r>
            <w:r w:rsidR="00F86C0F" w:rsidRPr="00525C01">
              <w:rPr>
                <w:color w:val="auto"/>
                <w:sz w:val="24"/>
                <w:szCs w:val="24"/>
              </w:rPr>
              <w:t xml:space="preserve"> no 35 </w:t>
            </w:r>
            <w:proofErr w:type="spellStart"/>
            <w:r w:rsidR="00F86C0F" w:rsidRPr="00525C01">
              <w:rPr>
                <w:color w:val="auto"/>
                <w:sz w:val="24"/>
                <w:szCs w:val="24"/>
              </w:rPr>
              <w:t>euro</w:t>
            </w:r>
            <w:proofErr w:type="spellEnd"/>
            <w:r w:rsidR="00F86C0F" w:rsidRPr="00525C01">
              <w:rPr>
                <w:color w:val="auto"/>
                <w:sz w:val="24"/>
                <w:szCs w:val="24"/>
              </w:rPr>
              <w:t xml:space="preserve"> uz 50 </w:t>
            </w:r>
            <w:proofErr w:type="spellStart"/>
            <w:r w:rsidR="00F86C0F" w:rsidRPr="00525C01">
              <w:rPr>
                <w:color w:val="auto"/>
                <w:sz w:val="24"/>
                <w:szCs w:val="24"/>
              </w:rPr>
              <w:t>euro</w:t>
            </w:r>
            <w:proofErr w:type="spellEnd"/>
            <w:r w:rsidR="00D07F4D" w:rsidRPr="00525C01">
              <w:rPr>
                <w:color w:val="auto"/>
                <w:sz w:val="24"/>
                <w:szCs w:val="24"/>
              </w:rPr>
              <w:t>)</w:t>
            </w:r>
            <w:r w:rsidR="00C0169D" w:rsidRPr="00525C01">
              <w:rPr>
                <w:color w:val="auto"/>
                <w:sz w:val="24"/>
                <w:szCs w:val="24"/>
              </w:rPr>
              <w:t>;</w:t>
            </w:r>
          </w:p>
          <w:p w:rsidR="00C0169D" w:rsidRPr="00525C01" w:rsidRDefault="008650B4" w:rsidP="00C0169D">
            <w:pPr>
              <w:pStyle w:val="tv2131"/>
              <w:numPr>
                <w:ilvl w:val="0"/>
                <w:numId w:val="4"/>
              </w:numPr>
              <w:spacing w:line="240" w:lineRule="auto"/>
              <w:jc w:val="both"/>
              <w:rPr>
                <w:color w:val="auto"/>
                <w:sz w:val="24"/>
                <w:szCs w:val="24"/>
              </w:rPr>
            </w:pPr>
            <w:proofErr w:type="gramStart"/>
            <w:r w:rsidRPr="00525C01">
              <w:rPr>
                <w:color w:val="auto"/>
                <w:sz w:val="24"/>
                <w:szCs w:val="24"/>
              </w:rPr>
              <w:t>p</w:t>
            </w:r>
            <w:r w:rsidR="000073FE" w:rsidRPr="00525C01">
              <w:rPr>
                <w:color w:val="auto"/>
                <w:sz w:val="24"/>
                <w:szCs w:val="24"/>
              </w:rPr>
              <w:t>ar a</w:t>
            </w:r>
            <w:r w:rsidR="00C0169D" w:rsidRPr="00525C01">
              <w:rPr>
                <w:color w:val="auto"/>
                <w:sz w:val="24"/>
                <w:szCs w:val="24"/>
              </w:rPr>
              <w:t>pelācijas sūdzības sagatavošan</w:t>
            </w:r>
            <w:r w:rsidR="000073FE" w:rsidRPr="00525C01">
              <w:rPr>
                <w:color w:val="auto"/>
                <w:sz w:val="24"/>
                <w:szCs w:val="24"/>
              </w:rPr>
              <w:t>u</w:t>
            </w:r>
            <w:r w:rsidR="00C0169D" w:rsidRPr="00525C01">
              <w:rPr>
                <w:color w:val="auto"/>
                <w:sz w:val="24"/>
                <w:szCs w:val="24"/>
              </w:rPr>
              <w:t xml:space="preserve"> – samaksas paaugstinājums</w:t>
            </w:r>
            <w:proofErr w:type="gramEnd"/>
            <w:r w:rsidR="00C0169D" w:rsidRPr="00525C01">
              <w:rPr>
                <w:color w:val="auto"/>
                <w:sz w:val="24"/>
                <w:szCs w:val="24"/>
              </w:rPr>
              <w:t xml:space="preserve"> par </w:t>
            </w:r>
            <w:r w:rsidRPr="00525C01">
              <w:rPr>
                <w:color w:val="auto"/>
                <w:sz w:val="24"/>
                <w:szCs w:val="24"/>
              </w:rPr>
              <w:t xml:space="preserve">20 </w:t>
            </w:r>
            <w:proofErr w:type="spellStart"/>
            <w:r w:rsidRPr="00525C01">
              <w:rPr>
                <w:color w:val="auto"/>
                <w:sz w:val="24"/>
                <w:szCs w:val="24"/>
              </w:rPr>
              <w:t>euro</w:t>
            </w:r>
            <w:proofErr w:type="spellEnd"/>
            <w:r w:rsidRPr="00525C01">
              <w:rPr>
                <w:color w:val="auto"/>
                <w:sz w:val="24"/>
                <w:szCs w:val="24"/>
              </w:rPr>
              <w:t xml:space="preserve"> (</w:t>
            </w:r>
            <w:r w:rsidR="00C0169D" w:rsidRPr="00525C01">
              <w:rPr>
                <w:color w:val="auto"/>
                <w:sz w:val="24"/>
                <w:szCs w:val="24"/>
              </w:rPr>
              <w:t>45%</w:t>
            </w:r>
            <w:r w:rsidRPr="00525C01">
              <w:rPr>
                <w:color w:val="auto"/>
                <w:sz w:val="24"/>
                <w:szCs w:val="24"/>
              </w:rPr>
              <w:t xml:space="preserve"> pieaugums</w:t>
            </w:r>
            <w:r w:rsidR="00D251B2" w:rsidRPr="00525C01">
              <w:rPr>
                <w:color w:val="auto"/>
                <w:sz w:val="24"/>
                <w:szCs w:val="24"/>
              </w:rPr>
              <w:t xml:space="preserve">, no 45 </w:t>
            </w:r>
            <w:proofErr w:type="spellStart"/>
            <w:r w:rsidR="00D251B2" w:rsidRPr="00525C01">
              <w:rPr>
                <w:color w:val="auto"/>
                <w:sz w:val="24"/>
                <w:szCs w:val="24"/>
              </w:rPr>
              <w:t>euro</w:t>
            </w:r>
            <w:proofErr w:type="spellEnd"/>
            <w:r w:rsidR="00D251B2" w:rsidRPr="00525C01">
              <w:rPr>
                <w:color w:val="auto"/>
                <w:sz w:val="24"/>
                <w:szCs w:val="24"/>
              </w:rPr>
              <w:t xml:space="preserve"> uz 65 </w:t>
            </w:r>
            <w:proofErr w:type="spellStart"/>
            <w:r w:rsidR="00D251B2" w:rsidRPr="00525C01">
              <w:rPr>
                <w:color w:val="auto"/>
                <w:sz w:val="24"/>
                <w:szCs w:val="24"/>
              </w:rPr>
              <w:t>euro</w:t>
            </w:r>
            <w:proofErr w:type="spellEnd"/>
            <w:r w:rsidR="00D251B2" w:rsidRPr="00525C01">
              <w:rPr>
                <w:color w:val="auto"/>
                <w:sz w:val="24"/>
                <w:szCs w:val="24"/>
              </w:rPr>
              <w:t>)</w:t>
            </w:r>
            <w:r w:rsidRPr="00525C01">
              <w:rPr>
                <w:color w:val="auto"/>
                <w:sz w:val="24"/>
                <w:szCs w:val="24"/>
              </w:rPr>
              <w:t>)</w:t>
            </w:r>
            <w:r w:rsidR="00C0169D" w:rsidRPr="00525C01">
              <w:rPr>
                <w:color w:val="auto"/>
                <w:sz w:val="24"/>
                <w:szCs w:val="24"/>
              </w:rPr>
              <w:t>;</w:t>
            </w:r>
          </w:p>
          <w:p w:rsidR="00C0169D" w:rsidRPr="00525C01" w:rsidRDefault="008650B4" w:rsidP="00C0169D">
            <w:pPr>
              <w:pStyle w:val="tv2131"/>
              <w:numPr>
                <w:ilvl w:val="0"/>
                <w:numId w:val="4"/>
              </w:numPr>
              <w:spacing w:line="240" w:lineRule="auto"/>
              <w:jc w:val="both"/>
              <w:rPr>
                <w:color w:val="auto"/>
                <w:sz w:val="24"/>
                <w:szCs w:val="24"/>
              </w:rPr>
            </w:pPr>
            <w:proofErr w:type="gramStart"/>
            <w:r w:rsidRPr="00525C01">
              <w:rPr>
                <w:color w:val="auto"/>
                <w:sz w:val="24"/>
                <w:szCs w:val="24"/>
              </w:rPr>
              <w:t>p</w:t>
            </w:r>
            <w:r w:rsidR="000073FE" w:rsidRPr="00525C01">
              <w:rPr>
                <w:color w:val="auto"/>
                <w:sz w:val="24"/>
                <w:szCs w:val="24"/>
              </w:rPr>
              <w:t>ar k</w:t>
            </w:r>
            <w:r w:rsidR="00C0169D" w:rsidRPr="00525C01">
              <w:rPr>
                <w:color w:val="auto"/>
                <w:sz w:val="24"/>
                <w:szCs w:val="24"/>
              </w:rPr>
              <w:t>asācijas sūdzības sagatavošan</w:t>
            </w:r>
            <w:r w:rsidR="000073FE" w:rsidRPr="00525C01">
              <w:rPr>
                <w:color w:val="auto"/>
                <w:sz w:val="24"/>
                <w:szCs w:val="24"/>
              </w:rPr>
              <w:t>u</w:t>
            </w:r>
            <w:r w:rsidR="00C0169D" w:rsidRPr="00525C01">
              <w:rPr>
                <w:color w:val="auto"/>
                <w:sz w:val="24"/>
                <w:szCs w:val="24"/>
              </w:rPr>
              <w:t xml:space="preserve"> – samaksas paaugstinājums</w:t>
            </w:r>
            <w:proofErr w:type="gramEnd"/>
            <w:r w:rsidR="00C0169D" w:rsidRPr="00525C01">
              <w:rPr>
                <w:color w:val="auto"/>
                <w:sz w:val="24"/>
                <w:szCs w:val="24"/>
              </w:rPr>
              <w:t xml:space="preserve"> par</w:t>
            </w:r>
            <w:r w:rsidRPr="00525C01">
              <w:rPr>
                <w:color w:val="auto"/>
                <w:sz w:val="24"/>
                <w:szCs w:val="24"/>
              </w:rPr>
              <w:t xml:space="preserve"> 25 </w:t>
            </w:r>
            <w:proofErr w:type="spellStart"/>
            <w:r w:rsidRPr="00525C01">
              <w:rPr>
                <w:color w:val="auto"/>
                <w:sz w:val="24"/>
                <w:szCs w:val="24"/>
              </w:rPr>
              <w:t>euro</w:t>
            </w:r>
            <w:proofErr w:type="spellEnd"/>
            <w:r w:rsidR="00C0169D" w:rsidRPr="00525C01">
              <w:rPr>
                <w:color w:val="auto"/>
                <w:sz w:val="24"/>
                <w:szCs w:val="24"/>
              </w:rPr>
              <w:t xml:space="preserve"> </w:t>
            </w:r>
            <w:r w:rsidRPr="00525C01">
              <w:rPr>
                <w:color w:val="auto"/>
                <w:sz w:val="24"/>
                <w:szCs w:val="24"/>
              </w:rPr>
              <w:t>(</w:t>
            </w:r>
            <w:r w:rsidR="00C0169D" w:rsidRPr="00525C01">
              <w:rPr>
                <w:color w:val="auto"/>
                <w:sz w:val="24"/>
                <w:szCs w:val="24"/>
              </w:rPr>
              <w:t>45%</w:t>
            </w:r>
            <w:r w:rsidRPr="00525C01">
              <w:rPr>
                <w:color w:val="auto"/>
                <w:sz w:val="24"/>
                <w:szCs w:val="24"/>
              </w:rPr>
              <w:t xml:space="preserve"> pieaugums</w:t>
            </w:r>
            <w:r w:rsidR="00D251B2" w:rsidRPr="00525C01">
              <w:rPr>
                <w:color w:val="auto"/>
                <w:sz w:val="24"/>
                <w:szCs w:val="24"/>
              </w:rPr>
              <w:t xml:space="preserve">, no 55 </w:t>
            </w:r>
            <w:proofErr w:type="spellStart"/>
            <w:r w:rsidR="00D251B2" w:rsidRPr="00525C01">
              <w:rPr>
                <w:color w:val="auto"/>
                <w:sz w:val="24"/>
                <w:szCs w:val="24"/>
              </w:rPr>
              <w:t>euro</w:t>
            </w:r>
            <w:proofErr w:type="spellEnd"/>
            <w:r w:rsidR="00D251B2" w:rsidRPr="00525C01">
              <w:rPr>
                <w:color w:val="auto"/>
                <w:sz w:val="24"/>
                <w:szCs w:val="24"/>
              </w:rPr>
              <w:t xml:space="preserve"> uz 80 </w:t>
            </w:r>
            <w:proofErr w:type="spellStart"/>
            <w:r w:rsidR="00D251B2" w:rsidRPr="00525C01">
              <w:rPr>
                <w:color w:val="auto"/>
                <w:sz w:val="24"/>
                <w:szCs w:val="24"/>
              </w:rPr>
              <w:t>euro</w:t>
            </w:r>
            <w:proofErr w:type="spellEnd"/>
            <w:r w:rsidRPr="00525C01">
              <w:rPr>
                <w:color w:val="auto"/>
                <w:sz w:val="24"/>
                <w:szCs w:val="24"/>
              </w:rPr>
              <w:t>)</w:t>
            </w:r>
            <w:r w:rsidR="00C0169D" w:rsidRPr="00525C01">
              <w:rPr>
                <w:color w:val="auto"/>
                <w:sz w:val="24"/>
                <w:szCs w:val="24"/>
              </w:rPr>
              <w:t>;</w:t>
            </w:r>
          </w:p>
          <w:p w:rsidR="00B713E3" w:rsidRPr="00525C01" w:rsidRDefault="008650B4" w:rsidP="00C0169D">
            <w:pPr>
              <w:pStyle w:val="tv2131"/>
              <w:numPr>
                <w:ilvl w:val="0"/>
                <w:numId w:val="4"/>
              </w:numPr>
              <w:spacing w:line="240" w:lineRule="auto"/>
              <w:jc w:val="both"/>
              <w:rPr>
                <w:color w:val="auto"/>
                <w:sz w:val="24"/>
                <w:szCs w:val="24"/>
              </w:rPr>
            </w:pPr>
            <w:r w:rsidRPr="00525C01">
              <w:rPr>
                <w:color w:val="auto"/>
                <w:sz w:val="24"/>
                <w:szCs w:val="24"/>
              </w:rPr>
              <w:t>p</w:t>
            </w:r>
            <w:r w:rsidR="000073FE" w:rsidRPr="00525C01">
              <w:rPr>
                <w:color w:val="auto"/>
                <w:sz w:val="24"/>
                <w:szCs w:val="24"/>
              </w:rPr>
              <w:t>ar pārstāvību tiesas sēdē – samaksas paaugstinājums par</w:t>
            </w:r>
            <w:r w:rsidRPr="00525C01">
              <w:rPr>
                <w:color w:val="auto"/>
                <w:sz w:val="24"/>
                <w:szCs w:val="24"/>
              </w:rPr>
              <w:t xml:space="preserve"> 10 </w:t>
            </w:r>
            <w:proofErr w:type="spellStart"/>
            <w:r w:rsidRPr="00525C01">
              <w:rPr>
                <w:color w:val="auto"/>
                <w:sz w:val="24"/>
                <w:szCs w:val="24"/>
              </w:rPr>
              <w:t>euro</w:t>
            </w:r>
            <w:proofErr w:type="spellEnd"/>
            <w:r w:rsidR="000073FE" w:rsidRPr="00525C01">
              <w:rPr>
                <w:color w:val="auto"/>
                <w:sz w:val="24"/>
                <w:szCs w:val="24"/>
              </w:rPr>
              <w:t xml:space="preserve"> </w:t>
            </w:r>
            <w:r w:rsidRPr="00525C01">
              <w:rPr>
                <w:color w:val="auto"/>
                <w:sz w:val="24"/>
                <w:szCs w:val="24"/>
              </w:rPr>
              <w:t>(</w:t>
            </w:r>
            <w:r w:rsidR="000073FE" w:rsidRPr="00525C01">
              <w:rPr>
                <w:color w:val="auto"/>
                <w:sz w:val="24"/>
                <w:szCs w:val="24"/>
              </w:rPr>
              <w:t>33%</w:t>
            </w:r>
            <w:r w:rsidRPr="00525C01">
              <w:rPr>
                <w:color w:val="auto"/>
                <w:sz w:val="24"/>
                <w:szCs w:val="24"/>
              </w:rPr>
              <w:t xml:space="preserve"> pieaugums</w:t>
            </w:r>
            <w:r w:rsidR="00D251B2" w:rsidRPr="00525C01">
              <w:rPr>
                <w:color w:val="auto"/>
                <w:sz w:val="24"/>
                <w:szCs w:val="24"/>
              </w:rPr>
              <w:t xml:space="preserve">, no 30 </w:t>
            </w:r>
            <w:proofErr w:type="spellStart"/>
            <w:r w:rsidR="00D251B2" w:rsidRPr="00525C01">
              <w:rPr>
                <w:color w:val="auto"/>
                <w:sz w:val="24"/>
                <w:szCs w:val="24"/>
              </w:rPr>
              <w:t>euro</w:t>
            </w:r>
            <w:proofErr w:type="spellEnd"/>
            <w:r w:rsidR="00D251B2" w:rsidRPr="00525C01">
              <w:rPr>
                <w:color w:val="auto"/>
                <w:sz w:val="24"/>
                <w:szCs w:val="24"/>
              </w:rPr>
              <w:t xml:space="preserve"> uz 40 </w:t>
            </w:r>
            <w:proofErr w:type="spellStart"/>
            <w:r w:rsidR="00D251B2" w:rsidRPr="00525C01">
              <w:rPr>
                <w:color w:val="auto"/>
                <w:sz w:val="24"/>
                <w:szCs w:val="24"/>
              </w:rPr>
              <w:t>euro</w:t>
            </w:r>
            <w:proofErr w:type="spellEnd"/>
            <w:r w:rsidRPr="00525C01">
              <w:rPr>
                <w:color w:val="auto"/>
                <w:sz w:val="24"/>
                <w:szCs w:val="24"/>
              </w:rPr>
              <w:t>)</w:t>
            </w:r>
            <w:r w:rsidR="000073FE" w:rsidRPr="00525C01">
              <w:rPr>
                <w:color w:val="auto"/>
                <w:sz w:val="24"/>
                <w:szCs w:val="24"/>
              </w:rPr>
              <w:t>.</w:t>
            </w:r>
          </w:p>
          <w:p w:rsidR="00D57FFE" w:rsidRPr="00525C01" w:rsidRDefault="008650B4" w:rsidP="00D57FFE">
            <w:pPr>
              <w:pStyle w:val="tv2131"/>
              <w:spacing w:line="240" w:lineRule="auto"/>
              <w:ind w:firstLine="254"/>
              <w:jc w:val="both"/>
              <w:rPr>
                <w:color w:val="auto"/>
                <w:sz w:val="24"/>
                <w:szCs w:val="24"/>
              </w:rPr>
            </w:pPr>
            <w:r w:rsidRPr="00525C01">
              <w:rPr>
                <w:color w:val="auto"/>
                <w:sz w:val="24"/>
                <w:szCs w:val="24"/>
              </w:rPr>
              <w:t>Savukārt v</w:t>
            </w:r>
            <w:r w:rsidR="00D57FFE" w:rsidRPr="00525C01">
              <w:rPr>
                <w:color w:val="auto"/>
                <w:sz w:val="24"/>
                <w:szCs w:val="24"/>
              </w:rPr>
              <w:t>alsts nodrošinātās juridiskās palīdzības samaksas apmēri krimināllietās tiks paaugstināti tādās pozīcijās, kā:</w:t>
            </w:r>
          </w:p>
          <w:p w:rsidR="00D57FFE" w:rsidRPr="00525C01" w:rsidRDefault="008650B4" w:rsidP="00D57FFE">
            <w:pPr>
              <w:pStyle w:val="tv2131"/>
              <w:numPr>
                <w:ilvl w:val="0"/>
                <w:numId w:val="5"/>
              </w:numPr>
              <w:spacing w:line="240" w:lineRule="auto"/>
              <w:ind w:left="665"/>
              <w:jc w:val="both"/>
              <w:rPr>
                <w:color w:val="auto"/>
                <w:sz w:val="24"/>
                <w:szCs w:val="24"/>
              </w:rPr>
            </w:pPr>
            <w:proofErr w:type="gramStart"/>
            <w:r w:rsidRPr="00525C01">
              <w:rPr>
                <w:color w:val="auto"/>
                <w:sz w:val="24"/>
                <w:szCs w:val="24"/>
              </w:rPr>
              <w:t>p</w:t>
            </w:r>
            <w:r w:rsidR="00D57FFE" w:rsidRPr="00525C01">
              <w:rPr>
                <w:color w:val="auto"/>
                <w:sz w:val="24"/>
                <w:szCs w:val="24"/>
              </w:rPr>
              <w:t>ar apelācijas sūdzības sagatavošanu – samaksas paaugstinājums</w:t>
            </w:r>
            <w:proofErr w:type="gramEnd"/>
            <w:r w:rsidR="00D57FFE" w:rsidRPr="00525C01">
              <w:rPr>
                <w:color w:val="auto"/>
                <w:sz w:val="24"/>
                <w:szCs w:val="24"/>
              </w:rPr>
              <w:t xml:space="preserve"> par</w:t>
            </w:r>
            <w:r w:rsidRPr="00525C01">
              <w:rPr>
                <w:color w:val="auto"/>
                <w:sz w:val="24"/>
                <w:szCs w:val="24"/>
              </w:rPr>
              <w:t xml:space="preserve"> 20 </w:t>
            </w:r>
            <w:proofErr w:type="spellStart"/>
            <w:r w:rsidRPr="00525C01">
              <w:rPr>
                <w:color w:val="auto"/>
                <w:sz w:val="24"/>
                <w:szCs w:val="24"/>
              </w:rPr>
              <w:t>euro</w:t>
            </w:r>
            <w:proofErr w:type="spellEnd"/>
            <w:r w:rsidR="00D57FFE" w:rsidRPr="00525C01">
              <w:rPr>
                <w:color w:val="auto"/>
                <w:sz w:val="24"/>
                <w:szCs w:val="24"/>
              </w:rPr>
              <w:t xml:space="preserve"> </w:t>
            </w:r>
            <w:r w:rsidRPr="00525C01">
              <w:rPr>
                <w:color w:val="auto"/>
                <w:sz w:val="24"/>
                <w:szCs w:val="24"/>
              </w:rPr>
              <w:t>(</w:t>
            </w:r>
            <w:r w:rsidR="00BA6230" w:rsidRPr="00525C01">
              <w:rPr>
                <w:color w:val="auto"/>
                <w:sz w:val="24"/>
                <w:szCs w:val="24"/>
              </w:rPr>
              <w:t>30</w:t>
            </w:r>
            <w:r w:rsidR="00D57FFE" w:rsidRPr="00525C01">
              <w:rPr>
                <w:color w:val="auto"/>
                <w:sz w:val="24"/>
                <w:szCs w:val="24"/>
              </w:rPr>
              <w:t>%</w:t>
            </w:r>
            <w:r w:rsidRPr="00525C01">
              <w:rPr>
                <w:color w:val="auto"/>
                <w:sz w:val="24"/>
                <w:szCs w:val="24"/>
              </w:rPr>
              <w:t xml:space="preserve"> pieaugums</w:t>
            </w:r>
            <w:r w:rsidR="00D251B2" w:rsidRPr="00525C01">
              <w:rPr>
                <w:color w:val="auto"/>
                <w:sz w:val="24"/>
                <w:szCs w:val="24"/>
              </w:rPr>
              <w:t xml:space="preserve">, no 65 </w:t>
            </w:r>
            <w:proofErr w:type="spellStart"/>
            <w:r w:rsidR="00D251B2" w:rsidRPr="00525C01">
              <w:rPr>
                <w:color w:val="auto"/>
                <w:sz w:val="24"/>
                <w:szCs w:val="24"/>
              </w:rPr>
              <w:t>euro</w:t>
            </w:r>
            <w:proofErr w:type="spellEnd"/>
            <w:r w:rsidR="00D251B2" w:rsidRPr="00525C01">
              <w:rPr>
                <w:color w:val="auto"/>
                <w:sz w:val="24"/>
                <w:szCs w:val="24"/>
              </w:rPr>
              <w:t xml:space="preserve"> uz 85 </w:t>
            </w:r>
            <w:proofErr w:type="spellStart"/>
            <w:r w:rsidR="00D251B2" w:rsidRPr="00525C01">
              <w:rPr>
                <w:color w:val="auto"/>
                <w:sz w:val="24"/>
                <w:szCs w:val="24"/>
              </w:rPr>
              <w:t>euro</w:t>
            </w:r>
            <w:proofErr w:type="spellEnd"/>
            <w:r w:rsidRPr="00525C01">
              <w:rPr>
                <w:color w:val="auto"/>
                <w:sz w:val="24"/>
                <w:szCs w:val="24"/>
              </w:rPr>
              <w:t>)</w:t>
            </w:r>
            <w:r w:rsidR="00D57FFE" w:rsidRPr="00525C01">
              <w:rPr>
                <w:color w:val="auto"/>
                <w:sz w:val="24"/>
                <w:szCs w:val="24"/>
              </w:rPr>
              <w:t>;</w:t>
            </w:r>
          </w:p>
          <w:p w:rsidR="00D57FFE" w:rsidRPr="00525C01" w:rsidRDefault="008650B4" w:rsidP="00D57FFE">
            <w:pPr>
              <w:pStyle w:val="tv2131"/>
              <w:numPr>
                <w:ilvl w:val="0"/>
                <w:numId w:val="5"/>
              </w:numPr>
              <w:spacing w:line="240" w:lineRule="auto"/>
              <w:ind w:left="665"/>
              <w:jc w:val="both"/>
              <w:rPr>
                <w:color w:val="auto"/>
                <w:sz w:val="24"/>
                <w:szCs w:val="24"/>
              </w:rPr>
            </w:pPr>
            <w:proofErr w:type="gramStart"/>
            <w:r w:rsidRPr="00525C01">
              <w:rPr>
                <w:color w:val="auto"/>
                <w:sz w:val="24"/>
                <w:szCs w:val="24"/>
              </w:rPr>
              <w:t>p</w:t>
            </w:r>
            <w:r w:rsidR="00D57FFE" w:rsidRPr="00525C01">
              <w:rPr>
                <w:color w:val="auto"/>
                <w:sz w:val="24"/>
                <w:szCs w:val="24"/>
              </w:rPr>
              <w:t>ar kasācijas sūdzības sagatavošanu – samaksas paaugstinājums</w:t>
            </w:r>
            <w:proofErr w:type="gramEnd"/>
            <w:r w:rsidR="00D57FFE" w:rsidRPr="00525C01">
              <w:rPr>
                <w:color w:val="auto"/>
                <w:sz w:val="24"/>
                <w:szCs w:val="24"/>
              </w:rPr>
              <w:t xml:space="preserve"> par</w:t>
            </w:r>
            <w:r w:rsidRPr="00525C01">
              <w:rPr>
                <w:color w:val="auto"/>
                <w:sz w:val="24"/>
                <w:szCs w:val="24"/>
              </w:rPr>
              <w:t xml:space="preserve"> 25 </w:t>
            </w:r>
            <w:proofErr w:type="spellStart"/>
            <w:r w:rsidRPr="00525C01">
              <w:rPr>
                <w:color w:val="auto"/>
                <w:sz w:val="24"/>
                <w:szCs w:val="24"/>
              </w:rPr>
              <w:t>euro</w:t>
            </w:r>
            <w:proofErr w:type="spellEnd"/>
            <w:r w:rsidR="00BA6230" w:rsidRPr="00525C01">
              <w:rPr>
                <w:color w:val="auto"/>
                <w:sz w:val="24"/>
                <w:szCs w:val="24"/>
              </w:rPr>
              <w:t xml:space="preserve"> </w:t>
            </w:r>
            <w:r w:rsidRPr="00525C01">
              <w:rPr>
                <w:color w:val="auto"/>
                <w:sz w:val="24"/>
                <w:szCs w:val="24"/>
              </w:rPr>
              <w:t>(</w:t>
            </w:r>
            <w:r w:rsidR="00BA6230" w:rsidRPr="00525C01">
              <w:rPr>
                <w:color w:val="auto"/>
                <w:sz w:val="24"/>
                <w:szCs w:val="24"/>
              </w:rPr>
              <w:t>33</w:t>
            </w:r>
            <w:r w:rsidR="00D57FFE" w:rsidRPr="00525C01">
              <w:rPr>
                <w:color w:val="auto"/>
                <w:sz w:val="24"/>
                <w:szCs w:val="24"/>
              </w:rPr>
              <w:t>%</w:t>
            </w:r>
            <w:r w:rsidRPr="00525C01">
              <w:rPr>
                <w:color w:val="auto"/>
                <w:sz w:val="24"/>
                <w:szCs w:val="24"/>
              </w:rPr>
              <w:t xml:space="preserve"> pieaugums</w:t>
            </w:r>
            <w:r w:rsidR="00D251B2" w:rsidRPr="00525C01">
              <w:rPr>
                <w:color w:val="auto"/>
                <w:sz w:val="24"/>
                <w:szCs w:val="24"/>
              </w:rPr>
              <w:t xml:space="preserve">, no 75 </w:t>
            </w:r>
            <w:proofErr w:type="spellStart"/>
            <w:r w:rsidR="00D251B2" w:rsidRPr="00525C01">
              <w:rPr>
                <w:color w:val="auto"/>
                <w:sz w:val="24"/>
                <w:szCs w:val="24"/>
              </w:rPr>
              <w:t>euro</w:t>
            </w:r>
            <w:proofErr w:type="spellEnd"/>
            <w:r w:rsidR="00D251B2" w:rsidRPr="00525C01">
              <w:rPr>
                <w:color w:val="auto"/>
                <w:sz w:val="24"/>
                <w:szCs w:val="24"/>
              </w:rPr>
              <w:t xml:space="preserve"> uz 100 </w:t>
            </w:r>
            <w:proofErr w:type="spellStart"/>
            <w:r w:rsidR="00D251B2" w:rsidRPr="00525C01">
              <w:rPr>
                <w:color w:val="auto"/>
                <w:sz w:val="24"/>
                <w:szCs w:val="24"/>
              </w:rPr>
              <w:t>euro</w:t>
            </w:r>
            <w:proofErr w:type="spellEnd"/>
            <w:r w:rsidRPr="00525C01">
              <w:rPr>
                <w:color w:val="auto"/>
                <w:sz w:val="24"/>
                <w:szCs w:val="24"/>
              </w:rPr>
              <w:t>)</w:t>
            </w:r>
            <w:r w:rsidR="00D57FFE" w:rsidRPr="00525C01">
              <w:rPr>
                <w:color w:val="auto"/>
                <w:sz w:val="24"/>
                <w:szCs w:val="24"/>
              </w:rPr>
              <w:t>;</w:t>
            </w:r>
          </w:p>
          <w:p w:rsidR="00D57FFE" w:rsidRPr="00525C01" w:rsidRDefault="008650B4" w:rsidP="00D57FFE">
            <w:pPr>
              <w:pStyle w:val="tv2131"/>
              <w:numPr>
                <w:ilvl w:val="0"/>
                <w:numId w:val="5"/>
              </w:numPr>
              <w:spacing w:line="240" w:lineRule="auto"/>
              <w:ind w:left="665"/>
              <w:jc w:val="both"/>
              <w:rPr>
                <w:color w:val="auto"/>
                <w:sz w:val="24"/>
                <w:szCs w:val="24"/>
              </w:rPr>
            </w:pPr>
            <w:r w:rsidRPr="00525C01">
              <w:rPr>
                <w:color w:val="auto"/>
                <w:sz w:val="24"/>
                <w:szCs w:val="24"/>
              </w:rPr>
              <w:t>p</w:t>
            </w:r>
            <w:r w:rsidR="00D57FFE" w:rsidRPr="00525C01">
              <w:rPr>
                <w:color w:val="auto"/>
                <w:sz w:val="24"/>
                <w:szCs w:val="24"/>
              </w:rPr>
              <w:t xml:space="preserve">ar pārstāvību tiesas sēdē – samaksas paaugstinājums par </w:t>
            </w:r>
            <w:r w:rsidRPr="00525C01">
              <w:rPr>
                <w:color w:val="auto"/>
                <w:sz w:val="24"/>
                <w:szCs w:val="24"/>
              </w:rPr>
              <w:t xml:space="preserve">10 </w:t>
            </w:r>
            <w:proofErr w:type="spellStart"/>
            <w:r w:rsidRPr="00525C01">
              <w:rPr>
                <w:color w:val="auto"/>
                <w:sz w:val="24"/>
                <w:szCs w:val="24"/>
              </w:rPr>
              <w:t>euro</w:t>
            </w:r>
            <w:proofErr w:type="spellEnd"/>
            <w:r w:rsidRPr="00525C01">
              <w:rPr>
                <w:color w:val="auto"/>
                <w:sz w:val="24"/>
                <w:szCs w:val="24"/>
              </w:rPr>
              <w:t xml:space="preserve"> (</w:t>
            </w:r>
            <w:r w:rsidR="00D57FFE" w:rsidRPr="00525C01">
              <w:rPr>
                <w:color w:val="auto"/>
                <w:sz w:val="24"/>
                <w:szCs w:val="24"/>
              </w:rPr>
              <w:t>33%</w:t>
            </w:r>
            <w:r w:rsidRPr="00525C01">
              <w:rPr>
                <w:color w:val="auto"/>
                <w:sz w:val="24"/>
                <w:szCs w:val="24"/>
              </w:rPr>
              <w:t xml:space="preserve"> pieaugums</w:t>
            </w:r>
            <w:r w:rsidR="00D251B2" w:rsidRPr="00525C01">
              <w:rPr>
                <w:color w:val="auto"/>
                <w:sz w:val="24"/>
                <w:szCs w:val="24"/>
              </w:rPr>
              <w:t xml:space="preserve">, no 30 </w:t>
            </w:r>
            <w:proofErr w:type="spellStart"/>
            <w:r w:rsidR="00D251B2" w:rsidRPr="00525C01">
              <w:rPr>
                <w:color w:val="auto"/>
                <w:sz w:val="24"/>
                <w:szCs w:val="24"/>
              </w:rPr>
              <w:t>euro</w:t>
            </w:r>
            <w:proofErr w:type="spellEnd"/>
            <w:r w:rsidR="00D251B2" w:rsidRPr="00525C01">
              <w:rPr>
                <w:color w:val="auto"/>
                <w:sz w:val="24"/>
                <w:szCs w:val="24"/>
              </w:rPr>
              <w:t xml:space="preserve"> uz 40 </w:t>
            </w:r>
            <w:proofErr w:type="spellStart"/>
            <w:r w:rsidR="00D251B2" w:rsidRPr="00525C01">
              <w:rPr>
                <w:color w:val="auto"/>
                <w:sz w:val="24"/>
                <w:szCs w:val="24"/>
              </w:rPr>
              <w:t>euro</w:t>
            </w:r>
            <w:proofErr w:type="spellEnd"/>
            <w:r w:rsidRPr="00525C01">
              <w:rPr>
                <w:color w:val="auto"/>
                <w:sz w:val="24"/>
                <w:szCs w:val="24"/>
              </w:rPr>
              <w:t>)</w:t>
            </w:r>
            <w:r w:rsidR="00D57FFE" w:rsidRPr="00525C01">
              <w:rPr>
                <w:color w:val="auto"/>
                <w:sz w:val="24"/>
                <w:szCs w:val="24"/>
              </w:rPr>
              <w:t>.</w:t>
            </w:r>
          </w:p>
          <w:p w:rsidR="002E2543" w:rsidRPr="00525C01" w:rsidRDefault="00925E21" w:rsidP="002E2543">
            <w:pPr>
              <w:spacing w:after="0" w:line="240" w:lineRule="auto"/>
              <w:ind w:firstLine="254"/>
              <w:jc w:val="both"/>
              <w:rPr>
                <w:rFonts w:ascii="Times New Roman" w:hAnsi="Times New Roman" w:cs="Times New Roman"/>
                <w:sz w:val="24"/>
                <w:szCs w:val="24"/>
              </w:rPr>
            </w:pPr>
            <w:r w:rsidRPr="00525C01">
              <w:rPr>
                <w:rFonts w:ascii="Times New Roman" w:hAnsi="Times New Roman" w:cs="Times New Roman"/>
                <w:sz w:val="24"/>
                <w:szCs w:val="24"/>
              </w:rPr>
              <w:t>Minētās pozīcijas ir izvēlētas,</w:t>
            </w:r>
            <w:r w:rsidR="00506D83" w:rsidRPr="00525C01">
              <w:rPr>
                <w:rFonts w:ascii="Times New Roman" w:hAnsi="Times New Roman" w:cs="Times New Roman"/>
                <w:sz w:val="24"/>
                <w:szCs w:val="24"/>
              </w:rPr>
              <w:t xml:space="preserve"> vērtējot </w:t>
            </w:r>
            <w:r w:rsidR="008650B4" w:rsidRPr="00525C01">
              <w:rPr>
                <w:rFonts w:ascii="Times New Roman" w:hAnsi="Times New Roman" w:cs="Times New Roman"/>
                <w:sz w:val="24"/>
                <w:szCs w:val="24"/>
              </w:rPr>
              <w:t xml:space="preserve">minēto dokumentu sagatavošanas sarežģītību un ieguldīto laiku </w:t>
            </w:r>
            <w:proofErr w:type="gramStart"/>
            <w:r w:rsidR="008650B4" w:rsidRPr="00525C01">
              <w:rPr>
                <w:rFonts w:ascii="Times New Roman" w:hAnsi="Times New Roman" w:cs="Times New Roman"/>
                <w:sz w:val="24"/>
                <w:szCs w:val="24"/>
              </w:rPr>
              <w:t>gan dokumentu sagatavošanā, gan pārstāvībai tiesas sēdēs</w:t>
            </w:r>
            <w:proofErr w:type="gramEnd"/>
            <w:r w:rsidR="008650B4" w:rsidRPr="00525C01">
              <w:rPr>
                <w:rFonts w:ascii="Times New Roman" w:hAnsi="Times New Roman" w:cs="Times New Roman"/>
                <w:sz w:val="24"/>
                <w:szCs w:val="24"/>
              </w:rPr>
              <w:t xml:space="preserve">. Tāpat tika vērtētas </w:t>
            </w:r>
            <w:r w:rsidR="00506D83" w:rsidRPr="00525C01">
              <w:rPr>
                <w:rFonts w:ascii="Times New Roman" w:hAnsi="Times New Roman" w:cs="Times New Roman"/>
                <w:sz w:val="24"/>
                <w:szCs w:val="24"/>
              </w:rPr>
              <w:t>šā brīža zvērinātu advokātu sniegto pakalpojumu tirgus cenas,</w:t>
            </w:r>
            <w:r w:rsidR="008650B4" w:rsidRPr="00525C01">
              <w:rPr>
                <w:rFonts w:ascii="Times New Roman" w:hAnsi="Times New Roman" w:cs="Times New Roman"/>
                <w:sz w:val="24"/>
                <w:szCs w:val="24"/>
              </w:rPr>
              <w:t xml:space="preserve"> kas parāda, ka tieši šajās </w:t>
            </w:r>
            <w:r w:rsidR="001112E1" w:rsidRPr="00525C01">
              <w:rPr>
                <w:rFonts w:ascii="Times New Roman" w:hAnsi="Times New Roman" w:cs="Times New Roman"/>
                <w:sz w:val="24"/>
                <w:szCs w:val="24"/>
              </w:rPr>
              <w:t xml:space="preserve">sniegtās juridiskās palīdzības pozīcijās </w:t>
            </w:r>
            <w:r w:rsidRPr="00525C01">
              <w:rPr>
                <w:rFonts w:ascii="Times New Roman" w:hAnsi="Times New Roman" w:cs="Times New Roman"/>
                <w:sz w:val="24"/>
                <w:szCs w:val="24"/>
              </w:rPr>
              <w:t xml:space="preserve">tā sauktā tirgus cena </w:t>
            </w:r>
            <w:r w:rsidR="001112E1" w:rsidRPr="00525C01">
              <w:rPr>
                <w:rFonts w:ascii="Times New Roman" w:hAnsi="Times New Roman" w:cs="Times New Roman"/>
                <w:sz w:val="24"/>
                <w:szCs w:val="24"/>
              </w:rPr>
              <w:t>ir salīdzinoši augstāka</w:t>
            </w:r>
            <w:r w:rsidR="00506D83" w:rsidRPr="00525C01">
              <w:rPr>
                <w:rFonts w:ascii="Times New Roman" w:hAnsi="Times New Roman" w:cs="Times New Roman"/>
                <w:sz w:val="24"/>
                <w:szCs w:val="24"/>
              </w:rPr>
              <w:t>. Tieslietu ministrijas ieskatā šāds atlīdzības paaugstinājuma risinājums ir taisnīgākais un efektīvākais</w:t>
            </w:r>
            <w:r w:rsidRPr="00525C01">
              <w:rPr>
                <w:rFonts w:ascii="Times New Roman" w:hAnsi="Times New Roman" w:cs="Times New Roman"/>
                <w:sz w:val="24"/>
                <w:szCs w:val="24"/>
              </w:rPr>
              <w:t>,</w:t>
            </w:r>
            <w:r w:rsidR="00506D83" w:rsidRPr="00525C01">
              <w:rPr>
                <w:rFonts w:ascii="Times New Roman" w:hAnsi="Times New Roman" w:cs="Times New Roman"/>
                <w:sz w:val="24"/>
                <w:szCs w:val="24"/>
              </w:rPr>
              <w:t xml:space="preserve"> ņemot vērā</w:t>
            </w:r>
            <w:r w:rsidR="002E2543" w:rsidRPr="00525C01">
              <w:rPr>
                <w:rFonts w:ascii="Times New Roman" w:hAnsi="Times New Roman" w:cs="Times New Roman"/>
                <w:sz w:val="24"/>
                <w:szCs w:val="24"/>
              </w:rPr>
              <w:t xml:space="preserve"> šobrīd</w:t>
            </w:r>
            <w:r w:rsidR="00506D83" w:rsidRPr="00525C01">
              <w:rPr>
                <w:rFonts w:ascii="Times New Roman" w:hAnsi="Times New Roman" w:cs="Times New Roman"/>
                <w:sz w:val="24"/>
                <w:szCs w:val="24"/>
              </w:rPr>
              <w:t xml:space="preserve"> pieejamos valsts budžeta līdzekļus.</w:t>
            </w:r>
            <w:r w:rsidR="002E2543" w:rsidRPr="00525C01">
              <w:rPr>
                <w:rFonts w:ascii="Times New Roman" w:hAnsi="Times New Roman" w:cs="Times New Roman"/>
                <w:sz w:val="24"/>
                <w:szCs w:val="24"/>
              </w:rPr>
              <w:t xml:space="preserve"> </w:t>
            </w:r>
          </w:p>
          <w:p w:rsidR="00D14338" w:rsidRPr="00525C01" w:rsidRDefault="00D14338" w:rsidP="00D14338">
            <w:pPr>
              <w:spacing w:after="0" w:line="240" w:lineRule="auto"/>
              <w:ind w:firstLine="541"/>
              <w:contextualSpacing/>
              <w:jc w:val="both"/>
              <w:rPr>
                <w:rFonts w:ascii="Times New Roman" w:eastAsia="Times New Roman" w:hAnsi="Times New Roman" w:cs="Times New Roman"/>
                <w:sz w:val="24"/>
                <w:szCs w:val="24"/>
                <w:lang w:eastAsia="lv-LV"/>
              </w:rPr>
            </w:pPr>
            <w:r w:rsidRPr="00525C01">
              <w:rPr>
                <w:rFonts w:ascii="Times New Roman" w:eastAsia="Times New Roman" w:hAnsi="Times New Roman" w:cs="Times New Roman"/>
                <w:sz w:val="24"/>
                <w:szCs w:val="24"/>
                <w:lang w:eastAsia="lv-LV"/>
              </w:rPr>
              <w:t xml:space="preserve">Noteikumu projekta īstenošanu </w:t>
            </w:r>
            <w:proofErr w:type="gramStart"/>
            <w:r w:rsidRPr="00525C01">
              <w:rPr>
                <w:rFonts w:ascii="Times New Roman" w:eastAsia="Times New Roman" w:hAnsi="Times New Roman" w:cs="Times New Roman"/>
                <w:sz w:val="24"/>
                <w:szCs w:val="24"/>
                <w:lang w:eastAsia="lv-LV"/>
              </w:rPr>
              <w:t>2018.gadā</w:t>
            </w:r>
            <w:proofErr w:type="gramEnd"/>
            <w:r w:rsidRPr="00525C01">
              <w:rPr>
                <w:rFonts w:ascii="Times New Roman" w:eastAsia="Times New Roman" w:hAnsi="Times New Roman" w:cs="Times New Roman"/>
                <w:sz w:val="24"/>
                <w:szCs w:val="24"/>
                <w:lang w:eastAsia="lv-LV"/>
              </w:rPr>
              <w:t xml:space="preserve"> un turpmākajos gados Juridiskās palīdzības administrācija nodrošinās piešķirto valsts budžeta līdzekļu ietvaros. Minētajai iniciatīvai papildus valsts budžeta līdzekļi netiks pieprasīti.</w:t>
            </w:r>
          </w:p>
          <w:p w:rsidR="006F7336" w:rsidRPr="00525C01" w:rsidRDefault="00D14338" w:rsidP="002E2543">
            <w:pPr>
              <w:spacing w:after="0" w:line="240" w:lineRule="auto"/>
              <w:ind w:firstLine="254"/>
              <w:jc w:val="both"/>
              <w:rPr>
                <w:rFonts w:ascii="Times New Roman" w:eastAsia="Times New Roman" w:hAnsi="Times New Roman" w:cs="Times New Roman"/>
                <w:sz w:val="24"/>
                <w:szCs w:val="24"/>
                <w:lang w:eastAsia="lv-LV"/>
              </w:rPr>
            </w:pPr>
            <w:r w:rsidRPr="00525C01">
              <w:rPr>
                <w:rFonts w:ascii="Times New Roman" w:eastAsia="Times New Roman" w:hAnsi="Times New Roman" w:cs="Times New Roman"/>
                <w:sz w:val="24"/>
                <w:szCs w:val="24"/>
                <w:lang w:eastAsia="lv-LV"/>
              </w:rPr>
              <w:t>Ņemot vērā Juridiskās palīdzības administrācijas budžeta plānošanu un iespējas, kā arī t</w:t>
            </w:r>
            <w:r w:rsidR="002E2543" w:rsidRPr="00525C01">
              <w:rPr>
                <w:rFonts w:ascii="Times New Roman" w:eastAsia="Times New Roman" w:hAnsi="Times New Roman" w:cs="Times New Roman"/>
                <w:sz w:val="24"/>
                <w:szCs w:val="24"/>
                <w:lang w:eastAsia="lv-LV"/>
              </w:rPr>
              <w:t>o,</w:t>
            </w:r>
            <w:r w:rsidRPr="00525C01">
              <w:rPr>
                <w:rFonts w:ascii="Times New Roman" w:hAnsi="Times New Roman" w:cs="Times New Roman"/>
                <w:sz w:val="24"/>
                <w:szCs w:val="24"/>
              </w:rPr>
              <w:t xml:space="preserve"> k</w:t>
            </w:r>
            <w:r w:rsidR="002E2543" w:rsidRPr="00525C01">
              <w:rPr>
                <w:rFonts w:ascii="Times New Roman" w:hAnsi="Times New Roman" w:cs="Times New Roman"/>
                <w:sz w:val="24"/>
                <w:szCs w:val="24"/>
              </w:rPr>
              <w:t>a</w:t>
            </w:r>
            <w:r w:rsidRPr="00525C01">
              <w:rPr>
                <w:rFonts w:ascii="Times New Roman" w:hAnsi="Times New Roman" w:cs="Times New Roman"/>
                <w:sz w:val="24"/>
                <w:szCs w:val="24"/>
              </w:rPr>
              <w:t xml:space="preserve"> ar Noteikumu projektu paredzēts mainīt atlīdzības takses par valsts nodrošinātās juridiskās palīdzības sniegšanu, ir nepieciešams paredzēt konkrētu atskaites punktu,</w:t>
            </w:r>
            <w:r w:rsidR="00174A5F" w:rsidRPr="00525C01">
              <w:rPr>
                <w:rFonts w:ascii="Times New Roman" w:hAnsi="Times New Roman" w:cs="Times New Roman"/>
                <w:sz w:val="24"/>
                <w:szCs w:val="24"/>
              </w:rPr>
              <w:t xml:space="preserve"> </w:t>
            </w:r>
            <w:r w:rsidRPr="00525C01">
              <w:rPr>
                <w:rFonts w:ascii="Times New Roman" w:hAnsi="Times New Roman" w:cs="Times New Roman"/>
                <w:sz w:val="24"/>
                <w:szCs w:val="24"/>
              </w:rPr>
              <w:t xml:space="preserve">no kura tiks piemērotas jaunās takses, lai </w:t>
            </w:r>
            <w:r w:rsidR="00174A5F" w:rsidRPr="00525C01">
              <w:rPr>
                <w:rFonts w:ascii="Times New Roman" w:hAnsi="Times New Roman" w:cs="Times New Roman"/>
                <w:sz w:val="24"/>
                <w:szCs w:val="24"/>
              </w:rPr>
              <w:t>Juridiskās palīdzības a</w:t>
            </w:r>
            <w:r w:rsidRPr="00525C01">
              <w:rPr>
                <w:rFonts w:ascii="Times New Roman" w:hAnsi="Times New Roman" w:cs="Times New Roman"/>
                <w:sz w:val="24"/>
                <w:szCs w:val="24"/>
              </w:rPr>
              <w:t>dministrācijai un valsts nodrošinātās juridiskās palīdzības sniedzējiem nerastos atlīdzības aprēķināšanas problēmas, ja valsts nodrošinātā juridiskā palīdzība vienas lietas ietvaros tiks sniegta gan pirms</w:t>
            </w:r>
            <w:r w:rsidR="00F86C0F" w:rsidRPr="00525C01">
              <w:rPr>
                <w:rFonts w:ascii="Times New Roman" w:hAnsi="Times New Roman" w:cs="Times New Roman"/>
                <w:sz w:val="24"/>
                <w:szCs w:val="24"/>
              </w:rPr>
              <w:t>, gan pēc</w:t>
            </w:r>
            <w:r w:rsidRPr="00525C01">
              <w:rPr>
                <w:rFonts w:ascii="Times New Roman" w:hAnsi="Times New Roman" w:cs="Times New Roman"/>
                <w:sz w:val="24"/>
                <w:szCs w:val="24"/>
              </w:rPr>
              <w:t xml:space="preserve"> Noteikumu projekta spēkā stāšanās. </w:t>
            </w:r>
            <w:r w:rsidR="00174A5F" w:rsidRPr="00525C01">
              <w:rPr>
                <w:rFonts w:ascii="Times New Roman" w:hAnsi="Times New Roman" w:cs="Times New Roman"/>
                <w:sz w:val="24"/>
                <w:szCs w:val="24"/>
              </w:rPr>
              <w:t xml:space="preserve">Paredzams, ka </w:t>
            </w:r>
            <w:r w:rsidRPr="00525C01">
              <w:rPr>
                <w:rFonts w:ascii="Times New Roman" w:eastAsia="Times New Roman" w:hAnsi="Times New Roman" w:cs="Times New Roman"/>
                <w:sz w:val="24"/>
                <w:szCs w:val="24"/>
                <w:lang w:eastAsia="lv-LV"/>
              </w:rPr>
              <w:t>Noteikumu projekt</w:t>
            </w:r>
            <w:r w:rsidR="00174A5F" w:rsidRPr="00525C01">
              <w:rPr>
                <w:rFonts w:ascii="Times New Roman" w:eastAsia="Times New Roman" w:hAnsi="Times New Roman" w:cs="Times New Roman"/>
                <w:sz w:val="24"/>
                <w:szCs w:val="24"/>
                <w:lang w:eastAsia="lv-LV"/>
              </w:rPr>
              <w:t>s</w:t>
            </w:r>
            <w:r w:rsidRPr="00525C01">
              <w:rPr>
                <w:rFonts w:ascii="Times New Roman" w:eastAsia="Times New Roman" w:hAnsi="Times New Roman" w:cs="Times New Roman"/>
                <w:sz w:val="24"/>
                <w:szCs w:val="24"/>
                <w:lang w:eastAsia="lv-LV"/>
              </w:rPr>
              <w:t xml:space="preserve"> stājas spēkā ar 2018.gada 1.martu.</w:t>
            </w:r>
          </w:p>
          <w:p w:rsidR="000260E6" w:rsidRPr="00525C01" w:rsidRDefault="000260E6" w:rsidP="002E2543">
            <w:pPr>
              <w:spacing w:after="0" w:line="240" w:lineRule="auto"/>
              <w:ind w:firstLine="254"/>
              <w:jc w:val="both"/>
              <w:rPr>
                <w:rFonts w:ascii="Times New Roman" w:hAnsi="Times New Roman" w:cs="Times New Roman"/>
                <w:sz w:val="24"/>
                <w:szCs w:val="24"/>
              </w:rPr>
            </w:pPr>
            <w:r w:rsidRPr="00525C01">
              <w:rPr>
                <w:rFonts w:ascii="Times New Roman" w:hAnsi="Times New Roman" w:cs="Times New Roman"/>
                <w:sz w:val="24"/>
                <w:szCs w:val="24"/>
              </w:rPr>
              <w:t>Papildus noteikumu projekts skaidrākai</w:t>
            </w:r>
            <w:r w:rsidR="00A85623">
              <w:rPr>
                <w:rFonts w:ascii="Times New Roman" w:hAnsi="Times New Roman" w:cs="Times New Roman"/>
                <w:sz w:val="24"/>
                <w:szCs w:val="24"/>
              </w:rPr>
              <w:t xml:space="preserve"> Noteikumu Nr.1493</w:t>
            </w:r>
            <w:r w:rsidRPr="00525C01">
              <w:rPr>
                <w:rFonts w:ascii="Times New Roman" w:hAnsi="Times New Roman" w:cs="Times New Roman"/>
                <w:sz w:val="24"/>
                <w:szCs w:val="24"/>
              </w:rPr>
              <w:t xml:space="preserve"> normu piemērošanai paredz precizēt Noteikumu Nr.1493 atsevišķus punktus, kā piemēram:</w:t>
            </w:r>
          </w:p>
          <w:p w:rsidR="00525C01" w:rsidRPr="00525C01" w:rsidRDefault="00525C01" w:rsidP="00525C01">
            <w:pPr>
              <w:pStyle w:val="Sarakstarindkopa"/>
              <w:numPr>
                <w:ilvl w:val="0"/>
                <w:numId w:val="7"/>
              </w:numPr>
              <w:ind w:left="0" w:firstLine="360"/>
              <w:jc w:val="both"/>
              <w:rPr>
                <w:rFonts w:ascii="Times New Roman" w:hAnsi="Times New Roman"/>
                <w:sz w:val="24"/>
                <w:szCs w:val="24"/>
              </w:rPr>
            </w:pPr>
            <w:r w:rsidRPr="00525C01">
              <w:rPr>
                <w:rFonts w:ascii="Times New Roman" w:hAnsi="Times New Roman"/>
                <w:sz w:val="24"/>
                <w:szCs w:val="24"/>
              </w:rPr>
              <w:lastRenderedPageBreak/>
              <w:t xml:space="preserve">2.2.apakšpunktu nepieciešams precizēt, jo juridiskās palīdzības sniedzēji nereti pārstāv klientus uz izsniegtas pilnvaras pamata, </w:t>
            </w:r>
            <w:proofErr w:type="gramStart"/>
            <w:r w:rsidRPr="00525C01">
              <w:rPr>
                <w:rFonts w:ascii="Times New Roman" w:hAnsi="Times New Roman"/>
                <w:sz w:val="24"/>
                <w:szCs w:val="24"/>
              </w:rPr>
              <w:t>t.i.</w:t>
            </w:r>
            <w:proofErr w:type="gramEnd"/>
            <w:r w:rsidRPr="00525C01">
              <w:rPr>
                <w:rFonts w:ascii="Times New Roman" w:hAnsi="Times New Roman"/>
                <w:sz w:val="24"/>
                <w:szCs w:val="24"/>
              </w:rPr>
              <w:t xml:space="preserve"> atvietojot personu, kas ir pušu savstarpējās privāttiesiskās attiecības. Valsts nodrošinātās juridiskās palīdzības likums un procesuālie normatīvie akti (Civilprocesa likums un Administratīvā procesa likums) paredz valsts nodrošinātās juridiskās palīdzības sniegšanas pamatu – iestādes izdotu lēmumu vai norīkojumu, kas dod tiesības sniedzējam iepazīties ar lietas materiāliem, tiesas sēdē sniegt juridisko palīdzību – uzdot jautājumus lietas dalībniekiem, piedalīties pierādījumu novērtēšanā un tiesu debatēs, taču procesuāli neatvietojot personu. Nereti personām ir objektīvie šķēršļi piedalīties tiesas sēdē. Šādos gadījumos personām, norādot uz šiem šķēršļiem, ir tiesības lūgt lietu skatīt bez to klātbūtnes un, piemēram, paskaidrojumus iesniegt </w:t>
            </w:r>
            <w:proofErr w:type="spellStart"/>
            <w:r w:rsidRPr="00525C01">
              <w:rPr>
                <w:rFonts w:ascii="Times New Roman" w:hAnsi="Times New Roman"/>
                <w:sz w:val="24"/>
                <w:szCs w:val="24"/>
              </w:rPr>
              <w:t>rakstveidā</w:t>
            </w:r>
            <w:proofErr w:type="spellEnd"/>
            <w:r w:rsidRPr="00525C01">
              <w:rPr>
                <w:rFonts w:ascii="Times New Roman" w:hAnsi="Times New Roman"/>
                <w:sz w:val="24"/>
                <w:szCs w:val="24"/>
              </w:rPr>
              <w:t>.  Pārstāvība ir viens no valsts nodrošinātās juridiskās palīdzības veidiem, kas nav identisks pilnvarojuma institūtam, tādējādi, lai izslēgtu dažādas interpretācijas iespējamību, būtu konkretizējams Noteikumu Nr.1493 2.2.apakšpunkts;</w:t>
            </w:r>
          </w:p>
          <w:p w:rsidR="000260E6" w:rsidRPr="00525C01" w:rsidRDefault="00A85623" w:rsidP="00525C01">
            <w:pPr>
              <w:pStyle w:val="Sarakstarindkopa"/>
              <w:numPr>
                <w:ilvl w:val="0"/>
                <w:numId w:val="7"/>
              </w:numPr>
              <w:ind w:left="0" w:firstLine="360"/>
              <w:jc w:val="both"/>
              <w:rPr>
                <w:rFonts w:ascii="Times New Roman" w:hAnsi="Times New Roman"/>
                <w:sz w:val="24"/>
                <w:szCs w:val="24"/>
              </w:rPr>
            </w:pPr>
            <w:r>
              <w:rPr>
                <w:rFonts w:ascii="Times New Roman" w:hAnsi="Times New Roman"/>
                <w:sz w:val="24"/>
                <w:szCs w:val="24"/>
              </w:rPr>
              <w:t>9.5.apakšpunktu. Precizējums nepieciešams</w:t>
            </w:r>
            <w:r w:rsidR="00525C01" w:rsidRPr="00525C01">
              <w:rPr>
                <w:rFonts w:ascii="Times New Roman" w:hAnsi="Times New Roman"/>
                <w:sz w:val="24"/>
                <w:szCs w:val="24"/>
              </w:rPr>
              <w:t>, lai</w:t>
            </w:r>
            <w:r>
              <w:rPr>
                <w:rFonts w:ascii="Times New Roman" w:hAnsi="Times New Roman"/>
                <w:sz w:val="24"/>
                <w:szCs w:val="24"/>
              </w:rPr>
              <w:t>,</w:t>
            </w:r>
            <w:r w:rsidR="00525C01" w:rsidRPr="00525C01">
              <w:rPr>
                <w:rFonts w:ascii="Times New Roman" w:hAnsi="Times New Roman"/>
                <w:sz w:val="24"/>
                <w:szCs w:val="24"/>
              </w:rPr>
              <w:t xml:space="preserve"> nodrošinot valsts nodrošinātās juridiskās palīdzības pieejamību un kvalitāti, juridiskās palīdzības sniedzējam, īstenojot personas tiesības, tiktu veikta samaksa par tāda dokumenta sastādīšanu, kas nepieciešams lietas izšķiršanai</w:t>
            </w:r>
            <w:r w:rsidR="00303642">
              <w:rPr>
                <w:rFonts w:ascii="Times New Roman" w:hAnsi="Times New Roman"/>
                <w:sz w:val="24"/>
                <w:szCs w:val="24"/>
              </w:rPr>
              <w:t xml:space="preserve"> </w:t>
            </w:r>
            <w:r w:rsidR="00525C01" w:rsidRPr="00525C01">
              <w:rPr>
                <w:rFonts w:ascii="Times New Roman" w:hAnsi="Times New Roman"/>
                <w:sz w:val="24"/>
                <w:szCs w:val="24"/>
              </w:rPr>
              <w:t xml:space="preserve">un tā sastādīšanai nepieciešamas juridiskas zināšanas, nevis informatīvu, piemēram, pavadvēstuļu vai cita veida dokumentu sagatavošanu, piemēram, dažāda veida lūgumu, kas nav saistīti ar speciālu procesuālu darbību veikšanu, juridisko pamatojumu un tml. (lūgums par tiesas sēdes atlikšanu). Šajos gadījumos </w:t>
            </w:r>
            <w:r w:rsidR="000A20DC">
              <w:rPr>
                <w:rFonts w:ascii="Times New Roman" w:hAnsi="Times New Roman"/>
                <w:sz w:val="24"/>
                <w:szCs w:val="24"/>
              </w:rPr>
              <w:t xml:space="preserve">Juridiskās palīdzības </w:t>
            </w:r>
            <w:r w:rsidR="00525C01" w:rsidRPr="00525C01">
              <w:rPr>
                <w:rFonts w:ascii="Times New Roman" w:hAnsi="Times New Roman"/>
                <w:sz w:val="24"/>
                <w:szCs w:val="24"/>
              </w:rPr>
              <w:t xml:space="preserve">administrācija atsaka veikt samaksu, taču attiecīgais noteikumu punkts ir interpretējams samērā plaši, tāpēc to nepieciešams konkretizēt, </w:t>
            </w:r>
            <w:r w:rsidR="000A20DC">
              <w:rPr>
                <w:rFonts w:ascii="Times New Roman" w:hAnsi="Times New Roman"/>
                <w:sz w:val="24"/>
                <w:szCs w:val="24"/>
              </w:rPr>
              <w:t>akcentējot</w:t>
            </w:r>
            <w:r w:rsidR="00525C01" w:rsidRPr="00525C01">
              <w:rPr>
                <w:rFonts w:ascii="Times New Roman" w:hAnsi="Times New Roman"/>
                <w:sz w:val="24"/>
                <w:szCs w:val="24"/>
              </w:rPr>
              <w:t xml:space="preserve"> juridiskās palīdzības mērķi, sniegt atbalstu personām tādu dokumentu sagatavošanā, kur būtu nepieciešamas tieši juridiskās palīdzības sniedzēja prasmes. Tādējādi, </w:t>
            </w:r>
            <w:r w:rsidR="000A20DC">
              <w:rPr>
                <w:rFonts w:ascii="Times New Roman" w:hAnsi="Times New Roman"/>
                <w:sz w:val="24"/>
                <w:szCs w:val="24"/>
              </w:rPr>
              <w:t xml:space="preserve">Juridiskās palīdzības </w:t>
            </w:r>
            <w:r w:rsidR="00525C01" w:rsidRPr="00525C01">
              <w:rPr>
                <w:rFonts w:ascii="Times New Roman" w:hAnsi="Times New Roman"/>
                <w:sz w:val="24"/>
                <w:szCs w:val="24"/>
              </w:rPr>
              <w:t xml:space="preserve">administrācija, veicot samaksu par dokumenta sastādīšanu, ņems vērā </w:t>
            </w:r>
            <w:r w:rsidR="000A20DC">
              <w:rPr>
                <w:rFonts w:ascii="Times New Roman" w:hAnsi="Times New Roman"/>
                <w:sz w:val="24"/>
                <w:szCs w:val="24"/>
              </w:rPr>
              <w:t>N</w:t>
            </w:r>
            <w:r w:rsidR="00525C01" w:rsidRPr="00525C01">
              <w:rPr>
                <w:rFonts w:ascii="Times New Roman" w:hAnsi="Times New Roman"/>
                <w:sz w:val="24"/>
                <w:szCs w:val="24"/>
              </w:rPr>
              <w:t>oteikumos Nr.1493 ietvertos kritērijus, proti, vai dokumenta sastādīšana ir nepieciešama lietas izšķiršanai un</w:t>
            </w:r>
            <w:r w:rsidR="00303642">
              <w:rPr>
                <w:rFonts w:ascii="Times New Roman" w:hAnsi="Times New Roman"/>
                <w:sz w:val="24"/>
                <w:szCs w:val="24"/>
              </w:rPr>
              <w:t xml:space="preserve"> vai</w:t>
            </w:r>
            <w:r w:rsidR="00525C01" w:rsidRPr="00525C01">
              <w:rPr>
                <w:rFonts w:ascii="Times New Roman" w:hAnsi="Times New Roman"/>
                <w:sz w:val="24"/>
                <w:szCs w:val="24"/>
              </w:rPr>
              <w:t xml:space="preserve"> tā sastādīšanai nepieciešamas juridiskas zināšanas;</w:t>
            </w:r>
          </w:p>
          <w:p w:rsidR="00525C01" w:rsidRPr="00525C01" w:rsidRDefault="000A20DC" w:rsidP="00525C01">
            <w:pPr>
              <w:pStyle w:val="Sarakstarindkopa"/>
              <w:numPr>
                <w:ilvl w:val="0"/>
                <w:numId w:val="7"/>
              </w:numPr>
              <w:ind w:left="0" w:firstLine="360"/>
              <w:jc w:val="both"/>
              <w:rPr>
                <w:rFonts w:ascii="Times New Roman" w:hAnsi="Times New Roman"/>
                <w:sz w:val="24"/>
                <w:szCs w:val="24"/>
              </w:rPr>
            </w:pPr>
            <w:r>
              <w:rPr>
                <w:rFonts w:ascii="Times New Roman" w:hAnsi="Times New Roman"/>
                <w:sz w:val="24"/>
                <w:szCs w:val="24"/>
              </w:rPr>
              <w:t>28.10.apakšpunktu. Precizējums nepieciešams</w:t>
            </w:r>
            <w:r w:rsidR="00525C01" w:rsidRPr="00525C01">
              <w:rPr>
                <w:rFonts w:ascii="Times New Roman" w:hAnsi="Times New Roman"/>
                <w:sz w:val="24"/>
                <w:szCs w:val="24"/>
              </w:rPr>
              <w:t xml:space="preserve">, lai nodrošinātu vienotu pieeju samaksas kritērijiem, proti, paredzot, ka </w:t>
            </w:r>
            <w:proofErr w:type="gramStart"/>
            <w:r w:rsidR="00525C01" w:rsidRPr="00525C01">
              <w:rPr>
                <w:rFonts w:ascii="Times New Roman" w:hAnsi="Times New Roman"/>
                <w:sz w:val="24"/>
                <w:szCs w:val="24"/>
              </w:rPr>
              <w:t>samaksu krimināllietās par iepazīšanos ar vienu krimināllietas materiālu sējumu veicama vienu reizi vienas tiesu instances ietvaros</w:t>
            </w:r>
            <w:proofErr w:type="gramEnd"/>
            <w:r w:rsidR="00525C01" w:rsidRPr="00525C01">
              <w:rPr>
                <w:rFonts w:ascii="Times New Roman" w:hAnsi="Times New Roman"/>
                <w:sz w:val="24"/>
                <w:szCs w:val="24"/>
              </w:rPr>
              <w:t xml:space="preserve"> tāpat kā samaksa tiek nodrošināta civillietās, administratīvajās lietās, pārrobežu strīdu lietās un lietās saskaņā ar Ārstniecības likumu. Tas nozīmē, ka samaksu par iepazīšanos ar attiecīgo krimināllietas materiālu sējumu atkārtoti vienas instances ietvaros neveiks, taču samaksa par iepazīšanos ar attiecīgo krimināllietas materiālu sējumu atkārtoti citā instancē </w:t>
            </w:r>
            <w:r>
              <w:rPr>
                <w:rFonts w:ascii="Times New Roman" w:hAnsi="Times New Roman"/>
                <w:sz w:val="24"/>
                <w:szCs w:val="24"/>
              </w:rPr>
              <w:t>tiks</w:t>
            </w:r>
            <w:r w:rsidR="00525C01" w:rsidRPr="00525C01">
              <w:rPr>
                <w:rFonts w:ascii="Times New Roman" w:hAnsi="Times New Roman"/>
                <w:sz w:val="24"/>
                <w:szCs w:val="24"/>
              </w:rPr>
              <w:t xml:space="preserve"> veikta, ievērojot to, ka lietas materiālu sējums var tikt būtiski papildināts. </w:t>
            </w:r>
          </w:p>
        </w:tc>
      </w:tr>
      <w:tr w:rsidR="00873A7C" w:rsidRPr="00873A7C" w:rsidTr="00670710">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lastRenderedPageBreak/>
              <w:t>3.</w:t>
            </w:r>
          </w:p>
        </w:tc>
        <w:tc>
          <w:tcPr>
            <w:tcW w:w="1154"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Projekta izstrādē iesaistītās institūcijas</w:t>
            </w:r>
          </w:p>
        </w:tc>
        <w:tc>
          <w:tcPr>
            <w:tcW w:w="3596" w:type="pct"/>
            <w:gridSpan w:val="3"/>
            <w:tcBorders>
              <w:top w:val="outset" w:sz="6" w:space="0" w:color="414142"/>
              <w:left w:val="outset" w:sz="6" w:space="0" w:color="414142"/>
              <w:bottom w:val="outset" w:sz="6" w:space="0" w:color="414142"/>
              <w:right w:val="outset" w:sz="6" w:space="0" w:color="414142"/>
            </w:tcBorders>
            <w:hideMark/>
          </w:tcPr>
          <w:p w:rsidR="004D15A9" w:rsidRPr="00AE6A25" w:rsidRDefault="00E2346A">
            <w:pPr>
              <w:spacing w:after="0" w:line="240" w:lineRule="auto"/>
              <w:ind w:firstLine="25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Juridiskās palīdzības a</w:t>
            </w:r>
            <w:r w:rsidR="00CA7F10" w:rsidRPr="00AE6A25">
              <w:rPr>
                <w:rFonts w:ascii="Times New Roman" w:eastAsia="Times New Roman" w:hAnsi="Times New Roman" w:cs="Times New Roman"/>
                <w:sz w:val="24"/>
                <w:szCs w:val="24"/>
                <w:lang w:eastAsia="lv-LV"/>
              </w:rPr>
              <w:t>dministrācija</w:t>
            </w:r>
            <w:r>
              <w:rPr>
                <w:rFonts w:ascii="Times New Roman" w:eastAsia="Times New Roman" w:hAnsi="Times New Roman" w:cs="Times New Roman"/>
                <w:sz w:val="24"/>
                <w:szCs w:val="24"/>
                <w:lang w:eastAsia="lv-LV"/>
              </w:rPr>
              <w:t>.</w:t>
            </w:r>
          </w:p>
        </w:tc>
      </w:tr>
      <w:tr w:rsidR="00873A7C" w:rsidRPr="00873A7C" w:rsidTr="00670710">
        <w:tc>
          <w:tcPr>
            <w:tcW w:w="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lastRenderedPageBreak/>
              <w:t>4.</w:t>
            </w:r>
          </w:p>
        </w:tc>
        <w:tc>
          <w:tcPr>
            <w:tcW w:w="1154"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Cita informācija</w:t>
            </w:r>
          </w:p>
        </w:tc>
        <w:tc>
          <w:tcPr>
            <w:tcW w:w="3596" w:type="pct"/>
            <w:gridSpan w:val="3"/>
            <w:tcBorders>
              <w:top w:val="outset" w:sz="6" w:space="0" w:color="414142"/>
              <w:left w:val="outset" w:sz="6" w:space="0" w:color="414142"/>
              <w:bottom w:val="outset" w:sz="6" w:space="0" w:color="414142"/>
              <w:right w:val="outset" w:sz="6" w:space="0" w:color="414142"/>
            </w:tcBorders>
            <w:hideMark/>
          </w:tcPr>
          <w:p w:rsidR="004D15A9" w:rsidRPr="00873A7C" w:rsidRDefault="00CA7F10">
            <w:pPr>
              <w:spacing w:after="0" w:line="240" w:lineRule="auto"/>
              <w:ind w:firstLine="254"/>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Nav.</w:t>
            </w:r>
          </w:p>
        </w:tc>
      </w:tr>
      <w:tr w:rsidR="00873A7C" w:rsidRPr="00873A7C" w:rsidTr="00670710">
        <w:trPr>
          <w:trHeight w:val="128"/>
        </w:trPr>
        <w:tc>
          <w:tcPr>
            <w:tcW w:w="5000" w:type="pct"/>
            <w:gridSpan w:val="5"/>
            <w:tcBorders>
              <w:top w:val="outset" w:sz="6" w:space="0" w:color="414142"/>
              <w:left w:val="nil"/>
              <w:bottom w:val="outset" w:sz="6" w:space="0" w:color="414142"/>
              <w:right w:val="nil"/>
            </w:tcBorders>
          </w:tcPr>
          <w:p w:rsidR="00031256" w:rsidRPr="00873A7C" w:rsidRDefault="0081203F" w:rsidP="00873A7C">
            <w:pPr>
              <w:tabs>
                <w:tab w:val="left" w:pos="990"/>
              </w:tabs>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ab/>
            </w:r>
          </w:p>
          <w:p w:rsidR="00F96A3A" w:rsidRPr="00873A7C" w:rsidRDefault="00F96A3A" w:rsidP="008833CD">
            <w:pPr>
              <w:tabs>
                <w:tab w:val="left" w:pos="990"/>
              </w:tabs>
              <w:spacing w:after="0" w:line="240" w:lineRule="auto"/>
              <w:rPr>
                <w:rFonts w:ascii="Times New Roman" w:eastAsia="Times New Roman" w:hAnsi="Times New Roman" w:cs="Times New Roman"/>
                <w:sz w:val="24"/>
                <w:szCs w:val="24"/>
                <w:lang w:eastAsia="lv-LV"/>
              </w:rPr>
            </w:pPr>
          </w:p>
        </w:tc>
      </w:tr>
      <w:tr w:rsidR="00873A7C" w:rsidRPr="00873A7C" w:rsidTr="00670710">
        <w:trPr>
          <w:trHeight w:val="555"/>
        </w:trPr>
        <w:tc>
          <w:tcPr>
            <w:tcW w:w="5000" w:type="pct"/>
            <w:gridSpan w:val="5"/>
            <w:tcBorders>
              <w:top w:val="nil"/>
              <w:left w:val="outset" w:sz="6" w:space="0" w:color="414142"/>
              <w:bottom w:val="outset" w:sz="6" w:space="0" w:color="414142"/>
              <w:right w:val="outset" w:sz="6" w:space="0" w:color="414142"/>
            </w:tcBorders>
            <w:vAlign w:val="center"/>
            <w:hideMark/>
          </w:tcPr>
          <w:p w:rsidR="004D15A9" w:rsidRPr="00873A7C" w:rsidRDefault="004D15A9" w:rsidP="00873A7C">
            <w:pPr>
              <w:spacing w:after="0" w:line="240" w:lineRule="auto"/>
              <w:jc w:val="center"/>
              <w:rPr>
                <w:rFonts w:ascii="Times New Roman" w:eastAsia="Times New Roman" w:hAnsi="Times New Roman" w:cs="Times New Roman"/>
                <w:b/>
                <w:bCs/>
                <w:sz w:val="24"/>
                <w:szCs w:val="24"/>
                <w:lang w:eastAsia="lv-LV"/>
              </w:rPr>
            </w:pPr>
            <w:r w:rsidRPr="00873A7C">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873A7C" w:rsidTr="00670710">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1.</w:t>
            </w:r>
          </w:p>
        </w:tc>
        <w:tc>
          <w:tcPr>
            <w:tcW w:w="1390" w:type="pct"/>
            <w:gridSpan w:val="3"/>
            <w:tcBorders>
              <w:top w:val="outset" w:sz="6" w:space="0" w:color="414142"/>
              <w:left w:val="outset" w:sz="6" w:space="0" w:color="414142"/>
              <w:bottom w:val="outset" w:sz="6" w:space="0" w:color="414142"/>
              <w:right w:val="outset" w:sz="6" w:space="0" w:color="414142"/>
            </w:tcBorders>
            <w:hideMark/>
          </w:tcPr>
          <w:p w:rsidR="004D15A9" w:rsidRPr="00873A7C" w:rsidRDefault="004D15A9"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 xml:space="preserve">Sabiedrības </w:t>
            </w:r>
            <w:proofErr w:type="spellStart"/>
            <w:r w:rsidRPr="00873A7C">
              <w:rPr>
                <w:rFonts w:ascii="Times New Roman" w:eastAsia="Times New Roman" w:hAnsi="Times New Roman" w:cs="Times New Roman"/>
                <w:sz w:val="24"/>
                <w:szCs w:val="24"/>
                <w:lang w:eastAsia="lv-LV"/>
              </w:rPr>
              <w:t>mērķgrupas</w:t>
            </w:r>
            <w:proofErr w:type="spellEnd"/>
            <w:r w:rsidRPr="00873A7C">
              <w:rPr>
                <w:rFonts w:ascii="Times New Roman" w:eastAsia="Times New Roman" w:hAnsi="Times New Roman" w:cs="Times New Roman"/>
                <w:sz w:val="24"/>
                <w:szCs w:val="24"/>
                <w:lang w:eastAsia="lv-LV"/>
              </w:rPr>
              <w:t>, kuras tiesiskais regulējums ietekmē</w:t>
            </w:r>
            <w:proofErr w:type="gramStart"/>
            <w:r w:rsidRPr="00873A7C">
              <w:rPr>
                <w:rFonts w:ascii="Times New Roman" w:eastAsia="Times New Roman" w:hAnsi="Times New Roman" w:cs="Times New Roman"/>
                <w:sz w:val="24"/>
                <w:szCs w:val="24"/>
                <w:lang w:eastAsia="lv-LV"/>
              </w:rPr>
              <w:t xml:space="preserve"> vai varētu ietekmēt</w:t>
            </w:r>
            <w:proofErr w:type="gramEnd"/>
          </w:p>
        </w:tc>
        <w:tc>
          <w:tcPr>
            <w:tcW w:w="3360" w:type="pct"/>
            <w:tcBorders>
              <w:top w:val="outset" w:sz="6" w:space="0" w:color="414142"/>
              <w:left w:val="outset" w:sz="6" w:space="0" w:color="414142"/>
              <w:bottom w:val="outset" w:sz="6" w:space="0" w:color="414142"/>
              <w:right w:val="outset" w:sz="6" w:space="0" w:color="414142"/>
            </w:tcBorders>
            <w:hideMark/>
          </w:tcPr>
          <w:p w:rsidR="00EE3E3D" w:rsidRDefault="00EE3E3D" w:rsidP="002E1DA3">
            <w:pPr>
              <w:spacing w:after="0" w:line="240" w:lineRule="auto"/>
              <w:ind w:firstLine="245"/>
              <w:jc w:val="both"/>
              <w:rPr>
                <w:rFonts w:ascii="Times New Roman" w:hAnsi="Times New Roman"/>
                <w:iCs/>
                <w:sz w:val="24"/>
                <w:szCs w:val="24"/>
              </w:rPr>
            </w:pPr>
            <w:r w:rsidRPr="00AB548F">
              <w:rPr>
                <w:rFonts w:ascii="Times New Roman" w:hAnsi="Times New Roman"/>
                <w:iCs/>
                <w:sz w:val="24"/>
                <w:szCs w:val="24"/>
              </w:rPr>
              <w:t xml:space="preserve">Sabiedrības </w:t>
            </w:r>
            <w:proofErr w:type="spellStart"/>
            <w:r w:rsidRPr="00AB548F">
              <w:rPr>
                <w:rFonts w:ascii="Times New Roman" w:hAnsi="Times New Roman"/>
                <w:iCs/>
                <w:sz w:val="24"/>
                <w:szCs w:val="24"/>
              </w:rPr>
              <w:t>mērķgrupa</w:t>
            </w:r>
            <w:proofErr w:type="spellEnd"/>
            <w:r>
              <w:rPr>
                <w:rFonts w:ascii="Times New Roman" w:hAnsi="Times New Roman"/>
                <w:iCs/>
                <w:sz w:val="24"/>
                <w:szCs w:val="24"/>
              </w:rPr>
              <w:t>, kuru ietekmēs šis tiesiskais regulējums,</w:t>
            </w:r>
            <w:r w:rsidRPr="00AB548F">
              <w:rPr>
                <w:rFonts w:ascii="Times New Roman" w:hAnsi="Times New Roman"/>
                <w:iCs/>
                <w:sz w:val="24"/>
                <w:szCs w:val="24"/>
              </w:rPr>
              <w:t xml:space="preserve"> ir</w:t>
            </w:r>
            <w:r w:rsidR="008031B6">
              <w:rPr>
                <w:rFonts w:ascii="Times New Roman" w:hAnsi="Times New Roman"/>
                <w:iCs/>
                <w:sz w:val="24"/>
                <w:szCs w:val="24"/>
              </w:rPr>
              <w:t xml:space="preserve"> personas, kas sniedz valsts nodrošināto juridisko palīdzību</w:t>
            </w:r>
            <w:r>
              <w:rPr>
                <w:rFonts w:ascii="Times New Roman" w:hAnsi="Times New Roman"/>
                <w:iCs/>
                <w:sz w:val="24"/>
                <w:szCs w:val="24"/>
              </w:rPr>
              <w:t>:</w:t>
            </w:r>
          </w:p>
          <w:p w:rsidR="00EE3E3D" w:rsidRDefault="00EE3E3D" w:rsidP="00EE3E3D">
            <w:pPr>
              <w:numPr>
                <w:ilvl w:val="0"/>
                <w:numId w:val="3"/>
              </w:numPr>
              <w:spacing w:after="0" w:line="240" w:lineRule="auto"/>
              <w:jc w:val="both"/>
              <w:rPr>
                <w:rFonts w:ascii="Times New Roman" w:hAnsi="Times New Roman"/>
                <w:iCs/>
                <w:sz w:val="24"/>
                <w:szCs w:val="24"/>
              </w:rPr>
            </w:pPr>
            <w:r>
              <w:rPr>
                <w:rFonts w:ascii="Times New Roman" w:hAnsi="Times New Roman"/>
                <w:iCs/>
                <w:sz w:val="24"/>
                <w:szCs w:val="24"/>
              </w:rPr>
              <w:t>p</w:t>
            </w:r>
            <w:r w:rsidRPr="008B0AA4">
              <w:rPr>
                <w:rFonts w:ascii="Times New Roman" w:hAnsi="Times New Roman"/>
                <w:iCs/>
                <w:sz w:val="24"/>
                <w:szCs w:val="24"/>
              </w:rPr>
              <w:t>ersonas, kurām ar Juridiskās palīdzības administrāciju ir noslēgts līgums par juridiskās palīdzības sniegšanu</w:t>
            </w:r>
            <w:r>
              <w:rPr>
                <w:rFonts w:ascii="Times New Roman" w:hAnsi="Times New Roman"/>
                <w:iCs/>
                <w:sz w:val="24"/>
                <w:szCs w:val="24"/>
              </w:rPr>
              <w:t>;</w:t>
            </w:r>
          </w:p>
          <w:p w:rsidR="00EE3E3D" w:rsidRPr="008031B6" w:rsidRDefault="00EE3E3D" w:rsidP="00EE3E3D">
            <w:pPr>
              <w:numPr>
                <w:ilvl w:val="0"/>
                <w:numId w:val="3"/>
              </w:numPr>
              <w:spacing w:after="0" w:line="240" w:lineRule="auto"/>
              <w:jc w:val="both"/>
              <w:rPr>
                <w:rFonts w:ascii="Times New Roman" w:eastAsia="Times New Roman" w:hAnsi="Times New Roman" w:cs="Times New Roman"/>
                <w:sz w:val="24"/>
                <w:szCs w:val="24"/>
                <w:lang w:eastAsia="lv-LV"/>
              </w:rPr>
            </w:pPr>
            <w:r w:rsidRPr="008B0AA4">
              <w:rPr>
                <w:rFonts w:ascii="Times New Roman" w:hAnsi="Times New Roman"/>
                <w:iCs/>
                <w:sz w:val="24"/>
                <w:szCs w:val="24"/>
              </w:rPr>
              <w:t xml:space="preserve"> zvērināti advokāti</w:t>
            </w:r>
            <w:r w:rsidR="008031B6">
              <w:rPr>
                <w:rFonts w:ascii="Times New Roman" w:hAnsi="Times New Roman"/>
                <w:iCs/>
                <w:sz w:val="24"/>
                <w:szCs w:val="24"/>
              </w:rPr>
              <w:t>.</w:t>
            </w:r>
          </w:p>
          <w:p w:rsidR="00075D9C" w:rsidRPr="008031B6" w:rsidRDefault="008031B6" w:rsidP="002E1DA3">
            <w:pPr>
              <w:spacing w:after="0" w:line="240" w:lineRule="auto"/>
              <w:ind w:firstLine="24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Tāpat noteikumu projekta regulējums ietekmē </w:t>
            </w:r>
            <w:r w:rsidR="00EE3E3D" w:rsidRPr="00EE3E3D">
              <w:rPr>
                <w:rFonts w:ascii="Times New Roman" w:hAnsi="Times New Roman" w:cs="Times New Roman"/>
                <w:iCs/>
                <w:sz w:val="24"/>
                <w:szCs w:val="24"/>
              </w:rPr>
              <w:t>Juridiskās palīdzības administrācij</w:t>
            </w:r>
            <w:r>
              <w:rPr>
                <w:rFonts w:ascii="Times New Roman" w:hAnsi="Times New Roman" w:cs="Times New Roman"/>
                <w:iCs/>
                <w:sz w:val="24"/>
                <w:szCs w:val="24"/>
              </w:rPr>
              <w:t>u, jo tā nodrošina valsts nodrošinātās juridiskās palīdzības samaksu valsts nodrošinātās juridiskās palīdzības sniedzējiem.</w:t>
            </w:r>
          </w:p>
        </w:tc>
      </w:tr>
      <w:tr w:rsidR="00873A7C" w:rsidRPr="00873A7C" w:rsidTr="00670710">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2.</w:t>
            </w:r>
          </w:p>
        </w:tc>
        <w:tc>
          <w:tcPr>
            <w:tcW w:w="1390" w:type="pct"/>
            <w:gridSpan w:val="3"/>
            <w:tcBorders>
              <w:top w:val="outset" w:sz="6" w:space="0" w:color="414142"/>
              <w:left w:val="outset" w:sz="6" w:space="0" w:color="414142"/>
              <w:bottom w:val="outset" w:sz="6" w:space="0" w:color="414142"/>
              <w:right w:val="outset" w:sz="6" w:space="0" w:color="414142"/>
            </w:tcBorders>
            <w:hideMark/>
          </w:tcPr>
          <w:p w:rsidR="004D15A9" w:rsidRPr="00873A7C" w:rsidRDefault="004D15A9"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Tiesiskā regulējuma ietekme uz tautsaimniecību un administratīvo slogu</w:t>
            </w:r>
          </w:p>
        </w:tc>
        <w:tc>
          <w:tcPr>
            <w:tcW w:w="3360" w:type="pct"/>
            <w:tcBorders>
              <w:top w:val="outset" w:sz="6" w:space="0" w:color="414142"/>
              <w:left w:val="outset" w:sz="6" w:space="0" w:color="414142"/>
              <w:bottom w:val="outset" w:sz="6" w:space="0" w:color="414142"/>
              <w:right w:val="outset" w:sz="6" w:space="0" w:color="414142"/>
            </w:tcBorders>
            <w:hideMark/>
          </w:tcPr>
          <w:p w:rsidR="004D15A9" w:rsidRPr="00873A7C" w:rsidRDefault="00BA299C">
            <w:pPr>
              <w:spacing w:after="0" w:line="240" w:lineRule="auto"/>
              <w:ind w:firstLine="257"/>
              <w:jc w:val="both"/>
              <w:rPr>
                <w:rFonts w:ascii="Times New Roman" w:eastAsia="Times New Roman" w:hAnsi="Times New Roman" w:cs="Times New Roman"/>
                <w:sz w:val="24"/>
                <w:szCs w:val="24"/>
                <w:lang w:eastAsia="lv-LV"/>
              </w:rPr>
            </w:pPr>
            <w:r w:rsidRPr="00873A7C">
              <w:rPr>
                <w:rFonts w:ascii="Times New Roman" w:hAnsi="Times New Roman" w:cs="Times New Roman"/>
                <w:sz w:val="24"/>
                <w:szCs w:val="24"/>
              </w:rPr>
              <w:t xml:space="preserve">Šīs anotācijas </w:t>
            </w:r>
            <w:r w:rsidR="00347C71" w:rsidRPr="00873A7C">
              <w:rPr>
                <w:rFonts w:ascii="Times New Roman" w:hAnsi="Times New Roman" w:cs="Times New Roman"/>
                <w:sz w:val="24"/>
                <w:szCs w:val="24"/>
              </w:rPr>
              <w:t>II sadaļas 1.</w:t>
            </w:r>
            <w:r w:rsidR="00601D39" w:rsidRPr="00873A7C">
              <w:rPr>
                <w:rFonts w:ascii="Times New Roman" w:hAnsi="Times New Roman" w:cs="Times New Roman"/>
                <w:sz w:val="24"/>
                <w:szCs w:val="24"/>
              </w:rPr>
              <w:t> </w:t>
            </w:r>
            <w:r w:rsidR="00BB60EA" w:rsidRPr="00873A7C">
              <w:rPr>
                <w:rFonts w:ascii="Times New Roman" w:hAnsi="Times New Roman" w:cs="Times New Roman"/>
                <w:sz w:val="24"/>
                <w:szCs w:val="24"/>
              </w:rPr>
              <w:t>p</w:t>
            </w:r>
            <w:r w:rsidR="00347C71" w:rsidRPr="00873A7C">
              <w:rPr>
                <w:rFonts w:ascii="Times New Roman" w:hAnsi="Times New Roman" w:cs="Times New Roman"/>
                <w:sz w:val="24"/>
                <w:szCs w:val="24"/>
              </w:rPr>
              <w:t>unkt</w:t>
            </w:r>
            <w:r w:rsidR="00BB60EA" w:rsidRPr="00873A7C">
              <w:rPr>
                <w:rFonts w:ascii="Times New Roman" w:hAnsi="Times New Roman" w:cs="Times New Roman"/>
                <w:sz w:val="24"/>
                <w:szCs w:val="24"/>
              </w:rPr>
              <w:t>a pirmajā</w:t>
            </w:r>
            <w:r w:rsidR="00347C71" w:rsidRPr="00873A7C">
              <w:rPr>
                <w:rFonts w:ascii="Times New Roman" w:hAnsi="Times New Roman" w:cs="Times New Roman"/>
                <w:sz w:val="24"/>
                <w:szCs w:val="24"/>
              </w:rPr>
              <w:t xml:space="preserve"> </w:t>
            </w:r>
            <w:r w:rsidR="00BB60EA" w:rsidRPr="00873A7C">
              <w:rPr>
                <w:rFonts w:ascii="Times New Roman" w:hAnsi="Times New Roman" w:cs="Times New Roman"/>
                <w:sz w:val="24"/>
                <w:szCs w:val="24"/>
              </w:rPr>
              <w:t xml:space="preserve">rindkopā </w:t>
            </w:r>
            <w:r w:rsidR="00347C71" w:rsidRPr="00873A7C">
              <w:rPr>
                <w:rFonts w:ascii="Times New Roman" w:hAnsi="Times New Roman" w:cs="Times New Roman"/>
                <w:sz w:val="24"/>
                <w:szCs w:val="24"/>
              </w:rPr>
              <w:t>minētajām personām</w:t>
            </w:r>
            <w:r w:rsidR="004A474D">
              <w:rPr>
                <w:rFonts w:ascii="Times New Roman" w:hAnsi="Times New Roman" w:cs="Times New Roman"/>
                <w:sz w:val="24"/>
                <w:szCs w:val="24"/>
              </w:rPr>
              <w:t>, izņemot Juridiskās palīdzības administrāciju, tiks labvēlīgi ietekmēta viņu finansiālā atlīdzība par sniegto pakalpojumu.</w:t>
            </w:r>
            <w:r w:rsidR="00347C71" w:rsidRPr="00873A7C">
              <w:rPr>
                <w:rFonts w:ascii="Times New Roman" w:hAnsi="Times New Roman" w:cs="Times New Roman"/>
                <w:sz w:val="24"/>
                <w:szCs w:val="24"/>
              </w:rPr>
              <w:t xml:space="preserve"> </w:t>
            </w:r>
          </w:p>
        </w:tc>
      </w:tr>
      <w:tr w:rsidR="00873A7C" w:rsidRPr="00873A7C" w:rsidTr="00670710">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3.</w:t>
            </w:r>
          </w:p>
        </w:tc>
        <w:tc>
          <w:tcPr>
            <w:tcW w:w="1390" w:type="pct"/>
            <w:gridSpan w:val="3"/>
            <w:tcBorders>
              <w:top w:val="outset" w:sz="6" w:space="0" w:color="414142"/>
              <w:left w:val="outset" w:sz="6" w:space="0" w:color="414142"/>
              <w:bottom w:val="outset" w:sz="6" w:space="0" w:color="414142"/>
              <w:right w:val="outset" w:sz="6" w:space="0" w:color="414142"/>
            </w:tcBorders>
            <w:hideMark/>
          </w:tcPr>
          <w:p w:rsidR="004D15A9" w:rsidRPr="00873A7C" w:rsidRDefault="004D15A9"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Administratīvo izmaksu monetārs novērtējums</w:t>
            </w:r>
          </w:p>
        </w:tc>
        <w:tc>
          <w:tcPr>
            <w:tcW w:w="3360" w:type="pct"/>
            <w:tcBorders>
              <w:top w:val="outset" w:sz="6" w:space="0" w:color="414142"/>
              <w:left w:val="outset" w:sz="6" w:space="0" w:color="414142"/>
              <w:bottom w:val="outset" w:sz="6" w:space="0" w:color="414142"/>
              <w:right w:val="outset" w:sz="6" w:space="0" w:color="414142"/>
            </w:tcBorders>
            <w:hideMark/>
          </w:tcPr>
          <w:p w:rsidR="004D15A9" w:rsidRPr="00873A7C" w:rsidRDefault="00512075">
            <w:pPr>
              <w:spacing w:after="0" w:line="240" w:lineRule="auto"/>
              <w:ind w:firstLine="257"/>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Noteikumu p</w:t>
            </w:r>
            <w:r w:rsidR="004C38EB" w:rsidRPr="00873A7C">
              <w:rPr>
                <w:rFonts w:ascii="Times New Roman" w:eastAsia="Times New Roman" w:hAnsi="Times New Roman" w:cs="Times New Roman"/>
                <w:sz w:val="24"/>
                <w:szCs w:val="24"/>
                <w:lang w:eastAsia="lv-LV"/>
              </w:rPr>
              <w:t>rojekts šo jomu neskar.</w:t>
            </w:r>
          </w:p>
        </w:tc>
      </w:tr>
      <w:tr w:rsidR="00873A7C" w:rsidRPr="00873A7C" w:rsidTr="00670710">
        <w:trPr>
          <w:trHeight w:val="164"/>
        </w:trPr>
        <w:tc>
          <w:tcPr>
            <w:tcW w:w="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4.</w:t>
            </w:r>
          </w:p>
        </w:tc>
        <w:tc>
          <w:tcPr>
            <w:tcW w:w="1390" w:type="pct"/>
            <w:gridSpan w:val="3"/>
            <w:tcBorders>
              <w:top w:val="outset" w:sz="6" w:space="0" w:color="414142"/>
              <w:left w:val="outset" w:sz="6" w:space="0" w:color="414142"/>
              <w:bottom w:val="outset" w:sz="6" w:space="0" w:color="414142"/>
              <w:right w:val="outset" w:sz="6" w:space="0" w:color="414142"/>
            </w:tcBorders>
            <w:hideMark/>
          </w:tcPr>
          <w:p w:rsidR="004D15A9" w:rsidRPr="00873A7C" w:rsidRDefault="004D15A9"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Cita informācija</w:t>
            </w:r>
          </w:p>
        </w:tc>
        <w:tc>
          <w:tcPr>
            <w:tcW w:w="3360" w:type="pct"/>
            <w:tcBorders>
              <w:top w:val="outset" w:sz="6" w:space="0" w:color="414142"/>
              <w:left w:val="outset" w:sz="6" w:space="0" w:color="414142"/>
              <w:bottom w:val="outset" w:sz="6" w:space="0" w:color="414142"/>
              <w:right w:val="outset" w:sz="6" w:space="0" w:color="414142"/>
            </w:tcBorders>
            <w:hideMark/>
          </w:tcPr>
          <w:p w:rsidR="004D15A9" w:rsidRPr="00873A7C" w:rsidRDefault="004C38EB">
            <w:pPr>
              <w:spacing w:after="0" w:line="240" w:lineRule="auto"/>
              <w:ind w:firstLine="257"/>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Nav.</w:t>
            </w:r>
          </w:p>
        </w:tc>
      </w:tr>
      <w:tr w:rsidR="00873A7C" w:rsidRPr="00873A7C" w:rsidTr="00670710">
        <w:trPr>
          <w:trHeight w:val="360"/>
        </w:trPr>
        <w:tc>
          <w:tcPr>
            <w:tcW w:w="5000" w:type="pct"/>
            <w:gridSpan w:val="5"/>
            <w:tcBorders>
              <w:top w:val="nil"/>
              <w:left w:val="nil"/>
              <w:bottom w:val="outset" w:sz="6" w:space="0" w:color="414142"/>
              <w:right w:val="nil"/>
            </w:tcBorders>
            <w:vAlign w:val="center"/>
          </w:tcPr>
          <w:p w:rsidR="0032319B" w:rsidRPr="00873A7C" w:rsidRDefault="0032319B" w:rsidP="00873A7C">
            <w:pPr>
              <w:spacing w:after="0" w:line="240" w:lineRule="auto"/>
              <w:jc w:val="center"/>
              <w:rPr>
                <w:rFonts w:ascii="Times New Roman" w:eastAsia="Times New Roman" w:hAnsi="Times New Roman" w:cs="Times New Roman"/>
                <w:b/>
                <w:bCs/>
                <w:sz w:val="24"/>
                <w:szCs w:val="24"/>
                <w:lang w:eastAsia="lv-LV"/>
              </w:rPr>
            </w:pPr>
          </w:p>
          <w:p w:rsidR="0032319B" w:rsidRPr="00873A7C" w:rsidRDefault="0032319B" w:rsidP="008833CD">
            <w:pPr>
              <w:spacing w:after="0" w:line="240" w:lineRule="auto"/>
              <w:jc w:val="center"/>
              <w:rPr>
                <w:rFonts w:ascii="Times New Roman" w:eastAsia="Times New Roman" w:hAnsi="Times New Roman" w:cs="Times New Roman"/>
                <w:b/>
                <w:bCs/>
                <w:sz w:val="24"/>
                <w:szCs w:val="24"/>
                <w:lang w:eastAsia="lv-LV"/>
              </w:rPr>
            </w:pPr>
          </w:p>
        </w:tc>
      </w:tr>
      <w:tr w:rsidR="00873A7C" w:rsidRPr="00873A7C" w:rsidTr="00670710">
        <w:trPr>
          <w:trHeight w:val="420"/>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rsidR="004D15A9" w:rsidRPr="00873A7C" w:rsidRDefault="004D15A9">
            <w:pPr>
              <w:spacing w:after="0" w:line="240" w:lineRule="auto"/>
              <w:jc w:val="center"/>
              <w:rPr>
                <w:rFonts w:ascii="Times New Roman" w:eastAsia="Times New Roman" w:hAnsi="Times New Roman" w:cs="Times New Roman"/>
                <w:b/>
                <w:bCs/>
                <w:sz w:val="24"/>
                <w:szCs w:val="24"/>
                <w:lang w:eastAsia="lv-LV"/>
              </w:rPr>
            </w:pPr>
            <w:r w:rsidRPr="00873A7C">
              <w:rPr>
                <w:rFonts w:ascii="Times New Roman" w:eastAsia="Times New Roman" w:hAnsi="Times New Roman" w:cs="Times New Roman"/>
                <w:b/>
                <w:bCs/>
                <w:sz w:val="24"/>
                <w:szCs w:val="24"/>
                <w:lang w:eastAsia="lv-LV"/>
              </w:rPr>
              <w:t>VI. Sabiedrības līdzdalība un komunikācijas aktivitātes</w:t>
            </w:r>
          </w:p>
        </w:tc>
      </w:tr>
      <w:tr w:rsidR="00873A7C" w:rsidRPr="00873A7C" w:rsidTr="00670710">
        <w:trPr>
          <w:trHeight w:val="410"/>
        </w:trPr>
        <w:tc>
          <w:tcPr>
            <w:tcW w:w="250" w:type="pct"/>
            <w:tcBorders>
              <w:top w:val="outset" w:sz="6" w:space="0" w:color="414142"/>
              <w:left w:val="outset" w:sz="6" w:space="0" w:color="414142"/>
              <w:bottom w:val="outset" w:sz="6" w:space="0" w:color="414142"/>
              <w:right w:val="outset" w:sz="6" w:space="0" w:color="414142"/>
            </w:tcBorders>
            <w:hideMark/>
          </w:tcPr>
          <w:p w:rsidR="000A3BE5" w:rsidRPr="00873A7C" w:rsidRDefault="000A3BE5"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1.</w:t>
            </w:r>
          </w:p>
        </w:tc>
        <w:tc>
          <w:tcPr>
            <w:tcW w:w="1340" w:type="pct"/>
            <w:gridSpan w:val="2"/>
            <w:tcBorders>
              <w:top w:val="outset" w:sz="6" w:space="0" w:color="414142"/>
              <w:left w:val="outset" w:sz="6" w:space="0" w:color="414142"/>
              <w:bottom w:val="outset" w:sz="6" w:space="0" w:color="414142"/>
              <w:right w:val="outset" w:sz="6" w:space="0" w:color="414142"/>
            </w:tcBorders>
            <w:hideMark/>
          </w:tcPr>
          <w:p w:rsidR="000A3BE5" w:rsidRPr="00873A7C" w:rsidRDefault="000A3BE5"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Plānotās sabiedrības līdzdalības un komunikācijas aktivitātes saistībā ar projektu</w:t>
            </w:r>
          </w:p>
        </w:tc>
        <w:tc>
          <w:tcPr>
            <w:tcW w:w="3410" w:type="pct"/>
            <w:gridSpan w:val="2"/>
            <w:tcBorders>
              <w:top w:val="outset" w:sz="6" w:space="0" w:color="414142"/>
              <w:left w:val="outset" w:sz="6" w:space="0" w:color="414142"/>
              <w:bottom w:val="outset" w:sz="6" w:space="0" w:color="414142"/>
              <w:right w:val="outset" w:sz="6" w:space="0" w:color="414142"/>
            </w:tcBorders>
            <w:hideMark/>
          </w:tcPr>
          <w:p w:rsidR="00EE3E3D" w:rsidRDefault="000A3BE5">
            <w:pPr>
              <w:spacing w:after="0" w:line="240" w:lineRule="auto"/>
              <w:ind w:firstLine="348"/>
              <w:jc w:val="both"/>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 xml:space="preserve">Noteikumu projekts </w:t>
            </w:r>
            <w:r w:rsidR="00EE3E3D">
              <w:rPr>
                <w:rFonts w:ascii="Times New Roman" w:hAnsi="Times New Roman"/>
                <w:sz w:val="24"/>
                <w:szCs w:val="24"/>
                <w:lang w:eastAsia="lv-LV"/>
              </w:rPr>
              <w:t>ir saskaņots ar Juridiskās palīdzības administrāciju.</w:t>
            </w:r>
          </w:p>
          <w:p w:rsidR="00EE3E3D" w:rsidRPr="00873A7C" w:rsidRDefault="00EE3E3D" w:rsidP="00EE3E3D">
            <w:pPr>
              <w:spacing w:after="0" w:line="240" w:lineRule="auto"/>
              <w:ind w:firstLine="348"/>
              <w:jc w:val="both"/>
              <w:rPr>
                <w:rFonts w:ascii="Times New Roman" w:hAnsi="Times New Roman"/>
                <w:sz w:val="24"/>
                <w:szCs w:val="24"/>
                <w:lang w:eastAsia="lv-LV"/>
              </w:rPr>
            </w:pPr>
            <w:r>
              <w:rPr>
                <w:rFonts w:ascii="Times New Roman" w:hAnsi="Times New Roman"/>
                <w:sz w:val="24"/>
                <w:szCs w:val="24"/>
                <w:lang w:eastAsia="lv-LV"/>
              </w:rPr>
              <w:t xml:space="preserve">Tāpat noteikumu projekts </w:t>
            </w:r>
            <w:r w:rsidR="000A3BE5" w:rsidRPr="00873A7C">
              <w:rPr>
                <w:rFonts w:ascii="Times New Roman" w:eastAsia="Times New Roman" w:hAnsi="Times New Roman" w:cs="Times New Roman"/>
                <w:sz w:val="24"/>
                <w:szCs w:val="24"/>
                <w:lang w:eastAsia="lv-LV"/>
              </w:rPr>
              <w:t>ir publicēts Tieslietu min</w:t>
            </w:r>
            <w:r w:rsidR="00601D39" w:rsidRPr="00873A7C">
              <w:rPr>
                <w:rFonts w:ascii="Times New Roman" w:eastAsia="Times New Roman" w:hAnsi="Times New Roman" w:cs="Times New Roman"/>
                <w:sz w:val="24"/>
                <w:szCs w:val="24"/>
                <w:lang w:eastAsia="lv-LV"/>
              </w:rPr>
              <w:t>istrijas tīmekļa vietnē sadaļā “</w:t>
            </w:r>
            <w:r w:rsidR="000A3BE5" w:rsidRPr="00873A7C">
              <w:rPr>
                <w:rFonts w:ascii="Times New Roman" w:eastAsia="Times New Roman" w:hAnsi="Times New Roman" w:cs="Times New Roman"/>
                <w:sz w:val="24"/>
                <w:szCs w:val="24"/>
                <w:lang w:eastAsia="lv-LV"/>
              </w:rPr>
              <w:t>Sabiedrības līdzdalība”, tādējādi dodot iespēju sabiedrībai līdzdarboties tiesību</w:t>
            </w:r>
            <w:r w:rsidR="000A3BE5" w:rsidRPr="00873A7C">
              <w:rPr>
                <w:rFonts w:ascii="Times New Roman" w:hAnsi="Times New Roman"/>
                <w:sz w:val="24"/>
                <w:szCs w:val="24"/>
                <w:lang w:eastAsia="lv-LV"/>
              </w:rPr>
              <w:t xml:space="preserve"> akta izstrādes procesā.</w:t>
            </w:r>
          </w:p>
        </w:tc>
      </w:tr>
      <w:tr w:rsidR="00873A7C" w:rsidRPr="00873A7C" w:rsidTr="00670710">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0A3BE5" w:rsidRPr="00873A7C" w:rsidRDefault="000A3BE5"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2.</w:t>
            </w:r>
          </w:p>
        </w:tc>
        <w:tc>
          <w:tcPr>
            <w:tcW w:w="1340" w:type="pct"/>
            <w:gridSpan w:val="2"/>
            <w:tcBorders>
              <w:top w:val="outset" w:sz="6" w:space="0" w:color="414142"/>
              <w:left w:val="outset" w:sz="6" w:space="0" w:color="414142"/>
              <w:bottom w:val="outset" w:sz="6" w:space="0" w:color="414142"/>
              <w:right w:val="outset" w:sz="6" w:space="0" w:color="414142"/>
            </w:tcBorders>
            <w:hideMark/>
          </w:tcPr>
          <w:p w:rsidR="000A3BE5" w:rsidRPr="00873A7C" w:rsidRDefault="000A3BE5"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Sabiedrības līdzdalība projekta izstrādē</w:t>
            </w:r>
          </w:p>
        </w:tc>
        <w:tc>
          <w:tcPr>
            <w:tcW w:w="3410" w:type="pct"/>
            <w:gridSpan w:val="2"/>
            <w:tcBorders>
              <w:top w:val="outset" w:sz="6" w:space="0" w:color="414142"/>
              <w:left w:val="outset" w:sz="6" w:space="0" w:color="414142"/>
              <w:bottom w:val="outset" w:sz="6" w:space="0" w:color="414142"/>
              <w:right w:val="outset" w:sz="6" w:space="0" w:color="414142"/>
            </w:tcBorders>
            <w:hideMark/>
          </w:tcPr>
          <w:p w:rsidR="000A3BE5" w:rsidRPr="00873A7C" w:rsidRDefault="000A3BE5">
            <w:pPr>
              <w:spacing w:after="0" w:line="240" w:lineRule="auto"/>
              <w:ind w:firstLine="348"/>
              <w:jc w:val="both"/>
              <w:rPr>
                <w:rFonts w:ascii="Times New Roman" w:eastAsia="Times New Roman" w:hAnsi="Times New Roman" w:cs="Times New Roman"/>
                <w:sz w:val="24"/>
                <w:szCs w:val="24"/>
                <w:lang w:eastAsia="lv-LV"/>
              </w:rPr>
            </w:pPr>
            <w:r w:rsidRPr="00873A7C">
              <w:rPr>
                <w:rFonts w:ascii="Times New Roman" w:hAnsi="Times New Roman"/>
                <w:sz w:val="24"/>
                <w:szCs w:val="24"/>
                <w:lang w:eastAsia="lv-LV"/>
              </w:rPr>
              <w:t>Lai informētu</w:t>
            </w:r>
            <w:r w:rsidR="004A474D">
              <w:rPr>
                <w:rFonts w:ascii="Times New Roman" w:hAnsi="Times New Roman"/>
                <w:sz w:val="24"/>
                <w:szCs w:val="24"/>
                <w:lang w:eastAsia="lv-LV"/>
              </w:rPr>
              <w:t xml:space="preserve"> plašāku</w:t>
            </w:r>
            <w:r w:rsidRPr="00873A7C">
              <w:rPr>
                <w:rFonts w:ascii="Times New Roman" w:hAnsi="Times New Roman"/>
                <w:sz w:val="24"/>
                <w:szCs w:val="24"/>
                <w:lang w:eastAsia="lv-LV"/>
              </w:rPr>
              <w:t xml:space="preserve"> sabiedrību par Noteikumu projektu un dotu iespēju izteikt par to viedokļus, Noteikumu projekts saskaņā ar Ministru kabineta 2009.</w:t>
            </w:r>
            <w:r w:rsidR="00601D39" w:rsidRPr="00873A7C">
              <w:rPr>
                <w:rFonts w:ascii="Times New Roman" w:hAnsi="Times New Roman"/>
                <w:sz w:val="24"/>
                <w:szCs w:val="24"/>
                <w:lang w:eastAsia="lv-LV"/>
              </w:rPr>
              <w:t> </w:t>
            </w:r>
            <w:r w:rsidRPr="00873A7C">
              <w:rPr>
                <w:rFonts w:ascii="Times New Roman" w:hAnsi="Times New Roman"/>
                <w:sz w:val="24"/>
                <w:szCs w:val="24"/>
                <w:lang w:eastAsia="lv-LV"/>
              </w:rPr>
              <w:t>gada 25.</w:t>
            </w:r>
            <w:r w:rsidR="00601D39" w:rsidRPr="00873A7C">
              <w:rPr>
                <w:rFonts w:ascii="Times New Roman" w:hAnsi="Times New Roman"/>
                <w:sz w:val="24"/>
                <w:szCs w:val="24"/>
                <w:lang w:eastAsia="lv-LV"/>
              </w:rPr>
              <w:t> </w:t>
            </w:r>
            <w:r w:rsidRPr="00873A7C">
              <w:rPr>
                <w:rFonts w:ascii="Times New Roman" w:hAnsi="Times New Roman"/>
                <w:sz w:val="24"/>
                <w:szCs w:val="24"/>
                <w:lang w:eastAsia="lv-LV"/>
              </w:rPr>
              <w:t>augusta noteikumiem Nr.</w:t>
            </w:r>
            <w:r w:rsidR="00601D39" w:rsidRPr="00873A7C">
              <w:rPr>
                <w:rFonts w:ascii="Times New Roman" w:hAnsi="Times New Roman"/>
                <w:sz w:val="24"/>
                <w:szCs w:val="24"/>
                <w:lang w:eastAsia="lv-LV"/>
              </w:rPr>
              <w:t> 970 “</w:t>
            </w:r>
            <w:r w:rsidRPr="00873A7C">
              <w:rPr>
                <w:rFonts w:ascii="Times New Roman" w:hAnsi="Times New Roman"/>
                <w:bCs/>
                <w:sz w:val="24"/>
                <w:szCs w:val="24"/>
                <w:lang w:eastAsia="lv-LV"/>
              </w:rPr>
              <w:t xml:space="preserve">Sabiedrības līdzdalības kārtība attīstības plānošanas procesā” </w:t>
            </w:r>
            <w:r w:rsidRPr="00873A7C">
              <w:rPr>
                <w:rFonts w:ascii="Times New Roman" w:eastAsia="Times New Roman" w:hAnsi="Times New Roman" w:cs="Times New Roman"/>
                <w:sz w:val="24"/>
                <w:szCs w:val="24"/>
                <w:lang w:eastAsia="lv-LV"/>
              </w:rPr>
              <w:t xml:space="preserve">tika ievietots Tieslietu ministrijas tīmekļa vietnē. </w:t>
            </w:r>
          </w:p>
        </w:tc>
      </w:tr>
      <w:tr w:rsidR="00873A7C" w:rsidRPr="00873A7C" w:rsidTr="00670710">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0A3BE5" w:rsidRPr="00873A7C" w:rsidRDefault="000A3BE5"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3.</w:t>
            </w:r>
          </w:p>
        </w:tc>
        <w:tc>
          <w:tcPr>
            <w:tcW w:w="1340" w:type="pct"/>
            <w:gridSpan w:val="2"/>
            <w:tcBorders>
              <w:top w:val="outset" w:sz="6" w:space="0" w:color="414142"/>
              <w:left w:val="outset" w:sz="6" w:space="0" w:color="414142"/>
              <w:bottom w:val="outset" w:sz="6" w:space="0" w:color="414142"/>
              <w:right w:val="outset" w:sz="6" w:space="0" w:color="414142"/>
            </w:tcBorders>
            <w:hideMark/>
          </w:tcPr>
          <w:p w:rsidR="000A3BE5" w:rsidRPr="00873A7C" w:rsidRDefault="000A3BE5"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Sabiedrības līdzdalības rezultāti</w:t>
            </w:r>
          </w:p>
        </w:tc>
        <w:tc>
          <w:tcPr>
            <w:tcW w:w="3410" w:type="pct"/>
            <w:gridSpan w:val="2"/>
            <w:tcBorders>
              <w:top w:val="outset" w:sz="6" w:space="0" w:color="414142"/>
              <w:left w:val="outset" w:sz="6" w:space="0" w:color="414142"/>
              <w:bottom w:val="outset" w:sz="6" w:space="0" w:color="414142"/>
              <w:right w:val="outset" w:sz="6" w:space="0" w:color="414142"/>
            </w:tcBorders>
            <w:hideMark/>
          </w:tcPr>
          <w:p w:rsidR="000A3BE5" w:rsidRPr="00873A7C" w:rsidRDefault="000A3BE5">
            <w:pPr>
              <w:spacing w:after="0" w:line="240" w:lineRule="auto"/>
              <w:ind w:firstLine="348"/>
              <w:jc w:val="both"/>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 xml:space="preserve">Pēc Noteikumu projekta ievietošanas Tieslietu ministrijas tīmekļa vietnē viedokļi par Noteikumu projektu no sabiedrības pārstāvju puses </w:t>
            </w:r>
            <w:r w:rsidR="00923EA1">
              <w:rPr>
                <w:rFonts w:ascii="Times New Roman" w:eastAsia="Times New Roman" w:hAnsi="Times New Roman" w:cs="Times New Roman"/>
                <w:sz w:val="24"/>
                <w:szCs w:val="24"/>
                <w:lang w:eastAsia="lv-LV"/>
              </w:rPr>
              <w:t>ir/nav saņemti.</w:t>
            </w:r>
            <w:bookmarkStart w:id="0" w:name="_GoBack"/>
            <w:bookmarkEnd w:id="0"/>
            <w:r w:rsidRPr="00873A7C">
              <w:rPr>
                <w:rFonts w:ascii="Times New Roman" w:eastAsia="Times New Roman" w:hAnsi="Times New Roman" w:cs="Times New Roman"/>
                <w:sz w:val="24"/>
                <w:szCs w:val="24"/>
                <w:lang w:eastAsia="lv-LV"/>
              </w:rPr>
              <w:t>.</w:t>
            </w:r>
          </w:p>
        </w:tc>
      </w:tr>
      <w:tr w:rsidR="00873A7C" w:rsidRPr="00873A7C" w:rsidTr="00670710">
        <w:trPr>
          <w:trHeight w:val="396"/>
        </w:trPr>
        <w:tc>
          <w:tcPr>
            <w:tcW w:w="250" w:type="pct"/>
            <w:tcBorders>
              <w:top w:val="outset" w:sz="6" w:space="0" w:color="414142"/>
              <w:left w:val="outset" w:sz="6" w:space="0" w:color="414142"/>
              <w:bottom w:val="outset" w:sz="6" w:space="0" w:color="414142"/>
              <w:right w:val="outset" w:sz="6" w:space="0" w:color="414142"/>
            </w:tcBorders>
            <w:hideMark/>
          </w:tcPr>
          <w:p w:rsidR="000A3BE5" w:rsidRPr="00873A7C" w:rsidRDefault="000A3BE5"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4.</w:t>
            </w:r>
          </w:p>
        </w:tc>
        <w:tc>
          <w:tcPr>
            <w:tcW w:w="1340" w:type="pct"/>
            <w:gridSpan w:val="2"/>
            <w:tcBorders>
              <w:top w:val="outset" w:sz="6" w:space="0" w:color="414142"/>
              <w:left w:val="outset" w:sz="6" w:space="0" w:color="414142"/>
              <w:bottom w:val="outset" w:sz="6" w:space="0" w:color="414142"/>
              <w:right w:val="outset" w:sz="6" w:space="0" w:color="414142"/>
            </w:tcBorders>
            <w:hideMark/>
          </w:tcPr>
          <w:p w:rsidR="000A3BE5" w:rsidRPr="00873A7C" w:rsidRDefault="000A3BE5"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Cita informācija</w:t>
            </w:r>
          </w:p>
        </w:tc>
        <w:tc>
          <w:tcPr>
            <w:tcW w:w="3410" w:type="pct"/>
            <w:gridSpan w:val="2"/>
            <w:tcBorders>
              <w:top w:val="outset" w:sz="6" w:space="0" w:color="414142"/>
              <w:left w:val="outset" w:sz="6" w:space="0" w:color="414142"/>
              <w:bottom w:val="outset" w:sz="6" w:space="0" w:color="414142"/>
              <w:right w:val="outset" w:sz="6" w:space="0" w:color="414142"/>
            </w:tcBorders>
            <w:hideMark/>
          </w:tcPr>
          <w:p w:rsidR="000A3BE5" w:rsidRPr="00873A7C" w:rsidRDefault="000A3BE5">
            <w:pPr>
              <w:pStyle w:val="naiskr"/>
              <w:spacing w:before="0" w:after="0"/>
              <w:ind w:firstLine="348"/>
              <w:jc w:val="both"/>
              <w:rPr>
                <w:u w:val="single"/>
              </w:rPr>
            </w:pPr>
            <w:r w:rsidRPr="00873A7C">
              <w:t>Nav.</w:t>
            </w:r>
          </w:p>
        </w:tc>
      </w:tr>
    </w:tbl>
    <w:p w:rsidR="004D15A9" w:rsidRPr="00873A7C" w:rsidRDefault="004D15A9" w:rsidP="00873A7C">
      <w:pPr>
        <w:spacing w:after="0" w:line="240" w:lineRule="auto"/>
        <w:rPr>
          <w:rFonts w:ascii="Times New Roman" w:eastAsia="Times New Roman" w:hAnsi="Times New Roman" w:cs="Times New Roman"/>
          <w:sz w:val="24"/>
          <w:szCs w:val="24"/>
          <w:lang w:eastAsia="lv-LV"/>
        </w:rPr>
      </w:pPr>
    </w:p>
    <w:p w:rsidR="00F96A3A" w:rsidRPr="00873A7C" w:rsidRDefault="00F96A3A" w:rsidP="008833C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4075"/>
        <w:gridCol w:w="4528"/>
      </w:tblGrid>
      <w:tr w:rsidR="00873A7C" w:rsidRPr="00873A7C"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873A7C" w:rsidRDefault="004D15A9">
            <w:pPr>
              <w:spacing w:after="0" w:line="240" w:lineRule="auto"/>
              <w:jc w:val="center"/>
              <w:rPr>
                <w:rFonts w:ascii="Times New Roman" w:eastAsia="Times New Roman" w:hAnsi="Times New Roman" w:cs="Times New Roman"/>
                <w:b/>
                <w:bCs/>
                <w:sz w:val="24"/>
                <w:szCs w:val="24"/>
                <w:lang w:eastAsia="lv-LV"/>
              </w:rPr>
            </w:pPr>
            <w:r w:rsidRPr="00873A7C">
              <w:rPr>
                <w:rFonts w:ascii="Times New Roman" w:eastAsia="Times New Roman" w:hAnsi="Times New Roman" w:cs="Times New Roman"/>
                <w:b/>
                <w:bCs/>
                <w:sz w:val="24"/>
                <w:szCs w:val="24"/>
                <w:lang w:eastAsia="lv-LV"/>
              </w:rPr>
              <w:t>VII. Tiesību akta projekta izpildes nodrošināšana un tās ietekme uz institūcijām</w:t>
            </w:r>
          </w:p>
        </w:tc>
      </w:tr>
      <w:tr w:rsidR="00873A7C" w:rsidRPr="00873A7C" w:rsidTr="00896B65">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1.</w:t>
            </w:r>
          </w:p>
        </w:tc>
        <w:tc>
          <w:tcPr>
            <w:tcW w:w="2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Projekta izpildē iesaistītās institūcijas</w:t>
            </w:r>
          </w:p>
        </w:tc>
        <w:tc>
          <w:tcPr>
            <w:tcW w:w="2500" w:type="pct"/>
            <w:tcBorders>
              <w:top w:val="outset" w:sz="6" w:space="0" w:color="414142"/>
              <w:left w:val="outset" w:sz="6" w:space="0" w:color="414142"/>
              <w:bottom w:val="outset" w:sz="6" w:space="0" w:color="414142"/>
              <w:right w:val="outset" w:sz="6" w:space="0" w:color="414142"/>
            </w:tcBorders>
            <w:hideMark/>
          </w:tcPr>
          <w:p w:rsidR="004D15A9" w:rsidRPr="00873A7C" w:rsidRDefault="004A474D">
            <w:pPr>
              <w:spacing w:after="0" w:line="240" w:lineRule="auto"/>
              <w:ind w:firstLine="32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Juridiskās palīdzības a</w:t>
            </w:r>
            <w:r w:rsidR="005336BD" w:rsidRPr="00873A7C">
              <w:rPr>
                <w:rFonts w:ascii="Times New Roman" w:eastAsia="Times New Roman" w:hAnsi="Times New Roman" w:cs="Times New Roman"/>
                <w:sz w:val="24"/>
                <w:szCs w:val="24"/>
                <w:lang w:eastAsia="lv-LV"/>
              </w:rPr>
              <w:t>dministrācija.</w:t>
            </w:r>
          </w:p>
        </w:tc>
      </w:tr>
      <w:tr w:rsidR="00873A7C" w:rsidRPr="00873A7C" w:rsidTr="00896B65">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2.</w:t>
            </w:r>
          </w:p>
        </w:tc>
        <w:tc>
          <w:tcPr>
            <w:tcW w:w="2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873A7C" w:rsidRDefault="004D15A9">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lastRenderedPageBreak/>
              <w:t>Jaunu institūciju izveide, esošu institūciju likvidācija vai reorganizācija, to ietekme uz institūcijas cilvēkresursiem</w:t>
            </w:r>
          </w:p>
        </w:tc>
        <w:tc>
          <w:tcPr>
            <w:tcW w:w="2500" w:type="pct"/>
            <w:tcBorders>
              <w:top w:val="outset" w:sz="6" w:space="0" w:color="414142"/>
              <w:left w:val="outset" w:sz="6" w:space="0" w:color="414142"/>
              <w:bottom w:val="outset" w:sz="6" w:space="0" w:color="414142"/>
              <w:right w:val="outset" w:sz="6" w:space="0" w:color="414142"/>
            </w:tcBorders>
            <w:hideMark/>
          </w:tcPr>
          <w:p w:rsidR="004D15A9" w:rsidRPr="00873A7C" w:rsidRDefault="00E86601">
            <w:pPr>
              <w:spacing w:after="0" w:line="240" w:lineRule="auto"/>
              <w:ind w:firstLine="327"/>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lastRenderedPageBreak/>
              <w:t>Noteikumu p</w:t>
            </w:r>
            <w:r w:rsidR="00AD77DD" w:rsidRPr="00873A7C">
              <w:rPr>
                <w:rFonts w:ascii="Times New Roman" w:eastAsia="Times New Roman" w:hAnsi="Times New Roman" w:cs="Times New Roman"/>
                <w:sz w:val="24"/>
                <w:szCs w:val="24"/>
                <w:lang w:eastAsia="lv-LV"/>
              </w:rPr>
              <w:t>rojekts šo jomu neskar.</w:t>
            </w:r>
          </w:p>
        </w:tc>
      </w:tr>
      <w:tr w:rsidR="00873A7C" w:rsidRPr="00873A7C" w:rsidTr="00896B65">
        <w:trPr>
          <w:trHeight w:val="166"/>
        </w:trPr>
        <w:tc>
          <w:tcPr>
            <w:tcW w:w="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73A7C">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3.</w:t>
            </w:r>
          </w:p>
        </w:tc>
        <w:tc>
          <w:tcPr>
            <w:tcW w:w="2250" w:type="pct"/>
            <w:tcBorders>
              <w:top w:val="outset" w:sz="6" w:space="0" w:color="414142"/>
              <w:left w:val="outset" w:sz="6" w:space="0" w:color="414142"/>
              <w:bottom w:val="outset" w:sz="6" w:space="0" w:color="414142"/>
              <w:right w:val="outset" w:sz="6" w:space="0" w:color="414142"/>
            </w:tcBorders>
            <w:hideMark/>
          </w:tcPr>
          <w:p w:rsidR="004D15A9" w:rsidRPr="00873A7C" w:rsidRDefault="004D15A9" w:rsidP="008833CD">
            <w:pPr>
              <w:spacing w:after="0" w:line="240" w:lineRule="auto"/>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Cita informācija</w:t>
            </w:r>
          </w:p>
        </w:tc>
        <w:tc>
          <w:tcPr>
            <w:tcW w:w="2500" w:type="pct"/>
            <w:tcBorders>
              <w:top w:val="outset" w:sz="6" w:space="0" w:color="414142"/>
              <w:left w:val="outset" w:sz="6" w:space="0" w:color="414142"/>
              <w:bottom w:val="outset" w:sz="6" w:space="0" w:color="414142"/>
              <w:right w:val="outset" w:sz="6" w:space="0" w:color="414142"/>
            </w:tcBorders>
            <w:hideMark/>
          </w:tcPr>
          <w:p w:rsidR="004D15A9" w:rsidRPr="00873A7C" w:rsidRDefault="00AD77DD">
            <w:pPr>
              <w:spacing w:after="0" w:line="240" w:lineRule="auto"/>
              <w:ind w:firstLine="327"/>
              <w:rPr>
                <w:rFonts w:ascii="Times New Roman" w:eastAsia="Times New Roman" w:hAnsi="Times New Roman" w:cs="Times New Roman"/>
                <w:sz w:val="24"/>
                <w:szCs w:val="24"/>
                <w:lang w:eastAsia="lv-LV"/>
              </w:rPr>
            </w:pPr>
            <w:r w:rsidRPr="00873A7C">
              <w:rPr>
                <w:rFonts w:ascii="Times New Roman" w:eastAsia="Times New Roman" w:hAnsi="Times New Roman" w:cs="Times New Roman"/>
                <w:sz w:val="24"/>
                <w:szCs w:val="24"/>
                <w:lang w:eastAsia="lv-LV"/>
              </w:rPr>
              <w:t>Nav.</w:t>
            </w:r>
          </w:p>
        </w:tc>
      </w:tr>
    </w:tbl>
    <w:p w:rsidR="00624636" w:rsidRPr="00873A7C" w:rsidRDefault="00624636" w:rsidP="00873A7C">
      <w:pPr>
        <w:spacing w:after="0" w:line="240" w:lineRule="auto"/>
        <w:rPr>
          <w:rFonts w:ascii="Times New Roman" w:hAnsi="Times New Roman" w:cs="Times New Roman"/>
          <w:i/>
          <w:sz w:val="24"/>
          <w:szCs w:val="24"/>
        </w:rPr>
      </w:pPr>
    </w:p>
    <w:p w:rsidR="0009153D" w:rsidRPr="00873A7C" w:rsidRDefault="0009153D" w:rsidP="008833CD">
      <w:pPr>
        <w:spacing w:after="0" w:line="240" w:lineRule="auto"/>
        <w:rPr>
          <w:rFonts w:ascii="Times New Roman" w:hAnsi="Times New Roman" w:cs="Times New Roman"/>
          <w:i/>
          <w:sz w:val="24"/>
          <w:szCs w:val="24"/>
        </w:rPr>
      </w:pPr>
      <w:r w:rsidRPr="00873A7C">
        <w:rPr>
          <w:rFonts w:ascii="Times New Roman" w:hAnsi="Times New Roman" w:cs="Times New Roman"/>
          <w:i/>
          <w:sz w:val="24"/>
          <w:szCs w:val="24"/>
        </w:rPr>
        <w:t xml:space="preserve">Anotācijas </w:t>
      </w:r>
      <w:r w:rsidR="00ED7056">
        <w:rPr>
          <w:rFonts w:ascii="Times New Roman" w:hAnsi="Times New Roman" w:cs="Times New Roman"/>
          <w:i/>
          <w:sz w:val="24"/>
          <w:szCs w:val="24"/>
        </w:rPr>
        <w:t xml:space="preserve">III, </w:t>
      </w:r>
      <w:r w:rsidRPr="00873A7C">
        <w:rPr>
          <w:rFonts w:ascii="Times New Roman" w:hAnsi="Times New Roman" w:cs="Times New Roman"/>
          <w:i/>
          <w:sz w:val="24"/>
          <w:szCs w:val="24"/>
        </w:rPr>
        <w:t>IV un</w:t>
      </w:r>
      <w:r w:rsidR="00344E0A" w:rsidRPr="00873A7C">
        <w:rPr>
          <w:rFonts w:ascii="Times New Roman" w:hAnsi="Times New Roman" w:cs="Times New Roman"/>
          <w:i/>
          <w:sz w:val="24"/>
          <w:szCs w:val="24"/>
        </w:rPr>
        <w:t xml:space="preserve"> V sadaļa – </w:t>
      </w:r>
      <w:r w:rsidR="00E86601" w:rsidRPr="00873A7C">
        <w:rPr>
          <w:rFonts w:ascii="Times New Roman" w:hAnsi="Times New Roman" w:cs="Times New Roman"/>
          <w:i/>
          <w:sz w:val="24"/>
          <w:szCs w:val="24"/>
        </w:rPr>
        <w:t>Noteikumu p</w:t>
      </w:r>
      <w:r w:rsidRPr="00873A7C">
        <w:rPr>
          <w:rFonts w:ascii="Times New Roman" w:hAnsi="Times New Roman" w:cs="Times New Roman"/>
          <w:i/>
          <w:sz w:val="24"/>
          <w:szCs w:val="24"/>
        </w:rPr>
        <w:t>rojekts šīs jomas neskar.</w:t>
      </w:r>
    </w:p>
    <w:p w:rsidR="006F7336" w:rsidRPr="00873A7C" w:rsidRDefault="006F7336">
      <w:pPr>
        <w:spacing w:after="0" w:line="240" w:lineRule="auto"/>
        <w:rPr>
          <w:rFonts w:ascii="Times New Roman" w:hAnsi="Times New Roman" w:cs="Times New Roman"/>
          <w:sz w:val="24"/>
          <w:szCs w:val="24"/>
        </w:rPr>
      </w:pPr>
    </w:p>
    <w:p w:rsidR="0059487C" w:rsidRPr="00873A7C" w:rsidRDefault="0059487C">
      <w:pPr>
        <w:spacing w:after="0" w:line="240" w:lineRule="auto"/>
        <w:rPr>
          <w:rFonts w:ascii="Times New Roman" w:hAnsi="Times New Roman" w:cs="Times New Roman"/>
          <w:sz w:val="24"/>
          <w:szCs w:val="24"/>
        </w:rPr>
      </w:pPr>
    </w:p>
    <w:p w:rsidR="00DA5A0F" w:rsidRPr="00873A7C" w:rsidRDefault="00DA5A0F">
      <w:pPr>
        <w:pStyle w:val="StyleRight"/>
        <w:spacing w:after="0"/>
        <w:ind w:firstLine="0"/>
        <w:jc w:val="both"/>
        <w:rPr>
          <w:sz w:val="24"/>
          <w:szCs w:val="24"/>
        </w:rPr>
      </w:pPr>
      <w:r w:rsidRPr="00873A7C">
        <w:rPr>
          <w:sz w:val="24"/>
          <w:szCs w:val="24"/>
        </w:rPr>
        <w:t>Iesniedzējs:</w:t>
      </w:r>
    </w:p>
    <w:p w:rsidR="00490942" w:rsidRPr="00873A7C" w:rsidRDefault="00716AC1">
      <w:pPr>
        <w:pStyle w:val="StyleRight"/>
        <w:spacing w:after="0"/>
        <w:ind w:firstLine="0"/>
        <w:jc w:val="both"/>
        <w:rPr>
          <w:sz w:val="24"/>
          <w:szCs w:val="24"/>
        </w:rPr>
      </w:pPr>
      <w:r w:rsidRPr="00873A7C">
        <w:rPr>
          <w:sz w:val="24"/>
          <w:szCs w:val="24"/>
        </w:rPr>
        <w:t xml:space="preserve">tieslietu </w:t>
      </w:r>
      <w:r w:rsidR="00DA5A0F" w:rsidRPr="00873A7C">
        <w:rPr>
          <w:sz w:val="24"/>
          <w:szCs w:val="24"/>
        </w:rPr>
        <w:t>ministr</w:t>
      </w:r>
      <w:r w:rsidRPr="00873A7C">
        <w:rPr>
          <w:sz w:val="24"/>
          <w:szCs w:val="24"/>
        </w:rPr>
        <w:t>s</w:t>
      </w:r>
      <w:r w:rsidR="00DA5A0F" w:rsidRPr="00873A7C">
        <w:rPr>
          <w:sz w:val="24"/>
          <w:szCs w:val="24"/>
        </w:rPr>
        <w:tab/>
      </w:r>
      <w:r w:rsidRPr="00873A7C">
        <w:rPr>
          <w:sz w:val="24"/>
          <w:szCs w:val="24"/>
        </w:rPr>
        <w:tab/>
      </w:r>
      <w:r w:rsidRPr="00873A7C">
        <w:rPr>
          <w:sz w:val="24"/>
          <w:szCs w:val="24"/>
        </w:rPr>
        <w:tab/>
      </w:r>
      <w:r w:rsidRPr="00873A7C">
        <w:rPr>
          <w:sz w:val="24"/>
          <w:szCs w:val="24"/>
        </w:rPr>
        <w:tab/>
      </w:r>
      <w:r w:rsidRPr="00873A7C">
        <w:rPr>
          <w:sz w:val="24"/>
          <w:szCs w:val="24"/>
        </w:rPr>
        <w:tab/>
      </w:r>
      <w:r w:rsidRPr="00873A7C">
        <w:rPr>
          <w:sz w:val="24"/>
          <w:szCs w:val="24"/>
        </w:rPr>
        <w:tab/>
      </w:r>
      <w:r w:rsidRPr="00873A7C">
        <w:rPr>
          <w:sz w:val="24"/>
          <w:szCs w:val="24"/>
        </w:rPr>
        <w:tab/>
      </w:r>
      <w:r w:rsidRPr="00873A7C">
        <w:rPr>
          <w:sz w:val="24"/>
          <w:szCs w:val="24"/>
        </w:rPr>
        <w:tab/>
        <w:t>Dzintars Rasnačs</w:t>
      </w:r>
    </w:p>
    <w:p w:rsidR="00716AC1" w:rsidRPr="00873A7C" w:rsidRDefault="00716AC1">
      <w:pPr>
        <w:pStyle w:val="StyleRight"/>
        <w:spacing w:after="0"/>
        <w:ind w:firstLine="0"/>
        <w:jc w:val="both"/>
        <w:rPr>
          <w:sz w:val="24"/>
          <w:szCs w:val="24"/>
        </w:rPr>
      </w:pPr>
    </w:p>
    <w:p w:rsidR="000A3BE5" w:rsidRPr="00873A7C" w:rsidRDefault="000A3BE5">
      <w:pPr>
        <w:pStyle w:val="StyleRight"/>
        <w:spacing w:after="0"/>
        <w:ind w:firstLine="0"/>
        <w:jc w:val="both"/>
        <w:rPr>
          <w:sz w:val="20"/>
          <w:szCs w:val="20"/>
        </w:rPr>
      </w:pPr>
    </w:p>
    <w:p w:rsidR="0059487C" w:rsidRPr="00873A7C" w:rsidRDefault="0059487C">
      <w:pPr>
        <w:pStyle w:val="StyleRight"/>
        <w:spacing w:after="0"/>
        <w:ind w:firstLine="0"/>
        <w:jc w:val="both"/>
        <w:rPr>
          <w:sz w:val="20"/>
          <w:szCs w:val="20"/>
        </w:rPr>
      </w:pPr>
    </w:p>
    <w:p w:rsidR="004D15A9" w:rsidRPr="00873A7C" w:rsidRDefault="009D5F8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E.Krjukova</w:t>
      </w:r>
      <w:proofErr w:type="spellEnd"/>
    </w:p>
    <w:p w:rsidR="004D15A9" w:rsidRPr="008833CD" w:rsidRDefault="005336BD">
      <w:pPr>
        <w:spacing w:after="0" w:line="240" w:lineRule="auto"/>
        <w:rPr>
          <w:rFonts w:ascii="Times New Roman" w:hAnsi="Times New Roman" w:cs="Times New Roman"/>
          <w:sz w:val="20"/>
          <w:szCs w:val="20"/>
        </w:rPr>
      </w:pPr>
      <w:r w:rsidRPr="00873A7C">
        <w:rPr>
          <w:rFonts w:ascii="Times New Roman" w:hAnsi="Times New Roman" w:cs="Times New Roman"/>
          <w:sz w:val="20"/>
          <w:szCs w:val="20"/>
        </w:rPr>
        <w:t>6703683</w:t>
      </w:r>
      <w:r w:rsidR="009D5F85">
        <w:rPr>
          <w:rFonts w:ascii="Times New Roman" w:hAnsi="Times New Roman" w:cs="Times New Roman"/>
          <w:sz w:val="20"/>
          <w:szCs w:val="20"/>
        </w:rPr>
        <w:t>1</w:t>
      </w:r>
      <w:r w:rsidR="004D15A9" w:rsidRPr="00873A7C">
        <w:rPr>
          <w:rFonts w:ascii="Times New Roman" w:hAnsi="Times New Roman" w:cs="Times New Roman"/>
          <w:sz w:val="20"/>
          <w:szCs w:val="20"/>
        </w:rPr>
        <w:t xml:space="preserve">; </w:t>
      </w:r>
      <w:hyperlink r:id="rId11" w:history="1">
        <w:r w:rsidR="009D5F85" w:rsidRPr="00690686">
          <w:rPr>
            <w:rStyle w:val="Hipersaite"/>
            <w:rFonts w:ascii="Times New Roman" w:hAnsi="Times New Roman" w:cs="Times New Roman"/>
            <w:sz w:val="20"/>
            <w:szCs w:val="20"/>
          </w:rPr>
          <w:t>Eva.Krjukova@tm.gov.lv</w:t>
        </w:r>
      </w:hyperlink>
      <w:r w:rsidR="00DC7FC8" w:rsidRPr="008833CD">
        <w:rPr>
          <w:rFonts w:ascii="Times New Roman" w:hAnsi="Times New Roman" w:cs="Times New Roman"/>
          <w:sz w:val="20"/>
          <w:szCs w:val="20"/>
        </w:rPr>
        <w:t xml:space="preserve"> </w:t>
      </w:r>
    </w:p>
    <w:sectPr w:rsidR="004D15A9" w:rsidRPr="008833CD" w:rsidSect="00B70E6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95E" w:rsidRDefault="0082095E" w:rsidP="004D15A9">
      <w:pPr>
        <w:spacing w:after="0" w:line="240" w:lineRule="auto"/>
      </w:pPr>
      <w:r>
        <w:separator/>
      </w:r>
    </w:p>
  </w:endnote>
  <w:endnote w:type="continuationSeparator" w:id="0">
    <w:p w:rsidR="0082095E" w:rsidRDefault="0082095E"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B4" w:rsidRDefault="008650B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B4" w:rsidRPr="00947887" w:rsidRDefault="008650B4" w:rsidP="00947887">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TMAnot_</w:t>
    </w:r>
    <w:r w:rsidR="00303642">
      <w:rPr>
        <w:rFonts w:ascii="Times New Roman" w:hAnsi="Times New Roman" w:cs="Times New Roman"/>
        <w:color w:val="000000" w:themeColor="text1"/>
        <w:sz w:val="20"/>
        <w:szCs w:val="20"/>
      </w:rPr>
      <w:t>15</w:t>
    </w:r>
    <w:r>
      <w:rPr>
        <w:rFonts w:ascii="Times New Roman" w:hAnsi="Times New Roman" w:cs="Times New Roman"/>
        <w:color w:val="000000" w:themeColor="text1"/>
        <w:sz w:val="20"/>
        <w:szCs w:val="20"/>
      </w:rPr>
      <w:t>0118</w:t>
    </w:r>
    <w:r w:rsidRPr="00B01D63">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takses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B4" w:rsidRPr="00B01D63" w:rsidRDefault="008650B4"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0</w:t>
    </w:r>
    <w:r w:rsidR="00AA16FF">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0118</w:t>
    </w:r>
    <w:r w:rsidRPr="00B01D63">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takses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95E" w:rsidRDefault="0082095E" w:rsidP="004D15A9">
      <w:pPr>
        <w:spacing w:after="0" w:line="240" w:lineRule="auto"/>
      </w:pPr>
      <w:r>
        <w:separator/>
      </w:r>
    </w:p>
  </w:footnote>
  <w:footnote w:type="continuationSeparator" w:id="0">
    <w:p w:rsidR="0082095E" w:rsidRDefault="0082095E"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B4" w:rsidRDefault="008650B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rsidR="008650B4" w:rsidRPr="004D15A9" w:rsidRDefault="008650B4">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923EA1">
          <w:rPr>
            <w:rFonts w:ascii="Times New Roman" w:hAnsi="Times New Roman" w:cs="Times New Roman"/>
            <w:noProof/>
            <w:sz w:val="24"/>
            <w:szCs w:val="24"/>
          </w:rPr>
          <w:t>5</w:t>
        </w:r>
        <w:r w:rsidRPr="004D15A9">
          <w:rPr>
            <w:rFonts w:ascii="Times New Roman" w:hAnsi="Times New Roman" w:cs="Times New Roman"/>
            <w:sz w:val="24"/>
            <w:szCs w:val="24"/>
          </w:rPr>
          <w:fldChar w:fldCharType="end"/>
        </w:r>
      </w:p>
    </w:sdtContent>
  </w:sdt>
  <w:p w:rsidR="008650B4" w:rsidRDefault="008650B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B4" w:rsidRDefault="008650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2"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5"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6"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1FFD"/>
    <w:rsid w:val="000073FE"/>
    <w:rsid w:val="00020B55"/>
    <w:rsid w:val="00023AF7"/>
    <w:rsid w:val="000260E6"/>
    <w:rsid w:val="00031256"/>
    <w:rsid w:val="00042787"/>
    <w:rsid w:val="00050D8B"/>
    <w:rsid w:val="00052793"/>
    <w:rsid w:val="00065136"/>
    <w:rsid w:val="00065E45"/>
    <w:rsid w:val="00066968"/>
    <w:rsid w:val="00075D9C"/>
    <w:rsid w:val="0009153D"/>
    <w:rsid w:val="00092D36"/>
    <w:rsid w:val="000932C1"/>
    <w:rsid w:val="0009644D"/>
    <w:rsid w:val="000A1795"/>
    <w:rsid w:val="000A20DC"/>
    <w:rsid w:val="000A2519"/>
    <w:rsid w:val="000A3BE5"/>
    <w:rsid w:val="000B4DF4"/>
    <w:rsid w:val="000D07F3"/>
    <w:rsid w:val="000E27C6"/>
    <w:rsid w:val="00101CD5"/>
    <w:rsid w:val="001112E1"/>
    <w:rsid w:val="0012377F"/>
    <w:rsid w:val="0012432A"/>
    <w:rsid w:val="001523BC"/>
    <w:rsid w:val="00152991"/>
    <w:rsid w:val="0016688C"/>
    <w:rsid w:val="00170344"/>
    <w:rsid w:val="001704B9"/>
    <w:rsid w:val="00174A5F"/>
    <w:rsid w:val="00193B2C"/>
    <w:rsid w:val="0019773F"/>
    <w:rsid w:val="001979DD"/>
    <w:rsid w:val="001A1EEC"/>
    <w:rsid w:val="001A5455"/>
    <w:rsid w:val="001A78CF"/>
    <w:rsid w:val="001A790C"/>
    <w:rsid w:val="001B581F"/>
    <w:rsid w:val="001C20BA"/>
    <w:rsid w:val="001C5CC6"/>
    <w:rsid w:val="001D409A"/>
    <w:rsid w:val="001E7F37"/>
    <w:rsid w:val="001F1185"/>
    <w:rsid w:val="001F5BB2"/>
    <w:rsid w:val="001F6132"/>
    <w:rsid w:val="001F618F"/>
    <w:rsid w:val="0020298F"/>
    <w:rsid w:val="00214C30"/>
    <w:rsid w:val="002345CF"/>
    <w:rsid w:val="00245FE9"/>
    <w:rsid w:val="00246BDC"/>
    <w:rsid w:val="00247852"/>
    <w:rsid w:val="00260EF5"/>
    <w:rsid w:val="002628F7"/>
    <w:rsid w:val="00262C44"/>
    <w:rsid w:val="00283BA8"/>
    <w:rsid w:val="00284A6B"/>
    <w:rsid w:val="002A397E"/>
    <w:rsid w:val="002A5584"/>
    <w:rsid w:val="002A6686"/>
    <w:rsid w:val="002C2A03"/>
    <w:rsid w:val="002C3692"/>
    <w:rsid w:val="002C4DD1"/>
    <w:rsid w:val="002D39AA"/>
    <w:rsid w:val="002D58E4"/>
    <w:rsid w:val="002E1DA3"/>
    <w:rsid w:val="002E2543"/>
    <w:rsid w:val="002E593C"/>
    <w:rsid w:val="002F2071"/>
    <w:rsid w:val="00301AE6"/>
    <w:rsid w:val="00303642"/>
    <w:rsid w:val="0032319B"/>
    <w:rsid w:val="00330A3F"/>
    <w:rsid w:val="003365EF"/>
    <w:rsid w:val="00340157"/>
    <w:rsid w:val="00340F8B"/>
    <w:rsid w:val="00341660"/>
    <w:rsid w:val="00341845"/>
    <w:rsid w:val="00344436"/>
    <w:rsid w:val="00344E0A"/>
    <w:rsid w:val="00347C71"/>
    <w:rsid w:val="003922B0"/>
    <w:rsid w:val="00393A74"/>
    <w:rsid w:val="00394159"/>
    <w:rsid w:val="00396A95"/>
    <w:rsid w:val="003A085E"/>
    <w:rsid w:val="003A2A0B"/>
    <w:rsid w:val="003B5122"/>
    <w:rsid w:val="003C1E6C"/>
    <w:rsid w:val="003C2D21"/>
    <w:rsid w:val="003D01F7"/>
    <w:rsid w:val="003D1971"/>
    <w:rsid w:val="003E0690"/>
    <w:rsid w:val="003E0A66"/>
    <w:rsid w:val="003E6D32"/>
    <w:rsid w:val="003E7AC3"/>
    <w:rsid w:val="003F59F6"/>
    <w:rsid w:val="003F64D8"/>
    <w:rsid w:val="00401A91"/>
    <w:rsid w:val="004022EB"/>
    <w:rsid w:val="00402D35"/>
    <w:rsid w:val="00414B95"/>
    <w:rsid w:val="00436076"/>
    <w:rsid w:val="004406E1"/>
    <w:rsid w:val="00443241"/>
    <w:rsid w:val="00457548"/>
    <w:rsid w:val="00490942"/>
    <w:rsid w:val="004912D7"/>
    <w:rsid w:val="004A402E"/>
    <w:rsid w:val="004A474D"/>
    <w:rsid w:val="004A6D58"/>
    <w:rsid w:val="004B7903"/>
    <w:rsid w:val="004C0652"/>
    <w:rsid w:val="004C154B"/>
    <w:rsid w:val="004C3117"/>
    <w:rsid w:val="004C38EB"/>
    <w:rsid w:val="004D15A9"/>
    <w:rsid w:val="004D5E04"/>
    <w:rsid w:val="004E5650"/>
    <w:rsid w:val="004E5BC8"/>
    <w:rsid w:val="004F1E42"/>
    <w:rsid w:val="004F695E"/>
    <w:rsid w:val="00500B08"/>
    <w:rsid w:val="00504884"/>
    <w:rsid w:val="00506D83"/>
    <w:rsid w:val="00506E0A"/>
    <w:rsid w:val="00512075"/>
    <w:rsid w:val="00513E0A"/>
    <w:rsid w:val="0052269C"/>
    <w:rsid w:val="00525C01"/>
    <w:rsid w:val="00532FB8"/>
    <w:rsid w:val="005336BD"/>
    <w:rsid w:val="00534FD8"/>
    <w:rsid w:val="00536CBD"/>
    <w:rsid w:val="00540494"/>
    <w:rsid w:val="0054782B"/>
    <w:rsid w:val="00555795"/>
    <w:rsid w:val="00560F62"/>
    <w:rsid w:val="00562B9C"/>
    <w:rsid w:val="0056416B"/>
    <w:rsid w:val="00590EA0"/>
    <w:rsid w:val="0059487C"/>
    <w:rsid w:val="00595746"/>
    <w:rsid w:val="005D0F51"/>
    <w:rsid w:val="005D4E8A"/>
    <w:rsid w:val="005D612B"/>
    <w:rsid w:val="005E3EF6"/>
    <w:rsid w:val="005F07D2"/>
    <w:rsid w:val="005F4DCD"/>
    <w:rsid w:val="005F6F0C"/>
    <w:rsid w:val="00601D39"/>
    <w:rsid w:val="0060369A"/>
    <w:rsid w:val="00624636"/>
    <w:rsid w:val="006453A1"/>
    <w:rsid w:val="00646934"/>
    <w:rsid w:val="00647EA4"/>
    <w:rsid w:val="00666EA4"/>
    <w:rsid w:val="00667592"/>
    <w:rsid w:val="00670710"/>
    <w:rsid w:val="0067628F"/>
    <w:rsid w:val="0068219E"/>
    <w:rsid w:val="006823F5"/>
    <w:rsid w:val="0068617D"/>
    <w:rsid w:val="006920FC"/>
    <w:rsid w:val="00695DD3"/>
    <w:rsid w:val="006A2C24"/>
    <w:rsid w:val="006A33C0"/>
    <w:rsid w:val="006C24F6"/>
    <w:rsid w:val="006C2F74"/>
    <w:rsid w:val="006D0038"/>
    <w:rsid w:val="006D25B1"/>
    <w:rsid w:val="006D4310"/>
    <w:rsid w:val="006D7A51"/>
    <w:rsid w:val="006E3EC1"/>
    <w:rsid w:val="006E626E"/>
    <w:rsid w:val="006E6777"/>
    <w:rsid w:val="006F7336"/>
    <w:rsid w:val="00700604"/>
    <w:rsid w:val="00716AC1"/>
    <w:rsid w:val="007309A3"/>
    <w:rsid w:val="00752571"/>
    <w:rsid w:val="00756A2E"/>
    <w:rsid w:val="00777982"/>
    <w:rsid w:val="00781816"/>
    <w:rsid w:val="007909E2"/>
    <w:rsid w:val="007A0C02"/>
    <w:rsid w:val="007A2833"/>
    <w:rsid w:val="007B5864"/>
    <w:rsid w:val="007B79E6"/>
    <w:rsid w:val="007C6457"/>
    <w:rsid w:val="007D0838"/>
    <w:rsid w:val="007D483A"/>
    <w:rsid w:val="007D5202"/>
    <w:rsid w:val="007F7AED"/>
    <w:rsid w:val="008031B6"/>
    <w:rsid w:val="0081203F"/>
    <w:rsid w:val="0082095E"/>
    <w:rsid w:val="008211EE"/>
    <w:rsid w:val="008214F5"/>
    <w:rsid w:val="00826D2E"/>
    <w:rsid w:val="00826EBA"/>
    <w:rsid w:val="00831C69"/>
    <w:rsid w:val="008320AF"/>
    <w:rsid w:val="0084616E"/>
    <w:rsid w:val="008462DF"/>
    <w:rsid w:val="008549B5"/>
    <w:rsid w:val="00854DE1"/>
    <w:rsid w:val="00863DAC"/>
    <w:rsid w:val="008650B4"/>
    <w:rsid w:val="00866183"/>
    <w:rsid w:val="00873A7C"/>
    <w:rsid w:val="0088127B"/>
    <w:rsid w:val="008833CD"/>
    <w:rsid w:val="00895B6F"/>
    <w:rsid w:val="00896B65"/>
    <w:rsid w:val="008B54B8"/>
    <w:rsid w:val="008C12EC"/>
    <w:rsid w:val="008C24B4"/>
    <w:rsid w:val="008E3AD4"/>
    <w:rsid w:val="009047F8"/>
    <w:rsid w:val="0091366B"/>
    <w:rsid w:val="009167F3"/>
    <w:rsid w:val="00923EA1"/>
    <w:rsid w:val="00925E21"/>
    <w:rsid w:val="00932C23"/>
    <w:rsid w:val="00943620"/>
    <w:rsid w:val="00947202"/>
    <w:rsid w:val="00947887"/>
    <w:rsid w:val="00952E23"/>
    <w:rsid w:val="00960C42"/>
    <w:rsid w:val="00974334"/>
    <w:rsid w:val="009803D0"/>
    <w:rsid w:val="00986501"/>
    <w:rsid w:val="00992716"/>
    <w:rsid w:val="009A262D"/>
    <w:rsid w:val="009A2752"/>
    <w:rsid w:val="009A3F17"/>
    <w:rsid w:val="009A7065"/>
    <w:rsid w:val="009B0D0D"/>
    <w:rsid w:val="009C0099"/>
    <w:rsid w:val="009C0A7A"/>
    <w:rsid w:val="009C3F7B"/>
    <w:rsid w:val="009D342C"/>
    <w:rsid w:val="009D4F10"/>
    <w:rsid w:val="009D5F85"/>
    <w:rsid w:val="009D67C1"/>
    <w:rsid w:val="009D7ACD"/>
    <w:rsid w:val="009F752E"/>
    <w:rsid w:val="009F7DA1"/>
    <w:rsid w:val="00A062D6"/>
    <w:rsid w:val="00A13217"/>
    <w:rsid w:val="00A24395"/>
    <w:rsid w:val="00A33975"/>
    <w:rsid w:val="00A556B4"/>
    <w:rsid w:val="00A55C4F"/>
    <w:rsid w:val="00A60A25"/>
    <w:rsid w:val="00A8486B"/>
    <w:rsid w:val="00A85623"/>
    <w:rsid w:val="00A85CE8"/>
    <w:rsid w:val="00A870C8"/>
    <w:rsid w:val="00A97DDC"/>
    <w:rsid w:val="00AA16FF"/>
    <w:rsid w:val="00AA53DE"/>
    <w:rsid w:val="00AB16BD"/>
    <w:rsid w:val="00AB2C9A"/>
    <w:rsid w:val="00AB30A0"/>
    <w:rsid w:val="00AB6BE8"/>
    <w:rsid w:val="00AB7988"/>
    <w:rsid w:val="00AC3F4D"/>
    <w:rsid w:val="00AD711E"/>
    <w:rsid w:val="00AD77DD"/>
    <w:rsid w:val="00AD7869"/>
    <w:rsid w:val="00AE6476"/>
    <w:rsid w:val="00AE6A25"/>
    <w:rsid w:val="00AF1C57"/>
    <w:rsid w:val="00AF1E42"/>
    <w:rsid w:val="00AF5C14"/>
    <w:rsid w:val="00B01360"/>
    <w:rsid w:val="00B01D63"/>
    <w:rsid w:val="00B11078"/>
    <w:rsid w:val="00B2066E"/>
    <w:rsid w:val="00B232C4"/>
    <w:rsid w:val="00B30BD5"/>
    <w:rsid w:val="00B52986"/>
    <w:rsid w:val="00B543BE"/>
    <w:rsid w:val="00B66A61"/>
    <w:rsid w:val="00B70E6A"/>
    <w:rsid w:val="00B713E3"/>
    <w:rsid w:val="00B754D1"/>
    <w:rsid w:val="00B818AB"/>
    <w:rsid w:val="00B8466F"/>
    <w:rsid w:val="00B979EC"/>
    <w:rsid w:val="00BA299C"/>
    <w:rsid w:val="00BA6230"/>
    <w:rsid w:val="00BB1F46"/>
    <w:rsid w:val="00BB60EA"/>
    <w:rsid w:val="00BC27C3"/>
    <w:rsid w:val="00BD2A76"/>
    <w:rsid w:val="00BD5502"/>
    <w:rsid w:val="00BE5E2A"/>
    <w:rsid w:val="00BF14BB"/>
    <w:rsid w:val="00BF6B32"/>
    <w:rsid w:val="00C0169D"/>
    <w:rsid w:val="00C25867"/>
    <w:rsid w:val="00C34993"/>
    <w:rsid w:val="00C3649D"/>
    <w:rsid w:val="00C368DC"/>
    <w:rsid w:val="00C37D20"/>
    <w:rsid w:val="00C5564D"/>
    <w:rsid w:val="00C56E2A"/>
    <w:rsid w:val="00C61B9C"/>
    <w:rsid w:val="00C651CF"/>
    <w:rsid w:val="00C656AE"/>
    <w:rsid w:val="00C747E2"/>
    <w:rsid w:val="00C74E2E"/>
    <w:rsid w:val="00C8732A"/>
    <w:rsid w:val="00C945CA"/>
    <w:rsid w:val="00CA2D08"/>
    <w:rsid w:val="00CA2EE8"/>
    <w:rsid w:val="00CA4682"/>
    <w:rsid w:val="00CA6E0F"/>
    <w:rsid w:val="00CA7F10"/>
    <w:rsid w:val="00CC11F2"/>
    <w:rsid w:val="00CC6512"/>
    <w:rsid w:val="00CD3BD8"/>
    <w:rsid w:val="00CE0C64"/>
    <w:rsid w:val="00CE17EC"/>
    <w:rsid w:val="00CE2FF7"/>
    <w:rsid w:val="00CE71A7"/>
    <w:rsid w:val="00CF503F"/>
    <w:rsid w:val="00D0663C"/>
    <w:rsid w:val="00D07F4D"/>
    <w:rsid w:val="00D1003C"/>
    <w:rsid w:val="00D14338"/>
    <w:rsid w:val="00D2380E"/>
    <w:rsid w:val="00D251B2"/>
    <w:rsid w:val="00D276D8"/>
    <w:rsid w:val="00D27932"/>
    <w:rsid w:val="00D313D5"/>
    <w:rsid w:val="00D47C5D"/>
    <w:rsid w:val="00D57FFE"/>
    <w:rsid w:val="00D64CBD"/>
    <w:rsid w:val="00D85A82"/>
    <w:rsid w:val="00D944EA"/>
    <w:rsid w:val="00D94855"/>
    <w:rsid w:val="00DA5804"/>
    <w:rsid w:val="00DA596D"/>
    <w:rsid w:val="00DA5A0F"/>
    <w:rsid w:val="00DB0BC6"/>
    <w:rsid w:val="00DB1D59"/>
    <w:rsid w:val="00DB4355"/>
    <w:rsid w:val="00DC51A0"/>
    <w:rsid w:val="00DC7FC8"/>
    <w:rsid w:val="00DD074F"/>
    <w:rsid w:val="00DD53EB"/>
    <w:rsid w:val="00DD5BE7"/>
    <w:rsid w:val="00DD7EAB"/>
    <w:rsid w:val="00DF40EC"/>
    <w:rsid w:val="00E00A0D"/>
    <w:rsid w:val="00E04F2F"/>
    <w:rsid w:val="00E12FE6"/>
    <w:rsid w:val="00E15681"/>
    <w:rsid w:val="00E2346A"/>
    <w:rsid w:val="00E365F9"/>
    <w:rsid w:val="00E40219"/>
    <w:rsid w:val="00E4318E"/>
    <w:rsid w:val="00E44EEF"/>
    <w:rsid w:val="00E468CC"/>
    <w:rsid w:val="00E476FC"/>
    <w:rsid w:val="00E53106"/>
    <w:rsid w:val="00E564F4"/>
    <w:rsid w:val="00E61200"/>
    <w:rsid w:val="00E65F5A"/>
    <w:rsid w:val="00E75DFC"/>
    <w:rsid w:val="00E83D21"/>
    <w:rsid w:val="00E86601"/>
    <w:rsid w:val="00EB5DA3"/>
    <w:rsid w:val="00EC4A15"/>
    <w:rsid w:val="00ED7056"/>
    <w:rsid w:val="00ED70A8"/>
    <w:rsid w:val="00EE3E3D"/>
    <w:rsid w:val="00EF22B9"/>
    <w:rsid w:val="00F01FB0"/>
    <w:rsid w:val="00F13AC2"/>
    <w:rsid w:val="00F17B46"/>
    <w:rsid w:val="00F23D71"/>
    <w:rsid w:val="00F57869"/>
    <w:rsid w:val="00F6606D"/>
    <w:rsid w:val="00F749E7"/>
    <w:rsid w:val="00F766E9"/>
    <w:rsid w:val="00F8515D"/>
    <w:rsid w:val="00F86C0F"/>
    <w:rsid w:val="00F9240B"/>
    <w:rsid w:val="00F96A3A"/>
    <w:rsid w:val="00FA1323"/>
    <w:rsid w:val="00FA2392"/>
    <w:rsid w:val="00FB6D49"/>
    <w:rsid w:val="00FC3DE3"/>
    <w:rsid w:val="00FD2924"/>
    <w:rsid w:val="00FE61D7"/>
    <w:rsid w:val="00FF4BF4"/>
    <w:rsid w:val="00FF53F8"/>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B6B9"/>
  <w15:docId w15:val="{C679EE86-2AF3-4BC6-B493-5C9C5BC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basedOn w:val="Parasts"/>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semiHidden/>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9D5F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Krjukova@tm.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2.xml><?xml version="1.0" encoding="utf-8"?>
<ds:datastoreItem xmlns:ds="http://schemas.openxmlformats.org/officeDocument/2006/customXml" ds:itemID="{8D6BF501-ACD8-4C0D-9D86-D5868FED5797}">
  <ds:schemaRef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9539FC-30A9-4970-8C40-ECEAD3C6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7477</Words>
  <Characters>4263</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vector>
  </TitlesOfParts>
  <Company>Tieslietu ministrija</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2009.gada 22.decembra noteikumos Nr.1493 „Noteikumi par valsts nodrošinātās juridiskās palīdzības apjomu, samaksas apmēru, atlīdzināmajiem izdevumiem un to izmaksas kārtību”” sākotnējās ietekmes novērtējuma ziņojums (anotācija)</dc:title>
  <dc:subject>Anotācija</dc:subject>
  <dc:creator>Tieslietu ministrija</dc:creator>
  <dc:description>Eva Krjukova
67036831
eva.krjukova@tm.gov.lv</dc:description>
  <cp:lastModifiedBy>Eva Krjukova</cp:lastModifiedBy>
  <cp:revision>14</cp:revision>
  <cp:lastPrinted>2016-05-10T11:06:00Z</cp:lastPrinted>
  <dcterms:created xsi:type="dcterms:W3CDTF">2018-01-08T10:50:00Z</dcterms:created>
  <dcterms:modified xsi:type="dcterms:W3CDTF">2018-01-17T12:41:00Z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