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10" w:rsidRPr="00A3669F" w:rsidRDefault="00BA2710" w:rsidP="00BA2710">
      <w:pPr>
        <w:spacing w:after="0" w:line="240" w:lineRule="auto"/>
        <w:jc w:val="center"/>
        <w:outlineLvl w:val="0"/>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Ministru kabineta noteikumu projekta „</w:t>
      </w:r>
      <w:r>
        <w:rPr>
          <w:rFonts w:ascii="Times New Roman" w:eastAsia="Times New Roman" w:hAnsi="Times New Roman" w:cs="Times New Roman"/>
          <w:b/>
          <w:sz w:val="24"/>
          <w:szCs w:val="24"/>
          <w:lang w:eastAsia="lv-LV"/>
        </w:rPr>
        <w:t>Grozījumi Ministru kabineta 2015. gada 16. jūnija noteikumos Nr. 318</w:t>
      </w:r>
      <w:r w:rsidRPr="00A3669F">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Elektronisko izsoļu vietnes noteikumi</w:t>
      </w:r>
      <w:r w:rsidRPr="00A3669F">
        <w:rPr>
          <w:rFonts w:ascii="Times New Roman" w:eastAsia="Times New Roman" w:hAnsi="Times New Roman" w:cs="Times New Roman"/>
          <w:b/>
          <w:sz w:val="24"/>
          <w:szCs w:val="24"/>
          <w:lang w:eastAsia="lv-LV"/>
        </w:rPr>
        <w:t xml:space="preserve">”” sākotnējās ietekmes novērtējuma </w:t>
      </w:r>
      <w:smartTag w:uri="schemas-tilde-lv/tildestengine" w:element="veidnes">
        <w:smartTagPr>
          <w:attr w:name="id" w:val="-1"/>
          <w:attr w:name="baseform" w:val="ziņojums"/>
          <w:attr w:name="text" w:val="ziņojums"/>
        </w:smartTagPr>
        <w:r w:rsidRPr="00A3669F">
          <w:rPr>
            <w:rFonts w:ascii="Times New Roman" w:eastAsia="Times New Roman" w:hAnsi="Times New Roman" w:cs="Times New Roman"/>
            <w:b/>
            <w:sz w:val="24"/>
            <w:szCs w:val="24"/>
            <w:lang w:eastAsia="lv-LV"/>
          </w:rPr>
          <w:t>ziņojums</w:t>
        </w:r>
      </w:smartTag>
      <w:r w:rsidRPr="00A3669F">
        <w:rPr>
          <w:rFonts w:ascii="Times New Roman" w:eastAsia="Times New Roman" w:hAnsi="Times New Roman" w:cs="Times New Roman"/>
          <w:b/>
          <w:sz w:val="24"/>
          <w:szCs w:val="24"/>
          <w:lang w:eastAsia="lv-LV"/>
        </w:rPr>
        <w:t xml:space="preserve"> (anotācija)</w:t>
      </w:r>
    </w:p>
    <w:tbl>
      <w:tblPr>
        <w:tblpPr w:leftFromText="180" w:rightFromText="180" w:vertAnchor="text" w:horzAnchor="margin" w:tblpXSpec="center" w:tblpY="149"/>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147"/>
        <w:gridCol w:w="2410"/>
        <w:gridCol w:w="6662"/>
      </w:tblGrid>
      <w:tr w:rsidR="00BA2710" w:rsidRPr="00A3669F" w:rsidTr="008C2A5A">
        <w:tc>
          <w:tcPr>
            <w:tcW w:w="9644" w:type="dxa"/>
            <w:gridSpan w:val="4"/>
            <w:vAlign w:val="center"/>
          </w:tcPr>
          <w:p w:rsidR="00BA2710" w:rsidRPr="00A3669F" w:rsidRDefault="00BA2710" w:rsidP="008C2A5A">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 Tiesību akta projekta izstrādes nepieciešamība</w:t>
            </w:r>
          </w:p>
        </w:tc>
      </w:tr>
      <w:tr w:rsidR="00BA2710" w:rsidRPr="00A3669F" w:rsidTr="008C2A5A">
        <w:trPr>
          <w:trHeight w:val="630"/>
        </w:trPr>
        <w:tc>
          <w:tcPr>
            <w:tcW w:w="572" w:type="dxa"/>
            <w:gridSpan w:val="2"/>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1.</w:t>
            </w:r>
          </w:p>
        </w:tc>
        <w:tc>
          <w:tcPr>
            <w:tcW w:w="2410" w:type="dxa"/>
          </w:tcPr>
          <w:p w:rsidR="00BA2710" w:rsidRPr="00A3669F" w:rsidRDefault="00BA2710" w:rsidP="008C2A5A">
            <w:pPr>
              <w:spacing w:after="0" w:line="240" w:lineRule="auto"/>
              <w:ind w:hanging="10"/>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Pamatojums</w:t>
            </w:r>
          </w:p>
        </w:tc>
        <w:tc>
          <w:tcPr>
            <w:tcW w:w="6662" w:type="dxa"/>
          </w:tcPr>
          <w:p w:rsidR="00BA2710" w:rsidRPr="00A3669F" w:rsidRDefault="00BA2710" w:rsidP="009A7002">
            <w:pPr>
              <w:spacing w:after="0" w:line="240" w:lineRule="auto"/>
              <w:ind w:firstLine="409"/>
              <w:jc w:val="both"/>
              <w:rPr>
                <w:rFonts w:ascii="Times New Roman" w:hAnsi="Times New Roman" w:cs="Times New Roman"/>
                <w:sz w:val="24"/>
                <w:szCs w:val="24"/>
                <w:lang w:eastAsia="lv-LV"/>
              </w:rPr>
            </w:pPr>
            <w:r w:rsidRPr="00A3669F">
              <w:rPr>
                <w:rFonts w:ascii="Times New Roman" w:hAnsi="Times New Roman" w:cs="Times New Roman"/>
                <w:sz w:val="24"/>
                <w:szCs w:val="24"/>
                <w:lang w:eastAsia="lv-LV"/>
              </w:rPr>
              <w:t xml:space="preserve">Ministru kabineta noteikumu projekts </w:t>
            </w:r>
            <w:r w:rsidR="009A7002">
              <w:rPr>
                <w:rFonts w:ascii="Times New Roman" w:hAnsi="Times New Roman" w:cs="Times New Roman"/>
                <w:sz w:val="24"/>
                <w:szCs w:val="24"/>
                <w:lang w:eastAsia="lv-LV"/>
              </w:rPr>
              <w:t xml:space="preserve">“Grozījumi Ministru kabineta 2015. gada 16. jūnija noteikumos Nr. 318 “Elektronisko izsoļu vietnes noteikumi”” (turpmāk – noteikumu projekts) </w:t>
            </w:r>
            <w:r w:rsidRPr="00A3669F">
              <w:rPr>
                <w:rFonts w:ascii="Times New Roman" w:hAnsi="Times New Roman" w:cs="Times New Roman"/>
                <w:sz w:val="24"/>
                <w:szCs w:val="24"/>
                <w:lang w:eastAsia="lv-LV"/>
              </w:rPr>
              <w:t>izstrādāts pēc Tieslietu ministrijas iniciatīvas.</w:t>
            </w:r>
          </w:p>
        </w:tc>
      </w:tr>
      <w:tr w:rsidR="00BA2710" w:rsidRPr="00A3669F" w:rsidTr="008C2A5A">
        <w:trPr>
          <w:trHeight w:val="472"/>
        </w:trPr>
        <w:tc>
          <w:tcPr>
            <w:tcW w:w="572" w:type="dxa"/>
            <w:gridSpan w:val="2"/>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2.</w:t>
            </w:r>
          </w:p>
        </w:tc>
        <w:tc>
          <w:tcPr>
            <w:tcW w:w="2410" w:type="dxa"/>
          </w:tcPr>
          <w:p w:rsidR="00BA2710" w:rsidRPr="00A3669F" w:rsidRDefault="00BA2710" w:rsidP="008C2A5A">
            <w:pPr>
              <w:tabs>
                <w:tab w:val="left" w:pos="170"/>
              </w:tabs>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Pašreizējā situācija un problēmas, kuru risināšanai tiesību akta projekts izstrādāts, tiesiskā regulējuma mērķis un būtība</w:t>
            </w:r>
          </w:p>
        </w:tc>
        <w:tc>
          <w:tcPr>
            <w:tcW w:w="6662" w:type="dxa"/>
          </w:tcPr>
          <w:p w:rsidR="00FF1C01" w:rsidRPr="004330AD" w:rsidRDefault="00BA2710" w:rsidP="00FF1C01">
            <w:pPr>
              <w:pStyle w:val="tv213"/>
              <w:spacing w:before="0" w:beforeAutospacing="0" w:after="0" w:afterAutospacing="0"/>
              <w:ind w:firstLine="567"/>
              <w:jc w:val="both"/>
              <w:rPr>
                <w:lang w:val="lv-LV"/>
              </w:rPr>
            </w:pPr>
            <w:r w:rsidRPr="004330AD">
              <w:rPr>
                <w:lang w:val="lv-LV"/>
              </w:rPr>
              <w:t>2015. gada 1. jūlijā stājās spēkā Ministru kabineta 2015.</w:t>
            </w:r>
            <w:r w:rsidR="00041403" w:rsidRPr="004330AD">
              <w:rPr>
                <w:lang w:val="lv-LV"/>
              </w:rPr>
              <w:t> </w:t>
            </w:r>
            <w:r w:rsidRPr="004330AD">
              <w:rPr>
                <w:lang w:val="lv-LV"/>
              </w:rPr>
              <w:t>gada 16.</w:t>
            </w:r>
            <w:r w:rsidR="00041403" w:rsidRPr="004330AD">
              <w:rPr>
                <w:lang w:val="lv-LV"/>
              </w:rPr>
              <w:t> </w:t>
            </w:r>
            <w:r w:rsidRPr="004330AD">
              <w:rPr>
                <w:lang w:val="lv-LV"/>
              </w:rPr>
              <w:t>jūnija noteikumi Nr. 318 “Elektronisko izsoļu vietnes noteikumi”</w:t>
            </w:r>
            <w:r w:rsidR="002A275F" w:rsidRPr="004330AD">
              <w:rPr>
                <w:lang w:val="lv-LV"/>
              </w:rPr>
              <w:t xml:space="preserve"> (turpmāk – noteikumi Nr. 318)</w:t>
            </w:r>
            <w:r w:rsidRPr="004330AD">
              <w:rPr>
                <w:lang w:val="lv-LV"/>
              </w:rPr>
              <w:t>, kas nosaka kārtību, kādā veic darbības elektronisko izsoļu vietnē (</w:t>
            </w:r>
            <w:r w:rsidRPr="004330AD">
              <w:rPr>
                <w:i/>
                <w:lang w:val="lv-LV"/>
              </w:rPr>
              <w:t>https://izsoles.ta.gov.lv</w:t>
            </w:r>
            <w:r w:rsidRPr="004330AD">
              <w:rPr>
                <w:lang w:val="lv-LV"/>
              </w:rPr>
              <w:t>), kā arī kārtību, kādā Izsoļu dalībnieku reģistrā iekļauj ziņas par personu, iekļaujamo ziņu apjomu, kā arī šo ziņu aktualizēšanas un dzēšanas kārtību.</w:t>
            </w:r>
            <w:r w:rsidR="00BC6E2B" w:rsidRPr="004330AD">
              <w:rPr>
                <w:lang w:val="lv-LV"/>
              </w:rPr>
              <w:t xml:space="preserve"> </w:t>
            </w:r>
          </w:p>
          <w:p w:rsidR="00BC6E2B" w:rsidRPr="004330AD" w:rsidRDefault="00BC6E2B" w:rsidP="00030692">
            <w:pPr>
              <w:pStyle w:val="tv213"/>
              <w:spacing w:before="0" w:beforeAutospacing="0" w:after="0" w:afterAutospacing="0"/>
              <w:ind w:firstLine="567"/>
              <w:jc w:val="both"/>
              <w:rPr>
                <w:lang w:val="lv-LV"/>
              </w:rPr>
            </w:pPr>
            <w:r w:rsidRPr="004330AD">
              <w:rPr>
                <w:lang w:val="lv-LV"/>
              </w:rPr>
              <w:t xml:space="preserve">Kārtību, kādā sprieduma izpildes procesā organizējamas un noturamas nekustamā īpašuma izsoles nosaka Civilprocesa likums. </w:t>
            </w:r>
            <w:r w:rsidR="00030692" w:rsidRPr="004330AD">
              <w:rPr>
                <w:lang w:val="lv-LV"/>
              </w:rPr>
              <w:t>2015</w:t>
            </w:r>
            <w:r w:rsidRPr="004330AD">
              <w:rPr>
                <w:lang w:val="lv-LV"/>
              </w:rPr>
              <w:t xml:space="preserve">. gada </w:t>
            </w:r>
            <w:r w:rsidR="00FF1C01" w:rsidRPr="004330AD">
              <w:rPr>
                <w:lang w:val="lv-LV"/>
              </w:rPr>
              <w:t xml:space="preserve">17. decembrī Saeima otrajā lasījumā pieņēmusi </w:t>
            </w:r>
            <w:r w:rsidRPr="004330AD">
              <w:rPr>
                <w:lang w:val="lv-LV"/>
              </w:rPr>
              <w:t>likum</w:t>
            </w:r>
            <w:r w:rsidR="00FF1C01" w:rsidRPr="004330AD">
              <w:rPr>
                <w:lang w:val="lv-LV"/>
              </w:rPr>
              <w:t>projektu</w:t>
            </w:r>
            <w:r w:rsidRPr="004330AD">
              <w:rPr>
                <w:lang w:val="lv-LV"/>
              </w:rPr>
              <w:t xml:space="preserve"> “Grozījumi Civilprocesa likumā”</w:t>
            </w:r>
            <w:r w:rsidR="00FF1C01" w:rsidRPr="004330AD">
              <w:rPr>
                <w:lang w:val="lv-LV"/>
              </w:rPr>
              <w:t xml:space="preserve">, ar kuru vienlaikus </w:t>
            </w:r>
            <w:r w:rsidR="002B54B9" w:rsidRPr="004330AD">
              <w:rPr>
                <w:lang w:val="lv-LV"/>
              </w:rPr>
              <w:t xml:space="preserve">veikti atsevišķi grozījumi attiecībā uz nekustamo īpašumu izsoļu organizēšanas un norises kārtību, ar mērķi </w:t>
            </w:r>
            <w:r w:rsidR="00030692" w:rsidRPr="004330AD">
              <w:rPr>
                <w:lang w:val="lv-LV"/>
              </w:rPr>
              <w:t xml:space="preserve">novērst </w:t>
            </w:r>
            <w:r w:rsidRPr="004330AD">
              <w:rPr>
                <w:lang w:val="lv-LV"/>
              </w:rPr>
              <w:t>praksē</w:t>
            </w:r>
            <w:r w:rsidR="00030692" w:rsidRPr="004330AD">
              <w:rPr>
                <w:lang w:val="lv-LV"/>
              </w:rPr>
              <w:t xml:space="preserve"> konstatētus</w:t>
            </w:r>
            <w:r w:rsidRPr="004330AD">
              <w:rPr>
                <w:lang w:val="lv-LV"/>
              </w:rPr>
              <w:t xml:space="preserve"> atsevišķus jautājumus, </w:t>
            </w:r>
            <w:r w:rsidR="00030692" w:rsidRPr="004330AD">
              <w:rPr>
                <w:lang w:val="lv-LV"/>
              </w:rPr>
              <w:t xml:space="preserve">kuros veidojās atšķirīga prakse, kā arī </w:t>
            </w:r>
            <w:r w:rsidRPr="004330AD">
              <w:rPr>
                <w:lang w:val="lv-LV"/>
              </w:rPr>
              <w:t>pilnveidot</w:t>
            </w:r>
            <w:r w:rsidR="00030692" w:rsidRPr="004330AD">
              <w:rPr>
                <w:lang w:val="lv-LV"/>
              </w:rPr>
              <w:t>u izsoļu norises procesu</w:t>
            </w:r>
            <w:r w:rsidR="00FF1C01" w:rsidRPr="004330AD">
              <w:rPr>
                <w:lang w:val="lv-LV"/>
              </w:rPr>
              <w:t xml:space="preserve"> (likumprojekta Nr. 363/Lp12)</w:t>
            </w:r>
            <w:r w:rsidR="00030692" w:rsidRPr="004330AD">
              <w:rPr>
                <w:lang w:val="lv-LV"/>
              </w:rPr>
              <w:t>.</w:t>
            </w:r>
            <w:r w:rsidRPr="004330AD">
              <w:rPr>
                <w:lang w:val="lv-LV"/>
              </w:rPr>
              <w:t xml:space="preserve"> </w:t>
            </w:r>
            <w:r w:rsidR="00030692" w:rsidRPr="004330AD">
              <w:rPr>
                <w:lang w:val="lv-LV"/>
              </w:rPr>
              <w:t xml:space="preserve">Ņemot vērā Civilprocesa likumā veiktos grozījumus, attiecīgi precizējami noteikumi Nr. 318. </w:t>
            </w:r>
          </w:p>
          <w:p w:rsidR="00BA2710" w:rsidRPr="004330AD" w:rsidRDefault="002A275F" w:rsidP="002A275F">
            <w:pPr>
              <w:pStyle w:val="tv213"/>
              <w:spacing w:before="0" w:beforeAutospacing="0" w:after="0" w:afterAutospacing="0"/>
              <w:ind w:firstLine="567"/>
              <w:jc w:val="both"/>
              <w:rPr>
                <w:lang w:val="lv-LV"/>
              </w:rPr>
            </w:pPr>
            <w:r w:rsidRPr="004330AD">
              <w:rPr>
                <w:lang w:val="lv-LV"/>
              </w:rPr>
              <w:t xml:space="preserve">Saskaņā ar noteikumu Nr. 318 29. punktu, </w:t>
            </w:r>
            <w:r w:rsidRPr="004330AD">
              <w:rPr>
                <w:u w:val="single"/>
                <w:lang w:val="lv-LV"/>
              </w:rPr>
              <w:t>saņemot personas lūgumu</w:t>
            </w:r>
            <w:r w:rsidRPr="004330AD">
              <w:rPr>
                <w:lang w:val="lv-LV"/>
              </w:rPr>
              <w:t xml:space="preserve"> par autorizēšanu dalībai izsolē, zvērināts tiesu izpildītājs vai maksātnespējas procesa administrators </w:t>
            </w:r>
            <w:r w:rsidRPr="004330AD">
              <w:rPr>
                <w:u w:val="single"/>
                <w:lang w:val="lv-LV"/>
              </w:rPr>
              <w:t>piecu darbdienu laikā</w:t>
            </w:r>
            <w:r w:rsidRPr="004330AD">
              <w:rPr>
                <w:lang w:val="lv-LV"/>
              </w:rPr>
              <w:t xml:space="preserve"> pārliecinās, vai Izsoļu dalībnieku reģistrā reģistrēto personu var pielaist pie solīšanas saskaņā ar </w:t>
            </w:r>
            <w:hyperlink r:id="rId7" w:tgtFrame="_blank" w:history="1">
              <w:r w:rsidRPr="004330AD">
                <w:rPr>
                  <w:u w:val="single"/>
                  <w:lang w:val="lv-LV"/>
                </w:rPr>
                <w:t>Civilprocesa likuma</w:t>
              </w:r>
            </w:hyperlink>
            <w:r w:rsidRPr="004330AD">
              <w:rPr>
                <w:lang w:val="lv-LV"/>
              </w:rPr>
              <w:t xml:space="preserve"> normām, kā arī vai ir </w:t>
            </w:r>
            <w:proofErr w:type="gramStart"/>
            <w:r w:rsidRPr="004330AD">
              <w:rPr>
                <w:lang w:val="lv-LV"/>
              </w:rPr>
              <w:t>iemaksātas noteikumu</w:t>
            </w:r>
            <w:proofErr w:type="gramEnd"/>
            <w:r w:rsidRPr="004330AD">
              <w:rPr>
                <w:lang w:val="lv-LV"/>
              </w:rPr>
              <w:t xml:space="preserve"> Nr. 318 </w:t>
            </w:r>
            <w:hyperlink r:id="rId8" w:anchor="p28" w:tgtFrame="_blank" w:history="1">
              <w:r w:rsidRPr="004330AD">
                <w:rPr>
                  <w:u w:val="single"/>
                  <w:lang w:val="lv-LV"/>
                </w:rPr>
                <w:t>28. punktā</w:t>
              </w:r>
            </w:hyperlink>
            <w:r w:rsidRPr="004330AD">
              <w:rPr>
                <w:lang w:val="lv-LV"/>
              </w:rPr>
              <w:t xml:space="preserve"> minētās summas, un autorizē personu dalībai izsolē. </w:t>
            </w:r>
            <w:r w:rsidR="00DE3ECC" w:rsidRPr="004330AD">
              <w:rPr>
                <w:lang w:val="lv-LV"/>
              </w:rPr>
              <w:t>Ar 2015</w:t>
            </w:r>
            <w:r w:rsidR="00FF1C01" w:rsidRPr="004330AD">
              <w:rPr>
                <w:lang w:val="lv-LV"/>
              </w:rPr>
              <w:t>. gada 17. decembrī otrajā lasījumā pieņemto likumprojektu</w:t>
            </w:r>
            <w:r w:rsidR="008E25D1" w:rsidRPr="004330AD">
              <w:rPr>
                <w:lang w:val="lv-LV"/>
              </w:rPr>
              <w:t xml:space="preserve"> “Grozījumi Civilprocesa likumā” </w:t>
            </w:r>
            <w:r w:rsidR="00FF1C01" w:rsidRPr="004330AD">
              <w:rPr>
                <w:lang w:val="lv-LV"/>
              </w:rPr>
              <w:t xml:space="preserve">(likumprojekta Nr. 363/Lp12) </w:t>
            </w:r>
            <w:r w:rsidR="006E3EE3" w:rsidRPr="004330AD">
              <w:rPr>
                <w:lang w:val="lv-LV"/>
              </w:rPr>
              <w:t xml:space="preserve">jaunā redakcijā izteikta </w:t>
            </w:r>
            <w:r w:rsidR="008E25D1" w:rsidRPr="004330AD">
              <w:rPr>
                <w:lang w:val="lv-LV"/>
              </w:rPr>
              <w:t>Civilprocesa</w:t>
            </w:r>
            <w:r w:rsidR="00A61A09" w:rsidRPr="004330AD">
              <w:rPr>
                <w:lang w:val="lv-LV"/>
              </w:rPr>
              <w:t xml:space="preserve"> likuma</w:t>
            </w:r>
            <w:r w:rsidR="008E25D1" w:rsidRPr="004330AD">
              <w:rPr>
                <w:lang w:val="lv-LV"/>
              </w:rPr>
              <w:t xml:space="preserve"> 607. panta otr</w:t>
            </w:r>
            <w:r w:rsidR="006E3EE3" w:rsidRPr="004330AD">
              <w:rPr>
                <w:lang w:val="lv-LV"/>
              </w:rPr>
              <w:t>ā daļa</w:t>
            </w:r>
            <w:r w:rsidR="008E25D1" w:rsidRPr="004330AD">
              <w:rPr>
                <w:lang w:val="lv-LV"/>
              </w:rPr>
              <w:t xml:space="preserve">, </w:t>
            </w:r>
            <w:r w:rsidR="006E3EE3" w:rsidRPr="004330AD">
              <w:rPr>
                <w:lang w:val="lv-LV"/>
              </w:rPr>
              <w:t xml:space="preserve">grozot termiņu, kādā zvērināts tiesu izpildītājs pieņem lēmumu par personas autorizāciju dalībai nekustamā īpašuma izsolē. Proti, ar grozījumiem noteikts, ka zvērināts tiesu izpildītājs </w:t>
            </w:r>
            <w:r w:rsidR="00FF1C01" w:rsidRPr="004330AD">
              <w:rPr>
                <w:lang w:val="lv-LV"/>
              </w:rPr>
              <w:t xml:space="preserve">autorizē personu dalībai izsolē </w:t>
            </w:r>
            <w:r w:rsidR="00FF1C01" w:rsidRPr="004330AD">
              <w:rPr>
                <w:u w:val="single"/>
                <w:lang w:val="lv-LV"/>
              </w:rPr>
              <w:t>piecu darbdienu laikā no nodrošinājuma un personas lūguma saņemšanas dienas.</w:t>
            </w:r>
            <w:r w:rsidR="00FF1C01" w:rsidRPr="004330AD">
              <w:rPr>
                <w:lang w:val="lv-LV"/>
              </w:rPr>
              <w:t xml:space="preserve"> </w:t>
            </w:r>
            <w:r w:rsidR="006E3EE3" w:rsidRPr="004330AD">
              <w:rPr>
                <w:lang w:val="lv-LV"/>
              </w:rPr>
              <w:t xml:space="preserve">Tādējādi </w:t>
            </w:r>
            <w:r w:rsidRPr="004330AD">
              <w:rPr>
                <w:lang w:val="lv-LV"/>
              </w:rPr>
              <w:t>Civilprocesa likumā noteikts, ka persona, kura vēlas piedalīties zvērināta tiesu izpildītāja rīkotā nekustamā īpašuma izsolē, autorizācijai nepieciešamo</w:t>
            </w:r>
            <w:r w:rsidR="00F6484E" w:rsidRPr="004330AD">
              <w:rPr>
                <w:lang w:val="lv-LV"/>
              </w:rPr>
              <w:t>s</w:t>
            </w:r>
            <w:r w:rsidRPr="004330AD">
              <w:rPr>
                <w:lang w:val="lv-LV"/>
              </w:rPr>
              <w:t xml:space="preserve"> priekšnosacījumu</w:t>
            </w:r>
            <w:r w:rsidR="00F6484E" w:rsidRPr="004330AD">
              <w:rPr>
                <w:lang w:val="lv-LV"/>
              </w:rPr>
              <w:t>s</w:t>
            </w:r>
            <w:r w:rsidRPr="004330AD">
              <w:rPr>
                <w:lang w:val="lv-LV"/>
              </w:rPr>
              <w:t xml:space="preserve"> (lūguma iesniegšanu un </w:t>
            </w:r>
            <w:r w:rsidR="00F6484E" w:rsidRPr="004330AD">
              <w:rPr>
                <w:lang w:val="lv-LV"/>
              </w:rPr>
              <w:t>nekustamā īpašuma pirkuma nodrošinājuma iemaksu) var izpildīt atsevišķi (nevis vienā dienā), taču</w:t>
            </w:r>
            <w:proofErr w:type="gramStart"/>
            <w:r w:rsidR="00F6484E" w:rsidRPr="004330AD">
              <w:rPr>
                <w:lang w:val="lv-LV"/>
              </w:rPr>
              <w:t xml:space="preserve"> iekļaujoties termiņā</w:t>
            </w:r>
            <w:proofErr w:type="gramEnd"/>
            <w:r w:rsidR="00F6484E" w:rsidRPr="004330AD">
              <w:rPr>
                <w:lang w:val="lv-LV"/>
              </w:rPr>
              <w:t>, kas vēlāks par 20.dienu no nekustamā īpašuma izsoles sludinājumā norādītā izsoles sākuma datuma.</w:t>
            </w:r>
          </w:p>
          <w:p w:rsidR="00BA2710" w:rsidRPr="004330AD" w:rsidRDefault="00F6484E" w:rsidP="00BA2710">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Ņemot vērā minēto, nepieciešams precizēt noteikumu Nr. 318 29. punktu, to saskaņojot ar Civilprocesa likuma 607. panta otro da</w:t>
            </w:r>
            <w:r w:rsidR="00030692" w:rsidRPr="004330AD">
              <w:rPr>
                <w:rFonts w:ascii="Times New Roman" w:hAnsi="Times New Roman" w:cs="Times New Roman"/>
                <w:sz w:val="24"/>
                <w:szCs w:val="24"/>
              </w:rPr>
              <w:t>ļu (2015</w:t>
            </w:r>
            <w:r w:rsidRPr="004330AD">
              <w:rPr>
                <w:rFonts w:ascii="Times New Roman" w:hAnsi="Times New Roman" w:cs="Times New Roman"/>
                <w:sz w:val="24"/>
                <w:szCs w:val="24"/>
              </w:rPr>
              <w:t xml:space="preserve">. gada </w:t>
            </w:r>
            <w:r w:rsidR="00E14DF4" w:rsidRPr="004330AD">
              <w:rPr>
                <w:rFonts w:ascii="Times New Roman" w:hAnsi="Times New Roman" w:cs="Times New Roman"/>
                <w:sz w:val="24"/>
                <w:szCs w:val="24"/>
              </w:rPr>
              <w:t xml:space="preserve">17. decembrī otrajā lasījumā pieņemtā likumprojekta “Grozījumi Civilprocesa likumā” </w:t>
            </w:r>
            <w:r w:rsidRPr="004330AD">
              <w:rPr>
                <w:rFonts w:ascii="Times New Roman" w:hAnsi="Times New Roman" w:cs="Times New Roman"/>
                <w:sz w:val="24"/>
                <w:szCs w:val="24"/>
              </w:rPr>
              <w:t xml:space="preserve">redakcijā). Vienlaikus, lai </w:t>
            </w:r>
            <w:r w:rsidRPr="004330AD">
              <w:rPr>
                <w:rFonts w:ascii="Times New Roman" w:hAnsi="Times New Roman" w:cs="Times New Roman"/>
                <w:sz w:val="24"/>
                <w:szCs w:val="24"/>
              </w:rPr>
              <w:lastRenderedPageBreak/>
              <w:t xml:space="preserve">noteikumi Nr. 318 nedublētu Civilprocesa likuma 607. panta otrajā daļā ietverto normu, ar noteikumu projektu noteikumu </w:t>
            </w:r>
            <w:r w:rsidR="00C4099D" w:rsidRPr="004330AD">
              <w:rPr>
                <w:rFonts w:ascii="Times New Roman" w:hAnsi="Times New Roman" w:cs="Times New Roman"/>
                <w:sz w:val="24"/>
                <w:szCs w:val="24"/>
              </w:rPr>
              <w:t xml:space="preserve">Nr. 318 </w:t>
            </w:r>
            <w:r w:rsidRPr="004330AD">
              <w:rPr>
                <w:rFonts w:ascii="Times New Roman" w:hAnsi="Times New Roman" w:cs="Times New Roman"/>
                <w:sz w:val="24"/>
                <w:szCs w:val="24"/>
              </w:rPr>
              <w:t xml:space="preserve">29. punktā </w:t>
            </w:r>
            <w:r w:rsidR="00C4099D" w:rsidRPr="004330AD">
              <w:rPr>
                <w:rFonts w:ascii="Times New Roman" w:hAnsi="Times New Roman" w:cs="Times New Roman"/>
                <w:sz w:val="24"/>
                <w:szCs w:val="24"/>
              </w:rPr>
              <w:t xml:space="preserve">ietverta vispārēja atsauce uz </w:t>
            </w:r>
            <w:r w:rsidR="00B326B2" w:rsidRPr="004330AD">
              <w:rPr>
                <w:rFonts w:ascii="Times New Roman" w:hAnsi="Times New Roman" w:cs="Times New Roman"/>
                <w:sz w:val="24"/>
                <w:szCs w:val="24"/>
              </w:rPr>
              <w:t>Civilproces</w:t>
            </w:r>
            <w:r w:rsidR="00C473A3" w:rsidRPr="004330AD">
              <w:rPr>
                <w:rFonts w:ascii="Times New Roman" w:hAnsi="Times New Roman" w:cs="Times New Roman"/>
                <w:sz w:val="24"/>
                <w:szCs w:val="24"/>
              </w:rPr>
              <w:t>a likumā noteiktu termiņu, kādā</w:t>
            </w:r>
            <w:r w:rsidR="00B326B2" w:rsidRPr="004330AD">
              <w:rPr>
                <w:rFonts w:ascii="Times New Roman" w:hAnsi="Times New Roman" w:cs="Times New Roman"/>
                <w:sz w:val="24"/>
                <w:szCs w:val="24"/>
              </w:rPr>
              <w:t xml:space="preserve"> jāpieņem </w:t>
            </w:r>
            <w:r w:rsidR="00C4099D" w:rsidRPr="004330AD">
              <w:rPr>
                <w:rFonts w:ascii="Times New Roman" w:hAnsi="Times New Roman" w:cs="Times New Roman"/>
                <w:sz w:val="24"/>
                <w:szCs w:val="24"/>
              </w:rPr>
              <w:t>l</w:t>
            </w:r>
            <w:r w:rsidR="00B326B2" w:rsidRPr="004330AD">
              <w:rPr>
                <w:rFonts w:ascii="Times New Roman" w:hAnsi="Times New Roman" w:cs="Times New Roman"/>
                <w:sz w:val="24"/>
                <w:szCs w:val="24"/>
              </w:rPr>
              <w:t>ēmums</w:t>
            </w:r>
            <w:r w:rsidR="00C4099D" w:rsidRPr="004330AD">
              <w:rPr>
                <w:rFonts w:ascii="Times New Roman" w:hAnsi="Times New Roman" w:cs="Times New Roman"/>
                <w:sz w:val="24"/>
                <w:szCs w:val="24"/>
              </w:rPr>
              <w:t xml:space="preserve"> par personas autorizāciju dalībai izsolē, </w:t>
            </w:r>
            <w:proofErr w:type="gramStart"/>
            <w:r w:rsidR="00C4099D" w:rsidRPr="004330AD">
              <w:rPr>
                <w:rFonts w:ascii="Times New Roman" w:hAnsi="Times New Roman" w:cs="Times New Roman"/>
                <w:sz w:val="24"/>
                <w:szCs w:val="24"/>
              </w:rPr>
              <w:t xml:space="preserve">svītrojot </w:t>
            </w:r>
            <w:r w:rsidR="009A7002" w:rsidRPr="004330AD">
              <w:rPr>
                <w:rFonts w:ascii="Times New Roman" w:hAnsi="Times New Roman" w:cs="Times New Roman"/>
                <w:sz w:val="24"/>
                <w:szCs w:val="24"/>
              </w:rPr>
              <w:t>norādi par konkrētu darbdienu</w:t>
            </w:r>
            <w:proofErr w:type="gramEnd"/>
            <w:r w:rsidR="009A7002" w:rsidRPr="004330AD">
              <w:rPr>
                <w:rFonts w:ascii="Times New Roman" w:hAnsi="Times New Roman" w:cs="Times New Roman"/>
                <w:sz w:val="24"/>
                <w:szCs w:val="24"/>
              </w:rPr>
              <w:t xml:space="preserve"> skaitu (</w:t>
            </w:r>
            <w:r w:rsidR="00FF1C01" w:rsidRPr="004330AD">
              <w:rPr>
                <w:rFonts w:ascii="Times New Roman" w:hAnsi="Times New Roman" w:cs="Times New Roman"/>
                <w:b/>
                <w:i/>
                <w:sz w:val="24"/>
                <w:szCs w:val="24"/>
              </w:rPr>
              <w:t xml:space="preserve">noteikumu projekta </w:t>
            </w:r>
            <w:r w:rsidR="00C473A3" w:rsidRPr="004330AD">
              <w:rPr>
                <w:rFonts w:ascii="Times New Roman" w:hAnsi="Times New Roman" w:cs="Times New Roman"/>
                <w:b/>
                <w:i/>
                <w:sz w:val="24"/>
                <w:szCs w:val="24"/>
              </w:rPr>
              <w:t>4</w:t>
            </w:r>
            <w:r w:rsidR="009A7002" w:rsidRPr="004330AD">
              <w:rPr>
                <w:rFonts w:ascii="Times New Roman" w:hAnsi="Times New Roman" w:cs="Times New Roman"/>
                <w:b/>
                <w:i/>
                <w:sz w:val="24"/>
                <w:szCs w:val="24"/>
              </w:rPr>
              <w:t>. punkts</w:t>
            </w:r>
            <w:r w:rsidR="009A7002" w:rsidRPr="004330AD">
              <w:rPr>
                <w:rFonts w:ascii="Times New Roman" w:hAnsi="Times New Roman" w:cs="Times New Roman"/>
                <w:sz w:val="24"/>
                <w:szCs w:val="24"/>
              </w:rPr>
              <w:t xml:space="preserve">). </w:t>
            </w:r>
          </w:p>
          <w:p w:rsidR="00CA2B7C" w:rsidRPr="004330AD" w:rsidRDefault="00CA2B7C" w:rsidP="00CA2B7C">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Noteikumu Nr. 318 44. punkts definē Civilprocesa likuma 614. panta pirmās daļas 4. punktā lietotā termina “būtiski tehniski traucējumi” tvērumu. Tehniskie traucējumi ir uzskatāmi par būtiskiem, ja elektronisko izsoļu vietnes darbības traucējumu dēļ solīšana nav bijusi iespējama laikposmā, kas kopā veido vairāk nekā 10 procentus no kopējā izsoles laika, vai šādi traucējumi neatkarīgi no to ilguma bijuši pēdējās 24 stundās pirms izsoles noslēguma, vai konstatēts sistēmas drošības pārkāpums.</w:t>
            </w:r>
            <w:r w:rsidR="0005242C" w:rsidRPr="004330AD">
              <w:rPr>
                <w:rFonts w:ascii="Times New Roman" w:hAnsi="Times New Roman" w:cs="Times New Roman"/>
                <w:sz w:val="24"/>
                <w:szCs w:val="24"/>
              </w:rPr>
              <w:t xml:space="preserve"> </w:t>
            </w:r>
            <w:r w:rsidR="00660C65" w:rsidRPr="004330AD">
              <w:rPr>
                <w:rFonts w:ascii="Times New Roman" w:hAnsi="Times New Roman" w:cs="Times New Roman"/>
                <w:sz w:val="24"/>
                <w:szCs w:val="24"/>
              </w:rPr>
              <w:t xml:space="preserve">Saskaņā ar Civilprocesa likumu </w:t>
            </w:r>
            <w:r w:rsidR="00222ACE" w:rsidRPr="004330AD">
              <w:rPr>
                <w:rFonts w:ascii="Times New Roman" w:hAnsi="Times New Roman" w:cs="Times New Roman"/>
                <w:sz w:val="24"/>
                <w:szCs w:val="24"/>
              </w:rPr>
              <w:t xml:space="preserve">būtisku tehnisku traucējumu konstatēšana ir pamats izsoli </w:t>
            </w:r>
            <w:r w:rsidR="00FF1C01" w:rsidRPr="004330AD">
              <w:rPr>
                <w:rFonts w:ascii="Times New Roman" w:hAnsi="Times New Roman" w:cs="Times New Roman"/>
                <w:sz w:val="24"/>
                <w:szCs w:val="24"/>
              </w:rPr>
              <w:t xml:space="preserve">pārtraukt un </w:t>
            </w:r>
            <w:r w:rsidR="00222ACE" w:rsidRPr="004330AD">
              <w:rPr>
                <w:rFonts w:ascii="Times New Roman" w:hAnsi="Times New Roman" w:cs="Times New Roman"/>
                <w:sz w:val="24"/>
                <w:szCs w:val="24"/>
              </w:rPr>
              <w:t xml:space="preserve">atzīt par nenotikušu. </w:t>
            </w:r>
          </w:p>
          <w:p w:rsidR="00BA2710" w:rsidRPr="004330AD" w:rsidRDefault="0042760B" w:rsidP="008C2A5A">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 xml:space="preserve">Praksē izsoles atzīstamas par nenotikušām arī tādos gadījumos, kad tehniski traucējumi </w:t>
            </w:r>
            <w:r w:rsidR="003A21FA" w:rsidRPr="004330AD">
              <w:rPr>
                <w:rFonts w:ascii="Times New Roman" w:hAnsi="Times New Roman" w:cs="Times New Roman"/>
                <w:sz w:val="24"/>
                <w:szCs w:val="24"/>
              </w:rPr>
              <w:t xml:space="preserve">pēdējo 24 stundu ietvarā pirms izsoles noslēguma </w:t>
            </w:r>
            <w:r w:rsidRPr="004330AD">
              <w:rPr>
                <w:rFonts w:ascii="Times New Roman" w:hAnsi="Times New Roman" w:cs="Times New Roman"/>
                <w:sz w:val="24"/>
                <w:szCs w:val="24"/>
              </w:rPr>
              <w:t xml:space="preserve">ilguši arī ļoti īsu laika sprīdi (piemēram, konstatēts pāris minūtes ilgs tehnisks pārrāvums portāla </w:t>
            </w:r>
            <w:hyperlink r:id="rId9" w:history="1">
              <w:r w:rsidRPr="004330AD">
                <w:rPr>
                  <w:rStyle w:val="Hipersaite"/>
                  <w:rFonts w:ascii="Times New Roman" w:hAnsi="Times New Roman" w:cs="Times New Roman"/>
                  <w:color w:val="auto"/>
                  <w:sz w:val="24"/>
                  <w:szCs w:val="24"/>
                </w:rPr>
                <w:t>www.latvija.lv</w:t>
              </w:r>
            </w:hyperlink>
            <w:r w:rsidRPr="004330AD">
              <w:rPr>
                <w:rFonts w:ascii="Times New Roman" w:hAnsi="Times New Roman" w:cs="Times New Roman"/>
                <w:sz w:val="24"/>
                <w:szCs w:val="24"/>
              </w:rPr>
              <w:t xml:space="preserve"> identifikācijas moduļa darbībā, konkrētajā laika sprīdī radot problēmas ar autorizācijas nodrošināšanu). </w:t>
            </w:r>
            <w:proofErr w:type="gramStart"/>
            <w:r w:rsidRPr="004330AD">
              <w:rPr>
                <w:rFonts w:ascii="Times New Roman" w:hAnsi="Times New Roman" w:cs="Times New Roman"/>
                <w:sz w:val="24"/>
                <w:szCs w:val="24"/>
              </w:rPr>
              <w:t>Tai pat laikā</w:t>
            </w:r>
            <w:proofErr w:type="gramEnd"/>
            <w:r w:rsidR="003A21FA" w:rsidRPr="004330AD">
              <w:rPr>
                <w:rFonts w:ascii="Times New Roman" w:hAnsi="Times New Roman" w:cs="Times New Roman"/>
                <w:sz w:val="24"/>
                <w:szCs w:val="24"/>
              </w:rPr>
              <w:t>,</w:t>
            </w:r>
            <w:r w:rsidRPr="004330AD">
              <w:rPr>
                <w:rFonts w:ascii="Times New Roman" w:hAnsi="Times New Roman" w:cs="Times New Roman"/>
                <w:sz w:val="24"/>
                <w:szCs w:val="24"/>
              </w:rPr>
              <w:t xml:space="preserve"> ikvienā gadījumā, kad izsole šāda iemesla dēļ </w:t>
            </w:r>
            <w:r w:rsidR="003A21FA" w:rsidRPr="004330AD">
              <w:rPr>
                <w:rFonts w:ascii="Times New Roman" w:hAnsi="Times New Roman" w:cs="Times New Roman"/>
                <w:sz w:val="24"/>
                <w:szCs w:val="24"/>
              </w:rPr>
              <w:t>atzīta par nenotikušu</w:t>
            </w:r>
            <w:r w:rsidRPr="004330AD">
              <w:rPr>
                <w:rFonts w:ascii="Times New Roman" w:hAnsi="Times New Roman" w:cs="Times New Roman"/>
                <w:sz w:val="24"/>
                <w:szCs w:val="24"/>
              </w:rPr>
              <w:t>, izsludināma tā paša nekustamā īpašuma atkārtota izsole</w:t>
            </w:r>
            <w:r w:rsidR="003A21FA" w:rsidRPr="004330AD">
              <w:rPr>
                <w:rFonts w:ascii="Times New Roman" w:hAnsi="Times New Roman" w:cs="Times New Roman"/>
                <w:sz w:val="24"/>
                <w:szCs w:val="24"/>
              </w:rPr>
              <w:t xml:space="preserve"> (Civilprocesa likuma 615. panta (2</w:t>
            </w:r>
            <w:r w:rsidR="003A21FA" w:rsidRPr="004330AD">
              <w:rPr>
                <w:rFonts w:ascii="Times New Roman" w:hAnsi="Times New Roman" w:cs="Times New Roman"/>
                <w:sz w:val="24"/>
                <w:szCs w:val="24"/>
                <w:vertAlign w:val="superscript"/>
              </w:rPr>
              <w:t>1</w:t>
            </w:r>
            <w:r w:rsidR="003A21FA" w:rsidRPr="004330AD">
              <w:rPr>
                <w:rFonts w:ascii="Times New Roman" w:hAnsi="Times New Roman" w:cs="Times New Roman"/>
                <w:sz w:val="24"/>
                <w:szCs w:val="24"/>
              </w:rPr>
              <w:t>) daļa)</w:t>
            </w:r>
            <w:r w:rsidRPr="004330AD">
              <w:rPr>
                <w:rFonts w:ascii="Times New Roman" w:hAnsi="Times New Roman" w:cs="Times New Roman"/>
                <w:sz w:val="24"/>
                <w:szCs w:val="24"/>
              </w:rPr>
              <w:t>. Minētais ne vien attālina sekmīga piedziņas procesa noslēgumu, bet arī rada papildu sprieduma izpildes izdevumus izpildu lie</w:t>
            </w:r>
            <w:r w:rsidR="003A21FA" w:rsidRPr="004330AD">
              <w:rPr>
                <w:rFonts w:ascii="Times New Roman" w:hAnsi="Times New Roman" w:cs="Times New Roman"/>
                <w:sz w:val="24"/>
                <w:szCs w:val="24"/>
              </w:rPr>
              <w:t xml:space="preserve">tu dalībniekiem. Turklāt, kā liecina prakse, </w:t>
            </w:r>
            <w:r w:rsidRPr="004330AD">
              <w:rPr>
                <w:rFonts w:ascii="Times New Roman" w:hAnsi="Times New Roman" w:cs="Times New Roman"/>
                <w:sz w:val="24"/>
                <w:szCs w:val="24"/>
              </w:rPr>
              <w:t>izsoles dalībnieku aktīva solījumu izdarīšana konstatējama izsoles noslēguma posmā un tieši pēdējo stundu laikā</w:t>
            </w:r>
            <w:r w:rsidR="009467E0" w:rsidRPr="004330AD">
              <w:rPr>
                <w:rFonts w:ascii="Times New Roman" w:hAnsi="Times New Roman" w:cs="Times New Roman"/>
                <w:sz w:val="24"/>
                <w:szCs w:val="24"/>
              </w:rPr>
              <w:t xml:space="preserve"> pirms noteiktā izsoles noslēguma</w:t>
            </w:r>
            <w:r w:rsidR="003A21FA" w:rsidRPr="004330AD">
              <w:rPr>
                <w:rFonts w:ascii="Times New Roman" w:hAnsi="Times New Roman" w:cs="Times New Roman"/>
                <w:sz w:val="24"/>
                <w:szCs w:val="24"/>
              </w:rPr>
              <w:t xml:space="preserve">. Līdz ar to nav attaisnojami </w:t>
            </w:r>
            <w:r w:rsidR="009467E0" w:rsidRPr="004330AD">
              <w:rPr>
                <w:rFonts w:ascii="Times New Roman" w:hAnsi="Times New Roman" w:cs="Times New Roman"/>
                <w:sz w:val="24"/>
                <w:szCs w:val="24"/>
              </w:rPr>
              <w:t xml:space="preserve">par </w:t>
            </w:r>
            <w:r w:rsidR="003A21FA" w:rsidRPr="004330AD">
              <w:rPr>
                <w:rFonts w:ascii="Times New Roman" w:hAnsi="Times New Roman" w:cs="Times New Roman"/>
                <w:sz w:val="24"/>
                <w:szCs w:val="24"/>
              </w:rPr>
              <w:t>būtiskiem traucējumiem, kas</w:t>
            </w:r>
            <w:r w:rsidRPr="004330AD">
              <w:rPr>
                <w:rFonts w:ascii="Times New Roman" w:hAnsi="Times New Roman" w:cs="Times New Roman"/>
                <w:sz w:val="24"/>
                <w:szCs w:val="24"/>
              </w:rPr>
              <w:t xml:space="preserve"> </w:t>
            </w:r>
            <w:r w:rsidR="003A21FA" w:rsidRPr="004330AD">
              <w:rPr>
                <w:rFonts w:ascii="Times New Roman" w:hAnsi="Times New Roman" w:cs="Times New Roman"/>
                <w:sz w:val="24"/>
                <w:szCs w:val="24"/>
              </w:rPr>
              <w:t>var ietekmēt i</w:t>
            </w:r>
            <w:r w:rsidR="009467E0" w:rsidRPr="004330AD">
              <w:rPr>
                <w:rFonts w:ascii="Times New Roman" w:hAnsi="Times New Roman" w:cs="Times New Roman"/>
                <w:sz w:val="24"/>
                <w:szCs w:val="24"/>
              </w:rPr>
              <w:t xml:space="preserve">zsoles rezultātu, atzīt jebkāda veida traucējumus, kas notikuši pēdējās diennakts laikā, tai skaitā nakts stundās, kad solījumu veikšana ir maz iespējama. </w:t>
            </w:r>
            <w:r w:rsidR="002F6988" w:rsidRPr="004330AD">
              <w:rPr>
                <w:rFonts w:ascii="Times New Roman" w:hAnsi="Times New Roman" w:cs="Times New Roman"/>
                <w:sz w:val="24"/>
                <w:szCs w:val="24"/>
              </w:rPr>
              <w:t>Tāpat</w:t>
            </w:r>
            <w:r w:rsidR="009467E0" w:rsidRPr="004330AD">
              <w:rPr>
                <w:rFonts w:ascii="Times New Roman" w:hAnsi="Times New Roman" w:cs="Times New Roman"/>
                <w:sz w:val="24"/>
                <w:szCs w:val="24"/>
              </w:rPr>
              <w:t xml:space="preserve"> šobrīd </w:t>
            </w:r>
            <w:r w:rsidR="002F6988" w:rsidRPr="004330AD">
              <w:rPr>
                <w:rFonts w:ascii="Times New Roman" w:hAnsi="Times New Roman" w:cs="Times New Roman"/>
                <w:sz w:val="24"/>
                <w:szCs w:val="24"/>
              </w:rPr>
              <w:t xml:space="preserve">noteiktais laika posms, kura ietvaros traucējumi tiek atzīti par būtiskiem, rada nenoteiktību </w:t>
            </w:r>
            <w:r w:rsidRPr="004330AD">
              <w:rPr>
                <w:rFonts w:ascii="Times New Roman" w:hAnsi="Times New Roman" w:cs="Times New Roman"/>
                <w:sz w:val="24"/>
                <w:szCs w:val="24"/>
              </w:rPr>
              <w:t xml:space="preserve">attiecībā uz izsoļu procesa sekmīgu norisi </w:t>
            </w:r>
            <w:r w:rsidR="002F6988" w:rsidRPr="004330AD">
              <w:rPr>
                <w:rFonts w:ascii="Times New Roman" w:hAnsi="Times New Roman" w:cs="Times New Roman"/>
                <w:sz w:val="24"/>
                <w:szCs w:val="24"/>
              </w:rPr>
              <w:t>un veicina</w:t>
            </w:r>
            <w:r w:rsidRPr="004330AD">
              <w:rPr>
                <w:rFonts w:ascii="Times New Roman" w:hAnsi="Times New Roman" w:cs="Times New Roman"/>
                <w:sz w:val="24"/>
                <w:szCs w:val="24"/>
              </w:rPr>
              <w:t xml:space="preserve"> neapmierinātību izsoļu dalībnieku vidū</w:t>
            </w:r>
            <w:r w:rsidR="002F6988" w:rsidRPr="004330AD">
              <w:rPr>
                <w:rFonts w:ascii="Times New Roman" w:hAnsi="Times New Roman" w:cs="Times New Roman"/>
                <w:sz w:val="24"/>
                <w:szCs w:val="24"/>
              </w:rPr>
              <w:t xml:space="preserve">, atturot </w:t>
            </w:r>
            <w:r w:rsidRPr="004330AD">
              <w:rPr>
                <w:rFonts w:ascii="Times New Roman" w:hAnsi="Times New Roman" w:cs="Times New Roman"/>
                <w:sz w:val="24"/>
                <w:szCs w:val="24"/>
              </w:rPr>
              <w:t xml:space="preserve">tos no turpmākas piedalīšanās zvērinātu tiesu izpildītāju rīkotās izsolēs. </w:t>
            </w:r>
            <w:proofErr w:type="gramStart"/>
            <w:r w:rsidR="003A21FA" w:rsidRPr="004330AD">
              <w:rPr>
                <w:rFonts w:ascii="Times New Roman" w:hAnsi="Times New Roman" w:cs="Times New Roman"/>
                <w:sz w:val="24"/>
                <w:szCs w:val="24"/>
              </w:rPr>
              <w:t>Ar noteikumu projektu pārskatīts noteikumu</w:t>
            </w:r>
            <w:proofErr w:type="gramEnd"/>
            <w:r w:rsidR="003A21FA" w:rsidRPr="004330AD">
              <w:rPr>
                <w:rFonts w:ascii="Times New Roman" w:hAnsi="Times New Roman" w:cs="Times New Roman"/>
                <w:sz w:val="24"/>
                <w:szCs w:val="24"/>
              </w:rPr>
              <w:t xml:space="preserve"> Nr. 318 44. punktā ietvertais termina “būtiski tehniski traucējumi” tvērums, nosakot, ka tehniski traucējumi izsoles noslēguma posmā atzīstami par būtiskiem, ja tie neatkarīgi no to ilguma konstatēti pēdējā stundā pirms izsoles noslēguma (</w:t>
            </w:r>
            <w:r w:rsidR="00FF1C01" w:rsidRPr="004330AD">
              <w:rPr>
                <w:rFonts w:ascii="Times New Roman" w:hAnsi="Times New Roman" w:cs="Times New Roman"/>
                <w:b/>
                <w:i/>
                <w:sz w:val="24"/>
                <w:szCs w:val="24"/>
              </w:rPr>
              <w:t xml:space="preserve">noteikumu projekta </w:t>
            </w:r>
            <w:r w:rsidR="00C473A3" w:rsidRPr="004330AD">
              <w:rPr>
                <w:rFonts w:ascii="Times New Roman" w:hAnsi="Times New Roman" w:cs="Times New Roman"/>
                <w:b/>
                <w:i/>
                <w:sz w:val="24"/>
                <w:szCs w:val="24"/>
              </w:rPr>
              <w:t>6</w:t>
            </w:r>
            <w:r w:rsidR="003A21FA" w:rsidRPr="004330AD">
              <w:rPr>
                <w:rFonts w:ascii="Times New Roman" w:hAnsi="Times New Roman" w:cs="Times New Roman"/>
                <w:b/>
                <w:i/>
                <w:sz w:val="24"/>
                <w:szCs w:val="24"/>
              </w:rPr>
              <w:t>. punkts</w:t>
            </w:r>
            <w:r w:rsidR="003A21FA" w:rsidRPr="004330AD">
              <w:rPr>
                <w:rFonts w:ascii="Times New Roman" w:hAnsi="Times New Roman" w:cs="Times New Roman"/>
                <w:sz w:val="24"/>
                <w:szCs w:val="24"/>
              </w:rPr>
              <w:t xml:space="preserve">). </w:t>
            </w:r>
          </w:p>
          <w:p w:rsidR="000E527E" w:rsidRPr="004330AD" w:rsidRDefault="00261F80" w:rsidP="000E527E">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 xml:space="preserve">Vienlaikus konstatēta nepieciešamība </w:t>
            </w:r>
            <w:r w:rsidR="00E14DF4" w:rsidRPr="004330AD">
              <w:rPr>
                <w:rFonts w:ascii="Times New Roman" w:hAnsi="Times New Roman" w:cs="Times New Roman"/>
                <w:sz w:val="24"/>
                <w:szCs w:val="24"/>
              </w:rPr>
              <w:t>noteikumos Nr. 318 veikt atsevišķus tehniska rakstura grozījumus.</w:t>
            </w:r>
          </w:p>
          <w:p w:rsidR="00C473A3" w:rsidRPr="004330AD" w:rsidRDefault="00A60206" w:rsidP="008C2A5A">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 xml:space="preserve">Datu valsts inspekcija ir vērsusi </w:t>
            </w:r>
            <w:r w:rsidR="00BD7D33" w:rsidRPr="004330AD">
              <w:rPr>
                <w:rFonts w:ascii="Times New Roman" w:hAnsi="Times New Roman" w:cs="Times New Roman"/>
                <w:sz w:val="24"/>
                <w:szCs w:val="24"/>
              </w:rPr>
              <w:t xml:space="preserve">Tiesu administrācijas </w:t>
            </w:r>
            <w:r w:rsidRPr="004330AD">
              <w:rPr>
                <w:rFonts w:ascii="Times New Roman" w:hAnsi="Times New Roman" w:cs="Times New Roman"/>
                <w:sz w:val="24"/>
                <w:szCs w:val="24"/>
              </w:rPr>
              <w:t>uzmanību uz apst</w:t>
            </w:r>
            <w:r w:rsidR="00BD7D33" w:rsidRPr="004330AD">
              <w:rPr>
                <w:rFonts w:ascii="Times New Roman" w:hAnsi="Times New Roman" w:cs="Times New Roman"/>
                <w:sz w:val="24"/>
                <w:szCs w:val="24"/>
              </w:rPr>
              <w:t xml:space="preserve">ākli, ka, reģistrējot </w:t>
            </w:r>
            <w:r w:rsidR="00AD46AB" w:rsidRPr="004330AD">
              <w:rPr>
                <w:rFonts w:ascii="Times New Roman" w:hAnsi="Times New Roman" w:cs="Times New Roman"/>
                <w:sz w:val="24"/>
                <w:szCs w:val="24"/>
              </w:rPr>
              <w:t>personu Izsoļu dalībnieku reģistrā, nav attaisnojami ikvienā gadījumā automātiski izgūt ziņas par deklarēto</w:t>
            </w:r>
            <w:r w:rsidR="00BD7D33" w:rsidRPr="004330AD">
              <w:rPr>
                <w:rFonts w:ascii="Times New Roman" w:hAnsi="Times New Roman" w:cs="Times New Roman"/>
                <w:sz w:val="24"/>
                <w:szCs w:val="24"/>
              </w:rPr>
              <w:t xml:space="preserve"> </w:t>
            </w:r>
            <w:r w:rsidR="00AD46AB" w:rsidRPr="004330AD">
              <w:rPr>
                <w:rFonts w:ascii="Times New Roman" w:hAnsi="Times New Roman" w:cs="Times New Roman"/>
                <w:sz w:val="24"/>
                <w:szCs w:val="24"/>
              </w:rPr>
              <w:t xml:space="preserve">dzīvesvietas </w:t>
            </w:r>
            <w:r w:rsidR="00C473A3" w:rsidRPr="004330AD">
              <w:rPr>
                <w:rFonts w:ascii="Times New Roman" w:hAnsi="Times New Roman" w:cs="Times New Roman"/>
                <w:sz w:val="24"/>
                <w:szCs w:val="24"/>
              </w:rPr>
              <w:t>adresi</w:t>
            </w:r>
            <w:r w:rsidR="00BD7D33" w:rsidRPr="004330AD">
              <w:rPr>
                <w:rFonts w:ascii="Times New Roman" w:hAnsi="Times New Roman" w:cs="Times New Roman"/>
                <w:sz w:val="24"/>
                <w:szCs w:val="24"/>
              </w:rPr>
              <w:t xml:space="preserve"> </w:t>
            </w:r>
            <w:r w:rsidR="00AD46AB" w:rsidRPr="004330AD">
              <w:rPr>
                <w:rFonts w:ascii="Times New Roman" w:hAnsi="Times New Roman" w:cs="Times New Roman"/>
                <w:sz w:val="24"/>
                <w:szCs w:val="24"/>
              </w:rPr>
              <w:t>attiecībā uz visām I</w:t>
            </w:r>
            <w:r w:rsidR="00BD7D33" w:rsidRPr="004330AD">
              <w:rPr>
                <w:rFonts w:ascii="Times New Roman" w:hAnsi="Times New Roman" w:cs="Times New Roman"/>
                <w:sz w:val="24"/>
                <w:szCs w:val="24"/>
              </w:rPr>
              <w:t>zsoļu dalībnieku reģistrā reģistrētajām personām</w:t>
            </w:r>
            <w:r w:rsidR="00AD46AB" w:rsidRPr="004330AD">
              <w:rPr>
                <w:rFonts w:ascii="Times New Roman" w:hAnsi="Times New Roman" w:cs="Times New Roman"/>
                <w:sz w:val="24"/>
                <w:szCs w:val="24"/>
              </w:rPr>
              <w:t xml:space="preserve">. Šādu ziņu iegūšanas nepieciešamību neparedz arī Civilprocesa likuma normas, kas nosaka kārtību, kādā </w:t>
            </w:r>
            <w:r w:rsidR="00AD46AB" w:rsidRPr="004330AD">
              <w:rPr>
                <w:rFonts w:ascii="Times New Roman" w:hAnsi="Times New Roman" w:cs="Times New Roman"/>
                <w:sz w:val="24"/>
                <w:szCs w:val="24"/>
              </w:rPr>
              <w:lastRenderedPageBreak/>
              <w:t xml:space="preserve">sprieduma izpildes procesā organizējamas un noturamas nekustamā īpašuma izsoles. Ņemot vērā minēto, ar noteikumu projektu tiek </w:t>
            </w:r>
            <w:proofErr w:type="gramStart"/>
            <w:r w:rsidR="00AD46AB" w:rsidRPr="004330AD">
              <w:rPr>
                <w:rFonts w:ascii="Times New Roman" w:hAnsi="Times New Roman" w:cs="Times New Roman"/>
                <w:sz w:val="24"/>
                <w:szCs w:val="24"/>
              </w:rPr>
              <w:t>precizēts noteikumu</w:t>
            </w:r>
            <w:proofErr w:type="gramEnd"/>
            <w:r w:rsidR="00AD46AB" w:rsidRPr="004330AD">
              <w:rPr>
                <w:rFonts w:ascii="Times New Roman" w:hAnsi="Times New Roman" w:cs="Times New Roman"/>
                <w:sz w:val="24"/>
                <w:szCs w:val="24"/>
              </w:rPr>
              <w:t xml:space="preserve"> Nr. 318 13.3. apakšpunkts, svītrojot vārdus “(deklarētās dzīvesvietas adrese vai, ja tādas nav vai tā atšķiras no deklarētās dzīvesvietas adreses, faktiskās dzīvesvietas adrese)” (</w:t>
            </w:r>
            <w:r w:rsidR="00AD46AB" w:rsidRPr="004330AD">
              <w:rPr>
                <w:rFonts w:ascii="Times New Roman" w:hAnsi="Times New Roman" w:cs="Times New Roman"/>
                <w:b/>
                <w:i/>
                <w:sz w:val="24"/>
                <w:szCs w:val="24"/>
              </w:rPr>
              <w:t xml:space="preserve">noteikumu projekta </w:t>
            </w:r>
            <w:r w:rsidR="00C473A3" w:rsidRPr="004330AD">
              <w:rPr>
                <w:rFonts w:ascii="Times New Roman" w:hAnsi="Times New Roman" w:cs="Times New Roman"/>
                <w:b/>
                <w:i/>
                <w:sz w:val="24"/>
                <w:szCs w:val="24"/>
              </w:rPr>
              <w:t>1</w:t>
            </w:r>
            <w:r w:rsidR="00AD46AB" w:rsidRPr="004330AD">
              <w:rPr>
                <w:rFonts w:ascii="Times New Roman" w:hAnsi="Times New Roman" w:cs="Times New Roman"/>
                <w:b/>
                <w:i/>
                <w:sz w:val="24"/>
                <w:szCs w:val="24"/>
              </w:rPr>
              <w:t>. punkts</w:t>
            </w:r>
            <w:r w:rsidR="00AD46AB" w:rsidRPr="004330AD">
              <w:rPr>
                <w:rFonts w:ascii="Times New Roman" w:hAnsi="Times New Roman" w:cs="Times New Roman"/>
                <w:sz w:val="24"/>
                <w:szCs w:val="24"/>
              </w:rPr>
              <w:t xml:space="preserve">). </w:t>
            </w:r>
          </w:p>
          <w:p w:rsidR="00E14DF4" w:rsidRPr="004330AD" w:rsidRDefault="008D0B2E" w:rsidP="008C2A5A">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 xml:space="preserve">Ar noteikumu projektu </w:t>
            </w:r>
            <w:r w:rsidR="00AD46AB" w:rsidRPr="004330AD">
              <w:rPr>
                <w:rFonts w:ascii="Times New Roman" w:hAnsi="Times New Roman" w:cs="Times New Roman"/>
                <w:sz w:val="24"/>
                <w:szCs w:val="24"/>
              </w:rPr>
              <w:t>n</w:t>
            </w:r>
            <w:r w:rsidRPr="004330AD">
              <w:rPr>
                <w:rFonts w:ascii="Times New Roman" w:hAnsi="Times New Roman" w:cs="Times New Roman"/>
                <w:sz w:val="24"/>
                <w:szCs w:val="24"/>
              </w:rPr>
              <w:t xml:space="preserve">oteikumu Nr. 318 18. punktā tiek aizstāti vārdi “lietotāja vārds” ar vārdu “lietotājvārds”, lai nodrošinātu vienotu terminoloģijas lietojumu visā noteikumu </w:t>
            </w:r>
            <w:r w:rsidR="00C473A3" w:rsidRPr="004330AD">
              <w:rPr>
                <w:rFonts w:ascii="Times New Roman" w:hAnsi="Times New Roman" w:cs="Times New Roman"/>
                <w:sz w:val="24"/>
                <w:szCs w:val="24"/>
              </w:rPr>
              <w:t xml:space="preserve">Nr. 318 </w:t>
            </w:r>
            <w:r w:rsidRPr="004330AD">
              <w:rPr>
                <w:rFonts w:ascii="Times New Roman" w:hAnsi="Times New Roman" w:cs="Times New Roman"/>
                <w:sz w:val="24"/>
                <w:szCs w:val="24"/>
              </w:rPr>
              <w:t>tekstā (</w:t>
            </w:r>
            <w:r w:rsidRPr="004330AD">
              <w:rPr>
                <w:rFonts w:ascii="Times New Roman" w:hAnsi="Times New Roman" w:cs="Times New Roman"/>
                <w:b/>
                <w:i/>
                <w:sz w:val="24"/>
                <w:szCs w:val="24"/>
              </w:rPr>
              <w:t xml:space="preserve">noteikumu projekta </w:t>
            </w:r>
            <w:r w:rsidR="00C473A3" w:rsidRPr="004330AD">
              <w:rPr>
                <w:rFonts w:ascii="Times New Roman" w:hAnsi="Times New Roman" w:cs="Times New Roman"/>
                <w:b/>
                <w:i/>
                <w:sz w:val="24"/>
                <w:szCs w:val="24"/>
              </w:rPr>
              <w:t>2</w:t>
            </w:r>
            <w:r w:rsidRPr="004330AD">
              <w:rPr>
                <w:rFonts w:ascii="Times New Roman" w:hAnsi="Times New Roman" w:cs="Times New Roman"/>
                <w:b/>
                <w:i/>
                <w:sz w:val="24"/>
                <w:szCs w:val="24"/>
              </w:rPr>
              <w:t>. punkts</w:t>
            </w:r>
            <w:r w:rsidRPr="004330AD">
              <w:rPr>
                <w:rFonts w:ascii="Times New Roman" w:hAnsi="Times New Roman" w:cs="Times New Roman"/>
                <w:sz w:val="24"/>
                <w:szCs w:val="24"/>
              </w:rPr>
              <w:t>).</w:t>
            </w:r>
          </w:p>
          <w:p w:rsidR="004330AD" w:rsidRDefault="004330AD" w:rsidP="004330AD">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Atbilstoši noteikumu Nr. 318 25. punktam zvērināts tiesu izpildītājs vai maksātnespējas procesa administrators sagatavo sludinājumu par nekustamā īpašuma izsoli un nosūta publicēšanai oficiālajā izdevumā “Latvijas Vēstnesis”, izmantojot elektronisko izsoļu vietni. Praksē īstenotais tehniskais risinājums paredz zvērinātam tiesu izpildītājam organizēt nekustamo īpašumu sludinājumu sagatavošanu un nosūtīšanu publicēšanai</w:t>
            </w:r>
            <w:r w:rsidRPr="004330AD">
              <w:rPr>
                <w:rFonts w:ascii="Times New Roman" w:hAnsi="Times New Roman" w:cs="Times New Roman"/>
                <w:sz w:val="24"/>
                <w:szCs w:val="24"/>
              </w:rPr>
              <w:t xml:space="preserve"> </w:t>
            </w:r>
            <w:r w:rsidRPr="004330AD">
              <w:rPr>
                <w:rFonts w:ascii="Times New Roman" w:hAnsi="Times New Roman" w:cs="Times New Roman"/>
                <w:sz w:val="24"/>
                <w:szCs w:val="24"/>
              </w:rPr>
              <w:t>izdevumam “Latvijas Vēstnesis”</w:t>
            </w:r>
            <w:r>
              <w:rPr>
                <w:rFonts w:ascii="Times New Roman" w:hAnsi="Times New Roman" w:cs="Times New Roman"/>
                <w:sz w:val="24"/>
                <w:szCs w:val="24"/>
              </w:rPr>
              <w:t xml:space="preserve"> </w:t>
            </w:r>
            <w:r w:rsidRPr="004330AD">
              <w:rPr>
                <w:rFonts w:ascii="Times New Roman" w:hAnsi="Times New Roman" w:cs="Times New Roman"/>
                <w:sz w:val="24"/>
                <w:szCs w:val="24"/>
              </w:rPr>
              <w:t>elektroniskā formā, i</w:t>
            </w:r>
            <w:r w:rsidRPr="004330AD">
              <w:rPr>
                <w:rFonts w:ascii="Times New Roman" w:hAnsi="Times New Roman" w:cs="Times New Roman"/>
                <w:sz w:val="24"/>
                <w:szCs w:val="24"/>
              </w:rPr>
              <w:t xml:space="preserve">zmantojot Izpildu lietu reģistra </w:t>
            </w:r>
            <w:proofErr w:type="spellStart"/>
            <w:r w:rsidRPr="004330AD">
              <w:rPr>
                <w:rFonts w:ascii="Times New Roman" w:hAnsi="Times New Roman" w:cs="Times New Roman"/>
                <w:i/>
                <w:sz w:val="24"/>
                <w:szCs w:val="24"/>
              </w:rPr>
              <w:t>web</w:t>
            </w:r>
            <w:proofErr w:type="spellEnd"/>
            <w:r w:rsidRPr="004330AD">
              <w:rPr>
                <w:rFonts w:ascii="Times New Roman" w:hAnsi="Times New Roman" w:cs="Times New Roman"/>
                <w:sz w:val="24"/>
                <w:szCs w:val="24"/>
              </w:rPr>
              <w:t xml:space="preserve"> servisu</w:t>
            </w:r>
            <w:r>
              <w:rPr>
                <w:rFonts w:ascii="Times New Roman" w:hAnsi="Times New Roman" w:cs="Times New Roman"/>
                <w:sz w:val="24"/>
                <w:szCs w:val="24"/>
              </w:rPr>
              <w:t>.</w:t>
            </w:r>
            <w:r w:rsidRPr="004330AD">
              <w:rPr>
                <w:rFonts w:ascii="Times New Roman" w:hAnsi="Times New Roman" w:cs="Times New Roman"/>
                <w:iCs/>
                <w:sz w:val="24"/>
                <w:szCs w:val="24"/>
              </w:rPr>
              <w:t xml:space="preserve"> </w:t>
            </w:r>
            <w:r w:rsidRPr="004330AD">
              <w:rPr>
                <w:rFonts w:ascii="Times New Roman" w:hAnsi="Times New Roman" w:cs="Times New Roman"/>
                <w:iCs/>
                <w:sz w:val="24"/>
                <w:szCs w:val="24"/>
              </w:rPr>
              <w:t>Savukārt</w:t>
            </w:r>
            <w:r w:rsidRPr="004330AD">
              <w:rPr>
                <w:rFonts w:ascii="Times New Roman" w:hAnsi="Times New Roman" w:cs="Times New Roman"/>
                <w:sz w:val="24"/>
                <w:szCs w:val="24"/>
              </w:rPr>
              <w:t xml:space="preserve"> maksātnespējas procesa administratoriem nav pieejams vienots tehnisks rīks, kas </w:t>
            </w:r>
            <w:r w:rsidRPr="004330AD">
              <w:rPr>
                <w:rFonts w:ascii="Times New Roman" w:hAnsi="Times New Roman" w:cs="Times New Roman"/>
                <w:sz w:val="24"/>
                <w:szCs w:val="24"/>
              </w:rPr>
              <w:t>nodrošinātu iespēju automatizēti nosūtīt publicēšanai nekustamā īpašuma izsoļu sludinājumus maksātnespējas procesa lietās</w:t>
            </w:r>
            <w:r w:rsidRPr="004330AD">
              <w:rPr>
                <w:rFonts w:ascii="Times New Roman" w:hAnsi="Times New Roman" w:cs="Times New Roman"/>
                <w:sz w:val="24"/>
                <w:szCs w:val="24"/>
              </w:rPr>
              <w:t xml:space="preserve">. </w:t>
            </w:r>
            <w:r w:rsidRPr="004330AD">
              <w:rPr>
                <w:rFonts w:ascii="Times New Roman" w:hAnsi="Times New Roman" w:cs="Times New Roman"/>
                <w:sz w:val="24"/>
                <w:szCs w:val="24"/>
              </w:rPr>
              <w:t xml:space="preserve">Ņemot vērā minēto, </w:t>
            </w:r>
            <w:r w:rsidRPr="004330AD">
              <w:rPr>
                <w:rFonts w:ascii="Times New Roman" w:hAnsi="Times New Roman" w:cs="Times New Roman"/>
                <w:sz w:val="24"/>
                <w:szCs w:val="24"/>
              </w:rPr>
              <w:t xml:space="preserve">ar noteikumu projektu noteikumu Nr. 318 25. punkta pirmais teikums tiek svītrots </w:t>
            </w:r>
            <w:r w:rsidRPr="004330AD">
              <w:rPr>
                <w:rFonts w:ascii="Times New Roman" w:hAnsi="Times New Roman" w:cs="Times New Roman"/>
                <w:b/>
                <w:i/>
                <w:sz w:val="24"/>
                <w:szCs w:val="24"/>
              </w:rPr>
              <w:t>(noteikumu projekta</w:t>
            </w:r>
            <w:r w:rsidRPr="004330AD">
              <w:rPr>
                <w:rFonts w:ascii="Times New Roman" w:hAnsi="Times New Roman" w:cs="Times New Roman"/>
                <w:sz w:val="24"/>
                <w:szCs w:val="24"/>
              </w:rPr>
              <w:t xml:space="preserve"> </w:t>
            </w:r>
            <w:r w:rsidRPr="004330AD">
              <w:rPr>
                <w:rFonts w:ascii="Times New Roman" w:hAnsi="Times New Roman" w:cs="Times New Roman"/>
                <w:b/>
                <w:i/>
                <w:sz w:val="24"/>
                <w:szCs w:val="24"/>
              </w:rPr>
              <w:t>3. punkts</w:t>
            </w:r>
            <w:r w:rsidRPr="004330AD">
              <w:rPr>
                <w:rFonts w:ascii="Times New Roman" w:hAnsi="Times New Roman" w:cs="Times New Roman"/>
                <w:sz w:val="24"/>
                <w:szCs w:val="24"/>
              </w:rPr>
              <w:t>).</w:t>
            </w:r>
            <w:r w:rsidRPr="004330AD">
              <w:rPr>
                <w:rFonts w:ascii="Times New Roman" w:hAnsi="Times New Roman" w:cs="Times New Roman"/>
                <w:sz w:val="24"/>
                <w:szCs w:val="24"/>
              </w:rPr>
              <w:t xml:space="preserve"> Vispārēja prasība nekustamā īpašuma izso</w:t>
            </w:r>
            <w:r>
              <w:rPr>
                <w:rFonts w:ascii="Times New Roman" w:hAnsi="Times New Roman" w:cs="Times New Roman"/>
                <w:sz w:val="24"/>
                <w:szCs w:val="24"/>
              </w:rPr>
              <w:t>les</w:t>
            </w:r>
            <w:r w:rsidRPr="004330AD">
              <w:rPr>
                <w:rFonts w:ascii="Times New Roman" w:hAnsi="Times New Roman" w:cs="Times New Roman"/>
                <w:sz w:val="24"/>
                <w:szCs w:val="24"/>
              </w:rPr>
              <w:t xml:space="preserve"> sprieduma izpildes procesā un maksātnespējas procesā </w:t>
            </w:r>
            <w:r>
              <w:rPr>
                <w:rFonts w:ascii="Times New Roman" w:hAnsi="Times New Roman" w:cs="Times New Roman"/>
                <w:sz w:val="24"/>
                <w:szCs w:val="24"/>
              </w:rPr>
              <w:t>izziņot</w:t>
            </w:r>
            <w:r w:rsidRPr="004330AD">
              <w:rPr>
                <w:rFonts w:ascii="Times New Roman" w:hAnsi="Times New Roman" w:cs="Times New Roman"/>
                <w:sz w:val="24"/>
                <w:szCs w:val="24"/>
              </w:rPr>
              <w:t xml:space="preserve"> </w:t>
            </w:r>
            <w:r w:rsidRPr="004330AD">
              <w:rPr>
                <w:rFonts w:ascii="Times New Roman" w:hAnsi="Times New Roman" w:cs="Times New Roman"/>
                <w:sz w:val="24"/>
                <w:szCs w:val="24"/>
              </w:rPr>
              <w:t>oficiālajā izdevumā “Latvijas Vēstnesis”</w:t>
            </w:r>
            <w:r>
              <w:rPr>
                <w:rFonts w:ascii="Times New Roman" w:hAnsi="Times New Roman" w:cs="Times New Roman"/>
                <w:sz w:val="24"/>
                <w:szCs w:val="24"/>
              </w:rPr>
              <w:t xml:space="preserve"> </w:t>
            </w:r>
            <w:r w:rsidRPr="004330AD">
              <w:rPr>
                <w:rFonts w:ascii="Times New Roman" w:hAnsi="Times New Roman" w:cs="Times New Roman"/>
                <w:sz w:val="24"/>
                <w:szCs w:val="24"/>
              </w:rPr>
              <w:t>noteikta Civilprocesa likuma 606. panta otrajā daļā.</w:t>
            </w:r>
          </w:p>
          <w:p w:rsidR="00D7389A" w:rsidRPr="004330AD" w:rsidRDefault="008D0B2E" w:rsidP="004330AD">
            <w:pPr>
              <w:spacing w:after="0" w:line="240" w:lineRule="auto"/>
              <w:ind w:firstLine="567"/>
              <w:jc w:val="both"/>
              <w:rPr>
                <w:rFonts w:ascii="Times New Roman" w:hAnsi="Times New Roman" w:cs="Times New Roman"/>
                <w:sz w:val="24"/>
                <w:szCs w:val="24"/>
              </w:rPr>
            </w:pPr>
            <w:r w:rsidRPr="004330AD">
              <w:rPr>
                <w:rFonts w:ascii="Times New Roman" w:hAnsi="Times New Roman" w:cs="Times New Roman"/>
                <w:sz w:val="24"/>
                <w:szCs w:val="24"/>
              </w:rPr>
              <w:t>Vienlaikus, ņem</w:t>
            </w:r>
            <w:r w:rsidR="00C473A3" w:rsidRPr="004330AD">
              <w:rPr>
                <w:rFonts w:ascii="Times New Roman" w:hAnsi="Times New Roman" w:cs="Times New Roman"/>
                <w:sz w:val="24"/>
                <w:szCs w:val="24"/>
              </w:rPr>
              <w:t>o</w:t>
            </w:r>
            <w:r w:rsidRPr="004330AD">
              <w:rPr>
                <w:rFonts w:ascii="Times New Roman" w:hAnsi="Times New Roman" w:cs="Times New Roman"/>
                <w:sz w:val="24"/>
                <w:szCs w:val="24"/>
              </w:rPr>
              <w:t xml:space="preserve">t vērā, ka Izsoļu dalībnieku reģistrā reģistrētas fiziskas personas tiesības bez īpaša pilnvarojuma vienpersoniski pārstāvēt juridisko personu tiek pārbaudītas automātiski autorizēšanās elektronisko izsoļu vietnē brīdī (proti, tieši neiesaistot elektronisko izsoļu vietnes administratoru – Tiesu administrāciju), </w:t>
            </w:r>
            <w:proofErr w:type="gramStart"/>
            <w:r w:rsidRPr="004330AD">
              <w:rPr>
                <w:rFonts w:ascii="Times New Roman" w:hAnsi="Times New Roman" w:cs="Times New Roman"/>
                <w:sz w:val="24"/>
                <w:szCs w:val="24"/>
              </w:rPr>
              <w:t>ar noteikumu projektu attiecīgi redakcionāli precizēts noteikumu</w:t>
            </w:r>
            <w:proofErr w:type="gramEnd"/>
            <w:r w:rsidRPr="004330AD">
              <w:rPr>
                <w:rFonts w:ascii="Times New Roman" w:hAnsi="Times New Roman" w:cs="Times New Roman"/>
                <w:sz w:val="24"/>
                <w:szCs w:val="24"/>
              </w:rPr>
              <w:t xml:space="preserve"> Nr. 318 36. punkts (</w:t>
            </w:r>
            <w:r w:rsidRPr="004330AD">
              <w:rPr>
                <w:rFonts w:ascii="Times New Roman" w:hAnsi="Times New Roman" w:cs="Times New Roman"/>
                <w:b/>
                <w:i/>
                <w:sz w:val="24"/>
                <w:szCs w:val="24"/>
              </w:rPr>
              <w:t xml:space="preserve">noteikumu projekta </w:t>
            </w:r>
            <w:r w:rsidR="00C473A3" w:rsidRPr="004330AD">
              <w:rPr>
                <w:rFonts w:ascii="Times New Roman" w:hAnsi="Times New Roman" w:cs="Times New Roman"/>
                <w:b/>
                <w:i/>
                <w:sz w:val="24"/>
                <w:szCs w:val="24"/>
              </w:rPr>
              <w:t>5</w:t>
            </w:r>
            <w:r w:rsidRPr="004330AD">
              <w:rPr>
                <w:rFonts w:ascii="Times New Roman" w:hAnsi="Times New Roman" w:cs="Times New Roman"/>
                <w:b/>
                <w:i/>
                <w:sz w:val="24"/>
                <w:szCs w:val="24"/>
              </w:rPr>
              <w:t>. punkts</w:t>
            </w:r>
            <w:r w:rsidRPr="004330AD">
              <w:rPr>
                <w:rFonts w:ascii="Times New Roman" w:hAnsi="Times New Roman" w:cs="Times New Roman"/>
                <w:sz w:val="24"/>
                <w:szCs w:val="24"/>
              </w:rPr>
              <w:t>).</w:t>
            </w:r>
            <w:r w:rsidR="000831FF" w:rsidRPr="004330AD">
              <w:rPr>
                <w:rFonts w:ascii="Times New Roman" w:hAnsi="Times New Roman" w:cs="Times New Roman"/>
                <w:sz w:val="24"/>
                <w:szCs w:val="24"/>
              </w:rPr>
              <w:t xml:space="preserve"> </w:t>
            </w:r>
          </w:p>
        </w:tc>
      </w:tr>
      <w:tr w:rsidR="00BA2710" w:rsidRPr="00A3669F" w:rsidTr="008C2A5A">
        <w:trPr>
          <w:trHeight w:val="1071"/>
        </w:trPr>
        <w:tc>
          <w:tcPr>
            <w:tcW w:w="572" w:type="dxa"/>
            <w:gridSpan w:val="2"/>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lastRenderedPageBreak/>
              <w:t>3.</w:t>
            </w:r>
          </w:p>
        </w:tc>
        <w:tc>
          <w:tcPr>
            <w:tcW w:w="2410" w:type="dxa"/>
          </w:tcPr>
          <w:p w:rsidR="00BA2710" w:rsidRPr="00A3669F" w:rsidRDefault="00BA2710" w:rsidP="008C2A5A">
            <w:pPr>
              <w:spacing w:after="0" w:line="240" w:lineRule="auto"/>
              <w:ind w:right="182"/>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Projekta izstrādē iesaistītās institūcijas</w:t>
            </w:r>
          </w:p>
        </w:tc>
        <w:tc>
          <w:tcPr>
            <w:tcW w:w="6662" w:type="dxa"/>
          </w:tcPr>
          <w:p w:rsidR="00BA2710" w:rsidRPr="00A3669F" w:rsidRDefault="00BA2710" w:rsidP="00DE3ECC">
            <w:pPr>
              <w:spacing w:after="0" w:line="240" w:lineRule="auto"/>
              <w:ind w:firstLine="699"/>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 xml:space="preserve">Noteikumu projekts izstrādāts sadarbībā ar </w:t>
            </w:r>
            <w:r w:rsidR="009B6158">
              <w:rPr>
                <w:rFonts w:ascii="Times New Roman" w:eastAsia="Times New Roman" w:hAnsi="Times New Roman" w:cs="Times New Roman"/>
                <w:sz w:val="24"/>
                <w:szCs w:val="24"/>
                <w:lang w:eastAsia="lv-LV"/>
              </w:rPr>
              <w:t>Tiesu administr</w:t>
            </w:r>
            <w:r w:rsidR="00D936C2">
              <w:rPr>
                <w:rFonts w:ascii="Times New Roman" w:eastAsia="Times New Roman" w:hAnsi="Times New Roman" w:cs="Times New Roman"/>
                <w:sz w:val="24"/>
                <w:szCs w:val="24"/>
                <w:lang w:eastAsia="lv-LV"/>
              </w:rPr>
              <w:t xml:space="preserve">āciju, </w:t>
            </w:r>
            <w:r w:rsidRPr="00A3669F">
              <w:rPr>
                <w:rFonts w:ascii="Times New Roman" w:eastAsia="Times New Roman" w:hAnsi="Times New Roman" w:cs="Times New Roman"/>
                <w:sz w:val="24"/>
                <w:szCs w:val="24"/>
                <w:lang w:eastAsia="lv-LV"/>
              </w:rPr>
              <w:t>Latvijas Zvē</w:t>
            </w:r>
            <w:r w:rsidR="00D936C2">
              <w:rPr>
                <w:rFonts w:ascii="Times New Roman" w:eastAsia="Times New Roman" w:hAnsi="Times New Roman" w:cs="Times New Roman"/>
                <w:sz w:val="24"/>
                <w:szCs w:val="24"/>
                <w:lang w:eastAsia="lv-LV"/>
              </w:rPr>
              <w:t xml:space="preserve">rinātu tiesu izpildītāju padomi. </w:t>
            </w:r>
          </w:p>
        </w:tc>
      </w:tr>
      <w:tr w:rsidR="00BA2710" w:rsidRPr="00A3669F" w:rsidTr="008C2A5A">
        <w:trPr>
          <w:trHeight w:val="479"/>
        </w:trPr>
        <w:tc>
          <w:tcPr>
            <w:tcW w:w="572" w:type="dxa"/>
            <w:gridSpan w:val="2"/>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4.</w:t>
            </w:r>
          </w:p>
        </w:tc>
        <w:tc>
          <w:tcPr>
            <w:tcW w:w="2410" w:type="dxa"/>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Cita informācija</w:t>
            </w:r>
          </w:p>
        </w:tc>
        <w:tc>
          <w:tcPr>
            <w:tcW w:w="6662" w:type="dxa"/>
          </w:tcPr>
          <w:p w:rsidR="00BA2710" w:rsidRPr="00A3669F" w:rsidRDefault="00BA2710" w:rsidP="008C2A5A">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Nav.</w:t>
            </w:r>
          </w:p>
        </w:tc>
      </w:tr>
      <w:tr w:rsidR="00BA2710" w:rsidRPr="00A3669F" w:rsidTr="008C2A5A">
        <w:tc>
          <w:tcPr>
            <w:tcW w:w="9644" w:type="dxa"/>
            <w:gridSpan w:val="4"/>
            <w:vAlign w:val="center"/>
          </w:tcPr>
          <w:p w:rsidR="00BA2710" w:rsidRPr="00A3669F" w:rsidRDefault="00BA2710" w:rsidP="008C2A5A">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BA2710" w:rsidRPr="00A3669F" w:rsidTr="008C2A5A">
        <w:trPr>
          <w:trHeight w:val="467"/>
        </w:trPr>
        <w:tc>
          <w:tcPr>
            <w:tcW w:w="425" w:type="dxa"/>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1.</w:t>
            </w:r>
          </w:p>
        </w:tc>
        <w:tc>
          <w:tcPr>
            <w:tcW w:w="2557" w:type="dxa"/>
            <w:gridSpan w:val="2"/>
          </w:tcPr>
          <w:p w:rsidR="00BA2710" w:rsidRPr="00A3669F" w:rsidRDefault="00BA2710" w:rsidP="008C2A5A">
            <w:pPr>
              <w:spacing w:after="0" w:line="240" w:lineRule="auto"/>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Sabiedrības mērķgrupas, kuras tiesiskais regulējums ietekmē vai varētu ietekmēt</w:t>
            </w:r>
          </w:p>
        </w:tc>
        <w:tc>
          <w:tcPr>
            <w:tcW w:w="6662" w:type="dxa"/>
          </w:tcPr>
          <w:p w:rsidR="009B6158" w:rsidRPr="00003C92" w:rsidRDefault="0083610A" w:rsidP="009B6158">
            <w:pPr>
              <w:spacing w:after="0" w:line="240" w:lineRule="auto"/>
              <w:ind w:left="5" w:firstLine="41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9B6158" w:rsidRPr="009B6158">
              <w:rPr>
                <w:rFonts w:ascii="Times New Roman" w:eastAsia="Times New Roman" w:hAnsi="Times New Roman" w:cs="Times New Roman"/>
                <w:sz w:val="24"/>
                <w:szCs w:val="24"/>
                <w:lang w:eastAsia="lv-LV"/>
              </w:rPr>
              <w:t>oteikumu projekts attiecas uz zvērinātiem tiesu izpildītājiem</w:t>
            </w:r>
            <w:r>
              <w:rPr>
                <w:rFonts w:ascii="Times New Roman" w:eastAsia="Times New Roman" w:hAnsi="Times New Roman" w:cs="Times New Roman"/>
                <w:sz w:val="24"/>
                <w:szCs w:val="24"/>
                <w:lang w:eastAsia="lv-LV"/>
              </w:rPr>
              <w:t xml:space="preserve"> un maksātnespējas procesa administratoriem. </w:t>
            </w:r>
            <w:r w:rsidR="009B6158" w:rsidRPr="009B6158">
              <w:rPr>
                <w:rFonts w:ascii="Times New Roman" w:eastAsia="Times New Roman" w:hAnsi="Times New Roman" w:cs="Times New Roman"/>
                <w:sz w:val="24"/>
                <w:szCs w:val="24"/>
                <w:lang w:eastAsia="lv-LV"/>
              </w:rPr>
              <w:t>Atbilstoši Ministru kabineta 2010. gada 19. janvāra noteikumiem Nr. 66 „</w:t>
            </w:r>
            <w:r w:rsidR="009B6158" w:rsidRPr="009B6158">
              <w:rPr>
                <w:rFonts w:ascii="Times New Roman" w:hAnsi="Times New Roman" w:cs="Times New Roman"/>
                <w:bCs/>
                <w:sz w:val="24"/>
                <w:szCs w:val="24"/>
              </w:rPr>
              <w:t>Noteikumi par zvērinātu tiesu izpildītāju skaitu, viņu amata vietām, iecirkņiem un to robežām”</w:t>
            </w:r>
            <w:r w:rsidR="009B6158" w:rsidRPr="009B6158">
              <w:rPr>
                <w:rFonts w:ascii="Times New Roman" w:eastAsia="Times New Roman" w:hAnsi="Times New Roman" w:cs="Times New Roman"/>
                <w:sz w:val="24"/>
                <w:szCs w:val="24"/>
                <w:lang w:eastAsia="lv-LV"/>
              </w:rPr>
              <w:t xml:space="preserve"> maksimālais zvērinātu tiesu izpildītāju skaits ir 116</w:t>
            </w:r>
            <w:r w:rsidR="009B6158" w:rsidRPr="00003C92">
              <w:rPr>
                <w:rFonts w:ascii="Times New Roman" w:eastAsia="Times New Roman" w:hAnsi="Times New Roman" w:cs="Times New Roman"/>
                <w:sz w:val="24"/>
                <w:szCs w:val="24"/>
                <w:lang w:eastAsia="lv-LV"/>
              </w:rPr>
              <w:t>. Saskaņā ar Maksātnespējas reģistra datiem 201</w:t>
            </w:r>
            <w:r w:rsidR="00003C92" w:rsidRPr="00003C92">
              <w:rPr>
                <w:rFonts w:ascii="Times New Roman" w:eastAsia="Times New Roman" w:hAnsi="Times New Roman" w:cs="Times New Roman"/>
                <w:sz w:val="24"/>
                <w:szCs w:val="24"/>
                <w:lang w:eastAsia="lv-LV"/>
              </w:rPr>
              <w:t>5</w:t>
            </w:r>
            <w:r w:rsidR="009B6158" w:rsidRPr="00003C92">
              <w:rPr>
                <w:rFonts w:ascii="Times New Roman" w:eastAsia="Times New Roman" w:hAnsi="Times New Roman" w:cs="Times New Roman"/>
                <w:sz w:val="24"/>
                <w:szCs w:val="24"/>
                <w:lang w:eastAsia="lv-LV"/>
              </w:rPr>
              <w:t xml:space="preserve">. gada </w:t>
            </w:r>
            <w:r w:rsidR="00003C92" w:rsidRPr="00003C92">
              <w:rPr>
                <w:rFonts w:ascii="Times New Roman" w:eastAsia="Times New Roman" w:hAnsi="Times New Roman" w:cs="Times New Roman"/>
                <w:sz w:val="24"/>
                <w:szCs w:val="24"/>
                <w:lang w:eastAsia="lv-LV"/>
              </w:rPr>
              <w:t xml:space="preserve">novembra beigās </w:t>
            </w:r>
            <w:r w:rsidR="009B6158" w:rsidRPr="00003C92">
              <w:rPr>
                <w:rFonts w:ascii="Times New Roman" w:eastAsia="Times New Roman" w:hAnsi="Times New Roman" w:cs="Times New Roman"/>
                <w:sz w:val="24"/>
                <w:szCs w:val="24"/>
                <w:lang w:eastAsia="lv-LV"/>
              </w:rPr>
              <w:t>ir ierakstīti 3</w:t>
            </w:r>
            <w:r w:rsidR="00003C92" w:rsidRPr="00003C92">
              <w:rPr>
                <w:rFonts w:ascii="Times New Roman" w:eastAsia="Times New Roman" w:hAnsi="Times New Roman" w:cs="Times New Roman"/>
                <w:sz w:val="24"/>
                <w:szCs w:val="24"/>
                <w:lang w:eastAsia="lv-LV"/>
              </w:rPr>
              <w:t>29</w:t>
            </w:r>
            <w:r w:rsidR="009B6158" w:rsidRPr="00003C92">
              <w:rPr>
                <w:rFonts w:ascii="Times New Roman" w:eastAsia="Times New Roman" w:hAnsi="Times New Roman" w:cs="Times New Roman"/>
                <w:sz w:val="24"/>
                <w:szCs w:val="24"/>
                <w:lang w:eastAsia="lv-LV"/>
              </w:rPr>
              <w:t xml:space="preserve"> maksātnespējas procesa administratori.</w:t>
            </w:r>
          </w:p>
          <w:p w:rsidR="00216595" w:rsidRPr="00B84589" w:rsidRDefault="009B6158" w:rsidP="00B84589">
            <w:pPr>
              <w:spacing w:after="0" w:line="240" w:lineRule="auto"/>
              <w:ind w:firstLine="425"/>
              <w:jc w:val="both"/>
              <w:rPr>
                <w:rFonts w:ascii="Times New Roman" w:eastAsia="Times New Roman" w:hAnsi="Times New Roman"/>
                <w:sz w:val="24"/>
                <w:szCs w:val="24"/>
                <w:lang w:eastAsia="lv-LV"/>
              </w:rPr>
            </w:pPr>
            <w:r w:rsidRPr="00003C92">
              <w:rPr>
                <w:rFonts w:ascii="Times New Roman" w:eastAsia="Times New Roman" w:hAnsi="Times New Roman" w:cs="Times New Roman"/>
                <w:sz w:val="24"/>
                <w:szCs w:val="24"/>
                <w:lang w:eastAsia="lv-LV"/>
              </w:rPr>
              <w:lastRenderedPageBreak/>
              <w:t xml:space="preserve">Vienlaikus </w:t>
            </w:r>
            <w:r w:rsidR="00B34A58">
              <w:rPr>
                <w:rFonts w:ascii="Times New Roman" w:eastAsia="Times New Roman" w:hAnsi="Times New Roman" w:cs="Times New Roman"/>
                <w:sz w:val="24"/>
                <w:szCs w:val="24"/>
                <w:lang w:eastAsia="lv-LV"/>
              </w:rPr>
              <w:t>noteikumu projekts attiecas uz e</w:t>
            </w:r>
            <w:r w:rsidRPr="00003C92">
              <w:rPr>
                <w:rFonts w:ascii="Times New Roman" w:eastAsia="Times New Roman" w:hAnsi="Times New Roman" w:cs="Times New Roman"/>
                <w:sz w:val="24"/>
                <w:szCs w:val="24"/>
                <w:lang w:eastAsia="lv-LV"/>
              </w:rPr>
              <w:t>lektronisko</w:t>
            </w:r>
            <w:r w:rsidRPr="009B6158">
              <w:rPr>
                <w:rFonts w:ascii="Times New Roman" w:eastAsia="Times New Roman" w:hAnsi="Times New Roman" w:cs="Times New Roman"/>
                <w:sz w:val="24"/>
                <w:szCs w:val="24"/>
                <w:lang w:eastAsia="lv-LV"/>
              </w:rPr>
              <w:t xml:space="preserve"> izsoļu vietnes pārzini – Tiesu administrāciju, tās</w:t>
            </w:r>
            <w:r w:rsidRPr="009B6158">
              <w:rPr>
                <w:rFonts w:ascii="Times New Roman" w:eastAsia="Times New Roman" w:hAnsi="Times New Roman"/>
                <w:sz w:val="24"/>
                <w:szCs w:val="24"/>
                <w:lang w:eastAsia="lv-LV"/>
              </w:rPr>
              <w:t xml:space="preserve"> vadītāju vai pilnvarotajām personām, amatpersonām.</w:t>
            </w:r>
          </w:p>
        </w:tc>
      </w:tr>
      <w:tr w:rsidR="00BA2710" w:rsidRPr="00A3669F" w:rsidTr="008C2A5A">
        <w:trPr>
          <w:trHeight w:val="523"/>
        </w:trPr>
        <w:tc>
          <w:tcPr>
            <w:tcW w:w="425" w:type="dxa"/>
          </w:tcPr>
          <w:p w:rsidR="00BA2710" w:rsidRPr="00A3669F" w:rsidRDefault="00BA2710" w:rsidP="008C2A5A">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lastRenderedPageBreak/>
              <w:t>2.</w:t>
            </w:r>
          </w:p>
        </w:tc>
        <w:tc>
          <w:tcPr>
            <w:tcW w:w="2557" w:type="dxa"/>
            <w:gridSpan w:val="2"/>
          </w:tcPr>
          <w:p w:rsidR="00BA2710" w:rsidRPr="00A3669F" w:rsidRDefault="00BA2710" w:rsidP="008C2A5A">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Tiesiskā regulējuma ietekme uz tautsaimniecību un administratīvo slogu</w:t>
            </w:r>
          </w:p>
        </w:tc>
        <w:tc>
          <w:tcPr>
            <w:tcW w:w="6662" w:type="dxa"/>
          </w:tcPr>
          <w:p w:rsidR="00BA2710" w:rsidRPr="00A3669F" w:rsidRDefault="00BA2710" w:rsidP="008C2A5A">
            <w:pPr>
              <w:spacing w:after="0" w:line="240" w:lineRule="auto"/>
              <w:ind w:firstLine="289"/>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Nav attiecināms.</w:t>
            </w:r>
          </w:p>
        </w:tc>
      </w:tr>
      <w:tr w:rsidR="00BA2710" w:rsidRPr="00A3669F" w:rsidTr="008C2A5A">
        <w:trPr>
          <w:trHeight w:val="357"/>
        </w:trPr>
        <w:tc>
          <w:tcPr>
            <w:tcW w:w="425" w:type="dxa"/>
          </w:tcPr>
          <w:p w:rsidR="00BA2710" w:rsidRPr="00A3669F" w:rsidRDefault="00BA2710" w:rsidP="008C2A5A">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3.</w:t>
            </w:r>
          </w:p>
        </w:tc>
        <w:tc>
          <w:tcPr>
            <w:tcW w:w="2557" w:type="dxa"/>
            <w:gridSpan w:val="2"/>
          </w:tcPr>
          <w:p w:rsidR="00BA2710" w:rsidRPr="00A3669F" w:rsidRDefault="00BA2710" w:rsidP="008C2A5A">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Administratīvo izmaksu monetārs novērtējums</w:t>
            </w:r>
          </w:p>
        </w:tc>
        <w:tc>
          <w:tcPr>
            <w:tcW w:w="6662" w:type="dxa"/>
          </w:tcPr>
          <w:p w:rsidR="00BA2710" w:rsidRPr="00A3669F" w:rsidRDefault="00BA2710" w:rsidP="00020E97">
            <w:pPr>
              <w:spacing w:after="0" w:line="240" w:lineRule="auto"/>
              <w:ind w:firstLine="284"/>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Nav attiecināms.</w:t>
            </w:r>
          </w:p>
        </w:tc>
      </w:tr>
      <w:tr w:rsidR="00BA2710" w:rsidRPr="00A3669F" w:rsidTr="008C2A5A">
        <w:trPr>
          <w:trHeight w:val="417"/>
        </w:trPr>
        <w:tc>
          <w:tcPr>
            <w:tcW w:w="425" w:type="dxa"/>
          </w:tcPr>
          <w:p w:rsidR="00BA2710" w:rsidRPr="00A3669F" w:rsidRDefault="00BA2710" w:rsidP="008C2A5A">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4.</w:t>
            </w:r>
          </w:p>
        </w:tc>
        <w:tc>
          <w:tcPr>
            <w:tcW w:w="2557" w:type="dxa"/>
            <w:gridSpan w:val="2"/>
          </w:tcPr>
          <w:p w:rsidR="00BA2710" w:rsidRPr="00A3669F" w:rsidRDefault="00BA2710" w:rsidP="008C2A5A">
            <w:pPr>
              <w:spacing w:after="0" w:line="240" w:lineRule="auto"/>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Cita informācija</w:t>
            </w:r>
          </w:p>
        </w:tc>
        <w:tc>
          <w:tcPr>
            <w:tcW w:w="6662" w:type="dxa"/>
          </w:tcPr>
          <w:p w:rsidR="00BA2710" w:rsidRPr="00A3669F" w:rsidRDefault="00BA2710" w:rsidP="00020E97">
            <w:pPr>
              <w:spacing w:after="0" w:line="240" w:lineRule="auto"/>
              <w:ind w:firstLine="284"/>
              <w:rPr>
                <w:rFonts w:ascii="Times New Roman" w:eastAsia="Times New Roman" w:hAnsi="Times New Roman" w:cs="Times New Roman"/>
                <w:sz w:val="24"/>
                <w:szCs w:val="24"/>
                <w:lang w:eastAsia="lv-LV"/>
              </w:rPr>
            </w:pPr>
            <w:r w:rsidRPr="00A3669F">
              <w:rPr>
                <w:rFonts w:ascii="Times New Roman" w:eastAsia="Times New Roman" w:hAnsi="Times New Roman" w:cs="Times New Roman"/>
                <w:lang w:eastAsia="lv-LV"/>
              </w:rPr>
              <w:t>Nav</w:t>
            </w:r>
          </w:p>
        </w:tc>
      </w:tr>
    </w:tbl>
    <w:tbl>
      <w:tblPr>
        <w:tblW w:w="5362" w:type="pct"/>
        <w:tblInd w:w="-25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76"/>
        <w:gridCol w:w="9569"/>
        <w:gridCol w:w="147"/>
      </w:tblGrid>
      <w:tr w:rsidR="00BA2710" w:rsidRPr="00A3669F" w:rsidTr="008C2A5A">
        <w:trPr>
          <w:gridAfter w:val="1"/>
          <w:wAfter w:w="75" w:type="pct"/>
        </w:trPr>
        <w:tc>
          <w:tcPr>
            <w:tcW w:w="4925" w:type="pct"/>
            <w:gridSpan w:val="2"/>
            <w:tcBorders>
              <w:top w:val="outset" w:sz="6" w:space="0" w:color="000000"/>
              <w:left w:val="outset" w:sz="6" w:space="0" w:color="000000"/>
              <w:bottom w:val="outset" w:sz="6" w:space="0" w:color="000000"/>
              <w:right w:val="outset" w:sz="6" w:space="0" w:color="000000"/>
            </w:tcBorders>
          </w:tcPr>
          <w:p w:rsidR="00BA2710" w:rsidRPr="00A3669F" w:rsidRDefault="00BA2710" w:rsidP="008C2A5A">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III. Tiesību akta projekta ietekme uz valsts budžetu un pašvaldību budžetiem</w:t>
            </w:r>
          </w:p>
        </w:tc>
      </w:tr>
      <w:tr w:rsidR="00BA2710" w:rsidRPr="00A3669F" w:rsidTr="008C2A5A">
        <w:trPr>
          <w:gridAfter w:val="1"/>
          <w:wAfter w:w="75" w:type="pct"/>
        </w:trPr>
        <w:tc>
          <w:tcPr>
            <w:tcW w:w="4925" w:type="pct"/>
            <w:gridSpan w:val="2"/>
            <w:tcBorders>
              <w:top w:val="outset" w:sz="6" w:space="0" w:color="000000"/>
              <w:left w:val="outset" w:sz="6" w:space="0" w:color="000000"/>
              <w:bottom w:val="outset" w:sz="6" w:space="0" w:color="000000"/>
              <w:right w:val="outset" w:sz="6" w:space="0" w:color="000000"/>
            </w:tcBorders>
          </w:tcPr>
          <w:p w:rsidR="00BA2710" w:rsidRPr="00A3669F" w:rsidRDefault="00BA2710" w:rsidP="008C2A5A">
            <w:pPr>
              <w:spacing w:before="100" w:beforeAutospacing="1" w:after="100" w:afterAutospacing="1" w:line="240" w:lineRule="auto"/>
              <w:jc w:val="center"/>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Noteikumu projekts šo jomu neskar.</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9" w:type="pct"/>
          <w:jc w:val="center"/>
        </w:trPr>
        <w:tc>
          <w:tcPr>
            <w:tcW w:w="4961" w:type="pct"/>
            <w:gridSpan w:val="2"/>
          </w:tcPr>
          <w:p w:rsidR="00BA2710" w:rsidRPr="00A3669F" w:rsidRDefault="00BA2710" w:rsidP="008C2A5A">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IV. Tiesību akta projekta ietekme uz spēkā esošo tiesību normu sistēmu</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9" w:type="pct"/>
          <w:jc w:val="center"/>
        </w:trPr>
        <w:tc>
          <w:tcPr>
            <w:tcW w:w="4961" w:type="pct"/>
            <w:gridSpan w:val="2"/>
          </w:tcPr>
          <w:p w:rsidR="00BA2710" w:rsidRPr="00A3669F" w:rsidRDefault="00BA2710" w:rsidP="008C2A5A">
            <w:pPr>
              <w:spacing w:after="0" w:line="240" w:lineRule="auto"/>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Cs/>
                <w:sz w:val="24"/>
                <w:szCs w:val="24"/>
                <w:lang w:eastAsia="lv-LV"/>
              </w:rPr>
              <w:t>Noteikumu projekts šo jomu neskar.</w:t>
            </w:r>
          </w:p>
        </w:tc>
      </w:tr>
    </w:tbl>
    <w:p w:rsidR="00BA2710" w:rsidRPr="00A3669F" w:rsidRDefault="00BA2710" w:rsidP="00BA2710">
      <w:pPr>
        <w:spacing w:after="0" w:line="240" w:lineRule="auto"/>
        <w:rPr>
          <w:rFonts w:ascii="Times New Roman" w:eastAsia="Times New Roman" w:hAnsi="Times New Roman" w:cs="Times New Roman"/>
          <w:sz w:val="2"/>
          <w:szCs w:val="2"/>
          <w:lang w:eastAsia="lv-LV"/>
        </w:rPr>
      </w:pPr>
    </w:p>
    <w:tbl>
      <w:tblPr>
        <w:tblW w:w="9942" w:type="dxa"/>
        <w:tblInd w:w="-256"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60"/>
        <w:gridCol w:w="266"/>
        <w:gridCol w:w="822"/>
        <w:gridCol w:w="1871"/>
        <w:gridCol w:w="2364"/>
        <w:gridCol w:w="4299"/>
        <w:gridCol w:w="160"/>
      </w:tblGrid>
      <w:tr w:rsidR="00BA2710" w:rsidRPr="00A3669F" w:rsidTr="008C2A5A">
        <w:trPr>
          <w:gridAfter w:val="1"/>
          <w:wAfter w:w="160" w:type="dxa"/>
          <w:trHeight w:val="413"/>
        </w:trPr>
        <w:tc>
          <w:tcPr>
            <w:tcW w:w="9782" w:type="dxa"/>
            <w:gridSpan w:val="6"/>
            <w:tcBorders>
              <w:top w:val="outset" w:sz="6" w:space="0" w:color="auto"/>
              <w:left w:val="outset" w:sz="6" w:space="0" w:color="auto"/>
              <w:bottom w:val="outset" w:sz="6" w:space="0" w:color="auto"/>
              <w:right w:val="outset" w:sz="6" w:space="0" w:color="auto"/>
            </w:tcBorders>
            <w:vAlign w:val="center"/>
          </w:tcPr>
          <w:p w:rsidR="00BA2710" w:rsidRPr="00A3669F" w:rsidRDefault="00BA2710" w:rsidP="008C2A5A">
            <w:pPr>
              <w:spacing w:after="0" w:line="240" w:lineRule="auto"/>
              <w:jc w:val="center"/>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V. Tiesību akta projekta atbilstība Latvijas Republikas starptautiskajām saistībām</w:t>
            </w:r>
          </w:p>
        </w:tc>
      </w:tr>
      <w:tr w:rsidR="00BA2710" w:rsidRPr="00A3669F" w:rsidTr="008C2A5A">
        <w:trPr>
          <w:gridAfter w:val="1"/>
          <w:wAfter w:w="160" w:type="dxa"/>
          <w:trHeight w:val="412"/>
        </w:trPr>
        <w:tc>
          <w:tcPr>
            <w:tcW w:w="9782" w:type="dxa"/>
            <w:gridSpan w:val="6"/>
            <w:tcBorders>
              <w:top w:val="outset" w:sz="6" w:space="0" w:color="auto"/>
              <w:left w:val="outset" w:sz="6" w:space="0" w:color="auto"/>
              <w:bottom w:val="outset" w:sz="6" w:space="0" w:color="auto"/>
              <w:right w:val="outset" w:sz="6" w:space="0" w:color="auto"/>
            </w:tcBorders>
            <w:vAlign w:val="center"/>
          </w:tcPr>
          <w:p w:rsidR="00BA2710" w:rsidRPr="00A3669F" w:rsidRDefault="00BA2710" w:rsidP="008C2A5A">
            <w:pPr>
              <w:spacing w:after="0" w:line="240" w:lineRule="auto"/>
              <w:jc w:val="center"/>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sz w:val="24"/>
                <w:szCs w:val="24"/>
                <w:lang w:eastAsia="lv-LV"/>
              </w:rPr>
              <w:t>Noteikumu projekts šo jomu neskar.</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485"/>
          <w:jc w:val="center"/>
        </w:trPr>
        <w:tc>
          <w:tcPr>
            <w:tcW w:w="9782" w:type="dxa"/>
            <w:gridSpan w:val="6"/>
            <w:tcBorders>
              <w:top w:val="single" w:sz="4" w:space="0" w:color="auto"/>
              <w:left w:val="single" w:sz="4" w:space="0" w:color="auto"/>
              <w:bottom w:val="single" w:sz="4" w:space="0" w:color="auto"/>
              <w:right w:val="single" w:sz="4" w:space="0" w:color="auto"/>
            </w:tcBorders>
            <w:vAlign w:val="center"/>
          </w:tcPr>
          <w:p w:rsidR="00BA2710" w:rsidRPr="00A3669F" w:rsidRDefault="00BA2710" w:rsidP="008C2A5A">
            <w:pPr>
              <w:spacing w:after="0" w:line="240" w:lineRule="auto"/>
              <w:ind w:left="57" w:right="57"/>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VI. Sabiedrības līdzdalība un komunikācijas aktivitātes</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553"/>
          <w:jc w:val="center"/>
        </w:trPr>
        <w:tc>
          <w:tcPr>
            <w:tcW w:w="1088" w:type="dxa"/>
            <w:gridSpan w:val="2"/>
          </w:tcPr>
          <w:p w:rsidR="00BA2710" w:rsidRPr="00A3669F" w:rsidRDefault="00BA2710" w:rsidP="008C2A5A">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1.</w:t>
            </w:r>
          </w:p>
        </w:tc>
        <w:tc>
          <w:tcPr>
            <w:tcW w:w="4235" w:type="dxa"/>
            <w:gridSpan w:val="2"/>
          </w:tcPr>
          <w:p w:rsidR="00BA2710" w:rsidRPr="00A3669F" w:rsidRDefault="00BA2710" w:rsidP="008C2A5A">
            <w:pPr>
              <w:tabs>
                <w:tab w:val="left" w:pos="170"/>
              </w:tabs>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 xml:space="preserve">Plānotās sabiedrības līdzdalības un komunikācijas aktivitātes saistībā ar projektu </w:t>
            </w:r>
          </w:p>
        </w:tc>
        <w:tc>
          <w:tcPr>
            <w:tcW w:w="4459" w:type="dxa"/>
            <w:gridSpan w:val="2"/>
          </w:tcPr>
          <w:p w:rsidR="00BA2710" w:rsidRPr="00A3669F" w:rsidRDefault="00BA2710" w:rsidP="00DE3ECC">
            <w:pPr>
              <w:spacing w:after="0" w:line="240" w:lineRule="auto"/>
              <w:ind w:firstLine="284"/>
              <w:jc w:val="both"/>
              <w:rPr>
                <w:rFonts w:ascii="Times New Roman" w:eastAsia="Times New Roman" w:hAnsi="Times New Roman" w:cs="Times New Roman"/>
                <w:sz w:val="24"/>
                <w:szCs w:val="24"/>
                <w:lang w:eastAsia="lv-LV"/>
              </w:rPr>
            </w:pPr>
            <w:r w:rsidRPr="00A3669F">
              <w:rPr>
                <w:rFonts w:ascii="Times New Roman" w:hAnsi="Times New Roman" w:cs="Times New Roman"/>
                <w:sz w:val="24"/>
                <w:szCs w:val="24"/>
              </w:rPr>
              <w:t>Noteikumu projekts izstrādāts, konsultējoties ar Latvijas Zvērinātu tiesu izpildītāju padomi, ņemot vērā apstākli, ka minētā padome ir Latvijā praktizējošo zvērinātu tiesu izpi</w:t>
            </w:r>
            <w:r w:rsidR="00DE3ECC">
              <w:rPr>
                <w:rFonts w:ascii="Times New Roman" w:hAnsi="Times New Roman" w:cs="Times New Roman"/>
                <w:sz w:val="24"/>
                <w:szCs w:val="24"/>
              </w:rPr>
              <w:t>ldītāju pārstāvības institūcija</w:t>
            </w:r>
            <w:r w:rsidR="005C3808" w:rsidRPr="005C3808">
              <w:rPr>
                <w:rFonts w:ascii="Times New Roman" w:eastAsia="Times New Roman" w:hAnsi="Times New Roman" w:cs="Times New Roman"/>
                <w:sz w:val="24"/>
                <w:szCs w:val="24"/>
                <w:lang w:eastAsia="lv-LV"/>
              </w:rPr>
              <w:t xml:space="preserve">. </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339"/>
          <w:jc w:val="center"/>
        </w:trPr>
        <w:tc>
          <w:tcPr>
            <w:tcW w:w="1088" w:type="dxa"/>
            <w:gridSpan w:val="2"/>
          </w:tcPr>
          <w:p w:rsidR="00BA2710" w:rsidRPr="00A3669F" w:rsidRDefault="00BA2710" w:rsidP="008C2A5A">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2.</w:t>
            </w:r>
          </w:p>
        </w:tc>
        <w:tc>
          <w:tcPr>
            <w:tcW w:w="4235" w:type="dxa"/>
            <w:gridSpan w:val="2"/>
          </w:tcPr>
          <w:p w:rsidR="00BA2710" w:rsidRPr="00A3669F" w:rsidRDefault="00BA2710" w:rsidP="008C2A5A">
            <w:pPr>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 xml:space="preserve">Sabiedrības līdzdalība projekta izstrādē </w:t>
            </w:r>
          </w:p>
        </w:tc>
        <w:tc>
          <w:tcPr>
            <w:tcW w:w="4459" w:type="dxa"/>
            <w:gridSpan w:val="2"/>
          </w:tcPr>
          <w:p w:rsidR="005C3808" w:rsidRPr="005C3808" w:rsidRDefault="005C3808" w:rsidP="009B6E42">
            <w:pPr>
              <w:spacing w:after="0" w:line="240" w:lineRule="auto"/>
              <w:ind w:firstLine="340"/>
              <w:jc w:val="both"/>
              <w:rPr>
                <w:rFonts w:ascii="Times New Roman" w:eastAsia="Times New Roman" w:hAnsi="Times New Roman" w:cs="Times New Roman"/>
                <w:sz w:val="24"/>
                <w:szCs w:val="24"/>
                <w:lang w:eastAsia="lv-LV"/>
              </w:rPr>
            </w:pPr>
            <w:r w:rsidRPr="005C3808">
              <w:rPr>
                <w:rFonts w:ascii="Times New Roman" w:eastAsia="Times New Roman" w:hAnsi="Times New Roman" w:cs="Times New Roman"/>
                <w:sz w:val="24"/>
                <w:szCs w:val="24"/>
                <w:lang w:eastAsia="lv-LV"/>
              </w:rPr>
              <w:t xml:space="preserve">Noteikumu projekts ar Latvijas Zvērinātu tiesu izpildītāju padomi </w:t>
            </w:r>
            <w:r>
              <w:rPr>
                <w:rFonts w:ascii="Times New Roman" w:eastAsia="Times New Roman" w:hAnsi="Times New Roman" w:cs="Times New Roman"/>
                <w:sz w:val="24"/>
                <w:szCs w:val="24"/>
                <w:lang w:eastAsia="lv-LV"/>
              </w:rPr>
              <w:t xml:space="preserve">saskaņots tā izstrādes laikā. </w:t>
            </w:r>
            <w:r w:rsidR="00DE3ECC">
              <w:rPr>
                <w:rFonts w:ascii="Times New Roman" w:eastAsia="Times New Roman" w:hAnsi="Times New Roman" w:cs="Times New Roman"/>
                <w:sz w:val="24"/>
                <w:szCs w:val="24"/>
                <w:lang w:eastAsia="lv-LV"/>
              </w:rPr>
              <w:t>Minētā institūcija</w:t>
            </w:r>
            <w:r w:rsidRPr="005C3808">
              <w:rPr>
                <w:rFonts w:ascii="Times New Roman" w:eastAsia="Times New Roman" w:hAnsi="Times New Roman" w:cs="Times New Roman"/>
                <w:sz w:val="24"/>
                <w:szCs w:val="24"/>
                <w:lang w:eastAsia="lv-LV"/>
              </w:rPr>
              <w:t xml:space="preserve"> noteikum</w:t>
            </w:r>
            <w:r w:rsidR="00DE3ECC">
              <w:rPr>
                <w:rFonts w:ascii="Times New Roman" w:eastAsia="Times New Roman" w:hAnsi="Times New Roman" w:cs="Times New Roman"/>
                <w:sz w:val="24"/>
                <w:szCs w:val="24"/>
                <w:lang w:eastAsia="lv-LV"/>
              </w:rPr>
              <w:t>u projekta izstrādē piesaistīta</w:t>
            </w:r>
            <w:r w:rsidRPr="005C3808">
              <w:rPr>
                <w:rFonts w:ascii="Times New Roman" w:eastAsia="Times New Roman" w:hAnsi="Times New Roman" w:cs="Times New Roman"/>
                <w:sz w:val="24"/>
                <w:szCs w:val="24"/>
                <w:lang w:eastAsia="lv-LV"/>
              </w:rPr>
              <w:t xml:space="preserve"> kā zvērinātu tiesu izpildītāju pārstāvības institūcijas.</w:t>
            </w:r>
          </w:p>
          <w:p w:rsidR="00BA2710" w:rsidRPr="00A3669F" w:rsidRDefault="00891992" w:rsidP="005C3808">
            <w:pPr>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Lai informētu sabiedrību par Ministru kabineta noteikumu projektu un dotu iespēju izteikt viedokli, Ministru kabineta noteikumu projekts, saskaņā ar Ministru kabineta 2009. gada 25. augusta noteikumiem Nr. 970 „Sabiedrības līdzdalības kārtība attīstības plānošanas procesā” ievietots Tieslietu ministrijas interneta mājaslapā.</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375"/>
          <w:jc w:val="center"/>
        </w:trPr>
        <w:tc>
          <w:tcPr>
            <w:tcW w:w="1088" w:type="dxa"/>
            <w:gridSpan w:val="2"/>
          </w:tcPr>
          <w:p w:rsidR="00BA2710" w:rsidRPr="00A3669F" w:rsidRDefault="00BA2710" w:rsidP="008C2A5A">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3.</w:t>
            </w:r>
          </w:p>
        </w:tc>
        <w:tc>
          <w:tcPr>
            <w:tcW w:w="4235" w:type="dxa"/>
            <w:gridSpan w:val="2"/>
          </w:tcPr>
          <w:p w:rsidR="00BA2710" w:rsidRPr="00A3669F" w:rsidRDefault="00BA2710" w:rsidP="008C2A5A">
            <w:pPr>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 xml:space="preserve">Sabiedrības līdzdalības rezultāti </w:t>
            </w:r>
          </w:p>
        </w:tc>
        <w:tc>
          <w:tcPr>
            <w:tcW w:w="4459" w:type="dxa"/>
            <w:gridSpan w:val="2"/>
          </w:tcPr>
          <w:p w:rsidR="00BA2710" w:rsidRPr="00A3669F" w:rsidRDefault="00891992" w:rsidP="00DE3ECC">
            <w:pPr>
              <w:spacing w:after="0" w:line="240" w:lineRule="auto"/>
              <w:ind w:firstLine="31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Viedokļi par noteikumu projektu netika saņemti.</w:t>
            </w:r>
          </w:p>
        </w:tc>
      </w:tr>
      <w:tr w:rsidR="00BA2710" w:rsidRPr="00A3669F" w:rsidTr="008C2A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000" w:firstRow="0" w:lastRow="0" w:firstColumn="0" w:lastColumn="0" w:noHBand="0" w:noVBand="0"/>
        </w:tblPrEx>
        <w:trPr>
          <w:gridBefore w:val="1"/>
          <w:wBefore w:w="160" w:type="dxa"/>
          <w:trHeight w:val="476"/>
          <w:jc w:val="center"/>
        </w:trPr>
        <w:tc>
          <w:tcPr>
            <w:tcW w:w="1088" w:type="dxa"/>
            <w:gridSpan w:val="2"/>
          </w:tcPr>
          <w:p w:rsidR="00BA2710" w:rsidRPr="00A3669F" w:rsidRDefault="00BA2710" w:rsidP="008C2A5A">
            <w:pPr>
              <w:spacing w:after="0" w:line="240" w:lineRule="auto"/>
              <w:ind w:left="57" w:right="57"/>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4.</w:t>
            </w:r>
          </w:p>
        </w:tc>
        <w:tc>
          <w:tcPr>
            <w:tcW w:w="4235" w:type="dxa"/>
            <w:gridSpan w:val="2"/>
          </w:tcPr>
          <w:p w:rsidR="00BA2710" w:rsidRPr="00A3669F" w:rsidRDefault="00BA2710" w:rsidP="008C2A5A">
            <w:pPr>
              <w:spacing w:after="0" w:line="240" w:lineRule="auto"/>
              <w:ind w:left="57" w:right="57"/>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sz w:val="24"/>
                <w:szCs w:val="24"/>
                <w:lang w:eastAsia="lv-LV"/>
              </w:rPr>
              <w:t>Cita informācija</w:t>
            </w:r>
          </w:p>
          <w:p w:rsidR="00BA2710" w:rsidRPr="00A3669F" w:rsidRDefault="00BA2710" w:rsidP="008C2A5A">
            <w:pPr>
              <w:spacing w:after="0" w:line="240" w:lineRule="auto"/>
              <w:ind w:left="57" w:right="57"/>
              <w:rPr>
                <w:rFonts w:ascii="Times New Roman" w:eastAsia="Times New Roman" w:hAnsi="Times New Roman" w:cs="Times New Roman"/>
                <w:b/>
                <w:sz w:val="24"/>
                <w:szCs w:val="24"/>
                <w:lang w:eastAsia="lv-LV"/>
              </w:rPr>
            </w:pPr>
          </w:p>
        </w:tc>
        <w:tc>
          <w:tcPr>
            <w:tcW w:w="4459" w:type="dxa"/>
            <w:gridSpan w:val="2"/>
          </w:tcPr>
          <w:p w:rsidR="00BA2710" w:rsidRPr="00A3669F" w:rsidRDefault="00BA2710" w:rsidP="008C2A5A">
            <w:pPr>
              <w:spacing w:after="0" w:line="240" w:lineRule="auto"/>
              <w:ind w:firstLine="284"/>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Nav</w:t>
            </w:r>
          </w:p>
        </w:tc>
      </w:tr>
      <w:tr w:rsidR="00BA2710" w:rsidRPr="00A3669F" w:rsidTr="008C2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Pr>
        <w:tc>
          <w:tcPr>
            <w:tcW w:w="9782" w:type="dxa"/>
            <w:gridSpan w:val="6"/>
            <w:tcBorders>
              <w:top w:val="single" w:sz="4" w:space="0" w:color="auto"/>
            </w:tcBorders>
          </w:tcPr>
          <w:p w:rsidR="00BA2710" w:rsidRPr="00A3669F" w:rsidRDefault="00BA2710" w:rsidP="008C2A5A">
            <w:pPr>
              <w:spacing w:after="0" w:line="240" w:lineRule="auto"/>
              <w:ind w:left="57" w:right="57"/>
              <w:jc w:val="center"/>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sz w:val="24"/>
                <w:szCs w:val="24"/>
                <w:lang w:eastAsia="lv-LV"/>
              </w:rPr>
              <w:t>VII. Tiesību akta projekta izpildes nodrošināšana un tās ietekme uz institūcijām</w:t>
            </w:r>
          </w:p>
        </w:tc>
      </w:tr>
      <w:tr w:rsidR="00BA2710" w:rsidRPr="00A3669F" w:rsidTr="008C2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27"/>
        </w:trPr>
        <w:tc>
          <w:tcPr>
            <w:tcW w:w="426" w:type="dxa"/>
            <w:gridSpan w:val="2"/>
          </w:tcPr>
          <w:p w:rsidR="00BA2710" w:rsidRPr="00A3669F" w:rsidRDefault="00BA2710" w:rsidP="008C2A5A">
            <w:pPr>
              <w:spacing w:after="0" w:line="240" w:lineRule="auto"/>
              <w:ind w:left="57" w:right="57"/>
              <w:jc w:val="both"/>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lang w:eastAsia="lv-LV"/>
              </w:rPr>
              <w:t>1.</w:t>
            </w:r>
          </w:p>
        </w:tc>
        <w:tc>
          <w:tcPr>
            <w:tcW w:w="2693" w:type="dxa"/>
            <w:gridSpan w:val="2"/>
          </w:tcPr>
          <w:p w:rsidR="00BA2710" w:rsidRPr="00A3669F" w:rsidRDefault="00BA2710" w:rsidP="008C2A5A">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 xml:space="preserve">Projekta izpildē iesaistītās institūcijas </w:t>
            </w:r>
          </w:p>
        </w:tc>
        <w:tc>
          <w:tcPr>
            <w:tcW w:w="6663" w:type="dxa"/>
            <w:gridSpan w:val="2"/>
          </w:tcPr>
          <w:p w:rsidR="005C3808" w:rsidRPr="005C3808" w:rsidRDefault="005C3808" w:rsidP="009B6E42">
            <w:pPr>
              <w:spacing w:after="0" w:line="240" w:lineRule="auto"/>
              <w:ind w:left="-28" w:right="57" w:firstLine="284"/>
              <w:jc w:val="both"/>
              <w:rPr>
                <w:rFonts w:ascii="Times New Roman" w:eastAsia="Times New Roman" w:hAnsi="Times New Roman" w:cs="Times New Roman"/>
                <w:bCs/>
                <w:sz w:val="24"/>
                <w:szCs w:val="24"/>
                <w:lang w:eastAsia="lv-LV"/>
              </w:rPr>
            </w:pPr>
            <w:r w:rsidRPr="005C3808">
              <w:rPr>
                <w:rFonts w:ascii="Times New Roman" w:eastAsia="Times New Roman" w:hAnsi="Times New Roman" w:cs="Times New Roman"/>
                <w:bCs/>
                <w:sz w:val="24"/>
                <w:szCs w:val="24"/>
                <w:lang w:eastAsia="lv-LV"/>
              </w:rPr>
              <w:t>Noteikumu projekta izpildi atbilstoši spriedumu izpildes procesa un maksātnespējas procesa norisi regulējošos normatīvajos aktos nostiprinātajai kompetencei nodrošinās zvērināti tiesu izpildītāji un maksātnespējas procesa administratori.</w:t>
            </w:r>
          </w:p>
          <w:p w:rsidR="00BA2710" w:rsidRPr="00A3669F" w:rsidRDefault="005C3808" w:rsidP="009B6E42">
            <w:pPr>
              <w:spacing w:after="0" w:line="240" w:lineRule="auto"/>
              <w:ind w:left="-28" w:right="57" w:firstLine="284"/>
              <w:jc w:val="both"/>
              <w:rPr>
                <w:rFonts w:ascii="Times New Roman" w:eastAsia="Times New Roman" w:hAnsi="Times New Roman" w:cs="Times New Roman"/>
                <w:bCs/>
                <w:sz w:val="24"/>
                <w:szCs w:val="24"/>
                <w:lang w:eastAsia="lv-LV"/>
              </w:rPr>
            </w:pPr>
            <w:r w:rsidRPr="005C3808">
              <w:rPr>
                <w:rFonts w:ascii="Times New Roman" w:eastAsia="Times New Roman" w:hAnsi="Times New Roman" w:cs="Times New Roman"/>
                <w:bCs/>
                <w:sz w:val="24"/>
                <w:szCs w:val="24"/>
                <w:lang w:eastAsia="lv-LV"/>
              </w:rPr>
              <w:t xml:space="preserve">Elektronisko izsoļu vietnes </w:t>
            </w:r>
            <w:r w:rsidRPr="005C3808">
              <w:rPr>
                <w:rFonts w:ascii="Times New Roman" w:eastAsia="Times New Roman" w:hAnsi="Times New Roman" w:cs="Times New Roman"/>
                <w:sz w:val="24"/>
                <w:szCs w:val="24"/>
              </w:rPr>
              <w:t xml:space="preserve">pārziņa un turētāja funkcijas īsteno </w:t>
            </w:r>
            <w:r w:rsidRPr="005C3808">
              <w:rPr>
                <w:rFonts w:ascii="Times New Roman" w:eastAsia="Times New Roman" w:hAnsi="Times New Roman" w:cs="Times New Roman"/>
                <w:sz w:val="24"/>
                <w:szCs w:val="24"/>
              </w:rPr>
              <w:lastRenderedPageBreak/>
              <w:t>Tiesu administrācija.</w:t>
            </w:r>
          </w:p>
        </w:tc>
      </w:tr>
      <w:tr w:rsidR="00BA2710" w:rsidRPr="00A3669F" w:rsidTr="008C2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63"/>
        </w:trPr>
        <w:tc>
          <w:tcPr>
            <w:tcW w:w="426" w:type="dxa"/>
            <w:gridSpan w:val="2"/>
          </w:tcPr>
          <w:p w:rsidR="00BA2710" w:rsidRPr="00A3669F" w:rsidRDefault="00BA2710" w:rsidP="008C2A5A">
            <w:pPr>
              <w:spacing w:after="0" w:line="240" w:lineRule="auto"/>
              <w:ind w:left="57" w:right="57"/>
              <w:jc w:val="both"/>
              <w:rPr>
                <w:rFonts w:ascii="Times New Roman" w:eastAsia="Times New Roman" w:hAnsi="Times New Roman" w:cs="Times New Roman"/>
                <w:b/>
                <w:bCs/>
                <w:sz w:val="24"/>
                <w:szCs w:val="24"/>
                <w:lang w:eastAsia="lv-LV"/>
              </w:rPr>
            </w:pPr>
            <w:r w:rsidRPr="00A3669F">
              <w:rPr>
                <w:rFonts w:ascii="Times New Roman" w:eastAsia="Times New Roman" w:hAnsi="Times New Roman" w:cs="Times New Roman"/>
                <w:b/>
                <w:bCs/>
                <w:lang w:eastAsia="lv-LV"/>
              </w:rPr>
              <w:lastRenderedPageBreak/>
              <w:t>2.</w:t>
            </w:r>
          </w:p>
        </w:tc>
        <w:tc>
          <w:tcPr>
            <w:tcW w:w="2693" w:type="dxa"/>
            <w:gridSpan w:val="2"/>
          </w:tcPr>
          <w:p w:rsidR="00BA2710" w:rsidRPr="00A3669F" w:rsidRDefault="00BA2710" w:rsidP="008C2A5A">
            <w:pPr>
              <w:spacing w:after="0" w:line="240" w:lineRule="auto"/>
              <w:ind w:left="57" w:right="57"/>
              <w:jc w:val="both"/>
              <w:rPr>
                <w:rFonts w:ascii="Times New Roman" w:eastAsia="Times New Roman" w:hAnsi="Times New Roman" w:cs="Times New Roman"/>
                <w:b/>
                <w:lang w:eastAsia="lv-LV"/>
              </w:rPr>
            </w:pPr>
            <w:r w:rsidRPr="00A3669F">
              <w:rPr>
                <w:rFonts w:ascii="Times New Roman" w:eastAsia="Times New Roman" w:hAnsi="Times New Roman" w:cs="Times New Roman"/>
                <w:b/>
                <w:lang w:eastAsia="lv-LV"/>
              </w:rPr>
              <w:t>Projekta izpildes ietekme uz pārvaldes funkcijām un institucionālo struktūru.</w:t>
            </w:r>
          </w:p>
          <w:p w:rsidR="00BA2710" w:rsidRPr="00A3669F" w:rsidRDefault="00BA2710" w:rsidP="008C2A5A">
            <w:pPr>
              <w:spacing w:after="0" w:line="240" w:lineRule="auto"/>
              <w:ind w:left="57" w:right="57"/>
              <w:jc w:val="both"/>
              <w:rPr>
                <w:rFonts w:ascii="Times New Roman" w:eastAsia="Times New Roman" w:hAnsi="Times New Roman" w:cs="Times New Roman"/>
                <w:b/>
                <w:lang w:eastAsia="lv-LV"/>
              </w:rPr>
            </w:pPr>
          </w:p>
          <w:p w:rsidR="00BA2710" w:rsidRPr="00A3669F" w:rsidRDefault="00BA2710" w:rsidP="008C2A5A">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 xml:space="preserve">Jaunu institūciju izveide, esošu institūciju likvidācija vai reorganizācija, to ietekme uz institūcijas cilvēkresursiem </w:t>
            </w:r>
          </w:p>
        </w:tc>
        <w:tc>
          <w:tcPr>
            <w:tcW w:w="6663" w:type="dxa"/>
            <w:gridSpan w:val="2"/>
          </w:tcPr>
          <w:p w:rsidR="00BA2710" w:rsidRPr="00A3669F" w:rsidRDefault="00BA2710" w:rsidP="008C2A5A">
            <w:pPr>
              <w:spacing w:after="0" w:line="240" w:lineRule="auto"/>
              <w:ind w:firstLine="311"/>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 xml:space="preserve">Ar Noteikumu projektu netiek paplašinātas zvērinātiem tiesu izpildītājiem </w:t>
            </w:r>
            <w:r w:rsidR="005C3808">
              <w:rPr>
                <w:rFonts w:ascii="Times New Roman" w:eastAsia="Times New Roman" w:hAnsi="Times New Roman" w:cs="Times New Roman"/>
                <w:sz w:val="24"/>
                <w:szCs w:val="24"/>
                <w:lang w:eastAsia="lv-LV"/>
              </w:rPr>
              <w:t xml:space="preserve">un maksātnespējas procesa administratoriem </w:t>
            </w:r>
            <w:r w:rsidRPr="00A3669F">
              <w:rPr>
                <w:rFonts w:ascii="Times New Roman" w:eastAsia="Times New Roman" w:hAnsi="Times New Roman" w:cs="Times New Roman"/>
                <w:sz w:val="24"/>
                <w:szCs w:val="24"/>
                <w:lang w:eastAsia="lv-LV"/>
              </w:rPr>
              <w:t>normatīvajos aktos noteiktās funkcijas.</w:t>
            </w:r>
          </w:p>
          <w:p w:rsidR="00BA2710" w:rsidRPr="00A3669F" w:rsidRDefault="00BA2710" w:rsidP="008C2A5A">
            <w:pPr>
              <w:spacing w:after="0" w:line="240" w:lineRule="auto"/>
              <w:ind w:firstLine="256"/>
              <w:jc w:val="both"/>
              <w:rPr>
                <w:rFonts w:ascii="Times New Roman" w:eastAsia="Times New Roman" w:hAnsi="Times New Roman" w:cs="Times New Roman"/>
                <w:sz w:val="24"/>
                <w:szCs w:val="24"/>
                <w:lang w:eastAsia="lv-LV"/>
              </w:rPr>
            </w:pPr>
            <w:r w:rsidRPr="00A3669F">
              <w:rPr>
                <w:rFonts w:ascii="Times New Roman" w:eastAsia="Times New Roman" w:hAnsi="Times New Roman" w:cs="Times New Roman"/>
                <w:sz w:val="24"/>
                <w:szCs w:val="24"/>
                <w:lang w:eastAsia="lv-LV"/>
              </w:rPr>
              <w:t>Likumprojekts neparedz jaunu institūciju izveidi vai esošo institūciju likvidāciju vai reorganizāciju.</w:t>
            </w:r>
          </w:p>
          <w:p w:rsidR="00BA2710" w:rsidRPr="00A3669F" w:rsidRDefault="00BA2710" w:rsidP="008C2A5A">
            <w:pPr>
              <w:spacing w:after="0" w:line="240" w:lineRule="auto"/>
              <w:jc w:val="both"/>
              <w:rPr>
                <w:rFonts w:ascii="Times New Roman" w:eastAsia="Times New Roman" w:hAnsi="Times New Roman" w:cs="Times New Roman"/>
                <w:sz w:val="24"/>
                <w:szCs w:val="24"/>
                <w:lang w:eastAsia="lv-LV"/>
              </w:rPr>
            </w:pPr>
          </w:p>
        </w:tc>
      </w:tr>
      <w:tr w:rsidR="00BA2710" w:rsidRPr="00A3669F" w:rsidTr="008C2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0" w:type="dxa"/>
          <w:trHeight w:val="476"/>
        </w:trPr>
        <w:tc>
          <w:tcPr>
            <w:tcW w:w="426" w:type="dxa"/>
            <w:gridSpan w:val="2"/>
          </w:tcPr>
          <w:p w:rsidR="00BA2710" w:rsidRPr="00A3669F" w:rsidRDefault="00BA2710" w:rsidP="008C2A5A">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3.</w:t>
            </w:r>
          </w:p>
        </w:tc>
        <w:tc>
          <w:tcPr>
            <w:tcW w:w="2693" w:type="dxa"/>
            <w:gridSpan w:val="2"/>
          </w:tcPr>
          <w:p w:rsidR="00BA2710" w:rsidRPr="00A3669F" w:rsidRDefault="00BA2710" w:rsidP="008C2A5A">
            <w:pPr>
              <w:spacing w:after="0" w:line="240" w:lineRule="auto"/>
              <w:ind w:left="57" w:right="57"/>
              <w:jc w:val="both"/>
              <w:rPr>
                <w:rFonts w:ascii="Times New Roman" w:eastAsia="Times New Roman" w:hAnsi="Times New Roman" w:cs="Times New Roman"/>
                <w:b/>
                <w:sz w:val="24"/>
                <w:szCs w:val="24"/>
                <w:lang w:eastAsia="lv-LV"/>
              </w:rPr>
            </w:pPr>
            <w:r w:rsidRPr="00A3669F">
              <w:rPr>
                <w:rFonts w:ascii="Times New Roman" w:eastAsia="Times New Roman" w:hAnsi="Times New Roman" w:cs="Times New Roman"/>
                <w:b/>
                <w:lang w:eastAsia="lv-LV"/>
              </w:rPr>
              <w:t>Cita informācija</w:t>
            </w:r>
          </w:p>
        </w:tc>
        <w:tc>
          <w:tcPr>
            <w:tcW w:w="6663" w:type="dxa"/>
            <w:gridSpan w:val="2"/>
          </w:tcPr>
          <w:p w:rsidR="00BA2710" w:rsidRPr="00A3669F" w:rsidRDefault="00BA2710" w:rsidP="008C2A5A">
            <w:pPr>
              <w:spacing w:after="0" w:line="240" w:lineRule="auto"/>
              <w:ind w:left="57" w:right="57"/>
              <w:rPr>
                <w:rFonts w:ascii="Times New Roman" w:eastAsia="Times New Roman" w:hAnsi="Times New Roman" w:cs="Times New Roman"/>
                <w:sz w:val="24"/>
                <w:szCs w:val="24"/>
                <w:lang w:eastAsia="lv-LV"/>
              </w:rPr>
            </w:pPr>
            <w:r w:rsidRPr="00A3669F">
              <w:rPr>
                <w:rFonts w:ascii="Times New Roman" w:eastAsia="Times New Roman" w:hAnsi="Times New Roman" w:cs="Times New Roman"/>
                <w:lang w:eastAsia="lv-LV"/>
              </w:rPr>
              <w:t>Nav.</w:t>
            </w:r>
          </w:p>
        </w:tc>
      </w:tr>
    </w:tbl>
    <w:p w:rsidR="00BA2710" w:rsidRPr="00A3669F" w:rsidRDefault="00BA2710" w:rsidP="00BA2710">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BA2710" w:rsidRPr="00A3669F" w:rsidRDefault="00BA2710" w:rsidP="00BA2710">
      <w:pPr>
        <w:tabs>
          <w:tab w:val="left" w:pos="5760"/>
        </w:tabs>
        <w:spacing w:after="0" w:line="240" w:lineRule="auto"/>
        <w:ind w:firstLine="720"/>
        <w:jc w:val="both"/>
        <w:rPr>
          <w:rFonts w:ascii="Times New Roman" w:eastAsia="Times New Roman" w:hAnsi="Times New Roman" w:cs="Times New Roman"/>
          <w:sz w:val="28"/>
          <w:szCs w:val="28"/>
          <w:lang w:eastAsia="lv-LV"/>
        </w:rPr>
      </w:pPr>
    </w:p>
    <w:p w:rsidR="00BA2710" w:rsidRPr="00A3669F" w:rsidRDefault="00BA2710" w:rsidP="00BA2710">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Tieslietu ministrs</w:t>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005C3808">
        <w:rPr>
          <w:rFonts w:ascii="Times New Roman" w:eastAsia="Times New Roman" w:hAnsi="Times New Roman" w:cs="Times New Roman"/>
          <w:bCs/>
          <w:sz w:val="24"/>
          <w:szCs w:val="24"/>
          <w:lang w:eastAsia="lv-LV"/>
        </w:rPr>
        <w:t xml:space="preserve">Dzintars </w:t>
      </w:r>
      <w:r w:rsidRPr="00A3669F">
        <w:rPr>
          <w:rFonts w:ascii="Times New Roman" w:eastAsia="Times New Roman" w:hAnsi="Times New Roman" w:cs="Times New Roman"/>
          <w:bCs/>
          <w:sz w:val="24"/>
          <w:szCs w:val="24"/>
          <w:lang w:eastAsia="lv-LV"/>
        </w:rPr>
        <w:t>Rasnačs</w:t>
      </w:r>
    </w:p>
    <w:p w:rsidR="00BA2710" w:rsidRPr="00A3669F" w:rsidRDefault="00BA2710" w:rsidP="00BA2710">
      <w:pPr>
        <w:spacing w:after="0" w:line="240" w:lineRule="auto"/>
        <w:jc w:val="both"/>
        <w:rPr>
          <w:rFonts w:ascii="Times New Roman" w:eastAsia="Times New Roman" w:hAnsi="Times New Roman" w:cs="Times New Roman"/>
          <w:bCs/>
          <w:sz w:val="24"/>
          <w:szCs w:val="24"/>
          <w:lang w:eastAsia="lv-LV"/>
        </w:rPr>
      </w:pPr>
    </w:p>
    <w:p w:rsidR="00BA2710" w:rsidRPr="00A3669F" w:rsidRDefault="00BA2710" w:rsidP="00BA2710">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Iesniedzējs:</w:t>
      </w:r>
    </w:p>
    <w:p w:rsidR="00BA2710" w:rsidRPr="00A3669F" w:rsidRDefault="00BA2710" w:rsidP="00BA2710">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Tieslietu ministrijas</w:t>
      </w:r>
    </w:p>
    <w:p w:rsidR="00BA2710" w:rsidRPr="00A3669F" w:rsidRDefault="00BA2710" w:rsidP="00BA2710">
      <w:pPr>
        <w:spacing w:after="0" w:line="240" w:lineRule="auto"/>
        <w:jc w:val="both"/>
        <w:rPr>
          <w:rFonts w:ascii="Times New Roman" w:eastAsia="Times New Roman" w:hAnsi="Times New Roman" w:cs="Times New Roman"/>
          <w:bCs/>
          <w:sz w:val="24"/>
          <w:szCs w:val="24"/>
          <w:lang w:eastAsia="lv-LV"/>
        </w:rPr>
      </w:pPr>
      <w:r w:rsidRPr="00A3669F">
        <w:rPr>
          <w:rFonts w:ascii="Times New Roman" w:eastAsia="Times New Roman" w:hAnsi="Times New Roman" w:cs="Times New Roman"/>
          <w:bCs/>
          <w:sz w:val="24"/>
          <w:szCs w:val="24"/>
          <w:lang w:eastAsia="lv-LV"/>
        </w:rPr>
        <w:t>valsts sekretārs</w:t>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r>
      <w:r w:rsidRPr="00A3669F">
        <w:rPr>
          <w:rFonts w:ascii="Times New Roman" w:eastAsia="Times New Roman" w:hAnsi="Times New Roman" w:cs="Times New Roman"/>
          <w:bCs/>
          <w:sz w:val="24"/>
          <w:szCs w:val="24"/>
          <w:lang w:eastAsia="lv-LV"/>
        </w:rPr>
        <w:tab/>
        <w:t>R</w:t>
      </w:r>
      <w:r w:rsidR="005C3808">
        <w:rPr>
          <w:rFonts w:ascii="Times New Roman" w:eastAsia="Times New Roman" w:hAnsi="Times New Roman" w:cs="Times New Roman"/>
          <w:bCs/>
          <w:sz w:val="24"/>
          <w:szCs w:val="24"/>
          <w:lang w:eastAsia="lv-LV"/>
        </w:rPr>
        <w:t xml:space="preserve">aivis </w:t>
      </w:r>
      <w:r w:rsidRPr="00A3669F">
        <w:rPr>
          <w:rFonts w:ascii="Times New Roman" w:eastAsia="Times New Roman" w:hAnsi="Times New Roman" w:cs="Times New Roman"/>
          <w:bCs/>
          <w:sz w:val="24"/>
          <w:szCs w:val="24"/>
          <w:lang w:eastAsia="lv-LV"/>
        </w:rPr>
        <w:t>Kronbergs</w:t>
      </w:r>
    </w:p>
    <w:p w:rsidR="00BA2710" w:rsidRPr="00A3669F" w:rsidRDefault="00BA2710" w:rsidP="00BA2710">
      <w:pPr>
        <w:spacing w:after="0" w:line="240" w:lineRule="auto"/>
        <w:jc w:val="both"/>
        <w:rPr>
          <w:rFonts w:ascii="Times New Roman" w:hAnsi="Times New Roman" w:cs="Times New Roman"/>
          <w:color w:val="000000"/>
          <w:sz w:val="20"/>
          <w:szCs w:val="20"/>
        </w:rPr>
      </w:pPr>
    </w:p>
    <w:p w:rsidR="00250034" w:rsidRPr="004E416E" w:rsidRDefault="00250034" w:rsidP="00250034">
      <w:pPr>
        <w:spacing w:after="0" w:line="240" w:lineRule="auto"/>
        <w:ind w:firstLine="142"/>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1</w:t>
      </w:r>
      <w:r w:rsidR="009B6E42">
        <w:rPr>
          <w:rFonts w:ascii="Times New Roman" w:hAnsi="Times New Roman"/>
          <w:color w:val="000000" w:themeColor="text1"/>
          <w:sz w:val="20"/>
          <w:szCs w:val="20"/>
          <w:shd w:val="clear" w:color="auto" w:fill="FFFFFF"/>
        </w:rPr>
        <w:t>6</w:t>
      </w:r>
      <w:r w:rsidRPr="004E416E">
        <w:rPr>
          <w:rFonts w:ascii="Times New Roman" w:hAnsi="Times New Roman"/>
          <w:color w:val="000000" w:themeColor="text1"/>
          <w:sz w:val="20"/>
          <w:szCs w:val="20"/>
          <w:shd w:val="clear" w:color="auto" w:fill="FFFFFF"/>
        </w:rPr>
        <w:t xml:space="preserve">.12.2015 </w:t>
      </w:r>
      <w:r w:rsidR="009A27EE">
        <w:rPr>
          <w:rFonts w:ascii="Times New Roman" w:hAnsi="Times New Roman"/>
          <w:color w:val="000000" w:themeColor="text1"/>
          <w:sz w:val="20"/>
          <w:szCs w:val="20"/>
          <w:shd w:val="clear" w:color="auto" w:fill="FFFFFF"/>
        </w:rPr>
        <w:t>12</w:t>
      </w:r>
      <w:r w:rsidR="004330AD">
        <w:rPr>
          <w:rFonts w:ascii="Times New Roman" w:hAnsi="Times New Roman"/>
          <w:color w:val="000000" w:themeColor="text1"/>
          <w:sz w:val="20"/>
          <w:szCs w:val="20"/>
          <w:shd w:val="clear" w:color="auto" w:fill="FFFFFF"/>
        </w:rPr>
        <w:t>:</w:t>
      </w:r>
      <w:r w:rsidR="009A27EE">
        <w:rPr>
          <w:rFonts w:ascii="Times New Roman" w:hAnsi="Times New Roman"/>
          <w:color w:val="000000" w:themeColor="text1"/>
          <w:sz w:val="20"/>
          <w:szCs w:val="20"/>
          <w:shd w:val="clear" w:color="auto" w:fill="FFFFFF"/>
        </w:rPr>
        <w:t>00</w:t>
      </w:r>
      <w:bookmarkStart w:id="0" w:name="_GoBack"/>
      <w:bookmarkEnd w:id="0"/>
    </w:p>
    <w:p w:rsidR="00250034" w:rsidRPr="004E416E" w:rsidRDefault="00250034" w:rsidP="00250034">
      <w:pPr>
        <w:spacing w:after="0" w:line="240" w:lineRule="auto"/>
        <w:ind w:firstLine="142"/>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1</w:t>
      </w:r>
      <w:r w:rsidR="009B6E42">
        <w:rPr>
          <w:rFonts w:ascii="Times New Roman" w:hAnsi="Times New Roman"/>
          <w:color w:val="000000" w:themeColor="text1"/>
          <w:sz w:val="20"/>
          <w:szCs w:val="20"/>
          <w:shd w:val="clear" w:color="auto" w:fill="FFFFFF"/>
        </w:rPr>
        <w:t>4</w:t>
      </w:r>
      <w:r w:rsidR="004330AD">
        <w:rPr>
          <w:rFonts w:ascii="Times New Roman" w:hAnsi="Times New Roman"/>
          <w:color w:val="000000" w:themeColor="text1"/>
          <w:sz w:val="20"/>
          <w:szCs w:val="20"/>
          <w:shd w:val="clear" w:color="auto" w:fill="FFFFFF"/>
        </w:rPr>
        <w:t>81</w:t>
      </w:r>
    </w:p>
    <w:p w:rsidR="00250034" w:rsidRPr="004E416E" w:rsidRDefault="00250034" w:rsidP="00250034">
      <w:pPr>
        <w:spacing w:after="0" w:line="240" w:lineRule="auto"/>
        <w:ind w:firstLine="142"/>
        <w:jc w:val="both"/>
        <w:rPr>
          <w:rFonts w:ascii="Times New Roman" w:hAnsi="Times New Roman"/>
          <w:color w:val="000000" w:themeColor="text1"/>
          <w:sz w:val="20"/>
          <w:szCs w:val="20"/>
          <w:shd w:val="clear" w:color="auto" w:fill="FFFFFF"/>
        </w:rPr>
      </w:pPr>
      <w:proofErr w:type="spellStart"/>
      <w:r w:rsidRPr="004E416E">
        <w:rPr>
          <w:rFonts w:ascii="Times New Roman" w:hAnsi="Times New Roman"/>
          <w:color w:val="000000" w:themeColor="text1"/>
          <w:sz w:val="20"/>
          <w:szCs w:val="20"/>
          <w:shd w:val="clear" w:color="auto" w:fill="FFFFFF"/>
        </w:rPr>
        <w:t>E.Timpare</w:t>
      </w:r>
      <w:proofErr w:type="spellEnd"/>
      <w:r w:rsidRPr="004E416E">
        <w:rPr>
          <w:rFonts w:ascii="Times New Roman" w:hAnsi="Times New Roman"/>
          <w:color w:val="000000" w:themeColor="text1"/>
          <w:sz w:val="20"/>
          <w:szCs w:val="20"/>
          <w:shd w:val="clear" w:color="auto" w:fill="FFFFFF"/>
        </w:rPr>
        <w:t xml:space="preserve">, </w:t>
      </w:r>
    </w:p>
    <w:p w:rsidR="00BC6796" w:rsidRPr="00B84589" w:rsidRDefault="00250034" w:rsidP="00B84589">
      <w:pPr>
        <w:spacing w:after="0" w:line="240" w:lineRule="auto"/>
        <w:ind w:firstLine="142"/>
        <w:jc w:val="both"/>
        <w:rPr>
          <w:rFonts w:ascii="Times New Roman" w:hAnsi="Times New Roman"/>
          <w:color w:val="000000" w:themeColor="text1"/>
          <w:sz w:val="20"/>
          <w:szCs w:val="20"/>
          <w:shd w:val="clear" w:color="auto" w:fill="FFFFFF"/>
        </w:rPr>
      </w:pPr>
      <w:r w:rsidRPr="004E416E">
        <w:rPr>
          <w:rFonts w:ascii="Times New Roman" w:hAnsi="Times New Roman"/>
          <w:color w:val="000000" w:themeColor="text1"/>
          <w:sz w:val="20"/>
          <w:szCs w:val="20"/>
          <w:shd w:val="clear" w:color="auto" w:fill="FFFFFF"/>
        </w:rPr>
        <w:t xml:space="preserve">67036829, </w:t>
      </w:r>
      <w:r w:rsidRPr="004E416E">
        <w:rPr>
          <w:rFonts w:ascii="Times New Roman" w:hAnsi="Times New Roman"/>
          <w:color w:val="0000FF" w:themeColor="hyperlink"/>
          <w:sz w:val="20"/>
          <w:szCs w:val="20"/>
          <w:u w:val="single"/>
          <w:shd w:val="clear" w:color="auto" w:fill="FFFFFF"/>
        </w:rPr>
        <w:t>Evija.Timpare@tm.gov.lv</w:t>
      </w:r>
    </w:p>
    <w:sectPr w:rsidR="00BC6796" w:rsidRPr="00B84589" w:rsidSect="008511CB">
      <w:headerReference w:type="even" r:id="rId10"/>
      <w:headerReference w:type="default"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58" w:rsidRDefault="009B6158" w:rsidP="009B6158">
      <w:pPr>
        <w:spacing w:after="0" w:line="240" w:lineRule="auto"/>
      </w:pPr>
      <w:r>
        <w:separator/>
      </w:r>
    </w:p>
  </w:endnote>
  <w:endnote w:type="continuationSeparator" w:id="0">
    <w:p w:rsidR="009B6158" w:rsidRDefault="009B6158" w:rsidP="009B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Pr="00571BA3" w:rsidRDefault="00683757" w:rsidP="008511CB">
    <w:pPr>
      <w:pStyle w:val="Kjene"/>
      <w:jc w:val="both"/>
      <w:rPr>
        <w:rFonts w:ascii="Times New Roman" w:hAnsi="Times New Roman" w:cs="Times New Roman"/>
        <w:sz w:val="20"/>
        <w:szCs w:val="20"/>
      </w:rPr>
    </w:pPr>
    <w:r>
      <w:rPr>
        <w:rFonts w:ascii="Times New Roman" w:hAnsi="Times New Roman" w:cs="Times New Roman"/>
        <w:sz w:val="20"/>
        <w:szCs w:val="20"/>
      </w:rPr>
      <w:t>TMA</w:t>
    </w:r>
    <w:r w:rsidRPr="00571BA3">
      <w:rPr>
        <w:rFonts w:ascii="Times New Roman" w:hAnsi="Times New Roman" w:cs="Times New Roman"/>
        <w:sz w:val="20"/>
        <w:szCs w:val="20"/>
      </w:rPr>
      <w:t>not_</w:t>
    </w:r>
    <w:r w:rsidR="00C473A3">
      <w:rPr>
        <w:rFonts w:ascii="Times New Roman" w:hAnsi="Times New Roman" w:cs="Times New Roman"/>
        <w:sz w:val="20"/>
        <w:szCs w:val="20"/>
      </w:rPr>
      <w:t>16</w:t>
    </w:r>
    <w:r w:rsidR="00250034">
      <w:rPr>
        <w:rFonts w:ascii="Times New Roman" w:hAnsi="Times New Roman" w:cs="Times New Roman"/>
        <w:sz w:val="20"/>
        <w:szCs w:val="20"/>
      </w:rPr>
      <w:t>12</w:t>
    </w:r>
    <w:r>
      <w:rPr>
        <w:rFonts w:ascii="Times New Roman" w:hAnsi="Times New Roman" w:cs="Times New Roman"/>
        <w:sz w:val="20"/>
        <w:szCs w:val="20"/>
      </w:rPr>
      <w:t>15</w:t>
    </w:r>
    <w:r w:rsidRPr="00571BA3">
      <w:rPr>
        <w:rFonts w:ascii="Times New Roman" w:hAnsi="Times New Roman" w:cs="Times New Roman"/>
        <w:sz w:val="20"/>
        <w:szCs w:val="20"/>
      </w:rPr>
      <w:t>_</w:t>
    </w:r>
    <w:r w:rsidR="009B6158">
      <w:rPr>
        <w:rFonts w:ascii="Times New Roman" w:hAnsi="Times New Roman" w:cs="Times New Roman"/>
        <w:sz w:val="20"/>
        <w:szCs w:val="20"/>
      </w:rPr>
      <w:t xml:space="preserve">izsolesgroz; </w:t>
    </w:r>
    <w:r w:rsidRPr="00177796">
      <w:rPr>
        <w:rFonts w:ascii="Times New Roman" w:eastAsia="Times New Roman" w:hAnsi="Times New Roman" w:cs="Times New Roman"/>
        <w:sz w:val="20"/>
        <w:szCs w:val="20"/>
        <w:lang w:eastAsia="lv-LV"/>
      </w:rPr>
      <w:t xml:space="preserve">Ministru kabineta noteikumu projekta </w:t>
    </w:r>
    <w:r w:rsidR="009B6158">
      <w:rPr>
        <w:rFonts w:ascii="Times New Roman" w:eastAsia="Times New Roman" w:hAnsi="Times New Roman" w:cs="Times New Roman"/>
        <w:sz w:val="20"/>
        <w:szCs w:val="20"/>
        <w:lang w:eastAsia="lv-LV"/>
      </w:rPr>
      <w:t>„Grozījumi Ministru kabineta 2015. gada 16. jūnija noteikumos Nr. 318</w:t>
    </w:r>
    <w:r w:rsidRPr="00177796">
      <w:rPr>
        <w:rFonts w:ascii="Times New Roman" w:eastAsia="Times New Roman" w:hAnsi="Times New Roman" w:cs="Times New Roman"/>
        <w:sz w:val="20"/>
        <w:szCs w:val="20"/>
        <w:lang w:eastAsia="lv-LV"/>
      </w:rPr>
      <w:t xml:space="preserve"> „</w:t>
    </w:r>
    <w:r w:rsidR="009B6158">
      <w:rPr>
        <w:rFonts w:ascii="Times New Roman" w:eastAsia="Times New Roman" w:hAnsi="Times New Roman" w:cs="Times New Roman"/>
        <w:sz w:val="20"/>
        <w:szCs w:val="20"/>
        <w:lang w:eastAsia="lv-LV"/>
      </w:rPr>
      <w:t>Elektronisko izsoļu vietnes noteikumi</w:t>
    </w:r>
    <w:r w:rsidRPr="00177796">
      <w:rPr>
        <w:rFonts w:ascii="Times New Roman" w:eastAsia="Times New Roman" w:hAnsi="Times New Roman" w:cs="Times New Roman"/>
        <w:sz w:val="20"/>
        <w:szCs w:val="20"/>
        <w:lang w:eastAsia="lv-LV"/>
      </w:rPr>
      <w:t xml:space="preserve">”” sākotnējās ietekmes novērtējuma </w:t>
    </w:r>
    <w:smartTag w:uri="schemas-tilde-lv/tildestengine" w:element="veidnes">
      <w:smartTagPr>
        <w:attr w:name="id" w:val="-1"/>
        <w:attr w:name="baseform" w:val="ziņojums"/>
        <w:attr w:name="text" w:val="ziņojums"/>
      </w:smartTagPr>
      <w:r w:rsidRPr="00177796">
        <w:rPr>
          <w:rFonts w:ascii="Times New Roman" w:eastAsia="Times New Roman" w:hAnsi="Times New Roman" w:cs="Times New Roman"/>
          <w:sz w:val="20"/>
          <w:szCs w:val="20"/>
          <w:lang w:eastAsia="lv-LV"/>
        </w:rPr>
        <w:t>ziņojums</w:t>
      </w:r>
    </w:smartTag>
    <w:r w:rsidRPr="00177796">
      <w:rPr>
        <w:rFonts w:ascii="Times New Roman" w:eastAsia="Times New Roman" w:hAnsi="Times New Roman" w:cs="Times New Roman"/>
        <w:sz w:val="20"/>
        <w:szCs w:val="20"/>
        <w:lang w:eastAsia="lv-LV"/>
      </w:rPr>
      <w:t xml:space="preserve">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Pr="00177796" w:rsidRDefault="00683757" w:rsidP="008511CB">
    <w:pPr>
      <w:pStyle w:val="Kjene"/>
      <w:jc w:val="both"/>
      <w:rPr>
        <w:rFonts w:ascii="Times New Roman" w:hAnsi="Times New Roman" w:cs="Times New Roman"/>
        <w:sz w:val="20"/>
        <w:szCs w:val="20"/>
      </w:rPr>
    </w:pPr>
    <w:r>
      <w:rPr>
        <w:rFonts w:ascii="Times New Roman" w:hAnsi="Times New Roman" w:cs="Times New Roman"/>
        <w:sz w:val="20"/>
        <w:szCs w:val="20"/>
      </w:rPr>
      <w:t>TMA</w:t>
    </w:r>
    <w:r w:rsidR="009B6158">
      <w:rPr>
        <w:rFonts w:ascii="Times New Roman" w:hAnsi="Times New Roman" w:cs="Times New Roman"/>
        <w:sz w:val="20"/>
        <w:szCs w:val="20"/>
      </w:rPr>
      <w:t>not_</w:t>
    </w:r>
    <w:r w:rsidR="00C473A3">
      <w:rPr>
        <w:rFonts w:ascii="Times New Roman" w:hAnsi="Times New Roman" w:cs="Times New Roman"/>
        <w:sz w:val="20"/>
        <w:szCs w:val="20"/>
      </w:rPr>
      <w:t>16</w:t>
    </w:r>
    <w:r w:rsidR="00250034">
      <w:rPr>
        <w:rFonts w:ascii="Times New Roman" w:hAnsi="Times New Roman" w:cs="Times New Roman"/>
        <w:sz w:val="20"/>
        <w:szCs w:val="20"/>
      </w:rPr>
      <w:t>12</w:t>
    </w:r>
    <w:r>
      <w:rPr>
        <w:rFonts w:ascii="Times New Roman" w:hAnsi="Times New Roman" w:cs="Times New Roman"/>
        <w:sz w:val="20"/>
        <w:szCs w:val="20"/>
      </w:rPr>
      <w:t>15</w:t>
    </w:r>
    <w:r w:rsidRPr="00571BA3">
      <w:rPr>
        <w:rFonts w:ascii="Times New Roman" w:hAnsi="Times New Roman" w:cs="Times New Roman"/>
        <w:sz w:val="20"/>
        <w:szCs w:val="20"/>
      </w:rPr>
      <w:t>_</w:t>
    </w:r>
    <w:r w:rsidR="00250034">
      <w:rPr>
        <w:rFonts w:ascii="Times New Roman" w:hAnsi="Times New Roman" w:cs="Times New Roman"/>
        <w:sz w:val="20"/>
        <w:szCs w:val="20"/>
      </w:rPr>
      <w:t>izsolesgroz</w:t>
    </w:r>
    <w:r>
      <w:rPr>
        <w:rFonts w:ascii="Times New Roman" w:hAnsi="Times New Roman" w:cs="Times New Roman"/>
        <w:sz w:val="20"/>
        <w:szCs w:val="20"/>
      </w:rPr>
      <w:t xml:space="preserve">; </w:t>
    </w:r>
    <w:r w:rsidRPr="00177796">
      <w:rPr>
        <w:rFonts w:ascii="Times New Roman" w:eastAsia="Times New Roman" w:hAnsi="Times New Roman" w:cs="Times New Roman"/>
        <w:sz w:val="20"/>
        <w:szCs w:val="20"/>
        <w:lang w:eastAsia="lv-LV"/>
      </w:rPr>
      <w:t>Ministru kabineta noteikumu projekta „Grozījum</w:t>
    </w:r>
    <w:r w:rsidR="009B6158">
      <w:rPr>
        <w:rFonts w:ascii="Times New Roman" w:eastAsia="Times New Roman" w:hAnsi="Times New Roman" w:cs="Times New Roman"/>
        <w:sz w:val="20"/>
        <w:szCs w:val="20"/>
        <w:lang w:eastAsia="lv-LV"/>
      </w:rPr>
      <w:t>i Ministru kabineta 2013. gada 16. jūnija noteikumos Nr. 318</w:t>
    </w:r>
    <w:r w:rsidRPr="00177796">
      <w:rPr>
        <w:rFonts w:ascii="Times New Roman" w:eastAsia="Times New Roman" w:hAnsi="Times New Roman" w:cs="Times New Roman"/>
        <w:sz w:val="20"/>
        <w:szCs w:val="20"/>
        <w:lang w:eastAsia="lv-LV"/>
      </w:rPr>
      <w:t xml:space="preserve"> „</w:t>
    </w:r>
    <w:r w:rsidR="009B6158">
      <w:rPr>
        <w:rFonts w:ascii="Times New Roman" w:eastAsia="Times New Roman" w:hAnsi="Times New Roman" w:cs="Times New Roman"/>
        <w:sz w:val="20"/>
        <w:szCs w:val="20"/>
        <w:lang w:eastAsia="lv-LV"/>
      </w:rPr>
      <w:t>Elektronisko izsoļu vietnes noteikumi</w:t>
    </w:r>
    <w:r w:rsidRPr="00177796">
      <w:rPr>
        <w:rFonts w:ascii="Times New Roman" w:eastAsia="Times New Roman" w:hAnsi="Times New Roman" w:cs="Times New Roman"/>
        <w:sz w:val="20"/>
        <w:szCs w:val="20"/>
        <w:lang w:eastAsia="lv-LV"/>
      </w:rPr>
      <w:t xml:space="preserve">”” sākotnējās ietekmes novērtējuma </w:t>
    </w:r>
    <w:smartTag w:uri="schemas-tilde-lv/tildestengine" w:element="veidnes">
      <w:smartTagPr>
        <w:attr w:name="id" w:val="-1"/>
        <w:attr w:name="baseform" w:val="ziņojums"/>
        <w:attr w:name="text" w:val="ziņojums"/>
      </w:smartTagPr>
      <w:r w:rsidRPr="00177796">
        <w:rPr>
          <w:rFonts w:ascii="Times New Roman" w:eastAsia="Times New Roman" w:hAnsi="Times New Roman" w:cs="Times New Roman"/>
          <w:sz w:val="20"/>
          <w:szCs w:val="20"/>
          <w:lang w:eastAsia="lv-LV"/>
        </w:rPr>
        <w:t>ziņojums</w:t>
      </w:r>
    </w:smartTag>
    <w:r w:rsidRPr="00177796">
      <w:rPr>
        <w:rFonts w:ascii="Times New Roman" w:eastAsia="Times New Roman" w:hAnsi="Times New Roman" w:cs="Times New Roman"/>
        <w:sz w:val="20"/>
        <w:szCs w:val="20"/>
        <w:lang w:eastAsia="lv-LV"/>
      </w:rPr>
      <w:t xml:space="preserve">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58" w:rsidRDefault="009B6158" w:rsidP="009B6158">
      <w:pPr>
        <w:spacing w:after="0" w:line="240" w:lineRule="auto"/>
      </w:pPr>
      <w:r>
        <w:separator/>
      </w:r>
    </w:p>
  </w:footnote>
  <w:footnote w:type="continuationSeparator" w:id="0">
    <w:p w:rsidR="009B6158" w:rsidRDefault="009B6158" w:rsidP="009B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Default="00683757" w:rsidP="008511C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511CB" w:rsidRDefault="009A27E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CB" w:rsidRDefault="00683757" w:rsidP="008511C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A27EE">
      <w:rPr>
        <w:rStyle w:val="Lappusesnumurs"/>
        <w:noProof/>
      </w:rPr>
      <w:t>5</w:t>
    </w:r>
    <w:r>
      <w:rPr>
        <w:rStyle w:val="Lappusesnumurs"/>
      </w:rPr>
      <w:fldChar w:fldCharType="end"/>
    </w:r>
  </w:p>
  <w:p w:rsidR="008511CB" w:rsidRDefault="009A27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10"/>
    <w:rsid w:val="00003C92"/>
    <w:rsid w:val="00017948"/>
    <w:rsid w:val="00020E97"/>
    <w:rsid w:val="00030692"/>
    <w:rsid w:val="00041403"/>
    <w:rsid w:val="0005242C"/>
    <w:rsid w:val="000831FF"/>
    <w:rsid w:val="000E527E"/>
    <w:rsid w:val="001640A5"/>
    <w:rsid w:val="001D0EDB"/>
    <w:rsid w:val="00216595"/>
    <w:rsid w:val="00222ACE"/>
    <w:rsid w:val="00250034"/>
    <w:rsid w:val="00261F80"/>
    <w:rsid w:val="002A275F"/>
    <w:rsid w:val="002B54B9"/>
    <w:rsid w:val="002F2B61"/>
    <w:rsid w:val="002F6988"/>
    <w:rsid w:val="003A21FA"/>
    <w:rsid w:val="0042760B"/>
    <w:rsid w:val="004330AD"/>
    <w:rsid w:val="00475A88"/>
    <w:rsid w:val="005C1436"/>
    <w:rsid w:val="005C3808"/>
    <w:rsid w:val="00660C65"/>
    <w:rsid w:val="00683757"/>
    <w:rsid w:val="006D47ED"/>
    <w:rsid w:val="006E3EE3"/>
    <w:rsid w:val="00754712"/>
    <w:rsid w:val="00762137"/>
    <w:rsid w:val="007B28B1"/>
    <w:rsid w:val="0083610A"/>
    <w:rsid w:val="008800FE"/>
    <w:rsid w:val="00891992"/>
    <w:rsid w:val="008D0B2E"/>
    <w:rsid w:val="008E25D1"/>
    <w:rsid w:val="009467E0"/>
    <w:rsid w:val="009A27EE"/>
    <w:rsid w:val="009A624D"/>
    <w:rsid w:val="009A7002"/>
    <w:rsid w:val="009B6158"/>
    <w:rsid w:val="009B6E42"/>
    <w:rsid w:val="009C60CC"/>
    <w:rsid w:val="00A208E4"/>
    <w:rsid w:val="00A60206"/>
    <w:rsid w:val="00A61A09"/>
    <w:rsid w:val="00A778C3"/>
    <w:rsid w:val="00AD46AB"/>
    <w:rsid w:val="00B326B2"/>
    <w:rsid w:val="00B34A58"/>
    <w:rsid w:val="00B84589"/>
    <w:rsid w:val="00BA2710"/>
    <w:rsid w:val="00BC6796"/>
    <w:rsid w:val="00BC6E2B"/>
    <w:rsid w:val="00BD7D33"/>
    <w:rsid w:val="00C4099D"/>
    <w:rsid w:val="00C473A3"/>
    <w:rsid w:val="00CA2B7C"/>
    <w:rsid w:val="00D34B7F"/>
    <w:rsid w:val="00D7389A"/>
    <w:rsid w:val="00D936C2"/>
    <w:rsid w:val="00DE3ECC"/>
    <w:rsid w:val="00E14DF4"/>
    <w:rsid w:val="00E3506D"/>
    <w:rsid w:val="00F6484E"/>
    <w:rsid w:val="00FE714E"/>
    <w:rsid w:val="00FF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A2710"/>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A27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2710"/>
    <w:rPr>
      <w:lang w:val="lv-LV"/>
    </w:rPr>
  </w:style>
  <w:style w:type="paragraph" w:styleId="Kjene">
    <w:name w:val="footer"/>
    <w:basedOn w:val="Parasts"/>
    <w:link w:val="KjeneRakstz"/>
    <w:uiPriority w:val="99"/>
    <w:unhideWhenUsed/>
    <w:rsid w:val="00BA27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2710"/>
    <w:rPr>
      <w:lang w:val="lv-LV"/>
    </w:rPr>
  </w:style>
  <w:style w:type="character" w:styleId="Lappusesnumurs">
    <w:name w:val="page number"/>
    <w:rsid w:val="00BA2710"/>
  </w:style>
  <w:style w:type="character" w:styleId="Hipersaite">
    <w:name w:val="Hyperlink"/>
    <w:basedOn w:val="Noklusjumarindkopasfonts"/>
    <w:uiPriority w:val="99"/>
    <w:unhideWhenUsed/>
    <w:rsid w:val="00BA2710"/>
    <w:rPr>
      <w:strike w:val="0"/>
      <w:dstrike w:val="0"/>
      <w:color w:val="574636"/>
      <w:sz w:val="18"/>
      <w:szCs w:val="18"/>
      <w:u w:val="none"/>
      <w:effect w:val="none"/>
    </w:rPr>
  </w:style>
  <w:style w:type="character" w:styleId="Komentraatsauce">
    <w:name w:val="annotation reference"/>
    <w:basedOn w:val="Noklusjumarindkopasfonts"/>
    <w:uiPriority w:val="99"/>
    <w:semiHidden/>
    <w:unhideWhenUsed/>
    <w:rsid w:val="00BA2710"/>
    <w:rPr>
      <w:sz w:val="16"/>
      <w:szCs w:val="16"/>
    </w:rPr>
  </w:style>
  <w:style w:type="paragraph" w:styleId="Komentrateksts">
    <w:name w:val="annotation text"/>
    <w:basedOn w:val="Parasts"/>
    <w:link w:val="KomentratekstsRakstz"/>
    <w:uiPriority w:val="99"/>
    <w:semiHidden/>
    <w:unhideWhenUsed/>
    <w:rsid w:val="00BA271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A2710"/>
    <w:rPr>
      <w:sz w:val="20"/>
      <w:szCs w:val="20"/>
      <w:lang w:val="lv-LV"/>
    </w:rPr>
  </w:style>
  <w:style w:type="paragraph" w:styleId="Balonteksts">
    <w:name w:val="Balloon Text"/>
    <w:basedOn w:val="Parasts"/>
    <w:link w:val="BalontekstsRakstz"/>
    <w:uiPriority w:val="99"/>
    <w:semiHidden/>
    <w:unhideWhenUsed/>
    <w:rsid w:val="00BA271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A2710"/>
    <w:rPr>
      <w:rFonts w:ascii="Tahoma" w:hAnsi="Tahoma" w:cs="Tahoma"/>
      <w:sz w:val="16"/>
      <w:szCs w:val="16"/>
      <w:lang w:val="lv-LV"/>
    </w:rPr>
  </w:style>
  <w:style w:type="paragraph" w:customStyle="1" w:styleId="tv213">
    <w:name w:val="tv213"/>
    <w:basedOn w:val="Parasts"/>
    <w:rsid w:val="00BA27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mentratma">
    <w:name w:val="annotation subject"/>
    <w:basedOn w:val="Komentrateksts"/>
    <w:next w:val="Komentrateksts"/>
    <w:link w:val="KomentratmaRakstz"/>
    <w:uiPriority w:val="99"/>
    <w:semiHidden/>
    <w:unhideWhenUsed/>
    <w:rsid w:val="005C3808"/>
    <w:rPr>
      <w:b/>
      <w:bCs/>
    </w:rPr>
  </w:style>
  <w:style w:type="character" w:customStyle="1" w:styleId="KomentratmaRakstz">
    <w:name w:val="Komentāra tēma Rakstz."/>
    <w:basedOn w:val="KomentratekstsRakstz"/>
    <w:link w:val="Komentratma"/>
    <w:uiPriority w:val="99"/>
    <w:semiHidden/>
    <w:rsid w:val="005C3808"/>
    <w:rPr>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A2710"/>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A27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2710"/>
    <w:rPr>
      <w:lang w:val="lv-LV"/>
    </w:rPr>
  </w:style>
  <w:style w:type="paragraph" w:styleId="Kjene">
    <w:name w:val="footer"/>
    <w:basedOn w:val="Parasts"/>
    <w:link w:val="KjeneRakstz"/>
    <w:uiPriority w:val="99"/>
    <w:unhideWhenUsed/>
    <w:rsid w:val="00BA27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2710"/>
    <w:rPr>
      <w:lang w:val="lv-LV"/>
    </w:rPr>
  </w:style>
  <w:style w:type="character" w:styleId="Lappusesnumurs">
    <w:name w:val="page number"/>
    <w:rsid w:val="00BA2710"/>
  </w:style>
  <w:style w:type="character" w:styleId="Hipersaite">
    <w:name w:val="Hyperlink"/>
    <w:basedOn w:val="Noklusjumarindkopasfonts"/>
    <w:uiPriority w:val="99"/>
    <w:unhideWhenUsed/>
    <w:rsid w:val="00BA2710"/>
    <w:rPr>
      <w:strike w:val="0"/>
      <w:dstrike w:val="0"/>
      <w:color w:val="574636"/>
      <w:sz w:val="18"/>
      <w:szCs w:val="18"/>
      <w:u w:val="none"/>
      <w:effect w:val="none"/>
    </w:rPr>
  </w:style>
  <w:style w:type="character" w:styleId="Komentraatsauce">
    <w:name w:val="annotation reference"/>
    <w:basedOn w:val="Noklusjumarindkopasfonts"/>
    <w:uiPriority w:val="99"/>
    <w:semiHidden/>
    <w:unhideWhenUsed/>
    <w:rsid w:val="00BA2710"/>
    <w:rPr>
      <w:sz w:val="16"/>
      <w:szCs w:val="16"/>
    </w:rPr>
  </w:style>
  <w:style w:type="paragraph" w:styleId="Komentrateksts">
    <w:name w:val="annotation text"/>
    <w:basedOn w:val="Parasts"/>
    <w:link w:val="KomentratekstsRakstz"/>
    <w:uiPriority w:val="99"/>
    <w:semiHidden/>
    <w:unhideWhenUsed/>
    <w:rsid w:val="00BA271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A2710"/>
    <w:rPr>
      <w:sz w:val="20"/>
      <w:szCs w:val="20"/>
      <w:lang w:val="lv-LV"/>
    </w:rPr>
  </w:style>
  <w:style w:type="paragraph" w:styleId="Balonteksts">
    <w:name w:val="Balloon Text"/>
    <w:basedOn w:val="Parasts"/>
    <w:link w:val="BalontekstsRakstz"/>
    <w:uiPriority w:val="99"/>
    <w:semiHidden/>
    <w:unhideWhenUsed/>
    <w:rsid w:val="00BA271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A2710"/>
    <w:rPr>
      <w:rFonts w:ascii="Tahoma" w:hAnsi="Tahoma" w:cs="Tahoma"/>
      <w:sz w:val="16"/>
      <w:szCs w:val="16"/>
      <w:lang w:val="lv-LV"/>
    </w:rPr>
  </w:style>
  <w:style w:type="paragraph" w:customStyle="1" w:styleId="tv213">
    <w:name w:val="tv213"/>
    <w:basedOn w:val="Parasts"/>
    <w:rsid w:val="00BA27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mentratma">
    <w:name w:val="annotation subject"/>
    <w:basedOn w:val="Komentrateksts"/>
    <w:next w:val="Komentrateksts"/>
    <w:link w:val="KomentratmaRakstz"/>
    <w:uiPriority w:val="99"/>
    <w:semiHidden/>
    <w:unhideWhenUsed/>
    <w:rsid w:val="005C3808"/>
    <w:rPr>
      <w:b/>
      <w:bCs/>
    </w:rPr>
  </w:style>
  <w:style w:type="character" w:customStyle="1" w:styleId="KomentratmaRakstz">
    <w:name w:val="Komentāra tēma Rakstz."/>
    <w:basedOn w:val="KomentratekstsRakstz"/>
    <w:link w:val="Komentratma"/>
    <w:uiPriority w:val="99"/>
    <w:semiHidden/>
    <w:rsid w:val="005C3808"/>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1040">
      <w:bodyDiv w:val="1"/>
      <w:marLeft w:val="0"/>
      <w:marRight w:val="0"/>
      <w:marTop w:val="0"/>
      <w:marBottom w:val="0"/>
      <w:divBdr>
        <w:top w:val="none" w:sz="0" w:space="0" w:color="auto"/>
        <w:left w:val="none" w:sz="0" w:space="0" w:color="auto"/>
        <w:bottom w:val="none" w:sz="0" w:space="0" w:color="auto"/>
        <w:right w:val="none" w:sz="0" w:space="0" w:color="auto"/>
      </w:divBdr>
      <w:divsChild>
        <w:div w:id="368721144">
          <w:marLeft w:val="0"/>
          <w:marRight w:val="0"/>
          <w:marTop w:val="0"/>
          <w:marBottom w:val="0"/>
          <w:divBdr>
            <w:top w:val="none" w:sz="0" w:space="0" w:color="auto"/>
            <w:left w:val="none" w:sz="0" w:space="0" w:color="auto"/>
            <w:bottom w:val="none" w:sz="0" w:space="0" w:color="auto"/>
            <w:right w:val="none" w:sz="0" w:space="0" w:color="auto"/>
          </w:divBdr>
        </w:div>
      </w:divsChild>
    </w:div>
    <w:div w:id="280842974">
      <w:bodyDiv w:val="1"/>
      <w:marLeft w:val="0"/>
      <w:marRight w:val="0"/>
      <w:marTop w:val="0"/>
      <w:marBottom w:val="0"/>
      <w:divBdr>
        <w:top w:val="none" w:sz="0" w:space="0" w:color="auto"/>
        <w:left w:val="none" w:sz="0" w:space="0" w:color="auto"/>
        <w:bottom w:val="none" w:sz="0" w:space="0" w:color="auto"/>
        <w:right w:val="none" w:sz="0" w:space="0" w:color="auto"/>
      </w:divBdr>
    </w:div>
    <w:div w:id="425347440">
      <w:bodyDiv w:val="1"/>
      <w:marLeft w:val="0"/>
      <w:marRight w:val="0"/>
      <w:marTop w:val="0"/>
      <w:marBottom w:val="0"/>
      <w:divBdr>
        <w:top w:val="none" w:sz="0" w:space="0" w:color="auto"/>
        <w:left w:val="none" w:sz="0" w:space="0" w:color="auto"/>
        <w:bottom w:val="none" w:sz="0" w:space="0" w:color="auto"/>
        <w:right w:val="none" w:sz="0" w:space="0" w:color="auto"/>
      </w:divBdr>
      <w:divsChild>
        <w:div w:id="1367605726">
          <w:marLeft w:val="0"/>
          <w:marRight w:val="0"/>
          <w:marTop w:val="0"/>
          <w:marBottom w:val="0"/>
          <w:divBdr>
            <w:top w:val="none" w:sz="0" w:space="0" w:color="auto"/>
            <w:left w:val="none" w:sz="0" w:space="0" w:color="auto"/>
            <w:bottom w:val="none" w:sz="0" w:space="0" w:color="auto"/>
            <w:right w:val="none" w:sz="0" w:space="0" w:color="auto"/>
          </w:divBdr>
        </w:div>
      </w:divsChild>
    </w:div>
    <w:div w:id="960459484">
      <w:bodyDiv w:val="1"/>
      <w:marLeft w:val="0"/>
      <w:marRight w:val="0"/>
      <w:marTop w:val="0"/>
      <w:marBottom w:val="0"/>
      <w:divBdr>
        <w:top w:val="none" w:sz="0" w:space="0" w:color="auto"/>
        <w:left w:val="none" w:sz="0" w:space="0" w:color="auto"/>
        <w:bottom w:val="none" w:sz="0" w:space="0" w:color="auto"/>
        <w:right w:val="none" w:sz="0" w:space="0" w:color="auto"/>
      </w:divBdr>
    </w:div>
    <w:div w:id="1826822059">
      <w:bodyDiv w:val="1"/>
      <w:marLeft w:val="0"/>
      <w:marRight w:val="0"/>
      <w:marTop w:val="0"/>
      <w:marBottom w:val="0"/>
      <w:divBdr>
        <w:top w:val="none" w:sz="0" w:space="0" w:color="auto"/>
        <w:left w:val="none" w:sz="0" w:space="0" w:color="auto"/>
        <w:bottom w:val="none" w:sz="0" w:space="0" w:color="auto"/>
        <w:right w:val="none" w:sz="0" w:space="0" w:color="auto"/>
      </w:divBdr>
      <w:divsChild>
        <w:div w:id="194186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7495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ikumi.lv/ta/id/50500-civilprocesa-likum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5</Pages>
  <Words>7861</Words>
  <Characters>4482</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MK 16.06.2015. noteikumos Nr.318 "Elektronisko izsoļu vietnes noteikumi"</vt:lpstr>
      <vt:lpstr/>
    </vt:vector>
  </TitlesOfParts>
  <Manager>Inita.Ilgaza@tm.gov.lv</Manager>
  <Company>Tieslietu ministrija</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16.06.2015. noteikumos Nr.318 "Elektronisko izsoļu vietnes noteikumi"</dc:title>
  <dc:creator>Evija.Timpare@TM.GOV.LV</dc:creator>
  <cp:keywords>Anotācija </cp:keywords>
  <cp:lastModifiedBy>Evija Timpare</cp:lastModifiedBy>
  <cp:revision>44</cp:revision>
  <cp:lastPrinted>2015-11-25T07:09:00Z</cp:lastPrinted>
  <dcterms:created xsi:type="dcterms:W3CDTF">2015-11-24T19:57:00Z</dcterms:created>
  <dcterms:modified xsi:type="dcterms:W3CDTF">2015-12-16T10:00:00Z</dcterms:modified>
</cp:coreProperties>
</file>