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A0" w:rsidRPr="00311049" w:rsidRDefault="007752A0" w:rsidP="00EE6CFB">
      <w:pPr>
        <w:spacing w:after="0" w:line="240" w:lineRule="auto"/>
        <w:jc w:val="center"/>
        <w:rPr>
          <w:rFonts w:ascii="Times New Roman" w:hAnsi="Times New Roman" w:cs="Times New Roman"/>
          <w:b/>
          <w:color w:val="000000" w:themeColor="text1"/>
          <w:sz w:val="24"/>
          <w:szCs w:val="24"/>
        </w:rPr>
      </w:pPr>
      <w:r w:rsidRPr="00311049">
        <w:rPr>
          <w:rFonts w:ascii="Times New Roman" w:hAnsi="Times New Roman" w:cs="Times New Roman"/>
          <w:b/>
          <w:color w:val="000000" w:themeColor="text1"/>
          <w:sz w:val="24"/>
          <w:szCs w:val="24"/>
        </w:rPr>
        <w:t>Likumprojekta</w:t>
      </w:r>
    </w:p>
    <w:p w:rsidR="007752A0" w:rsidRPr="00311049" w:rsidRDefault="00CF2B25" w:rsidP="009F34F5">
      <w:pPr>
        <w:pStyle w:val="Virsraksts1"/>
        <w:jc w:val="center"/>
        <w:rPr>
          <w:color w:val="000000" w:themeColor="text1"/>
          <w:szCs w:val="24"/>
        </w:rPr>
      </w:pPr>
      <w:r w:rsidRPr="00311049">
        <w:rPr>
          <w:b/>
          <w:color w:val="000000" w:themeColor="text1"/>
          <w:szCs w:val="24"/>
        </w:rPr>
        <w:t>„</w:t>
      </w:r>
      <w:r w:rsidR="00311049" w:rsidRPr="00311049">
        <w:rPr>
          <w:b/>
          <w:szCs w:val="24"/>
        </w:rPr>
        <w:t>Grozījumi atsevišķos likumos Eiropas mantošanas apliecības ieviešanai</w:t>
      </w:r>
      <w:r w:rsidR="000D6C6A" w:rsidRPr="00311049">
        <w:rPr>
          <w:b/>
          <w:bCs/>
          <w:color w:val="000000" w:themeColor="text1"/>
          <w:szCs w:val="24"/>
        </w:rPr>
        <w:t>”</w:t>
      </w:r>
      <w:r w:rsidR="002F0828" w:rsidRPr="00311049">
        <w:rPr>
          <w:color w:val="000000" w:themeColor="text1"/>
          <w:szCs w:val="24"/>
        </w:rPr>
        <w:t xml:space="preserve"> </w:t>
      </w:r>
      <w:r w:rsidR="007752A0" w:rsidRPr="00311049">
        <w:rPr>
          <w:b/>
          <w:color w:val="000000" w:themeColor="text1"/>
          <w:szCs w:val="24"/>
        </w:rPr>
        <w:t>sākotnējās ietekmes novērtējuma ziņojums (anotācija)</w:t>
      </w:r>
    </w:p>
    <w:p w:rsidR="00DA596D" w:rsidRPr="00BE7A8A" w:rsidRDefault="00DA596D" w:rsidP="00EE6CFB">
      <w:pPr>
        <w:spacing w:after="0" w:line="240" w:lineRule="auto"/>
        <w:ind w:firstLine="300"/>
        <w:jc w:val="both"/>
        <w:rPr>
          <w:rFonts w:ascii="Times New Roman" w:eastAsia="Times New Roman" w:hAnsi="Times New Roman" w:cs="Times New Roman"/>
          <w:b/>
          <w:bCs/>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BE7A8A" w:rsidRPr="00BE7A8A" w:rsidTr="006C2B2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E7A8A" w:rsidRDefault="004D15A9" w:rsidP="006F6142">
            <w:pPr>
              <w:spacing w:after="0" w:line="240" w:lineRule="auto"/>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 Tiesību akta projekta izstrādes nepieciešamība</w:t>
            </w:r>
          </w:p>
        </w:tc>
      </w:tr>
      <w:tr w:rsidR="00BE7A8A" w:rsidRPr="00BE7A8A" w:rsidTr="006C2B2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6A2099" w:rsidRPr="004145C6" w:rsidRDefault="000D6C6A" w:rsidP="004145C6">
            <w:pPr>
              <w:spacing w:after="0" w:line="240" w:lineRule="auto"/>
              <w:ind w:firstLine="541"/>
              <w:jc w:val="both"/>
              <w:rPr>
                <w:rFonts w:ascii="Times New Roman" w:hAnsi="Times New Roman" w:cs="Times New Roman"/>
                <w:bCs/>
                <w:color w:val="000000" w:themeColor="text1"/>
                <w:sz w:val="24"/>
                <w:szCs w:val="24"/>
              </w:rPr>
            </w:pPr>
            <w:r w:rsidRPr="00BE7A8A">
              <w:rPr>
                <w:rFonts w:ascii="Times New Roman" w:hAnsi="Times New Roman" w:cs="Times New Roman"/>
                <w:color w:val="000000" w:themeColor="text1"/>
                <w:sz w:val="24"/>
                <w:szCs w:val="24"/>
              </w:rPr>
              <w:t xml:space="preserve"> Likumprojekt</w:t>
            </w:r>
            <w:r w:rsidR="006A2099" w:rsidRPr="00BE7A8A">
              <w:rPr>
                <w:rFonts w:ascii="Times New Roman" w:hAnsi="Times New Roman" w:cs="Times New Roman"/>
                <w:color w:val="000000" w:themeColor="text1"/>
                <w:sz w:val="24"/>
                <w:szCs w:val="24"/>
              </w:rPr>
              <w:t>s</w:t>
            </w:r>
            <w:r w:rsidRPr="00BE7A8A">
              <w:rPr>
                <w:rFonts w:ascii="Times New Roman" w:hAnsi="Times New Roman" w:cs="Times New Roman"/>
                <w:color w:val="000000" w:themeColor="text1"/>
                <w:sz w:val="24"/>
                <w:szCs w:val="24"/>
              </w:rPr>
              <w:t xml:space="preserve"> „</w:t>
            </w:r>
            <w:r w:rsidR="00311049" w:rsidRPr="00311049">
              <w:rPr>
                <w:rFonts w:ascii="Times New Roman" w:hAnsi="Times New Roman" w:cs="Times New Roman"/>
                <w:bCs/>
                <w:color w:val="000000" w:themeColor="text1"/>
                <w:sz w:val="24"/>
                <w:szCs w:val="24"/>
              </w:rPr>
              <w:t>Grozījumi atseviš</w:t>
            </w:r>
            <w:r w:rsidR="00311049">
              <w:rPr>
                <w:rFonts w:ascii="Times New Roman" w:hAnsi="Times New Roman" w:cs="Times New Roman"/>
                <w:bCs/>
                <w:color w:val="000000" w:themeColor="text1"/>
                <w:sz w:val="24"/>
                <w:szCs w:val="24"/>
              </w:rPr>
              <w:t xml:space="preserve">ķos likumos Eiropas mantošanas </w:t>
            </w:r>
            <w:r w:rsidR="00311049" w:rsidRPr="00311049">
              <w:rPr>
                <w:rFonts w:ascii="Times New Roman" w:hAnsi="Times New Roman" w:cs="Times New Roman"/>
                <w:bCs/>
                <w:color w:val="000000" w:themeColor="text1"/>
                <w:sz w:val="24"/>
                <w:szCs w:val="24"/>
              </w:rPr>
              <w:t>apliecības ieviešanai</w:t>
            </w:r>
            <w:r w:rsidR="00DC75AD" w:rsidRPr="00311049">
              <w:rPr>
                <w:rFonts w:ascii="Times New Roman" w:hAnsi="Times New Roman" w:cs="Times New Roman"/>
                <w:bCs/>
                <w:color w:val="000000" w:themeColor="text1"/>
                <w:sz w:val="24"/>
                <w:szCs w:val="24"/>
              </w:rPr>
              <w:t>”</w:t>
            </w:r>
            <w:r w:rsidR="00DC75AD" w:rsidRPr="00BE7A8A">
              <w:rPr>
                <w:rFonts w:ascii="Times New Roman" w:hAnsi="Times New Roman" w:cs="Times New Roman"/>
                <w:bCs/>
                <w:color w:val="000000" w:themeColor="text1"/>
                <w:sz w:val="24"/>
                <w:szCs w:val="24"/>
              </w:rPr>
              <w:t xml:space="preserve"> (turpmāk </w:t>
            </w:r>
            <w:r w:rsidRPr="00BE7A8A">
              <w:rPr>
                <w:rFonts w:ascii="Times New Roman" w:hAnsi="Times New Roman" w:cs="Times New Roman"/>
                <w:bCs/>
                <w:color w:val="000000" w:themeColor="text1"/>
                <w:sz w:val="24"/>
                <w:szCs w:val="24"/>
              </w:rPr>
              <w:t xml:space="preserve">– likumprojekts) izstrādāts, ievērojot </w:t>
            </w:r>
            <w:r w:rsidR="003E3F37" w:rsidRPr="00BE7A8A">
              <w:rPr>
                <w:rFonts w:ascii="Times New Roman" w:hAnsi="Times New Roman" w:cs="Times New Roman"/>
                <w:bCs/>
                <w:color w:val="000000" w:themeColor="text1"/>
                <w:sz w:val="24"/>
                <w:szCs w:val="24"/>
              </w:rPr>
              <w:t xml:space="preserve">nepieciešamību </w:t>
            </w:r>
            <w:r w:rsidR="00B814B9" w:rsidRPr="00BE7A8A">
              <w:rPr>
                <w:rFonts w:ascii="Times New Roman" w:hAnsi="Times New Roman" w:cs="Times New Roman"/>
                <w:bCs/>
                <w:color w:val="000000" w:themeColor="text1"/>
                <w:sz w:val="24"/>
                <w:szCs w:val="24"/>
              </w:rPr>
              <w:t xml:space="preserve">ieviest </w:t>
            </w:r>
            <w:r w:rsidR="00B814B9" w:rsidRPr="00BE7A8A">
              <w:rPr>
                <w:rFonts w:ascii="Times New Roman" w:hAnsi="Times New Roman" w:cs="Times New Roman"/>
                <w:color w:val="000000" w:themeColor="text1"/>
                <w:sz w:val="24"/>
                <w:szCs w:val="24"/>
              </w:rPr>
              <w:t>Eiropas Parlamenta un Padomes</w:t>
            </w:r>
            <w:r w:rsidR="002F0828" w:rsidRPr="00BE7A8A">
              <w:rPr>
                <w:rFonts w:ascii="Times New Roman" w:hAnsi="Times New Roman" w:cs="Times New Roman"/>
                <w:color w:val="000000" w:themeColor="text1"/>
                <w:sz w:val="24"/>
                <w:szCs w:val="24"/>
              </w:rPr>
              <w:t xml:space="preserve"> 2012. gada 4. jūlija</w:t>
            </w:r>
            <w:r w:rsidR="00B814B9" w:rsidRPr="00BE7A8A">
              <w:rPr>
                <w:rFonts w:ascii="Times New Roman" w:hAnsi="Times New Roman" w:cs="Times New Roman"/>
                <w:color w:val="000000" w:themeColor="text1"/>
                <w:sz w:val="24"/>
                <w:szCs w:val="24"/>
              </w:rPr>
              <w:t xml:space="preserve"> regul</w:t>
            </w:r>
            <w:r w:rsidR="0087303F">
              <w:rPr>
                <w:rFonts w:ascii="Times New Roman" w:hAnsi="Times New Roman" w:cs="Times New Roman"/>
                <w:color w:val="000000" w:themeColor="text1"/>
                <w:sz w:val="24"/>
                <w:szCs w:val="24"/>
              </w:rPr>
              <w:t>u</w:t>
            </w:r>
            <w:r w:rsidR="00B814B9" w:rsidRPr="00BE7A8A">
              <w:rPr>
                <w:rFonts w:ascii="Times New Roman" w:hAnsi="Times New Roman" w:cs="Times New Roman"/>
                <w:color w:val="000000" w:themeColor="text1"/>
                <w:sz w:val="24"/>
                <w:szCs w:val="24"/>
              </w:rPr>
              <w:t xml:space="preserve"> (ES) </w:t>
            </w:r>
            <w:r w:rsidR="00A9694C" w:rsidRPr="00BE7A8A">
              <w:rPr>
                <w:rFonts w:ascii="Times New Roman" w:hAnsi="Times New Roman" w:cs="Times New Roman"/>
                <w:color w:val="000000" w:themeColor="text1"/>
                <w:sz w:val="24"/>
                <w:szCs w:val="24"/>
              </w:rPr>
              <w:t>N</w:t>
            </w:r>
            <w:r w:rsidR="00DC75AD" w:rsidRPr="00BE7A8A">
              <w:rPr>
                <w:rFonts w:ascii="Times New Roman" w:hAnsi="Times New Roman" w:cs="Times New Roman"/>
                <w:bCs/>
                <w:color w:val="000000" w:themeColor="text1"/>
                <w:sz w:val="24"/>
                <w:szCs w:val="24"/>
              </w:rPr>
              <w:t>r. </w:t>
            </w:r>
            <w:r w:rsidR="00B814B9" w:rsidRPr="00BE7A8A">
              <w:rPr>
                <w:rFonts w:ascii="Times New Roman" w:hAnsi="Times New Roman" w:cs="Times New Roman"/>
                <w:bCs/>
                <w:color w:val="000000" w:themeColor="text1"/>
                <w:sz w:val="24"/>
                <w:szCs w:val="24"/>
              </w:rPr>
              <w:t xml:space="preserve">650/2012 par jurisdikciju, piemērojamiem tiesību aktiem, nolēmumu atzīšanu un izpildi un publisku aktu akceptēšanu un izpildi mantošanas lietās un par Eiropas mantošanas apliecības izveidi </w:t>
            </w:r>
            <w:r w:rsidR="00DC75AD" w:rsidRPr="00BE7A8A">
              <w:rPr>
                <w:rFonts w:ascii="Times New Roman" w:hAnsi="Times New Roman" w:cs="Times New Roman"/>
                <w:color w:val="000000" w:themeColor="text1"/>
                <w:sz w:val="24"/>
                <w:szCs w:val="24"/>
              </w:rPr>
              <w:t>(turpmāk – regula Nr. </w:t>
            </w:r>
            <w:r w:rsidR="00B814B9" w:rsidRPr="00BE7A8A">
              <w:rPr>
                <w:rFonts w:ascii="Times New Roman" w:hAnsi="Times New Roman" w:cs="Times New Roman"/>
                <w:color w:val="000000" w:themeColor="text1"/>
                <w:sz w:val="24"/>
                <w:szCs w:val="24"/>
              </w:rPr>
              <w:t>650/2012)</w:t>
            </w:r>
            <w:r w:rsidR="0087303F">
              <w:rPr>
                <w:rFonts w:ascii="Times New Roman" w:hAnsi="Times New Roman" w:cs="Times New Roman"/>
                <w:color w:val="000000" w:themeColor="text1"/>
                <w:sz w:val="24"/>
                <w:szCs w:val="24"/>
              </w:rPr>
              <w:t xml:space="preserve"> saistībā ar Eiropas mantošanas apliecību</w:t>
            </w:r>
            <w:r w:rsidR="00B814B9" w:rsidRPr="00BE7A8A">
              <w:rPr>
                <w:rFonts w:ascii="Times New Roman" w:hAnsi="Times New Roman" w:cs="Times New Roman"/>
                <w:color w:val="000000" w:themeColor="text1"/>
                <w:sz w:val="24"/>
                <w:szCs w:val="24"/>
              </w:rPr>
              <w:t xml:space="preserve">. </w:t>
            </w:r>
            <w:r w:rsidR="006C2B29" w:rsidRPr="00BE7A8A">
              <w:rPr>
                <w:rFonts w:ascii="Times New Roman" w:hAnsi="Times New Roman" w:cs="Times New Roman"/>
                <w:color w:val="000000" w:themeColor="text1"/>
                <w:sz w:val="24"/>
                <w:szCs w:val="24"/>
              </w:rPr>
              <w:t xml:space="preserve">Saskaņā ar regulas Nr. 650/2012 84. pantu šo regulu piemēro no 2015. gada 17. augusta, izņemot atsevišķus regulas </w:t>
            </w:r>
            <w:r w:rsidR="006C2B29">
              <w:rPr>
                <w:rFonts w:ascii="Times New Roman" w:hAnsi="Times New Roman" w:cs="Times New Roman"/>
                <w:color w:val="000000" w:themeColor="text1"/>
                <w:sz w:val="24"/>
                <w:szCs w:val="24"/>
              </w:rPr>
              <w:t>noteikumus.</w:t>
            </w:r>
          </w:p>
          <w:p w:rsidR="004D15A9" w:rsidRPr="006C2B29" w:rsidRDefault="00CE3D79" w:rsidP="006C2B29">
            <w:pPr>
              <w:spacing w:after="0" w:line="240" w:lineRule="auto"/>
              <w:ind w:firstLine="541"/>
              <w:jc w:val="both"/>
              <w:rPr>
                <w:rFonts w:ascii="Times New Roman" w:hAnsi="Times New Roman" w:cs="Times New Roman"/>
                <w:color w:val="000000" w:themeColor="text1"/>
                <w:sz w:val="24"/>
                <w:szCs w:val="24"/>
              </w:rPr>
            </w:pPr>
            <w:r w:rsidRPr="00BE7A8A">
              <w:rPr>
                <w:rFonts w:ascii="Times New Roman" w:hAnsi="Times New Roman" w:cs="Times New Roman"/>
                <w:iCs/>
                <w:color w:val="000000" w:themeColor="text1"/>
                <w:sz w:val="24"/>
                <w:szCs w:val="24"/>
              </w:rPr>
              <w:t xml:space="preserve">Likumprojekts izstrādāts, ņemot vērā Valsts prezidenta 2012. gada 12. decembra rīkojumu Nr. 7 „Par priekšlikumu izstrādi likumu grozījumu skaita </w:t>
            </w:r>
            <w:r w:rsidR="00DC75AD" w:rsidRPr="00BE7A8A">
              <w:rPr>
                <w:rFonts w:ascii="Times New Roman" w:hAnsi="Times New Roman" w:cs="Times New Roman"/>
                <w:iCs/>
                <w:color w:val="000000" w:themeColor="text1"/>
                <w:sz w:val="24"/>
                <w:szCs w:val="24"/>
              </w:rPr>
              <w:t xml:space="preserve">un </w:t>
            </w:r>
            <w:r w:rsidRPr="00BE7A8A">
              <w:rPr>
                <w:rFonts w:ascii="Times New Roman" w:hAnsi="Times New Roman" w:cs="Times New Roman"/>
                <w:iCs/>
                <w:color w:val="000000" w:themeColor="text1"/>
                <w:sz w:val="24"/>
                <w:szCs w:val="24"/>
              </w:rPr>
              <w:t xml:space="preserve">apjoma samazināšanai”, kā arī Tieslietu ministrijas sagatavoto informatīvo ziņojumu „Priekšlikumi ārējo normatīvo aktu grozījumu skaita </w:t>
            </w:r>
            <w:r w:rsidR="00DC75AD" w:rsidRPr="00BE7A8A">
              <w:rPr>
                <w:rFonts w:ascii="Times New Roman" w:hAnsi="Times New Roman" w:cs="Times New Roman"/>
                <w:iCs/>
                <w:color w:val="000000" w:themeColor="text1"/>
                <w:sz w:val="24"/>
                <w:szCs w:val="24"/>
              </w:rPr>
              <w:t xml:space="preserve">un </w:t>
            </w:r>
            <w:r w:rsidRPr="00BE7A8A">
              <w:rPr>
                <w:rFonts w:ascii="Times New Roman" w:hAnsi="Times New Roman" w:cs="Times New Roman"/>
                <w:iCs/>
                <w:color w:val="000000" w:themeColor="text1"/>
                <w:sz w:val="24"/>
                <w:szCs w:val="24"/>
              </w:rPr>
              <w:t>apjoma samazināšanai” (izskatīts 2014. gada 2</w:t>
            </w:r>
            <w:r w:rsidR="00DC75AD" w:rsidRPr="00BE7A8A">
              <w:rPr>
                <w:rFonts w:ascii="Times New Roman" w:hAnsi="Times New Roman" w:cs="Times New Roman"/>
                <w:iCs/>
                <w:color w:val="000000" w:themeColor="text1"/>
                <w:sz w:val="24"/>
                <w:szCs w:val="24"/>
              </w:rPr>
              <w:t>6</w:t>
            </w:r>
            <w:r w:rsidRPr="00BE7A8A">
              <w:rPr>
                <w:rFonts w:ascii="Times New Roman" w:hAnsi="Times New Roman" w:cs="Times New Roman"/>
                <w:iCs/>
                <w:color w:val="000000" w:themeColor="text1"/>
                <w:sz w:val="24"/>
                <w:szCs w:val="24"/>
              </w:rPr>
              <w:t>.</w:t>
            </w:r>
            <w:r w:rsidR="00DC75AD" w:rsidRPr="00BE7A8A">
              <w:rPr>
                <w:rFonts w:ascii="Times New Roman" w:hAnsi="Times New Roman" w:cs="Times New Roman"/>
                <w:iCs/>
                <w:color w:val="000000" w:themeColor="text1"/>
                <w:sz w:val="24"/>
                <w:szCs w:val="24"/>
              </w:rPr>
              <w:t> </w:t>
            </w:r>
            <w:r w:rsidRPr="00BE7A8A">
              <w:rPr>
                <w:rFonts w:ascii="Times New Roman" w:hAnsi="Times New Roman" w:cs="Times New Roman"/>
                <w:iCs/>
                <w:color w:val="000000" w:themeColor="text1"/>
                <w:sz w:val="24"/>
                <w:szCs w:val="24"/>
              </w:rPr>
              <w:t xml:space="preserve">augusta </w:t>
            </w:r>
            <w:r w:rsidR="00DC75AD" w:rsidRPr="00BE7A8A">
              <w:rPr>
                <w:rFonts w:ascii="Times New Roman" w:hAnsi="Times New Roman" w:cs="Times New Roman"/>
                <w:iCs/>
                <w:color w:val="000000" w:themeColor="text1"/>
                <w:sz w:val="24"/>
                <w:szCs w:val="24"/>
              </w:rPr>
              <w:t>Ministru kabineta sēdē</w:t>
            </w:r>
            <w:r w:rsidRPr="00BE7A8A">
              <w:rPr>
                <w:rFonts w:ascii="Times New Roman" w:hAnsi="Times New Roman" w:cs="Times New Roman"/>
                <w:iCs/>
                <w:color w:val="000000" w:themeColor="text1"/>
                <w:sz w:val="24"/>
                <w:szCs w:val="24"/>
              </w:rPr>
              <w:t xml:space="preserve">, </w:t>
            </w:r>
            <w:r w:rsidR="00DC75AD" w:rsidRPr="00BE7A8A">
              <w:rPr>
                <w:rFonts w:ascii="Times New Roman" w:hAnsi="Times New Roman" w:cs="Times New Roman"/>
                <w:color w:val="000000" w:themeColor="text1"/>
                <w:sz w:val="24"/>
                <w:szCs w:val="24"/>
              </w:rPr>
              <w:t>prot. Nr. </w:t>
            </w:r>
            <w:bookmarkStart w:id="0" w:name="42"/>
            <w:r w:rsidR="00DC75AD" w:rsidRPr="00BE7A8A">
              <w:rPr>
                <w:rFonts w:ascii="Times New Roman" w:hAnsi="Times New Roman" w:cs="Times New Roman"/>
                <w:color w:val="000000" w:themeColor="text1"/>
                <w:sz w:val="24"/>
                <w:szCs w:val="24"/>
              </w:rPr>
              <w:t>45 45</w:t>
            </w:r>
            <w:r w:rsidRPr="00BE7A8A">
              <w:rPr>
                <w:rFonts w:ascii="Times New Roman" w:hAnsi="Times New Roman" w:cs="Times New Roman"/>
                <w:color w:val="000000" w:themeColor="text1"/>
                <w:sz w:val="24"/>
                <w:szCs w:val="24"/>
              </w:rPr>
              <w:t>.</w:t>
            </w:r>
            <w:r w:rsidR="00DC75AD"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w:t>
            </w:r>
            <w:bookmarkEnd w:id="0"/>
            <w:r w:rsidRPr="00BE7A8A">
              <w:rPr>
                <w:rFonts w:ascii="Times New Roman" w:hAnsi="Times New Roman" w:cs="Times New Roman"/>
                <w:color w:val="000000" w:themeColor="text1"/>
                <w:sz w:val="24"/>
                <w:szCs w:val="24"/>
              </w:rPr>
              <w:t>).</w:t>
            </w:r>
          </w:p>
        </w:tc>
      </w:tr>
      <w:tr w:rsidR="00BE7A8A" w:rsidRPr="00BE7A8A" w:rsidTr="006C2B2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B814B9" w:rsidRPr="00BE7A8A" w:rsidRDefault="00B814B9" w:rsidP="00C51E09">
            <w:pPr>
              <w:tabs>
                <w:tab w:val="left" w:pos="317"/>
              </w:tabs>
              <w:spacing w:after="0" w:line="240" w:lineRule="auto"/>
              <w:ind w:left="34" w:firstLine="507"/>
              <w:jc w:val="both"/>
              <w:rPr>
                <w:rFonts w:ascii="Times New Roman" w:hAnsi="Times New Roman" w:cs="Times New Roman"/>
                <w:iCs/>
                <w:color w:val="000000" w:themeColor="text1"/>
                <w:sz w:val="24"/>
                <w:szCs w:val="24"/>
              </w:rPr>
            </w:pPr>
            <w:r w:rsidRPr="00BE7A8A">
              <w:rPr>
                <w:rFonts w:ascii="Times New Roman" w:hAnsi="Times New Roman" w:cs="Times New Roman"/>
                <w:color w:val="000000" w:themeColor="text1"/>
                <w:sz w:val="24"/>
                <w:szCs w:val="24"/>
              </w:rPr>
              <w:t>R</w:t>
            </w:r>
            <w:r w:rsidR="00DC75AD" w:rsidRPr="00BE7A8A">
              <w:rPr>
                <w:rFonts w:ascii="Times New Roman" w:hAnsi="Times New Roman" w:cs="Times New Roman"/>
                <w:color w:val="000000" w:themeColor="text1"/>
                <w:sz w:val="24"/>
                <w:szCs w:val="24"/>
              </w:rPr>
              <w:t>egula Nr. </w:t>
            </w:r>
            <w:r w:rsidRPr="00BE7A8A">
              <w:rPr>
                <w:rFonts w:ascii="Times New Roman" w:hAnsi="Times New Roman" w:cs="Times New Roman"/>
                <w:color w:val="000000" w:themeColor="text1"/>
                <w:sz w:val="24"/>
                <w:szCs w:val="24"/>
              </w:rPr>
              <w:t xml:space="preserve">650/2012 </w:t>
            </w:r>
            <w:r w:rsidRPr="00BE7A8A">
              <w:rPr>
                <w:rFonts w:ascii="Times New Roman" w:hAnsi="Times New Roman" w:cs="Times New Roman"/>
                <w:color w:val="000000" w:themeColor="text1"/>
                <w:sz w:val="24"/>
                <w:szCs w:val="24"/>
                <w:lang w:eastAsia="en-GB"/>
              </w:rPr>
              <w:t>paredz Eiropas mantošanas apliecības</w:t>
            </w:r>
            <w:r w:rsidRPr="00BE7A8A">
              <w:rPr>
                <w:rFonts w:ascii="Times New Roman" w:hAnsi="Times New Roman" w:cs="Times New Roman"/>
                <w:i/>
                <w:color w:val="000000" w:themeColor="text1"/>
                <w:sz w:val="24"/>
                <w:szCs w:val="24"/>
                <w:lang w:eastAsia="en-GB"/>
              </w:rPr>
              <w:t xml:space="preserve"> </w:t>
            </w:r>
            <w:r w:rsidRPr="00BE7A8A">
              <w:rPr>
                <w:rFonts w:ascii="Times New Roman" w:hAnsi="Times New Roman" w:cs="Times New Roman"/>
                <w:color w:val="000000" w:themeColor="text1"/>
                <w:sz w:val="24"/>
                <w:szCs w:val="24"/>
                <w:lang w:eastAsia="en-GB"/>
              </w:rPr>
              <w:t>izveidi, kura būtu spēkā visā Eiropas Savienības teritorijā bez jebkādas nepieciešamības to atzīt izpildes dalībvalstī, tādējādi nodrošinot ievērojami brīvāku mantojuma lietā pieņemtu nolēmumu apriti Eiropas Savienībā. Ņemot vērā minēto, Eiropas mantošanas apliecībai, ja tāda personai tiks izsniegta, būs spēks</w:t>
            </w:r>
            <w:r w:rsidR="00F77C56" w:rsidRPr="00BE7A8A">
              <w:rPr>
                <w:rFonts w:ascii="Times New Roman" w:hAnsi="Times New Roman" w:cs="Times New Roman"/>
                <w:color w:val="000000" w:themeColor="text1"/>
                <w:sz w:val="24"/>
                <w:szCs w:val="24"/>
                <w:lang w:eastAsia="en-GB"/>
              </w:rPr>
              <w:t xml:space="preserve"> visā Eiropas Savienības teritorijā</w:t>
            </w:r>
            <w:r w:rsidR="002F0828" w:rsidRPr="00BE7A8A">
              <w:rPr>
                <w:rFonts w:ascii="Times New Roman" w:hAnsi="Times New Roman" w:cs="Times New Roman"/>
                <w:color w:val="000000" w:themeColor="text1"/>
                <w:sz w:val="24"/>
                <w:szCs w:val="24"/>
                <w:lang w:eastAsia="en-GB"/>
              </w:rPr>
              <w:t xml:space="preserve">, </w:t>
            </w:r>
            <w:r w:rsidR="005E4A86">
              <w:rPr>
                <w:rFonts w:ascii="Times New Roman" w:hAnsi="Times New Roman" w:cs="Times New Roman"/>
                <w:color w:val="000000" w:themeColor="text1"/>
                <w:sz w:val="24"/>
                <w:szCs w:val="24"/>
                <w:lang w:eastAsia="en-GB"/>
              </w:rPr>
              <w:t>izņemot</w:t>
            </w:r>
            <w:r w:rsidR="005E4A86" w:rsidRPr="00BE7A8A">
              <w:rPr>
                <w:rFonts w:ascii="Times New Roman" w:hAnsi="Times New Roman" w:cs="Times New Roman"/>
                <w:color w:val="000000" w:themeColor="text1"/>
                <w:sz w:val="24"/>
                <w:szCs w:val="24"/>
                <w:lang w:eastAsia="en-GB"/>
              </w:rPr>
              <w:t xml:space="preserve"> </w:t>
            </w:r>
            <w:r w:rsidR="002F0828" w:rsidRPr="00BE7A8A">
              <w:rPr>
                <w:rFonts w:ascii="Times New Roman" w:hAnsi="Times New Roman" w:cs="Times New Roman"/>
                <w:color w:val="000000" w:themeColor="text1"/>
                <w:sz w:val="24"/>
                <w:szCs w:val="24"/>
                <w:lang w:eastAsia="en-GB"/>
              </w:rPr>
              <w:t>Dāniju</w:t>
            </w:r>
            <w:r w:rsidR="00E059F1" w:rsidRPr="00BE7A8A">
              <w:rPr>
                <w:rFonts w:ascii="Times New Roman" w:hAnsi="Times New Roman" w:cs="Times New Roman"/>
                <w:color w:val="000000" w:themeColor="text1"/>
                <w:sz w:val="24"/>
                <w:szCs w:val="24"/>
                <w:lang w:eastAsia="en-GB"/>
              </w:rPr>
              <w:t>, Īriju</w:t>
            </w:r>
            <w:r w:rsidR="002F0828" w:rsidRPr="00BE7A8A">
              <w:rPr>
                <w:rFonts w:ascii="Times New Roman" w:hAnsi="Times New Roman" w:cs="Times New Roman"/>
                <w:color w:val="000000" w:themeColor="text1"/>
                <w:sz w:val="24"/>
                <w:szCs w:val="24"/>
                <w:lang w:eastAsia="en-GB"/>
              </w:rPr>
              <w:t xml:space="preserve"> un Apvienoto Karalisti</w:t>
            </w:r>
            <w:r w:rsidR="00CE3D79" w:rsidRPr="00BE7A8A">
              <w:rPr>
                <w:rFonts w:ascii="Times New Roman" w:hAnsi="Times New Roman" w:cs="Times New Roman"/>
                <w:color w:val="000000" w:themeColor="text1"/>
                <w:sz w:val="24"/>
                <w:szCs w:val="24"/>
                <w:lang w:eastAsia="en-GB"/>
              </w:rPr>
              <w:t>,</w:t>
            </w:r>
            <w:r w:rsidRPr="00BE7A8A">
              <w:rPr>
                <w:rFonts w:ascii="Times New Roman" w:hAnsi="Times New Roman" w:cs="Times New Roman"/>
                <w:color w:val="000000" w:themeColor="text1"/>
                <w:sz w:val="24"/>
                <w:szCs w:val="24"/>
                <w:lang w:eastAsia="en-GB"/>
              </w:rPr>
              <w:t xml:space="preserve"> </w:t>
            </w:r>
            <w:r w:rsidR="0087303F">
              <w:rPr>
                <w:rFonts w:ascii="Times New Roman" w:hAnsi="Times New Roman" w:cs="Times New Roman"/>
                <w:color w:val="000000" w:themeColor="text1"/>
                <w:sz w:val="24"/>
                <w:szCs w:val="24"/>
                <w:lang w:eastAsia="en-GB"/>
              </w:rPr>
              <w:t xml:space="preserve">un to nebūs nepieciešams speciāli atzīt citā dalībvalstī, lai šajā dalībvalstī tai būtu tiesiskās sekas. </w:t>
            </w:r>
            <w:r w:rsidR="00CE3D79" w:rsidRPr="00BE7A8A">
              <w:rPr>
                <w:rFonts w:ascii="Times New Roman" w:hAnsi="Times New Roman" w:cs="Times New Roman"/>
                <w:color w:val="000000" w:themeColor="text1"/>
                <w:sz w:val="24"/>
                <w:szCs w:val="24"/>
                <w:lang w:eastAsia="en-GB"/>
              </w:rPr>
              <w:t>T</w:t>
            </w:r>
            <w:r w:rsidRPr="00BE7A8A">
              <w:rPr>
                <w:rFonts w:ascii="Times New Roman" w:hAnsi="Times New Roman" w:cs="Times New Roman"/>
                <w:color w:val="000000" w:themeColor="text1"/>
                <w:sz w:val="24"/>
                <w:szCs w:val="24"/>
                <w:lang w:eastAsia="en-GB"/>
              </w:rPr>
              <w:t>ā rezultātā dalībvalstu iestādēm</w:t>
            </w:r>
            <w:r w:rsidR="00B85132" w:rsidRPr="00BE7A8A">
              <w:rPr>
                <w:rFonts w:ascii="Times New Roman" w:hAnsi="Times New Roman" w:cs="Times New Roman"/>
                <w:color w:val="000000" w:themeColor="text1"/>
                <w:sz w:val="24"/>
                <w:szCs w:val="24"/>
                <w:lang w:eastAsia="en-GB"/>
              </w:rPr>
              <w:t>, kuras līdz šim</w:t>
            </w:r>
            <w:r w:rsidR="00F77C56" w:rsidRPr="00BE7A8A">
              <w:rPr>
                <w:rFonts w:ascii="Times New Roman" w:hAnsi="Times New Roman" w:cs="Times New Roman"/>
                <w:color w:val="000000" w:themeColor="text1"/>
                <w:sz w:val="24"/>
                <w:szCs w:val="24"/>
                <w:lang w:eastAsia="en-GB"/>
              </w:rPr>
              <w:t xml:space="preserve"> lūdza iesniegt </w:t>
            </w:r>
            <w:r w:rsidR="00CE3D79" w:rsidRPr="00BE7A8A">
              <w:rPr>
                <w:rFonts w:ascii="Times New Roman" w:hAnsi="Times New Roman" w:cs="Times New Roman"/>
                <w:color w:val="000000" w:themeColor="text1"/>
                <w:sz w:val="24"/>
                <w:szCs w:val="24"/>
                <w:lang w:eastAsia="en-GB"/>
              </w:rPr>
              <w:t xml:space="preserve">Latvijas nacionālo </w:t>
            </w:r>
            <w:r w:rsidR="00F77C56" w:rsidRPr="00BE7A8A">
              <w:rPr>
                <w:rFonts w:ascii="Times New Roman" w:hAnsi="Times New Roman" w:cs="Times New Roman"/>
                <w:color w:val="000000" w:themeColor="text1"/>
                <w:sz w:val="24"/>
                <w:szCs w:val="24"/>
                <w:lang w:eastAsia="en-GB"/>
              </w:rPr>
              <w:t>mantojuma apliecību, lai veiktu noteiktas darbības,</w:t>
            </w:r>
            <w:r w:rsidR="00B85132" w:rsidRPr="00BE7A8A">
              <w:rPr>
                <w:rFonts w:ascii="Times New Roman" w:hAnsi="Times New Roman" w:cs="Times New Roman"/>
                <w:color w:val="000000" w:themeColor="text1"/>
                <w:sz w:val="24"/>
                <w:szCs w:val="24"/>
                <w:lang w:eastAsia="en-GB"/>
              </w:rPr>
              <w:t xml:space="preserve"> būs jāpieņem arī Eiropas mantošanas apliecība.</w:t>
            </w:r>
          </w:p>
          <w:p w:rsidR="009E30F1" w:rsidRPr="00BE7A8A" w:rsidRDefault="005E4A86" w:rsidP="009E30F1">
            <w:pPr>
              <w:spacing w:after="0" w:line="240" w:lineRule="auto"/>
              <w:ind w:firstLine="54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Izskatot </w:t>
            </w:r>
            <w:r w:rsidRPr="00BE7A8A">
              <w:rPr>
                <w:rFonts w:ascii="Times New Roman" w:hAnsi="Times New Roman" w:cs="Times New Roman"/>
                <w:color w:val="000000" w:themeColor="text1"/>
                <w:sz w:val="24"/>
                <w:szCs w:val="24"/>
              </w:rPr>
              <w:t>Tieslietu ministrijas sagatavot</w:t>
            </w:r>
            <w:r>
              <w:rPr>
                <w:rFonts w:ascii="Times New Roman" w:hAnsi="Times New Roman" w:cs="Times New Roman"/>
                <w:color w:val="000000" w:themeColor="text1"/>
                <w:sz w:val="24"/>
                <w:szCs w:val="24"/>
              </w:rPr>
              <w:t>o</w:t>
            </w:r>
            <w:r w:rsidRPr="00BE7A8A">
              <w:rPr>
                <w:rFonts w:ascii="Times New Roman" w:hAnsi="Times New Roman" w:cs="Times New Roman"/>
                <w:color w:val="000000" w:themeColor="text1"/>
                <w:sz w:val="24"/>
                <w:szCs w:val="24"/>
              </w:rPr>
              <w:t xml:space="preserve"> informatīv</w:t>
            </w:r>
            <w:r>
              <w:rPr>
                <w:rFonts w:ascii="Times New Roman" w:hAnsi="Times New Roman" w:cs="Times New Roman"/>
                <w:color w:val="000000" w:themeColor="text1"/>
                <w:sz w:val="24"/>
                <w:szCs w:val="24"/>
              </w:rPr>
              <w:t>o</w:t>
            </w:r>
            <w:r w:rsidRPr="00BE7A8A">
              <w:rPr>
                <w:rFonts w:ascii="Times New Roman" w:hAnsi="Times New Roman" w:cs="Times New Roman"/>
                <w:color w:val="000000" w:themeColor="text1"/>
                <w:sz w:val="24"/>
                <w:szCs w:val="24"/>
              </w:rPr>
              <w:t xml:space="preserve"> ziņojum</w:t>
            </w:r>
            <w:r>
              <w:rPr>
                <w:rFonts w:ascii="Times New Roman" w:hAnsi="Times New Roman" w:cs="Times New Roman"/>
                <w:color w:val="000000" w:themeColor="text1"/>
                <w:sz w:val="24"/>
                <w:szCs w:val="24"/>
              </w:rPr>
              <w:t>u</w:t>
            </w:r>
            <w:r w:rsidRPr="00BE7A8A">
              <w:rPr>
                <w:rFonts w:ascii="Times New Roman" w:hAnsi="Times New Roman" w:cs="Times New Roman"/>
                <w:color w:val="000000" w:themeColor="text1"/>
                <w:sz w:val="24"/>
                <w:szCs w:val="24"/>
              </w:rPr>
              <w:t xml:space="preserve"> „Priekšlikumi ārējo normatīvo aktu grozījumu skaita </w:t>
            </w:r>
            <w:r>
              <w:rPr>
                <w:rFonts w:ascii="Times New Roman" w:hAnsi="Times New Roman" w:cs="Times New Roman"/>
                <w:color w:val="000000" w:themeColor="text1"/>
                <w:sz w:val="24"/>
                <w:szCs w:val="24"/>
              </w:rPr>
              <w:t xml:space="preserve">un </w:t>
            </w:r>
            <w:r w:rsidRPr="00BE7A8A">
              <w:rPr>
                <w:rFonts w:ascii="Times New Roman" w:hAnsi="Times New Roman" w:cs="Times New Roman"/>
                <w:color w:val="000000" w:themeColor="text1"/>
                <w:sz w:val="24"/>
                <w:szCs w:val="24"/>
              </w:rPr>
              <w:t>apjoma samazināšanai”</w:t>
            </w:r>
            <w:r>
              <w:rPr>
                <w:rFonts w:ascii="Times New Roman" w:hAnsi="Times New Roman" w:cs="Times New Roman"/>
                <w:color w:val="000000" w:themeColor="text1"/>
                <w:sz w:val="24"/>
                <w:szCs w:val="24"/>
              </w:rPr>
              <w:t xml:space="preserve">, Ministru kabineta </w:t>
            </w:r>
            <w:r w:rsidRPr="00BE7A8A">
              <w:rPr>
                <w:rFonts w:ascii="Times New Roman" w:hAnsi="Times New Roman" w:cs="Times New Roman"/>
                <w:color w:val="000000" w:themeColor="text1"/>
                <w:sz w:val="24"/>
                <w:szCs w:val="24"/>
              </w:rPr>
              <w:t>2014. gada 2</w:t>
            </w:r>
            <w:r>
              <w:rPr>
                <w:rFonts w:ascii="Times New Roman" w:hAnsi="Times New Roman" w:cs="Times New Roman"/>
                <w:color w:val="000000" w:themeColor="text1"/>
                <w:sz w:val="24"/>
                <w:szCs w:val="24"/>
              </w:rPr>
              <w:t>6</w:t>
            </w:r>
            <w:r w:rsidRPr="00BE7A8A">
              <w:rPr>
                <w:rFonts w:ascii="Times New Roman" w:hAnsi="Times New Roman" w:cs="Times New Roman"/>
                <w:color w:val="000000" w:themeColor="text1"/>
                <w:sz w:val="24"/>
                <w:szCs w:val="24"/>
              </w:rPr>
              <w:t>. augusta</w:t>
            </w:r>
            <w:r>
              <w:rPr>
                <w:rFonts w:ascii="Times New Roman" w:hAnsi="Times New Roman" w:cs="Times New Roman"/>
                <w:color w:val="000000" w:themeColor="text1"/>
                <w:sz w:val="24"/>
                <w:szCs w:val="24"/>
              </w:rPr>
              <w:t xml:space="preserve"> sēdes protokola </w:t>
            </w:r>
            <w:r w:rsidRPr="00BE7A8A">
              <w:rPr>
                <w:rFonts w:ascii="Times New Roman" w:hAnsi="Times New Roman" w:cs="Times New Roman"/>
                <w:color w:val="000000" w:themeColor="text1"/>
                <w:sz w:val="24"/>
                <w:szCs w:val="24"/>
              </w:rPr>
              <w:t>Nr. 45 45. § 8. un 10. punkt</w:t>
            </w:r>
            <w:r>
              <w:rPr>
                <w:rFonts w:ascii="Times New Roman" w:hAnsi="Times New Roman" w:cs="Times New Roman"/>
                <w:color w:val="000000" w:themeColor="text1"/>
                <w:sz w:val="24"/>
                <w:szCs w:val="24"/>
              </w:rPr>
              <w:t>ā</w:t>
            </w:r>
            <w:r w:rsidRPr="00BE7A8A">
              <w:rPr>
                <w:rFonts w:ascii="Times New Roman" w:hAnsi="Times New Roman" w:cs="Times New Roman"/>
                <w:color w:val="000000" w:themeColor="text1"/>
                <w:sz w:val="24"/>
                <w:szCs w:val="24"/>
              </w:rPr>
              <w:t xml:space="preserve"> </w:t>
            </w:r>
            <w:r w:rsidR="009E30F1" w:rsidRPr="00BE7A8A">
              <w:rPr>
                <w:rFonts w:ascii="Times New Roman" w:hAnsi="Times New Roman" w:cs="Times New Roman"/>
                <w:color w:val="000000" w:themeColor="text1"/>
                <w:sz w:val="24"/>
                <w:szCs w:val="24"/>
              </w:rPr>
              <w:t xml:space="preserve">Tieslietu ministrijai </w:t>
            </w:r>
            <w:r w:rsidR="00A16586" w:rsidRPr="00BE7A8A">
              <w:rPr>
                <w:rFonts w:ascii="Times New Roman" w:hAnsi="Times New Roman" w:cs="Times New Roman"/>
                <w:color w:val="000000" w:themeColor="text1"/>
                <w:sz w:val="24"/>
                <w:szCs w:val="24"/>
              </w:rPr>
              <w:t>paredz</w:t>
            </w:r>
            <w:r w:rsidR="00A16586">
              <w:rPr>
                <w:rFonts w:ascii="Times New Roman" w:hAnsi="Times New Roman" w:cs="Times New Roman"/>
                <w:color w:val="000000" w:themeColor="text1"/>
                <w:sz w:val="24"/>
                <w:szCs w:val="24"/>
              </w:rPr>
              <w:t>ēts uzdevums</w:t>
            </w:r>
            <w:r w:rsidR="00A16586" w:rsidRPr="00BE7A8A">
              <w:rPr>
                <w:rFonts w:ascii="Times New Roman" w:hAnsi="Times New Roman" w:cs="Times New Roman"/>
                <w:color w:val="000000" w:themeColor="text1"/>
                <w:sz w:val="24"/>
                <w:szCs w:val="24"/>
              </w:rPr>
              <w:t xml:space="preserve"> </w:t>
            </w:r>
            <w:r w:rsidR="009E30F1" w:rsidRPr="00BE7A8A">
              <w:rPr>
                <w:rFonts w:ascii="Times New Roman" w:hAnsi="Times New Roman" w:cs="Times New Roman"/>
                <w:color w:val="000000" w:themeColor="text1"/>
                <w:sz w:val="24"/>
                <w:szCs w:val="24"/>
              </w:rPr>
              <w:t>sadarbībā ar Valsts kanceleju un Saeimas Juridisko</w:t>
            </w:r>
            <w:r w:rsidR="00DC75AD" w:rsidRPr="00BE7A8A">
              <w:rPr>
                <w:rFonts w:ascii="Times New Roman" w:hAnsi="Times New Roman" w:cs="Times New Roman"/>
                <w:color w:val="000000" w:themeColor="text1"/>
                <w:sz w:val="24"/>
                <w:szCs w:val="24"/>
              </w:rPr>
              <w:t xml:space="preserve"> biroju sagatavot un līdz 2015. </w:t>
            </w:r>
            <w:r w:rsidR="009E30F1" w:rsidRPr="00BE7A8A">
              <w:rPr>
                <w:rFonts w:ascii="Times New Roman" w:hAnsi="Times New Roman" w:cs="Times New Roman"/>
                <w:color w:val="000000" w:themeColor="text1"/>
                <w:sz w:val="24"/>
                <w:szCs w:val="24"/>
              </w:rPr>
              <w:t>gada 31.</w:t>
            </w:r>
            <w:r w:rsidR="00DC75AD" w:rsidRPr="00BE7A8A">
              <w:rPr>
                <w:rFonts w:ascii="Times New Roman" w:hAnsi="Times New Roman" w:cs="Times New Roman"/>
                <w:color w:val="000000" w:themeColor="text1"/>
                <w:sz w:val="24"/>
                <w:szCs w:val="24"/>
              </w:rPr>
              <w:t> </w:t>
            </w:r>
            <w:r w:rsidR="009E30F1" w:rsidRPr="00BE7A8A">
              <w:rPr>
                <w:rFonts w:ascii="Times New Roman" w:hAnsi="Times New Roman" w:cs="Times New Roman"/>
                <w:color w:val="000000" w:themeColor="text1"/>
                <w:sz w:val="24"/>
                <w:szCs w:val="24"/>
              </w:rPr>
              <w:t>decembrim iesniegt Ministru kabinetā gro</w:t>
            </w:r>
            <w:r w:rsidR="00DC75AD" w:rsidRPr="00BE7A8A">
              <w:rPr>
                <w:rFonts w:ascii="Times New Roman" w:hAnsi="Times New Roman" w:cs="Times New Roman"/>
                <w:color w:val="000000" w:themeColor="text1"/>
                <w:sz w:val="24"/>
                <w:szCs w:val="24"/>
              </w:rPr>
              <w:t>zījumus Ministru kabineta 2009. gada 3. </w:t>
            </w:r>
            <w:r w:rsidR="009E30F1" w:rsidRPr="00BE7A8A">
              <w:rPr>
                <w:rFonts w:ascii="Times New Roman" w:hAnsi="Times New Roman" w:cs="Times New Roman"/>
                <w:color w:val="000000" w:themeColor="text1"/>
                <w:sz w:val="24"/>
                <w:szCs w:val="24"/>
              </w:rPr>
              <w:t>februāra noteikumos N</w:t>
            </w:r>
            <w:r w:rsidR="00DC75AD" w:rsidRPr="00BE7A8A">
              <w:rPr>
                <w:rFonts w:ascii="Times New Roman" w:hAnsi="Times New Roman" w:cs="Times New Roman"/>
                <w:color w:val="000000" w:themeColor="text1"/>
                <w:sz w:val="24"/>
                <w:szCs w:val="24"/>
              </w:rPr>
              <w:t>r. </w:t>
            </w:r>
            <w:r w:rsidR="009E30F1" w:rsidRPr="00BE7A8A">
              <w:rPr>
                <w:rFonts w:ascii="Times New Roman" w:hAnsi="Times New Roman" w:cs="Times New Roman"/>
                <w:color w:val="000000" w:themeColor="text1"/>
                <w:sz w:val="24"/>
                <w:szCs w:val="24"/>
              </w:rPr>
              <w:t xml:space="preserve">108 „Normatīvo aktu projektu sagatavošanas noteikumi”, paredzot iespēju vienā normatīvajā aktā ietvert grozījumus vairākos normatīvajos </w:t>
            </w:r>
            <w:r w:rsidR="009E30F1" w:rsidRPr="00BE7A8A">
              <w:rPr>
                <w:rFonts w:ascii="Times New Roman" w:hAnsi="Times New Roman" w:cs="Times New Roman"/>
                <w:color w:val="000000" w:themeColor="text1"/>
                <w:sz w:val="24"/>
                <w:szCs w:val="24"/>
              </w:rPr>
              <w:lastRenderedPageBreak/>
              <w:t>aktos, kā arī Valsts kancelejai sadarbībā ar Tieslietu min</w:t>
            </w:r>
            <w:r w:rsidR="00F56396" w:rsidRPr="00BE7A8A">
              <w:rPr>
                <w:rFonts w:ascii="Times New Roman" w:hAnsi="Times New Roman" w:cs="Times New Roman"/>
                <w:color w:val="000000" w:themeColor="text1"/>
                <w:sz w:val="24"/>
                <w:szCs w:val="24"/>
              </w:rPr>
              <w:t>istriju izstrādāt un līdz 2015. </w:t>
            </w:r>
            <w:r w:rsidR="009E30F1" w:rsidRPr="00BE7A8A">
              <w:rPr>
                <w:rFonts w:ascii="Times New Roman" w:hAnsi="Times New Roman" w:cs="Times New Roman"/>
                <w:color w:val="000000" w:themeColor="text1"/>
                <w:sz w:val="24"/>
                <w:szCs w:val="24"/>
              </w:rPr>
              <w:t>gada 31.</w:t>
            </w:r>
            <w:r w:rsidR="00F56396" w:rsidRPr="00BE7A8A">
              <w:rPr>
                <w:rFonts w:ascii="Times New Roman" w:hAnsi="Times New Roman" w:cs="Times New Roman"/>
                <w:color w:val="000000" w:themeColor="text1"/>
                <w:sz w:val="24"/>
                <w:szCs w:val="24"/>
              </w:rPr>
              <w:t> </w:t>
            </w:r>
            <w:r w:rsidR="009E30F1" w:rsidRPr="00BE7A8A">
              <w:rPr>
                <w:rFonts w:ascii="Times New Roman" w:hAnsi="Times New Roman" w:cs="Times New Roman"/>
                <w:color w:val="000000" w:themeColor="text1"/>
                <w:sz w:val="24"/>
                <w:szCs w:val="24"/>
              </w:rPr>
              <w:t>decembrim iesniegt Ministru kabinetā grozījumus normatīvajos aktos, paredzot iespēju normatīvo aktu projektu paketei, kas attiecas uz vienu regulējamo jautājumu loku, izstrādāt vienu sākotnējas ietekmes novērtējuma ziņojumu. Vienlaikus, kā izriet no minētā informatīvā ziņoj</w:t>
            </w:r>
            <w:r w:rsidR="00F56396" w:rsidRPr="00BE7A8A">
              <w:rPr>
                <w:rFonts w:ascii="Times New Roman" w:hAnsi="Times New Roman" w:cs="Times New Roman"/>
                <w:color w:val="000000" w:themeColor="text1"/>
                <w:sz w:val="24"/>
                <w:szCs w:val="24"/>
              </w:rPr>
              <w:t>uma, jau vēsturiski 1990. </w:t>
            </w:r>
            <w:r w:rsidR="009E30F1" w:rsidRPr="00BE7A8A">
              <w:rPr>
                <w:rFonts w:ascii="Times New Roman" w:hAnsi="Times New Roman" w:cs="Times New Roman"/>
                <w:color w:val="000000" w:themeColor="text1"/>
                <w:sz w:val="24"/>
                <w:szCs w:val="24"/>
              </w:rPr>
              <w:t xml:space="preserve">gados tika izdoti normatīvie akti, ar kuriem tika grozīti vairāki normatīvie akti.  Līdzīgu praksi mūsdienās ir izvēlējusies arī Igaunija, ieviešot </w:t>
            </w:r>
            <w:r w:rsidR="00A16586" w:rsidRPr="00A16586">
              <w:rPr>
                <w:rFonts w:ascii="Times New Roman" w:hAnsi="Times New Roman" w:cs="Times New Roman"/>
                <w:i/>
                <w:color w:val="000000" w:themeColor="text1"/>
                <w:sz w:val="24"/>
                <w:szCs w:val="24"/>
              </w:rPr>
              <w:t>euro</w:t>
            </w:r>
            <w:r w:rsidR="00A16586" w:rsidRPr="00BE7A8A">
              <w:rPr>
                <w:rFonts w:ascii="Times New Roman" w:hAnsi="Times New Roman" w:cs="Times New Roman"/>
                <w:color w:val="000000" w:themeColor="text1"/>
                <w:sz w:val="24"/>
                <w:szCs w:val="24"/>
              </w:rPr>
              <w:t xml:space="preserve"> </w:t>
            </w:r>
            <w:r w:rsidR="009E30F1" w:rsidRPr="00BE7A8A">
              <w:rPr>
                <w:rFonts w:ascii="Times New Roman" w:hAnsi="Times New Roman" w:cs="Times New Roman"/>
                <w:color w:val="000000" w:themeColor="text1"/>
                <w:sz w:val="24"/>
                <w:szCs w:val="24"/>
              </w:rPr>
              <w:t xml:space="preserve">un pielāgojot normatīvos aktus </w:t>
            </w:r>
            <w:r w:rsidR="00A16586" w:rsidRPr="00A16586">
              <w:rPr>
                <w:rFonts w:ascii="Times New Roman" w:hAnsi="Times New Roman" w:cs="Times New Roman"/>
                <w:i/>
                <w:color w:val="000000" w:themeColor="text1"/>
                <w:sz w:val="24"/>
                <w:szCs w:val="24"/>
              </w:rPr>
              <w:t>euro</w:t>
            </w:r>
            <w:r w:rsidR="009E30F1" w:rsidRPr="00BE7A8A">
              <w:rPr>
                <w:rFonts w:ascii="Times New Roman" w:hAnsi="Times New Roman" w:cs="Times New Roman"/>
                <w:color w:val="000000" w:themeColor="text1"/>
                <w:sz w:val="24"/>
                <w:szCs w:val="24"/>
              </w:rPr>
              <w:t xml:space="preserve"> ieviešanai ar vienu normatīvo aktu. Tā 20</w:t>
            </w:r>
            <w:r w:rsidR="00F56396" w:rsidRPr="00BE7A8A">
              <w:rPr>
                <w:rFonts w:ascii="Times New Roman" w:hAnsi="Times New Roman" w:cs="Times New Roman"/>
                <w:color w:val="000000" w:themeColor="text1"/>
                <w:sz w:val="24"/>
                <w:szCs w:val="24"/>
              </w:rPr>
              <w:t>10. gada 22. </w:t>
            </w:r>
            <w:r w:rsidR="009E30F1" w:rsidRPr="00BE7A8A">
              <w:rPr>
                <w:rFonts w:ascii="Times New Roman" w:hAnsi="Times New Roman" w:cs="Times New Roman"/>
                <w:color w:val="000000" w:themeColor="text1"/>
                <w:sz w:val="24"/>
                <w:szCs w:val="24"/>
              </w:rPr>
              <w:t xml:space="preserve">aprīlī Igaunijas Parlaments pieņēma </w:t>
            </w:r>
            <w:r w:rsidR="009E30F1" w:rsidRPr="0082327E">
              <w:rPr>
                <w:rFonts w:ascii="Times New Roman" w:hAnsi="Times New Roman" w:cs="Times New Roman"/>
                <w:i/>
                <w:color w:val="000000" w:themeColor="text1"/>
                <w:sz w:val="24"/>
                <w:szCs w:val="24"/>
              </w:rPr>
              <w:t>Euro</w:t>
            </w:r>
            <w:r w:rsidR="009E30F1" w:rsidRPr="00BE7A8A">
              <w:rPr>
                <w:rFonts w:ascii="Times New Roman" w:hAnsi="Times New Roman" w:cs="Times New Roman"/>
                <w:color w:val="000000" w:themeColor="text1"/>
                <w:sz w:val="24"/>
                <w:szCs w:val="24"/>
              </w:rPr>
              <w:t xml:space="preserve"> ieviešanas likumu (</w:t>
            </w:r>
            <w:proofErr w:type="spellStart"/>
            <w:r w:rsidR="00F56396" w:rsidRPr="0082327E">
              <w:rPr>
                <w:rFonts w:ascii="Times New Roman" w:hAnsi="Times New Roman" w:cs="Times New Roman"/>
                <w:i/>
                <w:color w:val="000000" w:themeColor="text1"/>
                <w:sz w:val="24"/>
                <w:szCs w:val="24"/>
              </w:rPr>
              <w:t>Euro</w:t>
            </w:r>
            <w:proofErr w:type="spellEnd"/>
            <w:r w:rsidR="00F56396" w:rsidRPr="0082327E">
              <w:rPr>
                <w:rFonts w:ascii="Times New Roman" w:hAnsi="Times New Roman" w:cs="Times New Roman"/>
                <w:i/>
                <w:color w:val="000000" w:themeColor="text1"/>
                <w:sz w:val="24"/>
                <w:szCs w:val="24"/>
              </w:rPr>
              <w:t xml:space="preserve"> </w:t>
            </w:r>
            <w:proofErr w:type="spellStart"/>
            <w:r w:rsidR="00F56396" w:rsidRPr="0082327E">
              <w:rPr>
                <w:rFonts w:ascii="Times New Roman" w:hAnsi="Times New Roman" w:cs="Times New Roman"/>
                <w:i/>
                <w:color w:val="000000" w:themeColor="text1"/>
                <w:sz w:val="24"/>
                <w:szCs w:val="24"/>
              </w:rPr>
              <w:t>kasutusele</w:t>
            </w:r>
            <w:proofErr w:type="spellEnd"/>
            <w:r w:rsidR="00F56396" w:rsidRPr="0082327E">
              <w:rPr>
                <w:rFonts w:ascii="Times New Roman" w:hAnsi="Times New Roman" w:cs="Times New Roman"/>
                <w:i/>
                <w:color w:val="000000" w:themeColor="text1"/>
                <w:sz w:val="24"/>
                <w:szCs w:val="24"/>
              </w:rPr>
              <w:t xml:space="preserve"> </w:t>
            </w:r>
            <w:proofErr w:type="spellStart"/>
            <w:r w:rsidR="00F56396" w:rsidRPr="0082327E">
              <w:rPr>
                <w:rFonts w:ascii="Times New Roman" w:hAnsi="Times New Roman" w:cs="Times New Roman"/>
                <w:i/>
                <w:color w:val="000000" w:themeColor="text1"/>
                <w:sz w:val="24"/>
                <w:szCs w:val="24"/>
              </w:rPr>
              <w:t>võtmise</w:t>
            </w:r>
            <w:proofErr w:type="spellEnd"/>
            <w:r w:rsidR="00F56396" w:rsidRPr="0082327E">
              <w:rPr>
                <w:rFonts w:ascii="Times New Roman" w:hAnsi="Times New Roman" w:cs="Times New Roman"/>
                <w:i/>
                <w:color w:val="000000" w:themeColor="text1"/>
                <w:sz w:val="24"/>
                <w:szCs w:val="24"/>
              </w:rPr>
              <w:t xml:space="preserve"> </w:t>
            </w:r>
            <w:proofErr w:type="spellStart"/>
            <w:r w:rsidR="00F56396" w:rsidRPr="0082327E">
              <w:rPr>
                <w:rFonts w:ascii="Times New Roman" w:hAnsi="Times New Roman" w:cs="Times New Roman"/>
                <w:i/>
                <w:color w:val="000000" w:themeColor="text1"/>
                <w:sz w:val="24"/>
                <w:szCs w:val="24"/>
              </w:rPr>
              <w:t>seadus</w:t>
            </w:r>
            <w:proofErr w:type="spellEnd"/>
            <w:r w:rsidR="00F56396" w:rsidRPr="00BE7A8A">
              <w:rPr>
                <w:rFonts w:ascii="Times New Roman" w:hAnsi="Times New Roman" w:cs="Times New Roman"/>
                <w:color w:val="000000" w:themeColor="text1"/>
                <w:sz w:val="24"/>
                <w:szCs w:val="24"/>
              </w:rPr>
              <w:t>)</w:t>
            </w:r>
            <w:r w:rsidR="009E30F1" w:rsidRPr="00BE7A8A">
              <w:rPr>
                <w:rFonts w:ascii="Times New Roman" w:hAnsi="Times New Roman" w:cs="Times New Roman"/>
                <w:color w:val="000000" w:themeColor="text1"/>
                <w:sz w:val="24"/>
                <w:szCs w:val="24"/>
              </w:rPr>
              <w:t xml:space="preserve">, kura otrajā sadaļā alfabēta secībā uzskaitīja visus likumus un tajos veicamos grozījumus saistībā ar kronu konvertāciju uz </w:t>
            </w:r>
            <w:r w:rsidR="00A16586" w:rsidRPr="00A16586">
              <w:rPr>
                <w:rFonts w:ascii="Times New Roman" w:hAnsi="Times New Roman" w:cs="Times New Roman"/>
                <w:i/>
                <w:color w:val="000000" w:themeColor="text1"/>
                <w:sz w:val="24"/>
                <w:szCs w:val="24"/>
              </w:rPr>
              <w:t>euro</w:t>
            </w:r>
            <w:r w:rsidR="009E30F1" w:rsidRPr="00BE7A8A">
              <w:rPr>
                <w:rFonts w:ascii="Times New Roman" w:hAnsi="Times New Roman" w:cs="Times New Roman"/>
                <w:color w:val="000000" w:themeColor="text1"/>
                <w:sz w:val="24"/>
                <w:szCs w:val="24"/>
              </w:rPr>
              <w:t>. Šādi ar vienu likumu tika grozīti 230 likumi.</w:t>
            </w:r>
          </w:p>
          <w:p w:rsidR="009E30F1" w:rsidRPr="00BE7A8A" w:rsidRDefault="009E30F1" w:rsidP="009E30F1">
            <w:pPr>
              <w:spacing w:after="0" w:line="240" w:lineRule="auto"/>
              <w:ind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Arī Austrijas normatīvo aktu juridiskā tehnika ļauj veiksmīgi samazināt normatīvo aktu skaitu, ar vienu normatīvo aktu veicot grozījumus vairākos norm</w:t>
            </w:r>
            <w:r w:rsidR="00F56396" w:rsidRPr="00BE7A8A">
              <w:rPr>
                <w:rFonts w:ascii="Times New Roman" w:hAnsi="Times New Roman" w:cs="Times New Roman"/>
                <w:color w:val="000000" w:themeColor="text1"/>
                <w:sz w:val="24"/>
                <w:szCs w:val="24"/>
              </w:rPr>
              <w:t>atīvajos aktos (piemēram, 2009. </w:t>
            </w:r>
            <w:r w:rsidRPr="00BE7A8A">
              <w:rPr>
                <w:rFonts w:ascii="Times New Roman" w:hAnsi="Times New Roman" w:cs="Times New Roman"/>
                <w:color w:val="000000" w:themeColor="text1"/>
                <w:sz w:val="24"/>
                <w:szCs w:val="24"/>
              </w:rPr>
              <w:t>gada 8.</w:t>
            </w:r>
            <w:r w:rsidR="00F56396"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aprīļa 40.</w:t>
            </w:r>
            <w:r w:rsidR="00F56396"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 xml:space="preserve">Federālais likums, ar kuru groza Sodu piemērošanas kārtību, Civilprocesa kodeksu, Likumu </w:t>
            </w:r>
            <w:r w:rsidR="00F56396" w:rsidRPr="00BE7A8A">
              <w:rPr>
                <w:rFonts w:ascii="Times New Roman" w:hAnsi="Times New Roman" w:cs="Times New Roman"/>
                <w:color w:val="000000" w:themeColor="text1"/>
                <w:sz w:val="24"/>
                <w:szCs w:val="24"/>
              </w:rPr>
              <w:t xml:space="preserve">par </w:t>
            </w:r>
            <w:proofErr w:type="spellStart"/>
            <w:r w:rsidR="00F56396" w:rsidRPr="00BE7A8A">
              <w:rPr>
                <w:rFonts w:ascii="Times New Roman" w:hAnsi="Times New Roman" w:cs="Times New Roman"/>
                <w:color w:val="000000" w:themeColor="text1"/>
                <w:sz w:val="24"/>
                <w:szCs w:val="24"/>
              </w:rPr>
              <w:t>bezstrīdu</w:t>
            </w:r>
            <w:proofErr w:type="spellEnd"/>
            <w:r w:rsidR="00F56396" w:rsidRPr="00BE7A8A">
              <w:rPr>
                <w:rFonts w:ascii="Times New Roman" w:hAnsi="Times New Roman" w:cs="Times New Roman"/>
                <w:color w:val="000000" w:themeColor="text1"/>
                <w:sz w:val="24"/>
                <w:szCs w:val="24"/>
              </w:rPr>
              <w:t xml:space="preserve"> tiesvedību, 1962. </w:t>
            </w:r>
            <w:r w:rsidRPr="00BE7A8A">
              <w:rPr>
                <w:rFonts w:ascii="Times New Roman" w:hAnsi="Times New Roman" w:cs="Times New Roman"/>
                <w:color w:val="000000" w:themeColor="text1"/>
                <w:sz w:val="24"/>
                <w:szCs w:val="24"/>
              </w:rPr>
              <w:t>gada ar tiesvedību saistīto izdevumu likumu, Kriminālkodeksu, 1975.</w:t>
            </w:r>
            <w:r w:rsidR="00F56396"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gada Kriminālprocesa kodek</w:t>
            </w:r>
            <w:r w:rsidR="00F56396" w:rsidRPr="00BE7A8A">
              <w:rPr>
                <w:rFonts w:ascii="Times New Roman" w:hAnsi="Times New Roman" w:cs="Times New Roman"/>
                <w:color w:val="000000" w:themeColor="text1"/>
                <w:sz w:val="24"/>
                <w:szCs w:val="24"/>
              </w:rPr>
              <w:t>su, Sodu izpildes likumu, 1972. </w:t>
            </w:r>
            <w:r w:rsidRPr="00BE7A8A">
              <w:rPr>
                <w:rFonts w:ascii="Times New Roman" w:hAnsi="Times New Roman" w:cs="Times New Roman"/>
                <w:color w:val="000000" w:themeColor="text1"/>
                <w:sz w:val="24"/>
                <w:szCs w:val="24"/>
              </w:rPr>
              <w:t xml:space="preserve">gada Sodu reģistra likumu, Prokuratūras likumu, Noziedzīgo nodarījumu upuru likumu, Kriminālsodu uzskaites likumu, Drošības policijas likumu un Vispārējo Civilkodeksu (Otrais likums par aizsardzību pret vardarbību)). </w:t>
            </w:r>
          </w:p>
          <w:p w:rsidR="007B5334" w:rsidRPr="00126D48" w:rsidRDefault="009E30F1" w:rsidP="00C33BAE">
            <w:pPr>
              <w:spacing w:after="0" w:line="240" w:lineRule="auto"/>
              <w:ind w:firstLine="541"/>
              <w:jc w:val="both"/>
              <w:rPr>
                <w:rFonts w:ascii="Times New Roman" w:hAnsi="Times New Roman" w:cs="Times New Roman"/>
                <w:color w:val="000000" w:themeColor="text1"/>
                <w:sz w:val="24"/>
                <w:szCs w:val="24"/>
              </w:rPr>
            </w:pPr>
            <w:r w:rsidRPr="00126D48">
              <w:rPr>
                <w:rFonts w:ascii="Times New Roman" w:hAnsi="Times New Roman" w:cs="Times New Roman"/>
                <w:color w:val="000000" w:themeColor="text1"/>
                <w:sz w:val="24"/>
                <w:szCs w:val="24"/>
              </w:rPr>
              <w:t xml:space="preserve">Savukārt Latvijā vairāki normatīvie akti nostiprina to, ka </w:t>
            </w:r>
            <w:r w:rsidR="00080575" w:rsidRPr="00126D48">
              <w:rPr>
                <w:rFonts w:ascii="Times New Roman" w:hAnsi="Times New Roman" w:cs="Times New Roman"/>
                <w:color w:val="000000" w:themeColor="text1"/>
                <w:sz w:val="24"/>
                <w:szCs w:val="24"/>
              </w:rPr>
              <w:t xml:space="preserve">Latvijas iestādēm </w:t>
            </w:r>
            <w:r w:rsidRPr="00126D48">
              <w:rPr>
                <w:rFonts w:ascii="Times New Roman" w:hAnsi="Times New Roman" w:cs="Times New Roman"/>
                <w:color w:val="000000" w:themeColor="text1"/>
                <w:sz w:val="24"/>
                <w:szCs w:val="24"/>
              </w:rPr>
              <w:t xml:space="preserve">nepieciešams uzrādīt Latvijas </w:t>
            </w:r>
            <w:r w:rsidR="00D72F72"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nacionālo</w:t>
            </w:r>
            <w:r w:rsidR="00D72F72"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 xml:space="preserve"> mantojuma apliecību</w:t>
            </w:r>
            <w:r w:rsidR="00F736A9"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 xml:space="preserve"> vai tā ir pamats, lai varētu veikt noteiktas darbības vai apstiprinātu noteiktas tiesības. </w:t>
            </w:r>
            <w:r w:rsidR="00C33BAE" w:rsidRPr="00126D48">
              <w:rPr>
                <w:rFonts w:ascii="Times New Roman" w:hAnsi="Times New Roman" w:cs="Times New Roman"/>
                <w:color w:val="000000" w:themeColor="text1"/>
                <w:sz w:val="24"/>
                <w:szCs w:val="24"/>
              </w:rPr>
              <w:t xml:space="preserve">Jāatzīmē, ka ar </w:t>
            </w:r>
            <w:r w:rsidR="00311049" w:rsidRPr="00126D48">
              <w:rPr>
                <w:rFonts w:ascii="Times New Roman" w:hAnsi="Times New Roman" w:cs="Times New Roman"/>
                <w:color w:val="000000" w:themeColor="text1"/>
                <w:sz w:val="24"/>
                <w:szCs w:val="24"/>
              </w:rPr>
              <w:t>terminu</w:t>
            </w:r>
            <w:r w:rsidR="00C33BAE" w:rsidRPr="00126D48">
              <w:rPr>
                <w:rFonts w:ascii="Times New Roman" w:hAnsi="Times New Roman" w:cs="Times New Roman"/>
                <w:color w:val="000000" w:themeColor="text1"/>
                <w:sz w:val="24"/>
                <w:szCs w:val="24"/>
              </w:rPr>
              <w:t xml:space="preserve"> „mantojuma apliecība” </w:t>
            </w:r>
            <w:r w:rsidR="001E5EA0" w:rsidRPr="00126D48">
              <w:rPr>
                <w:rFonts w:ascii="Times New Roman" w:hAnsi="Times New Roman" w:cs="Times New Roman"/>
                <w:color w:val="000000" w:themeColor="text1"/>
                <w:sz w:val="24"/>
                <w:szCs w:val="24"/>
              </w:rPr>
              <w:t xml:space="preserve">Latvijas </w:t>
            </w:r>
            <w:r w:rsidR="00C33BAE" w:rsidRPr="00126D48">
              <w:rPr>
                <w:rFonts w:ascii="Times New Roman" w:hAnsi="Times New Roman" w:cs="Times New Roman"/>
                <w:color w:val="000000" w:themeColor="text1"/>
                <w:sz w:val="24"/>
                <w:szCs w:val="24"/>
              </w:rPr>
              <w:t>nacionālajos normatīvajos aktos saprot Latvijas zvērināta notāra izdotu notariālo aktu</w:t>
            </w:r>
            <w:r w:rsidR="00C33BAE" w:rsidRPr="00126D48">
              <w:t xml:space="preserve"> </w:t>
            </w:r>
            <w:r w:rsidR="00C33BAE" w:rsidRPr="00126D48">
              <w:rPr>
                <w:rFonts w:ascii="Times New Roman" w:hAnsi="Times New Roman" w:cs="Times New Roman"/>
                <w:color w:val="000000" w:themeColor="text1"/>
                <w:sz w:val="24"/>
                <w:szCs w:val="24"/>
              </w:rPr>
              <w:t>par pēdējās gribas rīkojuma akta stāšanos likumīgā spēkā vai par apstiprināšanu mantojuma tiesībās</w:t>
            </w:r>
            <w:r w:rsidR="007B5334" w:rsidRPr="00126D48">
              <w:rPr>
                <w:rFonts w:ascii="Times New Roman" w:hAnsi="Times New Roman" w:cs="Times New Roman"/>
                <w:color w:val="000000" w:themeColor="text1"/>
                <w:sz w:val="24"/>
                <w:szCs w:val="24"/>
              </w:rPr>
              <w:t xml:space="preserve">. </w:t>
            </w:r>
            <w:proofErr w:type="gramStart"/>
            <w:r w:rsidR="007B5334" w:rsidRPr="00126D48">
              <w:rPr>
                <w:rFonts w:ascii="Times New Roman" w:hAnsi="Times New Roman" w:cs="Times New Roman"/>
                <w:color w:val="000000" w:themeColor="text1"/>
                <w:sz w:val="24"/>
                <w:szCs w:val="24"/>
              </w:rPr>
              <w:t>„Nacionālo” mantojuma apliecību</w:t>
            </w:r>
            <w:r w:rsidR="00C33BAE" w:rsidRPr="00126D48">
              <w:rPr>
                <w:rFonts w:ascii="Times New Roman" w:hAnsi="Times New Roman" w:cs="Times New Roman"/>
                <w:color w:val="000000" w:themeColor="text1"/>
                <w:sz w:val="24"/>
                <w:szCs w:val="24"/>
              </w:rPr>
              <w:t xml:space="preserve"> </w:t>
            </w:r>
            <w:r w:rsidR="007B5334" w:rsidRPr="00126D48">
              <w:rPr>
                <w:rFonts w:ascii="Times New Roman" w:hAnsi="Times New Roman" w:cs="Times New Roman"/>
                <w:color w:val="000000" w:themeColor="text1"/>
                <w:sz w:val="24"/>
                <w:szCs w:val="24"/>
              </w:rPr>
              <w:t>zv</w:t>
            </w:r>
            <w:r w:rsidR="00C33BAE" w:rsidRPr="00126D48">
              <w:rPr>
                <w:rFonts w:ascii="Times New Roman" w:hAnsi="Times New Roman" w:cs="Times New Roman"/>
                <w:color w:val="000000" w:themeColor="text1"/>
                <w:sz w:val="24"/>
                <w:szCs w:val="24"/>
              </w:rPr>
              <w:t>ērināts</w:t>
            </w:r>
            <w:proofErr w:type="gramEnd"/>
            <w:r w:rsidR="00C33BAE" w:rsidRPr="00126D48">
              <w:rPr>
                <w:rFonts w:ascii="Times New Roman" w:hAnsi="Times New Roman" w:cs="Times New Roman"/>
                <w:color w:val="000000" w:themeColor="text1"/>
                <w:sz w:val="24"/>
                <w:szCs w:val="24"/>
              </w:rPr>
              <w:t xml:space="preserve"> notārs </w:t>
            </w:r>
            <w:r w:rsidR="007B5334" w:rsidRPr="00126D48">
              <w:rPr>
                <w:rFonts w:ascii="Times New Roman" w:hAnsi="Times New Roman" w:cs="Times New Roman"/>
                <w:color w:val="000000" w:themeColor="text1"/>
                <w:sz w:val="24"/>
                <w:szCs w:val="24"/>
              </w:rPr>
              <w:t xml:space="preserve">izdot </w:t>
            </w:r>
            <w:r w:rsidR="00C33BAE" w:rsidRPr="00126D48">
              <w:rPr>
                <w:rFonts w:ascii="Times New Roman" w:hAnsi="Times New Roman" w:cs="Times New Roman"/>
                <w:color w:val="000000" w:themeColor="text1"/>
                <w:sz w:val="24"/>
                <w:szCs w:val="24"/>
              </w:rPr>
              <w:t>mantojuma liet</w:t>
            </w:r>
            <w:r w:rsidR="007B5334" w:rsidRPr="00126D48">
              <w:rPr>
                <w:rFonts w:ascii="Times New Roman" w:hAnsi="Times New Roman" w:cs="Times New Roman"/>
                <w:color w:val="000000" w:themeColor="text1"/>
                <w:sz w:val="24"/>
                <w:szCs w:val="24"/>
              </w:rPr>
              <w:t xml:space="preserve">ā, kas </w:t>
            </w:r>
            <w:r w:rsidR="00C33BAE" w:rsidRPr="00126D48">
              <w:rPr>
                <w:rFonts w:ascii="Times New Roman" w:hAnsi="Times New Roman" w:cs="Times New Roman"/>
                <w:color w:val="000000" w:themeColor="text1"/>
                <w:sz w:val="24"/>
                <w:szCs w:val="24"/>
              </w:rPr>
              <w:t>ve</w:t>
            </w:r>
            <w:r w:rsidR="007B5334" w:rsidRPr="00126D48">
              <w:rPr>
                <w:rFonts w:ascii="Times New Roman" w:hAnsi="Times New Roman" w:cs="Times New Roman"/>
                <w:color w:val="000000" w:themeColor="text1"/>
                <w:sz w:val="24"/>
                <w:szCs w:val="24"/>
              </w:rPr>
              <w:t>sta</w:t>
            </w:r>
            <w:r w:rsidR="00C33BAE" w:rsidRPr="00126D48">
              <w:rPr>
                <w:rFonts w:ascii="Times New Roman" w:hAnsi="Times New Roman" w:cs="Times New Roman"/>
                <w:color w:val="000000" w:themeColor="text1"/>
                <w:sz w:val="24"/>
                <w:szCs w:val="24"/>
              </w:rPr>
              <w:t xml:space="preserve"> tikai par mantojumu</w:t>
            </w:r>
            <w:r w:rsidR="00D72F72" w:rsidRPr="00126D48">
              <w:rPr>
                <w:rFonts w:ascii="Times New Roman" w:hAnsi="Times New Roman" w:cs="Times New Roman"/>
                <w:color w:val="000000" w:themeColor="text1"/>
                <w:sz w:val="24"/>
                <w:szCs w:val="24"/>
              </w:rPr>
              <w:t xml:space="preserve"> vai mantojuma daļu</w:t>
            </w:r>
            <w:r w:rsidR="00C33BAE" w:rsidRPr="00126D48">
              <w:rPr>
                <w:rFonts w:ascii="Times New Roman" w:hAnsi="Times New Roman" w:cs="Times New Roman"/>
                <w:color w:val="000000" w:themeColor="text1"/>
                <w:sz w:val="24"/>
                <w:szCs w:val="24"/>
              </w:rPr>
              <w:t>, kas atrodas Latvijā</w:t>
            </w:r>
            <w:r w:rsidR="00080575" w:rsidRPr="00126D48">
              <w:rPr>
                <w:rFonts w:ascii="Times New Roman" w:hAnsi="Times New Roman" w:cs="Times New Roman"/>
                <w:color w:val="000000" w:themeColor="text1"/>
                <w:sz w:val="24"/>
                <w:szCs w:val="24"/>
              </w:rPr>
              <w:t>,</w:t>
            </w:r>
            <w:r w:rsidR="007B5334" w:rsidRPr="00126D48">
              <w:rPr>
                <w:rFonts w:ascii="Times New Roman" w:hAnsi="Times New Roman" w:cs="Times New Roman"/>
                <w:color w:val="000000" w:themeColor="text1"/>
                <w:sz w:val="24"/>
                <w:szCs w:val="24"/>
              </w:rPr>
              <w:t xml:space="preserve"> un tikai</w:t>
            </w:r>
            <w:r w:rsidR="00C33BAE" w:rsidRPr="00126D48">
              <w:rPr>
                <w:rFonts w:ascii="Times New Roman" w:hAnsi="Times New Roman" w:cs="Times New Roman"/>
                <w:color w:val="000000" w:themeColor="text1"/>
                <w:sz w:val="24"/>
                <w:szCs w:val="24"/>
              </w:rPr>
              <w:t xml:space="preserve"> piemērojot Latvijas </w:t>
            </w:r>
            <w:r w:rsidR="007B5334" w:rsidRPr="00126D48">
              <w:rPr>
                <w:rFonts w:ascii="Times New Roman" w:hAnsi="Times New Roman" w:cs="Times New Roman"/>
                <w:color w:val="000000" w:themeColor="text1"/>
                <w:sz w:val="24"/>
                <w:szCs w:val="24"/>
              </w:rPr>
              <w:t xml:space="preserve">nacionālos </w:t>
            </w:r>
            <w:r w:rsidR="00C33BAE" w:rsidRPr="00126D48">
              <w:rPr>
                <w:rFonts w:ascii="Times New Roman" w:hAnsi="Times New Roman" w:cs="Times New Roman"/>
                <w:color w:val="000000" w:themeColor="text1"/>
                <w:sz w:val="24"/>
                <w:szCs w:val="24"/>
              </w:rPr>
              <w:t>normatīvos aktus</w:t>
            </w:r>
            <w:r w:rsidR="007B5334" w:rsidRPr="00126D48">
              <w:rPr>
                <w:rFonts w:ascii="Times New Roman" w:hAnsi="Times New Roman" w:cs="Times New Roman"/>
                <w:color w:val="000000" w:themeColor="text1"/>
                <w:sz w:val="24"/>
                <w:szCs w:val="24"/>
              </w:rPr>
              <w:t>, jo īpaši, Notariāta likumu</w:t>
            </w:r>
            <w:r w:rsidR="00D72F72" w:rsidRPr="00126D48">
              <w:rPr>
                <w:rFonts w:ascii="Times New Roman" w:hAnsi="Times New Roman" w:cs="Times New Roman"/>
                <w:color w:val="000000" w:themeColor="text1"/>
                <w:sz w:val="24"/>
                <w:szCs w:val="24"/>
              </w:rPr>
              <w:t xml:space="preserve"> un Civillikumu</w:t>
            </w:r>
            <w:r w:rsidR="007B5334" w:rsidRPr="00126D48">
              <w:rPr>
                <w:rFonts w:ascii="Times New Roman" w:hAnsi="Times New Roman" w:cs="Times New Roman"/>
                <w:color w:val="000000" w:themeColor="text1"/>
                <w:sz w:val="24"/>
                <w:szCs w:val="24"/>
              </w:rPr>
              <w:t>.</w:t>
            </w:r>
            <w:r w:rsidR="008F01D8" w:rsidRPr="00126D48">
              <w:rPr>
                <w:rFonts w:ascii="Times New Roman" w:hAnsi="Times New Roman" w:cs="Times New Roman"/>
                <w:color w:val="000000" w:themeColor="text1"/>
                <w:sz w:val="24"/>
                <w:szCs w:val="24"/>
              </w:rPr>
              <w:t xml:space="preserve"> Nacionālajās lietās, nepastāvot pārrobežu elementam, par mantojumu, kas atrodas Latvijā, zvērināti notāri arī pēc regulas Nr.650/2012 piemērošanas dienas varēs turpināt izsniegt „nacionālās” mantojuma apliecības.</w:t>
            </w:r>
          </w:p>
          <w:p w:rsidR="00177A01" w:rsidRPr="00126D48" w:rsidRDefault="007B5334" w:rsidP="00C33BAE">
            <w:pPr>
              <w:spacing w:after="0" w:line="240" w:lineRule="auto"/>
              <w:ind w:firstLine="541"/>
              <w:jc w:val="both"/>
              <w:rPr>
                <w:rFonts w:ascii="Times New Roman" w:hAnsi="Times New Roman" w:cs="Times New Roman"/>
                <w:color w:val="000000" w:themeColor="text1"/>
                <w:sz w:val="24"/>
                <w:szCs w:val="24"/>
              </w:rPr>
            </w:pPr>
            <w:r w:rsidRPr="00126D48">
              <w:rPr>
                <w:rFonts w:ascii="Times New Roman" w:hAnsi="Times New Roman" w:cs="Times New Roman"/>
                <w:color w:val="000000" w:themeColor="text1"/>
                <w:sz w:val="24"/>
                <w:szCs w:val="24"/>
              </w:rPr>
              <w:t xml:space="preserve">Tomēr līdz ar regulas Nr.650/2012 piemērošanas uzsākšanu Eiropas Savienībā tiek radīts jauns dokuments mantošanas lietās – Eiropas mantošanas apliecība.  Jāatzīmē, ka </w:t>
            </w:r>
            <w:r w:rsidR="00080575"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nacionālā</w:t>
            </w:r>
            <w:r w:rsidR="00080575"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 xml:space="preserve"> mantojuma apliecība un Eiropas mantošanas apliecība ir atšķirīgi dokumenti. Eiropas </w:t>
            </w:r>
            <w:r w:rsidRPr="00126D48">
              <w:rPr>
                <w:rFonts w:ascii="Times New Roman" w:hAnsi="Times New Roman" w:cs="Times New Roman"/>
                <w:color w:val="000000" w:themeColor="text1"/>
                <w:sz w:val="24"/>
                <w:szCs w:val="24"/>
              </w:rPr>
              <w:lastRenderedPageBreak/>
              <w:t xml:space="preserve">mantošanas apliecības izsniegšanas kārtību, </w:t>
            </w:r>
            <w:r w:rsidR="00080575" w:rsidRPr="00126D48">
              <w:rPr>
                <w:rFonts w:ascii="Times New Roman" w:hAnsi="Times New Roman" w:cs="Times New Roman"/>
                <w:color w:val="000000" w:themeColor="text1"/>
                <w:sz w:val="24"/>
                <w:szCs w:val="24"/>
              </w:rPr>
              <w:t xml:space="preserve">pieteikumu Eiropas mantošanas apliecībai, </w:t>
            </w:r>
            <w:r w:rsidRPr="00126D48">
              <w:rPr>
                <w:rFonts w:ascii="Times New Roman" w:hAnsi="Times New Roman" w:cs="Times New Roman"/>
                <w:color w:val="000000" w:themeColor="text1"/>
                <w:sz w:val="24"/>
                <w:szCs w:val="24"/>
              </w:rPr>
              <w:t>garantijas tās izsniegšanai</w:t>
            </w:r>
            <w:r w:rsidR="00080575" w:rsidRPr="00126D48">
              <w:rPr>
                <w:rFonts w:ascii="Times New Roman" w:hAnsi="Times New Roman" w:cs="Times New Roman"/>
                <w:color w:val="000000" w:themeColor="text1"/>
                <w:sz w:val="24"/>
                <w:szCs w:val="24"/>
              </w:rPr>
              <w:t xml:space="preserve"> un tās</w:t>
            </w:r>
            <w:r w:rsidRPr="00126D48">
              <w:rPr>
                <w:rFonts w:ascii="Times New Roman" w:hAnsi="Times New Roman" w:cs="Times New Roman"/>
                <w:color w:val="000000" w:themeColor="text1"/>
                <w:sz w:val="24"/>
                <w:szCs w:val="24"/>
              </w:rPr>
              <w:t xml:space="preserve"> tiesiskās sekas nosaka regula Nr.650/2012</w:t>
            </w:r>
            <w:r w:rsidR="00080575" w:rsidRPr="00126D48">
              <w:rPr>
                <w:rFonts w:ascii="Times New Roman" w:hAnsi="Times New Roman" w:cs="Times New Roman"/>
                <w:color w:val="000000" w:themeColor="text1"/>
                <w:sz w:val="24"/>
                <w:szCs w:val="24"/>
              </w:rPr>
              <w:t xml:space="preserve"> un tās īstenošanas akti</w:t>
            </w:r>
            <w:r w:rsidRPr="00126D48">
              <w:rPr>
                <w:rFonts w:ascii="Times New Roman" w:hAnsi="Times New Roman" w:cs="Times New Roman"/>
                <w:color w:val="000000" w:themeColor="text1"/>
                <w:sz w:val="24"/>
                <w:szCs w:val="24"/>
              </w:rPr>
              <w:t xml:space="preserve">. Eiropas mantošanas apliecību, atšķirībā no </w:t>
            </w:r>
            <w:r w:rsidR="00080575"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nacionālās</w:t>
            </w:r>
            <w:r w:rsidR="00080575" w:rsidRPr="00126D48">
              <w:rPr>
                <w:rFonts w:ascii="Times New Roman" w:hAnsi="Times New Roman" w:cs="Times New Roman"/>
                <w:color w:val="000000" w:themeColor="text1"/>
                <w:sz w:val="24"/>
                <w:szCs w:val="24"/>
              </w:rPr>
              <w:t>”</w:t>
            </w:r>
            <w:r w:rsidRPr="00126D48">
              <w:rPr>
                <w:rFonts w:ascii="Times New Roman" w:hAnsi="Times New Roman" w:cs="Times New Roman"/>
                <w:color w:val="000000" w:themeColor="text1"/>
                <w:sz w:val="24"/>
                <w:szCs w:val="24"/>
              </w:rPr>
              <w:t xml:space="preserve"> mantojuma apliecības, varēs izsniegt par visu mantojuma atstājēja mantojuma masu, kas atrodas dažādās Eiropas Savienības dalībvalstīs. </w:t>
            </w:r>
            <w:proofErr w:type="gramStart"/>
            <w:r w:rsidRPr="00126D48">
              <w:rPr>
                <w:rFonts w:ascii="Times New Roman" w:hAnsi="Times New Roman" w:cs="Times New Roman"/>
                <w:color w:val="000000" w:themeColor="text1"/>
                <w:sz w:val="24"/>
                <w:szCs w:val="24"/>
              </w:rPr>
              <w:t>Tā, piemēram,</w:t>
            </w:r>
            <w:proofErr w:type="gramEnd"/>
            <w:r w:rsidRPr="00126D48">
              <w:rPr>
                <w:rFonts w:ascii="Times New Roman" w:hAnsi="Times New Roman" w:cs="Times New Roman"/>
                <w:color w:val="000000" w:themeColor="text1"/>
                <w:sz w:val="24"/>
                <w:szCs w:val="24"/>
              </w:rPr>
              <w:t xml:space="preserve"> Eiropas mantošanas apliecība varēs attiekties vienlaikus uz mantojuma atstājēja nekustamo īpašumu gan Latvijā, gan Spānijā, gan Francijā. </w:t>
            </w:r>
            <w:r w:rsidR="00080575" w:rsidRPr="00126D48">
              <w:rPr>
                <w:rFonts w:ascii="Times New Roman" w:hAnsi="Times New Roman" w:cs="Times New Roman"/>
                <w:color w:val="000000" w:themeColor="text1"/>
                <w:sz w:val="24"/>
                <w:szCs w:val="24"/>
              </w:rPr>
              <w:t xml:space="preserve">Pārrobežu </w:t>
            </w:r>
            <w:r w:rsidRPr="00126D48">
              <w:rPr>
                <w:rFonts w:ascii="Times New Roman" w:hAnsi="Times New Roman" w:cs="Times New Roman"/>
                <w:color w:val="000000" w:themeColor="text1"/>
                <w:sz w:val="24"/>
                <w:szCs w:val="24"/>
              </w:rPr>
              <w:t xml:space="preserve">mantošanas lietā </w:t>
            </w:r>
            <w:r w:rsidR="00080575" w:rsidRPr="00126D48">
              <w:rPr>
                <w:rFonts w:ascii="Times New Roman" w:hAnsi="Times New Roman" w:cs="Times New Roman"/>
                <w:color w:val="000000" w:themeColor="text1"/>
                <w:sz w:val="24"/>
                <w:szCs w:val="24"/>
              </w:rPr>
              <w:t xml:space="preserve">saskaņā ar regulu Nr.650/2012 </w:t>
            </w:r>
            <w:r w:rsidR="00AD25C3" w:rsidRPr="00126D48">
              <w:rPr>
                <w:rFonts w:ascii="Times New Roman" w:hAnsi="Times New Roman" w:cs="Times New Roman"/>
                <w:color w:val="000000" w:themeColor="text1"/>
                <w:sz w:val="24"/>
                <w:szCs w:val="24"/>
              </w:rPr>
              <w:t xml:space="preserve">varēs </w:t>
            </w:r>
            <w:r w:rsidRPr="00126D48">
              <w:rPr>
                <w:rFonts w:ascii="Times New Roman" w:hAnsi="Times New Roman" w:cs="Times New Roman"/>
                <w:color w:val="000000" w:themeColor="text1"/>
                <w:sz w:val="24"/>
                <w:szCs w:val="24"/>
              </w:rPr>
              <w:t xml:space="preserve">izlemt par </w:t>
            </w:r>
            <w:r w:rsidR="00AD25C3" w:rsidRPr="00126D48">
              <w:rPr>
                <w:rFonts w:ascii="Times New Roman" w:hAnsi="Times New Roman" w:cs="Times New Roman"/>
                <w:color w:val="000000" w:themeColor="text1"/>
                <w:sz w:val="24"/>
                <w:szCs w:val="24"/>
              </w:rPr>
              <w:t xml:space="preserve">visu </w:t>
            </w:r>
            <w:r w:rsidR="00080575" w:rsidRPr="00126D48">
              <w:rPr>
                <w:rFonts w:ascii="Times New Roman" w:hAnsi="Times New Roman" w:cs="Times New Roman"/>
                <w:color w:val="000000" w:themeColor="text1"/>
                <w:sz w:val="24"/>
                <w:szCs w:val="24"/>
              </w:rPr>
              <w:t xml:space="preserve">to </w:t>
            </w:r>
            <w:r w:rsidRPr="00126D48">
              <w:rPr>
                <w:rFonts w:ascii="Times New Roman" w:hAnsi="Times New Roman" w:cs="Times New Roman"/>
                <w:color w:val="000000" w:themeColor="text1"/>
                <w:sz w:val="24"/>
                <w:szCs w:val="24"/>
              </w:rPr>
              <w:t xml:space="preserve">mantojuma atstājēja </w:t>
            </w:r>
            <w:r w:rsidR="00AD25C3" w:rsidRPr="00126D48">
              <w:rPr>
                <w:rFonts w:ascii="Times New Roman" w:hAnsi="Times New Roman" w:cs="Times New Roman"/>
                <w:color w:val="000000" w:themeColor="text1"/>
                <w:sz w:val="24"/>
                <w:szCs w:val="24"/>
              </w:rPr>
              <w:t xml:space="preserve">mantojumu, kas atrodas Eiropas Savienības </w:t>
            </w:r>
            <w:r w:rsidR="00080575" w:rsidRPr="00126D48">
              <w:rPr>
                <w:rFonts w:ascii="Times New Roman" w:hAnsi="Times New Roman" w:cs="Times New Roman"/>
                <w:color w:val="000000" w:themeColor="text1"/>
                <w:sz w:val="24"/>
                <w:szCs w:val="24"/>
              </w:rPr>
              <w:t>teritorijā</w:t>
            </w:r>
            <w:r w:rsidR="00AD25C3" w:rsidRPr="00126D48">
              <w:rPr>
                <w:rFonts w:ascii="Times New Roman" w:hAnsi="Times New Roman" w:cs="Times New Roman"/>
                <w:color w:val="000000" w:themeColor="text1"/>
                <w:sz w:val="24"/>
                <w:szCs w:val="24"/>
              </w:rPr>
              <w:t xml:space="preserve">, un mantiniekiem </w:t>
            </w:r>
            <w:r w:rsidR="00080575" w:rsidRPr="00126D48">
              <w:rPr>
                <w:rFonts w:ascii="Times New Roman" w:hAnsi="Times New Roman" w:cs="Times New Roman"/>
                <w:color w:val="000000" w:themeColor="text1"/>
                <w:sz w:val="24"/>
                <w:szCs w:val="24"/>
              </w:rPr>
              <w:t xml:space="preserve">vai </w:t>
            </w:r>
            <w:r w:rsidR="00AD25C3" w:rsidRPr="00126D48">
              <w:rPr>
                <w:rFonts w:ascii="Times New Roman" w:hAnsi="Times New Roman" w:cs="Times New Roman"/>
                <w:color w:val="000000" w:themeColor="text1"/>
                <w:sz w:val="24"/>
                <w:szCs w:val="24"/>
              </w:rPr>
              <w:t>citiem labuma guvējiem nebūs jārisina mantojuma lieta atsevišķi katrā Eiropas Savienības dalībvalstī, kur atrodas mantojamais īpašums, kā tas bija līdz regulas Nr.650/2012 piemērošanas uzsākšanas dienai.</w:t>
            </w:r>
            <w:r w:rsidR="003B6DB5" w:rsidRPr="00126D48">
              <w:rPr>
                <w:rFonts w:ascii="Times New Roman" w:hAnsi="Times New Roman" w:cs="Times New Roman"/>
                <w:color w:val="000000" w:themeColor="text1"/>
                <w:sz w:val="24"/>
                <w:szCs w:val="24"/>
              </w:rPr>
              <w:t xml:space="preserve"> </w:t>
            </w:r>
            <w:r w:rsidR="00080575" w:rsidRPr="00126D48">
              <w:rPr>
                <w:rFonts w:ascii="Times New Roman" w:hAnsi="Times New Roman" w:cs="Times New Roman"/>
                <w:color w:val="000000" w:themeColor="text1"/>
                <w:sz w:val="24"/>
                <w:szCs w:val="24"/>
              </w:rPr>
              <w:t>Šādi saskaņā ar regulu Nr.650/2012 izlemtas pārrobežu lietas rezultātā varēs izdot Eiropas mantošanas apliecību. Jāatzīmē, ka, r</w:t>
            </w:r>
            <w:r w:rsidR="003B6DB5" w:rsidRPr="00126D48">
              <w:rPr>
                <w:rFonts w:ascii="Times New Roman" w:hAnsi="Times New Roman" w:cs="Times New Roman"/>
                <w:color w:val="000000" w:themeColor="text1"/>
                <w:sz w:val="24"/>
                <w:szCs w:val="24"/>
              </w:rPr>
              <w:t>adot šādu tiesisko seku ziņā spēcīgu Eiropas Savienības dokumentu – Eiropas mantošanas apliecību</w:t>
            </w:r>
            <w:r w:rsidR="008F01D8" w:rsidRPr="00126D48">
              <w:rPr>
                <w:rFonts w:ascii="Times New Roman" w:hAnsi="Times New Roman" w:cs="Times New Roman"/>
                <w:color w:val="000000" w:themeColor="text1"/>
                <w:sz w:val="24"/>
                <w:szCs w:val="24"/>
              </w:rPr>
              <w:t xml:space="preserve"> – regula Nr.650/2012 paredz arī noteiktas garantijas un stingrus nosacījumus Eiropas mantošanas apliecības izsniegšanai. Jā</w:t>
            </w:r>
            <w:r w:rsidR="002409BE" w:rsidRPr="00126D48">
              <w:rPr>
                <w:rFonts w:ascii="Times New Roman" w:hAnsi="Times New Roman" w:cs="Times New Roman"/>
                <w:color w:val="000000" w:themeColor="text1"/>
                <w:sz w:val="24"/>
                <w:szCs w:val="24"/>
              </w:rPr>
              <w:t>uzsver</w:t>
            </w:r>
            <w:r w:rsidR="008F01D8" w:rsidRPr="00126D48">
              <w:rPr>
                <w:rFonts w:ascii="Times New Roman" w:hAnsi="Times New Roman" w:cs="Times New Roman"/>
                <w:color w:val="000000" w:themeColor="text1"/>
                <w:sz w:val="24"/>
                <w:szCs w:val="24"/>
              </w:rPr>
              <w:t>, ka Eiropas mantošanas apliecību varēs izdot tikai tajā Eiropas Savienības dalībvalstī, kuras tiesai saskaņā ar regulu Nr.650/2012 ir jurisdikcija attiecīgajā mantošanas lietā – vispārīgajā gadījumā tajā Eiropas Savienības dalībvalstī, kurā ir mantojuma atstājēja pēdējā pastāvīgā dzīvesvieta (pat, ja lielākā daļa mantojuma masas atrodas citā Eiropas Savienības dalībvalstī). Tā kā regula Nr.650/2012 Eiropas mantošanas apliecībai piešķir tiesiskās sekas visā Eiropas Savienības teritorijā, tad Latvijas iestādēm, piemēram, zemesgrāmatu</w:t>
            </w:r>
            <w:r w:rsidR="00177A01" w:rsidRPr="00126D48">
              <w:rPr>
                <w:rFonts w:ascii="Times New Roman" w:hAnsi="Times New Roman" w:cs="Times New Roman"/>
                <w:color w:val="000000" w:themeColor="text1"/>
                <w:sz w:val="24"/>
                <w:szCs w:val="24"/>
              </w:rPr>
              <w:t xml:space="preserve"> nodaļām būs jāvar izdarīt izmaiņas Latvijas zemesgrāmatās attiecībā uz tajā reģistrētiem nekustamajiem īpašumiem arī uz Eiropas mantošanas apliecības pamata, tajā skaitā, </w:t>
            </w:r>
            <w:r w:rsidR="002409BE" w:rsidRPr="00126D48">
              <w:rPr>
                <w:rFonts w:ascii="Times New Roman" w:hAnsi="Times New Roman" w:cs="Times New Roman"/>
                <w:color w:val="000000" w:themeColor="text1"/>
                <w:sz w:val="24"/>
                <w:szCs w:val="24"/>
              </w:rPr>
              <w:t xml:space="preserve">gadījumos, kad </w:t>
            </w:r>
            <w:r w:rsidR="00177A01" w:rsidRPr="00126D48">
              <w:rPr>
                <w:rFonts w:ascii="Times New Roman" w:hAnsi="Times New Roman" w:cs="Times New Roman"/>
                <w:color w:val="000000" w:themeColor="text1"/>
                <w:sz w:val="24"/>
                <w:szCs w:val="24"/>
              </w:rPr>
              <w:t xml:space="preserve">Eiropas mantošanas apliecība būs izsniegta citā Eiropas Savienības dalībvalstī. Kopumā gandrīz </w:t>
            </w:r>
            <w:r w:rsidR="002409BE" w:rsidRPr="00126D48">
              <w:rPr>
                <w:rFonts w:ascii="Times New Roman" w:hAnsi="Times New Roman" w:cs="Times New Roman"/>
                <w:color w:val="000000" w:themeColor="text1"/>
                <w:sz w:val="24"/>
                <w:szCs w:val="24"/>
              </w:rPr>
              <w:t>visos gadījumos</w:t>
            </w:r>
            <w:r w:rsidR="00177A01" w:rsidRPr="00126D48">
              <w:rPr>
                <w:rFonts w:ascii="Times New Roman" w:hAnsi="Times New Roman" w:cs="Times New Roman"/>
                <w:color w:val="000000" w:themeColor="text1"/>
                <w:sz w:val="24"/>
                <w:szCs w:val="24"/>
              </w:rPr>
              <w:t xml:space="preserve"> </w:t>
            </w:r>
            <w:r w:rsidR="00C33BAE" w:rsidRPr="00126D48">
              <w:rPr>
                <w:rFonts w:ascii="Times New Roman" w:hAnsi="Times New Roman" w:cs="Times New Roman"/>
                <w:color w:val="000000" w:themeColor="text1"/>
                <w:sz w:val="24"/>
                <w:szCs w:val="24"/>
              </w:rPr>
              <w:t xml:space="preserve">Latvijas </w:t>
            </w:r>
            <w:r w:rsidR="00177A01" w:rsidRPr="00126D48">
              <w:rPr>
                <w:rFonts w:ascii="Times New Roman" w:hAnsi="Times New Roman" w:cs="Times New Roman"/>
                <w:color w:val="000000" w:themeColor="text1"/>
                <w:sz w:val="24"/>
                <w:szCs w:val="24"/>
              </w:rPr>
              <w:t>iestādēm, kas līdz šim</w:t>
            </w:r>
            <w:r w:rsidR="00C33BAE" w:rsidRPr="00126D48">
              <w:rPr>
                <w:rFonts w:ascii="Times New Roman" w:hAnsi="Times New Roman" w:cs="Times New Roman"/>
                <w:color w:val="000000" w:themeColor="text1"/>
                <w:sz w:val="24"/>
                <w:szCs w:val="24"/>
              </w:rPr>
              <w:t xml:space="preserve"> praksē sask</w:t>
            </w:r>
            <w:r w:rsidR="00177A01" w:rsidRPr="00126D48">
              <w:rPr>
                <w:rFonts w:ascii="Times New Roman" w:hAnsi="Times New Roman" w:cs="Times New Roman"/>
                <w:color w:val="000000" w:themeColor="text1"/>
                <w:sz w:val="24"/>
                <w:szCs w:val="24"/>
              </w:rPr>
              <w:t xml:space="preserve">ārušās </w:t>
            </w:r>
            <w:r w:rsidR="00C33BAE" w:rsidRPr="00126D48">
              <w:rPr>
                <w:rFonts w:ascii="Times New Roman" w:hAnsi="Times New Roman" w:cs="Times New Roman"/>
                <w:color w:val="000000" w:themeColor="text1"/>
                <w:sz w:val="24"/>
                <w:szCs w:val="24"/>
              </w:rPr>
              <w:t xml:space="preserve">tikai un vienīgi ar Latvijas zvērināta notāra izdoto </w:t>
            </w:r>
            <w:r w:rsidR="00177A01" w:rsidRPr="00126D48">
              <w:rPr>
                <w:rFonts w:ascii="Times New Roman" w:hAnsi="Times New Roman" w:cs="Times New Roman"/>
                <w:color w:val="000000" w:themeColor="text1"/>
                <w:sz w:val="24"/>
                <w:szCs w:val="24"/>
              </w:rPr>
              <w:t xml:space="preserve">„nacionālo” </w:t>
            </w:r>
            <w:r w:rsidR="00C33BAE" w:rsidRPr="00126D48">
              <w:rPr>
                <w:rFonts w:ascii="Times New Roman" w:hAnsi="Times New Roman" w:cs="Times New Roman"/>
                <w:color w:val="000000" w:themeColor="text1"/>
                <w:sz w:val="24"/>
                <w:szCs w:val="24"/>
              </w:rPr>
              <w:t>mantojuma apliecību</w:t>
            </w:r>
            <w:r w:rsidR="00177A01" w:rsidRPr="00126D48">
              <w:rPr>
                <w:rFonts w:ascii="Times New Roman" w:hAnsi="Times New Roman" w:cs="Times New Roman"/>
                <w:color w:val="000000" w:themeColor="text1"/>
                <w:sz w:val="24"/>
                <w:szCs w:val="24"/>
              </w:rPr>
              <w:t xml:space="preserve"> un uz tās pamata veikušas noteiktas darbības, būs jāvar veikt tādas pašas darbības arī, balstoties uz Eiropas mantošanas apliecību. </w:t>
            </w:r>
          </w:p>
          <w:p w:rsidR="00C33BAE" w:rsidRPr="00126D48" w:rsidRDefault="00177A01" w:rsidP="00C33BAE">
            <w:pPr>
              <w:spacing w:after="0" w:line="240" w:lineRule="auto"/>
              <w:ind w:firstLine="541"/>
              <w:jc w:val="both"/>
              <w:rPr>
                <w:rFonts w:ascii="Times New Roman" w:hAnsi="Times New Roman" w:cs="Times New Roman"/>
                <w:color w:val="000000" w:themeColor="text1"/>
                <w:sz w:val="24"/>
                <w:szCs w:val="24"/>
              </w:rPr>
            </w:pPr>
            <w:r w:rsidRPr="00126D48">
              <w:rPr>
                <w:rFonts w:ascii="Times New Roman" w:hAnsi="Times New Roman" w:cs="Times New Roman"/>
                <w:color w:val="000000" w:themeColor="text1"/>
                <w:sz w:val="24"/>
                <w:szCs w:val="24"/>
              </w:rPr>
              <w:t xml:space="preserve">Ņemot vērā minēto un atšķirības starp Eiropas mantošanas apliecību un „nacionālo” </w:t>
            </w:r>
            <w:r w:rsidR="001E5EA0" w:rsidRPr="00126D48">
              <w:rPr>
                <w:rFonts w:ascii="Times New Roman" w:hAnsi="Times New Roman" w:cs="Times New Roman"/>
                <w:color w:val="000000" w:themeColor="text1"/>
                <w:sz w:val="24"/>
                <w:szCs w:val="24"/>
              </w:rPr>
              <w:t>mantojuma apliecīb</w:t>
            </w:r>
            <w:r w:rsidR="002409BE" w:rsidRPr="00126D48">
              <w:rPr>
                <w:rFonts w:ascii="Times New Roman" w:hAnsi="Times New Roman" w:cs="Times New Roman"/>
                <w:color w:val="000000" w:themeColor="text1"/>
                <w:sz w:val="24"/>
                <w:szCs w:val="24"/>
              </w:rPr>
              <w:t>u</w:t>
            </w:r>
            <w:r w:rsidR="001144E7" w:rsidRPr="00126D48">
              <w:rPr>
                <w:rFonts w:ascii="Times New Roman" w:hAnsi="Times New Roman" w:cs="Times New Roman"/>
                <w:color w:val="000000" w:themeColor="text1"/>
                <w:sz w:val="24"/>
                <w:szCs w:val="24"/>
              </w:rPr>
              <w:t>, kā arī</w:t>
            </w:r>
            <w:proofErr w:type="gramStart"/>
            <w:r w:rsidR="001144E7" w:rsidRPr="00126D48">
              <w:rPr>
                <w:rFonts w:ascii="Times New Roman" w:hAnsi="Times New Roman" w:cs="Times New Roman"/>
                <w:color w:val="000000" w:themeColor="text1"/>
                <w:sz w:val="24"/>
                <w:szCs w:val="24"/>
              </w:rPr>
              <w:t xml:space="preserve"> ņemot vērā</w:t>
            </w:r>
            <w:r w:rsidR="001E5EA0" w:rsidRPr="00126D48">
              <w:rPr>
                <w:rFonts w:ascii="Times New Roman" w:hAnsi="Times New Roman" w:cs="Times New Roman"/>
                <w:color w:val="000000" w:themeColor="text1"/>
                <w:sz w:val="24"/>
                <w:szCs w:val="24"/>
              </w:rPr>
              <w:t xml:space="preserve"> </w:t>
            </w:r>
            <w:r w:rsidRPr="00126D48">
              <w:rPr>
                <w:rFonts w:ascii="Times New Roman" w:hAnsi="Times New Roman" w:cs="Times New Roman"/>
                <w:color w:val="000000" w:themeColor="text1"/>
                <w:sz w:val="24"/>
                <w:szCs w:val="24"/>
              </w:rPr>
              <w:t>to</w:t>
            </w:r>
            <w:proofErr w:type="gramEnd"/>
            <w:r w:rsidRPr="00126D48">
              <w:rPr>
                <w:rFonts w:ascii="Times New Roman" w:hAnsi="Times New Roman" w:cs="Times New Roman"/>
                <w:color w:val="000000" w:themeColor="text1"/>
                <w:sz w:val="24"/>
                <w:szCs w:val="24"/>
              </w:rPr>
              <w:t xml:space="preserve">, ka </w:t>
            </w:r>
            <w:r w:rsidR="002409BE" w:rsidRPr="00126D48">
              <w:rPr>
                <w:rFonts w:ascii="Times New Roman" w:hAnsi="Times New Roman" w:cs="Times New Roman"/>
                <w:color w:val="000000" w:themeColor="text1"/>
                <w:sz w:val="24"/>
                <w:szCs w:val="24"/>
              </w:rPr>
              <w:t>šīs abas apliecības</w:t>
            </w:r>
            <w:r w:rsidRPr="00126D48">
              <w:rPr>
                <w:rFonts w:ascii="Times New Roman" w:hAnsi="Times New Roman" w:cs="Times New Roman"/>
                <w:color w:val="000000" w:themeColor="text1"/>
                <w:sz w:val="24"/>
                <w:szCs w:val="24"/>
              </w:rPr>
              <w:t xml:space="preserve"> turpinās pastāvēt neatkarīgi un paralēli viena otrai, Latvijas normatīvajos aktos paralēli „nacionālajai” mantojuma apliecībai ir jārada arī tiesiskās sekas Eiropas mantošanas apliecībai. Jāuzsver, ka terminu „mantojuma apliecība”</w:t>
            </w:r>
            <w:r w:rsidR="002409BE" w:rsidRPr="00126D48">
              <w:rPr>
                <w:rFonts w:ascii="Times New Roman" w:hAnsi="Times New Roman" w:cs="Times New Roman"/>
                <w:color w:val="000000" w:themeColor="text1"/>
                <w:sz w:val="24"/>
                <w:szCs w:val="24"/>
              </w:rPr>
              <w:t xml:space="preserve">, </w:t>
            </w:r>
            <w:proofErr w:type="gramStart"/>
            <w:r w:rsidR="002409BE" w:rsidRPr="00126D48">
              <w:rPr>
                <w:rFonts w:ascii="Times New Roman" w:hAnsi="Times New Roman" w:cs="Times New Roman"/>
                <w:color w:val="000000" w:themeColor="text1"/>
                <w:sz w:val="24"/>
                <w:szCs w:val="24"/>
              </w:rPr>
              <w:t>kas izmantots nacionālajā</w:t>
            </w:r>
            <w:proofErr w:type="gramEnd"/>
            <w:r w:rsidRPr="00126D48">
              <w:rPr>
                <w:rFonts w:ascii="Times New Roman" w:hAnsi="Times New Roman" w:cs="Times New Roman"/>
                <w:color w:val="000000" w:themeColor="text1"/>
                <w:sz w:val="24"/>
                <w:szCs w:val="24"/>
              </w:rPr>
              <w:t xml:space="preserve"> nav iespējams </w:t>
            </w:r>
            <w:r w:rsidR="001E5EA0" w:rsidRPr="00126D48">
              <w:rPr>
                <w:rFonts w:ascii="Times New Roman" w:hAnsi="Times New Roman" w:cs="Times New Roman"/>
                <w:color w:val="000000" w:themeColor="text1"/>
                <w:sz w:val="24"/>
                <w:szCs w:val="24"/>
              </w:rPr>
              <w:t>tulkot paplašināti</w:t>
            </w:r>
            <w:r w:rsidRPr="00126D48">
              <w:rPr>
                <w:rFonts w:ascii="Times New Roman" w:hAnsi="Times New Roman" w:cs="Times New Roman"/>
                <w:color w:val="000000" w:themeColor="text1"/>
                <w:sz w:val="24"/>
                <w:szCs w:val="24"/>
              </w:rPr>
              <w:t xml:space="preserve"> (ietverot </w:t>
            </w:r>
            <w:r w:rsidRPr="00126D48">
              <w:rPr>
                <w:rFonts w:ascii="Times New Roman" w:hAnsi="Times New Roman" w:cs="Times New Roman"/>
                <w:color w:val="000000" w:themeColor="text1"/>
                <w:sz w:val="24"/>
                <w:szCs w:val="24"/>
              </w:rPr>
              <w:lastRenderedPageBreak/>
              <w:t>Eiropas mantojuma apliecību)</w:t>
            </w:r>
            <w:r w:rsidR="009E1526" w:rsidRPr="00126D48">
              <w:rPr>
                <w:rFonts w:ascii="Times New Roman" w:hAnsi="Times New Roman" w:cs="Times New Roman"/>
                <w:color w:val="000000" w:themeColor="text1"/>
                <w:sz w:val="24"/>
                <w:szCs w:val="24"/>
              </w:rPr>
              <w:t>,</w:t>
            </w:r>
            <w:r w:rsidR="001E5EA0" w:rsidRPr="00126D48">
              <w:rPr>
                <w:rFonts w:ascii="Times New Roman" w:hAnsi="Times New Roman" w:cs="Times New Roman"/>
                <w:color w:val="000000" w:themeColor="text1"/>
                <w:sz w:val="24"/>
                <w:szCs w:val="24"/>
              </w:rPr>
              <w:t xml:space="preserve"> un </w:t>
            </w:r>
            <w:r w:rsidR="009E1526" w:rsidRPr="00126D48">
              <w:rPr>
                <w:rFonts w:ascii="Times New Roman" w:hAnsi="Times New Roman" w:cs="Times New Roman"/>
                <w:color w:val="000000" w:themeColor="text1"/>
                <w:sz w:val="24"/>
                <w:szCs w:val="24"/>
              </w:rPr>
              <w:t xml:space="preserve">šis termins </w:t>
            </w:r>
            <w:r w:rsidR="001144E7" w:rsidRPr="00126D48">
              <w:rPr>
                <w:rFonts w:ascii="Times New Roman" w:hAnsi="Times New Roman" w:cs="Times New Roman"/>
                <w:color w:val="000000" w:themeColor="text1"/>
                <w:sz w:val="24"/>
                <w:szCs w:val="24"/>
              </w:rPr>
              <w:t xml:space="preserve">turpinās būt </w:t>
            </w:r>
            <w:r w:rsidR="001E5EA0" w:rsidRPr="00126D48">
              <w:rPr>
                <w:rFonts w:ascii="Times New Roman" w:hAnsi="Times New Roman" w:cs="Times New Roman"/>
                <w:color w:val="000000" w:themeColor="text1"/>
                <w:sz w:val="24"/>
                <w:szCs w:val="24"/>
              </w:rPr>
              <w:t>attiecinā</w:t>
            </w:r>
            <w:r w:rsidR="009E1526" w:rsidRPr="00126D48">
              <w:rPr>
                <w:rFonts w:ascii="Times New Roman" w:hAnsi="Times New Roman" w:cs="Times New Roman"/>
                <w:color w:val="000000" w:themeColor="text1"/>
                <w:sz w:val="24"/>
                <w:szCs w:val="24"/>
              </w:rPr>
              <w:t>ms</w:t>
            </w:r>
            <w:r w:rsidR="001E5EA0" w:rsidRPr="00126D48">
              <w:rPr>
                <w:rFonts w:ascii="Times New Roman" w:hAnsi="Times New Roman" w:cs="Times New Roman"/>
                <w:color w:val="000000" w:themeColor="text1"/>
                <w:sz w:val="24"/>
                <w:szCs w:val="24"/>
              </w:rPr>
              <w:t xml:space="preserve"> tikai </w:t>
            </w:r>
            <w:r w:rsidR="001144E7" w:rsidRPr="00126D48">
              <w:rPr>
                <w:rFonts w:ascii="Times New Roman" w:hAnsi="Times New Roman" w:cs="Times New Roman"/>
                <w:color w:val="000000" w:themeColor="text1"/>
                <w:sz w:val="24"/>
                <w:szCs w:val="24"/>
              </w:rPr>
              <w:t xml:space="preserve">uz </w:t>
            </w:r>
            <w:r w:rsidR="001E5EA0" w:rsidRPr="00126D48">
              <w:rPr>
                <w:rFonts w:ascii="Times New Roman" w:hAnsi="Times New Roman" w:cs="Times New Roman"/>
                <w:color w:val="000000" w:themeColor="text1"/>
                <w:sz w:val="24"/>
                <w:szCs w:val="24"/>
              </w:rPr>
              <w:t xml:space="preserve">Notariāta likuma noteiktajā kārtībā izdotajām </w:t>
            </w:r>
            <w:r w:rsidR="009E1526" w:rsidRPr="00126D48">
              <w:rPr>
                <w:rFonts w:ascii="Times New Roman" w:hAnsi="Times New Roman" w:cs="Times New Roman"/>
                <w:color w:val="000000" w:themeColor="text1"/>
                <w:sz w:val="24"/>
                <w:szCs w:val="24"/>
              </w:rPr>
              <w:t xml:space="preserve">„nacionālajām” </w:t>
            </w:r>
            <w:r w:rsidR="001E5EA0" w:rsidRPr="00126D48">
              <w:rPr>
                <w:rFonts w:ascii="Times New Roman" w:hAnsi="Times New Roman" w:cs="Times New Roman"/>
                <w:color w:val="000000" w:themeColor="text1"/>
                <w:sz w:val="24"/>
                <w:szCs w:val="24"/>
              </w:rPr>
              <w:t>mantojuma apliecībām</w:t>
            </w:r>
            <w:r w:rsidR="009E1526" w:rsidRPr="00126D48">
              <w:rPr>
                <w:rFonts w:ascii="Times New Roman" w:hAnsi="Times New Roman" w:cs="Times New Roman"/>
                <w:color w:val="000000" w:themeColor="text1"/>
                <w:sz w:val="24"/>
                <w:szCs w:val="24"/>
              </w:rPr>
              <w:t xml:space="preserve"> </w:t>
            </w:r>
            <w:r w:rsidR="001144E7" w:rsidRPr="00126D48">
              <w:rPr>
                <w:rFonts w:ascii="Times New Roman" w:hAnsi="Times New Roman" w:cs="Times New Roman"/>
                <w:color w:val="000000" w:themeColor="text1"/>
                <w:sz w:val="24"/>
                <w:szCs w:val="24"/>
              </w:rPr>
              <w:t xml:space="preserve">mantojuma </w:t>
            </w:r>
            <w:r w:rsidR="009E1526" w:rsidRPr="00126D48">
              <w:rPr>
                <w:rFonts w:ascii="Times New Roman" w:hAnsi="Times New Roman" w:cs="Times New Roman"/>
                <w:color w:val="000000" w:themeColor="text1"/>
                <w:sz w:val="24"/>
                <w:szCs w:val="24"/>
              </w:rPr>
              <w:t>lietās bez pārrobežu elementa un par mantojumu vai mantojuma daļu, kas atrodas tikai Latvijā</w:t>
            </w:r>
            <w:r w:rsidR="001E5EA0" w:rsidRPr="00126D48">
              <w:rPr>
                <w:rFonts w:ascii="Times New Roman" w:hAnsi="Times New Roman" w:cs="Times New Roman"/>
                <w:color w:val="000000" w:themeColor="text1"/>
                <w:sz w:val="24"/>
                <w:szCs w:val="24"/>
              </w:rPr>
              <w:t xml:space="preserve">. </w:t>
            </w:r>
          </w:p>
          <w:p w:rsidR="009E30F1" w:rsidRPr="00BE7A8A" w:rsidRDefault="009E1526" w:rsidP="00C33BAE">
            <w:pPr>
              <w:spacing w:after="0" w:line="240" w:lineRule="auto"/>
              <w:ind w:firstLine="541"/>
              <w:jc w:val="both"/>
              <w:rPr>
                <w:rFonts w:ascii="Times New Roman" w:hAnsi="Times New Roman" w:cs="Times New Roman"/>
                <w:color w:val="000000" w:themeColor="text1"/>
                <w:sz w:val="24"/>
                <w:szCs w:val="24"/>
              </w:rPr>
            </w:pPr>
            <w:r w:rsidRPr="00126D48">
              <w:rPr>
                <w:rFonts w:ascii="Times New Roman" w:hAnsi="Times New Roman" w:cs="Times New Roman"/>
                <w:color w:val="000000" w:themeColor="text1"/>
                <w:sz w:val="24"/>
                <w:szCs w:val="24"/>
              </w:rPr>
              <w:t xml:space="preserve">Ņemot vērā, ka </w:t>
            </w:r>
            <w:r w:rsidR="009E30F1" w:rsidRPr="00126D48">
              <w:rPr>
                <w:rFonts w:ascii="Times New Roman" w:hAnsi="Times New Roman" w:cs="Times New Roman"/>
                <w:color w:val="000000" w:themeColor="text1"/>
                <w:sz w:val="24"/>
                <w:szCs w:val="24"/>
              </w:rPr>
              <w:t>līdz ar regulas Nr.</w:t>
            </w:r>
            <w:r w:rsidR="00F56396" w:rsidRPr="00126D48">
              <w:rPr>
                <w:rFonts w:ascii="Times New Roman" w:hAnsi="Times New Roman" w:cs="Times New Roman"/>
                <w:color w:val="000000" w:themeColor="text1"/>
                <w:sz w:val="24"/>
                <w:szCs w:val="24"/>
              </w:rPr>
              <w:t> </w:t>
            </w:r>
            <w:r w:rsidR="009E30F1" w:rsidRPr="00126D48">
              <w:rPr>
                <w:rFonts w:ascii="Times New Roman" w:hAnsi="Times New Roman" w:cs="Times New Roman"/>
                <w:color w:val="000000" w:themeColor="text1"/>
                <w:sz w:val="24"/>
                <w:szCs w:val="24"/>
              </w:rPr>
              <w:t xml:space="preserve">650/2012 piemērošanas dienu </w:t>
            </w:r>
            <w:r w:rsidRPr="00126D48">
              <w:rPr>
                <w:rFonts w:ascii="Times New Roman" w:hAnsi="Times New Roman" w:cs="Times New Roman"/>
                <w:color w:val="000000" w:themeColor="text1"/>
                <w:sz w:val="24"/>
                <w:szCs w:val="24"/>
              </w:rPr>
              <w:t xml:space="preserve">ar </w:t>
            </w:r>
            <w:r w:rsidR="009E30F1" w:rsidRPr="00126D48">
              <w:rPr>
                <w:rFonts w:ascii="Times New Roman" w:hAnsi="Times New Roman" w:cs="Times New Roman"/>
                <w:color w:val="000000" w:themeColor="text1"/>
                <w:sz w:val="24"/>
                <w:szCs w:val="24"/>
              </w:rPr>
              <w:t xml:space="preserve">Eiropas mantošanas apliecība būtībā Latvijā </w:t>
            </w:r>
            <w:r w:rsidRPr="00126D48">
              <w:rPr>
                <w:rFonts w:ascii="Times New Roman" w:hAnsi="Times New Roman" w:cs="Times New Roman"/>
                <w:color w:val="000000" w:themeColor="text1"/>
                <w:sz w:val="24"/>
                <w:szCs w:val="24"/>
              </w:rPr>
              <w:t>varēs veikt t</w:t>
            </w:r>
            <w:r w:rsidR="009E30F1" w:rsidRPr="00126D48">
              <w:rPr>
                <w:rFonts w:ascii="Times New Roman" w:hAnsi="Times New Roman" w:cs="Times New Roman"/>
                <w:color w:val="000000" w:themeColor="text1"/>
                <w:sz w:val="24"/>
                <w:szCs w:val="24"/>
              </w:rPr>
              <w:t xml:space="preserve">ādas pašas </w:t>
            </w:r>
            <w:r w:rsidRPr="00126D48">
              <w:rPr>
                <w:rFonts w:ascii="Times New Roman" w:hAnsi="Times New Roman" w:cs="Times New Roman"/>
                <w:color w:val="000000" w:themeColor="text1"/>
                <w:sz w:val="24"/>
                <w:szCs w:val="24"/>
              </w:rPr>
              <w:t xml:space="preserve">darbības un apliecināt tādu pašu statusu kā ar </w:t>
            </w:r>
            <w:r w:rsidR="009E30F1" w:rsidRPr="00126D48">
              <w:rPr>
                <w:rFonts w:ascii="Times New Roman" w:hAnsi="Times New Roman" w:cs="Times New Roman"/>
                <w:color w:val="000000" w:themeColor="text1"/>
                <w:sz w:val="24"/>
                <w:szCs w:val="24"/>
              </w:rPr>
              <w:t xml:space="preserve">Latvijas </w:t>
            </w:r>
            <w:r w:rsidRPr="00126D48">
              <w:rPr>
                <w:rFonts w:ascii="Times New Roman" w:hAnsi="Times New Roman" w:cs="Times New Roman"/>
                <w:color w:val="000000" w:themeColor="text1"/>
                <w:sz w:val="24"/>
                <w:szCs w:val="24"/>
              </w:rPr>
              <w:t>„</w:t>
            </w:r>
            <w:r w:rsidR="009E30F1" w:rsidRPr="00126D48">
              <w:rPr>
                <w:rFonts w:ascii="Times New Roman" w:hAnsi="Times New Roman" w:cs="Times New Roman"/>
                <w:color w:val="000000" w:themeColor="text1"/>
                <w:sz w:val="24"/>
                <w:szCs w:val="24"/>
              </w:rPr>
              <w:t>nacionāl</w:t>
            </w:r>
            <w:r w:rsidRPr="00126D48">
              <w:rPr>
                <w:rFonts w:ascii="Times New Roman" w:hAnsi="Times New Roman" w:cs="Times New Roman"/>
                <w:color w:val="000000" w:themeColor="text1"/>
                <w:sz w:val="24"/>
                <w:szCs w:val="24"/>
              </w:rPr>
              <w:t>o”</w:t>
            </w:r>
            <w:r w:rsidR="009E30F1" w:rsidRPr="00126D48">
              <w:rPr>
                <w:rFonts w:ascii="Times New Roman" w:hAnsi="Times New Roman" w:cs="Times New Roman"/>
                <w:color w:val="000000" w:themeColor="text1"/>
                <w:sz w:val="24"/>
                <w:szCs w:val="24"/>
              </w:rPr>
              <w:t xml:space="preserve"> mantojuma apliecīb</w:t>
            </w:r>
            <w:r w:rsidR="001144E7" w:rsidRPr="00126D48">
              <w:rPr>
                <w:rFonts w:ascii="Times New Roman" w:hAnsi="Times New Roman" w:cs="Times New Roman"/>
                <w:color w:val="000000" w:themeColor="text1"/>
                <w:sz w:val="24"/>
                <w:szCs w:val="24"/>
              </w:rPr>
              <w:t>u</w:t>
            </w:r>
            <w:r w:rsidRPr="00126D48">
              <w:rPr>
                <w:rFonts w:ascii="Times New Roman" w:hAnsi="Times New Roman" w:cs="Times New Roman"/>
                <w:color w:val="000000" w:themeColor="text1"/>
                <w:sz w:val="24"/>
                <w:szCs w:val="24"/>
              </w:rPr>
              <w:t xml:space="preserve">, bet </w:t>
            </w:r>
            <w:r w:rsidR="00C33BAE" w:rsidRPr="00126D48">
              <w:rPr>
                <w:rFonts w:ascii="Times New Roman" w:hAnsi="Times New Roman" w:cs="Times New Roman"/>
                <w:color w:val="000000" w:themeColor="text1"/>
                <w:sz w:val="24"/>
                <w:szCs w:val="24"/>
              </w:rPr>
              <w:t xml:space="preserve">ne visas institūcijas un amatpersonas Latvijā būs informētas par regulas Nr. 650/2012 praktiskās piemērošanas </w:t>
            </w:r>
            <w:r w:rsidR="00503D82" w:rsidRPr="00126D48">
              <w:rPr>
                <w:rFonts w:ascii="Times New Roman" w:hAnsi="Times New Roman" w:cs="Times New Roman"/>
                <w:color w:val="000000" w:themeColor="text1"/>
                <w:sz w:val="24"/>
                <w:szCs w:val="24"/>
              </w:rPr>
              <w:t>aspektiem</w:t>
            </w:r>
            <w:r w:rsidR="00C33BAE" w:rsidRPr="00126D48">
              <w:rPr>
                <w:rFonts w:ascii="Times New Roman" w:hAnsi="Times New Roman" w:cs="Times New Roman"/>
                <w:color w:val="000000" w:themeColor="text1"/>
                <w:sz w:val="24"/>
                <w:szCs w:val="24"/>
              </w:rPr>
              <w:t xml:space="preserve">, </w:t>
            </w:r>
            <w:r w:rsidR="009E30F1" w:rsidRPr="00126D48">
              <w:rPr>
                <w:rFonts w:ascii="Times New Roman" w:hAnsi="Times New Roman" w:cs="Times New Roman"/>
                <w:color w:val="000000" w:themeColor="text1"/>
                <w:sz w:val="24"/>
                <w:szCs w:val="24"/>
              </w:rPr>
              <w:t>ir nepieciešams veikt tehniskus grozījumus virknē Latvijas</w:t>
            </w:r>
            <w:r w:rsidR="00503D82" w:rsidRPr="00126D48">
              <w:rPr>
                <w:rFonts w:ascii="Times New Roman" w:hAnsi="Times New Roman" w:cs="Times New Roman"/>
                <w:color w:val="000000" w:themeColor="text1"/>
                <w:sz w:val="24"/>
                <w:szCs w:val="24"/>
              </w:rPr>
              <w:t xml:space="preserve"> </w:t>
            </w:r>
            <w:r w:rsidR="009E30F1" w:rsidRPr="00126D48">
              <w:rPr>
                <w:rFonts w:ascii="Times New Roman" w:hAnsi="Times New Roman" w:cs="Times New Roman"/>
                <w:color w:val="000000" w:themeColor="text1"/>
                <w:sz w:val="24"/>
                <w:szCs w:val="24"/>
              </w:rPr>
              <w:t>nacionālo normatīvo aktu, kas nostiprinātu</w:t>
            </w:r>
            <w:r w:rsidR="00C33BAE" w:rsidRPr="00126D48">
              <w:rPr>
                <w:rFonts w:ascii="Times New Roman" w:hAnsi="Times New Roman" w:cs="Times New Roman"/>
                <w:color w:val="000000" w:themeColor="text1"/>
                <w:sz w:val="24"/>
                <w:szCs w:val="24"/>
              </w:rPr>
              <w:t xml:space="preserve"> Eiropas mantošanas apliecības brīvu apriti </w:t>
            </w:r>
            <w:r w:rsidR="00503D82" w:rsidRPr="00126D48">
              <w:rPr>
                <w:rFonts w:ascii="Times New Roman" w:hAnsi="Times New Roman" w:cs="Times New Roman"/>
                <w:color w:val="000000" w:themeColor="text1"/>
                <w:sz w:val="24"/>
                <w:szCs w:val="24"/>
              </w:rPr>
              <w:t>Latvijas teritorijā un</w:t>
            </w:r>
            <w:r w:rsidRPr="00126D48">
              <w:rPr>
                <w:rFonts w:ascii="Times New Roman" w:hAnsi="Times New Roman" w:cs="Times New Roman"/>
                <w:color w:val="000000" w:themeColor="text1"/>
                <w:sz w:val="24"/>
                <w:szCs w:val="24"/>
              </w:rPr>
              <w:t xml:space="preserve"> gadījumos, kad tas ir </w:t>
            </w:r>
            <w:r w:rsidR="001144E7" w:rsidRPr="00126D48">
              <w:rPr>
                <w:rFonts w:ascii="Times New Roman" w:hAnsi="Times New Roman" w:cs="Times New Roman"/>
                <w:color w:val="000000" w:themeColor="text1"/>
                <w:sz w:val="24"/>
                <w:szCs w:val="24"/>
              </w:rPr>
              <w:t>attiecināms</w:t>
            </w:r>
            <w:r w:rsidRPr="00126D48">
              <w:rPr>
                <w:rFonts w:ascii="Times New Roman" w:hAnsi="Times New Roman" w:cs="Times New Roman"/>
                <w:color w:val="000000" w:themeColor="text1"/>
                <w:sz w:val="24"/>
                <w:szCs w:val="24"/>
              </w:rPr>
              <w:t>,</w:t>
            </w:r>
            <w:r w:rsidR="00503D82" w:rsidRPr="00126D48">
              <w:rPr>
                <w:rFonts w:ascii="Times New Roman" w:hAnsi="Times New Roman" w:cs="Times New Roman"/>
                <w:color w:val="000000" w:themeColor="text1"/>
                <w:sz w:val="24"/>
                <w:szCs w:val="24"/>
              </w:rPr>
              <w:t xml:space="preserve"> piešķirtu tai </w:t>
            </w:r>
            <w:r w:rsidRPr="00126D48">
              <w:rPr>
                <w:rFonts w:ascii="Times New Roman" w:hAnsi="Times New Roman" w:cs="Times New Roman"/>
                <w:color w:val="000000" w:themeColor="text1"/>
                <w:sz w:val="24"/>
                <w:szCs w:val="24"/>
              </w:rPr>
              <w:t xml:space="preserve">līdzvērtīgas </w:t>
            </w:r>
            <w:r w:rsidR="00503D82" w:rsidRPr="00126D48">
              <w:rPr>
                <w:rFonts w:ascii="Times New Roman" w:hAnsi="Times New Roman" w:cs="Times New Roman"/>
                <w:color w:val="000000" w:themeColor="text1"/>
                <w:sz w:val="24"/>
                <w:szCs w:val="24"/>
              </w:rPr>
              <w:t xml:space="preserve">tiesiskās sekas kā Latvijas </w:t>
            </w:r>
            <w:r w:rsidR="001144E7" w:rsidRPr="00126D48">
              <w:rPr>
                <w:rFonts w:ascii="Times New Roman" w:hAnsi="Times New Roman" w:cs="Times New Roman"/>
                <w:color w:val="000000" w:themeColor="text1"/>
                <w:sz w:val="24"/>
                <w:szCs w:val="24"/>
              </w:rPr>
              <w:t>„</w:t>
            </w:r>
            <w:r w:rsidR="00503D82" w:rsidRPr="00126D48">
              <w:rPr>
                <w:rFonts w:ascii="Times New Roman" w:hAnsi="Times New Roman" w:cs="Times New Roman"/>
                <w:color w:val="000000" w:themeColor="text1"/>
                <w:sz w:val="24"/>
                <w:szCs w:val="24"/>
              </w:rPr>
              <w:t>nacionālajai</w:t>
            </w:r>
            <w:r w:rsidR="001144E7" w:rsidRPr="00126D48">
              <w:rPr>
                <w:rFonts w:ascii="Times New Roman" w:hAnsi="Times New Roman" w:cs="Times New Roman"/>
                <w:color w:val="000000" w:themeColor="text1"/>
                <w:sz w:val="24"/>
                <w:szCs w:val="24"/>
              </w:rPr>
              <w:t>”</w:t>
            </w:r>
            <w:r w:rsidR="00503D82" w:rsidRPr="00126D48">
              <w:rPr>
                <w:rFonts w:ascii="Times New Roman" w:hAnsi="Times New Roman" w:cs="Times New Roman"/>
                <w:color w:val="000000" w:themeColor="text1"/>
                <w:sz w:val="24"/>
                <w:szCs w:val="24"/>
              </w:rPr>
              <w:t xml:space="preserve"> mantojuma apliecībai</w:t>
            </w:r>
            <w:r w:rsidR="009E30F1" w:rsidRPr="00126D48">
              <w:rPr>
                <w:rFonts w:ascii="Times New Roman" w:hAnsi="Times New Roman" w:cs="Times New Roman"/>
                <w:color w:val="000000" w:themeColor="text1"/>
                <w:sz w:val="24"/>
                <w:szCs w:val="24"/>
              </w:rPr>
              <w:t xml:space="preserve">. Tā kā šie grozījumi </w:t>
            </w:r>
            <w:r w:rsidR="00256B0F" w:rsidRPr="00126D48">
              <w:rPr>
                <w:rFonts w:ascii="Times New Roman" w:hAnsi="Times New Roman" w:cs="Times New Roman"/>
                <w:color w:val="000000" w:themeColor="text1"/>
                <w:sz w:val="24"/>
                <w:szCs w:val="24"/>
              </w:rPr>
              <w:t xml:space="preserve">pēc būtības </w:t>
            </w:r>
            <w:r w:rsidR="009E30F1" w:rsidRPr="00126D48">
              <w:rPr>
                <w:rFonts w:ascii="Times New Roman" w:hAnsi="Times New Roman" w:cs="Times New Roman"/>
                <w:color w:val="000000" w:themeColor="text1"/>
                <w:sz w:val="24"/>
                <w:szCs w:val="24"/>
              </w:rPr>
              <w:t xml:space="preserve">ir tehniska rakstura </w:t>
            </w:r>
            <w:r w:rsidR="00256B0F" w:rsidRPr="00126D48">
              <w:rPr>
                <w:rFonts w:ascii="Times New Roman" w:hAnsi="Times New Roman" w:cs="Times New Roman"/>
                <w:color w:val="000000" w:themeColor="text1"/>
                <w:sz w:val="24"/>
                <w:szCs w:val="24"/>
              </w:rPr>
              <w:t xml:space="preserve">un vienādi, kā arī </w:t>
            </w:r>
            <w:r w:rsidR="009E30F1" w:rsidRPr="00126D48">
              <w:rPr>
                <w:rFonts w:ascii="Times New Roman" w:hAnsi="Times New Roman" w:cs="Times New Roman"/>
                <w:color w:val="000000" w:themeColor="text1"/>
                <w:sz w:val="24"/>
                <w:szCs w:val="24"/>
              </w:rPr>
              <w:t xml:space="preserve">aptver vairākus </w:t>
            </w:r>
            <w:r w:rsidR="00256B0F" w:rsidRPr="00126D48">
              <w:rPr>
                <w:rFonts w:ascii="Times New Roman" w:hAnsi="Times New Roman" w:cs="Times New Roman"/>
                <w:color w:val="000000" w:themeColor="text1"/>
                <w:sz w:val="24"/>
                <w:szCs w:val="24"/>
              </w:rPr>
              <w:t>normatīvos aktus</w:t>
            </w:r>
            <w:r w:rsidR="009E30F1" w:rsidRPr="00126D48">
              <w:rPr>
                <w:rFonts w:ascii="Times New Roman" w:hAnsi="Times New Roman" w:cs="Times New Roman"/>
                <w:color w:val="000000" w:themeColor="text1"/>
                <w:sz w:val="24"/>
                <w:szCs w:val="24"/>
              </w:rPr>
              <w:t>, tad tiek piedāvāts minētos tehniskos grozījumus apvienot vienā likumprojektā.</w:t>
            </w:r>
            <w:r w:rsidR="009E30F1" w:rsidRPr="00BE7A8A">
              <w:rPr>
                <w:rFonts w:ascii="Times New Roman" w:hAnsi="Times New Roman" w:cs="Times New Roman"/>
                <w:color w:val="000000" w:themeColor="text1"/>
                <w:sz w:val="24"/>
                <w:szCs w:val="24"/>
              </w:rPr>
              <w:t xml:space="preserve"> </w:t>
            </w:r>
          </w:p>
          <w:p w:rsidR="00256B0F" w:rsidRDefault="00256B0F" w:rsidP="002404D0">
            <w:pPr>
              <w:spacing w:after="0" w:line="240" w:lineRule="auto"/>
              <w:ind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Jāatzīmē, lai arī regula Nr.</w:t>
            </w:r>
            <w:r w:rsidR="00F56396"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650/2012 ir tieši piemērojama un izsniegtai Eiropas mantošanas apliecībai būtu līdzvērtīgs juridiskais spēks, arī</w:t>
            </w:r>
            <w:r w:rsidR="00F736A9">
              <w:rPr>
                <w:rFonts w:ascii="Times New Roman" w:hAnsi="Times New Roman" w:cs="Times New Roman"/>
                <w:color w:val="000000" w:themeColor="text1"/>
                <w:sz w:val="24"/>
                <w:szCs w:val="24"/>
              </w:rPr>
              <w:t>,</w:t>
            </w:r>
            <w:r w:rsidRPr="00BE7A8A">
              <w:rPr>
                <w:rFonts w:ascii="Times New Roman" w:hAnsi="Times New Roman" w:cs="Times New Roman"/>
                <w:color w:val="000000" w:themeColor="text1"/>
                <w:sz w:val="24"/>
                <w:szCs w:val="24"/>
              </w:rPr>
              <w:t xml:space="preserve"> neveicot papildu izmaiņas nacionālajos normatīvajos aktos, grozījumi Latvijas nacionālajos normatīvajos aktos tomēr būtu nepieciešami ar mērķi nodrošināt tiesisko noteiktību un pārskatāmību dažādu institūciju darbībā un iesniedzamo dokumentu uzskaitījumā.</w:t>
            </w:r>
            <w:r w:rsidR="00381B2A">
              <w:rPr>
                <w:rFonts w:ascii="Times New Roman" w:hAnsi="Times New Roman" w:cs="Times New Roman"/>
                <w:color w:val="000000" w:themeColor="text1"/>
                <w:sz w:val="24"/>
                <w:szCs w:val="24"/>
              </w:rPr>
              <w:t xml:space="preserve"> </w:t>
            </w:r>
          </w:p>
          <w:p w:rsidR="001144E7" w:rsidRDefault="00C33BAE" w:rsidP="00381B2A">
            <w:pPr>
              <w:spacing w:after="0" w:line="240" w:lineRule="auto"/>
              <w:ind w:firstLine="54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Bez tam</w:t>
            </w:r>
            <w:proofErr w:type="gramEnd"/>
            <w:r>
              <w:rPr>
                <w:rFonts w:ascii="Times New Roman" w:hAnsi="Times New Roman" w:cs="Times New Roman"/>
                <w:color w:val="000000" w:themeColor="text1"/>
                <w:sz w:val="24"/>
                <w:szCs w:val="24"/>
              </w:rPr>
              <w:t>, g</w:t>
            </w:r>
            <w:r w:rsidR="00A47655">
              <w:rPr>
                <w:rFonts w:ascii="Times New Roman" w:hAnsi="Times New Roman" w:cs="Times New Roman"/>
                <w:color w:val="000000" w:themeColor="text1"/>
                <w:sz w:val="24"/>
                <w:szCs w:val="24"/>
              </w:rPr>
              <w:t xml:space="preserve">rozījumus </w:t>
            </w:r>
            <w:r w:rsidR="001E5EA0">
              <w:rPr>
                <w:rFonts w:ascii="Times New Roman" w:hAnsi="Times New Roman" w:cs="Times New Roman"/>
                <w:color w:val="000000" w:themeColor="text1"/>
                <w:sz w:val="24"/>
                <w:szCs w:val="24"/>
              </w:rPr>
              <w:t xml:space="preserve">Latvijas </w:t>
            </w:r>
            <w:r w:rsidR="00A47655">
              <w:rPr>
                <w:rFonts w:ascii="Times New Roman" w:hAnsi="Times New Roman" w:cs="Times New Roman"/>
                <w:color w:val="000000" w:themeColor="text1"/>
                <w:sz w:val="24"/>
                <w:szCs w:val="24"/>
              </w:rPr>
              <w:t xml:space="preserve">nacionālajos normatīvajos aktos </w:t>
            </w:r>
            <w:r>
              <w:rPr>
                <w:rFonts w:ascii="Times New Roman" w:hAnsi="Times New Roman" w:cs="Times New Roman"/>
                <w:color w:val="000000" w:themeColor="text1"/>
                <w:sz w:val="24"/>
                <w:szCs w:val="24"/>
              </w:rPr>
              <w:t xml:space="preserve">ir </w:t>
            </w:r>
            <w:r w:rsidR="00A47655">
              <w:rPr>
                <w:rFonts w:ascii="Times New Roman" w:hAnsi="Times New Roman" w:cs="Times New Roman"/>
                <w:color w:val="000000" w:themeColor="text1"/>
                <w:sz w:val="24"/>
                <w:szCs w:val="24"/>
              </w:rPr>
              <w:t xml:space="preserve">nepieciešams veikt, lai nodrošinātu </w:t>
            </w:r>
            <w:r w:rsidR="001E5EA0">
              <w:rPr>
                <w:rFonts w:ascii="Times New Roman" w:hAnsi="Times New Roman" w:cs="Times New Roman"/>
                <w:color w:val="000000" w:themeColor="text1"/>
                <w:sz w:val="24"/>
                <w:szCs w:val="24"/>
              </w:rPr>
              <w:t xml:space="preserve">Latvijas </w:t>
            </w:r>
            <w:r w:rsidR="00A47655">
              <w:rPr>
                <w:rFonts w:ascii="Times New Roman" w:hAnsi="Times New Roman" w:cs="Times New Roman"/>
                <w:color w:val="000000" w:themeColor="text1"/>
                <w:sz w:val="24"/>
                <w:szCs w:val="24"/>
              </w:rPr>
              <w:t xml:space="preserve">nacionālo normatīvo aktu sasaisti ar regulu Nr. 650/2012 un </w:t>
            </w:r>
            <w:r w:rsidR="00750F6C">
              <w:rPr>
                <w:rFonts w:ascii="Times New Roman" w:hAnsi="Times New Roman" w:cs="Times New Roman"/>
                <w:color w:val="000000" w:themeColor="text1"/>
                <w:sz w:val="24"/>
                <w:szCs w:val="24"/>
              </w:rPr>
              <w:t>nodrošinātu Eiropas mantošanas apliecības brīvu apriti Latvijā</w:t>
            </w:r>
            <w:r w:rsidR="00A47655">
              <w:rPr>
                <w:rFonts w:ascii="Times New Roman" w:hAnsi="Times New Roman" w:cs="Times New Roman"/>
                <w:color w:val="000000" w:themeColor="text1"/>
                <w:sz w:val="24"/>
                <w:szCs w:val="24"/>
              </w:rPr>
              <w:t>,</w:t>
            </w:r>
            <w:r w:rsidR="00BF34F2">
              <w:rPr>
                <w:rFonts w:ascii="Times New Roman" w:hAnsi="Times New Roman" w:cs="Times New Roman"/>
                <w:color w:val="000000" w:themeColor="text1"/>
                <w:sz w:val="24"/>
                <w:szCs w:val="24"/>
              </w:rPr>
              <w:t xml:space="preserve"> tādējādi neapgrūtinot institūciju darbību ar regulas </w:t>
            </w:r>
            <w:r w:rsidR="00BF34F2" w:rsidRPr="00BE7A8A">
              <w:rPr>
                <w:rFonts w:ascii="Times New Roman" w:hAnsi="Times New Roman" w:cs="Times New Roman"/>
                <w:color w:val="000000" w:themeColor="text1"/>
                <w:sz w:val="24"/>
                <w:szCs w:val="24"/>
              </w:rPr>
              <w:t>Nr. 650/2012</w:t>
            </w:r>
            <w:r w:rsidR="00BF34F2">
              <w:rPr>
                <w:rFonts w:ascii="Times New Roman" w:hAnsi="Times New Roman" w:cs="Times New Roman"/>
                <w:color w:val="000000" w:themeColor="text1"/>
                <w:sz w:val="24"/>
                <w:szCs w:val="24"/>
              </w:rPr>
              <w:t xml:space="preserve"> praktiskās piemērošanas izzināšanu, kā arī atvieglojot </w:t>
            </w:r>
            <w:r w:rsidR="00A47655">
              <w:rPr>
                <w:rFonts w:ascii="Times New Roman" w:hAnsi="Times New Roman" w:cs="Times New Roman"/>
                <w:color w:val="000000" w:themeColor="text1"/>
                <w:sz w:val="24"/>
                <w:szCs w:val="24"/>
              </w:rPr>
              <w:t xml:space="preserve">mantinieku pieeju </w:t>
            </w:r>
            <w:r w:rsidR="00BF34F2">
              <w:rPr>
                <w:rFonts w:ascii="Times New Roman" w:hAnsi="Times New Roman" w:cs="Times New Roman"/>
                <w:color w:val="000000" w:themeColor="text1"/>
                <w:sz w:val="24"/>
                <w:szCs w:val="24"/>
              </w:rPr>
              <w:t>visām</w:t>
            </w:r>
            <w:r w:rsidR="00A47655">
              <w:rPr>
                <w:rFonts w:ascii="Times New Roman" w:hAnsi="Times New Roman" w:cs="Times New Roman"/>
                <w:color w:val="000000" w:themeColor="text1"/>
                <w:sz w:val="24"/>
                <w:szCs w:val="24"/>
              </w:rPr>
              <w:t xml:space="preserve"> institūcijām</w:t>
            </w:r>
            <w:r w:rsidR="00750F6C">
              <w:rPr>
                <w:rFonts w:ascii="Times New Roman" w:hAnsi="Times New Roman" w:cs="Times New Roman"/>
                <w:color w:val="000000" w:themeColor="text1"/>
                <w:sz w:val="24"/>
                <w:szCs w:val="24"/>
              </w:rPr>
              <w:t xml:space="preserve"> </w:t>
            </w:r>
            <w:r w:rsidR="00BF34F2">
              <w:rPr>
                <w:rFonts w:ascii="Times New Roman" w:hAnsi="Times New Roman" w:cs="Times New Roman"/>
                <w:color w:val="000000" w:themeColor="text1"/>
                <w:sz w:val="24"/>
                <w:szCs w:val="24"/>
              </w:rPr>
              <w:t>un neapgrūtinot mantinieku</w:t>
            </w:r>
            <w:r w:rsidR="001144E7">
              <w:rPr>
                <w:rFonts w:ascii="Times New Roman" w:hAnsi="Times New Roman" w:cs="Times New Roman"/>
                <w:color w:val="000000" w:themeColor="text1"/>
                <w:sz w:val="24"/>
                <w:szCs w:val="24"/>
              </w:rPr>
              <w:t>s</w:t>
            </w:r>
            <w:r w:rsidR="00BF34F2">
              <w:rPr>
                <w:rFonts w:ascii="Times New Roman" w:hAnsi="Times New Roman" w:cs="Times New Roman"/>
                <w:color w:val="000000" w:themeColor="text1"/>
                <w:sz w:val="24"/>
                <w:szCs w:val="24"/>
              </w:rPr>
              <w:t xml:space="preserve"> sav</w:t>
            </w:r>
            <w:r w:rsidR="001144E7">
              <w:rPr>
                <w:rFonts w:ascii="Times New Roman" w:hAnsi="Times New Roman" w:cs="Times New Roman"/>
                <w:color w:val="000000" w:themeColor="text1"/>
                <w:sz w:val="24"/>
                <w:szCs w:val="24"/>
              </w:rPr>
              <w:t>u</w:t>
            </w:r>
            <w:r w:rsidR="00BF34F2">
              <w:rPr>
                <w:rFonts w:ascii="Times New Roman" w:hAnsi="Times New Roman" w:cs="Times New Roman"/>
                <w:color w:val="000000" w:themeColor="text1"/>
                <w:sz w:val="24"/>
                <w:szCs w:val="24"/>
              </w:rPr>
              <w:t xml:space="preserve"> tiesīb</w:t>
            </w:r>
            <w:r w:rsidR="001144E7">
              <w:rPr>
                <w:rFonts w:ascii="Times New Roman" w:hAnsi="Times New Roman" w:cs="Times New Roman"/>
                <w:color w:val="000000" w:themeColor="text1"/>
                <w:sz w:val="24"/>
                <w:szCs w:val="24"/>
              </w:rPr>
              <w:t>u realizācijā</w:t>
            </w:r>
            <w:r w:rsidR="00BF34F2">
              <w:rPr>
                <w:rFonts w:ascii="Times New Roman" w:hAnsi="Times New Roman" w:cs="Times New Roman"/>
                <w:color w:val="000000" w:themeColor="text1"/>
                <w:sz w:val="24"/>
                <w:szCs w:val="24"/>
              </w:rPr>
              <w:t>.</w:t>
            </w:r>
          </w:p>
          <w:p w:rsidR="008568A8" w:rsidRPr="00BE7A8A" w:rsidRDefault="00256B0F" w:rsidP="00381B2A">
            <w:pPr>
              <w:spacing w:after="0" w:line="240" w:lineRule="auto"/>
              <w:ind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Tā</w:t>
            </w:r>
            <w:r w:rsidR="001144E7">
              <w:rPr>
                <w:rFonts w:ascii="Times New Roman" w:hAnsi="Times New Roman" w:cs="Times New Roman"/>
                <w:color w:val="000000" w:themeColor="text1"/>
                <w:sz w:val="24"/>
                <w:szCs w:val="24"/>
              </w:rPr>
              <w:t xml:space="preserve">, </w:t>
            </w:r>
            <w:r w:rsidRPr="00BE7A8A">
              <w:rPr>
                <w:rFonts w:ascii="Times New Roman" w:hAnsi="Times New Roman" w:cs="Times New Roman"/>
                <w:color w:val="000000" w:themeColor="text1"/>
                <w:sz w:val="24"/>
                <w:szCs w:val="24"/>
              </w:rPr>
              <w:t>š</w:t>
            </w:r>
            <w:r w:rsidR="006F2A2D" w:rsidRPr="00BE7A8A">
              <w:rPr>
                <w:rFonts w:ascii="Times New Roman" w:hAnsi="Times New Roman" w:cs="Times New Roman"/>
                <w:color w:val="000000" w:themeColor="text1"/>
                <w:sz w:val="24"/>
                <w:szCs w:val="24"/>
              </w:rPr>
              <w:t>obrīd vairāk</w:t>
            </w:r>
            <w:r w:rsidR="00FE6D05" w:rsidRPr="00BE7A8A">
              <w:rPr>
                <w:rFonts w:ascii="Times New Roman" w:hAnsi="Times New Roman" w:cs="Times New Roman"/>
                <w:color w:val="000000" w:themeColor="text1"/>
                <w:sz w:val="24"/>
                <w:szCs w:val="24"/>
              </w:rPr>
              <w:t xml:space="preserve">os likumos </w:t>
            </w:r>
            <w:r w:rsidRPr="00BE7A8A">
              <w:rPr>
                <w:rFonts w:ascii="Times New Roman" w:hAnsi="Times New Roman" w:cs="Times New Roman"/>
                <w:color w:val="000000" w:themeColor="text1"/>
                <w:sz w:val="24"/>
                <w:szCs w:val="24"/>
              </w:rPr>
              <w:t xml:space="preserve">Latvijas </w:t>
            </w:r>
            <w:r w:rsidR="001144E7">
              <w:rPr>
                <w:rFonts w:ascii="Times New Roman" w:hAnsi="Times New Roman" w:cs="Times New Roman"/>
                <w:color w:val="000000" w:themeColor="text1"/>
                <w:sz w:val="24"/>
                <w:szCs w:val="24"/>
              </w:rPr>
              <w:t>„</w:t>
            </w:r>
            <w:r w:rsidRPr="00BE7A8A">
              <w:rPr>
                <w:rFonts w:ascii="Times New Roman" w:hAnsi="Times New Roman" w:cs="Times New Roman"/>
                <w:color w:val="000000" w:themeColor="text1"/>
                <w:sz w:val="24"/>
                <w:szCs w:val="24"/>
              </w:rPr>
              <w:t>nacionālā</w:t>
            </w:r>
            <w:r w:rsidR="001144E7">
              <w:rPr>
                <w:rFonts w:ascii="Times New Roman" w:hAnsi="Times New Roman" w:cs="Times New Roman"/>
                <w:color w:val="000000" w:themeColor="text1"/>
                <w:sz w:val="24"/>
                <w:szCs w:val="24"/>
              </w:rPr>
              <w:t>”</w:t>
            </w:r>
            <w:r w:rsidRPr="00BE7A8A">
              <w:rPr>
                <w:rFonts w:ascii="Times New Roman" w:hAnsi="Times New Roman" w:cs="Times New Roman"/>
                <w:color w:val="000000" w:themeColor="text1"/>
                <w:sz w:val="24"/>
                <w:szCs w:val="24"/>
              </w:rPr>
              <w:t xml:space="preserve"> </w:t>
            </w:r>
            <w:r w:rsidR="002F66E6" w:rsidRPr="00BE7A8A">
              <w:rPr>
                <w:rFonts w:ascii="Times New Roman" w:hAnsi="Times New Roman" w:cs="Times New Roman"/>
                <w:color w:val="000000" w:themeColor="text1"/>
                <w:sz w:val="24"/>
                <w:szCs w:val="24"/>
              </w:rPr>
              <w:t xml:space="preserve">mantojuma apliecība tiek pieprasīta kā viens no pamatojumiem, lai saņemtu neizmaksātās pensijas summu, kas pienākas pensijas saņēmējam un nav izmaksātas līdz </w:t>
            </w:r>
            <w:r w:rsidR="00EA130F" w:rsidRPr="00BE7A8A">
              <w:rPr>
                <w:rFonts w:ascii="Times New Roman" w:hAnsi="Times New Roman" w:cs="Times New Roman"/>
                <w:color w:val="000000" w:themeColor="text1"/>
                <w:sz w:val="24"/>
                <w:szCs w:val="24"/>
              </w:rPr>
              <w:t>pensijas saņēmēja</w:t>
            </w:r>
            <w:r w:rsidR="002F66E6" w:rsidRPr="00BE7A8A">
              <w:rPr>
                <w:rFonts w:ascii="Times New Roman" w:hAnsi="Times New Roman" w:cs="Times New Roman"/>
                <w:color w:val="000000" w:themeColor="text1"/>
                <w:sz w:val="24"/>
                <w:szCs w:val="24"/>
              </w:rPr>
              <w:t xml:space="preserve"> nāvei. Minētais ir iekļauts </w:t>
            </w:r>
            <w:r w:rsidR="008568A8" w:rsidRPr="00BE7A8A">
              <w:rPr>
                <w:rFonts w:ascii="Times New Roman" w:hAnsi="Times New Roman" w:cs="Times New Roman"/>
                <w:color w:val="000000" w:themeColor="text1"/>
                <w:sz w:val="24"/>
                <w:szCs w:val="24"/>
              </w:rPr>
              <w:t xml:space="preserve">Diplomātu izdienas pensiju likumā (13. pants), Korupcijas novēršanas un apkarošanas biroja amatpersonu izdienas pensiju likumā (12. pants), </w:t>
            </w:r>
            <w:r w:rsidR="008568A8" w:rsidRPr="00BE7A8A">
              <w:rPr>
                <w:rFonts w:ascii="Times New Roman" w:eastAsia="Times New Roman" w:hAnsi="Times New Roman" w:cs="Times New Roman"/>
                <w:color w:val="000000" w:themeColor="text1"/>
                <w:sz w:val="24"/>
                <w:szCs w:val="24"/>
                <w:lang w:eastAsia="lv-LV"/>
              </w:rPr>
              <w:t>Militārpersonu izdienas pensiju likumā (13. pants), likumā „Par izdienas pensijām Iekšlietu ministrijas sistēmas darbiniekiem ar spe</w:t>
            </w:r>
            <w:r w:rsidR="00F56396" w:rsidRPr="00BE7A8A">
              <w:rPr>
                <w:rFonts w:ascii="Times New Roman" w:eastAsia="Times New Roman" w:hAnsi="Times New Roman" w:cs="Times New Roman"/>
                <w:color w:val="000000" w:themeColor="text1"/>
                <w:sz w:val="24"/>
                <w:szCs w:val="24"/>
                <w:lang w:eastAsia="lv-LV"/>
              </w:rPr>
              <w:t>ciālajām dienesta pakāpēm” (13. </w:t>
            </w:r>
            <w:r w:rsidR="008568A8" w:rsidRPr="00BE7A8A">
              <w:rPr>
                <w:rFonts w:ascii="Times New Roman" w:eastAsia="Times New Roman" w:hAnsi="Times New Roman" w:cs="Times New Roman"/>
                <w:color w:val="000000" w:themeColor="text1"/>
                <w:sz w:val="24"/>
                <w:szCs w:val="24"/>
                <w:lang w:eastAsia="lv-LV"/>
              </w:rPr>
              <w:t>pants), li</w:t>
            </w:r>
            <w:r w:rsidR="00F56396" w:rsidRPr="00BE7A8A">
              <w:rPr>
                <w:rFonts w:ascii="Times New Roman" w:eastAsia="Times New Roman" w:hAnsi="Times New Roman" w:cs="Times New Roman"/>
                <w:color w:val="000000" w:themeColor="text1"/>
                <w:sz w:val="24"/>
                <w:szCs w:val="24"/>
                <w:lang w:eastAsia="lv-LV"/>
              </w:rPr>
              <w:t>kumā „Par valsts pensijām” (37. </w:t>
            </w:r>
            <w:r w:rsidR="008568A8" w:rsidRPr="00BE7A8A">
              <w:rPr>
                <w:rFonts w:ascii="Times New Roman" w:eastAsia="Times New Roman" w:hAnsi="Times New Roman" w:cs="Times New Roman"/>
                <w:color w:val="000000" w:themeColor="text1"/>
                <w:sz w:val="24"/>
                <w:szCs w:val="24"/>
                <w:lang w:eastAsia="lv-LV"/>
              </w:rPr>
              <w:t>pants), Prokuroru izdienas pensiju likumā (12. pants), Tiesne</w:t>
            </w:r>
            <w:r w:rsidR="00BE7A8A" w:rsidRPr="00BE7A8A">
              <w:rPr>
                <w:rFonts w:ascii="Times New Roman" w:eastAsia="Times New Roman" w:hAnsi="Times New Roman" w:cs="Times New Roman"/>
                <w:color w:val="000000" w:themeColor="text1"/>
                <w:sz w:val="24"/>
                <w:szCs w:val="24"/>
                <w:lang w:eastAsia="lv-LV"/>
              </w:rPr>
              <w:t>šu izdienas pensiju likumā (12. </w:t>
            </w:r>
            <w:r w:rsidR="008568A8" w:rsidRPr="00BE7A8A">
              <w:rPr>
                <w:rFonts w:ascii="Times New Roman" w:eastAsia="Times New Roman" w:hAnsi="Times New Roman" w:cs="Times New Roman"/>
                <w:color w:val="000000" w:themeColor="text1"/>
                <w:sz w:val="24"/>
                <w:szCs w:val="24"/>
                <w:lang w:eastAsia="lv-LV"/>
              </w:rPr>
              <w:t xml:space="preserve">pants), Valsts un pašvaldību profesionālo orķestru, koru, </w:t>
            </w:r>
            <w:r w:rsidR="008568A8" w:rsidRPr="00BE7A8A">
              <w:rPr>
                <w:rFonts w:ascii="Times New Roman" w:eastAsia="Times New Roman" w:hAnsi="Times New Roman" w:cs="Times New Roman"/>
                <w:color w:val="000000" w:themeColor="text1"/>
                <w:sz w:val="24"/>
                <w:szCs w:val="24"/>
                <w:lang w:eastAsia="lv-LV"/>
              </w:rPr>
              <w:lastRenderedPageBreak/>
              <w:t>koncertorganizāciju, teātru un cirka mākslinieku izdienas pensiju un baleta mākslinieku pabals</w:t>
            </w:r>
            <w:r w:rsidR="00BE7A8A" w:rsidRPr="00BE7A8A">
              <w:rPr>
                <w:rFonts w:ascii="Times New Roman" w:eastAsia="Times New Roman" w:hAnsi="Times New Roman" w:cs="Times New Roman"/>
                <w:color w:val="000000" w:themeColor="text1"/>
                <w:sz w:val="24"/>
                <w:szCs w:val="24"/>
                <w:lang w:eastAsia="lv-LV"/>
              </w:rPr>
              <w:t>ta par radošo darbu likumā (13. </w:t>
            </w:r>
            <w:r w:rsidR="008568A8" w:rsidRPr="00BE7A8A">
              <w:rPr>
                <w:rFonts w:ascii="Times New Roman" w:eastAsia="Times New Roman" w:hAnsi="Times New Roman" w:cs="Times New Roman"/>
                <w:color w:val="000000" w:themeColor="text1"/>
                <w:sz w:val="24"/>
                <w:szCs w:val="24"/>
                <w:lang w:eastAsia="lv-LV"/>
              </w:rPr>
              <w:t>pants).</w:t>
            </w:r>
          </w:p>
          <w:p w:rsidR="00B23894" w:rsidRPr="00BE7A8A" w:rsidRDefault="00256B0F" w:rsidP="00B23894">
            <w:pPr>
              <w:pStyle w:val="tv2131"/>
              <w:spacing w:line="240" w:lineRule="auto"/>
              <w:ind w:firstLine="541"/>
              <w:jc w:val="both"/>
              <w:rPr>
                <w:color w:val="000000" w:themeColor="text1"/>
                <w:sz w:val="24"/>
                <w:szCs w:val="24"/>
              </w:rPr>
            </w:pPr>
            <w:r w:rsidRPr="00BE7A8A">
              <w:rPr>
                <w:color w:val="000000" w:themeColor="text1"/>
                <w:sz w:val="24"/>
                <w:szCs w:val="24"/>
              </w:rPr>
              <w:t>Savukārt l</w:t>
            </w:r>
            <w:r w:rsidR="00B23894" w:rsidRPr="00BE7A8A">
              <w:rPr>
                <w:color w:val="000000" w:themeColor="text1"/>
                <w:sz w:val="24"/>
                <w:szCs w:val="24"/>
              </w:rPr>
              <w:t>ikumā „</w:t>
            </w:r>
            <w:hyperlink r:id="rId9" w:tgtFrame="_blank" w:history="1">
              <w:r w:rsidR="00B23894" w:rsidRPr="00BE7A8A">
                <w:rPr>
                  <w:color w:val="000000" w:themeColor="text1"/>
                  <w:sz w:val="24"/>
                  <w:szCs w:val="24"/>
                </w:rPr>
                <w:t>Par kompensāciju par saimnieciskās darbības ierobežojumiem aizsargājamās teritorijās</w:t>
              </w:r>
            </w:hyperlink>
            <w:r w:rsidR="00B23894" w:rsidRPr="00BE7A8A">
              <w:rPr>
                <w:color w:val="000000" w:themeColor="text1"/>
                <w:sz w:val="24"/>
                <w:szCs w:val="24"/>
              </w:rPr>
              <w:t>” ir noteikts, ka zemes mantinieks var prasīt zemes atpirkšanu, ja par attiecīgo zemes īpašumu saņemta mantojuma apliecība un mantojuma atstājējam bija tiesības pretendēt uz zemes atpirkšanu atbilstoši šā likuma nosacījumiem. Minētajā gadījumā zemes mantiniekam ir pienākums pievienot iesniegumam dokumentus, kas apliecina viņa t</w:t>
            </w:r>
            <w:r w:rsidR="00BE7A8A" w:rsidRPr="00BE7A8A">
              <w:rPr>
                <w:color w:val="000000" w:themeColor="text1"/>
                <w:sz w:val="24"/>
                <w:szCs w:val="24"/>
              </w:rPr>
              <w:t>iesības prasīt zemes atpirkšanu</w:t>
            </w:r>
            <w:r w:rsidR="006C2B29">
              <w:rPr>
                <w:color w:val="000000" w:themeColor="text1"/>
                <w:sz w:val="24"/>
                <w:szCs w:val="24"/>
              </w:rPr>
              <w:t xml:space="preserve"> </w:t>
            </w:r>
            <w:r w:rsidR="00BE7A8A" w:rsidRPr="00BE7A8A">
              <w:rPr>
                <w:color w:val="000000" w:themeColor="text1"/>
                <w:sz w:val="24"/>
                <w:szCs w:val="24"/>
              </w:rPr>
              <w:t>–</w:t>
            </w:r>
            <w:r w:rsidR="006C2B29">
              <w:rPr>
                <w:color w:val="000000" w:themeColor="text1"/>
                <w:sz w:val="24"/>
                <w:szCs w:val="24"/>
              </w:rPr>
              <w:t xml:space="preserve"> </w:t>
            </w:r>
            <w:r w:rsidR="00B23894" w:rsidRPr="00BE7A8A">
              <w:rPr>
                <w:color w:val="000000" w:themeColor="text1"/>
                <w:sz w:val="24"/>
                <w:szCs w:val="24"/>
              </w:rPr>
              <w:t>personas miršanas apliecību vai mantojuma apliecību.</w:t>
            </w:r>
          </w:p>
          <w:p w:rsidR="008568A8" w:rsidRPr="00BE7A8A" w:rsidRDefault="008568A8" w:rsidP="002F4E0C">
            <w:pPr>
              <w:pStyle w:val="tv2131"/>
              <w:spacing w:line="240" w:lineRule="auto"/>
              <w:ind w:firstLine="541"/>
              <w:jc w:val="both"/>
              <w:rPr>
                <w:color w:val="000000" w:themeColor="text1"/>
                <w:sz w:val="24"/>
                <w:szCs w:val="24"/>
              </w:rPr>
            </w:pPr>
            <w:r w:rsidRPr="00BE7A8A">
              <w:rPr>
                <w:color w:val="000000" w:themeColor="text1"/>
                <w:sz w:val="24"/>
                <w:szCs w:val="24"/>
              </w:rPr>
              <w:t>Ceļu satiksmes likum</w:t>
            </w:r>
            <w:r w:rsidR="00A16586">
              <w:rPr>
                <w:color w:val="000000" w:themeColor="text1"/>
                <w:sz w:val="24"/>
                <w:szCs w:val="24"/>
              </w:rPr>
              <w:t>ā</w:t>
            </w:r>
            <w:r w:rsidRPr="00BE7A8A">
              <w:rPr>
                <w:color w:val="000000" w:themeColor="text1"/>
                <w:sz w:val="24"/>
                <w:szCs w:val="24"/>
              </w:rPr>
              <w:t xml:space="preserve"> </w:t>
            </w:r>
            <w:r w:rsidR="002E53B3" w:rsidRPr="00BE7A8A">
              <w:rPr>
                <w:color w:val="000000" w:themeColor="text1"/>
                <w:sz w:val="24"/>
                <w:szCs w:val="24"/>
              </w:rPr>
              <w:t>ir noteikts</w:t>
            </w:r>
            <w:r w:rsidRPr="00BE7A8A">
              <w:rPr>
                <w:color w:val="000000" w:themeColor="text1"/>
                <w:sz w:val="24"/>
                <w:szCs w:val="24"/>
              </w:rPr>
              <w:t>, ka pirms tiesas sprieduma par mantošanu vai mantojuma apliecības saņemšanas iespējamais mantinieks, uzrādot šo faktu apliecinošus dokumentus, var reģistrēt transportlīdzekli uz sava vārda kā transportlīdzekļa valdītājs.</w:t>
            </w:r>
            <w:r w:rsidR="002F4E0C" w:rsidRPr="00BE7A8A">
              <w:rPr>
                <w:color w:val="000000" w:themeColor="text1"/>
                <w:sz w:val="24"/>
                <w:szCs w:val="24"/>
              </w:rPr>
              <w:t xml:space="preserve"> Kā arī noteic, ka transportlīdzekļu reģistrēšanai attiecīgi Ceļu satiksmes drošības direkcijā vai Valsts tehniskās uzraudzības aģentūrā iesniedzams īpašuma tiesības apliecinošs dokuments vai dokumenti, kas apliecina, ka persona ir transportlīdzekļa valdītājs (ja transportlīdzekli pirms tiesas sprieduma par mantošanu vai mantojuma apliecības saņemšanas reģistrē uz valdītāja vārda)</w:t>
            </w:r>
            <w:r w:rsidR="00256B0F" w:rsidRPr="00BE7A8A">
              <w:rPr>
                <w:color w:val="000000" w:themeColor="text1"/>
                <w:sz w:val="24"/>
                <w:szCs w:val="24"/>
              </w:rPr>
              <w:t>.</w:t>
            </w:r>
          </w:p>
          <w:p w:rsidR="00B85132" w:rsidRPr="00BE7A8A" w:rsidRDefault="00B85132" w:rsidP="00C51E09">
            <w:pPr>
              <w:pStyle w:val="naisf"/>
              <w:spacing w:before="0" w:beforeAutospacing="0" w:after="0" w:afterAutospacing="0"/>
              <w:ind w:firstLine="541"/>
              <w:jc w:val="both"/>
              <w:rPr>
                <w:color w:val="000000" w:themeColor="text1"/>
              </w:rPr>
            </w:pPr>
            <w:r w:rsidRPr="00BE7A8A">
              <w:rPr>
                <w:color w:val="000000" w:themeColor="text1"/>
              </w:rPr>
              <w:t>Ņemot vērā minēto</w:t>
            </w:r>
            <w:r w:rsidR="00C51E09" w:rsidRPr="00BE7A8A">
              <w:rPr>
                <w:color w:val="000000" w:themeColor="text1"/>
              </w:rPr>
              <w:t xml:space="preserve">, </w:t>
            </w:r>
            <w:r w:rsidR="001144E7" w:rsidRPr="00BE7A8A">
              <w:rPr>
                <w:color w:val="000000" w:themeColor="text1"/>
              </w:rPr>
              <w:t>šād</w:t>
            </w:r>
            <w:r w:rsidR="00126D48">
              <w:rPr>
                <w:color w:val="000000" w:themeColor="text1"/>
              </w:rPr>
              <w:t>os</w:t>
            </w:r>
            <w:r w:rsidR="001144E7" w:rsidRPr="00BE7A8A">
              <w:rPr>
                <w:color w:val="000000" w:themeColor="text1"/>
              </w:rPr>
              <w:t xml:space="preserve"> likum</w:t>
            </w:r>
            <w:r w:rsidR="00126D48">
              <w:rPr>
                <w:color w:val="000000" w:themeColor="text1"/>
              </w:rPr>
              <w:t>os</w:t>
            </w:r>
            <w:r w:rsidR="001144E7">
              <w:rPr>
                <w:color w:val="000000" w:themeColor="text1"/>
              </w:rPr>
              <w:t xml:space="preserve"> </w:t>
            </w:r>
            <w:r w:rsidR="004145C6" w:rsidRPr="004145C6">
              <w:rPr>
                <w:color w:val="000000" w:themeColor="text1"/>
              </w:rPr>
              <w:t xml:space="preserve">pēc vārdiem „mantojuma apliecība” (attiecīgā locījumā) </w:t>
            </w:r>
            <w:r w:rsidR="00193F42">
              <w:rPr>
                <w:color w:val="000000" w:themeColor="text1"/>
              </w:rPr>
              <w:t>jā</w:t>
            </w:r>
            <w:r w:rsidR="00A47655">
              <w:rPr>
                <w:color w:val="000000" w:themeColor="text1"/>
              </w:rPr>
              <w:t>papi</w:t>
            </w:r>
            <w:r w:rsidR="00193F42">
              <w:rPr>
                <w:color w:val="000000" w:themeColor="text1"/>
              </w:rPr>
              <w:t>ldina</w:t>
            </w:r>
            <w:r w:rsidR="004145C6">
              <w:rPr>
                <w:color w:val="000000" w:themeColor="text1"/>
              </w:rPr>
              <w:t xml:space="preserve"> </w:t>
            </w:r>
            <w:r w:rsidR="001E5EA0">
              <w:rPr>
                <w:color w:val="000000" w:themeColor="text1"/>
              </w:rPr>
              <w:t>ar vārdiem „vai Eiropas mantošanas apliecība</w:t>
            </w:r>
            <w:r w:rsidR="004145C6" w:rsidRPr="004145C6">
              <w:rPr>
                <w:color w:val="000000" w:themeColor="text1"/>
              </w:rPr>
              <w:t>” (attiecīgā locījumā)</w:t>
            </w:r>
            <w:r w:rsidR="00A47655">
              <w:rPr>
                <w:color w:val="000000" w:themeColor="text1"/>
              </w:rPr>
              <w:t xml:space="preserve">: </w:t>
            </w:r>
          </w:p>
          <w:p w:rsidR="00F854BF" w:rsidRPr="00BE7A8A" w:rsidRDefault="00F854BF"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1) Ceļu satiksmes likum</w:t>
            </w:r>
            <w:r w:rsidR="001144E7">
              <w:rPr>
                <w:color w:val="000000" w:themeColor="text1"/>
              </w:rPr>
              <w:t>s</w:t>
            </w:r>
            <w:r w:rsidRPr="00BE7A8A">
              <w:rPr>
                <w:color w:val="000000" w:themeColor="text1"/>
              </w:rPr>
              <w:t>;</w:t>
            </w:r>
          </w:p>
          <w:p w:rsidR="00F854BF"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2</w:t>
            </w:r>
            <w:r w:rsidR="00F854BF" w:rsidRPr="00BE7A8A">
              <w:rPr>
                <w:color w:val="000000" w:themeColor="text1"/>
              </w:rPr>
              <w:t>) Diplomātu izdienas pensiju likum</w:t>
            </w:r>
            <w:r w:rsidR="001144E7">
              <w:rPr>
                <w:color w:val="000000" w:themeColor="text1"/>
              </w:rPr>
              <w:t>s</w:t>
            </w:r>
            <w:r w:rsidR="00F854BF" w:rsidRPr="00BE7A8A">
              <w:rPr>
                <w:color w:val="000000" w:themeColor="text1"/>
              </w:rPr>
              <w:t>;</w:t>
            </w:r>
          </w:p>
          <w:p w:rsidR="00F854BF"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3</w:t>
            </w:r>
            <w:r w:rsidR="00F854BF" w:rsidRPr="00BE7A8A">
              <w:rPr>
                <w:color w:val="000000" w:themeColor="text1"/>
              </w:rPr>
              <w:t>) Korupcijas novēršanas un apkarošanas biroja amatpersonu izdienas pensiju likum</w:t>
            </w:r>
            <w:r w:rsidR="001144E7">
              <w:rPr>
                <w:color w:val="000000" w:themeColor="text1"/>
              </w:rPr>
              <w:t>s</w:t>
            </w:r>
            <w:r w:rsidR="00F854BF" w:rsidRPr="00BE7A8A">
              <w:rPr>
                <w:color w:val="000000" w:themeColor="text1"/>
              </w:rPr>
              <w:t>;</w:t>
            </w:r>
          </w:p>
          <w:p w:rsidR="002F0828"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4) Militā</w:t>
            </w:r>
            <w:r w:rsidR="00A0462A">
              <w:rPr>
                <w:color w:val="000000" w:themeColor="text1"/>
              </w:rPr>
              <w:t>rpersonu izdienas pensiju likum</w:t>
            </w:r>
            <w:r w:rsidR="001144E7">
              <w:rPr>
                <w:color w:val="000000" w:themeColor="text1"/>
              </w:rPr>
              <w:t>s</w:t>
            </w:r>
            <w:r w:rsidRPr="00BE7A8A">
              <w:rPr>
                <w:color w:val="000000" w:themeColor="text1"/>
              </w:rPr>
              <w:t>;</w:t>
            </w:r>
          </w:p>
          <w:p w:rsidR="00F854BF"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5</w:t>
            </w:r>
            <w:r w:rsidR="00F854BF" w:rsidRPr="00BE7A8A">
              <w:rPr>
                <w:color w:val="000000" w:themeColor="text1"/>
              </w:rPr>
              <w:t>) Likum</w:t>
            </w:r>
            <w:r w:rsidR="001144E7">
              <w:rPr>
                <w:color w:val="000000" w:themeColor="text1"/>
              </w:rPr>
              <w:t>s</w:t>
            </w:r>
            <w:r w:rsidR="00F854BF" w:rsidRPr="00BE7A8A">
              <w:rPr>
                <w:color w:val="000000" w:themeColor="text1"/>
              </w:rPr>
              <w:t xml:space="preserve"> „Par izdienas pensijām Iekšlietu ministrijas sistēmas darbiniekiem ar speciālajām dienesta pakāpēm”;</w:t>
            </w:r>
          </w:p>
          <w:p w:rsidR="00F854BF"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6</w:t>
            </w:r>
            <w:r w:rsidR="00F854BF" w:rsidRPr="00BE7A8A">
              <w:rPr>
                <w:color w:val="000000" w:themeColor="text1"/>
              </w:rPr>
              <w:t>) Likum</w:t>
            </w:r>
            <w:r w:rsidR="001144E7">
              <w:rPr>
                <w:color w:val="000000" w:themeColor="text1"/>
              </w:rPr>
              <w:t>s</w:t>
            </w:r>
            <w:r w:rsidR="00F854BF" w:rsidRPr="00BE7A8A">
              <w:rPr>
                <w:color w:val="000000" w:themeColor="text1"/>
              </w:rPr>
              <w:t xml:space="preserve"> „Par kompensāciju par saimnieciskās darbības ierobežojumiem aizsargājamās teritorijās”;</w:t>
            </w:r>
          </w:p>
          <w:p w:rsidR="00F854BF" w:rsidRPr="00BE7A8A" w:rsidRDefault="002F0828"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7</w:t>
            </w:r>
            <w:r w:rsidR="00F854BF" w:rsidRPr="00BE7A8A">
              <w:rPr>
                <w:color w:val="000000" w:themeColor="text1"/>
              </w:rPr>
              <w:t>) Likum</w:t>
            </w:r>
            <w:r w:rsidR="001144E7">
              <w:rPr>
                <w:color w:val="000000" w:themeColor="text1"/>
              </w:rPr>
              <w:t>s</w:t>
            </w:r>
            <w:r w:rsidR="00F854BF" w:rsidRPr="00BE7A8A">
              <w:rPr>
                <w:color w:val="000000" w:themeColor="text1"/>
              </w:rPr>
              <w:t xml:space="preserve"> „Par valsts pensijām”;</w:t>
            </w:r>
          </w:p>
          <w:p w:rsidR="00F854BF" w:rsidRPr="00BE7A8A" w:rsidRDefault="00034807"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8</w:t>
            </w:r>
            <w:r w:rsidR="00F854BF" w:rsidRPr="00BE7A8A">
              <w:rPr>
                <w:color w:val="000000" w:themeColor="text1"/>
              </w:rPr>
              <w:t>) Prokuroru izdienas pensiju likum</w:t>
            </w:r>
            <w:r w:rsidR="001144E7">
              <w:rPr>
                <w:color w:val="000000" w:themeColor="text1"/>
              </w:rPr>
              <w:t>s</w:t>
            </w:r>
            <w:r w:rsidR="0034286E" w:rsidRPr="00BE7A8A">
              <w:rPr>
                <w:color w:val="000000" w:themeColor="text1"/>
              </w:rPr>
              <w:t>;</w:t>
            </w:r>
          </w:p>
          <w:p w:rsidR="00F854BF" w:rsidRPr="00BE7A8A" w:rsidRDefault="00034807"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9</w:t>
            </w:r>
            <w:r w:rsidR="00F854BF" w:rsidRPr="00BE7A8A">
              <w:rPr>
                <w:color w:val="000000" w:themeColor="text1"/>
              </w:rPr>
              <w:t>) Tiesnešu izdienas pensiju likum</w:t>
            </w:r>
            <w:r w:rsidR="001144E7">
              <w:rPr>
                <w:color w:val="000000" w:themeColor="text1"/>
              </w:rPr>
              <w:t>s</w:t>
            </w:r>
            <w:r w:rsidR="00F854BF" w:rsidRPr="00BE7A8A">
              <w:rPr>
                <w:color w:val="000000" w:themeColor="text1"/>
              </w:rPr>
              <w:t>;</w:t>
            </w:r>
          </w:p>
          <w:p w:rsidR="00F854BF" w:rsidRPr="00BE7A8A" w:rsidRDefault="00034807" w:rsidP="001144E7">
            <w:pPr>
              <w:pStyle w:val="naisf"/>
              <w:tabs>
                <w:tab w:val="left" w:pos="824"/>
              </w:tabs>
              <w:spacing w:before="0" w:beforeAutospacing="0" w:after="0" w:afterAutospacing="0"/>
              <w:ind w:firstLine="541"/>
              <w:jc w:val="both"/>
              <w:rPr>
                <w:color w:val="000000" w:themeColor="text1"/>
              </w:rPr>
            </w:pPr>
            <w:r w:rsidRPr="00BE7A8A">
              <w:rPr>
                <w:color w:val="000000" w:themeColor="text1"/>
              </w:rPr>
              <w:t>10</w:t>
            </w:r>
            <w:r w:rsidR="00F854BF" w:rsidRPr="00BE7A8A">
              <w:rPr>
                <w:color w:val="000000" w:themeColor="text1"/>
              </w:rPr>
              <w:t>) Valsts un pašvaldību profesionālo orķestru, koru, koncertorganizāciju, teātru un cirka mākslinieku izdienas pensiju un baleta mākslinieku pabalsta par radošo darbu likum</w:t>
            </w:r>
            <w:r w:rsidR="001144E7">
              <w:rPr>
                <w:color w:val="000000" w:themeColor="text1"/>
              </w:rPr>
              <w:t>s</w:t>
            </w:r>
            <w:r w:rsidR="00BA0F4A">
              <w:rPr>
                <w:color w:val="000000" w:themeColor="text1"/>
              </w:rPr>
              <w:t>.</w:t>
            </w:r>
          </w:p>
          <w:p w:rsidR="00256B0F" w:rsidRPr="00BE7A8A" w:rsidRDefault="00256B0F" w:rsidP="00C51E09">
            <w:pPr>
              <w:pStyle w:val="Sarakstarindkopa"/>
              <w:tabs>
                <w:tab w:val="left" w:pos="1134"/>
              </w:tabs>
              <w:suppressAutoHyphens/>
              <w:spacing w:after="0" w:line="240" w:lineRule="auto"/>
              <w:ind w:left="0"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Ņemot vērā to, ka regulu Nr. 650/2012 piemēro no 2015.</w:t>
            </w:r>
            <w:r w:rsidR="00BE7A8A" w:rsidRPr="00BE7A8A">
              <w:rPr>
                <w:rFonts w:ascii="Times New Roman" w:hAnsi="Times New Roman" w:cs="Times New Roman"/>
                <w:color w:val="000000" w:themeColor="text1"/>
                <w:sz w:val="24"/>
                <w:szCs w:val="24"/>
              </w:rPr>
              <w:t> </w:t>
            </w:r>
            <w:r w:rsidRPr="00BE7A8A">
              <w:rPr>
                <w:rFonts w:ascii="Times New Roman" w:hAnsi="Times New Roman" w:cs="Times New Roman"/>
                <w:color w:val="000000" w:themeColor="text1"/>
                <w:sz w:val="24"/>
                <w:szCs w:val="24"/>
              </w:rPr>
              <w:t>gada 17. augusta, nepieciešams paredzēt, ka minētie grozījumi, proti, šis likumprojekts stājas spēkā 2015. gada 17. augustā.</w:t>
            </w:r>
          </w:p>
          <w:p w:rsidR="00FB7BAB" w:rsidRPr="00BE7A8A" w:rsidRDefault="00C51E09" w:rsidP="00256B0F">
            <w:pPr>
              <w:pStyle w:val="Sarakstarindkopa"/>
              <w:tabs>
                <w:tab w:val="left" w:pos="1134"/>
              </w:tabs>
              <w:suppressAutoHyphens/>
              <w:spacing w:after="0" w:line="240" w:lineRule="auto"/>
              <w:ind w:left="0"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Ņemot vērā to, ka minētie grozījumi attiecas uz vienu regulējamo jautājumu lok</w:t>
            </w:r>
            <w:r w:rsidR="0096241F" w:rsidRPr="00BE7A8A">
              <w:rPr>
                <w:rFonts w:ascii="Times New Roman" w:hAnsi="Times New Roman" w:cs="Times New Roman"/>
                <w:color w:val="000000" w:themeColor="text1"/>
                <w:sz w:val="24"/>
                <w:szCs w:val="24"/>
              </w:rPr>
              <w:t>u</w:t>
            </w:r>
            <w:r w:rsidRPr="00BE7A8A">
              <w:rPr>
                <w:rFonts w:ascii="Times New Roman" w:hAnsi="Times New Roman" w:cs="Times New Roman"/>
                <w:color w:val="000000" w:themeColor="text1"/>
                <w:sz w:val="24"/>
                <w:szCs w:val="24"/>
              </w:rPr>
              <w:t xml:space="preserve">, </w:t>
            </w:r>
            <w:r w:rsidR="009E27CD" w:rsidRPr="00BE7A8A">
              <w:rPr>
                <w:rFonts w:ascii="Times New Roman" w:hAnsi="Times New Roman" w:cs="Times New Roman"/>
                <w:color w:val="000000" w:themeColor="text1"/>
                <w:sz w:val="24"/>
                <w:szCs w:val="24"/>
              </w:rPr>
              <w:t xml:space="preserve">kā arī minētie grozījumi ir </w:t>
            </w:r>
            <w:r w:rsidR="009E27CD" w:rsidRPr="00BE7A8A">
              <w:rPr>
                <w:rFonts w:ascii="Times New Roman" w:hAnsi="Times New Roman" w:cs="Times New Roman"/>
                <w:color w:val="000000" w:themeColor="text1"/>
                <w:sz w:val="24"/>
                <w:szCs w:val="24"/>
              </w:rPr>
              <w:lastRenderedPageBreak/>
              <w:t xml:space="preserve">tehniska rakstura, </w:t>
            </w:r>
            <w:r w:rsidR="00256B0F" w:rsidRPr="00BE7A8A">
              <w:rPr>
                <w:rFonts w:ascii="Times New Roman" w:hAnsi="Times New Roman" w:cs="Times New Roman"/>
                <w:color w:val="000000" w:themeColor="text1"/>
                <w:sz w:val="24"/>
                <w:szCs w:val="24"/>
              </w:rPr>
              <w:t xml:space="preserve">kas apvienoti </w:t>
            </w:r>
            <w:r w:rsidRPr="00BE7A8A">
              <w:rPr>
                <w:rFonts w:ascii="Times New Roman" w:hAnsi="Times New Roman" w:cs="Times New Roman"/>
                <w:color w:val="000000" w:themeColor="text1"/>
                <w:sz w:val="24"/>
                <w:szCs w:val="24"/>
              </w:rPr>
              <w:t>vienā likumprojektā</w:t>
            </w:r>
            <w:r w:rsidR="00256B0F" w:rsidRPr="00BE7A8A">
              <w:rPr>
                <w:rFonts w:ascii="Times New Roman" w:hAnsi="Times New Roman" w:cs="Times New Roman"/>
                <w:color w:val="000000" w:themeColor="text1"/>
                <w:sz w:val="24"/>
                <w:szCs w:val="24"/>
              </w:rPr>
              <w:t>,</w:t>
            </w:r>
            <w:r w:rsidRPr="00BE7A8A">
              <w:rPr>
                <w:rFonts w:ascii="Times New Roman" w:hAnsi="Times New Roman" w:cs="Times New Roman"/>
                <w:color w:val="000000" w:themeColor="text1"/>
                <w:sz w:val="24"/>
                <w:szCs w:val="24"/>
              </w:rPr>
              <w:t xml:space="preserve"> ir </w:t>
            </w:r>
            <w:r w:rsidR="00256B0F" w:rsidRPr="00BE7A8A">
              <w:rPr>
                <w:rFonts w:ascii="Times New Roman" w:hAnsi="Times New Roman" w:cs="Times New Roman"/>
                <w:color w:val="000000" w:themeColor="text1"/>
                <w:sz w:val="24"/>
                <w:szCs w:val="24"/>
              </w:rPr>
              <w:t>arī i</w:t>
            </w:r>
            <w:r w:rsidRPr="00BE7A8A">
              <w:rPr>
                <w:rFonts w:ascii="Times New Roman" w:hAnsi="Times New Roman" w:cs="Times New Roman"/>
                <w:color w:val="000000" w:themeColor="text1"/>
                <w:sz w:val="24"/>
                <w:szCs w:val="24"/>
              </w:rPr>
              <w:t xml:space="preserve">zstrādāts </w:t>
            </w:r>
            <w:r w:rsidR="00256B0F" w:rsidRPr="00BE7A8A">
              <w:rPr>
                <w:rFonts w:ascii="Times New Roman" w:hAnsi="Times New Roman" w:cs="Times New Roman"/>
                <w:color w:val="000000" w:themeColor="text1"/>
                <w:sz w:val="24"/>
                <w:szCs w:val="24"/>
              </w:rPr>
              <w:t xml:space="preserve">tikai </w:t>
            </w:r>
            <w:r w:rsidRPr="00BE7A8A">
              <w:rPr>
                <w:rFonts w:ascii="Times New Roman" w:hAnsi="Times New Roman" w:cs="Times New Roman"/>
                <w:color w:val="000000" w:themeColor="text1"/>
                <w:sz w:val="24"/>
                <w:szCs w:val="24"/>
              </w:rPr>
              <w:t>viens sākotnējās ietekmes novērtējuma ziņojums</w:t>
            </w:r>
            <w:r w:rsidR="0096241F" w:rsidRPr="00BE7A8A">
              <w:rPr>
                <w:rFonts w:ascii="Times New Roman" w:hAnsi="Times New Roman" w:cs="Times New Roman"/>
                <w:color w:val="000000" w:themeColor="text1"/>
                <w:sz w:val="24"/>
                <w:szCs w:val="24"/>
              </w:rPr>
              <w:t>.</w:t>
            </w:r>
          </w:p>
        </w:tc>
      </w:tr>
      <w:tr w:rsidR="00BE7A8A" w:rsidRPr="00BE7A8A" w:rsidTr="006C2B2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E7A8A" w:rsidRDefault="00034807" w:rsidP="00034807">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iCs/>
                <w:color w:val="000000" w:themeColor="text1"/>
                <w:sz w:val="24"/>
                <w:szCs w:val="24"/>
              </w:rPr>
              <w:t>Tieslietu ministrija.</w:t>
            </w:r>
          </w:p>
        </w:tc>
      </w:tr>
      <w:tr w:rsidR="00BE7A8A" w:rsidRPr="00BE7A8A" w:rsidTr="006C2B29">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E7A8A" w:rsidRDefault="005127A4"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color w:val="000000" w:themeColor="text1"/>
                <w:sz w:val="24"/>
                <w:szCs w:val="24"/>
              </w:rPr>
              <w:t>Nav</w:t>
            </w:r>
            <w:r w:rsidR="004D0743" w:rsidRPr="00BE7A8A">
              <w:rPr>
                <w:rFonts w:ascii="Times New Roman" w:hAnsi="Times New Roman" w:cs="Times New Roman"/>
                <w:color w:val="000000" w:themeColor="text1"/>
                <w:sz w:val="24"/>
                <w:szCs w:val="24"/>
              </w:rPr>
              <w:t>.</w:t>
            </w:r>
          </w:p>
        </w:tc>
      </w:tr>
    </w:tbl>
    <w:p w:rsidR="006C2B29" w:rsidRPr="00BE7A8A" w:rsidRDefault="006C2B29" w:rsidP="006C2B29">
      <w:pPr>
        <w:spacing w:after="0" w:line="240" w:lineRule="auto"/>
        <w:ind w:firstLine="300"/>
        <w:rPr>
          <w:rFonts w:ascii="Times New Roman" w:hAnsi="Times New Roman" w:cs="Times New Roman"/>
          <w:color w:val="000000" w:themeColor="text1"/>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3"/>
        <w:gridCol w:w="2842"/>
        <w:gridCol w:w="5826"/>
      </w:tblGrid>
      <w:tr w:rsidR="006C2B29" w:rsidRPr="00BE7A8A" w:rsidTr="006C2B29">
        <w:trPr>
          <w:trHeight w:val="465"/>
        </w:trPr>
        <w:tc>
          <w:tcPr>
            <w:tcW w:w="5000" w:type="pct"/>
            <w:gridSpan w:val="3"/>
            <w:tcBorders>
              <w:top w:val="outset" w:sz="6" w:space="0" w:color="414142"/>
              <w:left w:val="outset" w:sz="6" w:space="0" w:color="414142"/>
              <w:bottom w:val="outset" w:sz="6" w:space="0" w:color="414142"/>
              <w:right w:val="outset" w:sz="6" w:space="0" w:color="414142"/>
            </w:tcBorders>
          </w:tcPr>
          <w:p w:rsidR="006C2B29" w:rsidRPr="00BE7A8A" w:rsidRDefault="006C2B29" w:rsidP="006C2B29">
            <w:pPr>
              <w:pStyle w:val="naiskr"/>
              <w:spacing w:before="0" w:after="0"/>
              <w:jc w:val="center"/>
              <w:rPr>
                <w:iCs/>
                <w:color w:val="000000" w:themeColor="text1"/>
              </w:rPr>
            </w:pPr>
            <w:r w:rsidRPr="00BE7A8A">
              <w:rPr>
                <w:b/>
                <w:bCs/>
                <w:color w:val="000000" w:themeColor="text1"/>
              </w:rPr>
              <w:t>II. Tiesību akta projekta ietekme uz sabiedrību, tautsaimniecības attīstību un administratīvo slogu</w:t>
            </w:r>
          </w:p>
        </w:tc>
      </w:tr>
      <w:tr w:rsidR="00BE7A8A" w:rsidRPr="00BE7A8A" w:rsidTr="006C2B29">
        <w:trPr>
          <w:trHeight w:val="465"/>
        </w:trPr>
        <w:tc>
          <w:tcPr>
            <w:tcW w:w="254"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556"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190" w:type="pct"/>
            <w:tcBorders>
              <w:top w:val="outset" w:sz="6" w:space="0" w:color="414142"/>
              <w:left w:val="outset" w:sz="6" w:space="0" w:color="414142"/>
              <w:bottom w:val="outset" w:sz="6" w:space="0" w:color="414142"/>
              <w:right w:val="outset" w:sz="6" w:space="0" w:color="414142"/>
            </w:tcBorders>
            <w:hideMark/>
          </w:tcPr>
          <w:p w:rsidR="005C6DD6" w:rsidRPr="00BE7A8A" w:rsidRDefault="00AD1D87" w:rsidP="00C263CD">
            <w:pPr>
              <w:pStyle w:val="naiskr"/>
              <w:spacing w:before="0" w:after="0"/>
              <w:jc w:val="both"/>
              <w:rPr>
                <w:color w:val="000000" w:themeColor="text1"/>
              </w:rPr>
            </w:pPr>
            <w:r w:rsidRPr="00BE7A8A">
              <w:rPr>
                <w:iCs/>
                <w:color w:val="000000" w:themeColor="text1"/>
              </w:rPr>
              <w:t xml:space="preserve">Likumprojekta regulējums attiecināms </w:t>
            </w:r>
            <w:r w:rsidR="00101079" w:rsidRPr="00BE7A8A">
              <w:rPr>
                <w:iCs/>
                <w:color w:val="000000" w:themeColor="text1"/>
              </w:rPr>
              <w:t xml:space="preserve">gan uz iestādēm, kuras veic to kompetencē esošas funkcijas, gan uz fiziskām personām, kuras Eiropas mantošanas apliecību vēlas izmantot savu tiesību nostiprināšanai.  </w:t>
            </w:r>
          </w:p>
        </w:tc>
      </w:tr>
      <w:tr w:rsidR="00BE7A8A" w:rsidRPr="00BE7A8A" w:rsidTr="006C2B29">
        <w:trPr>
          <w:trHeight w:val="510"/>
        </w:trPr>
        <w:tc>
          <w:tcPr>
            <w:tcW w:w="254"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556"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190" w:type="pct"/>
            <w:tcBorders>
              <w:top w:val="outset" w:sz="6" w:space="0" w:color="414142"/>
              <w:left w:val="outset" w:sz="6" w:space="0" w:color="414142"/>
              <w:bottom w:val="outset" w:sz="6" w:space="0" w:color="414142"/>
              <w:right w:val="outset" w:sz="6" w:space="0" w:color="414142"/>
            </w:tcBorders>
            <w:hideMark/>
          </w:tcPr>
          <w:p w:rsidR="004D15A9" w:rsidRPr="00BE7A8A" w:rsidRDefault="00A16586" w:rsidP="00A1658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Cs/>
                <w:color w:val="000000" w:themeColor="text1"/>
                <w:sz w:val="24"/>
                <w:szCs w:val="24"/>
              </w:rPr>
              <w:t>Likump</w:t>
            </w:r>
            <w:r w:rsidR="00AD1D87" w:rsidRPr="00BE7A8A">
              <w:rPr>
                <w:rFonts w:ascii="Times New Roman" w:hAnsi="Times New Roman" w:cs="Times New Roman"/>
                <w:iCs/>
                <w:color w:val="000000" w:themeColor="text1"/>
                <w:sz w:val="24"/>
                <w:szCs w:val="24"/>
              </w:rPr>
              <w:t>rojekts šo jomu neskar</w:t>
            </w:r>
            <w:r w:rsidR="005127A4" w:rsidRPr="00BE7A8A">
              <w:rPr>
                <w:rFonts w:ascii="Times New Roman" w:hAnsi="Times New Roman" w:cs="Times New Roman"/>
                <w:iCs/>
                <w:color w:val="000000" w:themeColor="text1"/>
                <w:sz w:val="24"/>
                <w:szCs w:val="24"/>
              </w:rPr>
              <w:t>.</w:t>
            </w:r>
          </w:p>
        </w:tc>
      </w:tr>
      <w:tr w:rsidR="00BE7A8A" w:rsidRPr="00BE7A8A" w:rsidTr="006C2B29">
        <w:trPr>
          <w:trHeight w:val="510"/>
        </w:trPr>
        <w:tc>
          <w:tcPr>
            <w:tcW w:w="254" w:type="pct"/>
            <w:tcBorders>
              <w:top w:val="outset" w:sz="6" w:space="0" w:color="414142"/>
              <w:left w:val="outset" w:sz="6" w:space="0" w:color="414142"/>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556" w:type="pct"/>
            <w:tcBorders>
              <w:top w:val="outset" w:sz="6" w:space="0" w:color="414142"/>
              <w:left w:val="outset" w:sz="6" w:space="0" w:color="414142"/>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Administratīvo izmaksu monetārs novērtējums</w:t>
            </w:r>
          </w:p>
        </w:tc>
        <w:tc>
          <w:tcPr>
            <w:tcW w:w="3190" w:type="pct"/>
            <w:tcBorders>
              <w:top w:val="outset" w:sz="6" w:space="0" w:color="414142"/>
              <w:left w:val="outset" w:sz="6" w:space="0" w:color="414142"/>
              <w:bottom w:val="single" w:sz="4" w:space="0" w:color="auto"/>
              <w:right w:val="outset" w:sz="6" w:space="0" w:color="414142"/>
            </w:tcBorders>
            <w:hideMark/>
          </w:tcPr>
          <w:p w:rsidR="004D15A9" w:rsidRPr="00BE7A8A" w:rsidRDefault="00A16586" w:rsidP="00A1658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Cs/>
                <w:color w:val="000000" w:themeColor="text1"/>
                <w:sz w:val="24"/>
                <w:szCs w:val="24"/>
              </w:rPr>
              <w:t>Likump</w:t>
            </w:r>
            <w:r w:rsidR="00AD1D87" w:rsidRPr="00BE7A8A">
              <w:rPr>
                <w:rFonts w:ascii="Times New Roman" w:hAnsi="Times New Roman" w:cs="Times New Roman"/>
                <w:iCs/>
                <w:color w:val="000000" w:themeColor="text1"/>
                <w:sz w:val="24"/>
                <w:szCs w:val="24"/>
              </w:rPr>
              <w:t>rojekts šo jomu neskar</w:t>
            </w:r>
            <w:r w:rsidR="005127A4" w:rsidRPr="00BE7A8A">
              <w:rPr>
                <w:rFonts w:ascii="Times New Roman" w:hAnsi="Times New Roman" w:cs="Times New Roman"/>
                <w:iCs/>
                <w:color w:val="000000" w:themeColor="text1"/>
                <w:sz w:val="24"/>
                <w:szCs w:val="24"/>
              </w:rPr>
              <w:t>.</w:t>
            </w:r>
          </w:p>
        </w:tc>
      </w:tr>
      <w:tr w:rsidR="00BE7A8A" w:rsidRPr="00BE7A8A" w:rsidTr="006C2B29">
        <w:trPr>
          <w:trHeight w:val="40"/>
        </w:trPr>
        <w:tc>
          <w:tcPr>
            <w:tcW w:w="254" w:type="pct"/>
            <w:tcBorders>
              <w:top w:val="single" w:sz="4" w:space="0" w:color="auto"/>
              <w:left w:val="single" w:sz="4" w:space="0" w:color="auto"/>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556" w:type="pct"/>
            <w:tcBorders>
              <w:top w:val="single" w:sz="4" w:space="0" w:color="auto"/>
              <w:left w:val="outset" w:sz="6" w:space="0" w:color="414142"/>
              <w:bottom w:val="single" w:sz="4" w:space="0" w:color="auto"/>
              <w:right w:val="outset" w:sz="6" w:space="0" w:color="414142"/>
            </w:tcBorders>
            <w:hideMark/>
          </w:tcPr>
          <w:p w:rsidR="004D15A9" w:rsidRPr="00BE7A8A" w:rsidRDefault="004D15A9" w:rsidP="00D56189">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190" w:type="pct"/>
            <w:tcBorders>
              <w:top w:val="single" w:sz="4" w:space="0" w:color="auto"/>
              <w:left w:val="outset" w:sz="6" w:space="0" w:color="414142"/>
              <w:bottom w:val="single" w:sz="4" w:space="0" w:color="auto"/>
              <w:right w:val="single" w:sz="4" w:space="0" w:color="auto"/>
            </w:tcBorders>
            <w:hideMark/>
          </w:tcPr>
          <w:p w:rsidR="004D15A9" w:rsidRPr="00BE7A8A" w:rsidRDefault="00AD1D87" w:rsidP="009C2A41">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r w:rsidR="005127A4" w:rsidRPr="00BE7A8A">
              <w:rPr>
                <w:rFonts w:ascii="Times New Roman" w:eastAsia="Times New Roman" w:hAnsi="Times New Roman" w:cs="Times New Roman"/>
                <w:color w:val="000000" w:themeColor="text1"/>
                <w:sz w:val="24"/>
                <w:szCs w:val="24"/>
                <w:lang w:eastAsia="lv-LV"/>
              </w:rPr>
              <w:t>.</w:t>
            </w:r>
          </w:p>
        </w:tc>
      </w:tr>
    </w:tbl>
    <w:p w:rsidR="006C2B29" w:rsidRDefault="006C2B29"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02"/>
      </w:tblGrid>
      <w:tr w:rsidR="006C2B29" w:rsidRPr="00BE7A8A" w:rsidTr="006C2B29">
        <w:trPr>
          <w:trHeight w:val="511"/>
        </w:trPr>
        <w:tc>
          <w:tcPr>
            <w:tcW w:w="5000" w:type="pct"/>
            <w:tcBorders>
              <w:top w:val="single" w:sz="4" w:space="0" w:color="auto"/>
              <w:left w:val="outset" w:sz="6" w:space="0" w:color="414142"/>
              <w:bottom w:val="outset" w:sz="6" w:space="0" w:color="414142"/>
              <w:right w:val="outset" w:sz="6" w:space="0" w:color="414142"/>
            </w:tcBorders>
            <w:vAlign w:val="center"/>
            <w:hideMark/>
          </w:tcPr>
          <w:p w:rsidR="006C2B29" w:rsidRPr="00BE7A8A" w:rsidRDefault="006C2B29" w:rsidP="00CE783A">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III. Tiesību akta projekta ietekme uz valsts budžetu un pašvaldību budžetiem</w:t>
            </w:r>
          </w:p>
        </w:tc>
      </w:tr>
      <w:tr w:rsidR="006C2B29" w:rsidRPr="00BE7A8A" w:rsidTr="006C2B29">
        <w:trPr>
          <w:trHeight w:val="224"/>
        </w:trPr>
        <w:tc>
          <w:tcPr>
            <w:tcW w:w="5000" w:type="pct"/>
            <w:tcBorders>
              <w:top w:val="outset" w:sz="6" w:space="0" w:color="414142"/>
              <w:left w:val="outset" w:sz="6" w:space="0" w:color="414142"/>
              <w:bottom w:val="outset" w:sz="6" w:space="0" w:color="414142"/>
              <w:right w:val="outset" w:sz="6" w:space="0" w:color="414142"/>
            </w:tcBorders>
          </w:tcPr>
          <w:p w:rsidR="006C2B29" w:rsidRPr="00BE7A8A" w:rsidRDefault="006C2B29" w:rsidP="00CE783A">
            <w:pPr>
              <w:spacing w:after="0" w:line="240" w:lineRule="auto"/>
              <w:jc w:val="center"/>
              <w:rPr>
                <w:rFonts w:ascii="Times New Roman" w:eastAsia="Times New Roman" w:hAnsi="Times New Roman" w:cs="Times New Roman"/>
                <w:i/>
                <w:color w:val="000000" w:themeColor="text1"/>
                <w:sz w:val="24"/>
                <w:szCs w:val="24"/>
                <w:lang w:eastAsia="lv-LV"/>
              </w:rPr>
            </w:pPr>
            <w:r>
              <w:rPr>
                <w:rFonts w:ascii="Times New Roman" w:eastAsia="Times New Roman" w:hAnsi="Times New Roman" w:cs="Times New Roman"/>
                <w:i/>
                <w:color w:val="000000" w:themeColor="text1"/>
                <w:sz w:val="24"/>
                <w:szCs w:val="24"/>
                <w:lang w:eastAsia="lv-LV"/>
              </w:rPr>
              <w:t>Likump</w:t>
            </w:r>
            <w:r w:rsidRPr="00BE7A8A">
              <w:rPr>
                <w:rFonts w:ascii="Times New Roman" w:eastAsia="Times New Roman" w:hAnsi="Times New Roman" w:cs="Times New Roman"/>
                <w:i/>
                <w:color w:val="000000" w:themeColor="text1"/>
                <w:sz w:val="24"/>
                <w:szCs w:val="24"/>
                <w:lang w:eastAsia="lv-LV"/>
              </w:rPr>
              <w:t>rojekts šo jomu neskar.</w:t>
            </w:r>
          </w:p>
        </w:tc>
      </w:tr>
    </w:tbl>
    <w:p w:rsidR="006C2B29" w:rsidRDefault="006C2B29"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2"/>
        <w:gridCol w:w="2651"/>
        <w:gridCol w:w="5989"/>
      </w:tblGrid>
      <w:tr w:rsidR="006C2B29" w:rsidRPr="00BE7A8A" w:rsidTr="006C2B29">
        <w:trPr>
          <w:trHeight w:val="45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2B29" w:rsidRPr="00BE7A8A" w:rsidRDefault="006C2B29" w:rsidP="00CE783A">
            <w:pPr>
              <w:spacing w:after="0" w:line="240" w:lineRule="auto"/>
              <w:ind w:firstLine="283"/>
              <w:jc w:val="both"/>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IV. Tiesību akta projekta ietekme uz spēkā esošo tiesību normu sistēmu</w:t>
            </w:r>
          </w:p>
        </w:tc>
      </w:tr>
      <w:tr w:rsidR="006C2B29" w:rsidRPr="00BE7A8A" w:rsidTr="006C2B29">
        <w:tc>
          <w:tcPr>
            <w:tcW w:w="254" w:type="pct"/>
            <w:tcBorders>
              <w:top w:val="single" w:sz="4" w:space="0" w:color="auto"/>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456" w:type="pct"/>
            <w:tcBorders>
              <w:top w:val="single" w:sz="4" w:space="0" w:color="auto"/>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Nepieciešamie saistītie tiesību aktu projekti</w:t>
            </w:r>
          </w:p>
        </w:tc>
        <w:tc>
          <w:tcPr>
            <w:tcW w:w="3290" w:type="pct"/>
            <w:tcBorders>
              <w:top w:val="single" w:sz="4" w:space="0" w:color="auto"/>
              <w:left w:val="outset" w:sz="6" w:space="0" w:color="414142"/>
              <w:bottom w:val="outset" w:sz="6" w:space="0" w:color="414142"/>
              <w:right w:val="outset" w:sz="6" w:space="0" w:color="414142"/>
            </w:tcBorders>
            <w:hideMark/>
          </w:tcPr>
          <w:p w:rsidR="006C2B29" w:rsidRPr="006D0EEF" w:rsidRDefault="006C2B29" w:rsidP="006C2B29">
            <w:pPr>
              <w:spacing w:after="0" w:line="240" w:lineRule="auto"/>
              <w:jc w:val="both"/>
              <w:rPr>
                <w:rFonts w:ascii="Times New Roman" w:hAnsi="Times New Roman" w:cs="Times New Roman"/>
                <w:color w:val="000000" w:themeColor="text1"/>
                <w:sz w:val="24"/>
                <w:szCs w:val="24"/>
              </w:rPr>
            </w:pPr>
            <w:r w:rsidRPr="006D0EEF">
              <w:rPr>
                <w:rFonts w:ascii="Times New Roman" w:hAnsi="Times New Roman" w:cs="Times New Roman"/>
                <w:sz w:val="24"/>
                <w:szCs w:val="24"/>
              </w:rPr>
              <w:t xml:space="preserve">Pēc likumprojekta pieņemšanas Saeimā 2. lasījumā tiks virzīts Ministru kabineta noteikumu projekts par grozījumiem </w:t>
            </w:r>
            <w:r w:rsidRPr="006C2B29">
              <w:rPr>
                <w:rFonts w:ascii="Times New Roman" w:eastAsia="Times New Roman" w:hAnsi="Times New Roman" w:cs="Times New Roman"/>
                <w:color w:val="000000" w:themeColor="text1"/>
                <w:sz w:val="24"/>
                <w:szCs w:val="24"/>
                <w:lang w:eastAsia="lv-LV"/>
              </w:rPr>
              <w:t>atsevišķos</w:t>
            </w:r>
            <w:r w:rsidRPr="006D0EEF">
              <w:rPr>
                <w:rFonts w:ascii="Times New Roman" w:hAnsi="Times New Roman" w:cs="Times New Roman"/>
                <w:sz w:val="24"/>
                <w:szCs w:val="24"/>
              </w:rPr>
              <w:t xml:space="preserve"> Ministru kabineta noteikumos Eiropas mantošanas apliecības ieviešanai</w:t>
            </w:r>
            <w:r>
              <w:rPr>
                <w:rFonts w:ascii="Times New Roman" w:hAnsi="Times New Roman" w:cs="Times New Roman"/>
                <w:sz w:val="24"/>
                <w:szCs w:val="24"/>
              </w:rPr>
              <w:t>.</w:t>
            </w:r>
          </w:p>
        </w:tc>
      </w:tr>
      <w:tr w:rsidR="006C2B29" w:rsidRPr="00BE7A8A" w:rsidTr="006C2B29">
        <w:tc>
          <w:tcPr>
            <w:tcW w:w="254"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456"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Atbildīgā institūcija</w:t>
            </w:r>
          </w:p>
        </w:tc>
        <w:tc>
          <w:tcPr>
            <w:tcW w:w="3290"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Tieslietu ministrija.</w:t>
            </w:r>
          </w:p>
        </w:tc>
      </w:tr>
      <w:tr w:rsidR="006C2B29" w:rsidRPr="00BE7A8A" w:rsidTr="006C2B29">
        <w:tc>
          <w:tcPr>
            <w:tcW w:w="254"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456"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90" w:type="pct"/>
            <w:tcBorders>
              <w:top w:val="outset" w:sz="6" w:space="0" w:color="414142"/>
              <w:left w:val="outset" w:sz="6" w:space="0" w:color="414142"/>
              <w:bottom w:val="outset" w:sz="6" w:space="0" w:color="414142"/>
              <w:right w:val="outset" w:sz="6" w:space="0" w:color="414142"/>
            </w:tcBorders>
            <w:hideMark/>
          </w:tcPr>
          <w:p w:rsidR="006C2B29" w:rsidRPr="00BE7A8A" w:rsidRDefault="006C2B29"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p>
        </w:tc>
      </w:tr>
    </w:tbl>
    <w:p w:rsidR="006C2B29" w:rsidRPr="00BE7A8A" w:rsidRDefault="006C2B29"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1451"/>
        <w:gridCol w:w="1163"/>
        <w:gridCol w:w="1247"/>
        <w:gridCol w:w="2552"/>
        <w:gridCol w:w="2266"/>
      </w:tblGrid>
      <w:tr w:rsidR="00C32B2A" w:rsidRPr="00FA75B1" w:rsidTr="006C2B2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rsidR="00C32B2A" w:rsidRPr="00FA3933" w:rsidRDefault="00C32B2A" w:rsidP="00080575">
            <w:pPr>
              <w:spacing w:after="0" w:line="240" w:lineRule="auto"/>
              <w:ind w:firstLine="300"/>
              <w:jc w:val="center"/>
              <w:rPr>
                <w:rFonts w:ascii="Times New Roman" w:eastAsia="Times New Roman" w:hAnsi="Times New Roman"/>
                <w:b/>
                <w:bCs/>
                <w:sz w:val="24"/>
                <w:szCs w:val="24"/>
                <w:lang w:eastAsia="lv-LV"/>
              </w:rPr>
            </w:pPr>
            <w:r w:rsidRPr="00FA3933">
              <w:rPr>
                <w:rFonts w:ascii="Times New Roman" w:eastAsia="Times New Roman" w:hAnsi="Times New Roman"/>
                <w:b/>
                <w:bCs/>
                <w:sz w:val="24"/>
                <w:szCs w:val="24"/>
                <w:lang w:eastAsia="lv-LV"/>
              </w:rPr>
              <w:t>V. Tiesību akta projekta atbilstība Latvijas Republikas starptautiskajām saistībām</w:t>
            </w:r>
          </w:p>
        </w:tc>
      </w:tr>
      <w:tr w:rsidR="00C32B2A" w:rsidRPr="00FA75B1" w:rsidTr="006C2B29">
        <w:tc>
          <w:tcPr>
            <w:tcW w:w="232"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1.</w:t>
            </w:r>
          </w:p>
        </w:tc>
        <w:tc>
          <w:tcPr>
            <w:tcW w:w="1436" w:type="pct"/>
            <w:gridSpan w:val="2"/>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Saistības pret Eiropas Savienību</w:t>
            </w:r>
          </w:p>
        </w:tc>
        <w:tc>
          <w:tcPr>
            <w:tcW w:w="3332" w:type="pct"/>
            <w:gridSpan w:val="3"/>
            <w:tcBorders>
              <w:top w:val="outset" w:sz="6" w:space="0" w:color="414142"/>
              <w:left w:val="outset" w:sz="6" w:space="0" w:color="414142"/>
              <w:bottom w:val="outset" w:sz="6" w:space="0" w:color="414142"/>
              <w:right w:val="outset" w:sz="6" w:space="0" w:color="414142"/>
            </w:tcBorders>
            <w:hideMark/>
          </w:tcPr>
          <w:p w:rsidR="00C32B2A" w:rsidRPr="00FA3933" w:rsidRDefault="00BA0F4A" w:rsidP="006D0EEF">
            <w:pPr>
              <w:spacing w:after="0" w:line="240" w:lineRule="auto"/>
              <w:jc w:val="both"/>
              <w:rPr>
                <w:rFonts w:ascii="Times New Roman" w:eastAsia="Times New Roman" w:hAnsi="Times New Roman"/>
                <w:sz w:val="24"/>
                <w:szCs w:val="24"/>
                <w:lang w:eastAsia="lv-LV"/>
              </w:rPr>
            </w:pPr>
            <w:r w:rsidRPr="00BA0F4A">
              <w:rPr>
                <w:rFonts w:ascii="Times New Roman" w:eastAsia="Times New Roman" w:hAnsi="Times New Roman"/>
                <w:sz w:val="24"/>
                <w:szCs w:val="24"/>
                <w:lang w:eastAsia="lv-LV"/>
              </w:rPr>
              <w:t>Eiropas Parlamenta un Padomes 2012. gada 4. jūlija regul</w:t>
            </w:r>
            <w:r w:rsidR="006D0EEF">
              <w:rPr>
                <w:rFonts w:ascii="Times New Roman" w:eastAsia="Times New Roman" w:hAnsi="Times New Roman"/>
                <w:sz w:val="24"/>
                <w:szCs w:val="24"/>
                <w:lang w:eastAsia="lv-LV"/>
              </w:rPr>
              <w:t>a</w:t>
            </w:r>
            <w:r w:rsidRPr="00BA0F4A">
              <w:rPr>
                <w:rFonts w:ascii="Times New Roman" w:eastAsia="Times New Roman" w:hAnsi="Times New Roman"/>
                <w:sz w:val="24"/>
                <w:szCs w:val="24"/>
                <w:lang w:eastAsia="lv-LV"/>
              </w:rPr>
              <w:t xml:space="preserve"> (ES) Nr. 650/2012 par jurisdikciju, piemērojamiem tiesību aktiem, nolēmumu atzīšanu un izpildi un publisku aktu akceptēšanu un izpildi mantošanas lietās un par Eiropas mantošanas apliecības izveidi</w:t>
            </w:r>
            <w:r>
              <w:rPr>
                <w:rFonts w:ascii="Times New Roman" w:eastAsia="Times New Roman" w:hAnsi="Times New Roman"/>
                <w:sz w:val="24"/>
                <w:szCs w:val="24"/>
                <w:lang w:eastAsia="lv-LV"/>
              </w:rPr>
              <w:t xml:space="preserve">. </w:t>
            </w:r>
            <w:r w:rsidR="00C32B2A" w:rsidRPr="009F2850">
              <w:rPr>
                <w:rFonts w:ascii="Times New Roman" w:eastAsia="Times New Roman" w:hAnsi="Times New Roman"/>
                <w:bCs/>
                <w:sz w:val="24"/>
                <w:szCs w:val="24"/>
                <w:lang w:eastAsia="lv-LV"/>
              </w:rPr>
              <w:t xml:space="preserve">Saskaņā ar </w:t>
            </w:r>
            <w:r>
              <w:rPr>
                <w:rFonts w:ascii="Times New Roman" w:eastAsia="Times New Roman" w:hAnsi="Times New Roman"/>
                <w:bCs/>
                <w:sz w:val="24"/>
                <w:szCs w:val="24"/>
                <w:lang w:eastAsia="lv-LV"/>
              </w:rPr>
              <w:t>Regulas</w:t>
            </w:r>
            <w:r w:rsidR="00C32B2A" w:rsidRPr="009F2850">
              <w:rPr>
                <w:rFonts w:ascii="Times New Roman" w:eastAsia="Times New Roman" w:hAnsi="Times New Roman"/>
                <w:bCs/>
                <w:sz w:val="24"/>
                <w:szCs w:val="24"/>
                <w:lang w:eastAsia="lv-LV"/>
              </w:rPr>
              <w:t xml:space="preserve"> </w:t>
            </w:r>
            <w:proofErr w:type="gramStart"/>
            <w:r>
              <w:rPr>
                <w:rFonts w:ascii="Times New Roman" w:eastAsia="Times New Roman" w:hAnsi="Times New Roman"/>
                <w:bCs/>
                <w:sz w:val="24"/>
                <w:szCs w:val="24"/>
                <w:lang w:eastAsia="lv-LV"/>
              </w:rPr>
              <w:t>84</w:t>
            </w:r>
            <w:r w:rsidR="00C32B2A" w:rsidRPr="009F2850">
              <w:rPr>
                <w:rFonts w:ascii="Times New Roman" w:eastAsia="Times New Roman" w:hAnsi="Times New Roman"/>
                <w:bCs/>
                <w:sz w:val="24"/>
                <w:szCs w:val="24"/>
                <w:lang w:eastAsia="lv-LV"/>
              </w:rPr>
              <w:t>.pantu</w:t>
            </w:r>
            <w:proofErr w:type="gramEnd"/>
            <w:r w:rsidR="00C32B2A" w:rsidRPr="009F2850">
              <w:rPr>
                <w:rFonts w:ascii="Times New Roman" w:eastAsia="Times New Roman" w:hAnsi="Times New Roman"/>
                <w:bCs/>
                <w:sz w:val="24"/>
                <w:szCs w:val="24"/>
                <w:lang w:eastAsia="lv-LV"/>
              </w:rPr>
              <w:t xml:space="preserve"> tās </w:t>
            </w:r>
            <w:r>
              <w:rPr>
                <w:rFonts w:ascii="Times New Roman" w:eastAsia="Times New Roman" w:hAnsi="Times New Roman"/>
                <w:bCs/>
                <w:sz w:val="24"/>
                <w:szCs w:val="24"/>
                <w:lang w:eastAsia="lv-LV"/>
              </w:rPr>
              <w:t>piemērošanas</w:t>
            </w:r>
            <w:r w:rsidR="00C32B2A" w:rsidRPr="009F2850">
              <w:rPr>
                <w:rFonts w:ascii="Times New Roman" w:eastAsia="Times New Roman" w:hAnsi="Times New Roman"/>
                <w:bCs/>
                <w:sz w:val="24"/>
                <w:szCs w:val="24"/>
                <w:lang w:eastAsia="lv-LV"/>
              </w:rPr>
              <w:t xml:space="preserve"> termiņš ir 2015.gada </w:t>
            </w:r>
            <w:r>
              <w:rPr>
                <w:rFonts w:ascii="Times New Roman" w:eastAsia="Times New Roman" w:hAnsi="Times New Roman"/>
                <w:bCs/>
                <w:sz w:val="24"/>
                <w:szCs w:val="24"/>
                <w:lang w:eastAsia="lv-LV"/>
              </w:rPr>
              <w:t>17.augusts</w:t>
            </w:r>
            <w:r w:rsidR="00C32B2A" w:rsidRPr="009F2850">
              <w:rPr>
                <w:rFonts w:ascii="Times New Roman" w:eastAsia="Times New Roman" w:hAnsi="Times New Roman"/>
                <w:bCs/>
                <w:sz w:val="24"/>
                <w:szCs w:val="24"/>
                <w:lang w:eastAsia="lv-LV"/>
              </w:rPr>
              <w:t>.</w:t>
            </w:r>
          </w:p>
        </w:tc>
      </w:tr>
      <w:tr w:rsidR="00C32B2A" w:rsidRPr="00FA75B1" w:rsidTr="006C2B29">
        <w:tc>
          <w:tcPr>
            <w:tcW w:w="232"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2.</w:t>
            </w:r>
          </w:p>
        </w:tc>
        <w:tc>
          <w:tcPr>
            <w:tcW w:w="1436" w:type="pct"/>
            <w:gridSpan w:val="2"/>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Citas starptautiskās saistības</w:t>
            </w:r>
          </w:p>
        </w:tc>
        <w:tc>
          <w:tcPr>
            <w:tcW w:w="3332" w:type="pct"/>
            <w:gridSpan w:val="3"/>
            <w:tcBorders>
              <w:top w:val="outset" w:sz="6" w:space="0" w:color="414142"/>
              <w:left w:val="outset" w:sz="6" w:space="0" w:color="414142"/>
              <w:bottom w:val="outset" w:sz="6" w:space="0" w:color="414142"/>
              <w:right w:val="outset" w:sz="6" w:space="0" w:color="414142"/>
            </w:tcBorders>
            <w:hideMark/>
          </w:tcPr>
          <w:p w:rsidR="00C32B2A" w:rsidRPr="00FA75B1" w:rsidRDefault="00C32B2A" w:rsidP="006C2B29">
            <w:pPr>
              <w:spacing w:after="0" w:line="240" w:lineRule="auto"/>
              <w:ind w:firstLine="14"/>
              <w:jc w:val="both"/>
              <w:rPr>
                <w:rFonts w:ascii="Times New Roman" w:hAnsi="Times New Roman"/>
                <w:sz w:val="24"/>
                <w:szCs w:val="24"/>
                <w:lang w:eastAsia="lv-LV"/>
              </w:rPr>
            </w:pPr>
            <w:r>
              <w:rPr>
                <w:rFonts w:ascii="Times New Roman" w:hAnsi="Times New Roman"/>
                <w:sz w:val="24"/>
                <w:szCs w:val="24"/>
                <w:lang w:eastAsia="lv-LV"/>
              </w:rPr>
              <w:t>Nav.</w:t>
            </w:r>
          </w:p>
        </w:tc>
      </w:tr>
      <w:tr w:rsidR="00C32B2A" w:rsidRPr="00FA75B1" w:rsidTr="006C2B29">
        <w:tc>
          <w:tcPr>
            <w:tcW w:w="232"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3.</w:t>
            </w:r>
          </w:p>
        </w:tc>
        <w:tc>
          <w:tcPr>
            <w:tcW w:w="1436" w:type="pct"/>
            <w:gridSpan w:val="2"/>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3332" w:type="pct"/>
            <w:gridSpan w:val="3"/>
            <w:tcBorders>
              <w:top w:val="outset" w:sz="6" w:space="0" w:color="414142"/>
              <w:left w:val="outset" w:sz="6" w:space="0" w:color="414142"/>
              <w:bottom w:val="outset" w:sz="6" w:space="0" w:color="414142"/>
              <w:right w:val="outset" w:sz="6" w:space="0" w:color="414142"/>
            </w:tcBorders>
            <w:hideMark/>
          </w:tcPr>
          <w:p w:rsidR="00C32B2A" w:rsidRPr="00FA3933" w:rsidRDefault="00C32B2A" w:rsidP="00080575">
            <w:pPr>
              <w:spacing w:after="0" w:line="240" w:lineRule="auto"/>
              <w:ind w:firstLine="14"/>
              <w:jc w:val="both"/>
              <w:rPr>
                <w:rFonts w:ascii="Times New Roman" w:eastAsia="Times New Roman" w:hAnsi="Times New Roman"/>
                <w:sz w:val="24"/>
                <w:szCs w:val="24"/>
                <w:lang w:eastAsia="lv-LV"/>
              </w:rPr>
            </w:pPr>
            <w:r w:rsidRPr="00FA75B1">
              <w:rPr>
                <w:rFonts w:ascii="Times New Roman" w:hAnsi="Times New Roman"/>
                <w:sz w:val="24"/>
                <w:szCs w:val="24"/>
                <w:lang w:eastAsia="lv-LV"/>
              </w:rPr>
              <w:t>Nav.</w:t>
            </w:r>
          </w:p>
        </w:tc>
      </w:tr>
      <w:tr w:rsidR="00C32B2A"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523"/>
        </w:trPr>
        <w:tc>
          <w:tcPr>
            <w:tcW w:w="5000" w:type="pct"/>
            <w:gridSpan w:val="6"/>
            <w:tcBorders>
              <w:top w:val="outset" w:sz="6" w:space="0" w:color="auto"/>
              <w:left w:val="outset" w:sz="6" w:space="0" w:color="auto"/>
              <w:bottom w:val="outset" w:sz="6" w:space="0" w:color="auto"/>
              <w:right w:val="outset" w:sz="6" w:space="0" w:color="auto"/>
            </w:tcBorders>
            <w:vAlign w:val="center"/>
          </w:tcPr>
          <w:p w:rsidR="00C32B2A" w:rsidRPr="00FA75B1" w:rsidRDefault="00C32B2A" w:rsidP="00080575">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t>1.tabula</w:t>
            </w:r>
          </w:p>
          <w:p w:rsidR="00C32B2A" w:rsidRPr="006C2B29" w:rsidRDefault="00C32B2A" w:rsidP="006C2B29">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t>Tiesību akta projekta atbilstība ES tiesību aktiem</w:t>
            </w:r>
          </w:p>
        </w:tc>
      </w:tr>
      <w:tr w:rsidR="00C32B2A"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Pr>
        <w:tc>
          <w:tcPr>
            <w:tcW w:w="1029"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lastRenderedPageBreak/>
              <w:t>Attiecīgā ES tiesību akta datums, numurs un nosaukums</w:t>
            </w:r>
          </w:p>
        </w:tc>
        <w:tc>
          <w:tcPr>
            <w:tcW w:w="3971" w:type="pct"/>
            <w:gridSpan w:val="4"/>
            <w:tcBorders>
              <w:top w:val="outset" w:sz="6" w:space="0" w:color="auto"/>
              <w:left w:val="outset" w:sz="6" w:space="0" w:color="auto"/>
              <w:bottom w:val="outset" w:sz="6" w:space="0" w:color="auto"/>
              <w:right w:val="outset" w:sz="6" w:space="0" w:color="auto"/>
            </w:tcBorders>
          </w:tcPr>
          <w:p w:rsidR="00C32B2A" w:rsidRPr="00FA75B1" w:rsidRDefault="00BA0F4A" w:rsidP="006D0EEF">
            <w:pPr>
              <w:spacing w:after="0" w:line="240" w:lineRule="auto"/>
              <w:ind w:left="57"/>
              <w:jc w:val="both"/>
              <w:rPr>
                <w:rFonts w:ascii="Times New Roman" w:hAnsi="Times New Roman"/>
                <w:sz w:val="24"/>
                <w:szCs w:val="24"/>
                <w:lang w:eastAsia="lv-LV"/>
              </w:rPr>
            </w:pPr>
            <w:r w:rsidRPr="00BA0F4A">
              <w:rPr>
                <w:rFonts w:ascii="Times New Roman" w:eastAsia="Times New Roman" w:hAnsi="Times New Roman"/>
                <w:sz w:val="24"/>
                <w:szCs w:val="24"/>
                <w:lang w:eastAsia="lv-LV"/>
              </w:rPr>
              <w:t>Eiropas Parlamenta un Padomes 2012. gada 4. jūlija regul</w:t>
            </w:r>
            <w:r w:rsidR="006D0EEF">
              <w:rPr>
                <w:rFonts w:ascii="Times New Roman" w:eastAsia="Times New Roman" w:hAnsi="Times New Roman"/>
                <w:sz w:val="24"/>
                <w:szCs w:val="24"/>
                <w:lang w:eastAsia="lv-LV"/>
              </w:rPr>
              <w:t xml:space="preserve">a </w:t>
            </w:r>
            <w:r w:rsidRPr="00BA0F4A">
              <w:rPr>
                <w:rFonts w:ascii="Times New Roman" w:eastAsia="Times New Roman" w:hAnsi="Times New Roman"/>
                <w:sz w:val="24"/>
                <w:szCs w:val="24"/>
                <w:lang w:eastAsia="lv-LV"/>
              </w:rPr>
              <w:t>(ES) Nr. 650/2012 par jurisdikciju, piemērojamiem tiesību aktiem, nolēmumu atzīšanu un izpildi un publisku aktu akceptēšanu un izpildi mantošanas lietās un par Eiropas mantošanas apliecības izveidi</w:t>
            </w:r>
            <w:r>
              <w:rPr>
                <w:rFonts w:ascii="Times New Roman" w:eastAsia="Times New Roman" w:hAnsi="Times New Roman"/>
                <w:sz w:val="24"/>
                <w:szCs w:val="24"/>
                <w:lang w:eastAsia="lv-LV"/>
              </w:rPr>
              <w:t>.</w:t>
            </w:r>
          </w:p>
        </w:tc>
      </w:tr>
      <w:tr w:rsidR="006C2B29"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Pr>
        <w:tc>
          <w:tcPr>
            <w:tcW w:w="1029" w:type="pct"/>
            <w:gridSpan w:val="2"/>
            <w:tcBorders>
              <w:top w:val="outset" w:sz="6" w:space="0" w:color="auto"/>
              <w:left w:val="outset" w:sz="6" w:space="0" w:color="auto"/>
              <w:bottom w:val="outset" w:sz="6" w:space="0" w:color="auto"/>
              <w:right w:val="outset" w:sz="6" w:space="0" w:color="auto"/>
            </w:tcBorders>
            <w:vAlign w:val="center"/>
          </w:tcPr>
          <w:p w:rsidR="00C32B2A" w:rsidRPr="00FA75B1" w:rsidRDefault="00C32B2A" w:rsidP="00080575">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A</w:t>
            </w:r>
          </w:p>
        </w:tc>
        <w:tc>
          <w:tcPr>
            <w:tcW w:w="1324" w:type="pct"/>
            <w:gridSpan w:val="2"/>
            <w:tcBorders>
              <w:top w:val="outset" w:sz="6" w:space="0" w:color="auto"/>
              <w:left w:val="outset" w:sz="6" w:space="0" w:color="auto"/>
              <w:bottom w:val="outset" w:sz="6" w:space="0" w:color="auto"/>
              <w:right w:val="outset" w:sz="6" w:space="0" w:color="auto"/>
            </w:tcBorders>
            <w:vAlign w:val="center"/>
          </w:tcPr>
          <w:p w:rsidR="00C32B2A" w:rsidRPr="00FA75B1" w:rsidRDefault="00C32B2A" w:rsidP="00080575">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B</w:t>
            </w:r>
          </w:p>
        </w:tc>
        <w:tc>
          <w:tcPr>
            <w:tcW w:w="1402" w:type="pct"/>
            <w:tcBorders>
              <w:top w:val="outset" w:sz="6" w:space="0" w:color="auto"/>
              <w:left w:val="outset" w:sz="6" w:space="0" w:color="auto"/>
              <w:bottom w:val="outset" w:sz="6" w:space="0" w:color="auto"/>
              <w:right w:val="outset" w:sz="6" w:space="0" w:color="auto"/>
            </w:tcBorders>
            <w:vAlign w:val="center"/>
          </w:tcPr>
          <w:p w:rsidR="00C32B2A" w:rsidRPr="00FA75B1" w:rsidRDefault="00C32B2A" w:rsidP="00080575">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C</w:t>
            </w:r>
          </w:p>
        </w:tc>
        <w:tc>
          <w:tcPr>
            <w:tcW w:w="1245" w:type="pct"/>
            <w:tcBorders>
              <w:top w:val="outset" w:sz="6" w:space="0" w:color="auto"/>
              <w:left w:val="outset" w:sz="6" w:space="0" w:color="auto"/>
              <w:bottom w:val="outset" w:sz="6" w:space="0" w:color="auto"/>
              <w:right w:val="outset" w:sz="6" w:space="0" w:color="auto"/>
            </w:tcBorders>
            <w:vAlign w:val="center"/>
          </w:tcPr>
          <w:p w:rsidR="00C32B2A" w:rsidRPr="00FA75B1" w:rsidRDefault="00C32B2A" w:rsidP="00080575">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D</w:t>
            </w:r>
          </w:p>
        </w:tc>
      </w:tr>
      <w:tr w:rsidR="006C2B29"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7294"/>
        </w:trPr>
        <w:tc>
          <w:tcPr>
            <w:tcW w:w="1029"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Attiecīgā ES tiesību akta panta numurs (uzskaitot katru tiesību akta vienību – pantu, daļu, punktu, apakšpunktu)</w:t>
            </w:r>
          </w:p>
        </w:tc>
        <w:tc>
          <w:tcPr>
            <w:tcW w:w="1324"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 xml:space="preserve">Projekta vienība, kas pārņem vai ievieš katru šīs tabulas A ailē minēto ES tiesību akta vienību, vai tiesību </w:t>
            </w:r>
            <w:smartTag w:uri="schemas-tilde-lv/tildestengine" w:element="veidnes">
              <w:smartTagPr>
                <w:attr w:name="id" w:val="-1"/>
                <w:attr w:name="baseform" w:val="akts"/>
                <w:attr w:name="text" w:val="akts"/>
              </w:smartTagPr>
              <w:r w:rsidRPr="00FA75B1">
                <w:rPr>
                  <w:rFonts w:ascii="Times New Roman" w:hAnsi="Times New Roman"/>
                  <w:spacing w:val="-3"/>
                  <w:sz w:val="24"/>
                  <w:szCs w:val="24"/>
                  <w:lang w:eastAsia="lv-LV"/>
                </w:rPr>
                <w:t>akts</w:t>
              </w:r>
            </w:smartTag>
            <w:r w:rsidRPr="00FA75B1">
              <w:rPr>
                <w:rFonts w:ascii="Times New Roman" w:hAnsi="Times New Roman"/>
                <w:spacing w:val="-3"/>
                <w:sz w:val="24"/>
                <w:szCs w:val="24"/>
                <w:lang w:eastAsia="lv-LV"/>
              </w:rPr>
              <w:t>, kur attiecīgā ES tiesību akta vienība pārņemta vai ieviesta</w:t>
            </w:r>
          </w:p>
        </w:tc>
        <w:tc>
          <w:tcPr>
            <w:tcW w:w="1402" w:type="pct"/>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Informācija par to, vai šīs tabulas A ailē minētās ES tiesību akta vienības tiek pārņemtas vai ieviestas pilnībā vai daļēji.</w:t>
            </w:r>
          </w:p>
          <w:p w:rsidR="00C32B2A" w:rsidRPr="00FA75B1" w:rsidRDefault="00C32B2A" w:rsidP="00080575">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C32B2A" w:rsidRPr="00FA75B1" w:rsidRDefault="00C32B2A" w:rsidP="00080575">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Norāda institūciju, kas ir atbildīga par šo saistību izpildi pilnībā</w:t>
            </w:r>
          </w:p>
        </w:tc>
        <w:tc>
          <w:tcPr>
            <w:tcW w:w="1245" w:type="pct"/>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z w:val="24"/>
                <w:szCs w:val="24"/>
                <w:lang w:eastAsia="lv-LV"/>
              </w:rPr>
            </w:pPr>
            <w:r w:rsidRPr="00FA75B1">
              <w:rPr>
                <w:rFonts w:ascii="Times New Roman" w:hAnsi="Times New Roman"/>
                <w:spacing w:val="-3"/>
                <w:sz w:val="24"/>
                <w:szCs w:val="24"/>
                <w:lang w:eastAsia="lv-LV"/>
              </w:rPr>
              <w:t xml:space="preserve">Informācija par to, vai šīs </w:t>
            </w:r>
            <w:r w:rsidRPr="00FA75B1">
              <w:rPr>
                <w:rFonts w:ascii="Times New Roman" w:hAnsi="Times New Roman"/>
                <w:sz w:val="24"/>
                <w:szCs w:val="24"/>
                <w:lang w:eastAsia="lv-LV"/>
              </w:rPr>
              <w:t>tabulas B ailē minētās projekta vienības paredz stingrākas prasības nekā šīs tabulas A ailē minētās ES tiesību akta vienības.</w:t>
            </w:r>
          </w:p>
          <w:p w:rsidR="00C32B2A" w:rsidRPr="00FA75B1" w:rsidRDefault="00C32B2A" w:rsidP="00080575">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 xml:space="preserve">Ja projekts satur stingrākas prasības nekā attiecīgais ES tiesību </w:t>
            </w:r>
            <w:smartTag w:uri="schemas-tilde-lv/tildestengine" w:element="veidnes">
              <w:smartTagPr>
                <w:attr w:name="id" w:val="-1"/>
                <w:attr w:name="baseform" w:val="akts"/>
                <w:attr w:name="text" w:val="akts"/>
              </w:smartTagPr>
              <w:r w:rsidRPr="00FA75B1">
                <w:rPr>
                  <w:rFonts w:ascii="Times New Roman" w:hAnsi="Times New Roman"/>
                  <w:sz w:val="24"/>
                  <w:szCs w:val="24"/>
                  <w:lang w:eastAsia="lv-LV"/>
                </w:rPr>
                <w:t>akts</w:t>
              </w:r>
            </w:smartTag>
            <w:r w:rsidRPr="00FA75B1">
              <w:rPr>
                <w:rFonts w:ascii="Times New Roman" w:hAnsi="Times New Roman"/>
                <w:sz w:val="24"/>
                <w:szCs w:val="24"/>
                <w:lang w:eastAsia="lv-LV"/>
              </w:rPr>
              <w:t>, norāda pamatojumu un samērīgumu.</w:t>
            </w:r>
          </w:p>
          <w:p w:rsidR="00C32B2A" w:rsidRPr="00FA75B1" w:rsidRDefault="00C32B2A" w:rsidP="00080575">
            <w:pPr>
              <w:spacing w:after="0" w:line="240" w:lineRule="auto"/>
              <w:ind w:left="57"/>
              <w:jc w:val="both"/>
              <w:rPr>
                <w:rFonts w:ascii="Times New Roman" w:hAnsi="Times New Roman"/>
                <w:spacing w:val="-3"/>
                <w:sz w:val="24"/>
                <w:szCs w:val="24"/>
                <w:lang w:eastAsia="lv-LV"/>
              </w:rPr>
            </w:pPr>
            <w:r w:rsidRPr="00FA75B1">
              <w:rPr>
                <w:rFonts w:ascii="Times New Roman" w:hAnsi="Times New Roman"/>
                <w:sz w:val="24"/>
                <w:szCs w:val="24"/>
                <w:lang w:eastAsia="lv-LV"/>
              </w:rPr>
              <w:t>Norāda iespējamās alternatīvas (t.sk. alternatīvas, kas neparedz tiesiskā regulējuma izstrādi) – kādos gadījumos būtu iespējams izvairīties no stingrāku prasību</w:t>
            </w:r>
            <w:r w:rsidRPr="00FA75B1">
              <w:rPr>
                <w:rFonts w:ascii="Times New Roman" w:hAnsi="Times New Roman"/>
                <w:spacing w:val="-3"/>
                <w:sz w:val="24"/>
                <w:szCs w:val="24"/>
                <w:lang w:eastAsia="lv-LV"/>
              </w:rPr>
              <w:t xml:space="preserve"> noteikšanas, nekā paredzēts attiecīgajos ES tiesību aktos</w:t>
            </w:r>
          </w:p>
        </w:tc>
      </w:tr>
      <w:tr w:rsidR="006C2B29"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trHeight w:val="8173"/>
        </w:trPr>
        <w:tc>
          <w:tcPr>
            <w:tcW w:w="1029" w:type="pct"/>
            <w:gridSpan w:val="2"/>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BA0F4A" w:rsidP="00080575">
            <w:pPr>
              <w:spacing w:after="0" w:line="240" w:lineRule="auto"/>
              <w:jc w:val="both"/>
              <w:rPr>
                <w:rFonts w:ascii="Times New Roman" w:hAnsi="Times New Roman"/>
                <w:sz w:val="24"/>
                <w:szCs w:val="24"/>
                <w:lang w:eastAsia="lv-LV"/>
              </w:rPr>
            </w:pPr>
            <w:proofErr w:type="gramStart"/>
            <w:r>
              <w:rPr>
                <w:rFonts w:ascii="Times New Roman" w:hAnsi="Times New Roman"/>
                <w:sz w:val="24"/>
                <w:szCs w:val="24"/>
                <w:lang w:eastAsia="lv-LV"/>
              </w:rPr>
              <w:lastRenderedPageBreak/>
              <w:t>62.pants</w:t>
            </w:r>
            <w:proofErr w:type="gramEnd"/>
            <w:r w:rsidR="00C32B2A">
              <w:rPr>
                <w:rFonts w:ascii="Times New Roman" w:hAnsi="Times New Roman"/>
                <w:sz w:val="24"/>
                <w:szCs w:val="24"/>
                <w:lang w:eastAsia="lv-LV"/>
              </w:rPr>
              <w:t xml:space="preserve"> </w:t>
            </w:r>
          </w:p>
        </w:tc>
        <w:tc>
          <w:tcPr>
            <w:tcW w:w="1324" w:type="pct"/>
            <w:gridSpan w:val="2"/>
            <w:tcBorders>
              <w:top w:val="outset" w:sz="6" w:space="0" w:color="auto"/>
              <w:left w:val="outset" w:sz="6" w:space="0" w:color="auto"/>
              <w:bottom w:val="outset" w:sz="6" w:space="0" w:color="auto"/>
              <w:right w:val="outset" w:sz="6" w:space="0" w:color="auto"/>
            </w:tcBorders>
            <w:shd w:val="clear" w:color="auto" w:fill="auto"/>
          </w:tcPr>
          <w:p w:rsidR="00A0462A" w:rsidRDefault="00A0462A" w:rsidP="00A0462A">
            <w:pPr>
              <w:pStyle w:val="naisf"/>
              <w:spacing w:before="0" w:beforeAutospacing="0" w:after="0" w:afterAutospacing="0"/>
              <w:jc w:val="both"/>
              <w:rPr>
                <w:color w:val="000000" w:themeColor="text1"/>
              </w:rPr>
            </w:pPr>
            <w:r>
              <w:rPr>
                <w:color w:val="000000" w:themeColor="text1"/>
              </w:rPr>
              <w:t>Viss likumprojekts:</w:t>
            </w:r>
          </w:p>
          <w:p w:rsidR="00A0462A" w:rsidRPr="00BE7A8A" w:rsidRDefault="00A0462A" w:rsidP="00A0462A">
            <w:pPr>
              <w:pStyle w:val="naisf"/>
              <w:spacing w:before="0" w:beforeAutospacing="0" w:after="0" w:afterAutospacing="0"/>
              <w:ind w:firstLine="541"/>
              <w:jc w:val="both"/>
              <w:rPr>
                <w:color w:val="000000" w:themeColor="text1"/>
              </w:rPr>
            </w:pPr>
            <w:r>
              <w:rPr>
                <w:color w:val="000000" w:themeColor="text1"/>
              </w:rPr>
              <w:t>1) Ceļu satiksmes likum</w:t>
            </w:r>
            <w:r w:rsidR="006A269A">
              <w:rPr>
                <w:color w:val="000000" w:themeColor="text1"/>
              </w:rPr>
              <w:t>a 10., 11., 12.pants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2) Diplomātu izdienas pensiju likum</w:t>
            </w:r>
            <w:r w:rsidR="006A269A">
              <w:rPr>
                <w:color w:val="000000" w:themeColor="text1"/>
              </w:rPr>
              <w:t>a 13.pants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3) Korupcijas novēršanas un apkarošanas biroja amatpersonu izdienas pensiju likum</w:t>
            </w:r>
            <w:r w:rsidR="006A269A">
              <w:rPr>
                <w:color w:val="000000" w:themeColor="text1"/>
              </w:rPr>
              <w:t>a 12.pants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4) Militā</w:t>
            </w:r>
            <w:r w:rsidR="006A269A">
              <w:rPr>
                <w:color w:val="000000" w:themeColor="text1"/>
              </w:rPr>
              <w:t>rpersonu izdienas pensiju likuma 13.pants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5) Lik</w:t>
            </w:r>
            <w:r>
              <w:rPr>
                <w:color w:val="000000" w:themeColor="text1"/>
              </w:rPr>
              <w:t>ums</w:t>
            </w:r>
            <w:r w:rsidRPr="00BE7A8A">
              <w:rPr>
                <w:color w:val="000000" w:themeColor="text1"/>
              </w:rPr>
              <w:t xml:space="preserve"> „Par izdienas pensijām Iekšlietu ministrijas sistēmas darbiniekiem ar speciālajām dienesta pakāpēm”</w:t>
            </w:r>
            <w:r w:rsidR="00EE32D9">
              <w:rPr>
                <w:color w:val="000000" w:themeColor="text1"/>
              </w:rPr>
              <w:t xml:space="preserve"> 13.pants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6) Likum</w:t>
            </w:r>
            <w:r>
              <w:rPr>
                <w:color w:val="000000" w:themeColor="text1"/>
              </w:rPr>
              <w:t>s</w:t>
            </w:r>
            <w:r w:rsidRPr="00BE7A8A">
              <w:rPr>
                <w:color w:val="000000" w:themeColor="text1"/>
              </w:rPr>
              <w:t xml:space="preserve"> „Par kompensāciju par saimnieciskās darbības ierobežojumiem aizsargājamās teritorijās”</w:t>
            </w:r>
            <w:r w:rsidR="00EE32D9">
              <w:rPr>
                <w:color w:val="000000" w:themeColor="text1"/>
              </w:rPr>
              <w:t xml:space="preserve"> 6. un 9.pants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7) Likum</w:t>
            </w:r>
            <w:r>
              <w:rPr>
                <w:color w:val="000000" w:themeColor="text1"/>
              </w:rPr>
              <w:t>s</w:t>
            </w:r>
            <w:r w:rsidRPr="00BE7A8A">
              <w:rPr>
                <w:color w:val="000000" w:themeColor="text1"/>
              </w:rPr>
              <w:t xml:space="preserve"> „Par valsts pensijām”</w:t>
            </w:r>
            <w:r w:rsidR="00EE32D9">
              <w:rPr>
                <w:color w:val="000000" w:themeColor="text1"/>
              </w:rPr>
              <w:t xml:space="preserve"> 37.pants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8) Prokuroru izdienas pensiju likum</w:t>
            </w:r>
            <w:r w:rsidR="00EE32D9">
              <w:rPr>
                <w:color w:val="000000" w:themeColor="text1"/>
              </w:rPr>
              <w:t>a 12.pants</w:t>
            </w:r>
            <w:r w:rsidRPr="00BE7A8A">
              <w:rPr>
                <w:color w:val="000000" w:themeColor="text1"/>
              </w:rPr>
              <w:t>;</w:t>
            </w:r>
          </w:p>
          <w:p w:rsidR="00A0462A" w:rsidRPr="00BE7A8A" w:rsidRDefault="00A0462A" w:rsidP="00A0462A">
            <w:pPr>
              <w:pStyle w:val="naisf"/>
              <w:spacing w:before="0" w:beforeAutospacing="0" w:after="0" w:afterAutospacing="0"/>
              <w:ind w:firstLine="541"/>
              <w:jc w:val="both"/>
              <w:rPr>
                <w:color w:val="000000" w:themeColor="text1"/>
              </w:rPr>
            </w:pPr>
            <w:r w:rsidRPr="00BE7A8A">
              <w:rPr>
                <w:color w:val="000000" w:themeColor="text1"/>
              </w:rPr>
              <w:t xml:space="preserve">9) </w:t>
            </w:r>
            <w:r>
              <w:rPr>
                <w:color w:val="000000" w:themeColor="text1"/>
              </w:rPr>
              <w:t>Tiesnešu izdienas pensiju likum</w:t>
            </w:r>
            <w:r w:rsidR="00EE32D9">
              <w:rPr>
                <w:color w:val="000000" w:themeColor="text1"/>
              </w:rPr>
              <w:t>a 12.pants</w:t>
            </w:r>
            <w:r w:rsidRPr="00BE7A8A">
              <w:rPr>
                <w:color w:val="000000" w:themeColor="text1"/>
              </w:rPr>
              <w:t>;</w:t>
            </w:r>
          </w:p>
          <w:p w:rsidR="00C32B2A" w:rsidRPr="006C2B29" w:rsidRDefault="00A0462A" w:rsidP="006C2B29">
            <w:pPr>
              <w:pStyle w:val="naisf"/>
              <w:spacing w:before="0" w:beforeAutospacing="0" w:after="0" w:afterAutospacing="0"/>
              <w:ind w:firstLine="541"/>
              <w:jc w:val="both"/>
              <w:rPr>
                <w:color w:val="000000" w:themeColor="text1"/>
              </w:rPr>
            </w:pPr>
            <w:r w:rsidRPr="00BE7A8A">
              <w:rPr>
                <w:color w:val="000000" w:themeColor="text1"/>
              </w:rPr>
              <w:t xml:space="preserve">10) Valsts un pašvaldību profesionālo orķestru, koru, koncertorganizāciju, teātru un cirka mākslinieku izdienas pensiju un baleta mākslinieku </w:t>
            </w:r>
            <w:r>
              <w:rPr>
                <w:color w:val="000000" w:themeColor="text1"/>
              </w:rPr>
              <w:t>pabalsta par radošo darbu likum</w:t>
            </w:r>
            <w:r w:rsidR="00EE32D9">
              <w:rPr>
                <w:color w:val="000000" w:themeColor="text1"/>
              </w:rPr>
              <w:t xml:space="preserve">a </w:t>
            </w:r>
            <w:proofErr w:type="gramStart"/>
            <w:r w:rsidR="00EE32D9">
              <w:rPr>
                <w:color w:val="000000" w:themeColor="text1"/>
              </w:rPr>
              <w:t>13.pants</w:t>
            </w:r>
            <w:proofErr w:type="gramEnd"/>
            <w:r>
              <w:rPr>
                <w:color w:val="000000" w:themeColor="text1"/>
              </w:rPr>
              <w:t>.</w:t>
            </w:r>
          </w:p>
        </w:tc>
        <w:tc>
          <w:tcPr>
            <w:tcW w:w="1402" w:type="pct"/>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A0462A">
            <w:pPr>
              <w:spacing w:after="0" w:line="240" w:lineRule="auto"/>
              <w:jc w:val="both"/>
              <w:rPr>
                <w:rFonts w:ascii="Times New Roman" w:hAnsi="Times New Roman"/>
                <w:sz w:val="24"/>
                <w:szCs w:val="24"/>
                <w:lang w:eastAsia="lv-LV"/>
              </w:rPr>
            </w:pPr>
            <w:r w:rsidRPr="007D5995">
              <w:rPr>
                <w:rFonts w:ascii="Times New Roman" w:hAnsi="Times New Roman"/>
                <w:sz w:val="24"/>
                <w:szCs w:val="24"/>
                <w:lang w:eastAsia="lv-LV"/>
              </w:rPr>
              <w:t xml:space="preserve">Tiks </w:t>
            </w:r>
            <w:r w:rsidR="00A0462A">
              <w:rPr>
                <w:rFonts w:ascii="Times New Roman" w:hAnsi="Times New Roman"/>
                <w:sz w:val="24"/>
                <w:szCs w:val="24"/>
                <w:lang w:eastAsia="lv-LV"/>
              </w:rPr>
              <w:t>ieviesta</w:t>
            </w:r>
            <w:r w:rsidRPr="007D5995">
              <w:rPr>
                <w:rFonts w:ascii="Times New Roman" w:hAnsi="Times New Roman"/>
                <w:sz w:val="24"/>
                <w:szCs w:val="24"/>
                <w:lang w:eastAsia="lv-LV"/>
              </w:rPr>
              <w:t xml:space="preserve"> pilnībā</w:t>
            </w:r>
            <w:r w:rsidR="006D0EEF">
              <w:rPr>
                <w:rFonts w:ascii="Times New Roman" w:hAnsi="Times New Roman"/>
                <w:sz w:val="24"/>
                <w:szCs w:val="24"/>
                <w:lang w:eastAsia="lv-LV"/>
              </w:rPr>
              <w:t xml:space="preserve"> attiecīgo Latvijas likumu piemērošanas jomā</w:t>
            </w:r>
            <w:r>
              <w:rPr>
                <w:rFonts w:ascii="Times New Roman" w:hAnsi="Times New Roman"/>
                <w:sz w:val="24"/>
                <w:szCs w:val="24"/>
                <w:lang w:eastAsia="lv-LV"/>
              </w:rPr>
              <w:t>.</w:t>
            </w:r>
            <w:r w:rsidRPr="007D5995">
              <w:rPr>
                <w:rFonts w:ascii="Times New Roman" w:hAnsi="Times New Roman"/>
                <w:sz w:val="24"/>
                <w:szCs w:val="24"/>
                <w:lang w:eastAsia="lv-LV"/>
              </w:rPr>
              <w:t xml:space="preserve"> </w:t>
            </w:r>
          </w:p>
        </w:tc>
        <w:tc>
          <w:tcPr>
            <w:tcW w:w="1245" w:type="pct"/>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080575">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Neparedz stingrākas prasības.</w:t>
            </w:r>
          </w:p>
        </w:tc>
      </w:tr>
      <w:tr w:rsidR="006C2B29"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029"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z w:val="24"/>
                <w:szCs w:val="24"/>
                <w:lang w:eastAsia="lv-LV"/>
              </w:rPr>
            </w:pPr>
            <w:r w:rsidRPr="00FA75B1">
              <w:rPr>
                <w:rFonts w:ascii="Times New Roman" w:hAnsi="Times New Roman"/>
                <w:spacing w:val="-4"/>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1324"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Nav attiecināms.</w:t>
            </w:r>
          </w:p>
        </w:tc>
        <w:tc>
          <w:tcPr>
            <w:tcW w:w="1402" w:type="pct"/>
          </w:tcPr>
          <w:p w:rsidR="00C32B2A" w:rsidRPr="00FA75B1" w:rsidRDefault="00C32B2A" w:rsidP="00080575">
            <w:pPr>
              <w:spacing w:after="0" w:line="240" w:lineRule="auto"/>
              <w:jc w:val="both"/>
              <w:rPr>
                <w:rFonts w:ascii="Times New Roman" w:hAnsi="Times New Roman"/>
                <w:sz w:val="24"/>
                <w:szCs w:val="24"/>
                <w:lang w:eastAsia="lv-LV"/>
              </w:rPr>
            </w:pPr>
          </w:p>
        </w:tc>
        <w:tc>
          <w:tcPr>
            <w:tcW w:w="1245" w:type="pct"/>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080575">
            <w:pPr>
              <w:spacing w:after="0" w:line="240" w:lineRule="auto"/>
              <w:jc w:val="both"/>
              <w:rPr>
                <w:rFonts w:ascii="Times New Roman" w:hAnsi="Times New Roman"/>
                <w:sz w:val="24"/>
                <w:szCs w:val="24"/>
                <w:lang w:eastAsia="lv-LV"/>
              </w:rPr>
            </w:pPr>
          </w:p>
        </w:tc>
      </w:tr>
      <w:tr w:rsidR="00C32B2A" w:rsidRPr="00FA75B1" w:rsidTr="006C2B29">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142"/>
        </w:trPr>
        <w:tc>
          <w:tcPr>
            <w:tcW w:w="2353" w:type="pct"/>
            <w:gridSpan w:val="4"/>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Cita informācija</w:t>
            </w:r>
          </w:p>
        </w:tc>
        <w:tc>
          <w:tcPr>
            <w:tcW w:w="2647" w:type="pct"/>
            <w:gridSpan w:val="2"/>
            <w:tcBorders>
              <w:top w:val="outset" w:sz="6" w:space="0" w:color="auto"/>
              <w:left w:val="outset" w:sz="6" w:space="0" w:color="auto"/>
              <w:bottom w:val="outset" w:sz="6" w:space="0" w:color="auto"/>
              <w:right w:val="outset" w:sz="6" w:space="0" w:color="auto"/>
            </w:tcBorders>
          </w:tcPr>
          <w:p w:rsidR="00C32B2A" w:rsidRPr="00FA75B1" w:rsidRDefault="00C32B2A" w:rsidP="00080575">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Nav.</w:t>
            </w:r>
          </w:p>
        </w:tc>
      </w:tr>
    </w:tbl>
    <w:p w:rsidR="00C32B2A" w:rsidRPr="00BE7A8A" w:rsidRDefault="00C32B2A"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5000"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9"/>
        <w:gridCol w:w="2737"/>
        <w:gridCol w:w="5935"/>
      </w:tblGrid>
      <w:tr w:rsidR="00BE7A8A" w:rsidRPr="00BE7A8A" w:rsidTr="00080575">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127A4" w:rsidRPr="00BE7A8A" w:rsidRDefault="005127A4" w:rsidP="00080575">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285CCA" w:rsidRPr="00BE7A8A" w:rsidTr="00080575">
        <w:trPr>
          <w:trHeight w:val="540"/>
        </w:trPr>
        <w:tc>
          <w:tcPr>
            <w:tcW w:w="251"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499"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2E73D4">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 xml:space="preserve">Sabiedrības līdzdalība tiks nodrošināta, izsludinot likumprojektu Valsts sekretāru sanāksmē, </w:t>
            </w:r>
            <w:r>
              <w:rPr>
                <w:rFonts w:ascii="Times New Roman" w:eastAsia="Times New Roman" w:hAnsi="Times New Roman" w:cs="Times New Roman"/>
                <w:color w:val="000000" w:themeColor="text1"/>
                <w:sz w:val="24"/>
                <w:szCs w:val="24"/>
                <w:lang w:eastAsia="lv-LV"/>
              </w:rPr>
              <w:t>kā arī likum</w:t>
            </w:r>
            <w:r w:rsidRPr="00BE7A8A">
              <w:rPr>
                <w:rFonts w:ascii="Times New Roman" w:eastAsia="Times New Roman" w:hAnsi="Times New Roman" w:cs="Times New Roman"/>
                <w:color w:val="000000" w:themeColor="text1"/>
                <w:sz w:val="24"/>
                <w:szCs w:val="24"/>
                <w:lang w:eastAsia="lv-LV"/>
              </w:rPr>
              <w:t xml:space="preserve">projekts kopā ar sākotnējās ietekmes novērtējuma ziņojumu tiks ievietots Tieslietu ministrijas interneta vietnē </w:t>
            </w:r>
            <w:proofErr w:type="spellStart"/>
            <w:r w:rsidRPr="00296B37">
              <w:rPr>
                <w:rFonts w:ascii="Times New Roman" w:eastAsia="Times New Roman" w:hAnsi="Times New Roman" w:cs="Times New Roman"/>
                <w:sz w:val="24"/>
                <w:szCs w:val="24"/>
                <w:lang w:eastAsia="lv-LV"/>
              </w:rPr>
              <w:t>www.tm.gov.lv</w:t>
            </w:r>
            <w:proofErr w:type="spellEnd"/>
            <w:r w:rsidRPr="00BE7A8A">
              <w:rPr>
                <w:rFonts w:ascii="Times New Roman" w:eastAsia="Times New Roman" w:hAnsi="Times New Roman" w:cs="Times New Roman"/>
                <w:color w:val="000000" w:themeColor="text1"/>
                <w:sz w:val="24"/>
                <w:szCs w:val="24"/>
                <w:lang w:eastAsia="lv-LV"/>
              </w:rPr>
              <w:t xml:space="preserve"> sadaļā „Sabiedrības līdzdalība”, aicinot sabiedrību izteikt savu viedokli, izmantojot interneta pakalpojumus.</w:t>
            </w:r>
          </w:p>
        </w:tc>
      </w:tr>
      <w:tr w:rsidR="00285CCA" w:rsidRPr="00BE7A8A" w:rsidTr="00080575">
        <w:trPr>
          <w:trHeight w:val="330"/>
        </w:trPr>
        <w:tc>
          <w:tcPr>
            <w:tcW w:w="251"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499"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285CCA" w:rsidRPr="00BE7A8A" w:rsidRDefault="00285CCA" w:rsidP="00341C90">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Ņemot vērā to, ka likumprojekts ir steidzams, tehniska rakstura un nesatur būtiskus tiesību politikas jautājumus, bet gan attiecas tikai uz regulas</w:t>
            </w:r>
            <w:r w:rsidRPr="00273656">
              <w:rPr>
                <w:rFonts w:ascii="Times New Roman" w:eastAsia="Times New Roman" w:hAnsi="Times New Roman"/>
                <w:sz w:val="24"/>
                <w:szCs w:val="24"/>
              </w:rPr>
              <w:t xml:space="preserve"> Nr. 1215/2012 </w:t>
            </w:r>
            <w:r>
              <w:rPr>
                <w:rFonts w:ascii="Times New Roman" w:eastAsia="Times New Roman" w:hAnsi="Times New Roman"/>
                <w:sz w:val="24"/>
                <w:szCs w:val="24"/>
              </w:rPr>
              <w:t xml:space="preserve">un </w:t>
            </w:r>
            <w:r>
              <w:rPr>
                <w:rFonts w:ascii="Times New Roman" w:eastAsia="Times New Roman" w:hAnsi="Times New Roman" w:cs="Times New Roman"/>
                <w:color w:val="000000" w:themeColor="text1"/>
                <w:sz w:val="24"/>
                <w:szCs w:val="24"/>
                <w:lang w:eastAsia="lv-LV"/>
              </w:rPr>
              <w:t xml:space="preserve">regulas Nr. 650/2012 ieviešanu, likumprojekts kopā ar tās sākotnējās ietekmes ziņojumu (anotāciju) </w:t>
            </w:r>
            <w:proofErr w:type="gramStart"/>
            <w:r>
              <w:rPr>
                <w:rFonts w:ascii="Times New Roman" w:eastAsia="Times New Roman" w:hAnsi="Times New Roman" w:cs="Times New Roman"/>
                <w:color w:val="000000" w:themeColor="text1"/>
                <w:sz w:val="24"/>
                <w:szCs w:val="24"/>
                <w:lang w:eastAsia="lv-LV"/>
              </w:rPr>
              <w:t>vienlaicīgi tiks</w:t>
            </w:r>
            <w:proofErr w:type="gramEnd"/>
            <w:r>
              <w:rPr>
                <w:rFonts w:ascii="Times New Roman" w:eastAsia="Times New Roman" w:hAnsi="Times New Roman" w:cs="Times New Roman"/>
                <w:color w:val="000000" w:themeColor="text1"/>
                <w:sz w:val="24"/>
                <w:szCs w:val="24"/>
                <w:lang w:eastAsia="lv-LV"/>
              </w:rPr>
              <w:t xml:space="preserve"> izsludināts Valsts sekretāru sanāksmē </w:t>
            </w:r>
            <w:r w:rsidRPr="00BE7A8A">
              <w:rPr>
                <w:rFonts w:ascii="Times New Roman" w:eastAsia="Times New Roman" w:hAnsi="Times New Roman" w:cs="Times New Roman"/>
                <w:color w:val="000000" w:themeColor="text1"/>
                <w:sz w:val="24"/>
                <w:szCs w:val="24"/>
                <w:lang w:eastAsia="lv-LV"/>
              </w:rPr>
              <w:t xml:space="preserve">un ievietots Tieslietu ministrijas interneta vietnē </w:t>
            </w:r>
            <w:proofErr w:type="spellStart"/>
            <w:r w:rsidRPr="00296B37">
              <w:rPr>
                <w:rFonts w:ascii="Times New Roman" w:eastAsia="Times New Roman" w:hAnsi="Times New Roman" w:cs="Times New Roman"/>
                <w:sz w:val="24"/>
                <w:szCs w:val="24"/>
                <w:lang w:eastAsia="lv-LV"/>
              </w:rPr>
              <w:t>www.tm.gov.lv</w:t>
            </w:r>
            <w:proofErr w:type="spellEnd"/>
            <w:r w:rsidRPr="00BE7A8A">
              <w:rPr>
                <w:rFonts w:ascii="Times New Roman" w:eastAsia="Times New Roman" w:hAnsi="Times New Roman" w:cs="Times New Roman"/>
                <w:color w:val="000000" w:themeColor="text1"/>
                <w:sz w:val="24"/>
                <w:szCs w:val="24"/>
                <w:lang w:eastAsia="lv-LV"/>
              </w:rPr>
              <w:t xml:space="preserve"> sadaļā „Sabiedrības līdzd</w:t>
            </w:r>
            <w:r>
              <w:rPr>
                <w:rFonts w:ascii="Times New Roman" w:eastAsia="Times New Roman" w:hAnsi="Times New Roman" w:cs="Times New Roman"/>
                <w:color w:val="000000" w:themeColor="text1"/>
                <w:sz w:val="24"/>
                <w:szCs w:val="24"/>
                <w:lang w:eastAsia="lv-LV"/>
              </w:rPr>
              <w:t>alība”. Likump</w:t>
            </w:r>
            <w:r w:rsidRPr="00BE7A8A">
              <w:rPr>
                <w:rFonts w:ascii="Times New Roman" w:eastAsia="Times New Roman" w:hAnsi="Times New Roman" w:cs="Times New Roman"/>
                <w:color w:val="000000" w:themeColor="text1"/>
                <w:sz w:val="24"/>
                <w:szCs w:val="24"/>
                <w:lang w:eastAsia="lv-LV"/>
              </w:rPr>
              <w:t xml:space="preserve">rojekts kopā ar sākotnējās ietekmes novērtējuma ziņojumu (anotāciju) </w:t>
            </w:r>
            <w:proofErr w:type="gramStart"/>
            <w:r w:rsidR="00341C90">
              <w:rPr>
                <w:rFonts w:ascii="Times New Roman" w:eastAsia="Times New Roman" w:hAnsi="Times New Roman" w:cs="Times New Roman"/>
                <w:color w:val="000000" w:themeColor="text1"/>
                <w:sz w:val="24"/>
                <w:szCs w:val="24"/>
                <w:lang w:eastAsia="lv-LV"/>
              </w:rPr>
              <w:t>2015.gada</w:t>
            </w:r>
            <w:proofErr w:type="gramEnd"/>
            <w:r w:rsidR="00341C90">
              <w:rPr>
                <w:rFonts w:ascii="Times New Roman" w:eastAsia="Times New Roman" w:hAnsi="Times New Roman" w:cs="Times New Roman"/>
                <w:color w:val="000000" w:themeColor="text1"/>
                <w:sz w:val="24"/>
                <w:szCs w:val="24"/>
                <w:lang w:eastAsia="lv-LV"/>
              </w:rPr>
              <w:t xml:space="preserve"> 20.jūlijā</w:t>
            </w:r>
            <w:r w:rsidRPr="00BE7A8A">
              <w:rPr>
                <w:rFonts w:ascii="Times New Roman" w:eastAsia="Times New Roman" w:hAnsi="Times New Roman" w:cs="Times New Roman"/>
                <w:color w:val="000000" w:themeColor="text1"/>
                <w:sz w:val="24"/>
                <w:szCs w:val="24"/>
                <w:lang w:eastAsia="lv-LV"/>
              </w:rPr>
              <w:t xml:space="preserve"> tika ievietots Tieslietu ministrijas interneta vietnē </w:t>
            </w:r>
            <w:proofErr w:type="spellStart"/>
            <w:r w:rsidRPr="00296B37">
              <w:rPr>
                <w:rFonts w:ascii="Times New Roman" w:eastAsia="Times New Roman" w:hAnsi="Times New Roman" w:cs="Times New Roman"/>
                <w:color w:val="000000" w:themeColor="text1"/>
                <w:sz w:val="24"/>
                <w:szCs w:val="24"/>
                <w:lang w:eastAsia="lv-LV"/>
              </w:rPr>
              <w:t>www.tm.gov.lv</w:t>
            </w:r>
            <w:proofErr w:type="spellEnd"/>
            <w:r w:rsidRPr="00BE7A8A">
              <w:rPr>
                <w:rFonts w:ascii="Times New Roman" w:eastAsia="Times New Roman" w:hAnsi="Times New Roman" w:cs="Times New Roman"/>
                <w:color w:val="000000" w:themeColor="text1"/>
                <w:sz w:val="24"/>
                <w:szCs w:val="24"/>
                <w:lang w:eastAsia="lv-LV"/>
              </w:rPr>
              <w:t xml:space="preserve"> sadaļā „Sabiedrības līdzdalība”, aicinot sabiedrību izteikt savu viedokli, izmantojot interneta pakalpojumus</w:t>
            </w:r>
            <w:r>
              <w:rPr>
                <w:rFonts w:ascii="Times New Roman" w:eastAsia="Times New Roman" w:hAnsi="Times New Roman" w:cs="Times New Roman"/>
                <w:color w:val="000000" w:themeColor="text1"/>
                <w:sz w:val="24"/>
                <w:szCs w:val="24"/>
                <w:lang w:eastAsia="lv-LV"/>
              </w:rPr>
              <w:t>,</w:t>
            </w:r>
            <w:r w:rsidRPr="00BE7A8A">
              <w:rPr>
                <w:rFonts w:ascii="Times New Roman" w:eastAsia="Times New Roman" w:hAnsi="Times New Roman" w:cs="Times New Roman"/>
                <w:color w:val="000000" w:themeColor="text1"/>
                <w:sz w:val="24"/>
                <w:szCs w:val="24"/>
                <w:lang w:eastAsia="lv-LV"/>
              </w:rPr>
              <w:t xml:space="preserve"> līdz </w:t>
            </w:r>
            <w:r w:rsidR="00341C90">
              <w:rPr>
                <w:rFonts w:ascii="Times New Roman" w:eastAsia="Times New Roman" w:hAnsi="Times New Roman" w:cs="Times New Roman"/>
                <w:color w:val="000000" w:themeColor="text1"/>
                <w:sz w:val="24"/>
                <w:szCs w:val="24"/>
                <w:lang w:eastAsia="lv-LV"/>
              </w:rPr>
              <w:t>2015.gada 3.augustam.</w:t>
            </w:r>
          </w:p>
        </w:tc>
      </w:tr>
      <w:tr w:rsidR="00BE7A8A" w:rsidRPr="00BE7A8A" w:rsidTr="00080575">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341C90" w:rsidP="0008057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 attiecināms.</w:t>
            </w:r>
          </w:p>
        </w:tc>
      </w:tr>
      <w:tr w:rsidR="00BE7A8A" w:rsidRPr="00BE7A8A" w:rsidTr="006F6142">
        <w:trPr>
          <w:trHeight w:val="172"/>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080575">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p>
        </w:tc>
      </w:tr>
    </w:tbl>
    <w:p w:rsidR="009658E8" w:rsidRPr="00BE7A8A" w:rsidRDefault="009658E8"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BE7A8A" w:rsidRPr="00BE7A8A"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E7A8A" w:rsidRDefault="004D15A9" w:rsidP="00EE6CFB">
            <w:pPr>
              <w:spacing w:after="0" w:line="240" w:lineRule="auto"/>
              <w:ind w:firstLine="300"/>
              <w:jc w:val="both"/>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VII. Tiesību akta projekta izpildes nodrošināšana un tās ietekme uz institūcijām</w:t>
            </w:r>
          </w:p>
        </w:tc>
      </w:tr>
      <w:tr w:rsidR="00BE7A8A" w:rsidRPr="00BE7A8A" w:rsidTr="006C2B29">
        <w:trPr>
          <w:trHeight w:val="233"/>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E7A8A" w:rsidRDefault="00EB09F8"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color w:val="000000" w:themeColor="text1"/>
                <w:sz w:val="24"/>
                <w:szCs w:val="24"/>
              </w:rPr>
              <w:t>Ārlietu ministrija, Aizsardzības ministrija</w:t>
            </w:r>
            <w:r w:rsidRPr="00BE7A8A">
              <w:rPr>
                <w:rFonts w:ascii="Times New Roman" w:hAnsi="Times New Roman" w:cs="Times New Roman"/>
                <w:iCs/>
                <w:color w:val="000000" w:themeColor="text1"/>
                <w:sz w:val="24"/>
                <w:szCs w:val="24"/>
              </w:rPr>
              <w:t xml:space="preserve">, </w:t>
            </w:r>
            <w:r w:rsidRPr="00BE7A8A">
              <w:rPr>
                <w:rFonts w:ascii="Times New Roman" w:hAnsi="Times New Roman" w:cs="Times New Roman"/>
                <w:color w:val="000000" w:themeColor="text1"/>
                <w:sz w:val="24"/>
                <w:szCs w:val="24"/>
              </w:rPr>
              <w:t xml:space="preserve">Iekšlietu ministrija, Kultūras ministrija, </w:t>
            </w:r>
            <w:r w:rsidRPr="00BE7A8A">
              <w:rPr>
                <w:rFonts w:ascii="Times New Roman" w:hAnsi="Times New Roman" w:cs="Times New Roman"/>
                <w:iCs/>
                <w:color w:val="000000" w:themeColor="text1"/>
                <w:sz w:val="24"/>
                <w:szCs w:val="24"/>
              </w:rPr>
              <w:t xml:space="preserve">Labklājības ministrija, </w:t>
            </w:r>
            <w:r w:rsidRPr="00BE7A8A">
              <w:rPr>
                <w:rFonts w:ascii="Times New Roman" w:hAnsi="Times New Roman" w:cs="Times New Roman"/>
                <w:color w:val="000000" w:themeColor="text1"/>
                <w:sz w:val="24"/>
                <w:szCs w:val="24"/>
              </w:rPr>
              <w:t xml:space="preserve">Satiksmes ministrija, </w:t>
            </w:r>
            <w:r w:rsidRPr="00BE7A8A">
              <w:rPr>
                <w:rFonts w:ascii="Times New Roman" w:hAnsi="Times New Roman" w:cs="Times New Roman"/>
                <w:iCs/>
                <w:color w:val="000000" w:themeColor="text1"/>
                <w:sz w:val="24"/>
                <w:szCs w:val="24"/>
              </w:rPr>
              <w:t xml:space="preserve">Tieslietu ministrija, </w:t>
            </w:r>
            <w:r w:rsidRPr="00BE7A8A">
              <w:rPr>
                <w:rFonts w:ascii="Times New Roman" w:hAnsi="Times New Roman" w:cs="Times New Roman"/>
                <w:color w:val="000000" w:themeColor="text1"/>
                <w:sz w:val="24"/>
                <w:szCs w:val="24"/>
              </w:rPr>
              <w:t xml:space="preserve">Vides </w:t>
            </w:r>
            <w:r w:rsidRPr="00BE7A8A">
              <w:rPr>
                <w:rFonts w:ascii="Times New Roman" w:hAnsi="Times New Roman" w:cs="Times New Roman"/>
                <w:color w:val="000000" w:themeColor="text1"/>
                <w:sz w:val="24"/>
                <w:szCs w:val="24"/>
              </w:rPr>
              <w:lastRenderedPageBreak/>
              <w:t>aizsardzības un reģionālās attīstības ministrija.</w:t>
            </w:r>
          </w:p>
        </w:tc>
      </w:tr>
      <w:tr w:rsidR="00BE7A8A" w:rsidRPr="00BE7A8A"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lastRenderedPageBreak/>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 xml:space="preserve">Projekta izpildes ietekme uz pārvaldes funkcijām un institucionālo struktūru. </w:t>
            </w:r>
          </w:p>
          <w:p w:rsidR="004D15A9" w:rsidRPr="00BE7A8A" w:rsidRDefault="004D15A9" w:rsidP="00EE6CFB">
            <w:pPr>
              <w:spacing w:after="0" w:line="240" w:lineRule="auto"/>
              <w:ind w:firstLine="300"/>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E7A8A" w:rsidRDefault="00AD1D87" w:rsidP="00C263CD">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iCs/>
                <w:color w:val="000000" w:themeColor="text1"/>
                <w:sz w:val="24"/>
                <w:szCs w:val="24"/>
              </w:rPr>
              <w:t>Likumprojekta izpildi veic esošo funkciju ietvaros.</w:t>
            </w:r>
          </w:p>
        </w:tc>
      </w:tr>
      <w:tr w:rsidR="00F057DD" w:rsidRPr="00BE7A8A" w:rsidTr="006F6142">
        <w:trPr>
          <w:trHeight w:val="91"/>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E7A8A" w:rsidRDefault="00AD1D87" w:rsidP="00457DAE">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r w:rsidR="004D0743" w:rsidRPr="00BE7A8A">
              <w:rPr>
                <w:rFonts w:ascii="Times New Roman" w:eastAsia="Times New Roman" w:hAnsi="Times New Roman" w:cs="Times New Roman"/>
                <w:color w:val="000000" w:themeColor="text1"/>
                <w:sz w:val="24"/>
                <w:szCs w:val="24"/>
                <w:lang w:eastAsia="lv-LV"/>
              </w:rPr>
              <w:t>.</w:t>
            </w:r>
          </w:p>
        </w:tc>
      </w:tr>
    </w:tbl>
    <w:p w:rsidR="00011633" w:rsidRPr="00BE7A8A" w:rsidRDefault="00011633" w:rsidP="00EA130F">
      <w:pPr>
        <w:pStyle w:val="naiskr"/>
        <w:tabs>
          <w:tab w:val="left" w:pos="2628"/>
        </w:tabs>
        <w:spacing w:before="0" w:after="0"/>
        <w:rPr>
          <w:i/>
          <w:color w:val="000000" w:themeColor="text1"/>
        </w:rPr>
      </w:pPr>
    </w:p>
    <w:p w:rsidR="00011633" w:rsidRPr="00BE7A8A" w:rsidRDefault="00011633" w:rsidP="00EA130F">
      <w:pPr>
        <w:pStyle w:val="naiskr"/>
        <w:tabs>
          <w:tab w:val="left" w:pos="2628"/>
        </w:tabs>
        <w:spacing w:before="0" w:after="0"/>
        <w:rPr>
          <w:i/>
          <w:color w:val="000000" w:themeColor="text1"/>
        </w:rPr>
      </w:pPr>
    </w:p>
    <w:p w:rsidR="007752A0" w:rsidRPr="00BE7A8A" w:rsidDel="00011633" w:rsidRDefault="007752A0" w:rsidP="00EE6CFB">
      <w:pPr>
        <w:pStyle w:val="StyleRight"/>
        <w:spacing w:after="0"/>
        <w:ind w:firstLine="0"/>
        <w:jc w:val="both"/>
        <w:rPr>
          <w:color w:val="000000" w:themeColor="text1"/>
          <w:sz w:val="24"/>
          <w:szCs w:val="24"/>
        </w:rPr>
      </w:pPr>
      <w:r w:rsidRPr="00BE7A8A" w:rsidDel="00011633">
        <w:rPr>
          <w:color w:val="000000" w:themeColor="text1"/>
          <w:sz w:val="24"/>
          <w:szCs w:val="24"/>
        </w:rPr>
        <w:t>Iesniedzējs:</w:t>
      </w:r>
    </w:p>
    <w:p w:rsidR="003A2A0B" w:rsidRDefault="007752A0" w:rsidP="00BE7A8A">
      <w:pPr>
        <w:pStyle w:val="StyleRight"/>
        <w:tabs>
          <w:tab w:val="left" w:pos="7371"/>
        </w:tabs>
        <w:spacing w:after="0"/>
        <w:ind w:firstLine="0"/>
        <w:jc w:val="both"/>
        <w:rPr>
          <w:color w:val="000000" w:themeColor="text1"/>
          <w:sz w:val="24"/>
          <w:szCs w:val="24"/>
        </w:rPr>
      </w:pPr>
      <w:r w:rsidRPr="00BE7A8A" w:rsidDel="00011633">
        <w:rPr>
          <w:color w:val="000000" w:themeColor="text1"/>
          <w:sz w:val="24"/>
          <w:szCs w:val="24"/>
        </w:rPr>
        <w:t xml:space="preserve">Tieslietu ministrijas valsts </w:t>
      </w:r>
      <w:r w:rsidR="006F6142" w:rsidRPr="00BE7A8A" w:rsidDel="00011633">
        <w:rPr>
          <w:color w:val="000000" w:themeColor="text1"/>
          <w:sz w:val="24"/>
          <w:szCs w:val="24"/>
        </w:rPr>
        <w:t>sekretār</w:t>
      </w:r>
      <w:r w:rsidR="006F6142">
        <w:rPr>
          <w:color w:val="000000" w:themeColor="text1"/>
          <w:sz w:val="24"/>
          <w:szCs w:val="24"/>
        </w:rPr>
        <w:t xml:space="preserve">a </w:t>
      </w:r>
      <w:proofErr w:type="spellStart"/>
      <w:r w:rsidR="006F6142">
        <w:rPr>
          <w:color w:val="000000" w:themeColor="text1"/>
          <w:sz w:val="24"/>
          <w:szCs w:val="24"/>
        </w:rPr>
        <w:t>p.i</w:t>
      </w:r>
      <w:proofErr w:type="spellEnd"/>
      <w:r w:rsidR="006F6142">
        <w:rPr>
          <w:color w:val="000000" w:themeColor="text1"/>
          <w:sz w:val="24"/>
          <w:szCs w:val="24"/>
        </w:rPr>
        <w:t>.</w:t>
      </w:r>
      <w:r w:rsidR="00BE7A8A">
        <w:rPr>
          <w:color w:val="000000" w:themeColor="text1"/>
          <w:sz w:val="24"/>
          <w:szCs w:val="24"/>
        </w:rPr>
        <w:tab/>
      </w:r>
      <w:r w:rsidR="006F6142">
        <w:rPr>
          <w:color w:val="000000" w:themeColor="text1"/>
          <w:sz w:val="24"/>
          <w:szCs w:val="24"/>
        </w:rPr>
        <w:t>Irēna Kucina</w:t>
      </w:r>
    </w:p>
    <w:p w:rsidR="00BE7A8A" w:rsidRDefault="00BE7A8A" w:rsidP="00EE6CFB">
      <w:pPr>
        <w:pStyle w:val="StyleRight"/>
        <w:spacing w:after="0"/>
        <w:ind w:firstLine="0"/>
        <w:jc w:val="both"/>
        <w:rPr>
          <w:color w:val="000000" w:themeColor="text1"/>
          <w:sz w:val="24"/>
          <w:szCs w:val="24"/>
        </w:rPr>
      </w:pPr>
    </w:p>
    <w:p w:rsidR="00BE7A8A" w:rsidRPr="00BE7A8A" w:rsidDel="00011633" w:rsidRDefault="00BE7A8A" w:rsidP="00EE6CFB">
      <w:pPr>
        <w:pStyle w:val="StyleRight"/>
        <w:spacing w:after="0"/>
        <w:ind w:firstLine="0"/>
        <w:jc w:val="both"/>
        <w:rPr>
          <w:color w:val="000000" w:themeColor="text1"/>
          <w:sz w:val="24"/>
          <w:szCs w:val="24"/>
        </w:rPr>
      </w:pPr>
    </w:p>
    <w:p w:rsidR="004D15A9" w:rsidRPr="00BE7A8A" w:rsidRDefault="00246EB1" w:rsidP="00EE6CFB">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1</w:t>
      </w:r>
      <w:r w:rsidR="00341C90">
        <w:rPr>
          <w:rFonts w:ascii="Times New Roman" w:hAnsi="Times New Roman" w:cs="Times New Roman"/>
          <w:color w:val="000000" w:themeColor="text1"/>
          <w:sz w:val="20"/>
          <w:szCs w:val="20"/>
        </w:rPr>
        <w:t>7</w:t>
      </w:r>
      <w:r w:rsidR="00126D48">
        <w:rPr>
          <w:rFonts w:ascii="Times New Roman" w:hAnsi="Times New Roman" w:cs="Times New Roman"/>
          <w:color w:val="000000" w:themeColor="text1"/>
          <w:sz w:val="20"/>
          <w:szCs w:val="20"/>
        </w:rPr>
        <w:t>.07</w:t>
      </w:r>
      <w:r w:rsidR="000A57A1" w:rsidRPr="00BE7A8A">
        <w:rPr>
          <w:rFonts w:ascii="Times New Roman" w:hAnsi="Times New Roman" w:cs="Times New Roman"/>
          <w:color w:val="000000" w:themeColor="text1"/>
          <w:sz w:val="20"/>
          <w:szCs w:val="20"/>
        </w:rPr>
        <w:t>.2015.</w:t>
      </w:r>
      <w:r w:rsidR="004D15A9" w:rsidRPr="00BE7A8A">
        <w:rPr>
          <w:rFonts w:ascii="Times New Roman" w:hAnsi="Times New Roman" w:cs="Times New Roman"/>
          <w:color w:val="000000" w:themeColor="text1"/>
          <w:sz w:val="20"/>
          <w:szCs w:val="20"/>
        </w:rPr>
        <w:t xml:space="preserve"> </w:t>
      </w:r>
      <w:r w:rsidR="00341C90">
        <w:rPr>
          <w:rFonts w:ascii="Times New Roman" w:hAnsi="Times New Roman" w:cs="Times New Roman"/>
          <w:color w:val="000000" w:themeColor="text1"/>
          <w:sz w:val="20"/>
          <w:szCs w:val="20"/>
        </w:rPr>
        <w:t>1</w:t>
      </w:r>
      <w:r w:rsidR="003B4FF2">
        <w:rPr>
          <w:rFonts w:ascii="Times New Roman" w:hAnsi="Times New Roman" w:cs="Times New Roman"/>
          <w:color w:val="000000" w:themeColor="text1"/>
          <w:sz w:val="20"/>
          <w:szCs w:val="20"/>
        </w:rPr>
        <w:t>1:02</w:t>
      </w:r>
      <w:bookmarkStart w:id="1" w:name="_GoBack"/>
      <w:bookmarkEnd w:id="1"/>
    </w:p>
    <w:p w:rsidR="004D15A9" w:rsidRPr="00BE7A8A" w:rsidRDefault="00C771A6" w:rsidP="00EE6CF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10494">
        <w:rPr>
          <w:rFonts w:ascii="Times New Roman" w:hAnsi="Times New Roman" w:cs="Times New Roman"/>
          <w:color w:val="000000" w:themeColor="text1"/>
          <w:sz w:val="20"/>
          <w:szCs w:val="20"/>
        </w:rPr>
        <w:t>507</w:t>
      </w:r>
    </w:p>
    <w:p w:rsidR="004D15A9" w:rsidRPr="00BE7A8A" w:rsidRDefault="006B1EAD" w:rsidP="00EE6CFB">
      <w:pPr>
        <w:spacing w:after="0" w:line="240" w:lineRule="auto"/>
        <w:jc w:val="both"/>
        <w:rPr>
          <w:rFonts w:ascii="Times New Roman" w:hAnsi="Times New Roman" w:cs="Times New Roman"/>
          <w:color w:val="000000" w:themeColor="text1"/>
          <w:sz w:val="20"/>
          <w:szCs w:val="20"/>
        </w:rPr>
      </w:pPr>
      <w:r w:rsidRPr="00BE7A8A">
        <w:rPr>
          <w:rFonts w:ascii="Times New Roman" w:hAnsi="Times New Roman" w:cs="Times New Roman"/>
          <w:color w:val="000000" w:themeColor="text1"/>
          <w:sz w:val="20"/>
          <w:szCs w:val="20"/>
        </w:rPr>
        <w:t>Maija Glazjeva</w:t>
      </w:r>
    </w:p>
    <w:p w:rsidR="004D15A9" w:rsidRPr="00BE7A8A" w:rsidRDefault="007752A0" w:rsidP="00EE6CFB">
      <w:pPr>
        <w:spacing w:after="0" w:line="240" w:lineRule="auto"/>
        <w:jc w:val="both"/>
        <w:rPr>
          <w:rFonts w:ascii="Times New Roman" w:hAnsi="Times New Roman" w:cs="Times New Roman"/>
          <w:color w:val="000000" w:themeColor="text1"/>
          <w:sz w:val="20"/>
          <w:szCs w:val="20"/>
        </w:rPr>
      </w:pPr>
      <w:r w:rsidRPr="00BE7A8A">
        <w:rPr>
          <w:rFonts w:ascii="Times New Roman" w:hAnsi="Times New Roman" w:cs="Times New Roman"/>
          <w:color w:val="000000" w:themeColor="text1"/>
          <w:sz w:val="20"/>
          <w:szCs w:val="20"/>
        </w:rPr>
        <w:t>67036</w:t>
      </w:r>
      <w:r w:rsidR="00101079" w:rsidRPr="00BE7A8A">
        <w:rPr>
          <w:rFonts w:ascii="Times New Roman" w:hAnsi="Times New Roman" w:cs="Times New Roman"/>
          <w:color w:val="000000" w:themeColor="text1"/>
          <w:sz w:val="20"/>
          <w:szCs w:val="20"/>
        </w:rPr>
        <w:t>956</w:t>
      </w:r>
      <w:r w:rsidRPr="00BE7A8A">
        <w:rPr>
          <w:rFonts w:ascii="Times New Roman" w:hAnsi="Times New Roman" w:cs="Times New Roman"/>
          <w:color w:val="000000" w:themeColor="text1"/>
          <w:sz w:val="20"/>
          <w:szCs w:val="20"/>
        </w:rPr>
        <w:t xml:space="preserve">, </w:t>
      </w:r>
      <w:r w:rsidR="006B1EAD" w:rsidRPr="00BE7A8A">
        <w:rPr>
          <w:rFonts w:ascii="Times New Roman" w:hAnsi="Times New Roman" w:cs="Times New Roman"/>
          <w:color w:val="000000" w:themeColor="text1"/>
          <w:sz w:val="20"/>
          <w:szCs w:val="20"/>
        </w:rPr>
        <w:t>Maija.Glazjeva</w:t>
      </w:r>
      <w:r w:rsidRPr="00BE7A8A">
        <w:rPr>
          <w:rFonts w:ascii="Times New Roman" w:hAnsi="Times New Roman" w:cs="Times New Roman"/>
          <w:color w:val="000000" w:themeColor="text1"/>
          <w:sz w:val="20"/>
          <w:szCs w:val="20"/>
        </w:rPr>
        <w:t>@tm.gov.lv</w:t>
      </w:r>
    </w:p>
    <w:sectPr w:rsidR="004D15A9" w:rsidRPr="00BE7A8A" w:rsidSect="00EE6CFB">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75" w:rsidRDefault="00080575" w:rsidP="004D15A9">
      <w:pPr>
        <w:spacing w:after="0" w:line="240" w:lineRule="auto"/>
      </w:pPr>
      <w:r>
        <w:separator/>
      </w:r>
    </w:p>
  </w:endnote>
  <w:endnote w:type="continuationSeparator" w:id="0">
    <w:p w:rsidR="00080575" w:rsidRDefault="0008057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75" w:rsidRPr="00126D48" w:rsidRDefault="00126D48" w:rsidP="00126D48">
    <w:pPr>
      <w:spacing w:after="0" w:line="240" w:lineRule="auto"/>
      <w:jc w:val="both"/>
      <w:rPr>
        <w:rFonts w:ascii="Times New Roman" w:hAnsi="Times New Roman" w:cs="Times New Roman"/>
        <w:sz w:val="20"/>
        <w:szCs w:val="20"/>
      </w:rPr>
    </w:pPr>
    <w:r w:rsidRPr="00882A09">
      <w:rPr>
        <w:rFonts w:ascii="Times New Roman" w:hAnsi="Times New Roman" w:cs="Times New Roman"/>
        <w:sz w:val="20"/>
        <w:szCs w:val="20"/>
      </w:rPr>
      <w:t>TMAnot_</w:t>
    </w:r>
    <w:r w:rsidR="00341C90">
      <w:rPr>
        <w:rFonts w:ascii="Times New Roman" w:hAnsi="Times New Roman" w:cs="Times New Roman"/>
        <w:sz w:val="20"/>
        <w:szCs w:val="20"/>
      </w:rPr>
      <w:t>17</w:t>
    </w:r>
    <w:r w:rsidR="00246EB1">
      <w:rPr>
        <w:rFonts w:ascii="Times New Roman" w:hAnsi="Times New Roman" w:cs="Times New Roman"/>
        <w:sz w:val="20"/>
        <w:szCs w:val="20"/>
      </w:rPr>
      <w:t>0715</w:t>
    </w:r>
    <w:r>
      <w:rPr>
        <w:rFonts w:ascii="Times New Roman" w:hAnsi="Times New Roman" w:cs="Times New Roman"/>
        <w:sz w:val="20"/>
        <w:szCs w:val="20"/>
      </w:rPr>
      <w:t>_Omnibus</w:t>
    </w:r>
    <w:r w:rsidRPr="00882A09">
      <w:rPr>
        <w:rFonts w:ascii="Times New Roman" w:hAnsi="Times New Roman" w:cs="Times New Roman"/>
        <w:sz w:val="20"/>
        <w:szCs w:val="20"/>
      </w:rPr>
      <w:t>; Likumprojekta</w:t>
    </w:r>
    <w:r>
      <w:rPr>
        <w:rFonts w:ascii="Times New Roman" w:hAnsi="Times New Roman" w:cs="Times New Roman"/>
        <w:sz w:val="20"/>
        <w:szCs w:val="20"/>
      </w:rPr>
      <w:t xml:space="preserve"> </w:t>
    </w:r>
    <w:r w:rsidRPr="00126D48">
      <w:rPr>
        <w:rFonts w:ascii="Times New Roman" w:hAnsi="Times New Roman" w:cs="Times New Roman"/>
        <w:sz w:val="20"/>
        <w:szCs w:val="20"/>
      </w:rPr>
      <w:t>„Grozījumi atsevišķos likumos Eiropas mantošanas apliecības ieviešanai”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75" w:rsidRPr="00882A09" w:rsidRDefault="00080575" w:rsidP="00882A09">
    <w:pPr>
      <w:spacing w:after="0" w:line="240" w:lineRule="auto"/>
      <w:jc w:val="both"/>
      <w:rPr>
        <w:rFonts w:ascii="Times New Roman" w:hAnsi="Times New Roman" w:cs="Times New Roman"/>
        <w:sz w:val="20"/>
        <w:szCs w:val="20"/>
      </w:rPr>
    </w:pPr>
    <w:r w:rsidRPr="00882A09">
      <w:rPr>
        <w:rFonts w:ascii="Times New Roman" w:hAnsi="Times New Roman" w:cs="Times New Roman"/>
        <w:sz w:val="20"/>
        <w:szCs w:val="20"/>
      </w:rPr>
      <w:t>TMAnot_</w:t>
    </w:r>
    <w:r w:rsidR="00341C90">
      <w:rPr>
        <w:rFonts w:ascii="Times New Roman" w:hAnsi="Times New Roman" w:cs="Times New Roman"/>
        <w:sz w:val="20"/>
        <w:szCs w:val="20"/>
      </w:rPr>
      <w:t>17</w:t>
    </w:r>
    <w:r w:rsidR="00126D48">
      <w:rPr>
        <w:rFonts w:ascii="Times New Roman" w:hAnsi="Times New Roman" w:cs="Times New Roman"/>
        <w:sz w:val="20"/>
        <w:szCs w:val="20"/>
      </w:rPr>
      <w:t>07</w:t>
    </w:r>
    <w:r>
      <w:rPr>
        <w:rFonts w:ascii="Times New Roman" w:hAnsi="Times New Roman" w:cs="Times New Roman"/>
        <w:sz w:val="20"/>
        <w:szCs w:val="20"/>
      </w:rPr>
      <w:t>15_Omnibus</w:t>
    </w:r>
    <w:r w:rsidRPr="00882A09">
      <w:rPr>
        <w:rFonts w:ascii="Times New Roman" w:hAnsi="Times New Roman" w:cs="Times New Roman"/>
        <w:sz w:val="20"/>
        <w:szCs w:val="20"/>
      </w:rPr>
      <w:t>; Likumprojekta</w:t>
    </w:r>
    <w:r>
      <w:rPr>
        <w:rFonts w:ascii="Times New Roman" w:hAnsi="Times New Roman" w:cs="Times New Roman"/>
        <w:sz w:val="20"/>
        <w:szCs w:val="20"/>
      </w:rPr>
      <w:t xml:space="preserve"> </w:t>
    </w:r>
    <w:r w:rsidR="00126D48" w:rsidRPr="00126D48">
      <w:rPr>
        <w:rFonts w:ascii="Times New Roman" w:hAnsi="Times New Roman" w:cs="Times New Roman"/>
        <w:sz w:val="20"/>
        <w:szCs w:val="20"/>
      </w:rPr>
      <w:t>„Grozījumi atsevišķos likumos Eiropas mantošanas apliecības ieviešanai”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75" w:rsidRDefault="00080575" w:rsidP="004D15A9">
      <w:pPr>
        <w:spacing w:after="0" w:line="240" w:lineRule="auto"/>
      </w:pPr>
      <w:r>
        <w:separator/>
      </w:r>
    </w:p>
  </w:footnote>
  <w:footnote w:type="continuationSeparator" w:id="0">
    <w:p w:rsidR="00080575" w:rsidRDefault="00080575"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21582"/>
      <w:docPartObj>
        <w:docPartGallery w:val="Page Numbers (Top of Page)"/>
        <w:docPartUnique/>
      </w:docPartObj>
    </w:sdtPr>
    <w:sdtEndPr>
      <w:rPr>
        <w:rFonts w:ascii="Times New Roman" w:hAnsi="Times New Roman" w:cs="Times New Roman"/>
        <w:sz w:val="24"/>
        <w:szCs w:val="24"/>
      </w:rPr>
    </w:sdtEndPr>
    <w:sdtContent>
      <w:p w:rsidR="00080575" w:rsidRPr="004D15A9" w:rsidRDefault="0008057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B4FF2">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rsidR="00080575" w:rsidRDefault="0008057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785"/>
    <w:multiLevelType w:val="hybridMultilevel"/>
    <w:tmpl w:val="8B802E46"/>
    <w:lvl w:ilvl="0" w:tplc="F77AB0F8">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nsid w:val="41C90333"/>
    <w:multiLevelType w:val="hybridMultilevel"/>
    <w:tmpl w:val="DAF22CD4"/>
    <w:lvl w:ilvl="0" w:tplc="4EEC1DC8">
      <w:start w:val="1"/>
      <w:numFmt w:val="decimal"/>
      <w:lvlText w:val="%1)"/>
      <w:lvlJc w:val="left"/>
      <w:pPr>
        <w:ind w:left="510" w:hanging="360"/>
      </w:pPr>
      <w:rPr>
        <w:rFonts w:hint="default"/>
        <w:b w:val="0"/>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2">
    <w:nsid w:val="42160160"/>
    <w:multiLevelType w:val="hybridMultilevel"/>
    <w:tmpl w:val="8B3CF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6BA1AA0"/>
    <w:multiLevelType w:val="hybridMultilevel"/>
    <w:tmpl w:val="FA122182"/>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146204"/>
    <w:multiLevelType w:val="hybridMultilevel"/>
    <w:tmpl w:val="8714A022"/>
    <w:lvl w:ilvl="0" w:tplc="B4AC9B2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83061BA"/>
    <w:multiLevelType w:val="multilevel"/>
    <w:tmpl w:val="02C6D8D6"/>
    <w:lvl w:ilvl="0">
      <w:start w:val="1"/>
      <w:numFmt w:val="decimal"/>
      <w:lvlText w:val="%1."/>
      <w:lvlJc w:val="left"/>
      <w:pPr>
        <w:ind w:left="92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6">
    <w:nsid w:val="628319DA"/>
    <w:multiLevelType w:val="hybridMultilevel"/>
    <w:tmpl w:val="7F8C90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1633"/>
    <w:rsid w:val="00031256"/>
    <w:rsid w:val="00034807"/>
    <w:rsid w:val="0005542E"/>
    <w:rsid w:val="00072D6C"/>
    <w:rsid w:val="00080575"/>
    <w:rsid w:val="000834AA"/>
    <w:rsid w:val="000A57A1"/>
    <w:rsid w:val="000D0098"/>
    <w:rsid w:val="000D6C6A"/>
    <w:rsid w:val="00101079"/>
    <w:rsid w:val="00101CD5"/>
    <w:rsid w:val="001144E7"/>
    <w:rsid w:val="00123708"/>
    <w:rsid w:val="00126D48"/>
    <w:rsid w:val="00137282"/>
    <w:rsid w:val="00151724"/>
    <w:rsid w:val="0015348A"/>
    <w:rsid w:val="00156057"/>
    <w:rsid w:val="00172A9A"/>
    <w:rsid w:val="0017462E"/>
    <w:rsid w:val="00177A01"/>
    <w:rsid w:val="0018673E"/>
    <w:rsid w:val="00193F42"/>
    <w:rsid w:val="0019587F"/>
    <w:rsid w:val="001A5DAE"/>
    <w:rsid w:val="001B42A0"/>
    <w:rsid w:val="001C2905"/>
    <w:rsid w:val="001E59A1"/>
    <w:rsid w:val="001E5EA0"/>
    <w:rsid w:val="00211AE0"/>
    <w:rsid w:val="002404D0"/>
    <w:rsid w:val="002409BE"/>
    <w:rsid w:val="00246EB1"/>
    <w:rsid w:val="00256B0F"/>
    <w:rsid w:val="00285CCA"/>
    <w:rsid w:val="00294434"/>
    <w:rsid w:val="00296B37"/>
    <w:rsid w:val="002A12D1"/>
    <w:rsid w:val="002A7C40"/>
    <w:rsid w:val="002E53B3"/>
    <w:rsid w:val="002F0828"/>
    <w:rsid w:val="002F4E0C"/>
    <w:rsid w:val="002F66E6"/>
    <w:rsid w:val="00311049"/>
    <w:rsid w:val="003205B4"/>
    <w:rsid w:val="00341C90"/>
    <w:rsid w:val="0034286E"/>
    <w:rsid w:val="003461C4"/>
    <w:rsid w:val="00364E71"/>
    <w:rsid w:val="00365755"/>
    <w:rsid w:val="00381B2A"/>
    <w:rsid w:val="003922B0"/>
    <w:rsid w:val="003955A9"/>
    <w:rsid w:val="003A2A0B"/>
    <w:rsid w:val="003B4FF2"/>
    <w:rsid w:val="003B6DB5"/>
    <w:rsid w:val="003C397D"/>
    <w:rsid w:val="003E3F37"/>
    <w:rsid w:val="003E67FD"/>
    <w:rsid w:val="003F6847"/>
    <w:rsid w:val="00405AF9"/>
    <w:rsid w:val="004145C6"/>
    <w:rsid w:val="00440BF6"/>
    <w:rsid w:val="0045000B"/>
    <w:rsid w:val="00457DAE"/>
    <w:rsid w:val="00463088"/>
    <w:rsid w:val="00466847"/>
    <w:rsid w:val="00493A82"/>
    <w:rsid w:val="004B3F6E"/>
    <w:rsid w:val="004D0743"/>
    <w:rsid w:val="004D15A9"/>
    <w:rsid w:val="00503D82"/>
    <w:rsid w:val="005127A4"/>
    <w:rsid w:val="00531B98"/>
    <w:rsid w:val="0057505D"/>
    <w:rsid w:val="005A2D78"/>
    <w:rsid w:val="005A789E"/>
    <w:rsid w:val="005B325B"/>
    <w:rsid w:val="005C6DD6"/>
    <w:rsid w:val="005D0EEE"/>
    <w:rsid w:val="005D4E8A"/>
    <w:rsid w:val="005E4A86"/>
    <w:rsid w:val="00612E21"/>
    <w:rsid w:val="00614F70"/>
    <w:rsid w:val="00640908"/>
    <w:rsid w:val="006575EB"/>
    <w:rsid w:val="00672C00"/>
    <w:rsid w:val="006A2099"/>
    <w:rsid w:val="006A269A"/>
    <w:rsid w:val="006B1EAD"/>
    <w:rsid w:val="006C2B29"/>
    <w:rsid w:val="006C3469"/>
    <w:rsid w:val="006C41D0"/>
    <w:rsid w:val="006D0EEF"/>
    <w:rsid w:val="006D35D9"/>
    <w:rsid w:val="006E2D14"/>
    <w:rsid w:val="006F2A2D"/>
    <w:rsid w:val="006F6142"/>
    <w:rsid w:val="00710494"/>
    <w:rsid w:val="00713984"/>
    <w:rsid w:val="007264FF"/>
    <w:rsid w:val="00750847"/>
    <w:rsid w:val="00750F6C"/>
    <w:rsid w:val="00765EAC"/>
    <w:rsid w:val="007752A0"/>
    <w:rsid w:val="00782021"/>
    <w:rsid w:val="007B3B59"/>
    <w:rsid w:val="007B5334"/>
    <w:rsid w:val="007C7290"/>
    <w:rsid w:val="007D05C5"/>
    <w:rsid w:val="007F72B6"/>
    <w:rsid w:val="0081203F"/>
    <w:rsid w:val="0082327E"/>
    <w:rsid w:val="008568A8"/>
    <w:rsid w:val="008610A0"/>
    <w:rsid w:val="0087303F"/>
    <w:rsid w:val="00882A09"/>
    <w:rsid w:val="008B4976"/>
    <w:rsid w:val="008C21D2"/>
    <w:rsid w:val="008E1CD1"/>
    <w:rsid w:val="008F01D8"/>
    <w:rsid w:val="008F1282"/>
    <w:rsid w:val="009253AC"/>
    <w:rsid w:val="00943DCF"/>
    <w:rsid w:val="009468B3"/>
    <w:rsid w:val="0096241F"/>
    <w:rsid w:val="009658E8"/>
    <w:rsid w:val="0097655A"/>
    <w:rsid w:val="00986033"/>
    <w:rsid w:val="009948F8"/>
    <w:rsid w:val="009C2A41"/>
    <w:rsid w:val="009C3AB6"/>
    <w:rsid w:val="009E1526"/>
    <w:rsid w:val="009E27CD"/>
    <w:rsid w:val="009E30F1"/>
    <w:rsid w:val="009E42FD"/>
    <w:rsid w:val="009F34F5"/>
    <w:rsid w:val="00A0462A"/>
    <w:rsid w:val="00A12688"/>
    <w:rsid w:val="00A16586"/>
    <w:rsid w:val="00A24A7C"/>
    <w:rsid w:val="00A26045"/>
    <w:rsid w:val="00A32A11"/>
    <w:rsid w:val="00A47655"/>
    <w:rsid w:val="00A80C19"/>
    <w:rsid w:val="00A9694C"/>
    <w:rsid w:val="00AC0E95"/>
    <w:rsid w:val="00AD1807"/>
    <w:rsid w:val="00AD1D87"/>
    <w:rsid w:val="00AD25C3"/>
    <w:rsid w:val="00AE27AC"/>
    <w:rsid w:val="00B11D0F"/>
    <w:rsid w:val="00B12279"/>
    <w:rsid w:val="00B23894"/>
    <w:rsid w:val="00B42958"/>
    <w:rsid w:val="00B52506"/>
    <w:rsid w:val="00B814B9"/>
    <w:rsid w:val="00B85132"/>
    <w:rsid w:val="00BA0C63"/>
    <w:rsid w:val="00BA0F4A"/>
    <w:rsid w:val="00BB1F46"/>
    <w:rsid w:val="00BE0CAB"/>
    <w:rsid w:val="00BE7A8A"/>
    <w:rsid w:val="00BF34F2"/>
    <w:rsid w:val="00C17D38"/>
    <w:rsid w:val="00C24EBE"/>
    <w:rsid w:val="00C263CD"/>
    <w:rsid w:val="00C32B2A"/>
    <w:rsid w:val="00C33BAE"/>
    <w:rsid w:val="00C43A0A"/>
    <w:rsid w:val="00C51E09"/>
    <w:rsid w:val="00C771A6"/>
    <w:rsid w:val="00CD431E"/>
    <w:rsid w:val="00CE3D79"/>
    <w:rsid w:val="00CF2B25"/>
    <w:rsid w:val="00D313D5"/>
    <w:rsid w:val="00D402E6"/>
    <w:rsid w:val="00D50B39"/>
    <w:rsid w:val="00D56189"/>
    <w:rsid w:val="00D72F72"/>
    <w:rsid w:val="00DA596D"/>
    <w:rsid w:val="00DB03BC"/>
    <w:rsid w:val="00DB642D"/>
    <w:rsid w:val="00DC75AD"/>
    <w:rsid w:val="00DD36D2"/>
    <w:rsid w:val="00DF1645"/>
    <w:rsid w:val="00DF7250"/>
    <w:rsid w:val="00E04360"/>
    <w:rsid w:val="00E059F1"/>
    <w:rsid w:val="00E35F27"/>
    <w:rsid w:val="00E9129A"/>
    <w:rsid w:val="00EA023E"/>
    <w:rsid w:val="00EA130F"/>
    <w:rsid w:val="00EB09F8"/>
    <w:rsid w:val="00EE32D9"/>
    <w:rsid w:val="00EE6CFB"/>
    <w:rsid w:val="00EF6F23"/>
    <w:rsid w:val="00F0193C"/>
    <w:rsid w:val="00F057DD"/>
    <w:rsid w:val="00F52C58"/>
    <w:rsid w:val="00F56396"/>
    <w:rsid w:val="00F6148C"/>
    <w:rsid w:val="00F736A9"/>
    <w:rsid w:val="00F77C56"/>
    <w:rsid w:val="00F854BF"/>
    <w:rsid w:val="00FB7BAB"/>
    <w:rsid w:val="00FE6155"/>
    <w:rsid w:val="00FE6D05"/>
    <w:rsid w:val="00FF4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11049"/>
    <w:pPr>
      <w:keepNext/>
      <w:spacing w:after="0" w:line="240" w:lineRule="auto"/>
      <w:outlineLvl w:val="0"/>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rsid w:val="00AD1D8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AD1D87"/>
    <w:rPr>
      <w:rFonts w:ascii="Times New Roman" w:eastAsia="Times New Roman" w:hAnsi="Times New Roman" w:cs="Times New Roman"/>
      <w:sz w:val="20"/>
      <w:szCs w:val="20"/>
      <w:lang w:eastAsia="lv-LV"/>
    </w:rPr>
  </w:style>
  <w:style w:type="character" w:styleId="Hipersaite">
    <w:name w:val="Hyperlink"/>
    <w:uiPriority w:val="99"/>
    <w:rsid w:val="00AD1D87"/>
    <w:rPr>
      <w:color w:val="0000FF"/>
      <w:u w:val="single"/>
    </w:rPr>
  </w:style>
  <w:style w:type="paragraph" w:customStyle="1" w:styleId="Default">
    <w:name w:val="Default"/>
    <w:rsid w:val="00AD1D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rsid w:val="00AD1D87"/>
    <w:rPr>
      <w:vertAlign w:val="superscript"/>
    </w:rPr>
  </w:style>
  <w:style w:type="paragraph" w:customStyle="1" w:styleId="naiskr">
    <w:name w:val="naiskr"/>
    <w:basedOn w:val="Parasts"/>
    <w:rsid w:val="00AD1D87"/>
    <w:pPr>
      <w:spacing w:before="75" w:after="75"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D1D87"/>
    <w:pPr>
      <w:ind w:left="720"/>
      <w:contextualSpacing/>
    </w:pPr>
  </w:style>
  <w:style w:type="paragraph" w:styleId="Pamattekstaatkpe3">
    <w:name w:val="Body Text Indent 3"/>
    <w:basedOn w:val="Parasts"/>
    <w:link w:val="Pamattekstaatkpe3Rakstz"/>
    <w:rsid w:val="00AD1D87"/>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AD1D87"/>
    <w:rPr>
      <w:rFonts w:ascii="Times New Roman" w:eastAsia="Times New Roman" w:hAnsi="Times New Roman" w:cs="Times New Roman"/>
      <w:sz w:val="16"/>
      <w:szCs w:val="16"/>
      <w:lang w:eastAsia="lv-LV"/>
    </w:rPr>
  </w:style>
  <w:style w:type="character" w:customStyle="1" w:styleId="t35">
    <w:name w:val="t35"/>
    <w:rsid w:val="00AD1D87"/>
  </w:style>
  <w:style w:type="table" w:styleId="Reatabula">
    <w:name w:val="Table Grid"/>
    <w:basedOn w:val="Parastatabula"/>
    <w:uiPriority w:val="59"/>
    <w:rsid w:val="007D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1B42A0"/>
    <w:pPr>
      <w:spacing w:after="0" w:line="240" w:lineRule="auto"/>
      <w:jc w:val="both"/>
    </w:pPr>
    <w:rPr>
      <w:rFonts w:ascii="Times New Roman" w:eastAsia="Times New Roman" w:hAnsi="Times New Roman" w:cs="Times New Roman"/>
      <w:sz w:val="28"/>
    </w:rPr>
  </w:style>
  <w:style w:type="paragraph" w:customStyle="1" w:styleId="naisf">
    <w:name w:val="naisf"/>
    <w:basedOn w:val="Parasts"/>
    <w:rsid w:val="001B42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B814B9"/>
    <w:rPr>
      <w:i/>
      <w:iCs/>
    </w:rPr>
  </w:style>
  <w:style w:type="character" w:styleId="Izteiksmgs">
    <w:name w:val="Strong"/>
    <w:basedOn w:val="Noklusjumarindkopasfonts"/>
    <w:qFormat/>
    <w:rsid w:val="00C51E09"/>
    <w:rPr>
      <w:b/>
      <w:bCs/>
    </w:rPr>
  </w:style>
  <w:style w:type="character" w:styleId="Komentraatsauce">
    <w:name w:val="annotation reference"/>
    <w:basedOn w:val="Noklusjumarindkopasfonts"/>
    <w:uiPriority w:val="99"/>
    <w:semiHidden/>
    <w:unhideWhenUsed/>
    <w:rsid w:val="00B52506"/>
    <w:rPr>
      <w:sz w:val="16"/>
      <w:szCs w:val="16"/>
    </w:rPr>
  </w:style>
  <w:style w:type="paragraph" w:styleId="Komentrateksts">
    <w:name w:val="annotation text"/>
    <w:basedOn w:val="Parasts"/>
    <w:link w:val="KomentratekstsRakstz"/>
    <w:uiPriority w:val="99"/>
    <w:semiHidden/>
    <w:unhideWhenUsed/>
    <w:rsid w:val="00B5250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2506"/>
    <w:rPr>
      <w:sz w:val="20"/>
      <w:szCs w:val="20"/>
    </w:rPr>
  </w:style>
  <w:style w:type="paragraph" w:styleId="Komentratma">
    <w:name w:val="annotation subject"/>
    <w:basedOn w:val="Komentrateksts"/>
    <w:next w:val="Komentrateksts"/>
    <w:link w:val="KomentratmaRakstz"/>
    <w:uiPriority w:val="99"/>
    <w:semiHidden/>
    <w:unhideWhenUsed/>
    <w:rsid w:val="00B52506"/>
    <w:rPr>
      <w:b/>
      <w:bCs/>
    </w:rPr>
  </w:style>
  <w:style w:type="character" w:customStyle="1" w:styleId="KomentratmaRakstz">
    <w:name w:val="Komentāra tēma Rakstz."/>
    <w:basedOn w:val="KomentratekstsRakstz"/>
    <w:link w:val="Komentratma"/>
    <w:uiPriority w:val="99"/>
    <w:semiHidden/>
    <w:rsid w:val="00B52506"/>
    <w:rPr>
      <w:b/>
      <w:bCs/>
      <w:sz w:val="20"/>
      <w:szCs w:val="20"/>
    </w:rPr>
  </w:style>
  <w:style w:type="paragraph" w:styleId="Pamatteksts">
    <w:name w:val="Body Text"/>
    <w:basedOn w:val="Parasts"/>
    <w:link w:val="PamattekstsRakstz"/>
    <w:uiPriority w:val="99"/>
    <w:unhideWhenUsed/>
    <w:rsid w:val="00943DCF"/>
    <w:pPr>
      <w:spacing w:after="120"/>
    </w:pPr>
  </w:style>
  <w:style w:type="character" w:customStyle="1" w:styleId="PamattekstsRakstz">
    <w:name w:val="Pamatteksts Rakstz."/>
    <w:basedOn w:val="Noklusjumarindkopasfonts"/>
    <w:link w:val="Pamatteksts"/>
    <w:uiPriority w:val="99"/>
    <w:rsid w:val="00943DCF"/>
  </w:style>
  <w:style w:type="paragraph" w:customStyle="1" w:styleId="tv2131">
    <w:name w:val="tv2131"/>
    <w:basedOn w:val="Parasts"/>
    <w:rsid w:val="002F66E6"/>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D56189"/>
    <w:pPr>
      <w:spacing w:after="0" w:line="240" w:lineRule="auto"/>
    </w:pPr>
  </w:style>
  <w:style w:type="character" w:customStyle="1" w:styleId="Virsraksts1Rakstz">
    <w:name w:val="Virsraksts 1 Rakstz."/>
    <w:basedOn w:val="Noklusjumarindkopasfonts"/>
    <w:link w:val="Virsraksts1"/>
    <w:rsid w:val="0031104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11049"/>
    <w:pPr>
      <w:keepNext/>
      <w:spacing w:after="0" w:line="240" w:lineRule="auto"/>
      <w:outlineLvl w:val="0"/>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rsid w:val="00AD1D8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AD1D87"/>
    <w:rPr>
      <w:rFonts w:ascii="Times New Roman" w:eastAsia="Times New Roman" w:hAnsi="Times New Roman" w:cs="Times New Roman"/>
      <w:sz w:val="20"/>
      <w:szCs w:val="20"/>
      <w:lang w:eastAsia="lv-LV"/>
    </w:rPr>
  </w:style>
  <w:style w:type="character" w:styleId="Hipersaite">
    <w:name w:val="Hyperlink"/>
    <w:uiPriority w:val="99"/>
    <w:rsid w:val="00AD1D87"/>
    <w:rPr>
      <w:color w:val="0000FF"/>
      <w:u w:val="single"/>
    </w:rPr>
  </w:style>
  <w:style w:type="paragraph" w:customStyle="1" w:styleId="Default">
    <w:name w:val="Default"/>
    <w:rsid w:val="00AD1D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rsid w:val="00AD1D87"/>
    <w:rPr>
      <w:vertAlign w:val="superscript"/>
    </w:rPr>
  </w:style>
  <w:style w:type="paragraph" w:customStyle="1" w:styleId="naiskr">
    <w:name w:val="naiskr"/>
    <w:basedOn w:val="Parasts"/>
    <w:rsid w:val="00AD1D87"/>
    <w:pPr>
      <w:spacing w:before="75" w:after="75"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D1D87"/>
    <w:pPr>
      <w:ind w:left="720"/>
      <w:contextualSpacing/>
    </w:pPr>
  </w:style>
  <w:style w:type="paragraph" w:styleId="Pamattekstaatkpe3">
    <w:name w:val="Body Text Indent 3"/>
    <w:basedOn w:val="Parasts"/>
    <w:link w:val="Pamattekstaatkpe3Rakstz"/>
    <w:rsid w:val="00AD1D87"/>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AD1D87"/>
    <w:rPr>
      <w:rFonts w:ascii="Times New Roman" w:eastAsia="Times New Roman" w:hAnsi="Times New Roman" w:cs="Times New Roman"/>
      <w:sz w:val="16"/>
      <w:szCs w:val="16"/>
      <w:lang w:eastAsia="lv-LV"/>
    </w:rPr>
  </w:style>
  <w:style w:type="character" w:customStyle="1" w:styleId="t35">
    <w:name w:val="t35"/>
    <w:rsid w:val="00AD1D87"/>
  </w:style>
  <w:style w:type="table" w:styleId="Reatabula">
    <w:name w:val="Table Grid"/>
    <w:basedOn w:val="Parastatabula"/>
    <w:uiPriority w:val="59"/>
    <w:rsid w:val="007D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1B42A0"/>
    <w:pPr>
      <w:spacing w:after="0" w:line="240" w:lineRule="auto"/>
      <w:jc w:val="both"/>
    </w:pPr>
    <w:rPr>
      <w:rFonts w:ascii="Times New Roman" w:eastAsia="Times New Roman" w:hAnsi="Times New Roman" w:cs="Times New Roman"/>
      <w:sz w:val="28"/>
    </w:rPr>
  </w:style>
  <w:style w:type="paragraph" w:customStyle="1" w:styleId="naisf">
    <w:name w:val="naisf"/>
    <w:basedOn w:val="Parasts"/>
    <w:rsid w:val="001B42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B814B9"/>
    <w:rPr>
      <w:i/>
      <w:iCs/>
    </w:rPr>
  </w:style>
  <w:style w:type="character" w:styleId="Izteiksmgs">
    <w:name w:val="Strong"/>
    <w:basedOn w:val="Noklusjumarindkopasfonts"/>
    <w:qFormat/>
    <w:rsid w:val="00C51E09"/>
    <w:rPr>
      <w:b/>
      <w:bCs/>
    </w:rPr>
  </w:style>
  <w:style w:type="character" w:styleId="Komentraatsauce">
    <w:name w:val="annotation reference"/>
    <w:basedOn w:val="Noklusjumarindkopasfonts"/>
    <w:uiPriority w:val="99"/>
    <w:semiHidden/>
    <w:unhideWhenUsed/>
    <w:rsid w:val="00B52506"/>
    <w:rPr>
      <w:sz w:val="16"/>
      <w:szCs w:val="16"/>
    </w:rPr>
  </w:style>
  <w:style w:type="paragraph" w:styleId="Komentrateksts">
    <w:name w:val="annotation text"/>
    <w:basedOn w:val="Parasts"/>
    <w:link w:val="KomentratekstsRakstz"/>
    <w:uiPriority w:val="99"/>
    <w:semiHidden/>
    <w:unhideWhenUsed/>
    <w:rsid w:val="00B5250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2506"/>
    <w:rPr>
      <w:sz w:val="20"/>
      <w:szCs w:val="20"/>
    </w:rPr>
  </w:style>
  <w:style w:type="paragraph" w:styleId="Komentratma">
    <w:name w:val="annotation subject"/>
    <w:basedOn w:val="Komentrateksts"/>
    <w:next w:val="Komentrateksts"/>
    <w:link w:val="KomentratmaRakstz"/>
    <w:uiPriority w:val="99"/>
    <w:semiHidden/>
    <w:unhideWhenUsed/>
    <w:rsid w:val="00B52506"/>
    <w:rPr>
      <w:b/>
      <w:bCs/>
    </w:rPr>
  </w:style>
  <w:style w:type="character" w:customStyle="1" w:styleId="KomentratmaRakstz">
    <w:name w:val="Komentāra tēma Rakstz."/>
    <w:basedOn w:val="KomentratekstsRakstz"/>
    <w:link w:val="Komentratma"/>
    <w:uiPriority w:val="99"/>
    <w:semiHidden/>
    <w:rsid w:val="00B52506"/>
    <w:rPr>
      <w:b/>
      <w:bCs/>
      <w:sz w:val="20"/>
      <w:szCs w:val="20"/>
    </w:rPr>
  </w:style>
  <w:style w:type="paragraph" w:styleId="Pamatteksts">
    <w:name w:val="Body Text"/>
    <w:basedOn w:val="Parasts"/>
    <w:link w:val="PamattekstsRakstz"/>
    <w:uiPriority w:val="99"/>
    <w:unhideWhenUsed/>
    <w:rsid w:val="00943DCF"/>
    <w:pPr>
      <w:spacing w:after="120"/>
    </w:pPr>
  </w:style>
  <w:style w:type="character" w:customStyle="1" w:styleId="PamattekstsRakstz">
    <w:name w:val="Pamatteksts Rakstz."/>
    <w:basedOn w:val="Noklusjumarindkopasfonts"/>
    <w:link w:val="Pamatteksts"/>
    <w:uiPriority w:val="99"/>
    <w:rsid w:val="00943DCF"/>
  </w:style>
  <w:style w:type="paragraph" w:customStyle="1" w:styleId="tv2131">
    <w:name w:val="tv2131"/>
    <w:basedOn w:val="Parasts"/>
    <w:rsid w:val="002F66E6"/>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D56189"/>
    <w:pPr>
      <w:spacing w:after="0" w:line="240" w:lineRule="auto"/>
    </w:pPr>
  </w:style>
  <w:style w:type="character" w:customStyle="1" w:styleId="Virsraksts1Rakstz">
    <w:name w:val="Virsraksts 1 Rakstz."/>
    <w:basedOn w:val="Noklusjumarindkopasfonts"/>
    <w:link w:val="Virsraksts1"/>
    <w:rsid w:val="0031104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286">
      <w:bodyDiv w:val="1"/>
      <w:marLeft w:val="0"/>
      <w:marRight w:val="0"/>
      <w:marTop w:val="0"/>
      <w:marBottom w:val="0"/>
      <w:divBdr>
        <w:top w:val="none" w:sz="0" w:space="0" w:color="auto"/>
        <w:left w:val="none" w:sz="0" w:space="0" w:color="auto"/>
        <w:bottom w:val="none" w:sz="0" w:space="0" w:color="auto"/>
        <w:right w:val="none" w:sz="0" w:space="0" w:color="auto"/>
      </w:divBdr>
      <w:divsChild>
        <w:div w:id="478158096">
          <w:marLeft w:val="0"/>
          <w:marRight w:val="0"/>
          <w:marTop w:val="0"/>
          <w:marBottom w:val="0"/>
          <w:divBdr>
            <w:top w:val="none" w:sz="0" w:space="0" w:color="auto"/>
            <w:left w:val="none" w:sz="0" w:space="0" w:color="auto"/>
            <w:bottom w:val="none" w:sz="0" w:space="0" w:color="auto"/>
            <w:right w:val="none" w:sz="0" w:space="0" w:color="auto"/>
          </w:divBdr>
          <w:divsChild>
            <w:div w:id="1393655764">
              <w:marLeft w:val="0"/>
              <w:marRight w:val="0"/>
              <w:marTop w:val="0"/>
              <w:marBottom w:val="0"/>
              <w:divBdr>
                <w:top w:val="none" w:sz="0" w:space="0" w:color="auto"/>
                <w:left w:val="none" w:sz="0" w:space="0" w:color="auto"/>
                <w:bottom w:val="none" w:sz="0" w:space="0" w:color="auto"/>
                <w:right w:val="none" w:sz="0" w:space="0" w:color="auto"/>
              </w:divBdr>
              <w:divsChild>
                <w:div w:id="1360080805">
                  <w:marLeft w:val="0"/>
                  <w:marRight w:val="0"/>
                  <w:marTop w:val="0"/>
                  <w:marBottom w:val="0"/>
                  <w:divBdr>
                    <w:top w:val="none" w:sz="0" w:space="0" w:color="auto"/>
                    <w:left w:val="none" w:sz="0" w:space="0" w:color="auto"/>
                    <w:bottom w:val="none" w:sz="0" w:space="0" w:color="auto"/>
                    <w:right w:val="none" w:sz="0" w:space="0" w:color="auto"/>
                  </w:divBdr>
                  <w:divsChild>
                    <w:div w:id="818498554">
                      <w:marLeft w:val="0"/>
                      <w:marRight w:val="0"/>
                      <w:marTop w:val="0"/>
                      <w:marBottom w:val="0"/>
                      <w:divBdr>
                        <w:top w:val="none" w:sz="0" w:space="0" w:color="auto"/>
                        <w:left w:val="none" w:sz="0" w:space="0" w:color="auto"/>
                        <w:bottom w:val="none" w:sz="0" w:space="0" w:color="auto"/>
                        <w:right w:val="none" w:sz="0" w:space="0" w:color="auto"/>
                      </w:divBdr>
                      <w:divsChild>
                        <w:div w:id="803540567">
                          <w:marLeft w:val="0"/>
                          <w:marRight w:val="0"/>
                          <w:marTop w:val="0"/>
                          <w:marBottom w:val="0"/>
                          <w:divBdr>
                            <w:top w:val="none" w:sz="0" w:space="0" w:color="auto"/>
                            <w:left w:val="none" w:sz="0" w:space="0" w:color="auto"/>
                            <w:bottom w:val="none" w:sz="0" w:space="0" w:color="auto"/>
                            <w:right w:val="none" w:sz="0" w:space="0" w:color="auto"/>
                          </w:divBdr>
                          <w:divsChild>
                            <w:div w:id="338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1889">
      <w:bodyDiv w:val="1"/>
      <w:marLeft w:val="0"/>
      <w:marRight w:val="0"/>
      <w:marTop w:val="0"/>
      <w:marBottom w:val="0"/>
      <w:divBdr>
        <w:top w:val="none" w:sz="0" w:space="0" w:color="auto"/>
        <w:left w:val="none" w:sz="0" w:space="0" w:color="auto"/>
        <w:bottom w:val="none" w:sz="0" w:space="0" w:color="auto"/>
        <w:right w:val="none" w:sz="0" w:space="0" w:color="auto"/>
      </w:divBdr>
      <w:divsChild>
        <w:div w:id="301081796">
          <w:marLeft w:val="0"/>
          <w:marRight w:val="0"/>
          <w:marTop w:val="0"/>
          <w:marBottom w:val="0"/>
          <w:divBdr>
            <w:top w:val="none" w:sz="0" w:space="0" w:color="auto"/>
            <w:left w:val="none" w:sz="0" w:space="0" w:color="auto"/>
            <w:bottom w:val="none" w:sz="0" w:space="0" w:color="auto"/>
            <w:right w:val="none" w:sz="0" w:space="0" w:color="auto"/>
          </w:divBdr>
          <w:divsChild>
            <w:div w:id="1368529242">
              <w:marLeft w:val="0"/>
              <w:marRight w:val="0"/>
              <w:marTop w:val="0"/>
              <w:marBottom w:val="0"/>
              <w:divBdr>
                <w:top w:val="none" w:sz="0" w:space="0" w:color="auto"/>
                <w:left w:val="none" w:sz="0" w:space="0" w:color="auto"/>
                <w:bottom w:val="none" w:sz="0" w:space="0" w:color="auto"/>
                <w:right w:val="none" w:sz="0" w:space="0" w:color="auto"/>
              </w:divBdr>
              <w:divsChild>
                <w:div w:id="470172545">
                  <w:marLeft w:val="0"/>
                  <w:marRight w:val="0"/>
                  <w:marTop w:val="0"/>
                  <w:marBottom w:val="0"/>
                  <w:divBdr>
                    <w:top w:val="none" w:sz="0" w:space="0" w:color="auto"/>
                    <w:left w:val="none" w:sz="0" w:space="0" w:color="auto"/>
                    <w:bottom w:val="none" w:sz="0" w:space="0" w:color="auto"/>
                    <w:right w:val="none" w:sz="0" w:space="0" w:color="auto"/>
                  </w:divBdr>
                  <w:divsChild>
                    <w:div w:id="1472362702">
                      <w:marLeft w:val="0"/>
                      <w:marRight w:val="0"/>
                      <w:marTop w:val="0"/>
                      <w:marBottom w:val="0"/>
                      <w:divBdr>
                        <w:top w:val="none" w:sz="0" w:space="0" w:color="auto"/>
                        <w:left w:val="none" w:sz="0" w:space="0" w:color="auto"/>
                        <w:bottom w:val="none" w:sz="0" w:space="0" w:color="auto"/>
                        <w:right w:val="none" w:sz="0" w:space="0" w:color="auto"/>
                      </w:divBdr>
                      <w:divsChild>
                        <w:div w:id="1918708356">
                          <w:marLeft w:val="0"/>
                          <w:marRight w:val="0"/>
                          <w:marTop w:val="0"/>
                          <w:marBottom w:val="0"/>
                          <w:divBdr>
                            <w:top w:val="none" w:sz="0" w:space="0" w:color="auto"/>
                            <w:left w:val="none" w:sz="0" w:space="0" w:color="auto"/>
                            <w:bottom w:val="none" w:sz="0" w:space="0" w:color="auto"/>
                            <w:right w:val="none" w:sz="0" w:space="0" w:color="auto"/>
                          </w:divBdr>
                          <w:divsChild>
                            <w:div w:id="3982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kumi.lv/doc.php?id=256138&amp;search=on"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90E6-85A6-49AE-A510-F1D5EE7A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12839</Words>
  <Characters>7319</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„Grozījumi atsevišķos likumos Eiropas mantošanas apliecības ieviešanai” sākotnējās ietekmes novērtējuma ziņojums (anotācija)</vt:lpstr>
    </vt:vector>
  </TitlesOfParts>
  <Company>Tieslietu Sektors</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atsevišķos likumos Eiropas mantošanas apliecības ieviešanai” sākotnējās ietekmes novērtējuma ziņojums (anotācija)</dc:title>
  <dc:subject>sākotnējās ietekmes novērtējuma ziņojums (anotācija)</dc:subject>
  <dc:creator>Tieslietu ministrija</dc:creator>
  <dc:description>Maija Glazjeva, 67036956, Maija.Glazjeva@tm.gov.lv</dc:description>
  <cp:lastModifiedBy>Maija Glazjeva</cp:lastModifiedBy>
  <cp:revision>4</cp:revision>
  <cp:lastPrinted>2015-07-17T07:52:00Z</cp:lastPrinted>
  <dcterms:created xsi:type="dcterms:W3CDTF">2015-07-17T08:02:00Z</dcterms:created>
  <dcterms:modified xsi:type="dcterms:W3CDTF">2015-07-17T08:02:00Z</dcterms:modified>
</cp:coreProperties>
</file>