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FB73A" w14:textId="77777777" w:rsidR="00B76B04" w:rsidRPr="00647904" w:rsidRDefault="00B76B04" w:rsidP="00B76B04">
      <w:pPr>
        <w:spacing w:after="0" w:line="240" w:lineRule="auto"/>
        <w:jc w:val="center"/>
        <w:rPr>
          <w:rFonts w:ascii="Times New Roman" w:hAnsi="Times New Roman"/>
          <w:b/>
          <w:color w:val="000000"/>
          <w:sz w:val="24"/>
          <w:szCs w:val="24"/>
        </w:rPr>
      </w:pPr>
      <w:r w:rsidRPr="00647904">
        <w:rPr>
          <w:rFonts w:ascii="Times New Roman" w:hAnsi="Times New Roman"/>
          <w:b/>
          <w:color w:val="000000"/>
          <w:sz w:val="24"/>
          <w:szCs w:val="24"/>
        </w:rPr>
        <w:t>Likumprojekta</w:t>
      </w:r>
      <w:r w:rsidR="0070445E" w:rsidRPr="00647904">
        <w:rPr>
          <w:rFonts w:ascii="Times New Roman" w:hAnsi="Times New Roman"/>
          <w:b/>
          <w:color w:val="000000"/>
          <w:sz w:val="24"/>
          <w:szCs w:val="24"/>
        </w:rPr>
        <w:t xml:space="preserve"> </w:t>
      </w:r>
      <w:r w:rsidR="00A04B00">
        <w:rPr>
          <w:rFonts w:ascii="Times New Roman" w:hAnsi="Times New Roman"/>
          <w:b/>
          <w:color w:val="000000"/>
          <w:sz w:val="24"/>
          <w:szCs w:val="24"/>
        </w:rPr>
        <w:t>„</w:t>
      </w:r>
      <w:r w:rsidR="00361891">
        <w:rPr>
          <w:rFonts w:ascii="Times New Roman" w:hAnsi="Times New Roman"/>
          <w:b/>
          <w:color w:val="000000"/>
          <w:sz w:val="24"/>
          <w:szCs w:val="24"/>
        </w:rPr>
        <w:t xml:space="preserve">Grozījumi </w:t>
      </w:r>
      <w:r w:rsidR="00A04B00">
        <w:rPr>
          <w:rFonts w:ascii="Times New Roman" w:hAnsi="Times New Roman"/>
          <w:b/>
          <w:color w:val="000000"/>
          <w:sz w:val="24"/>
          <w:szCs w:val="24"/>
        </w:rPr>
        <w:t>Civilprocesa</w:t>
      </w:r>
      <w:r w:rsidR="002F3678" w:rsidRPr="00647904">
        <w:rPr>
          <w:rFonts w:ascii="Times New Roman" w:hAnsi="Times New Roman"/>
          <w:b/>
          <w:color w:val="000000"/>
          <w:sz w:val="24"/>
          <w:szCs w:val="24"/>
        </w:rPr>
        <w:t xml:space="preserve"> likumā</w:t>
      </w:r>
      <w:r w:rsidRPr="00647904">
        <w:rPr>
          <w:rFonts w:ascii="Times New Roman" w:hAnsi="Times New Roman"/>
          <w:b/>
          <w:color w:val="000000"/>
          <w:sz w:val="24"/>
          <w:szCs w:val="24"/>
        </w:rPr>
        <w:t>”</w:t>
      </w:r>
    </w:p>
    <w:p w14:paraId="41B50802" w14:textId="77777777" w:rsidR="005703E1" w:rsidRPr="00647904" w:rsidRDefault="00B76B04" w:rsidP="009E73B9">
      <w:pPr>
        <w:spacing w:after="0" w:line="240" w:lineRule="auto"/>
        <w:jc w:val="center"/>
        <w:rPr>
          <w:rFonts w:ascii="Times New Roman" w:hAnsi="Times New Roman"/>
          <w:b/>
          <w:color w:val="000000"/>
          <w:sz w:val="24"/>
          <w:szCs w:val="24"/>
        </w:rPr>
      </w:pPr>
      <w:r w:rsidRPr="00647904">
        <w:rPr>
          <w:rFonts w:ascii="Times New Roman" w:hAnsi="Times New Roman"/>
          <w:b/>
          <w:color w:val="000000"/>
          <w:sz w:val="24"/>
          <w:szCs w:val="24"/>
        </w:rPr>
        <w:t>sākotnējās ietekmes n</w:t>
      </w:r>
      <w:r w:rsidR="009E73B9" w:rsidRPr="00647904">
        <w:rPr>
          <w:rFonts w:ascii="Times New Roman" w:hAnsi="Times New Roman"/>
          <w:b/>
          <w:color w:val="000000"/>
          <w:sz w:val="24"/>
          <w:szCs w:val="24"/>
        </w:rPr>
        <w:t>ovērtējuma ziņojums (anotācija)</w:t>
      </w:r>
    </w:p>
    <w:p w14:paraId="590109B2" w14:textId="77777777" w:rsidR="009E73B9" w:rsidRPr="00647904" w:rsidRDefault="009E73B9" w:rsidP="009E73B9">
      <w:pPr>
        <w:spacing w:after="0" w:line="240" w:lineRule="auto"/>
        <w:jc w:val="center"/>
        <w:rPr>
          <w:rFonts w:ascii="Times New Roman" w:hAnsi="Times New Roman"/>
          <w:b/>
          <w:color w:val="000000"/>
          <w:sz w:val="24"/>
          <w:szCs w:val="24"/>
        </w:rPr>
      </w:pPr>
    </w:p>
    <w:p w14:paraId="17DDCAC2" w14:textId="77777777" w:rsidR="00DE00FD" w:rsidRPr="00647904" w:rsidRDefault="00DE00FD" w:rsidP="009E73B9">
      <w:pPr>
        <w:spacing w:after="0" w:line="240" w:lineRule="auto"/>
        <w:jc w:val="center"/>
        <w:rPr>
          <w:rFonts w:ascii="Times New Roman" w:hAnsi="Times New Roman"/>
          <w:b/>
          <w:color w:val="000000"/>
          <w:sz w:val="24"/>
          <w:szCs w:val="24"/>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957"/>
      </w:tblGrid>
      <w:tr w:rsidR="008752D4" w:rsidRPr="00647904" w14:paraId="5DB66F40" w14:textId="77777777" w:rsidTr="002601DD">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32B826D4" w14:textId="77777777" w:rsidR="008752D4" w:rsidRPr="00647904"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I. Tiesību akta projekta izstrādes nepieciešamība</w:t>
            </w:r>
          </w:p>
        </w:tc>
      </w:tr>
      <w:tr w:rsidR="008752D4" w:rsidRPr="00647904" w14:paraId="37FA0DA7" w14:textId="77777777" w:rsidTr="002601DD">
        <w:trPr>
          <w:trHeight w:val="74"/>
        </w:trPr>
        <w:tc>
          <w:tcPr>
            <w:tcW w:w="247" w:type="pct"/>
            <w:tcBorders>
              <w:top w:val="outset" w:sz="6" w:space="0" w:color="414142"/>
              <w:left w:val="outset" w:sz="6" w:space="0" w:color="414142"/>
              <w:bottom w:val="outset" w:sz="6" w:space="0" w:color="414142"/>
              <w:right w:val="outset" w:sz="6" w:space="0" w:color="414142"/>
            </w:tcBorders>
          </w:tcPr>
          <w:p w14:paraId="3AD6DB18"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1.</w:t>
            </w:r>
          </w:p>
        </w:tc>
        <w:tc>
          <w:tcPr>
            <w:tcW w:w="1531" w:type="pct"/>
            <w:tcBorders>
              <w:top w:val="outset" w:sz="6" w:space="0" w:color="414142"/>
              <w:left w:val="outset" w:sz="6" w:space="0" w:color="414142"/>
              <w:bottom w:val="outset" w:sz="6" w:space="0" w:color="414142"/>
              <w:right w:val="outset" w:sz="6" w:space="0" w:color="414142"/>
            </w:tcBorders>
          </w:tcPr>
          <w:p w14:paraId="5F9FF053"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Pamatojums</w:t>
            </w:r>
          </w:p>
        </w:tc>
        <w:tc>
          <w:tcPr>
            <w:tcW w:w="3222" w:type="pct"/>
            <w:tcBorders>
              <w:top w:val="outset" w:sz="6" w:space="0" w:color="414142"/>
              <w:left w:val="outset" w:sz="6" w:space="0" w:color="414142"/>
              <w:bottom w:val="outset" w:sz="6" w:space="0" w:color="414142"/>
              <w:right w:val="outset" w:sz="6" w:space="0" w:color="414142"/>
            </w:tcBorders>
          </w:tcPr>
          <w:p w14:paraId="15D37A5E" w14:textId="77777777" w:rsidR="008752D4" w:rsidRDefault="008B66F9" w:rsidP="00F63FA1">
            <w:pPr>
              <w:spacing w:after="0" w:line="240" w:lineRule="auto"/>
              <w:ind w:firstLine="682"/>
              <w:jc w:val="both"/>
              <w:rPr>
                <w:rFonts w:ascii="Times New Roman" w:hAnsi="Times New Roman"/>
                <w:bCs/>
                <w:color w:val="000000"/>
                <w:sz w:val="24"/>
                <w:szCs w:val="24"/>
              </w:rPr>
            </w:pPr>
            <w:r w:rsidRPr="00647904">
              <w:rPr>
                <w:rFonts w:ascii="Times New Roman" w:hAnsi="Times New Roman"/>
                <w:bCs/>
                <w:color w:val="000000"/>
                <w:sz w:val="24"/>
                <w:szCs w:val="24"/>
              </w:rPr>
              <w:t>Tieslietu ministrijas iniciatīva.</w:t>
            </w:r>
          </w:p>
          <w:p w14:paraId="6D0A364C" w14:textId="1058AE89" w:rsidR="00361891" w:rsidRDefault="00361891" w:rsidP="00F63FA1">
            <w:pPr>
              <w:spacing w:after="0" w:line="240" w:lineRule="auto"/>
              <w:ind w:firstLine="682"/>
              <w:jc w:val="both"/>
              <w:rPr>
                <w:rFonts w:ascii="Times New Roman" w:hAnsi="Times New Roman"/>
                <w:bCs/>
                <w:color w:val="000000"/>
                <w:sz w:val="24"/>
                <w:szCs w:val="24"/>
              </w:rPr>
            </w:pPr>
            <w:r>
              <w:rPr>
                <w:rFonts w:ascii="Times New Roman" w:hAnsi="Times New Roman"/>
                <w:bCs/>
                <w:color w:val="000000"/>
                <w:sz w:val="24"/>
                <w:szCs w:val="24"/>
              </w:rPr>
              <w:t>Ministru prezidenta 2012.</w:t>
            </w:r>
            <w:r w:rsidR="00444AF6">
              <w:rPr>
                <w:rFonts w:ascii="Times New Roman" w:hAnsi="Times New Roman"/>
                <w:bCs/>
                <w:color w:val="000000"/>
                <w:sz w:val="24"/>
                <w:szCs w:val="24"/>
              </w:rPr>
              <w:t> </w:t>
            </w:r>
            <w:r>
              <w:rPr>
                <w:rFonts w:ascii="Times New Roman" w:hAnsi="Times New Roman"/>
                <w:bCs/>
                <w:color w:val="000000"/>
                <w:sz w:val="24"/>
                <w:szCs w:val="24"/>
              </w:rPr>
              <w:t>gada 21.</w:t>
            </w:r>
            <w:r w:rsidR="00444AF6">
              <w:rPr>
                <w:rFonts w:ascii="Times New Roman" w:hAnsi="Times New Roman"/>
                <w:bCs/>
                <w:color w:val="000000"/>
                <w:sz w:val="24"/>
                <w:szCs w:val="24"/>
              </w:rPr>
              <w:t> </w:t>
            </w:r>
            <w:r>
              <w:rPr>
                <w:rFonts w:ascii="Times New Roman" w:hAnsi="Times New Roman"/>
                <w:bCs/>
                <w:color w:val="000000"/>
                <w:sz w:val="24"/>
                <w:szCs w:val="24"/>
              </w:rPr>
              <w:t xml:space="preserve">decembra rezolūcija Nr. </w:t>
            </w:r>
            <w:r w:rsidRPr="00361891">
              <w:rPr>
                <w:rFonts w:ascii="Times New Roman" w:hAnsi="Times New Roman"/>
                <w:bCs/>
                <w:color w:val="000000"/>
                <w:sz w:val="24"/>
                <w:szCs w:val="24"/>
              </w:rPr>
              <w:t>90/SAN-2313</w:t>
            </w:r>
            <w:r>
              <w:rPr>
                <w:rFonts w:ascii="Times New Roman" w:hAnsi="Times New Roman"/>
                <w:bCs/>
                <w:color w:val="000000"/>
                <w:sz w:val="24"/>
                <w:szCs w:val="24"/>
              </w:rPr>
              <w:t xml:space="preserve"> (Valsts kancelejas uzdevums Nr. 2012-UZD-4409), kas paredz sagatavot un noteiktā kārtībā iesniegt Ministru kabinetā attiecīgus grozījumus procesuālajos normatīvajos aktos, lai sekmētu p</w:t>
            </w:r>
            <w:r w:rsidR="00E65B5B">
              <w:rPr>
                <w:rFonts w:ascii="Times New Roman" w:hAnsi="Times New Roman"/>
                <w:bCs/>
                <w:color w:val="000000"/>
                <w:sz w:val="24"/>
                <w:szCs w:val="24"/>
              </w:rPr>
              <w:t>laš</w:t>
            </w:r>
            <w:r>
              <w:rPr>
                <w:rFonts w:ascii="Times New Roman" w:hAnsi="Times New Roman"/>
                <w:bCs/>
                <w:color w:val="000000"/>
                <w:sz w:val="24"/>
                <w:szCs w:val="24"/>
              </w:rPr>
              <w:t>ākas elektroniskās aprites iespējas.</w:t>
            </w:r>
          </w:p>
          <w:p w14:paraId="3BD1ECC2" w14:textId="526DC1D8" w:rsidR="00361891" w:rsidRDefault="00361891" w:rsidP="00361891">
            <w:pPr>
              <w:spacing w:after="0" w:line="240" w:lineRule="auto"/>
              <w:ind w:firstLine="682"/>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Saskaņā ar</w:t>
            </w:r>
            <w:r w:rsidRPr="00361891">
              <w:rPr>
                <w:rFonts w:ascii="Times New Roman" w:eastAsia="Times New Roman" w:hAnsi="Times New Roman"/>
                <w:color w:val="000000"/>
                <w:sz w:val="24"/>
                <w:szCs w:val="24"/>
                <w:lang w:eastAsia="lv-LV"/>
              </w:rPr>
              <w:t xml:space="preserve"> Uzņēmējdarbības </w:t>
            </w:r>
            <w:r>
              <w:rPr>
                <w:rFonts w:ascii="Times New Roman" w:eastAsia="Times New Roman" w:hAnsi="Times New Roman"/>
                <w:color w:val="000000"/>
                <w:sz w:val="24"/>
                <w:szCs w:val="24"/>
                <w:lang w:eastAsia="lv-LV"/>
              </w:rPr>
              <w:t>vides uzlabošanas pasākumu plānu 2014.-2015. gadam 7.2.</w:t>
            </w:r>
            <w:r w:rsidR="00444AF6">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pasākumu, kas</w:t>
            </w:r>
            <w:r w:rsidRPr="00361891">
              <w:rPr>
                <w:rFonts w:ascii="Times New Roman" w:eastAsia="Times New Roman" w:hAnsi="Times New Roman"/>
                <w:color w:val="000000"/>
                <w:sz w:val="24"/>
                <w:szCs w:val="24"/>
                <w:lang w:eastAsia="lv-LV"/>
              </w:rPr>
              <w:t xml:space="preserve"> paredz noteiktā kārtībā izstrādāt un iesniegt Ministru kabinetā grozījumus Civilprocesa likumā, lai nodrošinātu elektronisko dokumentu aprites ieviešanu tiesu iestādēs</w:t>
            </w:r>
            <w:r>
              <w:rPr>
                <w:rFonts w:ascii="Times New Roman" w:eastAsia="Times New Roman" w:hAnsi="Times New Roman"/>
                <w:color w:val="000000"/>
                <w:sz w:val="24"/>
                <w:szCs w:val="24"/>
                <w:lang w:eastAsia="lv-LV"/>
              </w:rPr>
              <w:t xml:space="preserve"> (Valsts </w:t>
            </w:r>
            <w:r w:rsidRPr="00361891">
              <w:rPr>
                <w:rFonts w:ascii="Times New Roman" w:eastAsia="Times New Roman" w:hAnsi="Times New Roman"/>
                <w:color w:val="000000"/>
                <w:sz w:val="24"/>
                <w:szCs w:val="24"/>
                <w:lang w:eastAsia="lv-LV"/>
              </w:rPr>
              <w:t>kancelejas uzdevumu Nr. 2014-UZD-3935</w:t>
            </w:r>
            <w:r>
              <w:rPr>
                <w:rFonts w:ascii="Times New Roman" w:eastAsia="Times New Roman" w:hAnsi="Times New Roman"/>
                <w:color w:val="000000"/>
                <w:sz w:val="24"/>
                <w:szCs w:val="24"/>
                <w:lang w:eastAsia="lv-LV"/>
              </w:rPr>
              <w:t>).</w:t>
            </w:r>
          </w:p>
          <w:p w14:paraId="7F749EB9" w14:textId="04FE2ABA" w:rsidR="00361891" w:rsidRPr="00647904" w:rsidRDefault="00250835" w:rsidP="00250835">
            <w:pPr>
              <w:spacing w:after="0" w:line="240" w:lineRule="auto"/>
              <w:ind w:firstLine="682"/>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Ministru kabineta 2016.</w:t>
            </w:r>
            <w:r w:rsidR="00444AF6">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gada 31.</w:t>
            </w:r>
            <w:r w:rsidR="00444AF6">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 xml:space="preserve">maija sēdes protokollēmuma Nr. </w:t>
            </w:r>
            <w:r w:rsidRPr="00250835">
              <w:rPr>
                <w:rFonts w:ascii="Times New Roman" w:eastAsia="Times New Roman" w:hAnsi="Times New Roman"/>
                <w:color w:val="000000"/>
                <w:sz w:val="24"/>
                <w:szCs w:val="24"/>
                <w:lang w:eastAsia="lv-LV"/>
              </w:rPr>
              <w:t>26</w:t>
            </w:r>
            <w:r>
              <w:rPr>
                <w:rFonts w:ascii="Times New Roman" w:eastAsia="Times New Roman" w:hAnsi="Times New Roman"/>
                <w:color w:val="000000"/>
                <w:sz w:val="24"/>
                <w:szCs w:val="24"/>
                <w:lang w:eastAsia="lv-LV"/>
              </w:rPr>
              <w:t xml:space="preserve"> </w:t>
            </w:r>
            <w:r w:rsidRPr="00250835">
              <w:rPr>
                <w:rFonts w:ascii="Times New Roman" w:eastAsia="Times New Roman" w:hAnsi="Times New Roman"/>
                <w:color w:val="000000"/>
                <w:sz w:val="24"/>
                <w:szCs w:val="24"/>
                <w:lang w:eastAsia="lv-LV"/>
              </w:rPr>
              <w:t>39.§</w:t>
            </w:r>
            <w:r w:rsidRPr="00250835">
              <w:rPr>
                <w:rFonts w:ascii="Tahoma" w:hAnsi="Tahoma" w:cs="Tahoma"/>
                <w:color w:val="2A2A2A"/>
                <w:sz w:val="18"/>
                <w:szCs w:val="18"/>
              </w:rPr>
              <w:t xml:space="preserve"> </w:t>
            </w:r>
            <w:r w:rsidRPr="00250835">
              <w:rPr>
                <w:rFonts w:ascii="Times New Roman" w:eastAsia="Times New Roman" w:hAnsi="Times New Roman"/>
                <w:color w:val="000000"/>
                <w:sz w:val="24"/>
                <w:szCs w:val="24"/>
                <w:lang w:eastAsia="lv-LV"/>
              </w:rPr>
              <w:t>6.17.</w:t>
            </w:r>
            <w:r w:rsidR="00444AF6">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punkts, kas uzdod</w:t>
            </w:r>
            <w:r w:rsidRPr="00250835">
              <w:rPr>
                <w:rFonts w:ascii="Times New Roman" w:eastAsia="Times New Roman" w:hAnsi="Times New Roman"/>
                <w:color w:val="000000"/>
                <w:sz w:val="24"/>
                <w:szCs w:val="24"/>
                <w:lang w:eastAsia="lv-LV"/>
              </w:rPr>
              <w:t xml:space="preserve"> Tieslietu ministrijai izvērtēt procesuālajos likumos paredzēto dokumentu piegādāšanas un izsniegšanas kārtību ar mērķi to vienkāršot un samazināt saziņas ar procesa dalībniekiem nodrošināšanai nepieciešamos resursus, minētā mērķa sasniegšanai izstrādājot risinājumus par e-saziņas ieviešanu komunikācijā starp noteiktu subjektu loku, un atbilstoši vidēja termiņa budžeta ietvara likuma projekta un gadskārtējā valsts budžeta likuma projekta izstrādes un iesniegšanas grafikam iesniegt izskatīšanai Ministru kabinetā priekšlikumus par veicamajiem pasā</w:t>
            </w:r>
            <w:r w:rsidR="00444AF6">
              <w:rPr>
                <w:rFonts w:ascii="Times New Roman" w:eastAsia="Times New Roman" w:hAnsi="Times New Roman"/>
                <w:color w:val="000000"/>
                <w:sz w:val="24"/>
                <w:szCs w:val="24"/>
                <w:lang w:eastAsia="lv-LV"/>
              </w:rPr>
              <w:t>kumiem šo risinājumu ieviešanai. Š</w:t>
            </w:r>
            <w:r w:rsidRPr="00250835">
              <w:rPr>
                <w:rFonts w:ascii="Times New Roman" w:eastAsia="Times New Roman" w:hAnsi="Times New Roman"/>
                <w:color w:val="000000"/>
                <w:sz w:val="24"/>
                <w:szCs w:val="24"/>
                <w:lang w:eastAsia="lv-LV"/>
              </w:rPr>
              <w:t>ajā apakšpunktā noteiktā</w:t>
            </w:r>
            <w:r w:rsidR="00734059">
              <w:rPr>
                <w:rFonts w:ascii="Times New Roman" w:eastAsia="Times New Roman" w:hAnsi="Times New Roman"/>
                <w:color w:val="000000"/>
                <w:sz w:val="24"/>
                <w:szCs w:val="24"/>
                <w:lang w:eastAsia="lv-LV"/>
              </w:rPr>
              <w:t xml:space="preserve"> uzdevuma izpildei nepieciešamie likumprojekti iekļaujami</w:t>
            </w:r>
            <w:r w:rsidRPr="00250835">
              <w:rPr>
                <w:rFonts w:ascii="Times New Roman" w:eastAsia="Times New Roman" w:hAnsi="Times New Roman"/>
                <w:color w:val="000000"/>
                <w:sz w:val="24"/>
                <w:szCs w:val="24"/>
                <w:lang w:eastAsia="lv-LV"/>
              </w:rPr>
              <w:t xml:space="preserve"> valsts budžeta </w:t>
            </w:r>
            <w:r>
              <w:rPr>
                <w:rFonts w:ascii="Times New Roman" w:eastAsia="Times New Roman" w:hAnsi="Times New Roman"/>
                <w:color w:val="000000"/>
                <w:sz w:val="24"/>
                <w:szCs w:val="24"/>
                <w:lang w:eastAsia="lv-LV"/>
              </w:rPr>
              <w:t>2017.</w:t>
            </w:r>
            <w:r w:rsidR="00D9586D">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gadam likumprojektu paketē.</w:t>
            </w:r>
          </w:p>
        </w:tc>
      </w:tr>
      <w:tr w:rsidR="00420852" w:rsidRPr="00647904" w14:paraId="7BB2BFD9" w14:textId="77777777" w:rsidTr="002601DD">
        <w:trPr>
          <w:trHeight w:val="465"/>
        </w:trPr>
        <w:tc>
          <w:tcPr>
            <w:tcW w:w="247" w:type="pct"/>
            <w:tcBorders>
              <w:top w:val="outset" w:sz="6" w:space="0" w:color="414142"/>
              <w:left w:val="outset" w:sz="6" w:space="0" w:color="414142"/>
              <w:bottom w:val="outset" w:sz="6" w:space="0" w:color="414142"/>
              <w:right w:val="outset" w:sz="6" w:space="0" w:color="414142"/>
            </w:tcBorders>
          </w:tcPr>
          <w:p w14:paraId="0EEA8F9F"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2.</w:t>
            </w:r>
          </w:p>
        </w:tc>
        <w:tc>
          <w:tcPr>
            <w:tcW w:w="1531" w:type="pct"/>
            <w:tcBorders>
              <w:top w:val="outset" w:sz="6" w:space="0" w:color="414142"/>
              <w:left w:val="outset" w:sz="6" w:space="0" w:color="414142"/>
              <w:bottom w:val="outset" w:sz="6" w:space="0" w:color="414142"/>
              <w:right w:val="outset" w:sz="6" w:space="0" w:color="414142"/>
            </w:tcBorders>
          </w:tcPr>
          <w:p w14:paraId="579472F8"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Pašreizējā situācija un problēmas, kuru risināšanai tiesību akta projekts izstrādāts, tiesiskā regulējuma mērķis un būtība</w:t>
            </w:r>
          </w:p>
        </w:tc>
        <w:tc>
          <w:tcPr>
            <w:tcW w:w="3222" w:type="pct"/>
            <w:tcBorders>
              <w:top w:val="outset" w:sz="6" w:space="0" w:color="414142"/>
              <w:left w:val="outset" w:sz="6" w:space="0" w:color="414142"/>
              <w:bottom w:val="outset" w:sz="6" w:space="0" w:color="414142"/>
              <w:right w:val="outset" w:sz="6" w:space="0" w:color="414142"/>
            </w:tcBorders>
          </w:tcPr>
          <w:p w14:paraId="750B7460" w14:textId="099EA23F" w:rsidR="001F57DD" w:rsidRPr="001A0CA0" w:rsidRDefault="001F57DD" w:rsidP="001F57DD">
            <w:pPr>
              <w:spacing w:after="0" w:line="240" w:lineRule="auto"/>
              <w:ind w:firstLine="680"/>
              <w:jc w:val="both"/>
              <w:rPr>
                <w:rFonts w:ascii="Times New Roman" w:eastAsia="Times New Roman" w:hAnsi="Times New Roman"/>
                <w:color w:val="000000"/>
                <w:sz w:val="24"/>
                <w:szCs w:val="24"/>
                <w:lang w:eastAsia="lv-LV"/>
              </w:rPr>
            </w:pPr>
            <w:r w:rsidRPr="001F57DD">
              <w:rPr>
                <w:rFonts w:ascii="Times New Roman" w:eastAsia="Times New Roman" w:hAnsi="Times New Roman"/>
                <w:color w:val="000000"/>
                <w:sz w:val="24"/>
                <w:szCs w:val="24"/>
                <w:lang w:eastAsia="lv-LV"/>
              </w:rPr>
              <w:t>Likumprojekts „Grozījumi „Civilproc</w:t>
            </w:r>
            <w:r w:rsidR="000A4AAE">
              <w:rPr>
                <w:rFonts w:ascii="Times New Roman" w:eastAsia="Times New Roman" w:hAnsi="Times New Roman"/>
                <w:color w:val="000000"/>
                <w:sz w:val="24"/>
                <w:szCs w:val="24"/>
                <w:lang w:eastAsia="lv-LV"/>
              </w:rPr>
              <w:t>esa likumā</w:t>
            </w:r>
            <w:r w:rsidRPr="001F57DD">
              <w:rPr>
                <w:rFonts w:ascii="Times New Roman" w:eastAsia="Times New Roman" w:hAnsi="Times New Roman"/>
                <w:color w:val="000000"/>
                <w:sz w:val="24"/>
                <w:szCs w:val="24"/>
                <w:lang w:eastAsia="lv-LV"/>
              </w:rPr>
              <w:t>” (turpmāk – Likumprojekts) aptver grozījumus, kas saistīti ar atteikšanos no ierakstītu sūtījumu izmantošanas civilprocesā</w:t>
            </w:r>
            <w:r>
              <w:rPr>
                <w:rFonts w:ascii="Times New Roman" w:eastAsia="Times New Roman" w:hAnsi="Times New Roman"/>
                <w:color w:val="000000"/>
                <w:sz w:val="24"/>
                <w:szCs w:val="24"/>
                <w:lang w:eastAsia="lv-LV"/>
              </w:rPr>
              <w:t xml:space="preserve"> </w:t>
            </w:r>
            <w:r w:rsidRPr="001F57DD">
              <w:rPr>
                <w:rFonts w:ascii="Times New Roman" w:eastAsia="Times New Roman" w:hAnsi="Times New Roman"/>
                <w:color w:val="000000"/>
                <w:sz w:val="24"/>
                <w:szCs w:val="24"/>
                <w:lang w:eastAsia="lv-LV"/>
              </w:rPr>
              <w:t>un veicinātu elektronisko saziņu starp t</w:t>
            </w:r>
            <w:r>
              <w:rPr>
                <w:rFonts w:ascii="Times New Roman" w:eastAsia="Times New Roman" w:hAnsi="Times New Roman"/>
                <w:color w:val="000000"/>
                <w:sz w:val="24"/>
                <w:szCs w:val="24"/>
                <w:lang w:eastAsia="lv-LV"/>
              </w:rPr>
              <w:t>iesu un noteiktu personu grupām,</w:t>
            </w:r>
            <w:r w:rsidRPr="00A04B00">
              <w:rPr>
                <w:rFonts w:ascii="Times New Roman" w:eastAsia="Times New Roman" w:hAnsi="Times New Roman"/>
                <w:color w:val="000000"/>
                <w:sz w:val="24"/>
                <w:szCs w:val="24"/>
                <w:lang w:eastAsia="lv-LV"/>
              </w:rPr>
              <w:t xml:space="preserve"> tajā skaitā saziņā izmantojot elektroniskā pasta starpniecību vai paziņošanu tiešsaistes sistēmā</w:t>
            </w:r>
            <w:r w:rsidR="000A4AAE">
              <w:rPr>
                <w:rFonts w:ascii="Times New Roman" w:eastAsia="Times New Roman" w:hAnsi="Times New Roman"/>
                <w:color w:val="000000"/>
                <w:sz w:val="24"/>
                <w:szCs w:val="24"/>
                <w:lang w:eastAsia="lv-LV"/>
              </w:rPr>
              <w:t>, tādējādi vienkāršojot</w:t>
            </w:r>
            <w:r w:rsidR="00D9586D">
              <w:rPr>
                <w:rFonts w:ascii="Times New Roman" w:eastAsia="Times New Roman" w:hAnsi="Times New Roman"/>
                <w:color w:val="000000"/>
                <w:sz w:val="24"/>
                <w:szCs w:val="24"/>
                <w:lang w:eastAsia="lv-LV"/>
              </w:rPr>
              <w:t xml:space="preserve"> un</w:t>
            </w:r>
            <w:proofErr w:type="gramStart"/>
            <w:r w:rsidR="00D9586D">
              <w:rPr>
                <w:rFonts w:ascii="Times New Roman" w:eastAsia="Times New Roman" w:hAnsi="Times New Roman"/>
                <w:color w:val="000000"/>
                <w:sz w:val="24"/>
                <w:szCs w:val="24"/>
                <w:lang w:eastAsia="lv-LV"/>
              </w:rPr>
              <w:t xml:space="preserve"> padarot ērtāku komunikāciju</w:t>
            </w:r>
            <w:r w:rsidR="000A4AAE">
              <w:rPr>
                <w:rFonts w:ascii="Times New Roman" w:eastAsia="Times New Roman" w:hAnsi="Times New Roman"/>
                <w:color w:val="000000"/>
                <w:sz w:val="24"/>
                <w:szCs w:val="24"/>
                <w:lang w:eastAsia="lv-LV"/>
              </w:rPr>
              <w:t xml:space="preserve"> ar </w:t>
            </w:r>
            <w:r w:rsidR="000A4AAE" w:rsidRPr="001A0CA0">
              <w:rPr>
                <w:rFonts w:ascii="Times New Roman" w:eastAsia="Times New Roman" w:hAnsi="Times New Roman"/>
                <w:color w:val="000000"/>
                <w:sz w:val="24"/>
                <w:szCs w:val="24"/>
                <w:lang w:eastAsia="lv-LV"/>
              </w:rPr>
              <w:t>ti</w:t>
            </w:r>
            <w:r w:rsidR="001A0CA0">
              <w:rPr>
                <w:rFonts w:ascii="Times New Roman" w:eastAsia="Times New Roman" w:hAnsi="Times New Roman"/>
                <w:color w:val="000000"/>
                <w:sz w:val="24"/>
                <w:szCs w:val="24"/>
                <w:lang w:eastAsia="lv-LV"/>
              </w:rPr>
              <w:t>esvedībā iesaistītajām personām</w:t>
            </w:r>
            <w:proofErr w:type="gramEnd"/>
            <w:r w:rsidR="001A0CA0">
              <w:rPr>
                <w:rFonts w:ascii="Times New Roman" w:eastAsia="Times New Roman" w:hAnsi="Times New Roman"/>
                <w:color w:val="000000"/>
                <w:sz w:val="24"/>
                <w:szCs w:val="24"/>
                <w:lang w:eastAsia="lv-LV"/>
              </w:rPr>
              <w:t xml:space="preserve">, </w:t>
            </w:r>
            <w:r w:rsidR="00A23C71">
              <w:rPr>
                <w:rFonts w:ascii="Times New Roman" w:eastAsia="Times New Roman" w:hAnsi="Times New Roman"/>
                <w:color w:val="000000"/>
                <w:sz w:val="24"/>
                <w:szCs w:val="24"/>
                <w:lang w:eastAsia="lv-LV"/>
              </w:rPr>
              <w:t>vienkāršojot un padarot ērtāku informācijas pieejamību šādām personām</w:t>
            </w:r>
            <w:r w:rsidR="001A0CA0">
              <w:rPr>
                <w:rFonts w:ascii="Times New Roman" w:eastAsia="Times New Roman" w:hAnsi="Times New Roman"/>
                <w:color w:val="000000"/>
                <w:sz w:val="24"/>
                <w:szCs w:val="24"/>
                <w:lang w:eastAsia="lv-LV"/>
              </w:rPr>
              <w:t>.</w:t>
            </w:r>
          </w:p>
          <w:p w14:paraId="30438E36" w14:textId="5C8D1F20" w:rsidR="000C30E2" w:rsidRPr="00261A60" w:rsidRDefault="000A4AAE" w:rsidP="000C30E2">
            <w:pPr>
              <w:spacing w:after="0" w:line="240" w:lineRule="auto"/>
              <w:ind w:firstLine="680"/>
              <w:jc w:val="both"/>
              <w:rPr>
                <w:rFonts w:ascii="Times New Roman" w:eastAsia="Times New Roman" w:hAnsi="Times New Roman"/>
                <w:color w:val="000000"/>
                <w:sz w:val="24"/>
                <w:szCs w:val="24"/>
                <w:highlight w:val="yellow"/>
                <w:lang w:eastAsia="lv-LV"/>
              </w:rPr>
            </w:pPr>
            <w:r w:rsidRPr="001A0CA0">
              <w:rPr>
                <w:rFonts w:ascii="Times New Roman" w:eastAsia="Times New Roman" w:hAnsi="Times New Roman"/>
                <w:color w:val="000000"/>
                <w:sz w:val="24"/>
                <w:szCs w:val="24"/>
                <w:lang w:eastAsia="lv-LV"/>
              </w:rPr>
              <w:t>Vienlaikus atzīmējams,</w:t>
            </w:r>
            <w:r w:rsidR="00A23C71">
              <w:rPr>
                <w:rFonts w:ascii="Times New Roman" w:eastAsia="Times New Roman" w:hAnsi="Times New Roman"/>
                <w:color w:val="000000"/>
                <w:sz w:val="24"/>
                <w:szCs w:val="24"/>
                <w:lang w:eastAsia="lv-LV"/>
              </w:rPr>
              <w:t xml:space="preserve"> ka</w:t>
            </w:r>
            <w:r w:rsidRPr="001A0CA0">
              <w:rPr>
                <w:rFonts w:ascii="Times New Roman" w:eastAsia="Times New Roman" w:hAnsi="Times New Roman"/>
                <w:color w:val="000000"/>
                <w:sz w:val="24"/>
                <w:szCs w:val="24"/>
                <w:lang w:eastAsia="lv-LV"/>
              </w:rPr>
              <w:t xml:space="preserve"> </w:t>
            </w:r>
            <w:r w:rsidR="000C30E2" w:rsidRPr="001A0CA0">
              <w:rPr>
                <w:rFonts w:ascii="Times New Roman" w:eastAsia="Times New Roman" w:hAnsi="Times New Roman"/>
                <w:color w:val="000000"/>
                <w:sz w:val="24"/>
                <w:szCs w:val="24"/>
                <w:lang w:eastAsia="lv-LV"/>
              </w:rPr>
              <w:t>Likumprojekts tiek virzīts kopā ar līdzīga rakstura gro</w:t>
            </w:r>
            <w:r w:rsidR="00261A60" w:rsidRPr="001A0CA0">
              <w:rPr>
                <w:rFonts w:ascii="Times New Roman" w:eastAsia="Times New Roman" w:hAnsi="Times New Roman"/>
                <w:color w:val="000000"/>
                <w:sz w:val="24"/>
                <w:szCs w:val="24"/>
                <w:lang w:eastAsia="lv-LV"/>
              </w:rPr>
              <w:t>zījumiem Kriminālprocesa likumā</w:t>
            </w:r>
            <w:r w:rsidR="000C30E2" w:rsidRPr="001A0CA0">
              <w:rPr>
                <w:rFonts w:ascii="Times New Roman" w:eastAsia="Times New Roman" w:hAnsi="Times New Roman"/>
                <w:color w:val="000000"/>
                <w:sz w:val="24"/>
                <w:szCs w:val="24"/>
                <w:lang w:eastAsia="lv-LV"/>
              </w:rPr>
              <w:t xml:space="preserve"> </w:t>
            </w:r>
            <w:r w:rsidR="00261A60" w:rsidRPr="001A0CA0">
              <w:rPr>
                <w:rFonts w:ascii="Times New Roman" w:eastAsia="Times New Roman" w:hAnsi="Times New Roman"/>
                <w:color w:val="000000"/>
                <w:sz w:val="24"/>
                <w:szCs w:val="24"/>
                <w:lang w:eastAsia="lv-LV"/>
              </w:rPr>
              <w:t xml:space="preserve">un Latvijas Administratīvo pārkāpumu kodeksā. </w:t>
            </w:r>
            <w:r w:rsidR="000C30E2" w:rsidRPr="001A0CA0">
              <w:rPr>
                <w:rFonts w:ascii="Times New Roman" w:eastAsia="Times New Roman" w:hAnsi="Times New Roman"/>
                <w:color w:val="000000"/>
                <w:sz w:val="24"/>
                <w:szCs w:val="24"/>
                <w:lang w:eastAsia="lv-LV"/>
              </w:rPr>
              <w:t>Kopējais grozījumu</w:t>
            </w:r>
            <w:r w:rsidR="00261A60" w:rsidRPr="001A0CA0">
              <w:rPr>
                <w:rFonts w:ascii="Times New Roman" w:eastAsia="Times New Roman" w:hAnsi="Times New Roman"/>
                <w:color w:val="000000"/>
                <w:sz w:val="24"/>
                <w:szCs w:val="24"/>
                <w:lang w:eastAsia="lv-LV"/>
              </w:rPr>
              <w:t xml:space="preserve"> mērķis</w:t>
            </w:r>
            <w:r w:rsidR="00444AF6" w:rsidRPr="001A0CA0">
              <w:rPr>
                <w:rFonts w:ascii="Times New Roman" w:eastAsia="Times New Roman" w:hAnsi="Times New Roman"/>
                <w:color w:val="000000"/>
                <w:sz w:val="24"/>
                <w:szCs w:val="24"/>
                <w:lang w:eastAsia="lv-LV"/>
              </w:rPr>
              <w:t xml:space="preserve"> procesuālajos likumos</w:t>
            </w:r>
            <w:r w:rsidR="00261A60" w:rsidRPr="001A0CA0">
              <w:rPr>
                <w:rFonts w:ascii="Times New Roman" w:eastAsia="Times New Roman" w:hAnsi="Times New Roman"/>
                <w:color w:val="000000"/>
                <w:sz w:val="24"/>
                <w:szCs w:val="24"/>
                <w:lang w:eastAsia="lv-LV"/>
              </w:rPr>
              <w:t>, kā jau minēts iepriekš</w:t>
            </w:r>
            <w:bookmarkStart w:id="0" w:name="_GoBack"/>
            <w:bookmarkEnd w:id="0"/>
            <w:r w:rsidR="00444AF6" w:rsidRPr="001A0CA0">
              <w:rPr>
                <w:rFonts w:ascii="Times New Roman" w:eastAsia="Times New Roman" w:hAnsi="Times New Roman"/>
                <w:color w:val="000000"/>
                <w:sz w:val="24"/>
                <w:szCs w:val="24"/>
                <w:lang w:eastAsia="lv-LV"/>
              </w:rPr>
              <w:t xml:space="preserve"> (skat. 1. punktu)</w:t>
            </w:r>
            <w:r w:rsidR="00261A60" w:rsidRPr="001A0CA0">
              <w:rPr>
                <w:rFonts w:ascii="Times New Roman" w:eastAsia="Times New Roman" w:hAnsi="Times New Roman"/>
                <w:color w:val="000000"/>
                <w:sz w:val="24"/>
                <w:szCs w:val="24"/>
                <w:lang w:eastAsia="lv-LV"/>
              </w:rPr>
              <w:t>, ir ne tikai vienkāršot saziņu, bet arī</w:t>
            </w:r>
            <w:r w:rsidR="000C30E2" w:rsidRPr="001A0CA0">
              <w:rPr>
                <w:rFonts w:ascii="Times New Roman" w:eastAsia="Times New Roman" w:hAnsi="Times New Roman"/>
                <w:color w:val="000000"/>
                <w:sz w:val="24"/>
                <w:szCs w:val="24"/>
                <w:lang w:eastAsia="lv-LV"/>
              </w:rPr>
              <w:t xml:space="preserve"> </w:t>
            </w:r>
            <w:r w:rsidR="00261A60" w:rsidRPr="001A0CA0">
              <w:rPr>
                <w:rFonts w:ascii="Times New Roman" w:eastAsia="Times New Roman" w:hAnsi="Times New Roman"/>
                <w:color w:val="000000"/>
                <w:sz w:val="24"/>
                <w:szCs w:val="24"/>
                <w:lang w:eastAsia="lv-LV"/>
              </w:rPr>
              <w:t>samazināt saziņas ar procesa dalībniekiem nodrošināšanai nepieciešamos resursus</w:t>
            </w:r>
            <w:r w:rsidR="000C30E2" w:rsidRPr="001A0CA0">
              <w:rPr>
                <w:rFonts w:ascii="Times New Roman" w:eastAsia="Times New Roman" w:hAnsi="Times New Roman"/>
                <w:color w:val="000000"/>
                <w:sz w:val="24"/>
                <w:szCs w:val="24"/>
                <w:lang w:eastAsia="lv-LV"/>
              </w:rPr>
              <w:t xml:space="preserve">. Ņemot </w:t>
            </w:r>
            <w:r w:rsidR="00261A60" w:rsidRPr="001A0CA0">
              <w:rPr>
                <w:rFonts w:ascii="Times New Roman" w:eastAsia="Times New Roman" w:hAnsi="Times New Roman"/>
                <w:color w:val="000000"/>
                <w:sz w:val="24"/>
                <w:szCs w:val="24"/>
                <w:lang w:eastAsia="lv-LV"/>
              </w:rPr>
              <w:t xml:space="preserve">vērā, ka </w:t>
            </w:r>
            <w:r w:rsidR="00261A60" w:rsidRPr="001A0CA0">
              <w:rPr>
                <w:rFonts w:ascii="Times New Roman" w:eastAsia="Times New Roman" w:hAnsi="Times New Roman"/>
                <w:color w:val="000000"/>
                <w:sz w:val="24"/>
                <w:szCs w:val="24"/>
                <w:lang w:eastAsia="lv-LV"/>
              </w:rPr>
              <w:lastRenderedPageBreak/>
              <w:t>civilprocesā šādus izdevumus pārsvarā apmaksā puses (gadījumos, kad tās nav atbrīvotas no tiesas izdevumu samaksas), Likumprojekts atsevišķi vairāk ietekmē tieši izstrādes mērķi attiecībā uz saziņas vienkāršošanu.</w:t>
            </w:r>
          </w:p>
          <w:p w14:paraId="1DBB5D2A" w14:textId="6A56EA93" w:rsidR="00261A60" w:rsidRDefault="00261A60" w:rsidP="00261A60">
            <w:pPr>
              <w:spacing w:after="0" w:line="240" w:lineRule="auto"/>
              <w:ind w:firstLine="680"/>
              <w:jc w:val="both"/>
              <w:rPr>
                <w:rFonts w:ascii="Times New Roman" w:eastAsia="Times New Roman" w:hAnsi="Times New Roman"/>
                <w:color w:val="000000"/>
                <w:sz w:val="24"/>
                <w:szCs w:val="24"/>
                <w:lang w:eastAsia="lv-LV"/>
              </w:rPr>
            </w:pPr>
            <w:r w:rsidRPr="001A0CA0">
              <w:rPr>
                <w:rFonts w:ascii="Times New Roman" w:eastAsia="Times New Roman" w:hAnsi="Times New Roman"/>
                <w:color w:val="000000"/>
                <w:sz w:val="24"/>
                <w:szCs w:val="24"/>
                <w:lang w:eastAsia="lv-LV"/>
              </w:rPr>
              <w:t>Tomēr grozījumu projekti</w:t>
            </w:r>
            <w:r w:rsidR="00444AF6" w:rsidRPr="001A0CA0">
              <w:rPr>
                <w:rFonts w:ascii="Times New Roman" w:eastAsia="Times New Roman" w:hAnsi="Times New Roman"/>
                <w:color w:val="000000"/>
                <w:sz w:val="24"/>
                <w:szCs w:val="24"/>
                <w:lang w:eastAsia="lv-LV"/>
              </w:rPr>
              <w:t xml:space="preserve"> procesuālajos likumos</w:t>
            </w:r>
            <w:r w:rsidRPr="001A0CA0">
              <w:rPr>
                <w:rFonts w:ascii="Times New Roman" w:eastAsia="Times New Roman" w:hAnsi="Times New Roman"/>
                <w:color w:val="000000"/>
                <w:sz w:val="24"/>
                <w:szCs w:val="24"/>
                <w:lang w:eastAsia="lv-LV"/>
              </w:rPr>
              <w:t xml:space="preserve"> kopā veicina</w:t>
            </w:r>
            <w:r w:rsidR="001F57DD" w:rsidRPr="001A0CA0">
              <w:rPr>
                <w:rFonts w:ascii="Times New Roman" w:eastAsia="Times New Roman" w:hAnsi="Times New Roman"/>
                <w:color w:val="000000"/>
                <w:sz w:val="24"/>
                <w:szCs w:val="24"/>
                <w:lang w:eastAsia="lv-LV"/>
              </w:rPr>
              <w:t xml:space="preserve"> ekonomiju valsts budžeta līdzekļiem, kas paredzēti tiesu sistēmas darbībai,</w:t>
            </w:r>
            <w:r w:rsidRPr="001A0CA0">
              <w:rPr>
                <w:rFonts w:ascii="Times New Roman" w:eastAsia="Times New Roman" w:hAnsi="Times New Roman"/>
                <w:color w:val="000000"/>
                <w:sz w:val="24"/>
                <w:szCs w:val="24"/>
                <w:lang w:eastAsia="lv-LV"/>
              </w:rPr>
              <w:t xml:space="preserve"> un</w:t>
            </w:r>
            <w:r w:rsidR="001F57DD" w:rsidRPr="001A0CA0">
              <w:rPr>
                <w:rFonts w:ascii="Times New Roman" w:eastAsia="Times New Roman" w:hAnsi="Times New Roman"/>
                <w:color w:val="000000"/>
                <w:sz w:val="24"/>
                <w:szCs w:val="24"/>
                <w:lang w:eastAsia="lv-LV"/>
              </w:rPr>
              <w:t xml:space="preserve"> tos būtu iespējams novirzīt, lai nodrošinātu tiesas darbiniekiem samērīgu un darba pienākumiem atbilstošu atalgojumu.</w:t>
            </w:r>
          </w:p>
          <w:p w14:paraId="77B575E1" w14:textId="5EE39FA4" w:rsidR="00261A60" w:rsidRPr="001A0CA0" w:rsidRDefault="00261A60" w:rsidP="00261A60">
            <w:pPr>
              <w:spacing w:after="0" w:line="240" w:lineRule="auto"/>
              <w:ind w:firstLine="680"/>
              <w:jc w:val="both"/>
              <w:rPr>
                <w:rFonts w:ascii="Times New Roman" w:eastAsia="Times New Roman" w:hAnsi="Times New Roman"/>
                <w:color w:val="000000"/>
                <w:sz w:val="24"/>
                <w:szCs w:val="24"/>
                <w:lang w:eastAsia="lv-LV"/>
              </w:rPr>
            </w:pPr>
            <w:r w:rsidRPr="001A0CA0">
              <w:rPr>
                <w:rFonts w:ascii="Times New Roman" w:eastAsia="Times New Roman" w:hAnsi="Times New Roman"/>
                <w:color w:val="000000"/>
                <w:sz w:val="24"/>
                <w:szCs w:val="24"/>
                <w:lang w:eastAsia="lv-LV"/>
              </w:rPr>
              <w:t>Atzīmējams arī, ka likumprojekts</w:t>
            </w:r>
            <w:r w:rsidR="001A0CA0">
              <w:rPr>
                <w:rFonts w:ascii="Times New Roman" w:eastAsia="Times New Roman" w:hAnsi="Times New Roman"/>
                <w:color w:val="000000"/>
                <w:sz w:val="24"/>
                <w:szCs w:val="24"/>
                <w:lang w:eastAsia="lv-LV"/>
              </w:rPr>
              <w:t xml:space="preserve"> </w:t>
            </w:r>
            <w:r w:rsidRPr="001A0CA0">
              <w:rPr>
                <w:rFonts w:ascii="Times New Roman" w:eastAsia="Times New Roman" w:hAnsi="Times New Roman"/>
                <w:color w:val="000000"/>
                <w:sz w:val="24"/>
                <w:szCs w:val="24"/>
                <w:lang w:eastAsia="lv-LV"/>
              </w:rPr>
              <w:t>veicinātu finanšu resursu ietaupījumu tiesvedībā iesaistītajām personām, jo tām rastos mazāki izdevumi.</w:t>
            </w:r>
          </w:p>
          <w:p w14:paraId="5778B94B" w14:textId="77777777" w:rsidR="001F57DD" w:rsidRDefault="001F57DD" w:rsidP="001F57DD">
            <w:pPr>
              <w:spacing w:after="0" w:line="240" w:lineRule="auto"/>
              <w:ind w:firstLine="541"/>
              <w:jc w:val="both"/>
              <w:rPr>
                <w:rFonts w:ascii="Times New Roman" w:hAnsi="Times New Roman"/>
                <w:sz w:val="24"/>
                <w:szCs w:val="24"/>
              </w:rPr>
            </w:pPr>
            <w:r>
              <w:rPr>
                <w:rFonts w:ascii="Times New Roman" w:hAnsi="Times New Roman"/>
                <w:sz w:val="24"/>
                <w:szCs w:val="24"/>
              </w:rPr>
              <w:t>Ar Likumprojektu Civilprocesa likumā tiks veiktas izmaiņas Civilprocesa likuma 56. pantā, izslēdzot pirmo daļu, kas noteica, ka tiesas pavēsti nosūta ierakstītā pasta sūtījumā, ierakstītā pasta sūtījumā ar paziņojumu par izsniegšanu elektroniskā pasta sūtījumā vai piegādā ziņnesis.</w:t>
            </w:r>
          </w:p>
          <w:p w14:paraId="5D702F4B" w14:textId="1B4EAAA2" w:rsidR="001A0CA0" w:rsidRPr="005102A6" w:rsidRDefault="001F57DD" w:rsidP="001A0CA0">
            <w:pPr>
              <w:spacing w:after="0" w:line="240" w:lineRule="auto"/>
              <w:ind w:firstLine="541"/>
              <w:jc w:val="both"/>
              <w:rPr>
                <w:rFonts w:ascii="Times New Roman" w:hAnsi="Times New Roman"/>
                <w:sz w:val="24"/>
                <w:szCs w:val="24"/>
              </w:rPr>
            </w:pPr>
            <w:r>
              <w:rPr>
                <w:rFonts w:ascii="Times New Roman" w:hAnsi="Times New Roman"/>
                <w:sz w:val="24"/>
                <w:szCs w:val="24"/>
              </w:rPr>
              <w:t xml:space="preserve">Vienlaikus veiktas izmaiņas minētā panta otrajā daļā, </w:t>
            </w:r>
            <w:proofErr w:type="gramStart"/>
            <w:r>
              <w:rPr>
                <w:rFonts w:ascii="Times New Roman" w:hAnsi="Times New Roman"/>
                <w:sz w:val="24"/>
                <w:szCs w:val="24"/>
              </w:rPr>
              <w:t xml:space="preserve">paredzot vispārēju tiesas dokumentu piegādi ar vienkāršo pasta sūtījumu, </w:t>
            </w:r>
            <w:r w:rsidRPr="005102A6">
              <w:rPr>
                <w:rFonts w:ascii="Times New Roman" w:hAnsi="Times New Roman"/>
                <w:sz w:val="24"/>
                <w:szCs w:val="24"/>
              </w:rPr>
              <w:t>elektroniskā sūtījumā,</w:t>
            </w:r>
            <w:proofErr w:type="gramEnd"/>
            <w:r w:rsidRPr="005102A6">
              <w:rPr>
                <w:rFonts w:ascii="Times New Roman" w:hAnsi="Times New Roman"/>
                <w:sz w:val="24"/>
                <w:szCs w:val="24"/>
              </w:rPr>
              <w:t xml:space="preserve"> vai piegādājot ziņnesim.</w:t>
            </w:r>
            <w:r w:rsidR="001A0CA0">
              <w:rPr>
                <w:rFonts w:ascii="Times New Roman" w:hAnsi="Times New Roman"/>
                <w:sz w:val="24"/>
                <w:szCs w:val="24"/>
              </w:rPr>
              <w:t xml:space="preserve"> Savukārt minētā panta desmitā daļa precizēta, nosakot, ka a</w:t>
            </w:r>
            <w:r w:rsidR="001A0CA0" w:rsidRPr="001A0CA0">
              <w:rPr>
                <w:rFonts w:ascii="Times New Roman" w:hAnsi="Times New Roman"/>
                <w:sz w:val="24"/>
                <w:szCs w:val="24"/>
              </w:rPr>
              <w:t>tsevišķiem tiesas dokumentiem likums var</w:t>
            </w:r>
            <w:r w:rsidR="001A0CA0">
              <w:rPr>
                <w:rFonts w:ascii="Times New Roman" w:hAnsi="Times New Roman"/>
                <w:sz w:val="24"/>
                <w:szCs w:val="24"/>
              </w:rPr>
              <w:t xml:space="preserve"> specifiski</w:t>
            </w:r>
            <w:r w:rsidR="001A0CA0" w:rsidRPr="001A0CA0">
              <w:rPr>
                <w:rFonts w:ascii="Times New Roman" w:hAnsi="Times New Roman"/>
                <w:sz w:val="24"/>
                <w:szCs w:val="24"/>
              </w:rPr>
              <w:t xml:space="preserve"> paredzēt to nosūtīšanu ierakstītā pasta sūtījumā vai citus piegādāšanas vai izsniegšanas veidus</w:t>
            </w:r>
            <w:r w:rsidR="001A0CA0">
              <w:rPr>
                <w:rFonts w:ascii="Times New Roman" w:hAnsi="Times New Roman"/>
                <w:sz w:val="24"/>
                <w:szCs w:val="24"/>
              </w:rPr>
              <w:t>.</w:t>
            </w:r>
          </w:p>
          <w:p w14:paraId="64444C62" w14:textId="05E98F58" w:rsidR="00D9586D" w:rsidRDefault="001A0CA0" w:rsidP="00D9586D">
            <w:pPr>
              <w:spacing w:after="0" w:line="240" w:lineRule="auto"/>
              <w:ind w:firstLine="541"/>
              <w:jc w:val="both"/>
              <w:rPr>
                <w:rFonts w:ascii="Times New Roman" w:hAnsi="Times New Roman"/>
                <w:sz w:val="24"/>
                <w:szCs w:val="24"/>
              </w:rPr>
            </w:pPr>
            <w:r>
              <w:rPr>
                <w:rFonts w:ascii="Times New Roman" w:hAnsi="Times New Roman"/>
                <w:sz w:val="24"/>
                <w:szCs w:val="24"/>
              </w:rPr>
              <w:t>L</w:t>
            </w:r>
            <w:r w:rsidR="001F57DD" w:rsidRPr="005102A6">
              <w:rPr>
                <w:rFonts w:ascii="Times New Roman" w:hAnsi="Times New Roman"/>
                <w:sz w:val="24"/>
                <w:szCs w:val="24"/>
              </w:rPr>
              <w:t>ai saglabātu iespēju informēt personu</w:t>
            </w:r>
            <w:r w:rsidR="00D9586D">
              <w:rPr>
                <w:rFonts w:ascii="Times New Roman" w:hAnsi="Times New Roman"/>
                <w:sz w:val="24"/>
                <w:szCs w:val="24"/>
              </w:rPr>
              <w:t xml:space="preserve"> (atbildētāju)</w:t>
            </w:r>
            <w:r w:rsidR="001F57DD" w:rsidRPr="005102A6">
              <w:rPr>
                <w:rFonts w:ascii="Times New Roman" w:hAnsi="Times New Roman"/>
                <w:sz w:val="24"/>
                <w:szCs w:val="24"/>
              </w:rPr>
              <w:t xml:space="preserve"> par tiesvedības procesu, Civilprocesa likuma 148.</w:t>
            </w:r>
            <w:r w:rsidR="001F57DD">
              <w:rPr>
                <w:rFonts w:ascii="Times New Roman" w:hAnsi="Times New Roman"/>
                <w:sz w:val="24"/>
                <w:szCs w:val="24"/>
              </w:rPr>
              <w:t xml:space="preserve"> pantā saglabāts noteikums, ka prasības pieteikumu un tam pievienotie dokumentu noraksti nosūtāmi atbildētājam ierakst</w:t>
            </w:r>
            <w:r w:rsidR="005102A6">
              <w:rPr>
                <w:rFonts w:ascii="Times New Roman" w:hAnsi="Times New Roman"/>
                <w:sz w:val="24"/>
                <w:szCs w:val="24"/>
              </w:rPr>
              <w:t>ītā pasta sūtījumā nekavējoties</w:t>
            </w:r>
            <w:r>
              <w:rPr>
                <w:rFonts w:ascii="Times New Roman" w:hAnsi="Times New Roman"/>
                <w:sz w:val="24"/>
                <w:szCs w:val="24"/>
              </w:rPr>
              <w:t>.</w:t>
            </w:r>
          </w:p>
          <w:p w14:paraId="70220A90" w14:textId="47D81D7B" w:rsidR="00D9586D" w:rsidRDefault="00D9586D" w:rsidP="00D9586D">
            <w:pPr>
              <w:spacing w:after="0" w:line="240" w:lineRule="auto"/>
              <w:ind w:firstLine="541"/>
              <w:jc w:val="both"/>
              <w:rPr>
                <w:rFonts w:ascii="Times New Roman" w:hAnsi="Times New Roman"/>
                <w:sz w:val="24"/>
                <w:szCs w:val="24"/>
              </w:rPr>
            </w:pPr>
            <w:r>
              <w:rPr>
                <w:rFonts w:ascii="Times New Roman" w:hAnsi="Times New Roman"/>
                <w:sz w:val="24"/>
                <w:szCs w:val="24"/>
              </w:rPr>
              <w:t>Ierakstīti sūtījumi noteikti Civilprocesa likuma 81. pantā, attiecībā uz tiesas lēmuma par trešās personas pieaicināšanu nosūtīšanu.</w:t>
            </w:r>
          </w:p>
          <w:p w14:paraId="1351CD7B" w14:textId="3AD2A9F7" w:rsidR="00D9586D" w:rsidRDefault="001F57DD" w:rsidP="00BE2BD0">
            <w:pPr>
              <w:spacing w:after="0" w:line="240" w:lineRule="auto"/>
              <w:ind w:firstLine="541"/>
              <w:jc w:val="both"/>
              <w:rPr>
                <w:rFonts w:ascii="Times New Roman" w:hAnsi="Times New Roman"/>
                <w:sz w:val="24"/>
                <w:szCs w:val="24"/>
              </w:rPr>
            </w:pPr>
            <w:r w:rsidRPr="00D9586D">
              <w:rPr>
                <w:rFonts w:ascii="Times New Roman" w:hAnsi="Times New Roman"/>
                <w:sz w:val="24"/>
                <w:szCs w:val="24"/>
              </w:rPr>
              <w:t>Dokumentu nosūtīšana i</w:t>
            </w:r>
            <w:r w:rsidR="001A0CA0">
              <w:rPr>
                <w:rFonts w:ascii="Times New Roman" w:hAnsi="Times New Roman"/>
                <w:sz w:val="24"/>
                <w:szCs w:val="24"/>
              </w:rPr>
              <w:t>erakstītā sūtījumā saglabāta</w:t>
            </w:r>
            <w:r w:rsidRPr="00D9586D">
              <w:rPr>
                <w:rFonts w:ascii="Times New Roman" w:hAnsi="Times New Roman"/>
                <w:sz w:val="24"/>
                <w:szCs w:val="24"/>
              </w:rPr>
              <w:t xml:space="preserve"> atsevišķos Civilprocesa likuma pantos</w:t>
            </w:r>
            <w:r w:rsidR="00261A60" w:rsidRPr="00D9586D">
              <w:rPr>
                <w:rFonts w:ascii="Times New Roman" w:hAnsi="Times New Roman"/>
                <w:sz w:val="24"/>
                <w:szCs w:val="24"/>
              </w:rPr>
              <w:t xml:space="preserve"> (lielākoties gadījumos, kur tāda jau noteikta iepriekš)</w:t>
            </w:r>
            <w:r w:rsidRPr="00D9586D">
              <w:rPr>
                <w:rFonts w:ascii="Times New Roman" w:hAnsi="Times New Roman"/>
                <w:sz w:val="24"/>
                <w:szCs w:val="24"/>
              </w:rPr>
              <w:t xml:space="preserve">, kuros </w:t>
            </w:r>
            <w:r w:rsidR="00261A60" w:rsidRPr="00D9586D">
              <w:rPr>
                <w:rFonts w:ascii="Times New Roman" w:hAnsi="Times New Roman"/>
                <w:sz w:val="24"/>
                <w:szCs w:val="24"/>
              </w:rPr>
              <w:t xml:space="preserve">tā varētu radīt īpaši </w:t>
            </w:r>
            <w:r w:rsidR="005102A6" w:rsidRPr="00D9586D">
              <w:rPr>
                <w:rFonts w:ascii="Times New Roman" w:hAnsi="Times New Roman"/>
                <w:sz w:val="24"/>
                <w:szCs w:val="24"/>
              </w:rPr>
              <w:t>sen</w:t>
            </w:r>
            <w:r w:rsidR="00261A60" w:rsidRPr="00D9586D">
              <w:rPr>
                <w:rFonts w:ascii="Times New Roman" w:hAnsi="Times New Roman"/>
                <w:sz w:val="24"/>
                <w:szCs w:val="24"/>
              </w:rPr>
              <w:t>sitīvu ietekmi.</w:t>
            </w:r>
            <w:r w:rsidR="00BE2BD0" w:rsidRPr="00D9586D">
              <w:rPr>
                <w:rFonts w:ascii="Times New Roman" w:hAnsi="Times New Roman"/>
                <w:sz w:val="24"/>
                <w:szCs w:val="24"/>
              </w:rPr>
              <w:t xml:space="preserve"> 142</w:t>
            </w:r>
            <w:r w:rsidR="00BE2BD0">
              <w:rPr>
                <w:rFonts w:ascii="Times New Roman" w:hAnsi="Times New Roman"/>
                <w:sz w:val="24"/>
                <w:szCs w:val="24"/>
              </w:rPr>
              <w:t>. pantā attiecībā uz prasības nodrošinājuma jautājumos pieņemto lēmumu izpildi, 208.</w:t>
            </w:r>
            <w:r w:rsidR="00BE2BD0" w:rsidRPr="00BE2BD0">
              <w:rPr>
                <w:rFonts w:ascii="Times New Roman" w:hAnsi="Times New Roman"/>
                <w:sz w:val="24"/>
                <w:szCs w:val="24"/>
                <w:vertAlign w:val="superscript"/>
              </w:rPr>
              <w:t>3</w:t>
            </w:r>
            <w:r w:rsidR="00BE2BD0">
              <w:rPr>
                <w:rFonts w:ascii="Times New Roman" w:hAnsi="Times New Roman"/>
                <w:sz w:val="24"/>
                <w:szCs w:val="24"/>
              </w:rPr>
              <w:t xml:space="preserve"> pantā attiecībā uz aizmuguriska sprieduma nosūtīšanu atbildētājam, 250.</w:t>
            </w:r>
            <w:r w:rsidR="00BE2BD0" w:rsidRPr="00BE2BD0">
              <w:rPr>
                <w:rFonts w:ascii="Times New Roman" w:hAnsi="Times New Roman"/>
                <w:sz w:val="24"/>
                <w:szCs w:val="24"/>
                <w:vertAlign w:val="superscript"/>
              </w:rPr>
              <w:t>14</w:t>
            </w:r>
            <w:r w:rsidR="00BE2BD0">
              <w:rPr>
                <w:rFonts w:ascii="Times New Roman" w:hAnsi="Times New Roman"/>
                <w:sz w:val="24"/>
                <w:szCs w:val="24"/>
              </w:rPr>
              <w:t xml:space="preserve"> pantā attiecībā uz lēmuma par pagaidu aizsardzības līdzekļa noteikšanu izpildi, 250.</w:t>
            </w:r>
            <w:r w:rsidR="00BE2BD0" w:rsidRPr="00BE2BD0">
              <w:rPr>
                <w:rFonts w:ascii="Times New Roman" w:hAnsi="Times New Roman"/>
                <w:sz w:val="24"/>
                <w:szCs w:val="24"/>
                <w:vertAlign w:val="superscript"/>
              </w:rPr>
              <w:t>35</w:t>
            </w:r>
            <w:r w:rsidR="00BE2BD0">
              <w:rPr>
                <w:rFonts w:ascii="Times New Roman" w:hAnsi="Times New Roman"/>
                <w:sz w:val="24"/>
                <w:szCs w:val="24"/>
              </w:rPr>
              <w:t xml:space="preserve"> pantā attiecībā uz lēmuma par pagaidu aizsardzības noteikšanu nosūtīšanu atbildētājam, 250.</w:t>
            </w:r>
            <w:r w:rsidR="00BE2BD0" w:rsidRPr="00BE2BD0">
              <w:rPr>
                <w:rFonts w:ascii="Times New Roman" w:hAnsi="Times New Roman"/>
                <w:sz w:val="24"/>
                <w:szCs w:val="24"/>
                <w:vertAlign w:val="superscript"/>
              </w:rPr>
              <w:t>62</w:t>
            </w:r>
            <w:r w:rsidR="00BE2BD0">
              <w:rPr>
                <w:rFonts w:ascii="Times New Roman" w:hAnsi="Times New Roman"/>
                <w:sz w:val="24"/>
                <w:szCs w:val="24"/>
              </w:rPr>
              <w:t xml:space="preserve"> pantā attiecībā uz lēmuma par pagaidu aizsardzību pret vardarbību paziņošanu, izsniegšanu un nosūtīšanu, 534.</w:t>
            </w:r>
            <w:r w:rsidR="00BE2BD0" w:rsidRPr="00BE2BD0">
              <w:rPr>
                <w:rFonts w:ascii="Times New Roman" w:hAnsi="Times New Roman"/>
                <w:sz w:val="24"/>
                <w:szCs w:val="24"/>
                <w:vertAlign w:val="superscript"/>
              </w:rPr>
              <w:t>1</w:t>
            </w:r>
            <w:r w:rsidR="00BE2BD0">
              <w:rPr>
                <w:rFonts w:ascii="Times New Roman" w:hAnsi="Times New Roman"/>
                <w:sz w:val="24"/>
                <w:szCs w:val="24"/>
              </w:rPr>
              <w:t xml:space="preserve"> pantā attiecībā uz pieteikuma par izpildu raksta izsniegšanu pastāvīgās šķīrējtiesas sprieduma piespiedu izpildei nosūtīšanu, kā arī 673. pantā attiecībā</w:t>
            </w:r>
            <w:r w:rsidR="00D9586D">
              <w:rPr>
                <w:rFonts w:ascii="Times New Roman" w:hAnsi="Times New Roman"/>
                <w:sz w:val="24"/>
                <w:szCs w:val="24"/>
              </w:rPr>
              <w:t xml:space="preserve"> uz starptautisko civilprocesu.</w:t>
            </w:r>
          </w:p>
          <w:p w14:paraId="13F572A2" w14:textId="77777777" w:rsidR="00EE607E" w:rsidRDefault="005102A6" w:rsidP="00EE607E">
            <w:pPr>
              <w:spacing w:after="0" w:line="240" w:lineRule="auto"/>
              <w:ind w:firstLine="541"/>
              <w:jc w:val="both"/>
              <w:rPr>
                <w:rFonts w:ascii="Times New Roman" w:hAnsi="Times New Roman"/>
                <w:sz w:val="24"/>
                <w:szCs w:val="24"/>
              </w:rPr>
            </w:pPr>
            <w:r>
              <w:rPr>
                <w:rFonts w:ascii="Times New Roman" w:hAnsi="Times New Roman"/>
                <w:sz w:val="24"/>
                <w:szCs w:val="24"/>
              </w:rPr>
              <w:t>U</w:t>
            </w:r>
            <w:r w:rsidR="00BE2BD0">
              <w:rPr>
                <w:rFonts w:ascii="Times New Roman" w:hAnsi="Times New Roman"/>
                <w:sz w:val="24"/>
                <w:szCs w:val="24"/>
              </w:rPr>
              <w:t>zsve</w:t>
            </w:r>
            <w:r>
              <w:rPr>
                <w:rFonts w:ascii="Times New Roman" w:hAnsi="Times New Roman"/>
                <w:sz w:val="24"/>
                <w:szCs w:val="24"/>
              </w:rPr>
              <w:t xml:space="preserve">rams, </w:t>
            </w:r>
            <w:r w:rsidR="00BE2BD0">
              <w:rPr>
                <w:rFonts w:ascii="Times New Roman" w:hAnsi="Times New Roman"/>
                <w:sz w:val="24"/>
                <w:szCs w:val="24"/>
              </w:rPr>
              <w:t>k</w:t>
            </w:r>
            <w:r>
              <w:rPr>
                <w:rFonts w:ascii="Times New Roman" w:hAnsi="Times New Roman"/>
                <w:sz w:val="24"/>
                <w:szCs w:val="24"/>
              </w:rPr>
              <w:t>a</w:t>
            </w:r>
            <w:r w:rsidR="00BE2BD0">
              <w:rPr>
                <w:rFonts w:ascii="Times New Roman" w:hAnsi="Times New Roman"/>
                <w:sz w:val="24"/>
                <w:szCs w:val="24"/>
              </w:rPr>
              <w:t xml:space="preserve"> grozījumi neskar Civilprocesa izpildes sadaļu.</w:t>
            </w:r>
          </w:p>
          <w:p w14:paraId="4A3B684C" w14:textId="77777777" w:rsidR="00EE607E" w:rsidRDefault="00EE607E" w:rsidP="00EE607E">
            <w:pPr>
              <w:spacing w:after="0" w:line="240" w:lineRule="auto"/>
              <w:ind w:firstLine="541"/>
              <w:jc w:val="both"/>
              <w:rPr>
                <w:rFonts w:ascii="Times New Roman" w:hAnsi="Times New Roman"/>
                <w:sz w:val="24"/>
                <w:szCs w:val="24"/>
              </w:rPr>
            </w:pPr>
            <w:r>
              <w:rPr>
                <w:rFonts w:ascii="Times New Roman" w:hAnsi="Times New Roman"/>
                <w:sz w:val="24"/>
                <w:szCs w:val="24"/>
              </w:rPr>
              <w:t xml:space="preserve">Attiecībā uz Civilprocesa likuma 236. pantu, kurā </w:t>
            </w:r>
            <w:r>
              <w:rPr>
                <w:rFonts w:ascii="Times New Roman" w:hAnsi="Times New Roman"/>
                <w:sz w:val="24"/>
                <w:szCs w:val="24"/>
              </w:rPr>
              <w:lastRenderedPageBreak/>
              <w:t xml:space="preserve">noteikts regulējums attiecībā pušu obligātu piedalīšanos, izskatot lietu par laulības šķiršanu, minētās tiesību normas otrajā daļā ietverta tiesas </w:t>
            </w:r>
            <w:proofErr w:type="spellStart"/>
            <w:r>
              <w:rPr>
                <w:rFonts w:ascii="Times New Roman" w:hAnsi="Times New Roman"/>
                <w:sz w:val="24"/>
                <w:szCs w:val="24"/>
              </w:rPr>
              <w:t>diskrecionāra</w:t>
            </w:r>
            <w:proofErr w:type="spellEnd"/>
            <w:r>
              <w:rPr>
                <w:rFonts w:ascii="Times New Roman" w:hAnsi="Times New Roman"/>
                <w:sz w:val="24"/>
                <w:szCs w:val="24"/>
              </w:rPr>
              <w:t xml:space="preserve"> vara nosūtīt, piemēram, atkārtotu uzaicinājumu ierasties uz tiesas sēdi ierakstītā pasta sūtījumā, lai būtu iespējams piemērot procesuālo sankciju – atvešanu uz tiesu piespiedu kārtā.</w:t>
            </w:r>
          </w:p>
          <w:p w14:paraId="641D1555" w14:textId="77777777" w:rsidR="00D17CC1" w:rsidRDefault="00EE607E" w:rsidP="00EE607E">
            <w:pPr>
              <w:spacing w:after="0" w:line="240" w:lineRule="auto"/>
              <w:ind w:firstLine="541"/>
              <w:jc w:val="both"/>
              <w:rPr>
                <w:rFonts w:ascii="Times New Roman" w:hAnsi="Times New Roman"/>
                <w:sz w:val="24"/>
                <w:szCs w:val="24"/>
              </w:rPr>
            </w:pPr>
            <w:r>
              <w:rPr>
                <w:rFonts w:ascii="Times New Roman" w:hAnsi="Times New Roman"/>
                <w:sz w:val="24"/>
                <w:szCs w:val="24"/>
              </w:rPr>
              <w:t>Atzīmējams, ka</w:t>
            </w:r>
            <w:r w:rsidR="005102A6">
              <w:rPr>
                <w:rFonts w:ascii="Times New Roman" w:hAnsi="Times New Roman"/>
                <w:sz w:val="24"/>
                <w:szCs w:val="24"/>
              </w:rPr>
              <w:t xml:space="preserve"> nav</w:t>
            </w:r>
            <w:r w:rsidR="00110794">
              <w:rPr>
                <w:rFonts w:ascii="Times New Roman" w:hAnsi="Times New Roman"/>
                <w:sz w:val="24"/>
                <w:szCs w:val="24"/>
              </w:rPr>
              <w:t xml:space="preserve"> pamata uzskatīt, ka atteikšanās no ierakstītiem pasta sūtījumiem ar paziņojumu par sūtījumu saņemšanu varētu kādā</w:t>
            </w:r>
            <w:r>
              <w:rPr>
                <w:rFonts w:ascii="Times New Roman" w:hAnsi="Times New Roman"/>
                <w:sz w:val="24"/>
                <w:szCs w:val="24"/>
              </w:rPr>
              <w:t xml:space="preserve"> veidā kavēt lietas izskatīšanu vai radīt nelabvēlīgas sekas lietas dalībniekiem.</w:t>
            </w:r>
          </w:p>
          <w:p w14:paraId="4AC84308" w14:textId="39E79083" w:rsidR="00EE607E" w:rsidRPr="00110794" w:rsidRDefault="00EE607E" w:rsidP="00EE607E">
            <w:pPr>
              <w:spacing w:after="0" w:line="240" w:lineRule="auto"/>
              <w:ind w:firstLine="541"/>
              <w:jc w:val="both"/>
              <w:rPr>
                <w:rFonts w:ascii="Times New Roman" w:hAnsi="Times New Roman"/>
                <w:sz w:val="24"/>
                <w:szCs w:val="24"/>
              </w:rPr>
            </w:pPr>
            <w:r>
              <w:rPr>
                <w:rFonts w:ascii="Times New Roman" w:hAnsi="Times New Roman"/>
                <w:sz w:val="24"/>
                <w:szCs w:val="24"/>
              </w:rPr>
              <w:t>No praksē gūtajiem novērojumiem secināms,</w:t>
            </w:r>
            <w:r w:rsidR="00D2174F">
              <w:rPr>
                <w:rFonts w:ascii="Times New Roman" w:hAnsi="Times New Roman"/>
                <w:sz w:val="24"/>
                <w:szCs w:val="24"/>
              </w:rPr>
              <w:t xml:space="preserve"> piem</w:t>
            </w:r>
            <w:r w:rsidR="00BE0F8F">
              <w:rPr>
                <w:rFonts w:ascii="Times New Roman" w:hAnsi="Times New Roman"/>
                <w:sz w:val="24"/>
                <w:szCs w:val="24"/>
              </w:rPr>
              <w:t>ēra</w:t>
            </w:r>
            <w:r w:rsidR="00D2174F">
              <w:rPr>
                <w:rFonts w:ascii="Times New Roman" w:hAnsi="Times New Roman"/>
                <w:sz w:val="24"/>
                <w:szCs w:val="24"/>
              </w:rPr>
              <w:t>m,</w:t>
            </w:r>
            <w:r>
              <w:rPr>
                <w:rFonts w:ascii="Times New Roman" w:hAnsi="Times New Roman"/>
                <w:sz w:val="24"/>
                <w:szCs w:val="24"/>
              </w:rPr>
              <w:t xml:space="preserve"> ka lietas dalībniekiem bieži ir ērtāk un ātrāk saņemt tiesas sūtītos dokumentus neierakstītā sūtījumā, nekā doties pēc tiem uz pasta iestādi.</w:t>
            </w:r>
          </w:p>
          <w:p w14:paraId="13FB99D6" w14:textId="0E12BBBE" w:rsidR="00EB5800" w:rsidRPr="00EB5800" w:rsidRDefault="00EB5800" w:rsidP="00EB5800">
            <w:pPr>
              <w:spacing w:after="0" w:line="240" w:lineRule="auto"/>
              <w:ind w:firstLine="680"/>
              <w:jc w:val="both"/>
              <w:rPr>
                <w:rFonts w:ascii="Times New Roman" w:hAnsi="Times New Roman"/>
                <w:sz w:val="24"/>
                <w:szCs w:val="24"/>
              </w:rPr>
            </w:pPr>
            <w:r>
              <w:rPr>
                <w:rFonts w:ascii="Times New Roman" w:hAnsi="Times New Roman"/>
                <w:sz w:val="24"/>
                <w:szCs w:val="24"/>
              </w:rPr>
              <w:t>Savukārt attiecībā uz elektroniskās saziņas veicināšanu veiktas izmaiņas Civilprocesa likuma 56. pantā</w:t>
            </w:r>
            <w:r w:rsidRPr="00EB5800">
              <w:rPr>
                <w:rFonts w:ascii="Times New Roman" w:hAnsi="Times New Roman"/>
                <w:sz w:val="24"/>
                <w:szCs w:val="24"/>
              </w:rPr>
              <w:t xml:space="preserve">, </w:t>
            </w:r>
            <w:r>
              <w:rPr>
                <w:rFonts w:ascii="Times New Roman" w:hAnsi="Times New Roman"/>
                <w:sz w:val="24"/>
                <w:szCs w:val="24"/>
              </w:rPr>
              <w:t>nosakot</w:t>
            </w:r>
            <w:r w:rsidRPr="00EB5800">
              <w:rPr>
                <w:rFonts w:ascii="Times New Roman" w:hAnsi="Times New Roman"/>
                <w:sz w:val="24"/>
                <w:szCs w:val="24"/>
              </w:rPr>
              <w:t xml:space="preserve">, ka tiesu varai piederīgām amatpersonām un valsts un pašvaldību iestādēm tiesa pamatā paziņo par tiesas sagatavotiem dokumentiem, nosūtot tos uz elektroniskā pasta adresi, ja vien tie nav paziņojuši tiesai par savas dalības reģistrāciju Tiesu informatīvās sistēmas (turpmāk – TIS) Datu izplatīšanas sistēmā (turpmāk – DIS). </w:t>
            </w:r>
            <w:r w:rsidR="00E65B5B">
              <w:rPr>
                <w:rFonts w:ascii="Times New Roman" w:hAnsi="Times New Roman"/>
                <w:sz w:val="24"/>
                <w:szCs w:val="24"/>
              </w:rPr>
              <w:t>Zvērinātam a</w:t>
            </w:r>
            <w:r w:rsidRPr="00EB5800">
              <w:rPr>
                <w:rFonts w:ascii="Times New Roman" w:hAnsi="Times New Roman"/>
                <w:sz w:val="24"/>
                <w:szCs w:val="24"/>
              </w:rPr>
              <w:t>dvokātam tiesa par tiesas sagatavotiem dokumentiem, kā arī par citiem elektroniski sagatavotiem dokumentiem paziņo tiešsaistes sistēmā.</w:t>
            </w:r>
          </w:p>
          <w:p w14:paraId="364960D0" w14:textId="7FB910C8" w:rsidR="00EB5800" w:rsidRPr="00EB5800" w:rsidRDefault="00EB5800" w:rsidP="00EB5800">
            <w:pPr>
              <w:spacing w:after="0" w:line="240" w:lineRule="auto"/>
              <w:ind w:firstLine="680"/>
              <w:jc w:val="both"/>
              <w:rPr>
                <w:rFonts w:ascii="Times New Roman" w:hAnsi="Times New Roman"/>
                <w:sz w:val="24"/>
                <w:szCs w:val="24"/>
              </w:rPr>
            </w:pPr>
            <w:r w:rsidRPr="00EB5800">
              <w:rPr>
                <w:rFonts w:ascii="Times New Roman" w:hAnsi="Times New Roman"/>
                <w:sz w:val="24"/>
                <w:szCs w:val="24"/>
              </w:rPr>
              <w:t xml:space="preserve">Tehniski </w:t>
            </w:r>
            <w:r w:rsidR="00E65B5B">
              <w:rPr>
                <w:rFonts w:ascii="Times New Roman" w:hAnsi="Times New Roman"/>
                <w:sz w:val="24"/>
                <w:szCs w:val="24"/>
              </w:rPr>
              <w:t>ir</w:t>
            </w:r>
            <w:r w:rsidR="00E65B5B" w:rsidRPr="00EB5800">
              <w:rPr>
                <w:rFonts w:ascii="Times New Roman" w:hAnsi="Times New Roman"/>
                <w:sz w:val="24"/>
                <w:szCs w:val="24"/>
              </w:rPr>
              <w:t xml:space="preserve"> </w:t>
            </w:r>
            <w:r w:rsidRPr="00EB5800">
              <w:rPr>
                <w:rFonts w:ascii="Times New Roman" w:hAnsi="Times New Roman"/>
                <w:sz w:val="24"/>
                <w:szCs w:val="24"/>
              </w:rPr>
              <w:t xml:space="preserve">nodrošināts, ka datu nosūtīšana no TIS uz DIS notiek ar datu replikācijas metodi. Datu replikācija notiek vienu reizi diennaktī (plkst. 01:00). Ņemot vērā minēto, portāla </w:t>
            </w:r>
            <w:hyperlink r:id="rId13" w:history="1">
              <w:r w:rsidRPr="00EB5800">
                <w:rPr>
                  <w:rStyle w:val="Hipersaite"/>
                  <w:rFonts w:ascii="Times New Roman" w:hAnsi="Times New Roman"/>
                  <w:sz w:val="24"/>
                  <w:szCs w:val="24"/>
                </w:rPr>
                <w:t>www.tiesas.lv</w:t>
              </w:r>
            </w:hyperlink>
            <w:r w:rsidRPr="00EB5800">
              <w:rPr>
                <w:rFonts w:ascii="Times New Roman" w:hAnsi="Times New Roman"/>
                <w:sz w:val="24"/>
                <w:szCs w:val="24"/>
              </w:rPr>
              <w:t xml:space="preserve"> sadaļās „Manas lietas” informācija par izmaiņām lietas datos un informācija par tiesu nozīmētajām tiesas sēdēm tiek atjaunota vienu reizi diennaktī. DIS datu nosūtīšana uz TIS notiek ar speciāli izstrādāto </w:t>
            </w:r>
            <w:proofErr w:type="spellStart"/>
            <w:r w:rsidRPr="00EB5800">
              <w:rPr>
                <w:rFonts w:ascii="Times New Roman" w:hAnsi="Times New Roman"/>
                <w:sz w:val="24"/>
                <w:szCs w:val="24"/>
              </w:rPr>
              <w:t>web-servisu</w:t>
            </w:r>
            <w:proofErr w:type="spellEnd"/>
            <w:r w:rsidRPr="00EB5800">
              <w:rPr>
                <w:rFonts w:ascii="Times New Roman" w:hAnsi="Times New Roman"/>
                <w:sz w:val="24"/>
                <w:szCs w:val="24"/>
              </w:rPr>
              <w:t xml:space="preserve"> palīdzību. </w:t>
            </w:r>
          </w:p>
          <w:p w14:paraId="3813DCA3" w14:textId="79C5C1AA" w:rsidR="00EB5800" w:rsidRPr="00EB5800" w:rsidRDefault="00EB5800" w:rsidP="00EB5800">
            <w:pPr>
              <w:spacing w:after="0" w:line="240" w:lineRule="auto"/>
              <w:ind w:firstLine="680"/>
              <w:jc w:val="both"/>
              <w:rPr>
                <w:rFonts w:ascii="Times New Roman" w:hAnsi="Times New Roman"/>
                <w:sz w:val="24"/>
                <w:szCs w:val="24"/>
              </w:rPr>
            </w:pPr>
            <w:r w:rsidRPr="00EB5800">
              <w:rPr>
                <w:rFonts w:ascii="Times New Roman" w:hAnsi="Times New Roman"/>
                <w:sz w:val="24"/>
                <w:szCs w:val="24"/>
              </w:rPr>
              <w:t xml:space="preserve">Ievērojot minēto, ir plānots nodrošināt tiesas elektronisko saziņu ar advokātiem - pamatā izmantojot DIS, ar </w:t>
            </w:r>
            <w:proofErr w:type="gramStart"/>
            <w:r w:rsidRPr="00EB5800">
              <w:rPr>
                <w:rFonts w:ascii="Times New Roman" w:hAnsi="Times New Roman"/>
                <w:sz w:val="24"/>
                <w:szCs w:val="24"/>
              </w:rPr>
              <w:t>pārējām minētām personām</w:t>
            </w:r>
            <w:proofErr w:type="gramEnd"/>
            <w:r w:rsidRPr="00EB5800">
              <w:rPr>
                <w:rFonts w:ascii="Times New Roman" w:hAnsi="Times New Roman"/>
                <w:sz w:val="24"/>
                <w:szCs w:val="24"/>
              </w:rPr>
              <w:t xml:space="preserve"> – elektroniskā pasta adresi, vienlaikus saglabājot līdzšinējo kārtību, proti, uz elektroniskā pasta adresi tiek nosūtīta tiesas pavēste, kas tiek automatizēti sagatavota TIS (grozījumi </w:t>
            </w:r>
            <w:r>
              <w:rPr>
                <w:rFonts w:ascii="Times New Roman" w:hAnsi="Times New Roman"/>
                <w:sz w:val="24"/>
                <w:szCs w:val="24"/>
              </w:rPr>
              <w:t>Civilprocesa likuma 56. pantā).</w:t>
            </w:r>
          </w:p>
          <w:p w14:paraId="527B5089" w14:textId="61442651" w:rsidR="00E65B5B" w:rsidRDefault="00D2174F" w:rsidP="00EB5800">
            <w:pPr>
              <w:spacing w:after="0" w:line="240" w:lineRule="auto"/>
              <w:ind w:firstLine="680"/>
              <w:jc w:val="both"/>
              <w:rPr>
                <w:rFonts w:ascii="Times New Roman" w:hAnsi="Times New Roman"/>
                <w:sz w:val="24"/>
                <w:szCs w:val="24"/>
              </w:rPr>
            </w:pPr>
            <w:r>
              <w:rPr>
                <w:rFonts w:ascii="Times New Roman" w:hAnsi="Times New Roman"/>
                <w:sz w:val="24"/>
                <w:szCs w:val="24"/>
              </w:rPr>
              <w:t>Ar Likumprojektu t</w:t>
            </w:r>
            <w:r w:rsidR="00EB5800" w:rsidRPr="00EB5800">
              <w:rPr>
                <w:rFonts w:ascii="Times New Roman" w:hAnsi="Times New Roman"/>
                <w:sz w:val="24"/>
                <w:szCs w:val="24"/>
              </w:rPr>
              <w:t xml:space="preserve">āpat tiek paredzēts tiesām saziņā ar fiziskām un juridiskām personām plašāk izmantot elektroniskās saziņas iespējas, proti, tiesas dokumentus paziņo tiešsaistes sistēmā, ja lietas dalībnieks paziņojis tiesai, ka viņš piekrīt elektroniskai saziņai ar tiesu un paziņojis tiesai par savas dalības reģistrēšanu tiešsaistes sistēmā. Ja tiesa konstatē tehniskus šķēršļus tiesas dokumentu paziņošanai tiešsaistes sistēmā, tos piegādā citā </w:t>
            </w:r>
            <w:r w:rsidR="00E65B5B">
              <w:rPr>
                <w:rFonts w:ascii="Times New Roman" w:hAnsi="Times New Roman"/>
                <w:sz w:val="24"/>
                <w:szCs w:val="24"/>
              </w:rPr>
              <w:t xml:space="preserve">likumā noteiktā </w:t>
            </w:r>
            <w:r w:rsidR="00EB5800" w:rsidRPr="00EB5800">
              <w:rPr>
                <w:rFonts w:ascii="Times New Roman" w:hAnsi="Times New Roman"/>
                <w:sz w:val="24"/>
                <w:szCs w:val="24"/>
              </w:rPr>
              <w:t xml:space="preserve">veidā. </w:t>
            </w:r>
          </w:p>
          <w:p w14:paraId="5FCD86E3" w14:textId="77777777" w:rsidR="00EB5800" w:rsidRPr="00EB5800" w:rsidRDefault="00EB5800" w:rsidP="00EB5800">
            <w:pPr>
              <w:spacing w:after="0" w:line="240" w:lineRule="auto"/>
              <w:ind w:firstLine="680"/>
              <w:jc w:val="both"/>
              <w:rPr>
                <w:rFonts w:ascii="Times New Roman" w:hAnsi="Times New Roman"/>
                <w:sz w:val="24"/>
                <w:szCs w:val="24"/>
              </w:rPr>
            </w:pPr>
            <w:r w:rsidRPr="00EB5800">
              <w:rPr>
                <w:rFonts w:ascii="Times New Roman" w:hAnsi="Times New Roman"/>
                <w:sz w:val="24"/>
                <w:szCs w:val="24"/>
              </w:rPr>
              <w:t xml:space="preserve">Norādāms, ka šādā veidā pastāv iespēja iepazīties ar </w:t>
            </w:r>
            <w:r w:rsidRPr="00EB5800">
              <w:rPr>
                <w:rFonts w:ascii="Times New Roman" w:hAnsi="Times New Roman"/>
                <w:sz w:val="24"/>
                <w:szCs w:val="24"/>
              </w:rPr>
              <w:lastRenderedPageBreak/>
              <w:t>tiesas dokumentiem un elektroniskiem dokumentiem, kas pievienoti TIS, attālināti. Tomēr gadījumā, ja personām būs nepieciešami minēto dokumentu juridiski saistoši atvasinājumi (papīra vai elektroniskā formā), šādu dokumentu izgatavošana tiesā nodrošināma vispārējā kārtībā saskaņā ar Dokumentu juridiskā spēka likumu (un/vai Elektronisko dokumentu likumu).</w:t>
            </w:r>
          </w:p>
          <w:p w14:paraId="6ABC9A9D" w14:textId="05E494D1" w:rsidR="00EB5800" w:rsidRPr="00EB5800" w:rsidRDefault="00EB5800" w:rsidP="00EB5800">
            <w:pPr>
              <w:spacing w:after="0" w:line="240" w:lineRule="auto"/>
              <w:ind w:firstLine="680"/>
              <w:jc w:val="both"/>
              <w:rPr>
                <w:rFonts w:ascii="Times New Roman" w:hAnsi="Times New Roman"/>
                <w:sz w:val="24"/>
                <w:szCs w:val="24"/>
              </w:rPr>
            </w:pPr>
            <w:r w:rsidRPr="00EB5800">
              <w:rPr>
                <w:rFonts w:ascii="Times New Roman" w:hAnsi="Times New Roman"/>
                <w:sz w:val="24"/>
                <w:szCs w:val="24"/>
              </w:rPr>
              <w:t>Attiecīgi precizē</w:t>
            </w:r>
            <w:r w:rsidR="00E65B5B">
              <w:rPr>
                <w:rFonts w:ascii="Times New Roman" w:hAnsi="Times New Roman"/>
                <w:sz w:val="24"/>
                <w:szCs w:val="24"/>
              </w:rPr>
              <w:t>ts</w:t>
            </w:r>
            <w:r w:rsidRPr="00EB5800">
              <w:rPr>
                <w:rFonts w:ascii="Times New Roman" w:hAnsi="Times New Roman"/>
                <w:sz w:val="24"/>
                <w:szCs w:val="24"/>
              </w:rPr>
              <w:t xml:space="preserve"> arī 56</w:t>
            </w:r>
            <w:r w:rsidR="00D2174F">
              <w:rPr>
                <w:rFonts w:ascii="Times New Roman" w:hAnsi="Times New Roman"/>
                <w:sz w:val="24"/>
                <w:szCs w:val="24"/>
              </w:rPr>
              <w:t>.</w:t>
            </w:r>
            <w:r w:rsidRPr="00EB5800">
              <w:rPr>
                <w:rFonts w:ascii="Times New Roman" w:hAnsi="Times New Roman"/>
                <w:sz w:val="24"/>
                <w:szCs w:val="24"/>
                <w:vertAlign w:val="superscript"/>
              </w:rPr>
              <w:t>1</w:t>
            </w:r>
            <w:r w:rsidRPr="00EB5800">
              <w:rPr>
                <w:rFonts w:ascii="Times New Roman" w:hAnsi="Times New Roman"/>
                <w:sz w:val="24"/>
                <w:szCs w:val="24"/>
              </w:rPr>
              <w:t> pantā noteiktais, papildinot panta pirmo daļu ar 5.</w:t>
            </w:r>
            <w:r w:rsidR="007F1CF8">
              <w:rPr>
                <w:rFonts w:ascii="Times New Roman" w:hAnsi="Times New Roman"/>
                <w:sz w:val="24"/>
                <w:szCs w:val="24"/>
              </w:rPr>
              <w:t> </w:t>
            </w:r>
            <w:r w:rsidRPr="00EB5800">
              <w:rPr>
                <w:rFonts w:ascii="Times New Roman" w:hAnsi="Times New Roman"/>
                <w:sz w:val="24"/>
                <w:szCs w:val="24"/>
              </w:rPr>
              <w:t xml:space="preserve">punktu, kas noteic, ka tiek prezumēts, ka tiesas dokuments tiek piegādāts un izsniegts trešajā dienā, ja tas paziņots tiešsaistē. </w:t>
            </w:r>
          </w:p>
          <w:p w14:paraId="6084654E" w14:textId="34E097FE" w:rsidR="00EB5800" w:rsidRPr="00EB5800" w:rsidRDefault="00EB5800" w:rsidP="00EB5800">
            <w:pPr>
              <w:spacing w:after="0" w:line="240" w:lineRule="auto"/>
              <w:ind w:firstLine="680"/>
              <w:jc w:val="both"/>
              <w:rPr>
                <w:rFonts w:ascii="Times New Roman" w:hAnsi="Times New Roman"/>
                <w:sz w:val="24"/>
                <w:szCs w:val="24"/>
              </w:rPr>
            </w:pPr>
            <w:r w:rsidRPr="00EB5800">
              <w:rPr>
                <w:rFonts w:ascii="Times New Roman" w:hAnsi="Times New Roman"/>
                <w:sz w:val="24"/>
                <w:szCs w:val="24"/>
              </w:rPr>
              <w:t>Turklāt līdz</w:t>
            </w:r>
            <w:r w:rsidR="00D2174F">
              <w:rPr>
                <w:rFonts w:ascii="Times New Roman" w:hAnsi="Times New Roman"/>
                <w:sz w:val="24"/>
                <w:szCs w:val="24"/>
              </w:rPr>
              <w:t xml:space="preserve"> ar ātrāku informācijas apmaiņu</w:t>
            </w:r>
            <w:r w:rsidRPr="00EB5800">
              <w:rPr>
                <w:rFonts w:ascii="Times New Roman" w:hAnsi="Times New Roman"/>
                <w:sz w:val="24"/>
                <w:szCs w:val="24"/>
              </w:rPr>
              <w:t xml:space="preserve"> nepieciešams precizēt arī laika posmu, kādā pārstāvības pirmstermiņa izbeigšanās gadījumā, persona paziņo tiesai par pilnvarojuma atsaukumu vai atteikšanos no lietas vešanas. Minētais saistāms arī ar piekļuves tiesību anulēšanu DIS ietvaros konkrētās lietas materiāliem sakarā ar pilnvarojuma neesamību tiesvedības procesā (grozījumi Civilprocesa likuma 87. pantā).</w:t>
            </w:r>
          </w:p>
          <w:p w14:paraId="522F4D3B" w14:textId="77777777" w:rsidR="00EE607E" w:rsidRPr="00110794" w:rsidRDefault="00EB5800" w:rsidP="00EB5800">
            <w:pPr>
              <w:spacing w:after="0" w:line="240" w:lineRule="auto"/>
              <w:ind w:firstLine="680"/>
              <w:jc w:val="both"/>
              <w:rPr>
                <w:rFonts w:ascii="Times New Roman" w:hAnsi="Times New Roman"/>
                <w:sz w:val="24"/>
                <w:szCs w:val="24"/>
              </w:rPr>
            </w:pPr>
            <w:r w:rsidRPr="00EB5800">
              <w:rPr>
                <w:rFonts w:ascii="Times New Roman" w:hAnsi="Times New Roman"/>
                <w:sz w:val="24"/>
                <w:szCs w:val="24"/>
              </w:rPr>
              <w:t>Lai būtu iespējams nodrošināt tiesu elektronisku saziņu ar norādītajām personām, noteikts, ka, iesniedzot prasības pieteikumu vai sniedzot paskaidrojumus, minētajām personām ir jānorāda sava elektroniskā pasta adrese un gadījumā, ja tās ir reģistrējušas savu dalību DIS, tad arī norāde par reģistrāciju (grozījumi Civilprocesa likuma 128. un  148. pantā).</w:t>
            </w:r>
          </w:p>
        </w:tc>
      </w:tr>
      <w:tr w:rsidR="008752D4" w:rsidRPr="00647904" w14:paraId="1206E546" w14:textId="77777777" w:rsidTr="002601DD">
        <w:trPr>
          <w:trHeight w:val="465"/>
        </w:trPr>
        <w:tc>
          <w:tcPr>
            <w:tcW w:w="247" w:type="pct"/>
            <w:tcBorders>
              <w:top w:val="outset" w:sz="6" w:space="0" w:color="414142"/>
              <w:left w:val="outset" w:sz="6" w:space="0" w:color="414142"/>
              <w:bottom w:val="outset" w:sz="6" w:space="0" w:color="414142"/>
              <w:right w:val="outset" w:sz="6" w:space="0" w:color="414142"/>
            </w:tcBorders>
          </w:tcPr>
          <w:p w14:paraId="1376EBDC" w14:textId="77777777" w:rsidR="008752D4" w:rsidRPr="00647904" w:rsidRDefault="00F63FA1"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lastRenderedPageBreak/>
              <w:t xml:space="preserve">3. </w:t>
            </w:r>
          </w:p>
        </w:tc>
        <w:tc>
          <w:tcPr>
            <w:tcW w:w="1531" w:type="pct"/>
            <w:tcBorders>
              <w:top w:val="outset" w:sz="6" w:space="0" w:color="414142"/>
              <w:left w:val="outset" w:sz="6" w:space="0" w:color="414142"/>
              <w:bottom w:val="outset" w:sz="6" w:space="0" w:color="414142"/>
              <w:right w:val="outset" w:sz="6" w:space="0" w:color="414142"/>
            </w:tcBorders>
          </w:tcPr>
          <w:p w14:paraId="54430C7F"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Projekta izstrādē iesaistītās institūcijas</w:t>
            </w:r>
          </w:p>
        </w:tc>
        <w:tc>
          <w:tcPr>
            <w:tcW w:w="3222" w:type="pct"/>
            <w:tcBorders>
              <w:top w:val="outset" w:sz="6" w:space="0" w:color="414142"/>
              <w:left w:val="outset" w:sz="6" w:space="0" w:color="414142"/>
              <w:bottom w:val="outset" w:sz="6" w:space="0" w:color="414142"/>
              <w:right w:val="outset" w:sz="6" w:space="0" w:color="414142"/>
            </w:tcBorders>
          </w:tcPr>
          <w:p w14:paraId="2B43391B" w14:textId="0DB1EBEF" w:rsidR="00080BE7" w:rsidRPr="00080BE7" w:rsidRDefault="000F7110" w:rsidP="007D0820">
            <w:pPr>
              <w:spacing w:after="0" w:line="240" w:lineRule="auto"/>
              <w:ind w:firstLine="541"/>
              <w:jc w:val="both"/>
              <w:rPr>
                <w:rFonts w:ascii="Times New Roman" w:hAnsi="Times New Roman"/>
                <w:color w:val="000000"/>
                <w:sz w:val="24"/>
                <w:szCs w:val="24"/>
              </w:rPr>
            </w:pPr>
            <w:r>
              <w:rPr>
                <w:rFonts w:ascii="Times New Roman" w:hAnsi="Times New Roman"/>
                <w:color w:val="000000"/>
                <w:sz w:val="24"/>
                <w:szCs w:val="24"/>
              </w:rPr>
              <w:t>Tiesu pārstāvji,</w:t>
            </w:r>
            <w:r w:rsidR="00080BE7" w:rsidRPr="00080BE7">
              <w:rPr>
                <w:rFonts w:ascii="Times New Roman" w:hAnsi="Times New Roman"/>
                <w:color w:val="000000"/>
                <w:sz w:val="24"/>
                <w:szCs w:val="24"/>
              </w:rPr>
              <w:t xml:space="preserve"> Tiesu administrācija</w:t>
            </w:r>
            <w:r>
              <w:rPr>
                <w:rFonts w:ascii="Times New Roman" w:hAnsi="Times New Roman"/>
                <w:color w:val="000000"/>
                <w:sz w:val="24"/>
                <w:szCs w:val="24"/>
              </w:rPr>
              <w:t>.</w:t>
            </w:r>
          </w:p>
          <w:p w14:paraId="4CF299E6" w14:textId="77777777" w:rsidR="008752D4" w:rsidRPr="00647904" w:rsidRDefault="00080BE7" w:rsidP="00080BE7">
            <w:pPr>
              <w:spacing w:after="0" w:line="240" w:lineRule="auto"/>
              <w:ind w:firstLine="541"/>
              <w:jc w:val="both"/>
              <w:rPr>
                <w:rFonts w:ascii="Times New Roman" w:eastAsia="Times New Roman" w:hAnsi="Times New Roman"/>
                <w:color w:val="000000"/>
                <w:sz w:val="24"/>
                <w:szCs w:val="24"/>
                <w:lang w:eastAsia="lv-LV"/>
              </w:rPr>
            </w:pPr>
            <w:r w:rsidRPr="00080BE7">
              <w:rPr>
                <w:rFonts w:ascii="Times New Roman" w:hAnsi="Times New Roman"/>
                <w:color w:val="000000"/>
                <w:sz w:val="24"/>
                <w:szCs w:val="24"/>
              </w:rPr>
              <w:t xml:space="preserve">Grozījumu izdarīšanu Civilprocesa </w:t>
            </w:r>
            <w:r w:rsidRPr="007F1CF8">
              <w:rPr>
                <w:rFonts w:ascii="Times New Roman" w:hAnsi="Times New Roman"/>
                <w:color w:val="000000"/>
                <w:sz w:val="24"/>
                <w:szCs w:val="24"/>
              </w:rPr>
              <w:t>likumā konceptuāli ir atbalstījusi Tieslietu ministrijas darba grupa Civilprocesa</w:t>
            </w:r>
            <w:r w:rsidRPr="00080BE7">
              <w:rPr>
                <w:rFonts w:ascii="Times New Roman" w:hAnsi="Times New Roman"/>
                <w:color w:val="000000"/>
                <w:sz w:val="24"/>
                <w:szCs w:val="24"/>
              </w:rPr>
              <w:t xml:space="preserve"> likuma grozījumu izstrādei.</w:t>
            </w:r>
          </w:p>
        </w:tc>
      </w:tr>
      <w:tr w:rsidR="008752D4" w:rsidRPr="00647904" w14:paraId="325C6BB2" w14:textId="77777777" w:rsidTr="002601DD">
        <w:tc>
          <w:tcPr>
            <w:tcW w:w="247" w:type="pct"/>
            <w:tcBorders>
              <w:top w:val="outset" w:sz="6" w:space="0" w:color="414142"/>
              <w:left w:val="outset" w:sz="6" w:space="0" w:color="414142"/>
              <w:bottom w:val="outset" w:sz="6" w:space="0" w:color="414142"/>
              <w:right w:val="outset" w:sz="6" w:space="0" w:color="414142"/>
            </w:tcBorders>
          </w:tcPr>
          <w:p w14:paraId="2D96644E"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4.</w:t>
            </w:r>
          </w:p>
        </w:tc>
        <w:tc>
          <w:tcPr>
            <w:tcW w:w="1531" w:type="pct"/>
            <w:tcBorders>
              <w:top w:val="outset" w:sz="6" w:space="0" w:color="414142"/>
              <w:left w:val="outset" w:sz="6" w:space="0" w:color="414142"/>
              <w:bottom w:val="outset" w:sz="6" w:space="0" w:color="414142"/>
              <w:right w:val="outset" w:sz="6" w:space="0" w:color="414142"/>
            </w:tcBorders>
          </w:tcPr>
          <w:p w14:paraId="7D92CED0"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Cita informācija</w:t>
            </w:r>
          </w:p>
        </w:tc>
        <w:tc>
          <w:tcPr>
            <w:tcW w:w="3222" w:type="pct"/>
            <w:tcBorders>
              <w:top w:val="outset" w:sz="6" w:space="0" w:color="414142"/>
              <w:left w:val="outset" w:sz="6" w:space="0" w:color="414142"/>
              <w:bottom w:val="outset" w:sz="6" w:space="0" w:color="414142"/>
              <w:right w:val="outset" w:sz="6" w:space="0" w:color="414142"/>
            </w:tcBorders>
          </w:tcPr>
          <w:p w14:paraId="0414F089"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 xml:space="preserve">Nav </w:t>
            </w:r>
          </w:p>
        </w:tc>
      </w:tr>
      <w:tr w:rsidR="008752D4" w:rsidRPr="00647904" w14:paraId="7039BFAE" w14:textId="77777777" w:rsidTr="002601DD">
        <w:trPr>
          <w:trHeight w:val="128"/>
        </w:trPr>
        <w:tc>
          <w:tcPr>
            <w:tcW w:w="5000" w:type="pct"/>
            <w:gridSpan w:val="3"/>
            <w:tcBorders>
              <w:top w:val="outset" w:sz="6" w:space="0" w:color="414142"/>
              <w:left w:val="nil"/>
              <w:bottom w:val="single" w:sz="4" w:space="0" w:color="auto"/>
              <w:right w:val="nil"/>
            </w:tcBorders>
          </w:tcPr>
          <w:p w14:paraId="1DD064EA" w14:textId="77777777" w:rsidR="0079260D" w:rsidRDefault="0079260D" w:rsidP="005B430B">
            <w:pPr>
              <w:tabs>
                <w:tab w:val="left" w:pos="990"/>
              </w:tabs>
              <w:spacing w:after="0" w:line="240" w:lineRule="auto"/>
              <w:rPr>
                <w:rFonts w:ascii="Times New Roman" w:eastAsia="Times New Roman" w:hAnsi="Times New Roman"/>
                <w:color w:val="000000"/>
                <w:sz w:val="24"/>
                <w:szCs w:val="24"/>
                <w:lang w:eastAsia="lv-LV"/>
              </w:rPr>
            </w:pPr>
          </w:p>
          <w:p w14:paraId="1E9C60C9" w14:textId="77777777" w:rsidR="008752D4" w:rsidRPr="00647904" w:rsidRDefault="008752D4" w:rsidP="005B430B">
            <w:pPr>
              <w:tabs>
                <w:tab w:val="left" w:pos="990"/>
              </w:tabs>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ab/>
            </w:r>
          </w:p>
        </w:tc>
      </w:tr>
    </w:tbl>
    <w:p w14:paraId="727B6D0B" w14:textId="77777777" w:rsidR="008752D4" w:rsidRPr="00647904" w:rsidRDefault="008752D4" w:rsidP="008752D4">
      <w:pPr>
        <w:spacing w:after="0" w:line="240" w:lineRule="auto"/>
        <w:rPr>
          <w:rFonts w:ascii="Times New Roman" w:eastAsia="Times New Roman" w:hAnsi="Times New Roman"/>
          <w:vanish/>
          <w:color w:val="000000"/>
          <w:sz w:val="24"/>
          <w:szCs w:val="24"/>
          <w:lang w:eastAsia="lv-LV"/>
        </w:rPr>
      </w:pPr>
    </w:p>
    <w:tbl>
      <w:tblPr>
        <w:tblW w:w="5039" w:type="pct"/>
        <w:tblInd w:w="3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18"/>
        <w:gridCol w:w="1402"/>
        <w:gridCol w:w="1288"/>
        <w:gridCol w:w="26"/>
        <w:gridCol w:w="1469"/>
        <w:gridCol w:w="1463"/>
        <w:gridCol w:w="1610"/>
        <w:gridCol w:w="1726"/>
      </w:tblGrid>
      <w:tr w:rsidR="008752D4" w:rsidRPr="00647904" w14:paraId="71EAD395" w14:textId="77777777" w:rsidTr="00D2174F">
        <w:trPr>
          <w:trHeight w:val="555"/>
        </w:trPr>
        <w:tc>
          <w:tcPr>
            <w:tcW w:w="5000" w:type="pct"/>
            <w:gridSpan w:val="8"/>
            <w:tcBorders>
              <w:top w:val="nil"/>
              <w:left w:val="single" w:sz="4" w:space="0" w:color="auto"/>
              <w:bottom w:val="outset" w:sz="6" w:space="0" w:color="414142"/>
              <w:right w:val="outset" w:sz="6" w:space="0" w:color="414142"/>
            </w:tcBorders>
            <w:vAlign w:val="center"/>
          </w:tcPr>
          <w:p w14:paraId="04134280" w14:textId="77777777" w:rsidR="008752D4" w:rsidRPr="00647904"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II. Tiesību akta projekta ietekme uz sabiedrību, tautsaimniecības attīstību un administratīvo slogu</w:t>
            </w:r>
          </w:p>
        </w:tc>
      </w:tr>
      <w:tr w:rsidR="008752D4" w:rsidRPr="00647904" w14:paraId="301A14E2" w14:textId="77777777" w:rsidTr="00D2174F">
        <w:trPr>
          <w:trHeight w:val="465"/>
        </w:trPr>
        <w:tc>
          <w:tcPr>
            <w:tcW w:w="118" w:type="pct"/>
            <w:tcBorders>
              <w:top w:val="outset" w:sz="6" w:space="0" w:color="414142"/>
              <w:left w:val="outset" w:sz="6" w:space="0" w:color="414142"/>
              <w:bottom w:val="outset" w:sz="6" w:space="0" w:color="414142"/>
              <w:right w:val="outset" w:sz="6" w:space="0" w:color="414142"/>
            </w:tcBorders>
          </w:tcPr>
          <w:p w14:paraId="58C3E5FA"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1.</w:t>
            </w:r>
          </w:p>
        </w:tc>
        <w:tc>
          <w:tcPr>
            <w:tcW w:w="1476" w:type="pct"/>
            <w:gridSpan w:val="3"/>
            <w:tcBorders>
              <w:top w:val="outset" w:sz="6" w:space="0" w:color="414142"/>
              <w:left w:val="outset" w:sz="6" w:space="0" w:color="414142"/>
              <w:bottom w:val="outset" w:sz="6" w:space="0" w:color="414142"/>
              <w:right w:val="outset" w:sz="6" w:space="0" w:color="414142"/>
            </w:tcBorders>
          </w:tcPr>
          <w:p w14:paraId="6E5A828E"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Sabiedrības mērķgrupas, kuras tiesiskais regulējums ietekmē vai varētu ietekmēt</w:t>
            </w:r>
          </w:p>
        </w:tc>
        <w:tc>
          <w:tcPr>
            <w:tcW w:w="3406" w:type="pct"/>
            <w:gridSpan w:val="4"/>
            <w:tcBorders>
              <w:top w:val="outset" w:sz="6" w:space="0" w:color="414142"/>
              <w:left w:val="outset" w:sz="6" w:space="0" w:color="414142"/>
              <w:bottom w:val="outset" w:sz="6" w:space="0" w:color="414142"/>
              <w:right w:val="outset" w:sz="6" w:space="0" w:color="414142"/>
            </w:tcBorders>
          </w:tcPr>
          <w:p w14:paraId="02021668" w14:textId="77777777" w:rsidR="00C14A61" w:rsidRDefault="00C14A61" w:rsidP="00C14A61">
            <w:pPr>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kuras iesaistītas tiesvedības procesā civilprocesā.</w:t>
            </w:r>
          </w:p>
          <w:p w14:paraId="25224E14" w14:textId="7F5EF427" w:rsidR="00080BE7" w:rsidRPr="00D2174F" w:rsidRDefault="00D2174F" w:rsidP="00D2174F">
            <w:pPr>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Tiesas, </w:t>
            </w:r>
            <w:r w:rsidR="00C14A61">
              <w:rPr>
                <w:rFonts w:ascii="Times New Roman" w:eastAsia="Times New Roman" w:hAnsi="Times New Roman"/>
                <w:sz w:val="24"/>
                <w:szCs w:val="24"/>
                <w:lang w:eastAsia="lv-LV"/>
              </w:rPr>
              <w:t>Tiesu administrācija.</w:t>
            </w:r>
            <w:r w:rsidR="00C14A61" w:rsidRPr="00647904">
              <w:rPr>
                <w:rFonts w:ascii="Times New Roman" w:eastAsia="Times New Roman" w:hAnsi="Times New Roman"/>
                <w:color w:val="000000"/>
                <w:sz w:val="24"/>
                <w:szCs w:val="24"/>
                <w:lang w:eastAsia="lv-LV"/>
              </w:rPr>
              <w:t xml:space="preserve"> </w:t>
            </w:r>
          </w:p>
        </w:tc>
      </w:tr>
      <w:tr w:rsidR="008752D4" w:rsidRPr="00647904" w14:paraId="4C2C1B95" w14:textId="77777777" w:rsidTr="00D2174F">
        <w:trPr>
          <w:trHeight w:val="510"/>
        </w:trPr>
        <w:tc>
          <w:tcPr>
            <w:tcW w:w="118" w:type="pct"/>
            <w:tcBorders>
              <w:top w:val="outset" w:sz="6" w:space="0" w:color="414142"/>
              <w:left w:val="outset" w:sz="6" w:space="0" w:color="414142"/>
              <w:bottom w:val="outset" w:sz="6" w:space="0" w:color="414142"/>
              <w:right w:val="outset" w:sz="6" w:space="0" w:color="414142"/>
            </w:tcBorders>
          </w:tcPr>
          <w:p w14:paraId="739FF4BF"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2.</w:t>
            </w:r>
          </w:p>
        </w:tc>
        <w:tc>
          <w:tcPr>
            <w:tcW w:w="1476" w:type="pct"/>
            <w:gridSpan w:val="3"/>
            <w:tcBorders>
              <w:top w:val="outset" w:sz="6" w:space="0" w:color="414142"/>
              <w:left w:val="outset" w:sz="6" w:space="0" w:color="414142"/>
              <w:bottom w:val="outset" w:sz="6" w:space="0" w:color="414142"/>
              <w:right w:val="outset" w:sz="6" w:space="0" w:color="414142"/>
            </w:tcBorders>
          </w:tcPr>
          <w:p w14:paraId="5A7D2AA3"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Tiesiskā regulējuma ietekme uz tautsaimniecību un administratīvo slogu</w:t>
            </w:r>
          </w:p>
        </w:tc>
        <w:tc>
          <w:tcPr>
            <w:tcW w:w="3406" w:type="pct"/>
            <w:gridSpan w:val="4"/>
            <w:tcBorders>
              <w:top w:val="outset" w:sz="6" w:space="0" w:color="414142"/>
              <w:left w:val="outset" w:sz="6" w:space="0" w:color="414142"/>
              <w:bottom w:val="outset" w:sz="6" w:space="0" w:color="414142"/>
              <w:right w:val="outset" w:sz="6" w:space="0" w:color="414142"/>
            </w:tcBorders>
          </w:tcPr>
          <w:p w14:paraId="0ED994BF" w14:textId="613CB01A" w:rsidR="00FF5347" w:rsidRPr="000C30E2" w:rsidRDefault="007F1CF8" w:rsidP="000C30E2">
            <w:pPr>
              <w:spacing w:after="0" w:line="240" w:lineRule="auto"/>
              <w:ind w:firstLine="51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Administratīvais </w:t>
            </w:r>
            <w:r w:rsidR="000C30E2" w:rsidRPr="000C30E2">
              <w:rPr>
                <w:rFonts w:ascii="Times New Roman" w:eastAsia="Times New Roman" w:hAnsi="Times New Roman"/>
                <w:color w:val="000000"/>
                <w:sz w:val="24"/>
                <w:szCs w:val="24"/>
                <w:lang w:eastAsia="lv-LV"/>
              </w:rPr>
              <w:t xml:space="preserve">slogs mazināsies, jo </w:t>
            </w:r>
            <w:r w:rsidR="000C30E2">
              <w:rPr>
                <w:rFonts w:ascii="Times New Roman" w:eastAsia="Times New Roman" w:hAnsi="Times New Roman"/>
                <w:color w:val="000000"/>
                <w:sz w:val="24"/>
                <w:szCs w:val="24"/>
                <w:lang w:eastAsia="lv-LV"/>
              </w:rPr>
              <w:t>līdz ar grozījumiem tiek vienkāršota saziņa starp tiesu un tiesvedībā iesaistītajām personām</w:t>
            </w:r>
            <w:r w:rsidR="000C30E2" w:rsidRPr="000C30E2">
              <w:rPr>
                <w:rFonts w:ascii="Times New Roman" w:eastAsia="Times New Roman" w:hAnsi="Times New Roman"/>
                <w:color w:val="000000"/>
                <w:sz w:val="24"/>
                <w:szCs w:val="24"/>
                <w:lang w:eastAsia="lv-LV"/>
              </w:rPr>
              <w:t xml:space="preserve">. </w:t>
            </w:r>
            <w:r w:rsidR="000C30E2">
              <w:rPr>
                <w:rFonts w:ascii="Times New Roman" w:eastAsia="Times New Roman" w:hAnsi="Times New Roman"/>
                <w:color w:val="000000"/>
                <w:sz w:val="24"/>
                <w:szCs w:val="24"/>
                <w:lang w:eastAsia="lv-LV"/>
              </w:rPr>
              <w:t>Vienlaikus zvērināti advokāti jau pašreiz praksē</w:t>
            </w:r>
            <w:r w:rsidR="000C30E2" w:rsidRPr="000C30E2">
              <w:rPr>
                <w:rFonts w:ascii="Times New Roman" w:eastAsia="Times New Roman" w:hAnsi="Times New Roman"/>
                <w:color w:val="000000"/>
                <w:sz w:val="24"/>
                <w:szCs w:val="24"/>
                <w:lang w:eastAsia="lv-LV"/>
              </w:rPr>
              <w:t xml:space="preserve"> izmanto DIS.</w:t>
            </w:r>
          </w:p>
        </w:tc>
      </w:tr>
      <w:tr w:rsidR="008752D4" w:rsidRPr="00647904" w14:paraId="313AE45F" w14:textId="77777777" w:rsidTr="00D2174F">
        <w:trPr>
          <w:trHeight w:val="510"/>
        </w:trPr>
        <w:tc>
          <w:tcPr>
            <w:tcW w:w="118" w:type="pct"/>
            <w:tcBorders>
              <w:top w:val="outset" w:sz="6" w:space="0" w:color="414142"/>
              <w:left w:val="outset" w:sz="6" w:space="0" w:color="414142"/>
              <w:bottom w:val="outset" w:sz="6" w:space="0" w:color="414142"/>
              <w:right w:val="outset" w:sz="6" w:space="0" w:color="414142"/>
            </w:tcBorders>
          </w:tcPr>
          <w:p w14:paraId="532B05CF"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3.</w:t>
            </w:r>
          </w:p>
        </w:tc>
        <w:tc>
          <w:tcPr>
            <w:tcW w:w="1476" w:type="pct"/>
            <w:gridSpan w:val="3"/>
            <w:tcBorders>
              <w:top w:val="outset" w:sz="6" w:space="0" w:color="414142"/>
              <w:left w:val="outset" w:sz="6" w:space="0" w:color="414142"/>
              <w:bottom w:val="outset" w:sz="6" w:space="0" w:color="414142"/>
              <w:right w:val="outset" w:sz="6" w:space="0" w:color="414142"/>
            </w:tcBorders>
          </w:tcPr>
          <w:p w14:paraId="348AB882"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Administratīvo izmaksu monetārs novērtējums</w:t>
            </w:r>
          </w:p>
        </w:tc>
        <w:tc>
          <w:tcPr>
            <w:tcW w:w="3406" w:type="pct"/>
            <w:gridSpan w:val="4"/>
            <w:tcBorders>
              <w:top w:val="outset" w:sz="6" w:space="0" w:color="414142"/>
              <w:left w:val="outset" w:sz="6" w:space="0" w:color="414142"/>
              <w:bottom w:val="outset" w:sz="6" w:space="0" w:color="414142"/>
              <w:right w:val="outset" w:sz="6" w:space="0" w:color="414142"/>
            </w:tcBorders>
          </w:tcPr>
          <w:p w14:paraId="48D512B1" w14:textId="7C0A38E6" w:rsidR="000C30E2" w:rsidRPr="000C30E2" w:rsidRDefault="000C50C3" w:rsidP="000C30E2">
            <w:pPr>
              <w:spacing w:after="0" w:line="240" w:lineRule="auto"/>
              <w:ind w:firstLine="510"/>
              <w:jc w:val="both"/>
              <w:rPr>
                <w:rFonts w:ascii="Times New Roman" w:eastAsia="Times New Roman" w:hAnsi="Times New Roman"/>
                <w:color w:val="000000"/>
                <w:sz w:val="24"/>
                <w:szCs w:val="24"/>
                <w:highlight w:val="yellow"/>
                <w:lang w:eastAsia="lv-LV"/>
              </w:rPr>
            </w:pPr>
            <w:r w:rsidRPr="000C50C3">
              <w:rPr>
                <w:rFonts w:ascii="Times New Roman" w:hAnsi="Times New Roman"/>
                <w:sz w:val="24"/>
                <w:szCs w:val="24"/>
              </w:rPr>
              <w:t>Projekts šo jomu neskar</w:t>
            </w:r>
          </w:p>
        </w:tc>
      </w:tr>
      <w:tr w:rsidR="008752D4" w:rsidRPr="00647904" w14:paraId="3DC12AAD" w14:textId="77777777" w:rsidTr="00D2174F">
        <w:trPr>
          <w:trHeight w:val="345"/>
        </w:trPr>
        <w:tc>
          <w:tcPr>
            <w:tcW w:w="118" w:type="pct"/>
            <w:tcBorders>
              <w:top w:val="outset" w:sz="6" w:space="0" w:color="414142"/>
              <w:left w:val="outset" w:sz="6" w:space="0" w:color="414142"/>
              <w:bottom w:val="outset" w:sz="6" w:space="0" w:color="414142"/>
              <w:right w:val="outset" w:sz="6" w:space="0" w:color="414142"/>
            </w:tcBorders>
          </w:tcPr>
          <w:p w14:paraId="3B57E2B5"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4.</w:t>
            </w:r>
          </w:p>
        </w:tc>
        <w:tc>
          <w:tcPr>
            <w:tcW w:w="1476" w:type="pct"/>
            <w:gridSpan w:val="3"/>
            <w:tcBorders>
              <w:top w:val="outset" w:sz="6" w:space="0" w:color="414142"/>
              <w:left w:val="outset" w:sz="6" w:space="0" w:color="414142"/>
              <w:bottom w:val="outset" w:sz="6" w:space="0" w:color="414142"/>
              <w:right w:val="outset" w:sz="6" w:space="0" w:color="414142"/>
            </w:tcBorders>
          </w:tcPr>
          <w:p w14:paraId="35A11D8F"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Cita informācija</w:t>
            </w:r>
          </w:p>
        </w:tc>
        <w:tc>
          <w:tcPr>
            <w:tcW w:w="3406" w:type="pct"/>
            <w:gridSpan w:val="4"/>
            <w:tcBorders>
              <w:top w:val="outset" w:sz="6" w:space="0" w:color="414142"/>
              <w:left w:val="outset" w:sz="6" w:space="0" w:color="414142"/>
              <w:bottom w:val="outset" w:sz="6" w:space="0" w:color="414142"/>
              <w:right w:val="single" w:sz="4" w:space="0" w:color="auto"/>
            </w:tcBorders>
          </w:tcPr>
          <w:p w14:paraId="00F7CEB2" w14:textId="77777777" w:rsidR="008752D4" w:rsidRPr="00647904" w:rsidRDefault="008752D4" w:rsidP="009D3716">
            <w:pPr>
              <w:spacing w:after="0" w:line="240" w:lineRule="auto"/>
              <w:ind w:firstLine="510"/>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Nav</w:t>
            </w:r>
          </w:p>
        </w:tc>
      </w:tr>
      <w:tr w:rsidR="008752D4" w:rsidRPr="00647904" w14:paraId="28476555" w14:textId="77777777" w:rsidTr="00D2174F">
        <w:trPr>
          <w:trHeight w:val="345"/>
        </w:trPr>
        <w:tc>
          <w:tcPr>
            <w:tcW w:w="5000" w:type="pct"/>
            <w:gridSpan w:val="8"/>
            <w:tcBorders>
              <w:top w:val="dotted" w:sz="2" w:space="0" w:color="auto"/>
              <w:left w:val="nil"/>
              <w:bottom w:val="nil"/>
              <w:right w:val="nil"/>
            </w:tcBorders>
          </w:tcPr>
          <w:p w14:paraId="5EBC2F09" w14:textId="77777777" w:rsidR="007A16A5" w:rsidRDefault="007A16A5" w:rsidP="005B430B">
            <w:pPr>
              <w:spacing w:after="0" w:line="240" w:lineRule="auto"/>
              <w:rPr>
                <w:rFonts w:ascii="Times New Roman" w:eastAsia="Times New Roman" w:hAnsi="Times New Roman"/>
                <w:color w:val="000000"/>
                <w:sz w:val="24"/>
                <w:szCs w:val="24"/>
                <w:lang w:eastAsia="lv-LV"/>
              </w:rPr>
            </w:pPr>
          </w:p>
          <w:p w14:paraId="368F088A" w14:textId="77777777" w:rsidR="0079260D" w:rsidRPr="00647904" w:rsidRDefault="0079260D" w:rsidP="005B430B">
            <w:pPr>
              <w:spacing w:after="0" w:line="240" w:lineRule="auto"/>
              <w:rPr>
                <w:rFonts w:ascii="Times New Roman" w:eastAsia="Times New Roman" w:hAnsi="Times New Roman"/>
                <w:color w:val="000000"/>
                <w:sz w:val="24"/>
                <w:szCs w:val="24"/>
                <w:lang w:eastAsia="lv-LV"/>
              </w:rPr>
            </w:pPr>
          </w:p>
        </w:tc>
      </w:tr>
      <w:tr w:rsidR="00FF5347" w:rsidRPr="005F50FF" w14:paraId="47777CB9"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8"/>
        </w:trPr>
        <w:tc>
          <w:tcPr>
            <w:tcW w:w="5000" w:type="pct"/>
            <w:gridSpan w:val="8"/>
          </w:tcPr>
          <w:p w14:paraId="68CACF16" w14:textId="77777777" w:rsidR="00FF5347" w:rsidRPr="00C50440" w:rsidRDefault="00FF5347" w:rsidP="000C30E2">
            <w:pPr>
              <w:pStyle w:val="naisnod"/>
              <w:spacing w:before="0" w:after="0"/>
              <w:rPr>
                <w:i/>
              </w:rPr>
            </w:pPr>
            <w:r w:rsidRPr="00C50440">
              <w:lastRenderedPageBreak/>
              <w:br w:type="page"/>
              <w:t>III. Tiesību akta projekta ietekme uz valsts budžetu un pašvaldību budžetiem</w:t>
            </w:r>
          </w:p>
        </w:tc>
      </w:tr>
      <w:tr w:rsidR="00FF5347" w:rsidRPr="005F50FF" w14:paraId="61948157"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
        </w:trPr>
        <w:tc>
          <w:tcPr>
            <w:tcW w:w="880" w:type="pct"/>
            <w:gridSpan w:val="2"/>
            <w:vMerge w:val="restart"/>
            <w:vAlign w:val="center"/>
          </w:tcPr>
          <w:p w14:paraId="4DF8971A" w14:textId="77777777" w:rsidR="00FF5347" w:rsidRPr="00C50440" w:rsidRDefault="00FF5347" w:rsidP="000C30E2">
            <w:pPr>
              <w:pStyle w:val="naisf"/>
              <w:spacing w:before="0" w:after="0"/>
              <w:ind w:firstLine="0"/>
              <w:jc w:val="center"/>
              <w:rPr>
                <w:b/>
              </w:rPr>
            </w:pPr>
            <w:r w:rsidRPr="00C50440">
              <w:rPr>
                <w:b/>
              </w:rPr>
              <w:t>Rādītāji</w:t>
            </w:r>
          </w:p>
        </w:tc>
        <w:tc>
          <w:tcPr>
            <w:tcW w:w="1512" w:type="pct"/>
            <w:gridSpan w:val="3"/>
            <w:vMerge w:val="restart"/>
            <w:vAlign w:val="center"/>
          </w:tcPr>
          <w:p w14:paraId="54C9AEBD" w14:textId="77777777" w:rsidR="00FF5347" w:rsidRPr="00C50440" w:rsidRDefault="00FF5347" w:rsidP="000C30E2">
            <w:pPr>
              <w:pStyle w:val="naisf"/>
              <w:spacing w:before="0" w:after="0"/>
              <w:ind w:firstLine="0"/>
              <w:jc w:val="center"/>
              <w:rPr>
                <w:b/>
              </w:rPr>
            </w:pPr>
            <w:r>
              <w:rPr>
                <w:b/>
              </w:rPr>
              <w:t>2016</w:t>
            </w:r>
          </w:p>
        </w:tc>
        <w:tc>
          <w:tcPr>
            <w:tcW w:w="2608" w:type="pct"/>
            <w:gridSpan w:val="3"/>
            <w:vAlign w:val="center"/>
          </w:tcPr>
          <w:p w14:paraId="584170E2" w14:textId="77777777" w:rsidR="00FF5347" w:rsidRPr="00C50440" w:rsidRDefault="00FF5347" w:rsidP="000C30E2">
            <w:pPr>
              <w:pStyle w:val="naisf"/>
              <w:spacing w:before="0" w:after="0"/>
              <w:ind w:firstLine="0"/>
              <w:jc w:val="center"/>
              <w:rPr>
                <w:b/>
                <w:i/>
              </w:rPr>
            </w:pPr>
            <w:r w:rsidRPr="00C50440">
              <w:t>Turpmākie trīs gadi (EUR)</w:t>
            </w:r>
          </w:p>
        </w:tc>
      </w:tr>
      <w:tr w:rsidR="00FF5347" w:rsidRPr="005F50FF" w14:paraId="50747324"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
        </w:trPr>
        <w:tc>
          <w:tcPr>
            <w:tcW w:w="880" w:type="pct"/>
            <w:gridSpan w:val="2"/>
            <w:vMerge/>
            <w:vAlign w:val="center"/>
          </w:tcPr>
          <w:p w14:paraId="1932CE62" w14:textId="77777777" w:rsidR="00FF5347" w:rsidRPr="005F50FF" w:rsidRDefault="00FF5347" w:rsidP="000C30E2">
            <w:pPr>
              <w:pStyle w:val="naisf"/>
              <w:spacing w:before="0" w:after="0"/>
              <w:ind w:firstLine="0"/>
              <w:jc w:val="center"/>
              <w:rPr>
                <w:b/>
                <w:i/>
                <w:sz w:val="22"/>
                <w:szCs w:val="22"/>
              </w:rPr>
            </w:pPr>
          </w:p>
        </w:tc>
        <w:tc>
          <w:tcPr>
            <w:tcW w:w="1512" w:type="pct"/>
            <w:gridSpan w:val="3"/>
            <w:vMerge/>
            <w:vAlign w:val="center"/>
          </w:tcPr>
          <w:p w14:paraId="4D244F08" w14:textId="77777777" w:rsidR="00FF5347" w:rsidRPr="00C50440" w:rsidRDefault="00FF5347" w:rsidP="000C30E2">
            <w:pPr>
              <w:pStyle w:val="naisf"/>
              <w:spacing w:before="0" w:after="0"/>
              <w:ind w:firstLine="0"/>
              <w:jc w:val="center"/>
              <w:rPr>
                <w:b/>
                <w:i/>
              </w:rPr>
            </w:pPr>
          </w:p>
        </w:tc>
        <w:tc>
          <w:tcPr>
            <w:tcW w:w="795" w:type="pct"/>
            <w:vAlign w:val="center"/>
          </w:tcPr>
          <w:p w14:paraId="04F8C00D" w14:textId="77777777" w:rsidR="00FF5347" w:rsidRPr="00C50440" w:rsidRDefault="00FF5347" w:rsidP="000C30E2">
            <w:pPr>
              <w:pStyle w:val="naisf"/>
              <w:spacing w:before="0" w:after="0"/>
              <w:ind w:firstLine="0"/>
              <w:jc w:val="center"/>
              <w:rPr>
                <w:b/>
                <w:i/>
              </w:rPr>
            </w:pPr>
            <w:r w:rsidRPr="00C50440">
              <w:rPr>
                <w:b/>
                <w:bCs/>
              </w:rPr>
              <w:t>201</w:t>
            </w:r>
            <w:r>
              <w:rPr>
                <w:b/>
                <w:bCs/>
              </w:rPr>
              <w:t>7</w:t>
            </w:r>
          </w:p>
        </w:tc>
        <w:tc>
          <w:tcPr>
            <w:tcW w:w="875" w:type="pct"/>
            <w:vAlign w:val="center"/>
          </w:tcPr>
          <w:p w14:paraId="55EC538A" w14:textId="77777777" w:rsidR="00FF5347" w:rsidRPr="00C50440" w:rsidRDefault="00FF5347" w:rsidP="000C30E2">
            <w:pPr>
              <w:pStyle w:val="naisf"/>
              <w:spacing w:before="0" w:after="0"/>
              <w:ind w:firstLine="0"/>
              <w:jc w:val="center"/>
              <w:rPr>
                <w:b/>
                <w:i/>
              </w:rPr>
            </w:pPr>
            <w:r w:rsidRPr="00C50440">
              <w:rPr>
                <w:b/>
                <w:bCs/>
              </w:rPr>
              <w:t>201</w:t>
            </w:r>
            <w:r>
              <w:rPr>
                <w:b/>
                <w:bCs/>
              </w:rPr>
              <w:t>8</w:t>
            </w:r>
          </w:p>
        </w:tc>
        <w:tc>
          <w:tcPr>
            <w:tcW w:w="938" w:type="pct"/>
            <w:vAlign w:val="center"/>
          </w:tcPr>
          <w:p w14:paraId="664DC466" w14:textId="77777777" w:rsidR="00FF5347" w:rsidRPr="00C50440" w:rsidRDefault="00FF5347" w:rsidP="000C30E2">
            <w:pPr>
              <w:pStyle w:val="naisf"/>
              <w:spacing w:before="0" w:after="0"/>
              <w:ind w:firstLine="0"/>
              <w:jc w:val="center"/>
              <w:rPr>
                <w:b/>
                <w:i/>
              </w:rPr>
            </w:pPr>
            <w:r w:rsidRPr="00C50440">
              <w:rPr>
                <w:b/>
                <w:bCs/>
              </w:rPr>
              <w:t>201</w:t>
            </w:r>
            <w:r>
              <w:rPr>
                <w:b/>
                <w:bCs/>
              </w:rPr>
              <w:t>9</w:t>
            </w:r>
          </w:p>
        </w:tc>
      </w:tr>
      <w:tr w:rsidR="00FF5347" w:rsidRPr="005F50FF" w14:paraId="07541980"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
        </w:trPr>
        <w:tc>
          <w:tcPr>
            <w:tcW w:w="880" w:type="pct"/>
            <w:gridSpan w:val="2"/>
            <w:vMerge/>
            <w:vAlign w:val="center"/>
          </w:tcPr>
          <w:p w14:paraId="1E72101C" w14:textId="77777777" w:rsidR="00FF5347" w:rsidRPr="005F50FF" w:rsidRDefault="00FF5347" w:rsidP="000C30E2">
            <w:pPr>
              <w:pStyle w:val="naisf"/>
              <w:spacing w:before="0" w:after="0"/>
              <w:ind w:firstLine="0"/>
              <w:jc w:val="center"/>
              <w:rPr>
                <w:b/>
                <w:i/>
                <w:sz w:val="22"/>
                <w:szCs w:val="22"/>
              </w:rPr>
            </w:pPr>
          </w:p>
        </w:tc>
        <w:tc>
          <w:tcPr>
            <w:tcW w:w="700" w:type="pct"/>
            <w:vAlign w:val="center"/>
          </w:tcPr>
          <w:p w14:paraId="18E0C875" w14:textId="77777777" w:rsidR="00FF5347" w:rsidRPr="00C50440" w:rsidRDefault="00FF5347" w:rsidP="000C30E2">
            <w:pPr>
              <w:pStyle w:val="naisf"/>
              <w:spacing w:before="0" w:after="0"/>
              <w:ind w:firstLine="0"/>
              <w:jc w:val="center"/>
              <w:rPr>
                <w:b/>
                <w:i/>
              </w:rPr>
            </w:pPr>
            <w:r w:rsidRPr="00C50440">
              <w:t>Saskaņā ar valsts budžetu kārtējam gadam</w:t>
            </w:r>
          </w:p>
        </w:tc>
        <w:tc>
          <w:tcPr>
            <w:tcW w:w="812" w:type="pct"/>
            <w:gridSpan w:val="2"/>
            <w:vAlign w:val="center"/>
          </w:tcPr>
          <w:p w14:paraId="0276F285" w14:textId="77777777" w:rsidR="00FF5347" w:rsidRPr="00C50440" w:rsidRDefault="00FF5347" w:rsidP="000C30E2">
            <w:pPr>
              <w:pStyle w:val="naisf"/>
              <w:spacing w:before="0" w:after="0"/>
              <w:ind w:firstLine="0"/>
              <w:jc w:val="center"/>
              <w:rPr>
                <w:b/>
                <w:i/>
              </w:rPr>
            </w:pPr>
            <w:r w:rsidRPr="00C50440">
              <w:t>Izmaiņas kārtējā gadā, salīdzinot ar budžetu kārtējam gadam</w:t>
            </w:r>
          </w:p>
        </w:tc>
        <w:tc>
          <w:tcPr>
            <w:tcW w:w="795" w:type="pct"/>
            <w:vAlign w:val="center"/>
          </w:tcPr>
          <w:p w14:paraId="28428CC5" w14:textId="77777777" w:rsidR="00FF5347" w:rsidRPr="00C50440" w:rsidRDefault="00FF5347" w:rsidP="000C30E2">
            <w:pPr>
              <w:pStyle w:val="naisf"/>
              <w:spacing w:before="0" w:after="0"/>
              <w:ind w:firstLine="0"/>
              <w:jc w:val="center"/>
              <w:rPr>
                <w:b/>
                <w:i/>
              </w:rPr>
            </w:pPr>
            <w:r w:rsidRPr="00C50440">
              <w:t xml:space="preserve">Izmaiņas, salīdzinot ar kārtējo </w:t>
            </w:r>
            <w:r>
              <w:t>2016.</w:t>
            </w:r>
            <w:r w:rsidRPr="00C50440">
              <w:t xml:space="preserve"> gadu</w:t>
            </w:r>
          </w:p>
        </w:tc>
        <w:tc>
          <w:tcPr>
            <w:tcW w:w="875" w:type="pct"/>
            <w:vAlign w:val="center"/>
          </w:tcPr>
          <w:p w14:paraId="1C1F1ABE" w14:textId="77777777" w:rsidR="00FF5347" w:rsidRPr="00C50440" w:rsidRDefault="00FF5347" w:rsidP="000C30E2">
            <w:pPr>
              <w:pStyle w:val="naisf"/>
              <w:spacing w:before="0" w:after="0"/>
              <w:ind w:firstLine="0"/>
              <w:jc w:val="center"/>
              <w:rPr>
                <w:b/>
                <w:i/>
              </w:rPr>
            </w:pPr>
            <w:r w:rsidRPr="00C50440">
              <w:t xml:space="preserve">Izmaiņas, salīdzinot ar kārtējo </w:t>
            </w:r>
            <w:r>
              <w:t>2016.</w:t>
            </w:r>
            <w:r w:rsidRPr="00C50440">
              <w:t xml:space="preserve"> gadu</w:t>
            </w:r>
          </w:p>
        </w:tc>
        <w:tc>
          <w:tcPr>
            <w:tcW w:w="938" w:type="pct"/>
            <w:vAlign w:val="center"/>
          </w:tcPr>
          <w:p w14:paraId="7051A5D7" w14:textId="77777777" w:rsidR="00FF5347" w:rsidRPr="00C50440" w:rsidRDefault="00FF5347" w:rsidP="000C30E2">
            <w:pPr>
              <w:pStyle w:val="naisf"/>
              <w:spacing w:before="0" w:after="0"/>
              <w:ind w:firstLine="0"/>
              <w:jc w:val="center"/>
              <w:rPr>
                <w:b/>
                <w:i/>
              </w:rPr>
            </w:pPr>
            <w:r w:rsidRPr="00C50440">
              <w:t xml:space="preserve">Izmaiņas, salīdzinot ar kārtējo </w:t>
            </w:r>
            <w:r>
              <w:t>2016.</w:t>
            </w:r>
            <w:r w:rsidRPr="00C50440">
              <w:t xml:space="preserve"> gadu</w:t>
            </w:r>
          </w:p>
        </w:tc>
      </w:tr>
      <w:tr w:rsidR="00FF5347" w:rsidRPr="005F50FF" w14:paraId="5D2B6B1C"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
        </w:trPr>
        <w:tc>
          <w:tcPr>
            <w:tcW w:w="880" w:type="pct"/>
            <w:gridSpan w:val="2"/>
            <w:vAlign w:val="center"/>
          </w:tcPr>
          <w:p w14:paraId="406308A9" w14:textId="77777777" w:rsidR="00FF5347" w:rsidRPr="005F50FF" w:rsidRDefault="00FF5347" w:rsidP="000C30E2">
            <w:pPr>
              <w:pStyle w:val="naisf"/>
              <w:spacing w:before="0" w:after="0"/>
              <w:ind w:firstLine="0"/>
              <w:jc w:val="center"/>
              <w:rPr>
                <w:bCs/>
                <w:sz w:val="22"/>
                <w:szCs w:val="22"/>
              </w:rPr>
            </w:pPr>
            <w:r w:rsidRPr="005F50FF">
              <w:rPr>
                <w:bCs/>
                <w:sz w:val="22"/>
                <w:szCs w:val="22"/>
              </w:rPr>
              <w:t>1</w:t>
            </w:r>
          </w:p>
        </w:tc>
        <w:tc>
          <w:tcPr>
            <w:tcW w:w="700" w:type="pct"/>
            <w:vAlign w:val="center"/>
          </w:tcPr>
          <w:p w14:paraId="325007F9" w14:textId="77777777" w:rsidR="00FF5347" w:rsidRPr="005F50FF" w:rsidRDefault="00FF5347" w:rsidP="000C30E2">
            <w:pPr>
              <w:pStyle w:val="naisf"/>
              <w:spacing w:before="0" w:after="0"/>
              <w:ind w:firstLine="0"/>
              <w:jc w:val="center"/>
              <w:rPr>
                <w:bCs/>
                <w:sz w:val="22"/>
                <w:szCs w:val="22"/>
              </w:rPr>
            </w:pPr>
            <w:r w:rsidRPr="005F50FF">
              <w:rPr>
                <w:bCs/>
                <w:sz w:val="22"/>
                <w:szCs w:val="22"/>
              </w:rPr>
              <w:t>2</w:t>
            </w:r>
          </w:p>
        </w:tc>
        <w:tc>
          <w:tcPr>
            <w:tcW w:w="812" w:type="pct"/>
            <w:gridSpan w:val="2"/>
            <w:vAlign w:val="center"/>
          </w:tcPr>
          <w:p w14:paraId="434EA75C" w14:textId="77777777" w:rsidR="00FF5347" w:rsidRPr="005F50FF" w:rsidRDefault="00FF5347" w:rsidP="000C30E2">
            <w:pPr>
              <w:pStyle w:val="naisf"/>
              <w:spacing w:before="0" w:after="0"/>
              <w:ind w:firstLine="0"/>
              <w:jc w:val="center"/>
              <w:rPr>
                <w:bCs/>
                <w:sz w:val="22"/>
                <w:szCs w:val="22"/>
              </w:rPr>
            </w:pPr>
            <w:r w:rsidRPr="005F50FF">
              <w:rPr>
                <w:bCs/>
                <w:sz w:val="22"/>
                <w:szCs w:val="22"/>
              </w:rPr>
              <w:t>3</w:t>
            </w:r>
          </w:p>
        </w:tc>
        <w:tc>
          <w:tcPr>
            <w:tcW w:w="795" w:type="pct"/>
            <w:vAlign w:val="center"/>
          </w:tcPr>
          <w:p w14:paraId="3B774E56" w14:textId="77777777" w:rsidR="00FF5347" w:rsidRPr="005F50FF" w:rsidRDefault="00FF5347" w:rsidP="000C30E2">
            <w:pPr>
              <w:pStyle w:val="naisf"/>
              <w:spacing w:before="0" w:after="0"/>
              <w:ind w:firstLine="0"/>
              <w:jc w:val="center"/>
              <w:rPr>
                <w:bCs/>
                <w:sz w:val="22"/>
                <w:szCs w:val="22"/>
              </w:rPr>
            </w:pPr>
            <w:r w:rsidRPr="005F50FF">
              <w:rPr>
                <w:bCs/>
                <w:sz w:val="22"/>
                <w:szCs w:val="22"/>
              </w:rPr>
              <w:t>4</w:t>
            </w:r>
          </w:p>
        </w:tc>
        <w:tc>
          <w:tcPr>
            <w:tcW w:w="875" w:type="pct"/>
            <w:vAlign w:val="center"/>
          </w:tcPr>
          <w:p w14:paraId="6B0511E1" w14:textId="77777777" w:rsidR="00FF5347" w:rsidRPr="005F50FF" w:rsidRDefault="00FF5347" w:rsidP="000C30E2">
            <w:pPr>
              <w:pStyle w:val="naisf"/>
              <w:spacing w:before="0" w:after="0"/>
              <w:ind w:firstLine="0"/>
              <w:jc w:val="center"/>
              <w:rPr>
                <w:bCs/>
                <w:sz w:val="22"/>
                <w:szCs w:val="22"/>
              </w:rPr>
            </w:pPr>
            <w:r w:rsidRPr="005F50FF">
              <w:rPr>
                <w:bCs/>
                <w:sz w:val="22"/>
                <w:szCs w:val="22"/>
              </w:rPr>
              <w:t>5</w:t>
            </w:r>
          </w:p>
        </w:tc>
        <w:tc>
          <w:tcPr>
            <w:tcW w:w="938" w:type="pct"/>
            <w:vAlign w:val="center"/>
          </w:tcPr>
          <w:p w14:paraId="3C8BE05F" w14:textId="77777777" w:rsidR="00FF5347" w:rsidRPr="005F50FF" w:rsidRDefault="00FF5347" w:rsidP="000C30E2">
            <w:pPr>
              <w:pStyle w:val="naisf"/>
              <w:spacing w:before="0" w:after="0"/>
              <w:ind w:firstLine="0"/>
              <w:jc w:val="center"/>
              <w:rPr>
                <w:bCs/>
                <w:sz w:val="22"/>
                <w:szCs w:val="22"/>
              </w:rPr>
            </w:pPr>
            <w:r w:rsidRPr="005F50FF">
              <w:rPr>
                <w:bCs/>
                <w:sz w:val="22"/>
                <w:szCs w:val="22"/>
              </w:rPr>
              <w:t>6</w:t>
            </w:r>
          </w:p>
        </w:tc>
      </w:tr>
      <w:tr w:rsidR="00FF5347" w:rsidRPr="005F50FF" w14:paraId="721DC036"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
        </w:trPr>
        <w:tc>
          <w:tcPr>
            <w:tcW w:w="880" w:type="pct"/>
            <w:gridSpan w:val="2"/>
          </w:tcPr>
          <w:p w14:paraId="65B8FFC4" w14:textId="77777777" w:rsidR="00FF5347" w:rsidRPr="00FF5347" w:rsidRDefault="00FF5347" w:rsidP="000C30E2">
            <w:pPr>
              <w:pStyle w:val="naisf"/>
              <w:spacing w:before="0" w:after="0"/>
              <w:ind w:firstLine="0"/>
              <w:rPr>
                <w:i/>
              </w:rPr>
            </w:pPr>
            <w:r w:rsidRPr="00FF5347">
              <w:t>1. Budžeta ieņēmumi:</w:t>
            </w:r>
          </w:p>
        </w:tc>
        <w:tc>
          <w:tcPr>
            <w:tcW w:w="700" w:type="pct"/>
            <w:vAlign w:val="center"/>
          </w:tcPr>
          <w:p w14:paraId="0538DFF1" w14:textId="77777777" w:rsidR="00FF5347" w:rsidRPr="0082152F" w:rsidRDefault="00FF5347" w:rsidP="000C30E2">
            <w:pPr>
              <w:pStyle w:val="naisf"/>
              <w:spacing w:before="0" w:after="0"/>
              <w:ind w:firstLine="0"/>
              <w:jc w:val="center"/>
            </w:pPr>
            <w:r w:rsidRPr="0082152F">
              <w:t>48 602 981</w:t>
            </w:r>
          </w:p>
        </w:tc>
        <w:tc>
          <w:tcPr>
            <w:tcW w:w="812" w:type="pct"/>
            <w:gridSpan w:val="2"/>
            <w:vAlign w:val="center"/>
          </w:tcPr>
          <w:p w14:paraId="71F3DCF1" w14:textId="77777777" w:rsidR="00FF5347" w:rsidRPr="0082152F" w:rsidRDefault="00FF5347" w:rsidP="000C30E2">
            <w:pPr>
              <w:pStyle w:val="naisf"/>
              <w:spacing w:before="0" w:after="0"/>
              <w:ind w:firstLine="0"/>
              <w:jc w:val="center"/>
            </w:pPr>
          </w:p>
        </w:tc>
        <w:tc>
          <w:tcPr>
            <w:tcW w:w="795" w:type="pct"/>
            <w:vAlign w:val="center"/>
          </w:tcPr>
          <w:p w14:paraId="336FF2D3" w14:textId="77777777" w:rsidR="00FF5347" w:rsidRPr="00FF5347" w:rsidRDefault="00FF5347" w:rsidP="000C30E2">
            <w:pPr>
              <w:pStyle w:val="naisf"/>
              <w:spacing w:before="0" w:after="0"/>
              <w:ind w:firstLine="0"/>
              <w:jc w:val="center"/>
            </w:pPr>
            <w:r w:rsidRPr="00FF5347">
              <w:t>-42 889</w:t>
            </w:r>
          </w:p>
        </w:tc>
        <w:tc>
          <w:tcPr>
            <w:tcW w:w="875" w:type="pct"/>
            <w:vAlign w:val="center"/>
          </w:tcPr>
          <w:p w14:paraId="68C36A6E" w14:textId="77777777" w:rsidR="00FF5347" w:rsidRPr="00FF5347" w:rsidRDefault="00FF5347" w:rsidP="000C30E2">
            <w:pPr>
              <w:pStyle w:val="naisf"/>
              <w:spacing w:before="0" w:after="0"/>
              <w:ind w:firstLine="0"/>
              <w:jc w:val="center"/>
            </w:pPr>
            <w:r w:rsidRPr="00FF5347">
              <w:t>-42 889</w:t>
            </w:r>
          </w:p>
        </w:tc>
        <w:tc>
          <w:tcPr>
            <w:tcW w:w="938" w:type="pct"/>
            <w:vAlign w:val="center"/>
          </w:tcPr>
          <w:p w14:paraId="2BD6FFBD" w14:textId="77777777" w:rsidR="00FF5347" w:rsidRPr="00FF5347" w:rsidRDefault="00FF5347" w:rsidP="000C30E2">
            <w:pPr>
              <w:pStyle w:val="naisf"/>
              <w:spacing w:before="0" w:after="0"/>
              <w:ind w:firstLine="0"/>
              <w:jc w:val="center"/>
            </w:pPr>
            <w:r w:rsidRPr="00FF5347">
              <w:t>-42 889</w:t>
            </w:r>
          </w:p>
        </w:tc>
      </w:tr>
      <w:tr w:rsidR="00FF5347" w:rsidRPr="005F50FF" w14:paraId="5F8DBDF6"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
        </w:trPr>
        <w:tc>
          <w:tcPr>
            <w:tcW w:w="880" w:type="pct"/>
            <w:gridSpan w:val="2"/>
          </w:tcPr>
          <w:p w14:paraId="7A63CD8D" w14:textId="77777777" w:rsidR="00FF5347" w:rsidRPr="00FF5347" w:rsidRDefault="00FF5347" w:rsidP="000C30E2">
            <w:pPr>
              <w:pStyle w:val="naisf"/>
              <w:spacing w:before="0" w:after="0"/>
              <w:ind w:firstLine="0"/>
              <w:rPr>
                <w:i/>
              </w:rPr>
            </w:pPr>
            <w:r w:rsidRPr="00FF5347">
              <w:t>1.1. valsts pamatbudžets, tai skaitā ieņēmumi no maksas pakalpojumiem un citi pašu ieņēmumi</w:t>
            </w:r>
          </w:p>
        </w:tc>
        <w:tc>
          <w:tcPr>
            <w:tcW w:w="700" w:type="pct"/>
            <w:vAlign w:val="center"/>
          </w:tcPr>
          <w:p w14:paraId="61D196AD" w14:textId="77777777" w:rsidR="00FF5347" w:rsidRPr="0082152F" w:rsidRDefault="00FF5347" w:rsidP="000C30E2">
            <w:pPr>
              <w:pStyle w:val="naisf"/>
              <w:spacing w:before="0" w:after="0"/>
              <w:ind w:firstLine="0"/>
              <w:jc w:val="center"/>
            </w:pPr>
            <w:r w:rsidRPr="0082152F">
              <w:t>48 602 981</w:t>
            </w:r>
          </w:p>
        </w:tc>
        <w:tc>
          <w:tcPr>
            <w:tcW w:w="812" w:type="pct"/>
            <w:gridSpan w:val="2"/>
            <w:vAlign w:val="center"/>
          </w:tcPr>
          <w:p w14:paraId="408E5FD0" w14:textId="77777777" w:rsidR="00FF5347" w:rsidRPr="0082152F" w:rsidRDefault="00FF5347" w:rsidP="000C30E2">
            <w:pPr>
              <w:pStyle w:val="naisf"/>
              <w:spacing w:before="0" w:after="0"/>
              <w:ind w:firstLine="0"/>
              <w:jc w:val="center"/>
            </w:pPr>
          </w:p>
        </w:tc>
        <w:tc>
          <w:tcPr>
            <w:tcW w:w="795" w:type="pct"/>
            <w:vAlign w:val="center"/>
          </w:tcPr>
          <w:p w14:paraId="30FE76CB" w14:textId="77777777" w:rsidR="00FF5347" w:rsidRPr="00FF5347" w:rsidRDefault="00FF5347" w:rsidP="000C30E2">
            <w:pPr>
              <w:pStyle w:val="naisf"/>
              <w:spacing w:before="0" w:after="0"/>
              <w:ind w:firstLine="0"/>
              <w:jc w:val="center"/>
            </w:pPr>
            <w:r w:rsidRPr="00FF5347">
              <w:t>-42 889</w:t>
            </w:r>
          </w:p>
        </w:tc>
        <w:tc>
          <w:tcPr>
            <w:tcW w:w="875" w:type="pct"/>
            <w:vAlign w:val="center"/>
          </w:tcPr>
          <w:p w14:paraId="2D20277C" w14:textId="77777777" w:rsidR="00FF5347" w:rsidRPr="00FF5347" w:rsidRDefault="00FF5347" w:rsidP="000C30E2">
            <w:pPr>
              <w:pStyle w:val="naisf"/>
              <w:spacing w:before="0" w:after="0"/>
              <w:ind w:firstLine="0"/>
              <w:jc w:val="center"/>
            </w:pPr>
            <w:r w:rsidRPr="00FF5347">
              <w:t>-42 889</w:t>
            </w:r>
          </w:p>
        </w:tc>
        <w:tc>
          <w:tcPr>
            <w:tcW w:w="938" w:type="pct"/>
            <w:vAlign w:val="center"/>
          </w:tcPr>
          <w:p w14:paraId="45977C70" w14:textId="77777777" w:rsidR="00FF5347" w:rsidRPr="00FF5347" w:rsidRDefault="00FF5347" w:rsidP="000C30E2">
            <w:pPr>
              <w:pStyle w:val="naisf"/>
              <w:spacing w:before="0" w:after="0"/>
              <w:ind w:firstLine="0"/>
              <w:jc w:val="center"/>
            </w:pPr>
            <w:r w:rsidRPr="00FF5347">
              <w:t>-42 889</w:t>
            </w:r>
          </w:p>
        </w:tc>
      </w:tr>
      <w:tr w:rsidR="00FF5347" w:rsidRPr="005F50FF" w14:paraId="32884DA4"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
        </w:trPr>
        <w:tc>
          <w:tcPr>
            <w:tcW w:w="880" w:type="pct"/>
            <w:gridSpan w:val="2"/>
          </w:tcPr>
          <w:p w14:paraId="5BBD6813" w14:textId="77777777" w:rsidR="00FF5347" w:rsidRPr="00FF5347" w:rsidRDefault="00FF5347" w:rsidP="000C30E2">
            <w:pPr>
              <w:pStyle w:val="naisf"/>
              <w:spacing w:before="0" w:after="0"/>
              <w:ind w:firstLine="0"/>
              <w:rPr>
                <w:i/>
              </w:rPr>
            </w:pPr>
            <w:r w:rsidRPr="00FF5347">
              <w:t>1.2. valsts speciālais budžets</w:t>
            </w:r>
          </w:p>
        </w:tc>
        <w:tc>
          <w:tcPr>
            <w:tcW w:w="700" w:type="pct"/>
            <w:vAlign w:val="center"/>
          </w:tcPr>
          <w:p w14:paraId="0C4E755A" w14:textId="77777777" w:rsidR="00FF5347" w:rsidRPr="0082152F" w:rsidRDefault="00FF5347" w:rsidP="000C30E2">
            <w:pPr>
              <w:pStyle w:val="naisf"/>
              <w:spacing w:before="0" w:after="0"/>
              <w:ind w:firstLine="0"/>
              <w:jc w:val="center"/>
            </w:pPr>
          </w:p>
        </w:tc>
        <w:tc>
          <w:tcPr>
            <w:tcW w:w="812" w:type="pct"/>
            <w:gridSpan w:val="2"/>
            <w:vAlign w:val="center"/>
          </w:tcPr>
          <w:p w14:paraId="38F8A602" w14:textId="77777777" w:rsidR="00FF5347" w:rsidRPr="0082152F" w:rsidRDefault="00FF5347" w:rsidP="000C30E2">
            <w:pPr>
              <w:pStyle w:val="naisf"/>
              <w:spacing w:before="0" w:after="0"/>
              <w:ind w:firstLine="0"/>
              <w:jc w:val="center"/>
            </w:pPr>
          </w:p>
        </w:tc>
        <w:tc>
          <w:tcPr>
            <w:tcW w:w="795" w:type="pct"/>
            <w:vAlign w:val="center"/>
          </w:tcPr>
          <w:p w14:paraId="360569ED" w14:textId="77777777" w:rsidR="00FF5347" w:rsidRPr="00FF5347" w:rsidRDefault="00FF5347" w:rsidP="000C30E2">
            <w:pPr>
              <w:pStyle w:val="naisf"/>
              <w:spacing w:before="0" w:after="0"/>
              <w:ind w:firstLine="0"/>
              <w:jc w:val="center"/>
            </w:pPr>
          </w:p>
        </w:tc>
        <w:tc>
          <w:tcPr>
            <w:tcW w:w="875" w:type="pct"/>
            <w:vAlign w:val="center"/>
          </w:tcPr>
          <w:p w14:paraId="08BD82B7" w14:textId="77777777" w:rsidR="00FF5347" w:rsidRPr="00FF5347" w:rsidRDefault="00FF5347" w:rsidP="000C30E2">
            <w:pPr>
              <w:pStyle w:val="naisf"/>
              <w:spacing w:before="0" w:after="0"/>
              <w:ind w:firstLine="0"/>
              <w:jc w:val="center"/>
            </w:pPr>
          </w:p>
        </w:tc>
        <w:tc>
          <w:tcPr>
            <w:tcW w:w="938" w:type="pct"/>
            <w:vAlign w:val="center"/>
          </w:tcPr>
          <w:p w14:paraId="694C633F" w14:textId="77777777" w:rsidR="00FF5347" w:rsidRPr="00FF5347" w:rsidRDefault="00FF5347" w:rsidP="000C30E2">
            <w:pPr>
              <w:pStyle w:val="naisf"/>
              <w:spacing w:before="0" w:after="0"/>
              <w:ind w:firstLine="0"/>
              <w:jc w:val="center"/>
            </w:pPr>
          </w:p>
        </w:tc>
      </w:tr>
      <w:tr w:rsidR="00FF5347" w:rsidRPr="005F50FF" w14:paraId="51225E70"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2"/>
        </w:trPr>
        <w:tc>
          <w:tcPr>
            <w:tcW w:w="880" w:type="pct"/>
            <w:gridSpan w:val="2"/>
          </w:tcPr>
          <w:p w14:paraId="321759AE" w14:textId="77777777" w:rsidR="00FF5347" w:rsidRPr="00FF5347" w:rsidRDefault="00FF5347" w:rsidP="000C30E2">
            <w:pPr>
              <w:pStyle w:val="naisf"/>
              <w:spacing w:before="0" w:after="0"/>
              <w:ind w:firstLine="0"/>
              <w:rPr>
                <w:i/>
              </w:rPr>
            </w:pPr>
            <w:r w:rsidRPr="00FF5347">
              <w:t>1.3. pašvaldību budžets</w:t>
            </w:r>
          </w:p>
        </w:tc>
        <w:tc>
          <w:tcPr>
            <w:tcW w:w="700" w:type="pct"/>
            <w:vAlign w:val="center"/>
          </w:tcPr>
          <w:p w14:paraId="44D83E87" w14:textId="77777777" w:rsidR="00FF5347" w:rsidRPr="0082152F" w:rsidRDefault="00FF5347" w:rsidP="000C30E2">
            <w:pPr>
              <w:pStyle w:val="naisf"/>
              <w:spacing w:before="0" w:after="0"/>
              <w:ind w:firstLine="0"/>
              <w:jc w:val="center"/>
            </w:pPr>
          </w:p>
        </w:tc>
        <w:tc>
          <w:tcPr>
            <w:tcW w:w="812" w:type="pct"/>
            <w:gridSpan w:val="2"/>
            <w:vAlign w:val="center"/>
          </w:tcPr>
          <w:p w14:paraId="36E3A479" w14:textId="77777777" w:rsidR="00FF5347" w:rsidRPr="0082152F" w:rsidRDefault="00FF5347" w:rsidP="000C30E2">
            <w:pPr>
              <w:pStyle w:val="naisf"/>
              <w:spacing w:before="0" w:after="0"/>
              <w:ind w:firstLine="0"/>
              <w:jc w:val="center"/>
            </w:pPr>
          </w:p>
        </w:tc>
        <w:tc>
          <w:tcPr>
            <w:tcW w:w="795" w:type="pct"/>
            <w:vAlign w:val="center"/>
          </w:tcPr>
          <w:p w14:paraId="56299138" w14:textId="77777777" w:rsidR="00FF5347" w:rsidRPr="00FF5347" w:rsidRDefault="00FF5347" w:rsidP="000C30E2">
            <w:pPr>
              <w:pStyle w:val="naisf"/>
              <w:spacing w:before="0" w:after="0"/>
              <w:ind w:firstLine="0"/>
              <w:jc w:val="center"/>
            </w:pPr>
          </w:p>
        </w:tc>
        <w:tc>
          <w:tcPr>
            <w:tcW w:w="875" w:type="pct"/>
            <w:vAlign w:val="center"/>
          </w:tcPr>
          <w:p w14:paraId="13B4F454" w14:textId="77777777" w:rsidR="00FF5347" w:rsidRPr="00FF5347" w:rsidRDefault="00FF5347" w:rsidP="000C30E2">
            <w:pPr>
              <w:pStyle w:val="naisf"/>
              <w:spacing w:before="0" w:after="0"/>
              <w:ind w:firstLine="0"/>
              <w:jc w:val="center"/>
            </w:pPr>
          </w:p>
        </w:tc>
        <w:tc>
          <w:tcPr>
            <w:tcW w:w="938" w:type="pct"/>
            <w:vAlign w:val="center"/>
          </w:tcPr>
          <w:p w14:paraId="200DEBF8" w14:textId="77777777" w:rsidR="00FF5347" w:rsidRPr="00FF5347" w:rsidRDefault="00FF5347" w:rsidP="000C30E2">
            <w:pPr>
              <w:pStyle w:val="naisf"/>
              <w:spacing w:before="0" w:after="0"/>
              <w:ind w:firstLine="0"/>
              <w:jc w:val="center"/>
            </w:pPr>
          </w:p>
        </w:tc>
      </w:tr>
      <w:tr w:rsidR="00FF5347" w:rsidRPr="005F50FF" w14:paraId="451D84A0"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2E8DC442"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2. Budžeta izdevumi:</w:t>
            </w:r>
          </w:p>
        </w:tc>
        <w:tc>
          <w:tcPr>
            <w:tcW w:w="700" w:type="pct"/>
            <w:vAlign w:val="center"/>
          </w:tcPr>
          <w:p w14:paraId="0FAEDC17" w14:textId="77777777" w:rsidR="00FF5347" w:rsidRPr="0082152F" w:rsidRDefault="00FF5347" w:rsidP="000C30E2">
            <w:pPr>
              <w:pStyle w:val="naisf"/>
              <w:spacing w:before="0" w:after="0"/>
              <w:ind w:firstLine="0"/>
              <w:jc w:val="center"/>
            </w:pPr>
            <w:r w:rsidRPr="0082152F">
              <w:t>48 602 981</w:t>
            </w:r>
          </w:p>
        </w:tc>
        <w:tc>
          <w:tcPr>
            <w:tcW w:w="812" w:type="pct"/>
            <w:gridSpan w:val="2"/>
            <w:vAlign w:val="center"/>
          </w:tcPr>
          <w:p w14:paraId="423E161A" w14:textId="77777777" w:rsidR="00FF5347" w:rsidRPr="0082152F" w:rsidRDefault="00FF5347" w:rsidP="000C30E2">
            <w:pPr>
              <w:jc w:val="center"/>
              <w:rPr>
                <w:rFonts w:ascii="Times New Roman" w:hAnsi="Times New Roman"/>
                <w:sz w:val="24"/>
                <w:szCs w:val="24"/>
              </w:rPr>
            </w:pPr>
          </w:p>
        </w:tc>
        <w:tc>
          <w:tcPr>
            <w:tcW w:w="795" w:type="pct"/>
            <w:vAlign w:val="center"/>
          </w:tcPr>
          <w:p w14:paraId="62E2C2AD" w14:textId="77777777" w:rsidR="00FF5347" w:rsidRPr="00FF5347" w:rsidRDefault="00FF5347" w:rsidP="000C30E2">
            <w:pPr>
              <w:pStyle w:val="naisf"/>
              <w:spacing w:before="0" w:after="0"/>
              <w:ind w:firstLine="0"/>
              <w:jc w:val="center"/>
            </w:pPr>
            <w:r w:rsidRPr="00FF5347">
              <w:t>-42 889</w:t>
            </w:r>
          </w:p>
        </w:tc>
        <w:tc>
          <w:tcPr>
            <w:tcW w:w="875" w:type="pct"/>
            <w:vAlign w:val="center"/>
          </w:tcPr>
          <w:p w14:paraId="305361E2" w14:textId="77777777" w:rsidR="00FF5347" w:rsidRPr="00FF5347" w:rsidRDefault="00FF5347" w:rsidP="000C30E2">
            <w:pPr>
              <w:pStyle w:val="naisf"/>
              <w:spacing w:before="0" w:after="0"/>
              <w:ind w:firstLine="0"/>
              <w:jc w:val="center"/>
            </w:pPr>
            <w:r w:rsidRPr="00FF5347">
              <w:t>-42 889</w:t>
            </w:r>
          </w:p>
        </w:tc>
        <w:tc>
          <w:tcPr>
            <w:tcW w:w="938" w:type="pct"/>
            <w:vAlign w:val="center"/>
          </w:tcPr>
          <w:p w14:paraId="09DED852" w14:textId="77777777" w:rsidR="00FF5347" w:rsidRPr="00FF5347" w:rsidRDefault="00FF5347" w:rsidP="000C30E2">
            <w:pPr>
              <w:pStyle w:val="naisf"/>
              <w:spacing w:before="0" w:after="0"/>
              <w:ind w:firstLine="0"/>
              <w:jc w:val="center"/>
            </w:pPr>
            <w:r w:rsidRPr="00FF5347">
              <w:t>-42 889</w:t>
            </w:r>
          </w:p>
        </w:tc>
      </w:tr>
      <w:tr w:rsidR="00FF5347" w:rsidRPr="005F50FF" w14:paraId="41649180"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1875C8DE"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2.1. valsts pamatbudžets</w:t>
            </w:r>
          </w:p>
        </w:tc>
        <w:tc>
          <w:tcPr>
            <w:tcW w:w="700" w:type="pct"/>
            <w:vAlign w:val="center"/>
          </w:tcPr>
          <w:p w14:paraId="79A79ED9" w14:textId="77777777" w:rsidR="00FF5347" w:rsidRPr="0082152F" w:rsidRDefault="00FF5347" w:rsidP="000C30E2">
            <w:pPr>
              <w:pStyle w:val="naisf"/>
              <w:spacing w:before="0" w:after="0"/>
              <w:ind w:firstLine="0"/>
              <w:jc w:val="center"/>
            </w:pPr>
            <w:r w:rsidRPr="0082152F">
              <w:t>48 602 981</w:t>
            </w:r>
          </w:p>
        </w:tc>
        <w:tc>
          <w:tcPr>
            <w:tcW w:w="812" w:type="pct"/>
            <w:gridSpan w:val="2"/>
            <w:vAlign w:val="center"/>
          </w:tcPr>
          <w:p w14:paraId="2E85DF7F" w14:textId="77777777" w:rsidR="00FF5347" w:rsidRPr="0082152F" w:rsidRDefault="00FF5347" w:rsidP="000C30E2">
            <w:pPr>
              <w:pStyle w:val="naisf"/>
              <w:spacing w:before="0" w:after="0"/>
              <w:ind w:firstLine="0"/>
              <w:jc w:val="center"/>
            </w:pPr>
          </w:p>
        </w:tc>
        <w:tc>
          <w:tcPr>
            <w:tcW w:w="795" w:type="pct"/>
            <w:vAlign w:val="center"/>
          </w:tcPr>
          <w:p w14:paraId="60DBDDEE" w14:textId="77777777" w:rsidR="00FF5347" w:rsidRPr="00FF5347" w:rsidRDefault="00FF5347" w:rsidP="000C30E2">
            <w:pPr>
              <w:pStyle w:val="naisf"/>
              <w:spacing w:before="0" w:after="0"/>
              <w:ind w:firstLine="0"/>
              <w:jc w:val="center"/>
            </w:pPr>
            <w:r w:rsidRPr="00FF5347">
              <w:t>-42 889</w:t>
            </w:r>
          </w:p>
        </w:tc>
        <w:tc>
          <w:tcPr>
            <w:tcW w:w="875" w:type="pct"/>
            <w:vAlign w:val="center"/>
          </w:tcPr>
          <w:p w14:paraId="6DDDE8A5" w14:textId="77777777" w:rsidR="00FF5347" w:rsidRPr="00FF5347" w:rsidRDefault="00FF5347" w:rsidP="000C30E2">
            <w:pPr>
              <w:pStyle w:val="naisf"/>
              <w:spacing w:before="0" w:after="0"/>
              <w:ind w:firstLine="0"/>
              <w:jc w:val="center"/>
            </w:pPr>
            <w:r w:rsidRPr="00FF5347">
              <w:t>-42 889</w:t>
            </w:r>
          </w:p>
        </w:tc>
        <w:tc>
          <w:tcPr>
            <w:tcW w:w="938" w:type="pct"/>
            <w:vAlign w:val="center"/>
          </w:tcPr>
          <w:p w14:paraId="75330570" w14:textId="77777777" w:rsidR="00FF5347" w:rsidRPr="00FF5347" w:rsidRDefault="00FF5347" w:rsidP="000C30E2">
            <w:pPr>
              <w:pStyle w:val="naisf"/>
              <w:spacing w:before="0" w:after="0"/>
              <w:ind w:firstLine="0"/>
              <w:jc w:val="center"/>
            </w:pPr>
            <w:r w:rsidRPr="00FF5347">
              <w:t>-42 889</w:t>
            </w:r>
          </w:p>
        </w:tc>
      </w:tr>
      <w:tr w:rsidR="00FF5347" w:rsidRPr="005F50FF" w14:paraId="60339214"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
        </w:trPr>
        <w:tc>
          <w:tcPr>
            <w:tcW w:w="880" w:type="pct"/>
            <w:gridSpan w:val="2"/>
          </w:tcPr>
          <w:p w14:paraId="4A2EA00F"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2.2. valsts speciālais budžets</w:t>
            </w:r>
          </w:p>
        </w:tc>
        <w:tc>
          <w:tcPr>
            <w:tcW w:w="700" w:type="pct"/>
            <w:vAlign w:val="center"/>
          </w:tcPr>
          <w:p w14:paraId="79BF4101" w14:textId="77777777" w:rsidR="00FF5347" w:rsidRPr="00FF5347" w:rsidRDefault="00FF5347" w:rsidP="000C30E2">
            <w:pPr>
              <w:pStyle w:val="naisf"/>
              <w:spacing w:before="0" w:after="0"/>
              <w:ind w:firstLine="0"/>
              <w:jc w:val="center"/>
            </w:pPr>
          </w:p>
        </w:tc>
        <w:tc>
          <w:tcPr>
            <w:tcW w:w="812" w:type="pct"/>
            <w:gridSpan w:val="2"/>
            <w:vAlign w:val="center"/>
          </w:tcPr>
          <w:p w14:paraId="392DB03C" w14:textId="77777777" w:rsidR="00FF5347" w:rsidRPr="00FF5347" w:rsidRDefault="00FF5347" w:rsidP="000C30E2">
            <w:pPr>
              <w:pStyle w:val="naisf"/>
              <w:spacing w:before="0" w:after="0"/>
              <w:ind w:firstLine="0"/>
              <w:jc w:val="center"/>
            </w:pPr>
          </w:p>
        </w:tc>
        <w:tc>
          <w:tcPr>
            <w:tcW w:w="795" w:type="pct"/>
            <w:vAlign w:val="center"/>
          </w:tcPr>
          <w:p w14:paraId="28CEC4CA" w14:textId="77777777" w:rsidR="00FF5347" w:rsidRPr="00FF5347" w:rsidRDefault="00FF5347" w:rsidP="000C30E2">
            <w:pPr>
              <w:pStyle w:val="naisf"/>
              <w:spacing w:before="0" w:after="0"/>
              <w:ind w:firstLine="0"/>
              <w:jc w:val="center"/>
            </w:pPr>
          </w:p>
        </w:tc>
        <w:tc>
          <w:tcPr>
            <w:tcW w:w="875" w:type="pct"/>
            <w:vAlign w:val="center"/>
          </w:tcPr>
          <w:p w14:paraId="1F604ECE" w14:textId="77777777" w:rsidR="00FF5347" w:rsidRPr="00FF5347" w:rsidRDefault="00FF5347" w:rsidP="000C30E2">
            <w:pPr>
              <w:pStyle w:val="naisf"/>
              <w:spacing w:before="0" w:after="0"/>
              <w:ind w:firstLine="0"/>
              <w:jc w:val="center"/>
            </w:pPr>
          </w:p>
        </w:tc>
        <w:tc>
          <w:tcPr>
            <w:tcW w:w="938" w:type="pct"/>
            <w:vAlign w:val="center"/>
          </w:tcPr>
          <w:p w14:paraId="4CBBEB02" w14:textId="77777777" w:rsidR="00FF5347" w:rsidRPr="00FF5347" w:rsidRDefault="00FF5347" w:rsidP="000C30E2">
            <w:pPr>
              <w:pStyle w:val="naisf"/>
              <w:spacing w:before="0" w:after="0"/>
              <w:ind w:firstLine="0"/>
              <w:jc w:val="center"/>
            </w:pPr>
          </w:p>
        </w:tc>
      </w:tr>
      <w:tr w:rsidR="00FF5347" w:rsidRPr="005F50FF" w14:paraId="1ED37BAD"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2"/>
        </w:trPr>
        <w:tc>
          <w:tcPr>
            <w:tcW w:w="880" w:type="pct"/>
            <w:gridSpan w:val="2"/>
          </w:tcPr>
          <w:p w14:paraId="3577E7C0"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 xml:space="preserve">2.3. pašvaldību budžets </w:t>
            </w:r>
          </w:p>
        </w:tc>
        <w:tc>
          <w:tcPr>
            <w:tcW w:w="700" w:type="pct"/>
            <w:vAlign w:val="center"/>
          </w:tcPr>
          <w:p w14:paraId="54028C76" w14:textId="77777777" w:rsidR="00FF5347" w:rsidRPr="00FF5347" w:rsidRDefault="00FF5347" w:rsidP="000C30E2">
            <w:pPr>
              <w:pStyle w:val="naisf"/>
              <w:spacing w:before="0" w:after="0"/>
              <w:ind w:firstLine="0"/>
              <w:jc w:val="center"/>
            </w:pPr>
          </w:p>
        </w:tc>
        <w:tc>
          <w:tcPr>
            <w:tcW w:w="812" w:type="pct"/>
            <w:gridSpan w:val="2"/>
            <w:vAlign w:val="center"/>
          </w:tcPr>
          <w:p w14:paraId="00D3714C" w14:textId="77777777" w:rsidR="00FF5347" w:rsidRPr="00FF5347" w:rsidRDefault="00FF5347" w:rsidP="000C30E2">
            <w:pPr>
              <w:pStyle w:val="naisf"/>
              <w:spacing w:before="0" w:after="0"/>
              <w:ind w:firstLine="0"/>
              <w:jc w:val="center"/>
            </w:pPr>
          </w:p>
        </w:tc>
        <w:tc>
          <w:tcPr>
            <w:tcW w:w="795" w:type="pct"/>
            <w:vAlign w:val="center"/>
          </w:tcPr>
          <w:p w14:paraId="4AAE2FB3" w14:textId="77777777" w:rsidR="00FF5347" w:rsidRPr="00FF5347" w:rsidRDefault="00FF5347" w:rsidP="000C30E2">
            <w:pPr>
              <w:pStyle w:val="naisf"/>
              <w:spacing w:before="0" w:after="0"/>
              <w:ind w:firstLine="0"/>
              <w:jc w:val="center"/>
            </w:pPr>
          </w:p>
        </w:tc>
        <w:tc>
          <w:tcPr>
            <w:tcW w:w="875" w:type="pct"/>
            <w:vAlign w:val="center"/>
          </w:tcPr>
          <w:p w14:paraId="1768BD9F" w14:textId="77777777" w:rsidR="00FF5347" w:rsidRPr="00FF5347" w:rsidRDefault="00FF5347" w:rsidP="000C30E2">
            <w:pPr>
              <w:pStyle w:val="naisf"/>
              <w:spacing w:before="0" w:after="0"/>
              <w:ind w:firstLine="0"/>
              <w:jc w:val="center"/>
            </w:pPr>
          </w:p>
        </w:tc>
        <w:tc>
          <w:tcPr>
            <w:tcW w:w="938" w:type="pct"/>
            <w:vAlign w:val="center"/>
          </w:tcPr>
          <w:p w14:paraId="283F48AA" w14:textId="77777777" w:rsidR="00FF5347" w:rsidRPr="00FF5347" w:rsidRDefault="00FF5347" w:rsidP="000C30E2">
            <w:pPr>
              <w:pStyle w:val="naisf"/>
              <w:spacing w:before="0" w:after="0"/>
              <w:ind w:firstLine="0"/>
              <w:jc w:val="center"/>
            </w:pPr>
          </w:p>
        </w:tc>
      </w:tr>
      <w:tr w:rsidR="00FF5347" w:rsidRPr="005F50FF" w14:paraId="3D0014C0"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323C4E20"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3. Finansiālā ietekme:</w:t>
            </w:r>
          </w:p>
        </w:tc>
        <w:tc>
          <w:tcPr>
            <w:tcW w:w="700" w:type="pct"/>
            <w:shd w:val="clear" w:color="auto" w:fill="auto"/>
            <w:vAlign w:val="center"/>
          </w:tcPr>
          <w:p w14:paraId="4E8DF6E5" w14:textId="77777777" w:rsidR="00FF5347" w:rsidRPr="00FF5347" w:rsidRDefault="00FF5347" w:rsidP="000C30E2">
            <w:pPr>
              <w:pStyle w:val="naisf"/>
              <w:spacing w:before="0" w:after="0"/>
              <w:ind w:firstLine="0"/>
              <w:jc w:val="center"/>
            </w:pPr>
            <w:r w:rsidRPr="00FF5347">
              <w:t>0</w:t>
            </w:r>
          </w:p>
        </w:tc>
        <w:tc>
          <w:tcPr>
            <w:tcW w:w="812" w:type="pct"/>
            <w:gridSpan w:val="2"/>
            <w:vAlign w:val="center"/>
          </w:tcPr>
          <w:p w14:paraId="37457DCB" w14:textId="77777777" w:rsidR="00FF5347" w:rsidRPr="00FF5347" w:rsidRDefault="00FF5347" w:rsidP="000C30E2">
            <w:pPr>
              <w:pStyle w:val="naisf"/>
              <w:spacing w:before="0" w:after="0"/>
              <w:ind w:firstLine="0"/>
              <w:jc w:val="center"/>
              <w:rPr>
                <w:b/>
                <w:i/>
              </w:rPr>
            </w:pPr>
          </w:p>
        </w:tc>
        <w:tc>
          <w:tcPr>
            <w:tcW w:w="795" w:type="pct"/>
            <w:vAlign w:val="center"/>
          </w:tcPr>
          <w:p w14:paraId="7FF79CF9" w14:textId="77777777" w:rsidR="00FF5347" w:rsidRPr="00FF5347" w:rsidRDefault="00FF5347" w:rsidP="000C30E2">
            <w:pPr>
              <w:jc w:val="center"/>
              <w:rPr>
                <w:rFonts w:ascii="Times New Roman" w:hAnsi="Times New Roman"/>
                <w:sz w:val="24"/>
                <w:szCs w:val="24"/>
              </w:rPr>
            </w:pPr>
            <w:r w:rsidRPr="00FF5347">
              <w:rPr>
                <w:rFonts w:ascii="Times New Roman" w:hAnsi="Times New Roman"/>
                <w:sz w:val="24"/>
                <w:szCs w:val="24"/>
              </w:rPr>
              <w:t>0</w:t>
            </w:r>
          </w:p>
        </w:tc>
        <w:tc>
          <w:tcPr>
            <w:tcW w:w="875" w:type="pct"/>
            <w:vAlign w:val="center"/>
          </w:tcPr>
          <w:p w14:paraId="594E008E" w14:textId="77777777" w:rsidR="00FF5347" w:rsidRPr="00FF5347" w:rsidRDefault="00FF5347" w:rsidP="000C30E2">
            <w:pPr>
              <w:jc w:val="center"/>
              <w:rPr>
                <w:rFonts w:ascii="Times New Roman" w:hAnsi="Times New Roman"/>
                <w:sz w:val="24"/>
                <w:szCs w:val="24"/>
              </w:rPr>
            </w:pPr>
            <w:r w:rsidRPr="00FF5347">
              <w:rPr>
                <w:rFonts w:ascii="Times New Roman" w:hAnsi="Times New Roman"/>
                <w:sz w:val="24"/>
                <w:szCs w:val="24"/>
              </w:rPr>
              <w:t>0</w:t>
            </w:r>
          </w:p>
        </w:tc>
        <w:tc>
          <w:tcPr>
            <w:tcW w:w="938" w:type="pct"/>
            <w:vAlign w:val="center"/>
          </w:tcPr>
          <w:p w14:paraId="20782A6B" w14:textId="77777777" w:rsidR="00FF5347" w:rsidRPr="00FF5347" w:rsidRDefault="00FF5347" w:rsidP="000C30E2">
            <w:pPr>
              <w:jc w:val="center"/>
              <w:rPr>
                <w:rFonts w:ascii="Times New Roman" w:hAnsi="Times New Roman"/>
                <w:sz w:val="24"/>
                <w:szCs w:val="24"/>
              </w:rPr>
            </w:pPr>
            <w:r w:rsidRPr="00FF5347">
              <w:rPr>
                <w:rFonts w:ascii="Times New Roman" w:hAnsi="Times New Roman"/>
                <w:sz w:val="24"/>
                <w:szCs w:val="24"/>
              </w:rPr>
              <w:t>0</w:t>
            </w:r>
          </w:p>
        </w:tc>
      </w:tr>
      <w:tr w:rsidR="00FF5347" w:rsidRPr="005F50FF" w14:paraId="733F5995"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4728E756"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3.1. valsts pamatbudžets</w:t>
            </w:r>
          </w:p>
        </w:tc>
        <w:tc>
          <w:tcPr>
            <w:tcW w:w="700" w:type="pct"/>
            <w:shd w:val="clear" w:color="auto" w:fill="auto"/>
            <w:vAlign w:val="center"/>
          </w:tcPr>
          <w:p w14:paraId="073FA311" w14:textId="77777777" w:rsidR="00FF5347" w:rsidRPr="00FF5347" w:rsidRDefault="00FF5347" w:rsidP="000C30E2">
            <w:pPr>
              <w:pStyle w:val="naisf"/>
              <w:spacing w:before="0" w:after="0"/>
              <w:ind w:firstLine="0"/>
              <w:jc w:val="center"/>
            </w:pPr>
          </w:p>
        </w:tc>
        <w:tc>
          <w:tcPr>
            <w:tcW w:w="812" w:type="pct"/>
            <w:gridSpan w:val="2"/>
            <w:vAlign w:val="center"/>
          </w:tcPr>
          <w:p w14:paraId="2F5F67F8" w14:textId="77777777" w:rsidR="00FF5347" w:rsidRPr="00FF5347" w:rsidRDefault="00FF5347" w:rsidP="000C30E2">
            <w:pPr>
              <w:pStyle w:val="naisf"/>
              <w:spacing w:before="0" w:after="0"/>
              <w:ind w:firstLine="0"/>
              <w:jc w:val="center"/>
            </w:pPr>
          </w:p>
        </w:tc>
        <w:tc>
          <w:tcPr>
            <w:tcW w:w="795" w:type="pct"/>
            <w:vAlign w:val="center"/>
          </w:tcPr>
          <w:p w14:paraId="7A244FAF" w14:textId="77777777" w:rsidR="00FF5347" w:rsidRPr="00FF5347" w:rsidRDefault="00FF5347" w:rsidP="000C30E2">
            <w:pPr>
              <w:pStyle w:val="naisf"/>
              <w:spacing w:before="0" w:after="0"/>
              <w:ind w:firstLine="0"/>
              <w:jc w:val="center"/>
            </w:pPr>
          </w:p>
        </w:tc>
        <w:tc>
          <w:tcPr>
            <w:tcW w:w="875" w:type="pct"/>
            <w:vAlign w:val="center"/>
          </w:tcPr>
          <w:p w14:paraId="5E11EE6C" w14:textId="77777777" w:rsidR="00FF5347" w:rsidRPr="00FF5347" w:rsidRDefault="00FF5347" w:rsidP="000C30E2">
            <w:pPr>
              <w:pStyle w:val="naisf"/>
              <w:spacing w:before="0" w:after="0"/>
              <w:ind w:firstLine="0"/>
              <w:jc w:val="center"/>
            </w:pPr>
          </w:p>
        </w:tc>
        <w:tc>
          <w:tcPr>
            <w:tcW w:w="938" w:type="pct"/>
            <w:vAlign w:val="center"/>
          </w:tcPr>
          <w:p w14:paraId="70F49D31" w14:textId="77777777" w:rsidR="00FF5347" w:rsidRPr="00FF5347" w:rsidRDefault="00FF5347" w:rsidP="000C30E2">
            <w:pPr>
              <w:pStyle w:val="naisf"/>
              <w:spacing w:before="0" w:after="0"/>
              <w:ind w:firstLine="0"/>
              <w:jc w:val="center"/>
            </w:pPr>
          </w:p>
        </w:tc>
      </w:tr>
      <w:tr w:rsidR="00FF5347" w:rsidRPr="005F50FF" w14:paraId="47E8D502"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605CA1D6"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 xml:space="preserve">3.2. speciālais </w:t>
            </w:r>
            <w:r w:rsidRPr="00FF5347">
              <w:rPr>
                <w:rFonts w:ascii="Times New Roman" w:hAnsi="Times New Roman"/>
                <w:sz w:val="24"/>
                <w:szCs w:val="24"/>
              </w:rPr>
              <w:lastRenderedPageBreak/>
              <w:t>budžets</w:t>
            </w:r>
          </w:p>
        </w:tc>
        <w:tc>
          <w:tcPr>
            <w:tcW w:w="700" w:type="pct"/>
            <w:shd w:val="clear" w:color="auto" w:fill="auto"/>
            <w:vAlign w:val="center"/>
          </w:tcPr>
          <w:p w14:paraId="5CB9808F" w14:textId="77777777" w:rsidR="00FF5347" w:rsidRPr="00FF5347" w:rsidRDefault="00FF5347" w:rsidP="000C30E2">
            <w:pPr>
              <w:pStyle w:val="naisf"/>
              <w:spacing w:before="0" w:after="0"/>
              <w:ind w:firstLine="0"/>
              <w:jc w:val="center"/>
              <w:rPr>
                <w:i/>
              </w:rPr>
            </w:pPr>
          </w:p>
        </w:tc>
        <w:tc>
          <w:tcPr>
            <w:tcW w:w="812" w:type="pct"/>
            <w:gridSpan w:val="2"/>
            <w:vAlign w:val="center"/>
          </w:tcPr>
          <w:p w14:paraId="5385C46A" w14:textId="77777777" w:rsidR="00FF5347" w:rsidRPr="00FF5347" w:rsidRDefault="00FF5347" w:rsidP="000C30E2">
            <w:pPr>
              <w:pStyle w:val="naisf"/>
              <w:spacing w:before="0" w:after="0"/>
              <w:ind w:firstLine="0"/>
              <w:jc w:val="center"/>
              <w:rPr>
                <w:b/>
                <w:i/>
              </w:rPr>
            </w:pPr>
          </w:p>
        </w:tc>
        <w:tc>
          <w:tcPr>
            <w:tcW w:w="795" w:type="pct"/>
            <w:vAlign w:val="center"/>
          </w:tcPr>
          <w:p w14:paraId="4DCD07E0" w14:textId="77777777" w:rsidR="00FF5347" w:rsidRPr="00FF5347" w:rsidRDefault="00FF5347" w:rsidP="000C30E2">
            <w:pPr>
              <w:pStyle w:val="naisf"/>
              <w:spacing w:before="0" w:after="0"/>
              <w:ind w:firstLine="0"/>
              <w:jc w:val="center"/>
              <w:rPr>
                <w:b/>
                <w:i/>
              </w:rPr>
            </w:pPr>
          </w:p>
        </w:tc>
        <w:tc>
          <w:tcPr>
            <w:tcW w:w="875" w:type="pct"/>
            <w:vAlign w:val="center"/>
          </w:tcPr>
          <w:p w14:paraId="4DB3EF65" w14:textId="77777777" w:rsidR="00FF5347" w:rsidRPr="00FF5347" w:rsidRDefault="00FF5347" w:rsidP="000C30E2">
            <w:pPr>
              <w:pStyle w:val="naisf"/>
              <w:spacing w:before="0" w:after="0"/>
              <w:ind w:firstLine="0"/>
              <w:jc w:val="center"/>
              <w:rPr>
                <w:b/>
                <w:i/>
              </w:rPr>
            </w:pPr>
          </w:p>
        </w:tc>
        <w:tc>
          <w:tcPr>
            <w:tcW w:w="938" w:type="pct"/>
            <w:vAlign w:val="center"/>
          </w:tcPr>
          <w:p w14:paraId="0AF3D96D" w14:textId="77777777" w:rsidR="00FF5347" w:rsidRPr="00FF5347" w:rsidRDefault="00FF5347" w:rsidP="000C30E2">
            <w:pPr>
              <w:pStyle w:val="naisf"/>
              <w:spacing w:before="0" w:after="0"/>
              <w:ind w:firstLine="0"/>
              <w:jc w:val="center"/>
              <w:rPr>
                <w:b/>
                <w:i/>
              </w:rPr>
            </w:pPr>
          </w:p>
        </w:tc>
      </w:tr>
      <w:tr w:rsidR="00FF5347" w:rsidRPr="005F50FF" w14:paraId="36AC6637"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2"/>
        </w:trPr>
        <w:tc>
          <w:tcPr>
            <w:tcW w:w="880" w:type="pct"/>
            <w:gridSpan w:val="2"/>
          </w:tcPr>
          <w:p w14:paraId="4A408039"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lastRenderedPageBreak/>
              <w:t xml:space="preserve">3.3. pašvaldību budžets </w:t>
            </w:r>
          </w:p>
        </w:tc>
        <w:tc>
          <w:tcPr>
            <w:tcW w:w="700" w:type="pct"/>
            <w:shd w:val="clear" w:color="auto" w:fill="auto"/>
            <w:vAlign w:val="center"/>
          </w:tcPr>
          <w:p w14:paraId="2783E406" w14:textId="77777777" w:rsidR="00FF5347" w:rsidRPr="00FF5347" w:rsidRDefault="00FF5347" w:rsidP="000C30E2">
            <w:pPr>
              <w:pStyle w:val="naisf"/>
              <w:spacing w:before="0" w:after="0"/>
              <w:ind w:firstLine="0"/>
              <w:jc w:val="center"/>
            </w:pPr>
          </w:p>
        </w:tc>
        <w:tc>
          <w:tcPr>
            <w:tcW w:w="812" w:type="pct"/>
            <w:gridSpan w:val="2"/>
            <w:vAlign w:val="center"/>
          </w:tcPr>
          <w:p w14:paraId="09CF8171" w14:textId="77777777" w:rsidR="00FF5347" w:rsidRPr="00FF5347" w:rsidRDefault="00FF5347" w:rsidP="000C30E2">
            <w:pPr>
              <w:pStyle w:val="naisf"/>
              <w:spacing w:before="0" w:after="0"/>
              <w:ind w:firstLine="0"/>
              <w:jc w:val="center"/>
            </w:pPr>
          </w:p>
        </w:tc>
        <w:tc>
          <w:tcPr>
            <w:tcW w:w="795" w:type="pct"/>
            <w:vAlign w:val="center"/>
          </w:tcPr>
          <w:p w14:paraId="78A5758F" w14:textId="77777777" w:rsidR="00FF5347" w:rsidRPr="00FF5347" w:rsidRDefault="00FF5347" w:rsidP="000C30E2">
            <w:pPr>
              <w:pStyle w:val="naisf"/>
              <w:spacing w:before="0" w:after="0"/>
              <w:ind w:firstLine="0"/>
              <w:jc w:val="center"/>
            </w:pPr>
          </w:p>
        </w:tc>
        <w:tc>
          <w:tcPr>
            <w:tcW w:w="875" w:type="pct"/>
            <w:vAlign w:val="center"/>
          </w:tcPr>
          <w:p w14:paraId="7E9BE0E9" w14:textId="77777777" w:rsidR="00FF5347" w:rsidRPr="00FF5347" w:rsidRDefault="00FF5347" w:rsidP="000C30E2">
            <w:pPr>
              <w:pStyle w:val="naisf"/>
              <w:spacing w:before="0" w:after="0"/>
              <w:ind w:firstLine="0"/>
              <w:jc w:val="center"/>
            </w:pPr>
          </w:p>
        </w:tc>
        <w:tc>
          <w:tcPr>
            <w:tcW w:w="938" w:type="pct"/>
            <w:vAlign w:val="center"/>
          </w:tcPr>
          <w:p w14:paraId="3D10557D" w14:textId="77777777" w:rsidR="00FF5347" w:rsidRPr="00FF5347" w:rsidRDefault="00FF5347" w:rsidP="000C30E2">
            <w:pPr>
              <w:pStyle w:val="naisf"/>
              <w:spacing w:before="0" w:after="0"/>
              <w:ind w:firstLine="0"/>
              <w:jc w:val="center"/>
            </w:pPr>
          </w:p>
        </w:tc>
      </w:tr>
      <w:tr w:rsidR="00FF5347" w:rsidRPr="005F50FF" w14:paraId="2F79131D"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72"/>
        </w:trPr>
        <w:tc>
          <w:tcPr>
            <w:tcW w:w="880" w:type="pct"/>
            <w:gridSpan w:val="2"/>
          </w:tcPr>
          <w:p w14:paraId="0EDA229A" w14:textId="3A89C7AB" w:rsidR="00FF5347" w:rsidRPr="00FF5347" w:rsidRDefault="00FF5347" w:rsidP="00FF5347">
            <w:pPr>
              <w:spacing w:after="0" w:line="240" w:lineRule="auto"/>
              <w:rPr>
                <w:rFonts w:ascii="Times New Roman" w:hAnsi="Times New Roman"/>
                <w:sz w:val="24"/>
                <w:szCs w:val="24"/>
              </w:rPr>
            </w:pPr>
            <w:r w:rsidRPr="00FF5347">
              <w:rPr>
                <w:rFonts w:ascii="Times New Roman" w:hAnsi="Times New Roman"/>
                <w:sz w:val="24"/>
                <w:szCs w:val="24"/>
              </w:rPr>
              <w:t>4. Finanšu līdzekļi papildu izdevumu finansēšanai (kompensējošu izdevumu samazinājumu norāda ar "+" zīmi)</w:t>
            </w:r>
          </w:p>
        </w:tc>
        <w:tc>
          <w:tcPr>
            <w:tcW w:w="700" w:type="pct"/>
            <w:vAlign w:val="center"/>
          </w:tcPr>
          <w:p w14:paraId="616E2085" w14:textId="77777777" w:rsidR="00FF5347" w:rsidRPr="00FF5347" w:rsidRDefault="00FF5347" w:rsidP="000C30E2">
            <w:pPr>
              <w:pStyle w:val="naisf"/>
              <w:spacing w:before="0" w:after="0"/>
              <w:ind w:firstLine="0"/>
              <w:jc w:val="center"/>
              <w:rPr>
                <w:i/>
              </w:rPr>
            </w:pPr>
            <w:r w:rsidRPr="00FF5347">
              <w:t>X</w:t>
            </w:r>
          </w:p>
        </w:tc>
        <w:tc>
          <w:tcPr>
            <w:tcW w:w="812" w:type="pct"/>
            <w:gridSpan w:val="2"/>
            <w:vAlign w:val="center"/>
          </w:tcPr>
          <w:p w14:paraId="58E27F75" w14:textId="77777777" w:rsidR="00FF5347" w:rsidRPr="00FF5347" w:rsidRDefault="00FF5347" w:rsidP="000C30E2">
            <w:pPr>
              <w:pStyle w:val="naisf"/>
              <w:ind w:firstLine="0"/>
              <w:jc w:val="center"/>
              <w:rPr>
                <w:b/>
                <w:i/>
              </w:rPr>
            </w:pPr>
          </w:p>
        </w:tc>
        <w:tc>
          <w:tcPr>
            <w:tcW w:w="795" w:type="pct"/>
            <w:vAlign w:val="center"/>
          </w:tcPr>
          <w:p w14:paraId="04408FFD" w14:textId="77777777" w:rsidR="00FF5347" w:rsidRPr="00FF5347" w:rsidRDefault="00FF5347" w:rsidP="000C30E2">
            <w:pPr>
              <w:pStyle w:val="naisf"/>
              <w:ind w:firstLine="0"/>
              <w:jc w:val="center"/>
            </w:pPr>
            <w:r w:rsidRPr="00FF5347">
              <w:t>0</w:t>
            </w:r>
          </w:p>
        </w:tc>
        <w:tc>
          <w:tcPr>
            <w:tcW w:w="875" w:type="pct"/>
            <w:vAlign w:val="center"/>
          </w:tcPr>
          <w:p w14:paraId="3BE08047" w14:textId="77777777" w:rsidR="00FF5347" w:rsidRPr="00FF5347" w:rsidRDefault="00FF5347" w:rsidP="000C30E2">
            <w:pPr>
              <w:pStyle w:val="naisf"/>
              <w:ind w:firstLine="0"/>
              <w:jc w:val="center"/>
            </w:pPr>
            <w:r w:rsidRPr="00FF5347">
              <w:t>0</w:t>
            </w:r>
          </w:p>
        </w:tc>
        <w:tc>
          <w:tcPr>
            <w:tcW w:w="938" w:type="pct"/>
            <w:vAlign w:val="center"/>
          </w:tcPr>
          <w:p w14:paraId="2EA5F371" w14:textId="77777777" w:rsidR="00FF5347" w:rsidRPr="00FF5347" w:rsidRDefault="00FF5347" w:rsidP="000C30E2">
            <w:pPr>
              <w:pStyle w:val="naisf"/>
              <w:ind w:firstLine="0"/>
              <w:jc w:val="center"/>
            </w:pPr>
            <w:r w:rsidRPr="00FF5347">
              <w:t>0</w:t>
            </w:r>
          </w:p>
        </w:tc>
      </w:tr>
      <w:tr w:rsidR="00FF5347" w:rsidRPr="005F50FF" w14:paraId="2C67F9CF"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
        </w:trPr>
        <w:tc>
          <w:tcPr>
            <w:tcW w:w="880" w:type="pct"/>
            <w:gridSpan w:val="2"/>
          </w:tcPr>
          <w:p w14:paraId="52DF09F0"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5. Precizēta finansiālā ietekme:</w:t>
            </w:r>
          </w:p>
        </w:tc>
        <w:tc>
          <w:tcPr>
            <w:tcW w:w="700" w:type="pct"/>
            <w:vMerge w:val="restart"/>
            <w:vAlign w:val="center"/>
          </w:tcPr>
          <w:p w14:paraId="518D2430" w14:textId="77777777" w:rsidR="00FF5347" w:rsidRPr="00FF5347" w:rsidRDefault="00FF5347" w:rsidP="000C30E2">
            <w:pPr>
              <w:pStyle w:val="naisf"/>
              <w:spacing w:before="0" w:after="0"/>
              <w:ind w:firstLine="0"/>
              <w:jc w:val="center"/>
              <w:rPr>
                <w:i/>
              </w:rPr>
            </w:pPr>
            <w:r w:rsidRPr="00FF5347">
              <w:t>X</w:t>
            </w:r>
          </w:p>
        </w:tc>
        <w:tc>
          <w:tcPr>
            <w:tcW w:w="812" w:type="pct"/>
            <w:gridSpan w:val="2"/>
            <w:vAlign w:val="center"/>
          </w:tcPr>
          <w:p w14:paraId="2EB223C6" w14:textId="77777777" w:rsidR="00FF5347" w:rsidRPr="00FF5347" w:rsidRDefault="00FF5347" w:rsidP="000C30E2">
            <w:pPr>
              <w:pStyle w:val="naisf"/>
              <w:spacing w:before="0" w:after="0"/>
              <w:ind w:firstLine="0"/>
              <w:jc w:val="center"/>
            </w:pPr>
          </w:p>
        </w:tc>
        <w:tc>
          <w:tcPr>
            <w:tcW w:w="795" w:type="pct"/>
            <w:vAlign w:val="center"/>
          </w:tcPr>
          <w:p w14:paraId="031330B6" w14:textId="77777777" w:rsidR="00FF5347" w:rsidRPr="00FF5347" w:rsidRDefault="00FF5347" w:rsidP="000C30E2">
            <w:pPr>
              <w:pStyle w:val="naisf"/>
              <w:spacing w:before="0" w:after="0"/>
              <w:ind w:firstLine="0"/>
              <w:jc w:val="center"/>
            </w:pPr>
            <w:r w:rsidRPr="00FF5347">
              <w:t>0</w:t>
            </w:r>
          </w:p>
        </w:tc>
        <w:tc>
          <w:tcPr>
            <w:tcW w:w="875" w:type="pct"/>
            <w:vAlign w:val="center"/>
          </w:tcPr>
          <w:p w14:paraId="12405810" w14:textId="77777777" w:rsidR="00FF5347" w:rsidRPr="00FF5347" w:rsidRDefault="00FF5347" w:rsidP="000C30E2">
            <w:pPr>
              <w:pStyle w:val="naisf"/>
              <w:spacing w:before="0" w:after="0"/>
              <w:ind w:firstLine="0"/>
              <w:jc w:val="center"/>
            </w:pPr>
            <w:r w:rsidRPr="00FF5347">
              <w:t>0</w:t>
            </w:r>
          </w:p>
        </w:tc>
        <w:tc>
          <w:tcPr>
            <w:tcW w:w="938" w:type="pct"/>
            <w:vAlign w:val="center"/>
          </w:tcPr>
          <w:p w14:paraId="497F1C28" w14:textId="77777777" w:rsidR="00FF5347" w:rsidRPr="00FF5347" w:rsidRDefault="00FF5347" w:rsidP="000C30E2">
            <w:pPr>
              <w:pStyle w:val="naisf"/>
              <w:spacing w:before="0" w:after="0"/>
              <w:ind w:firstLine="0"/>
              <w:jc w:val="center"/>
            </w:pPr>
            <w:r w:rsidRPr="00FF5347">
              <w:t>0</w:t>
            </w:r>
          </w:p>
        </w:tc>
      </w:tr>
      <w:tr w:rsidR="00FF5347" w:rsidRPr="005F50FF" w14:paraId="26AF9C0B"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2BE7346C"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5.1. valsts pamatbudžets</w:t>
            </w:r>
          </w:p>
        </w:tc>
        <w:tc>
          <w:tcPr>
            <w:tcW w:w="700" w:type="pct"/>
            <w:vMerge/>
            <w:vAlign w:val="center"/>
          </w:tcPr>
          <w:p w14:paraId="5FD2CBE1" w14:textId="77777777" w:rsidR="00FF5347" w:rsidRPr="00FF5347" w:rsidRDefault="00FF5347" w:rsidP="000C30E2">
            <w:pPr>
              <w:pStyle w:val="naisf"/>
              <w:spacing w:before="0" w:after="0"/>
              <w:ind w:firstLine="0"/>
              <w:jc w:val="center"/>
              <w:rPr>
                <w:i/>
              </w:rPr>
            </w:pPr>
          </w:p>
        </w:tc>
        <w:tc>
          <w:tcPr>
            <w:tcW w:w="812" w:type="pct"/>
            <w:gridSpan w:val="2"/>
            <w:vAlign w:val="center"/>
          </w:tcPr>
          <w:p w14:paraId="34E45CDE" w14:textId="77777777" w:rsidR="00FF5347" w:rsidRPr="00FF5347" w:rsidRDefault="00FF5347" w:rsidP="000C30E2">
            <w:pPr>
              <w:pStyle w:val="naisf"/>
              <w:spacing w:before="0" w:after="0"/>
              <w:ind w:firstLine="0"/>
              <w:jc w:val="center"/>
            </w:pPr>
          </w:p>
        </w:tc>
        <w:tc>
          <w:tcPr>
            <w:tcW w:w="795" w:type="pct"/>
            <w:vAlign w:val="center"/>
          </w:tcPr>
          <w:p w14:paraId="37CB7A3B" w14:textId="77777777" w:rsidR="00FF5347" w:rsidRPr="00FF5347" w:rsidRDefault="00FF5347" w:rsidP="000C30E2">
            <w:pPr>
              <w:pStyle w:val="naisf"/>
              <w:spacing w:before="0" w:after="0"/>
              <w:ind w:firstLine="0"/>
              <w:jc w:val="center"/>
            </w:pPr>
          </w:p>
        </w:tc>
        <w:tc>
          <w:tcPr>
            <w:tcW w:w="875" w:type="pct"/>
            <w:vAlign w:val="center"/>
          </w:tcPr>
          <w:p w14:paraId="141CEB26" w14:textId="77777777" w:rsidR="00FF5347" w:rsidRPr="00FF5347" w:rsidRDefault="00FF5347" w:rsidP="000C30E2">
            <w:pPr>
              <w:pStyle w:val="naisf"/>
              <w:spacing w:before="0" w:after="0"/>
              <w:ind w:firstLine="0"/>
              <w:jc w:val="center"/>
            </w:pPr>
          </w:p>
        </w:tc>
        <w:tc>
          <w:tcPr>
            <w:tcW w:w="938" w:type="pct"/>
            <w:vAlign w:val="center"/>
          </w:tcPr>
          <w:p w14:paraId="3475CFBF" w14:textId="77777777" w:rsidR="00FF5347" w:rsidRPr="00FF5347" w:rsidRDefault="00FF5347" w:rsidP="000C30E2">
            <w:pPr>
              <w:pStyle w:val="naisf"/>
              <w:spacing w:before="0" w:after="0"/>
              <w:ind w:firstLine="0"/>
              <w:jc w:val="center"/>
            </w:pPr>
          </w:p>
        </w:tc>
      </w:tr>
      <w:tr w:rsidR="00FF5347" w:rsidRPr="005F50FF" w14:paraId="4E454CC6"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
        </w:trPr>
        <w:tc>
          <w:tcPr>
            <w:tcW w:w="880" w:type="pct"/>
            <w:gridSpan w:val="2"/>
          </w:tcPr>
          <w:p w14:paraId="3A021AAD"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5.2. speciālais budžets</w:t>
            </w:r>
          </w:p>
        </w:tc>
        <w:tc>
          <w:tcPr>
            <w:tcW w:w="700" w:type="pct"/>
            <w:vMerge/>
            <w:vAlign w:val="center"/>
          </w:tcPr>
          <w:p w14:paraId="7DC64007" w14:textId="77777777" w:rsidR="00FF5347" w:rsidRPr="00FF5347" w:rsidRDefault="00FF5347" w:rsidP="000C30E2">
            <w:pPr>
              <w:pStyle w:val="naisf"/>
              <w:spacing w:before="0" w:after="0"/>
              <w:ind w:firstLine="0"/>
              <w:jc w:val="center"/>
              <w:rPr>
                <w:i/>
              </w:rPr>
            </w:pPr>
          </w:p>
        </w:tc>
        <w:tc>
          <w:tcPr>
            <w:tcW w:w="812" w:type="pct"/>
            <w:gridSpan w:val="2"/>
            <w:vAlign w:val="center"/>
          </w:tcPr>
          <w:p w14:paraId="39933CF0" w14:textId="77777777" w:rsidR="00FF5347" w:rsidRPr="00FF5347" w:rsidRDefault="00FF5347" w:rsidP="000C30E2">
            <w:pPr>
              <w:pStyle w:val="naisf"/>
              <w:spacing w:before="0" w:after="0"/>
              <w:ind w:firstLine="0"/>
              <w:jc w:val="center"/>
            </w:pPr>
          </w:p>
        </w:tc>
        <w:tc>
          <w:tcPr>
            <w:tcW w:w="795" w:type="pct"/>
            <w:vAlign w:val="center"/>
          </w:tcPr>
          <w:p w14:paraId="60958858" w14:textId="77777777" w:rsidR="00FF5347" w:rsidRPr="00FF5347" w:rsidRDefault="00FF5347" w:rsidP="000C30E2">
            <w:pPr>
              <w:pStyle w:val="naisf"/>
              <w:spacing w:before="0" w:after="0"/>
              <w:ind w:firstLine="0"/>
              <w:jc w:val="center"/>
            </w:pPr>
          </w:p>
        </w:tc>
        <w:tc>
          <w:tcPr>
            <w:tcW w:w="875" w:type="pct"/>
            <w:vAlign w:val="center"/>
          </w:tcPr>
          <w:p w14:paraId="639C8AE8" w14:textId="77777777" w:rsidR="00FF5347" w:rsidRPr="00FF5347" w:rsidRDefault="00FF5347" w:rsidP="000C30E2">
            <w:pPr>
              <w:pStyle w:val="naisf"/>
              <w:spacing w:before="0" w:after="0"/>
              <w:ind w:firstLine="0"/>
              <w:jc w:val="center"/>
            </w:pPr>
          </w:p>
        </w:tc>
        <w:tc>
          <w:tcPr>
            <w:tcW w:w="938" w:type="pct"/>
            <w:vAlign w:val="center"/>
          </w:tcPr>
          <w:p w14:paraId="0789D88D" w14:textId="77777777" w:rsidR="00FF5347" w:rsidRPr="00FF5347" w:rsidRDefault="00FF5347" w:rsidP="000C30E2">
            <w:pPr>
              <w:pStyle w:val="naisf"/>
              <w:spacing w:before="0" w:after="0"/>
              <w:ind w:firstLine="0"/>
              <w:jc w:val="center"/>
            </w:pPr>
          </w:p>
        </w:tc>
      </w:tr>
      <w:tr w:rsidR="00FF5347" w:rsidRPr="005F50FF" w14:paraId="0FEEEECD"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642"/>
        </w:trPr>
        <w:tc>
          <w:tcPr>
            <w:tcW w:w="880" w:type="pct"/>
            <w:gridSpan w:val="2"/>
          </w:tcPr>
          <w:p w14:paraId="539F2092"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 xml:space="preserve">5.3. pašvaldību budžets </w:t>
            </w:r>
          </w:p>
        </w:tc>
        <w:tc>
          <w:tcPr>
            <w:tcW w:w="700" w:type="pct"/>
            <w:vMerge/>
            <w:vAlign w:val="center"/>
          </w:tcPr>
          <w:p w14:paraId="1AB1564F" w14:textId="77777777" w:rsidR="00FF5347" w:rsidRPr="00FF5347" w:rsidRDefault="00FF5347" w:rsidP="000C30E2">
            <w:pPr>
              <w:pStyle w:val="naisf"/>
              <w:spacing w:before="0" w:after="0"/>
              <w:ind w:firstLine="0"/>
              <w:jc w:val="center"/>
              <w:rPr>
                <w:i/>
              </w:rPr>
            </w:pPr>
          </w:p>
        </w:tc>
        <w:tc>
          <w:tcPr>
            <w:tcW w:w="812" w:type="pct"/>
            <w:gridSpan w:val="2"/>
            <w:vAlign w:val="center"/>
          </w:tcPr>
          <w:p w14:paraId="2048E34D" w14:textId="77777777" w:rsidR="00FF5347" w:rsidRPr="00FF5347" w:rsidRDefault="00FF5347" w:rsidP="000C30E2">
            <w:pPr>
              <w:pStyle w:val="naisf"/>
              <w:spacing w:before="0" w:after="0"/>
              <w:ind w:firstLine="0"/>
              <w:jc w:val="center"/>
            </w:pPr>
          </w:p>
          <w:p w14:paraId="2744C935" w14:textId="77777777" w:rsidR="00FF5347" w:rsidRPr="00FF5347" w:rsidRDefault="00FF5347" w:rsidP="000C30E2">
            <w:pPr>
              <w:pStyle w:val="naisf"/>
              <w:spacing w:before="0" w:after="0"/>
              <w:ind w:firstLine="0"/>
            </w:pPr>
          </w:p>
        </w:tc>
        <w:tc>
          <w:tcPr>
            <w:tcW w:w="795" w:type="pct"/>
            <w:vAlign w:val="center"/>
          </w:tcPr>
          <w:p w14:paraId="14E7ADA1" w14:textId="77777777" w:rsidR="00FF5347" w:rsidRPr="00FF5347" w:rsidRDefault="00FF5347" w:rsidP="000C30E2">
            <w:pPr>
              <w:pStyle w:val="naisf"/>
              <w:spacing w:before="0" w:after="0"/>
              <w:ind w:firstLine="0"/>
              <w:jc w:val="center"/>
            </w:pPr>
          </w:p>
        </w:tc>
        <w:tc>
          <w:tcPr>
            <w:tcW w:w="875" w:type="pct"/>
            <w:vAlign w:val="center"/>
          </w:tcPr>
          <w:p w14:paraId="16FCB5E2" w14:textId="77777777" w:rsidR="00FF5347" w:rsidRPr="00FF5347" w:rsidRDefault="00FF5347" w:rsidP="000C30E2">
            <w:pPr>
              <w:pStyle w:val="naisf"/>
              <w:spacing w:before="0" w:after="0"/>
              <w:ind w:firstLine="0"/>
              <w:jc w:val="center"/>
            </w:pPr>
          </w:p>
        </w:tc>
        <w:tc>
          <w:tcPr>
            <w:tcW w:w="938" w:type="pct"/>
            <w:vAlign w:val="center"/>
          </w:tcPr>
          <w:p w14:paraId="77DA6202" w14:textId="77777777" w:rsidR="00FF5347" w:rsidRPr="00FF5347" w:rsidRDefault="00FF5347" w:rsidP="000C30E2">
            <w:pPr>
              <w:pStyle w:val="naisf"/>
              <w:spacing w:before="0" w:after="0"/>
              <w:ind w:firstLine="0"/>
              <w:jc w:val="center"/>
            </w:pPr>
          </w:p>
        </w:tc>
      </w:tr>
      <w:tr w:rsidR="00FF5347" w:rsidRPr="00B36392" w14:paraId="1E00EEC0"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671"/>
        </w:trPr>
        <w:tc>
          <w:tcPr>
            <w:tcW w:w="880" w:type="pct"/>
            <w:gridSpan w:val="2"/>
          </w:tcPr>
          <w:p w14:paraId="5C4BDC8D" w14:textId="61FF548C" w:rsidR="00FF5347" w:rsidRPr="00FF5347" w:rsidRDefault="00FF5347" w:rsidP="00FF5347">
            <w:pPr>
              <w:spacing w:after="0" w:line="240" w:lineRule="auto"/>
              <w:jc w:val="both"/>
            </w:pPr>
            <w:r w:rsidRPr="00FF5347">
              <w:rPr>
                <w:rFonts w:ascii="Times New Roman" w:hAnsi="Times New Roman"/>
                <w:sz w:val="24"/>
                <w:szCs w:val="24"/>
              </w:rPr>
              <w:t>6. Detalizēts ieņēmumu un izdevu</w:t>
            </w:r>
            <w:r w:rsidRPr="00FF5347">
              <w:rPr>
                <w:rFonts w:ascii="Times New Roman" w:hAnsi="Times New Roman"/>
                <w:sz w:val="24"/>
                <w:szCs w:val="24"/>
              </w:rPr>
              <w:softHyphen/>
              <w:t>mu aprēķins (ja nepieciešams, detalizētu ieņēmumu un izdevumu aprēķinu var pievienot anotācijas pielikumā):</w:t>
            </w:r>
          </w:p>
        </w:tc>
        <w:tc>
          <w:tcPr>
            <w:tcW w:w="4120" w:type="pct"/>
            <w:gridSpan w:val="6"/>
            <w:vAlign w:val="center"/>
          </w:tcPr>
          <w:p w14:paraId="12B49571" w14:textId="17FDD8B1" w:rsidR="00FF5347" w:rsidRPr="00FF5347" w:rsidRDefault="00FF5347" w:rsidP="00FF5347">
            <w:pPr>
              <w:spacing w:after="0" w:line="240" w:lineRule="auto"/>
              <w:ind w:firstLine="720"/>
              <w:jc w:val="both"/>
              <w:rPr>
                <w:rFonts w:ascii="Times New Roman" w:hAnsi="Times New Roman"/>
                <w:sz w:val="24"/>
                <w:szCs w:val="24"/>
              </w:rPr>
            </w:pPr>
            <w:r w:rsidRPr="00FF5347">
              <w:rPr>
                <w:rFonts w:ascii="Times New Roman" w:hAnsi="Times New Roman"/>
                <w:sz w:val="24"/>
                <w:szCs w:val="24"/>
              </w:rPr>
              <w:t>Lai veiktu aprēķinu par ietekmi uz valsts budžeta ieņēmumiem un izdevumiem saistībā ar likumprojektu, par pamatu tika ņemti dati par 2015.</w:t>
            </w:r>
            <w:r>
              <w:rPr>
                <w:rFonts w:ascii="Times New Roman" w:hAnsi="Times New Roman"/>
                <w:sz w:val="24"/>
                <w:szCs w:val="24"/>
              </w:rPr>
              <w:t> </w:t>
            </w:r>
            <w:r w:rsidRPr="00FF5347">
              <w:rPr>
                <w:rFonts w:ascii="Times New Roman" w:hAnsi="Times New Roman"/>
                <w:sz w:val="24"/>
                <w:szCs w:val="24"/>
              </w:rPr>
              <w:t>gadā tiesu veiktajiem pasta sūtījumiem, tai skaitā, ierakstītajiem pasta sūtījumiem un Tiesu informatīvās sistēmas dati par 2015.</w:t>
            </w:r>
            <w:r w:rsidR="000C50C3">
              <w:rPr>
                <w:rFonts w:ascii="Times New Roman" w:hAnsi="Times New Roman"/>
                <w:sz w:val="24"/>
                <w:szCs w:val="24"/>
              </w:rPr>
              <w:t> </w:t>
            </w:r>
            <w:r w:rsidRPr="00FF5347">
              <w:rPr>
                <w:rFonts w:ascii="Times New Roman" w:hAnsi="Times New Roman"/>
                <w:sz w:val="24"/>
                <w:szCs w:val="24"/>
              </w:rPr>
              <w:t>gadā izskatītajām lietām un 2016.</w:t>
            </w:r>
            <w:r>
              <w:rPr>
                <w:rFonts w:ascii="Times New Roman" w:hAnsi="Times New Roman"/>
                <w:sz w:val="24"/>
                <w:szCs w:val="24"/>
              </w:rPr>
              <w:t> </w:t>
            </w:r>
            <w:r w:rsidRPr="00FF5347">
              <w:rPr>
                <w:rFonts w:ascii="Times New Roman" w:hAnsi="Times New Roman"/>
                <w:sz w:val="24"/>
                <w:szCs w:val="24"/>
              </w:rPr>
              <w:t>gada pirmajā pusgadā iesniegtajiem pieteikumiem.</w:t>
            </w:r>
          </w:p>
          <w:p w14:paraId="22B8938B" w14:textId="006ECC4E" w:rsidR="00FF5347" w:rsidRPr="00FF5347" w:rsidRDefault="00FF5347" w:rsidP="00FF5347">
            <w:pPr>
              <w:spacing w:after="0" w:line="240" w:lineRule="auto"/>
              <w:ind w:firstLine="720"/>
              <w:jc w:val="both"/>
            </w:pPr>
            <w:r w:rsidRPr="00FF5347">
              <w:rPr>
                <w:rFonts w:ascii="Times New Roman" w:hAnsi="Times New Roman"/>
                <w:sz w:val="24"/>
                <w:szCs w:val="24"/>
              </w:rPr>
              <w:t>Saskaņā ar Civilprocesa likumu (turpmāk – CPL) tiesas izdevumus (valsts nodeva, ar lietas izskatīšanu saistītie izdevumi un ar lietas vešanu saistītie izdevumi) sedz puses, bet valsts uzņemas izdevumus tikai gadījumos, kad abas puses ir atbrīvotas no tiesas izdevumu samaksas (CPL 42.</w:t>
            </w:r>
            <w:r w:rsidR="000C50C3">
              <w:rPr>
                <w:rFonts w:ascii="Times New Roman" w:hAnsi="Times New Roman"/>
                <w:sz w:val="24"/>
                <w:szCs w:val="24"/>
              </w:rPr>
              <w:t> </w:t>
            </w:r>
            <w:r w:rsidRPr="00FF5347">
              <w:rPr>
                <w:rFonts w:ascii="Times New Roman" w:hAnsi="Times New Roman"/>
                <w:sz w:val="24"/>
                <w:szCs w:val="24"/>
              </w:rPr>
              <w:t>panta ceturtā daļa). Līdz ar to, samazinot izmaksas par pasta sūtījumiem, attiecīgi samazināmi ieņēmumi no procesa dalībnieku veiktajām iemaksām par ar lietas izskatīšanu saistītajiem izdevumiem – ar tiesas pavēstu un citu tiesas dokumentu piegādāšanu un izsniegšanu saistītajiem izdevumiem, (CPL 39.panta pirmās daļas 5.punkts).</w:t>
            </w:r>
          </w:p>
        </w:tc>
      </w:tr>
      <w:tr w:rsidR="00FF5347" w:rsidRPr="00B36392" w14:paraId="37FA1F5B"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825"/>
        </w:trPr>
        <w:tc>
          <w:tcPr>
            <w:tcW w:w="880" w:type="pct"/>
            <w:gridSpan w:val="2"/>
          </w:tcPr>
          <w:p w14:paraId="24D3F885"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lastRenderedPageBreak/>
              <w:t>6.1. detalizēts ieņēmumu aprēķins</w:t>
            </w:r>
          </w:p>
        </w:tc>
        <w:tc>
          <w:tcPr>
            <w:tcW w:w="4120" w:type="pct"/>
            <w:gridSpan w:val="6"/>
            <w:vAlign w:val="center"/>
          </w:tcPr>
          <w:p w14:paraId="403A7DDB" w14:textId="694CAD3D" w:rsidR="00FF5347" w:rsidRDefault="00FF5347" w:rsidP="004F1969">
            <w:pPr>
              <w:spacing w:after="0" w:line="240" w:lineRule="auto"/>
              <w:jc w:val="both"/>
            </w:pPr>
            <w:r w:rsidRPr="00FF5347">
              <w:rPr>
                <w:rFonts w:ascii="Times New Roman" w:hAnsi="Times New Roman"/>
                <w:sz w:val="24"/>
                <w:szCs w:val="24"/>
              </w:rPr>
              <w:t>Saskaņā ar likumu “Par valsts budžetu 2016. gadam” Tieslietu ministrijas budžeta apakšprogrammā 03.02.00 “Apgabaltiesas un rajonu (pil</w:t>
            </w:r>
            <w:r w:rsidR="004F1969">
              <w:rPr>
                <w:rFonts w:ascii="Times New Roman" w:hAnsi="Times New Roman"/>
                <w:sz w:val="24"/>
                <w:szCs w:val="24"/>
              </w:rPr>
              <w:t xml:space="preserve">sētu) tiesas” ieņēmumi plānoti </w:t>
            </w:r>
            <w:r w:rsidRPr="00FF5347">
              <w:rPr>
                <w:rFonts w:ascii="Times New Roman" w:hAnsi="Times New Roman"/>
                <w:sz w:val="24"/>
                <w:szCs w:val="24"/>
              </w:rPr>
              <w:t xml:space="preserve">750 565 </w:t>
            </w:r>
            <w:r w:rsidRPr="00FF5347">
              <w:rPr>
                <w:rFonts w:ascii="Times New Roman" w:hAnsi="Times New Roman"/>
                <w:i/>
                <w:sz w:val="24"/>
                <w:szCs w:val="24"/>
              </w:rPr>
              <w:t>euro</w:t>
            </w:r>
            <w:r w:rsidRPr="00FF5347">
              <w:rPr>
                <w:rFonts w:ascii="Times New Roman" w:hAnsi="Times New Roman"/>
                <w:sz w:val="24"/>
                <w:szCs w:val="24"/>
              </w:rPr>
              <w:t xml:space="preserve"> apmērā, tai skaitā, ieņēmumi 634 718 </w:t>
            </w:r>
            <w:r w:rsidRPr="00FF5347">
              <w:rPr>
                <w:rFonts w:ascii="Times New Roman" w:hAnsi="Times New Roman"/>
                <w:i/>
                <w:sz w:val="24"/>
                <w:szCs w:val="24"/>
              </w:rPr>
              <w:t>euro</w:t>
            </w:r>
            <w:r w:rsidRPr="00FF5347">
              <w:rPr>
                <w:rFonts w:ascii="Times New Roman" w:hAnsi="Times New Roman"/>
                <w:sz w:val="24"/>
                <w:szCs w:val="24"/>
              </w:rPr>
              <w:t xml:space="preserve"> izdevumu klasifikācijas kodā (turpmāk – IKK) 21499 atbilstoši Civilprocesa likuma 39.</w:t>
            </w:r>
            <w:r w:rsidR="004F1969">
              <w:rPr>
                <w:rFonts w:ascii="Times New Roman" w:hAnsi="Times New Roman"/>
                <w:sz w:val="24"/>
                <w:szCs w:val="24"/>
              </w:rPr>
              <w:t> </w:t>
            </w:r>
            <w:r w:rsidRPr="00FF5347">
              <w:rPr>
                <w:rFonts w:ascii="Times New Roman" w:hAnsi="Times New Roman"/>
                <w:sz w:val="24"/>
                <w:szCs w:val="24"/>
              </w:rPr>
              <w:t xml:space="preserve">pantam un Kriminālprocesa likuma 368.pantam. Ieņēmumi no tiesu sniegtajiem maksas pakalpojumiem 71 855 </w:t>
            </w:r>
            <w:r w:rsidRPr="00FF5347">
              <w:rPr>
                <w:rFonts w:ascii="Times New Roman" w:hAnsi="Times New Roman"/>
                <w:i/>
                <w:sz w:val="24"/>
                <w:szCs w:val="24"/>
              </w:rPr>
              <w:t>euro</w:t>
            </w:r>
            <w:r w:rsidRPr="00FF5347">
              <w:rPr>
                <w:rFonts w:ascii="Times New Roman" w:hAnsi="Times New Roman"/>
                <w:sz w:val="24"/>
                <w:szCs w:val="24"/>
              </w:rPr>
              <w:t xml:space="preserve"> un ieņēmumi par telpu nomu un komunālajiem pakalpojumiem 43 992 </w:t>
            </w:r>
            <w:r w:rsidRPr="00FF5347">
              <w:rPr>
                <w:rFonts w:ascii="Times New Roman" w:hAnsi="Times New Roman"/>
                <w:i/>
                <w:sz w:val="24"/>
                <w:szCs w:val="24"/>
              </w:rPr>
              <w:t>euro</w:t>
            </w:r>
            <w:r w:rsidRPr="00FF5347">
              <w:rPr>
                <w:rFonts w:ascii="Times New Roman" w:hAnsi="Times New Roman"/>
                <w:sz w:val="24"/>
                <w:szCs w:val="24"/>
              </w:rPr>
              <w:t xml:space="preserve"> nav attiecināmi uz procesuālo likumu grozījumiem.</w:t>
            </w:r>
          </w:p>
          <w:p w14:paraId="64DE4CE4" w14:textId="77777777" w:rsidR="004F1969" w:rsidRPr="004F1969" w:rsidRDefault="004F1969" w:rsidP="004F1969">
            <w:pPr>
              <w:spacing w:after="0" w:line="240" w:lineRule="auto"/>
              <w:jc w:val="both"/>
            </w:pPr>
          </w:p>
          <w:p w14:paraId="20C624AE" w14:textId="05D7EECC" w:rsidR="00FF5347" w:rsidRPr="004F1969" w:rsidRDefault="00FF5347" w:rsidP="000C30E2">
            <w:pPr>
              <w:jc w:val="both"/>
              <w:rPr>
                <w:rFonts w:ascii="Times New Roman" w:hAnsi="Times New Roman"/>
                <w:b/>
                <w:sz w:val="24"/>
                <w:szCs w:val="24"/>
              </w:rPr>
            </w:pPr>
            <w:r w:rsidRPr="00FF5347">
              <w:rPr>
                <w:rFonts w:ascii="Times New Roman" w:hAnsi="Times New Roman"/>
                <w:b/>
                <w:sz w:val="24"/>
                <w:szCs w:val="24"/>
              </w:rPr>
              <w:t>2017.</w:t>
            </w:r>
            <w:r w:rsidR="004F1969">
              <w:rPr>
                <w:rFonts w:ascii="Times New Roman" w:hAnsi="Times New Roman"/>
                <w:b/>
                <w:sz w:val="24"/>
                <w:szCs w:val="24"/>
              </w:rPr>
              <w:t> </w:t>
            </w:r>
            <w:r w:rsidRPr="00FF5347">
              <w:rPr>
                <w:rFonts w:ascii="Times New Roman" w:hAnsi="Times New Roman"/>
                <w:b/>
                <w:sz w:val="24"/>
                <w:szCs w:val="24"/>
              </w:rPr>
              <w:t>gads un turpmākie gadi</w:t>
            </w:r>
          </w:p>
          <w:p w14:paraId="195FE845" w14:textId="0A5BFBCF" w:rsidR="00FF5347" w:rsidRPr="00FF5347" w:rsidRDefault="00FF5347" w:rsidP="000C30E2">
            <w:pPr>
              <w:jc w:val="both"/>
              <w:rPr>
                <w:rFonts w:ascii="Times New Roman" w:hAnsi="Times New Roman"/>
                <w:b/>
                <w:sz w:val="24"/>
                <w:szCs w:val="24"/>
              </w:rPr>
            </w:pPr>
            <w:r w:rsidRPr="00FF5347">
              <w:rPr>
                <w:rFonts w:ascii="Times New Roman" w:hAnsi="Times New Roman"/>
                <w:b/>
                <w:sz w:val="24"/>
                <w:szCs w:val="24"/>
              </w:rPr>
              <w:t xml:space="preserve">Ieņēmumi no maksas pakalpojumiem un citi pašu ieņēmumi 750 565 </w:t>
            </w:r>
            <w:r w:rsidRPr="004F1969">
              <w:rPr>
                <w:rFonts w:ascii="Times New Roman" w:hAnsi="Times New Roman"/>
                <w:b/>
                <w:i/>
                <w:sz w:val="24"/>
                <w:szCs w:val="24"/>
              </w:rPr>
              <w:t>euro</w:t>
            </w:r>
            <w:r w:rsidRPr="00FF5347">
              <w:rPr>
                <w:rFonts w:ascii="Times New Roman" w:hAnsi="Times New Roman"/>
                <w:b/>
                <w:sz w:val="24"/>
                <w:szCs w:val="24"/>
              </w:rPr>
              <w:t xml:space="preserve"> – 42</w:t>
            </w:r>
            <w:r w:rsidR="004F1969">
              <w:rPr>
                <w:rFonts w:ascii="Times New Roman" w:hAnsi="Times New Roman"/>
                <w:b/>
                <w:sz w:val="24"/>
                <w:szCs w:val="24"/>
              </w:rPr>
              <w:t> </w:t>
            </w:r>
            <w:r w:rsidRPr="00FF5347">
              <w:rPr>
                <w:rFonts w:ascii="Times New Roman" w:hAnsi="Times New Roman"/>
                <w:b/>
                <w:sz w:val="24"/>
                <w:szCs w:val="24"/>
              </w:rPr>
              <w:t>889</w:t>
            </w:r>
            <w:r w:rsidR="004F1969">
              <w:rPr>
                <w:rFonts w:ascii="Times New Roman" w:hAnsi="Times New Roman"/>
                <w:b/>
                <w:sz w:val="24"/>
                <w:szCs w:val="24"/>
              </w:rPr>
              <w:t xml:space="preserve"> </w:t>
            </w:r>
            <w:r w:rsidRPr="004F1969">
              <w:rPr>
                <w:rFonts w:ascii="Times New Roman" w:hAnsi="Times New Roman"/>
                <w:b/>
                <w:i/>
                <w:sz w:val="24"/>
                <w:szCs w:val="24"/>
              </w:rPr>
              <w:t>euro</w:t>
            </w:r>
            <w:r w:rsidRPr="00FF5347">
              <w:rPr>
                <w:rFonts w:ascii="Times New Roman" w:hAnsi="Times New Roman"/>
                <w:b/>
                <w:sz w:val="24"/>
                <w:szCs w:val="24"/>
              </w:rPr>
              <w:t xml:space="preserve"> samazinājums = 707 676 </w:t>
            </w:r>
            <w:r w:rsidRPr="004F1969">
              <w:rPr>
                <w:rFonts w:ascii="Times New Roman" w:hAnsi="Times New Roman"/>
                <w:b/>
                <w:i/>
                <w:sz w:val="24"/>
                <w:szCs w:val="24"/>
              </w:rPr>
              <w:t xml:space="preserve">euro </w:t>
            </w:r>
          </w:p>
          <w:p w14:paraId="2FBCB9BD" w14:textId="3B27279D" w:rsidR="00FF5347" w:rsidRPr="00FF5347" w:rsidRDefault="00FF5347" w:rsidP="000C30E2">
            <w:pPr>
              <w:jc w:val="both"/>
              <w:rPr>
                <w:rFonts w:ascii="Times New Roman" w:hAnsi="Times New Roman"/>
                <w:b/>
                <w:sz w:val="24"/>
                <w:szCs w:val="24"/>
              </w:rPr>
            </w:pPr>
            <w:r w:rsidRPr="00FF5347">
              <w:rPr>
                <w:rFonts w:ascii="Times New Roman" w:hAnsi="Times New Roman"/>
                <w:b/>
                <w:sz w:val="24"/>
                <w:szCs w:val="24"/>
              </w:rPr>
              <w:t xml:space="preserve">Izmaiņas: - 42 889 </w:t>
            </w:r>
            <w:r w:rsidRPr="004F1969">
              <w:rPr>
                <w:rFonts w:ascii="Times New Roman" w:hAnsi="Times New Roman"/>
                <w:b/>
                <w:i/>
                <w:sz w:val="24"/>
                <w:szCs w:val="24"/>
              </w:rPr>
              <w:t>euro</w:t>
            </w:r>
          </w:p>
          <w:p w14:paraId="762E5F19" w14:textId="16EC3026" w:rsidR="00FF5347" w:rsidRPr="00FF5347" w:rsidRDefault="00FF5347" w:rsidP="000C30E2">
            <w:pPr>
              <w:pStyle w:val="Sarakstarindkopa"/>
              <w:ind w:left="0"/>
              <w:jc w:val="both"/>
              <w:rPr>
                <w:szCs w:val="24"/>
              </w:rPr>
            </w:pPr>
            <w:r w:rsidRPr="00FF5347">
              <w:rPr>
                <w:szCs w:val="24"/>
              </w:rPr>
              <w:t>Ar 2017.</w:t>
            </w:r>
            <w:r w:rsidR="004F1969">
              <w:rPr>
                <w:szCs w:val="24"/>
              </w:rPr>
              <w:t> </w:t>
            </w:r>
            <w:r w:rsidRPr="00FF5347">
              <w:rPr>
                <w:szCs w:val="24"/>
              </w:rPr>
              <w:t>gada 1.</w:t>
            </w:r>
            <w:r w:rsidR="004F1969">
              <w:rPr>
                <w:szCs w:val="24"/>
              </w:rPr>
              <w:t> </w:t>
            </w:r>
            <w:r w:rsidRPr="00FF5347">
              <w:rPr>
                <w:szCs w:val="24"/>
              </w:rPr>
              <w:t>janvāri paredzēts, ka tiesas pavēstes un tiesas dokumentus personām nosūta nevis ierakstīta pasta sūtījuma veidā, bet vienkāršā pasta sūtījumā (izņemot pirmreizējos sūtījums), līdz ar to procesa dalībniekiem samazināsies izdevumi, kas rodas lietas izskatīšanas gaitā saistībā ar aicināšanu uz atkārtotām tiesas sēdēm un attiecīgi samazināsies valsts budžeta ieņēmumi. Samazinājums plānots 48 266 pasta sūtījumiem.</w:t>
            </w:r>
          </w:p>
          <w:p w14:paraId="6C03414F" w14:textId="77777777" w:rsidR="00FF5347" w:rsidRPr="00FF5347" w:rsidRDefault="00FF5347" w:rsidP="000C30E2">
            <w:pPr>
              <w:pStyle w:val="Sarakstarindkopa"/>
              <w:ind w:left="0" w:right="176"/>
              <w:jc w:val="both"/>
              <w:rPr>
                <w:szCs w:val="24"/>
              </w:rPr>
            </w:pPr>
          </w:p>
          <w:tbl>
            <w:tblPr>
              <w:tblW w:w="7400" w:type="dxa"/>
              <w:tblLayout w:type="fixed"/>
              <w:tblLook w:val="04A0" w:firstRow="1" w:lastRow="0" w:firstColumn="1" w:lastColumn="0" w:noHBand="0" w:noVBand="1"/>
            </w:tblPr>
            <w:tblGrid>
              <w:gridCol w:w="1163"/>
              <w:gridCol w:w="1559"/>
              <w:gridCol w:w="992"/>
              <w:gridCol w:w="992"/>
              <w:gridCol w:w="1560"/>
              <w:gridCol w:w="1134"/>
            </w:tblGrid>
            <w:tr w:rsidR="00FF5347" w:rsidRPr="00FF5347" w14:paraId="05C39F4E" w14:textId="77777777" w:rsidTr="00FF5347">
              <w:trPr>
                <w:trHeight w:val="167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D5DDF" w14:textId="77777777" w:rsidR="00FF5347" w:rsidRPr="00FF5347" w:rsidRDefault="00FF5347" w:rsidP="000C30E2">
                  <w:pPr>
                    <w:ind w:left="-79"/>
                    <w:jc w:val="center"/>
                    <w:rPr>
                      <w:rFonts w:ascii="Times New Roman" w:hAnsi="Times New Roman"/>
                      <w:color w:val="000000"/>
                      <w:sz w:val="24"/>
                      <w:szCs w:val="24"/>
                    </w:rPr>
                  </w:pPr>
                  <w:r w:rsidRPr="00FF5347">
                    <w:rPr>
                      <w:rFonts w:ascii="Times New Roman" w:hAnsi="Times New Roman"/>
                      <w:color w:val="000000"/>
                      <w:sz w:val="24"/>
                      <w:szCs w:val="24"/>
                    </w:rPr>
                    <w:t>Sūtījuma veids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4371CB0"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Sūtījumi, kurus saskaņā ar grozījumiem CPL paredzēts sūtīt vienkāršā pasta sūtījumā, skaits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545C42"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Viena ierakstīta sūtījuma cena, euro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44563"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Viena vienkārša sūtījuma cena, euro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C6D902"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Cenas starpība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7FE6BC"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Ieņēmumu samazinājums, euro</w:t>
                  </w:r>
                </w:p>
              </w:tc>
            </w:tr>
            <w:tr w:rsidR="00FF5347" w:rsidRPr="00FF5347" w14:paraId="0A51C6D3" w14:textId="77777777" w:rsidTr="00FF5347">
              <w:trPr>
                <w:trHeight w:val="33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3CC3211E"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14:paraId="24DA5511"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14:paraId="66FE267E"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3F17AE41"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center"/>
                  <w:hideMark/>
                </w:tcPr>
                <w:p w14:paraId="0A84BE78"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5 (3-4)</w:t>
                  </w:r>
                </w:p>
              </w:tc>
              <w:tc>
                <w:tcPr>
                  <w:tcW w:w="1134" w:type="dxa"/>
                  <w:tcBorders>
                    <w:top w:val="nil"/>
                    <w:left w:val="nil"/>
                    <w:bottom w:val="single" w:sz="4" w:space="0" w:color="auto"/>
                    <w:right w:val="single" w:sz="4" w:space="0" w:color="auto"/>
                  </w:tcBorders>
                  <w:shd w:val="clear" w:color="auto" w:fill="auto"/>
                  <w:vAlign w:val="center"/>
                  <w:hideMark/>
                </w:tcPr>
                <w:p w14:paraId="218BC6AE"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6 (2 x 5)</w:t>
                  </w:r>
                </w:p>
              </w:tc>
            </w:tr>
            <w:tr w:rsidR="00FF5347" w:rsidRPr="00FF5347" w14:paraId="4041749A" w14:textId="77777777" w:rsidTr="00FF5347">
              <w:trPr>
                <w:trHeight w:val="330"/>
              </w:trPr>
              <w:tc>
                <w:tcPr>
                  <w:tcW w:w="74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45364F"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Sūtījumi pa Latviju, A klase</w:t>
                  </w:r>
                </w:p>
              </w:tc>
            </w:tr>
            <w:tr w:rsidR="00FF5347" w:rsidRPr="00FF5347" w14:paraId="13B819D2"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2A23142F"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20 g </w:t>
                  </w:r>
                </w:p>
              </w:tc>
              <w:tc>
                <w:tcPr>
                  <w:tcW w:w="1559" w:type="dxa"/>
                  <w:tcBorders>
                    <w:top w:val="nil"/>
                    <w:left w:val="nil"/>
                    <w:bottom w:val="single" w:sz="4" w:space="0" w:color="auto"/>
                    <w:right w:val="single" w:sz="4" w:space="0" w:color="auto"/>
                  </w:tcBorders>
                  <w:shd w:val="clear" w:color="auto" w:fill="auto"/>
                  <w:noWrap/>
                  <w:vAlign w:val="bottom"/>
                  <w:hideMark/>
                </w:tcPr>
                <w:p w14:paraId="1ECA198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796</w:t>
                  </w:r>
                </w:p>
              </w:tc>
              <w:tc>
                <w:tcPr>
                  <w:tcW w:w="992" w:type="dxa"/>
                  <w:tcBorders>
                    <w:top w:val="nil"/>
                    <w:left w:val="nil"/>
                    <w:bottom w:val="single" w:sz="4" w:space="0" w:color="auto"/>
                    <w:right w:val="single" w:sz="4" w:space="0" w:color="auto"/>
                  </w:tcBorders>
                  <w:shd w:val="clear" w:color="auto" w:fill="auto"/>
                  <w:noWrap/>
                  <w:vAlign w:val="bottom"/>
                  <w:hideMark/>
                </w:tcPr>
                <w:p w14:paraId="4A43253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1,42</w:t>
                  </w:r>
                </w:p>
              </w:tc>
              <w:tc>
                <w:tcPr>
                  <w:tcW w:w="992" w:type="dxa"/>
                  <w:tcBorders>
                    <w:top w:val="nil"/>
                    <w:left w:val="nil"/>
                    <w:bottom w:val="single" w:sz="4" w:space="0" w:color="auto"/>
                    <w:right w:val="single" w:sz="4" w:space="0" w:color="auto"/>
                  </w:tcBorders>
                  <w:shd w:val="clear" w:color="auto" w:fill="auto"/>
                  <w:noWrap/>
                  <w:vAlign w:val="bottom"/>
                  <w:hideMark/>
                </w:tcPr>
                <w:p w14:paraId="0CF6A305"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0,57</w:t>
                  </w:r>
                </w:p>
              </w:tc>
              <w:tc>
                <w:tcPr>
                  <w:tcW w:w="1560" w:type="dxa"/>
                  <w:tcBorders>
                    <w:top w:val="nil"/>
                    <w:left w:val="nil"/>
                    <w:bottom w:val="single" w:sz="4" w:space="0" w:color="auto"/>
                    <w:right w:val="single" w:sz="4" w:space="0" w:color="auto"/>
                  </w:tcBorders>
                  <w:shd w:val="clear" w:color="auto" w:fill="auto"/>
                  <w:noWrap/>
                  <w:vAlign w:val="bottom"/>
                  <w:hideMark/>
                </w:tcPr>
                <w:p w14:paraId="6CD89E9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0,85</w:t>
                  </w:r>
                </w:p>
              </w:tc>
              <w:tc>
                <w:tcPr>
                  <w:tcW w:w="1134" w:type="dxa"/>
                  <w:tcBorders>
                    <w:top w:val="nil"/>
                    <w:left w:val="nil"/>
                    <w:bottom w:val="single" w:sz="4" w:space="0" w:color="auto"/>
                    <w:right w:val="single" w:sz="4" w:space="0" w:color="auto"/>
                  </w:tcBorders>
                  <w:shd w:val="clear" w:color="auto" w:fill="auto"/>
                  <w:noWrap/>
                  <w:vAlign w:val="bottom"/>
                  <w:hideMark/>
                </w:tcPr>
                <w:p w14:paraId="4D49651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676,60</w:t>
                  </w:r>
                </w:p>
              </w:tc>
            </w:tr>
            <w:tr w:rsidR="00FF5347" w:rsidRPr="00FF5347" w14:paraId="5B8E6922"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18C34770"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līdz 50 g</w:t>
                  </w:r>
                </w:p>
              </w:tc>
              <w:tc>
                <w:tcPr>
                  <w:tcW w:w="1559" w:type="dxa"/>
                  <w:tcBorders>
                    <w:top w:val="nil"/>
                    <w:left w:val="nil"/>
                    <w:bottom w:val="single" w:sz="4" w:space="0" w:color="auto"/>
                    <w:right w:val="single" w:sz="4" w:space="0" w:color="auto"/>
                  </w:tcBorders>
                  <w:shd w:val="clear" w:color="auto" w:fill="auto"/>
                  <w:noWrap/>
                  <w:vAlign w:val="bottom"/>
                  <w:hideMark/>
                </w:tcPr>
                <w:p w14:paraId="1698455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566</w:t>
                  </w:r>
                </w:p>
              </w:tc>
              <w:tc>
                <w:tcPr>
                  <w:tcW w:w="992" w:type="dxa"/>
                  <w:tcBorders>
                    <w:top w:val="nil"/>
                    <w:left w:val="nil"/>
                    <w:bottom w:val="single" w:sz="4" w:space="0" w:color="auto"/>
                    <w:right w:val="single" w:sz="4" w:space="0" w:color="auto"/>
                  </w:tcBorders>
                  <w:shd w:val="clear" w:color="auto" w:fill="auto"/>
                  <w:noWrap/>
                  <w:vAlign w:val="bottom"/>
                  <w:hideMark/>
                </w:tcPr>
                <w:p w14:paraId="6AA9EB0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1,49</w:t>
                  </w:r>
                </w:p>
              </w:tc>
              <w:tc>
                <w:tcPr>
                  <w:tcW w:w="992" w:type="dxa"/>
                  <w:tcBorders>
                    <w:top w:val="nil"/>
                    <w:left w:val="nil"/>
                    <w:bottom w:val="single" w:sz="4" w:space="0" w:color="auto"/>
                    <w:right w:val="single" w:sz="4" w:space="0" w:color="auto"/>
                  </w:tcBorders>
                  <w:shd w:val="clear" w:color="auto" w:fill="auto"/>
                  <w:noWrap/>
                  <w:vAlign w:val="bottom"/>
                  <w:hideMark/>
                </w:tcPr>
                <w:p w14:paraId="13AA817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0,61</w:t>
                  </w:r>
                </w:p>
              </w:tc>
              <w:tc>
                <w:tcPr>
                  <w:tcW w:w="1560" w:type="dxa"/>
                  <w:tcBorders>
                    <w:top w:val="nil"/>
                    <w:left w:val="nil"/>
                    <w:bottom w:val="single" w:sz="4" w:space="0" w:color="auto"/>
                    <w:right w:val="single" w:sz="4" w:space="0" w:color="auto"/>
                  </w:tcBorders>
                  <w:shd w:val="clear" w:color="auto" w:fill="auto"/>
                  <w:noWrap/>
                  <w:vAlign w:val="bottom"/>
                  <w:hideMark/>
                </w:tcPr>
                <w:p w14:paraId="0F35EA8F"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0,88</w:t>
                  </w:r>
                </w:p>
              </w:tc>
              <w:tc>
                <w:tcPr>
                  <w:tcW w:w="1134" w:type="dxa"/>
                  <w:tcBorders>
                    <w:top w:val="nil"/>
                    <w:left w:val="nil"/>
                    <w:bottom w:val="single" w:sz="4" w:space="0" w:color="auto"/>
                    <w:right w:val="single" w:sz="4" w:space="0" w:color="auto"/>
                  </w:tcBorders>
                  <w:shd w:val="clear" w:color="auto" w:fill="auto"/>
                  <w:noWrap/>
                  <w:vAlign w:val="bottom"/>
                  <w:hideMark/>
                </w:tcPr>
                <w:p w14:paraId="22741D22"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498,08</w:t>
                  </w:r>
                </w:p>
              </w:tc>
            </w:tr>
            <w:tr w:rsidR="00FF5347" w:rsidRPr="00FF5347" w14:paraId="14FE8BFC"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16417A5" w14:textId="3ABD30B6" w:rsidR="00FF5347" w:rsidRPr="00FF5347" w:rsidRDefault="004F1969" w:rsidP="000C30E2">
                  <w:pPr>
                    <w:rPr>
                      <w:rFonts w:ascii="Times New Roman" w:hAnsi="Times New Roman"/>
                      <w:color w:val="000000"/>
                      <w:sz w:val="24"/>
                      <w:szCs w:val="24"/>
                    </w:rPr>
                  </w:pPr>
                  <w:r>
                    <w:rPr>
                      <w:rFonts w:ascii="Times New Roman" w:hAnsi="Times New Roman"/>
                      <w:color w:val="000000"/>
                      <w:sz w:val="24"/>
                      <w:szCs w:val="24"/>
                    </w:rPr>
                    <w:t>Līdz 100 </w:t>
                  </w:r>
                  <w:r w:rsidR="00FF5347" w:rsidRPr="00FF5347">
                    <w:rPr>
                      <w:rFonts w:ascii="Times New Roman" w:hAnsi="Times New Roman"/>
                      <w:color w:val="000000"/>
                      <w:sz w:val="24"/>
                      <w:szCs w:val="24"/>
                    </w:rPr>
                    <w:t xml:space="preserve">g </w:t>
                  </w:r>
                </w:p>
              </w:tc>
              <w:tc>
                <w:tcPr>
                  <w:tcW w:w="1559" w:type="dxa"/>
                  <w:tcBorders>
                    <w:top w:val="nil"/>
                    <w:left w:val="nil"/>
                    <w:bottom w:val="single" w:sz="4" w:space="0" w:color="auto"/>
                    <w:right w:val="single" w:sz="4" w:space="0" w:color="auto"/>
                  </w:tcBorders>
                  <w:shd w:val="clear" w:color="auto" w:fill="auto"/>
                  <w:noWrap/>
                  <w:vAlign w:val="bottom"/>
                  <w:hideMark/>
                </w:tcPr>
                <w:p w14:paraId="77EBC3B2"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70</w:t>
                  </w:r>
                </w:p>
              </w:tc>
              <w:tc>
                <w:tcPr>
                  <w:tcW w:w="992" w:type="dxa"/>
                  <w:tcBorders>
                    <w:top w:val="nil"/>
                    <w:left w:val="nil"/>
                    <w:bottom w:val="single" w:sz="4" w:space="0" w:color="auto"/>
                    <w:right w:val="single" w:sz="4" w:space="0" w:color="auto"/>
                  </w:tcBorders>
                  <w:shd w:val="clear" w:color="auto" w:fill="auto"/>
                  <w:noWrap/>
                  <w:vAlign w:val="bottom"/>
                  <w:hideMark/>
                </w:tcPr>
                <w:p w14:paraId="2ABF6AB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1,57</w:t>
                  </w:r>
                </w:p>
              </w:tc>
              <w:tc>
                <w:tcPr>
                  <w:tcW w:w="992" w:type="dxa"/>
                  <w:tcBorders>
                    <w:top w:val="nil"/>
                    <w:left w:val="nil"/>
                    <w:bottom w:val="single" w:sz="4" w:space="0" w:color="auto"/>
                    <w:right w:val="single" w:sz="4" w:space="0" w:color="auto"/>
                  </w:tcBorders>
                  <w:shd w:val="clear" w:color="auto" w:fill="auto"/>
                  <w:noWrap/>
                  <w:vAlign w:val="bottom"/>
                  <w:hideMark/>
                </w:tcPr>
                <w:p w14:paraId="0C6CE43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0,68</w:t>
                  </w:r>
                </w:p>
              </w:tc>
              <w:tc>
                <w:tcPr>
                  <w:tcW w:w="1560" w:type="dxa"/>
                  <w:tcBorders>
                    <w:top w:val="nil"/>
                    <w:left w:val="nil"/>
                    <w:bottom w:val="single" w:sz="4" w:space="0" w:color="auto"/>
                    <w:right w:val="single" w:sz="4" w:space="0" w:color="auto"/>
                  </w:tcBorders>
                  <w:shd w:val="clear" w:color="auto" w:fill="auto"/>
                  <w:noWrap/>
                  <w:vAlign w:val="bottom"/>
                  <w:hideMark/>
                </w:tcPr>
                <w:p w14:paraId="487CCD2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0,89</w:t>
                  </w:r>
                </w:p>
              </w:tc>
              <w:tc>
                <w:tcPr>
                  <w:tcW w:w="1134" w:type="dxa"/>
                  <w:tcBorders>
                    <w:top w:val="nil"/>
                    <w:left w:val="nil"/>
                    <w:bottom w:val="single" w:sz="4" w:space="0" w:color="auto"/>
                    <w:right w:val="single" w:sz="4" w:space="0" w:color="auto"/>
                  </w:tcBorders>
                  <w:shd w:val="clear" w:color="auto" w:fill="auto"/>
                  <w:noWrap/>
                  <w:vAlign w:val="bottom"/>
                  <w:hideMark/>
                </w:tcPr>
                <w:p w14:paraId="76D64413"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62,30</w:t>
                  </w:r>
                </w:p>
              </w:tc>
            </w:tr>
            <w:tr w:rsidR="00FF5347" w:rsidRPr="00FF5347" w14:paraId="1AF1F3C7"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44CF86D"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250 g </w:t>
                  </w:r>
                </w:p>
              </w:tc>
              <w:tc>
                <w:tcPr>
                  <w:tcW w:w="1559" w:type="dxa"/>
                  <w:tcBorders>
                    <w:top w:val="nil"/>
                    <w:left w:val="nil"/>
                    <w:bottom w:val="single" w:sz="4" w:space="0" w:color="auto"/>
                    <w:right w:val="single" w:sz="4" w:space="0" w:color="auto"/>
                  </w:tcBorders>
                  <w:shd w:val="clear" w:color="auto" w:fill="auto"/>
                  <w:noWrap/>
                  <w:vAlign w:val="bottom"/>
                  <w:hideMark/>
                </w:tcPr>
                <w:p w14:paraId="17E311B7"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62</w:t>
                  </w:r>
                </w:p>
              </w:tc>
              <w:tc>
                <w:tcPr>
                  <w:tcW w:w="992" w:type="dxa"/>
                  <w:tcBorders>
                    <w:top w:val="nil"/>
                    <w:left w:val="nil"/>
                    <w:bottom w:val="single" w:sz="4" w:space="0" w:color="auto"/>
                    <w:right w:val="single" w:sz="4" w:space="0" w:color="auto"/>
                  </w:tcBorders>
                  <w:shd w:val="clear" w:color="auto" w:fill="auto"/>
                  <w:noWrap/>
                  <w:vAlign w:val="bottom"/>
                  <w:hideMark/>
                </w:tcPr>
                <w:p w14:paraId="7D2B6215"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1,58</w:t>
                  </w:r>
                </w:p>
              </w:tc>
              <w:tc>
                <w:tcPr>
                  <w:tcW w:w="992" w:type="dxa"/>
                  <w:tcBorders>
                    <w:top w:val="nil"/>
                    <w:left w:val="nil"/>
                    <w:bottom w:val="single" w:sz="4" w:space="0" w:color="auto"/>
                    <w:right w:val="single" w:sz="4" w:space="0" w:color="auto"/>
                  </w:tcBorders>
                  <w:shd w:val="clear" w:color="auto" w:fill="auto"/>
                  <w:noWrap/>
                  <w:vAlign w:val="bottom"/>
                  <w:hideMark/>
                </w:tcPr>
                <w:p w14:paraId="045EC036"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0,85</w:t>
                  </w:r>
                </w:p>
              </w:tc>
              <w:tc>
                <w:tcPr>
                  <w:tcW w:w="1560" w:type="dxa"/>
                  <w:tcBorders>
                    <w:top w:val="nil"/>
                    <w:left w:val="nil"/>
                    <w:bottom w:val="single" w:sz="4" w:space="0" w:color="auto"/>
                    <w:right w:val="single" w:sz="4" w:space="0" w:color="auto"/>
                  </w:tcBorders>
                  <w:shd w:val="clear" w:color="auto" w:fill="auto"/>
                  <w:noWrap/>
                  <w:vAlign w:val="bottom"/>
                  <w:hideMark/>
                </w:tcPr>
                <w:p w14:paraId="42007F6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0,73</w:t>
                  </w:r>
                </w:p>
              </w:tc>
              <w:tc>
                <w:tcPr>
                  <w:tcW w:w="1134" w:type="dxa"/>
                  <w:tcBorders>
                    <w:top w:val="nil"/>
                    <w:left w:val="nil"/>
                    <w:bottom w:val="single" w:sz="4" w:space="0" w:color="auto"/>
                    <w:right w:val="single" w:sz="4" w:space="0" w:color="auto"/>
                  </w:tcBorders>
                  <w:shd w:val="clear" w:color="auto" w:fill="auto"/>
                  <w:noWrap/>
                  <w:vAlign w:val="bottom"/>
                  <w:hideMark/>
                </w:tcPr>
                <w:p w14:paraId="28247D9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45,26</w:t>
                  </w:r>
                </w:p>
              </w:tc>
            </w:tr>
            <w:tr w:rsidR="00FF5347" w:rsidRPr="00FF5347" w14:paraId="050FE53C"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F21D370"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lastRenderedPageBreak/>
                    <w:t xml:space="preserve">līdz 500 g </w:t>
                  </w:r>
                </w:p>
              </w:tc>
              <w:tc>
                <w:tcPr>
                  <w:tcW w:w="1559" w:type="dxa"/>
                  <w:tcBorders>
                    <w:top w:val="nil"/>
                    <w:left w:val="nil"/>
                    <w:bottom w:val="single" w:sz="4" w:space="0" w:color="auto"/>
                    <w:right w:val="single" w:sz="4" w:space="0" w:color="auto"/>
                  </w:tcBorders>
                  <w:shd w:val="clear" w:color="auto" w:fill="auto"/>
                  <w:noWrap/>
                  <w:vAlign w:val="bottom"/>
                  <w:hideMark/>
                </w:tcPr>
                <w:p w14:paraId="5FB947B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32</w:t>
                  </w:r>
                </w:p>
              </w:tc>
              <w:tc>
                <w:tcPr>
                  <w:tcW w:w="992" w:type="dxa"/>
                  <w:tcBorders>
                    <w:top w:val="nil"/>
                    <w:left w:val="nil"/>
                    <w:bottom w:val="single" w:sz="4" w:space="0" w:color="auto"/>
                    <w:right w:val="single" w:sz="4" w:space="0" w:color="auto"/>
                  </w:tcBorders>
                  <w:shd w:val="clear" w:color="auto" w:fill="auto"/>
                  <w:noWrap/>
                  <w:vAlign w:val="bottom"/>
                  <w:hideMark/>
                </w:tcPr>
                <w:p w14:paraId="620194D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1,81</w:t>
                  </w:r>
                </w:p>
              </w:tc>
              <w:tc>
                <w:tcPr>
                  <w:tcW w:w="992" w:type="dxa"/>
                  <w:tcBorders>
                    <w:top w:val="nil"/>
                    <w:left w:val="nil"/>
                    <w:bottom w:val="single" w:sz="4" w:space="0" w:color="auto"/>
                    <w:right w:val="single" w:sz="4" w:space="0" w:color="auto"/>
                  </w:tcBorders>
                  <w:shd w:val="clear" w:color="auto" w:fill="auto"/>
                  <w:noWrap/>
                  <w:vAlign w:val="bottom"/>
                  <w:hideMark/>
                </w:tcPr>
                <w:p w14:paraId="71B7057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1,10</w:t>
                  </w:r>
                </w:p>
              </w:tc>
              <w:tc>
                <w:tcPr>
                  <w:tcW w:w="1560" w:type="dxa"/>
                  <w:tcBorders>
                    <w:top w:val="nil"/>
                    <w:left w:val="nil"/>
                    <w:bottom w:val="single" w:sz="4" w:space="0" w:color="auto"/>
                    <w:right w:val="single" w:sz="4" w:space="0" w:color="auto"/>
                  </w:tcBorders>
                  <w:shd w:val="clear" w:color="auto" w:fill="auto"/>
                  <w:noWrap/>
                  <w:vAlign w:val="bottom"/>
                  <w:hideMark/>
                </w:tcPr>
                <w:p w14:paraId="155A9E60"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0,71</w:t>
                  </w:r>
                </w:p>
              </w:tc>
              <w:tc>
                <w:tcPr>
                  <w:tcW w:w="1134" w:type="dxa"/>
                  <w:tcBorders>
                    <w:top w:val="nil"/>
                    <w:left w:val="nil"/>
                    <w:bottom w:val="single" w:sz="4" w:space="0" w:color="auto"/>
                    <w:right w:val="single" w:sz="4" w:space="0" w:color="auto"/>
                  </w:tcBorders>
                  <w:shd w:val="clear" w:color="auto" w:fill="auto"/>
                  <w:noWrap/>
                  <w:vAlign w:val="bottom"/>
                  <w:hideMark/>
                </w:tcPr>
                <w:p w14:paraId="507A760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22,72</w:t>
                  </w:r>
                </w:p>
              </w:tc>
            </w:tr>
            <w:tr w:rsidR="00FF5347" w:rsidRPr="00FF5347" w14:paraId="06D061F5"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DD9E2B9"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līdz 1000 g</w:t>
                  </w:r>
                </w:p>
              </w:tc>
              <w:tc>
                <w:tcPr>
                  <w:tcW w:w="1559" w:type="dxa"/>
                  <w:tcBorders>
                    <w:top w:val="nil"/>
                    <w:left w:val="nil"/>
                    <w:bottom w:val="single" w:sz="4" w:space="0" w:color="auto"/>
                    <w:right w:val="single" w:sz="4" w:space="0" w:color="auto"/>
                  </w:tcBorders>
                  <w:shd w:val="clear" w:color="auto" w:fill="auto"/>
                  <w:noWrap/>
                  <w:vAlign w:val="bottom"/>
                  <w:hideMark/>
                </w:tcPr>
                <w:p w14:paraId="3ADBA854"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noWrap/>
                  <w:vAlign w:val="bottom"/>
                  <w:hideMark/>
                </w:tcPr>
                <w:p w14:paraId="17D55F2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14:paraId="6FB1382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1,71</w:t>
                  </w:r>
                </w:p>
              </w:tc>
              <w:tc>
                <w:tcPr>
                  <w:tcW w:w="1560" w:type="dxa"/>
                  <w:tcBorders>
                    <w:top w:val="nil"/>
                    <w:left w:val="nil"/>
                    <w:bottom w:val="single" w:sz="4" w:space="0" w:color="auto"/>
                    <w:right w:val="single" w:sz="4" w:space="0" w:color="auto"/>
                  </w:tcBorders>
                  <w:shd w:val="clear" w:color="auto" w:fill="auto"/>
                  <w:noWrap/>
                  <w:vAlign w:val="bottom"/>
                  <w:hideMark/>
                </w:tcPr>
                <w:p w14:paraId="7CC5400F"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0,51</w:t>
                  </w:r>
                </w:p>
              </w:tc>
              <w:tc>
                <w:tcPr>
                  <w:tcW w:w="1134" w:type="dxa"/>
                  <w:tcBorders>
                    <w:top w:val="nil"/>
                    <w:left w:val="nil"/>
                    <w:bottom w:val="single" w:sz="4" w:space="0" w:color="auto"/>
                    <w:right w:val="single" w:sz="4" w:space="0" w:color="auto"/>
                  </w:tcBorders>
                  <w:shd w:val="clear" w:color="auto" w:fill="auto"/>
                  <w:noWrap/>
                  <w:vAlign w:val="bottom"/>
                  <w:hideMark/>
                </w:tcPr>
                <w:p w14:paraId="36376953"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17,34</w:t>
                  </w:r>
                </w:p>
              </w:tc>
            </w:tr>
            <w:tr w:rsidR="00FF5347" w:rsidRPr="00FF5347" w14:paraId="58264FDF"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34AAE74"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2000 g </w:t>
                  </w:r>
                </w:p>
              </w:tc>
              <w:tc>
                <w:tcPr>
                  <w:tcW w:w="1559" w:type="dxa"/>
                  <w:tcBorders>
                    <w:top w:val="nil"/>
                    <w:left w:val="nil"/>
                    <w:bottom w:val="single" w:sz="4" w:space="0" w:color="auto"/>
                    <w:right w:val="single" w:sz="4" w:space="0" w:color="auto"/>
                  </w:tcBorders>
                  <w:shd w:val="clear" w:color="auto" w:fill="auto"/>
                  <w:noWrap/>
                  <w:vAlign w:val="bottom"/>
                  <w:hideMark/>
                </w:tcPr>
                <w:p w14:paraId="63133F54"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14:paraId="74715347"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3,04</w:t>
                  </w:r>
                </w:p>
              </w:tc>
              <w:tc>
                <w:tcPr>
                  <w:tcW w:w="992" w:type="dxa"/>
                  <w:tcBorders>
                    <w:top w:val="nil"/>
                    <w:left w:val="nil"/>
                    <w:bottom w:val="single" w:sz="4" w:space="0" w:color="auto"/>
                    <w:right w:val="single" w:sz="4" w:space="0" w:color="auto"/>
                  </w:tcBorders>
                  <w:shd w:val="clear" w:color="auto" w:fill="auto"/>
                  <w:noWrap/>
                  <w:vAlign w:val="bottom"/>
                  <w:hideMark/>
                </w:tcPr>
                <w:p w14:paraId="3A94D2DD"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2,18</w:t>
                  </w:r>
                </w:p>
              </w:tc>
              <w:tc>
                <w:tcPr>
                  <w:tcW w:w="1560" w:type="dxa"/>
                  <w:tcBorders>
                    <w:top w:val="nil"/>
                    <w:left w:val="nil"/>
                    <w:bottom w:val="single" w:sz="4" w:space="0" w:color="auto"/>
                    <w:right w:val="single" w:sz="4" w:space="0" w:color="auto"/>
                  </w:tcBorders>
                  <w:shd w:val="clear" w:color="auto" w:fill="auto"/>
                  <w:noWrap/>
                  <w:vAlign w:val="bottom"/>
                  <w:hideMark/>
                </w:tcPr>
                <w:p w14:paraId="7A6A3CB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0,86</w:t>
                  </w:r>
                </w:p>
              </w:tc>
              <w:tc>
                <w:tcPr>
                  <w:tcW w:w="1134" w:type="dxa"/>
                  <w:tcBorders>
                    <w:top w:val="nil"/>
                    <w:left w:val="nil"/>
                    <w:bottom w:val="single" w:sz="4" w:space="0" w:color="auto"/>
                    <w:right w:val="single" w:sz="4" w:space="0" w:color="auto"/>
                  </w:tcBorders>
                  <w:shd w:val="clear" w:color="auto" w:fill="auto"/>
                  <w:noWrap/>
                  <w:vAlign w:val="bottom"/>
                  <w:hideMark/>
                </w:tcPr>
                <w:p w14:paraId="58A8A09B"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33,54</w:t>
                  </w:r>
                </w:p>
              </w:tc>
            </w:tr>
            <w:tr w:rsidR="00FF5347" w:rsidRPr="00FF5347" w14:paraId="48729841" w14:textId="77777777" w:rsidTr="00FF5347">
              <w:trPr>
                <w:trHeight w:val="300"/>
              </w:trPr>
              <w:tc>
                <w:tcPr>
                  <w:tcW w:w="74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D2F7A0"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Sūtījumi pa Latviju, B klase</w:t>
                  </w:r>
                </w:p>
              </w:tc>
            </w:tr>
            <w:tr w:rsidR="00FF5347" w:rsidRPr="00FF5347" w14:paraId="122CBA81"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F47DB5D"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20 g </w:t>
                  </w:r>
                </w:p>
              </w:tc>
              <w:tc>
                <w:tcPr>
                  <w:tcW w:w="1559" w:type="dxa"/>
                  <w:tcBorders>
                    <w:top w:val="nil"/>
                    <w:left w:val="nil"/>
                    <w:bottom w:val="single" w:sz="4" w:space="0" w:color="auto"/>
                    <w:right w:val="single" w:sz="4" w:space="0" w:color="auto"/>
                  </w:tcBorders>
                  <w:shd w:val="clear" w:color="auto" w:fill="auto"/>
                  <w:noWrap/>
                  <w:vAlign w:val="bottom"/>
                  <w:hideMark/>
                </w:tcPr>
                <w:p w14:paraId="32B77240"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46 667</w:t>
                  </w:r>
                </w:p>
              </w:tc>
              <w:tc>
                <w:tcPr>
                  <w:tcW w:w="992" w:type="dxa"/>
                  <w:tcBorders>
                    <w:top w:val="nil"/>
                    <w:left w:val="nil"/>
                    <w:bottom w:val="single" w:sz="4" w:space="0" w:color="auto"/>
                    <w:right w:val="single" w:sz="4" w:space="0" w:color="auto"/>
                  </w:tcBorders>
                  <w:shd w:val="clear" w:color="auto" w:fill="auto"/>
                  <w:noWrap/>
                  <w:vAlign w:val="bottom"/>
                  <w:hideMark/>
                </w:tcPr>
                <w:p w14:paraId="42A6D7A4"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1,39</w:t>
                  </w:r>
                </w:p>
              </w:tc>
              <w:tc>
                <w:tcPr>
                  <w:tcW w:w="992" w:type="dxa"/>
                  <w:tcBorders>
                    <w:top w:val="nil"/>
                    <w:left w:val="nil"/>
                    <w:bottom w:val="single" w:sz="4" w:space="0" w:color="auto"/>
                    <w:right w:val="single" w:sz="4" w:space="0" w:color="auto"/>
                  </w:tcBorders>
                  <w:shd w:val="clear" w:color="auto" w:fill="auto"/>
                  <w:noWrap/>
                  <w:vAlign w:val="bottom"/>
                  <w:hideMark/>
                </w:tcPr>
                <w:p w14:paraId="15AB98FB"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731885F6"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0,89</w:t>
                  </w:r>
                </w:p>
              </w:tc>
              <w:tc>
                <w:tcPr>
                  <w:tcW w:w="1134" w:type="dxa"/>
                  <w:tcBorders>
                    <w:top w:val="nil"/>
                    <w:left w:val="nil"/>
                    <w:bottom w:val="single" w:sz="4" w:space="0" w:color="auto"/>
                    <w:right w:val="single" w:sz="4" w:space="0" w:color="auto"/>
                  </w:tcBorders>
                  <w:shd w:val="clear" w:color="auto" w:fill="auto"/>
                  <w:noWrap/>
                  <w:vAlign w:val="bottom"/>
                  <w:hideMark/>
                </w:tcPr>
                <w:p w14:paraId="0ED811B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41 533,63</w:t>
                  </w:r>
                </w:p>
              </w:tc>
            </w:tr>
            <w:tr w:rsidR="00FF5347" w:rsidRPr="00FF5347" w14:paraId="6657A614"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58FBA79A"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Kopā</w:t>
                  </w:r>
                </w:p>
              </w:tc>
              <w:tc>
                <w:tcPr>
                  <w:tcW w:w="1559" w:type="dxa"/>
                  <w:tcBorders>
                    <w:top w:val="nil"/>
                    <w:left w:val="nil"/>
                    <w:bottom w:val="single" w:sz="4" w:space="0" w:color="auto"/>
                    <w:right w:val="single" w:sz="4" w:space="0" w:color="auto"/>
                  </w:tcBorders>
                  <w:shd w:val="clear" w:color="auto" w:fill="auto"/>
                  <w:noWrap/>
                  <w:vAlign w:val="bottom"/>
                  <w:hideMark/>
                </w:tcPr>
                <w:p w14:paraId="49599663"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48 266</w:t>
                  </w:r>
                </w:p>
              </w:tc>
              <w:tc>
                <w:tcPr>
                  <w:tcW w:w="992" w:type="dxa"/>
                  <w:tcBorders>
                    <w:top w:val="nil"/>
                    <w:left w:val="nil"/>
                    <w:bottom w:val="single" w:sz="4" w:space="0" w:color="auto"/>
                    <w:right w:val="single" w:sz="4" w:space="0" w:color="auto"/>
                  </w:tcBorders>
                  <w:shd w:val="clear" w:color="auto" w:fill="auto"/>
                  <w:noWrap/>
                  <w:vAlign w:val="bottom"/>
                  <w:hideMark/>
                </w:tcPr>
                <w:p w14:paraId="0CEB2CD5"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3523AB31"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x</w:t>
                  </w:r>
                </w:p>
              </w:tc>
              <w:tc>
                <w:tcPr>
                  <w:tcW w:w="1560" w:type="dxa"/>
                  <w:tcBorders>
                    <w:top w:val="nil"/>
                    <w:left w:val="nil"/>
                    <w:bottom w:val="single" w:sz="4" w:space="0" w:color="auto"/>
                    <w:right w:val="single" w:sz="4" w:space="0" w:color="auto"/>
                  </w:tcBorders>
                  <w:shd w:val="clear" w:color="auto" w:fill="auto"/>
                  <w:noWrap/>
                  <w:vAlign w:val="bottom"/>
                  <w:hideMark/>
                </w:tcPr>
                <w:p w14:paraId="346B390A"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077FDFE" w14:textId="77777777" w:rsidR="00FF5347" w:rsidRPr="00FF5347" w:rsidRDefault="00FF5347" w:rsidP="000C30E2">
                  <w:pPr>
                    <w:jc w:val="right"/>
                    <w:rPr>
                      <w:rFonts w:ascii="Times New Roman" w:hAnsi="Times New Roman"/>
                      <w:b/>
                      <w:bCs/>
                      <w:sz w:val="24"/>
                      <w:szCs w:val="24"/>
                    </w:rPr>
                  </w:pPr>
                  <w:r w:rsidRPr="00FF5347">
                    <w:rPr>
                      <w:rFonts w:ascii="Times New Roman" w:hAnsi="Times New Roman"/>
                      <w:b/>
                      <w:bCs/>
                      <w:sz w:val="24"/>
                      <w:szCs w:val="24"/>
                    </w:rPr>
                    <w:t>42 889,47</w:t>
                  </w:r>
                </w:p>
              </w:tc>
            </w:tr>
          </w:tbl>
          <w:p w14:paraId="45F27027" w14:textId="77777777" w:rsidR="00FF5347" w:rsidRPr="004F1969" w:rsidRDefault="00FF5347" w:rsidP="004F1969">
            <w:pPr>
              <w:rPr>
                <w:lang w:eastAsia="lv-LV"/>
              </w:rPr>
            </w:pPr>
          </w:p>
        </w:tc>
      </w:tr>
      <w:tr w:rsidR="00FF5347" w:rsidRPr="00B36392" w14:paraId="2DE57C81"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281"/>
        </w:trPr>
        <w:tc>
          <w:tcPr>
            <w:tcW w:w="880" w:type="pct"/>
            <w:gridSpan w:val="2"/>
          </w:tcPr>
          <w:p w14:paraId="1191B94F"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lastRenderedPageBreak/>
              <w:t>6.2. detalizēts izdevumu aprēķins</w:t>
            </w:r>
          </w:p>
        </w:tc>
        <w:tc>
          <w:tcPr>
            <w:tcW w:w="4120" w:type="pct"/>
            <w:gridSpan w:val="6"/>
          </w:tcPr>
          <w:p w14:paraId="5D9ADEA6" w14:textId="77777777" w:rsidR="004F1969" w:rsidRDefault="004F1969" w:rsidP="004F1969">
            <w:pPr>
              <w:spacing w:after="0" w:line="240" w:lineRule="auto"/>
              <w:jc w:val="both"/>
              <w:rPr>
                <w:rFonts w:ascii="Times New Roman" w:hAnsi="Times New Roman"/>
                <w:sz w:val="24"/>
                <w:szCs w:val="24"/>
              </w:rPr>
            </w:pPr>
            <w:r w:rsidRPr="004F1969">
              <w:rPr>
                <w:rFonts w:ascii="Times New Roman" w:hAnsi="Times New Roman"/>
                <w:sz w:val="24"/>
                <w:szCs w:val="24"/>
              </w:rPr>
              <w:t xml:space="preserve">Civillietās gadā tiek nosūtīti vidēji 290 343 ierakstīti pasta sūtījumi par kopējo summu 415 128 </w:t>
            </w:r>
            <w:r w:rsidRPr="004F1969">
              <w:rPr>
                <w:rFonts w:ascii="Times New Roman" w:hAnsi="Times New Roman"/>
                <w:i/>
                <w:sz w:val="24"/>
                <w:szCs w:val="24"/>
              </w:rPr>
              <w:t>euro</w:t>
            </w:r>
            <w:r w:rsidRPr="004F1969">
              <w:rPr>
                <w:rFonts w:ascii="Times New Roman" w:hAnsi="Times New Roman"/>
                <w:sz w:val="24"/>
                <w:szCs w:val="24"/>
              </w:rPr>
              <w:t>.</w:t>
            </w:r>
          </w:p>
          <w:p w14:paraId="0C22AC1A" w14:textId="77777777" w:rsidR="004F1969" w:rsidRPr="004F1969" w:rsidRDefault="004F1969" w:rsidP="004F1969">
            <w:pPr>
              <w:spacing w:after="0" w:line="240" w:lineRule="auto"/>
              <w:jc w:val="both"/>
              <w:rPr>
                <w:rFonts w:ascii="Times New Roman" w:hAnsi="Times New Roman"/>
                <w:sz w:val="24"/>
                <w:szCs w:val="24"/>
              </w:rPr>
            </w:pPr>
          </w:p>
          <w:p w14:paraId="195C7C8B" w14:textId="5AE7F666" w:rsidR="004F1969" w:rsidRDefault="004F1969" w:rsidP="004F1969">
            <w:pPr>
              <w:spacing w:after="0" w:line="240" w:lineRule="auto"/>
              <w:jc w:val="both"/>
              <w:rPr>
                <w:rFonts w:ascii="Times New Roman" w:hAnsi="Times New Roman"/>
                <w:sz w:val="24"/>
                <w:szCs w:val="24"/>
              </w:rPr>
            </w:pPr>
            <w:r w:rsidRPr="004F1969">
              <w:rPr>
                <w:rFonts w:ascii="Times New Roman" w:hAnsi="Times New Roman"/>
                <w:sz w:val="24"/>
                <w:szCs w:val="24"/>
              </w:rPr>
              <w:t>Ar 2017.</w:t>
            </w:r>
            <w:r>
              <w:rPr>
                <w:rFonts w:ascii="Times New Roman" w:hAnsi="Times New Roman"/>
                <w:sz w:val="24"/>
                <w:szCs w:val="24"/>
              </w:rPr>
              <w:t> </w:t>
            </w:r>
            <w:r w:rsidRPr="004F1969">
              <w:rPr>
                <w:rFonts w:ascii="Times New Roman" w:hAnsi="Times New Roman"/>
                <w:sz w:val="24"/>
                <w:szCs w:val="24"/>
              </w:rPr>
              <w:t>gada 1.</w:t>
            </w:r>
            <w:r>
              <w:rPr>
                <w:rFonts w:ascii="Times New Roman" w:hAnsi="Times New Roman"/>
                <w:sz w:val="24"/>
                <w:szCs w:val="24"/>
              </w:rPr>
              <w:t> </w:t>
            </w:r>
            <w:r w:rsidRPr="004F1969">
              <w:rPr>
                <w:rFonts w:ascii="Times New Roman" w:hAnsi="Times New Roman"/>
                <w:sz w:val="24"/>
                <w:szCs w:val="24"/>
              </w:rPr>
              <w:t>janvāri paredzēts, ka tiesas pavēstes un tiesas dokumentus personām nosūta nevis ierakstīta pasta sūtījuma veidā, bet vienkāršā pasta sūtījumā (izņemot pirmreizējos sūtījums), līdz ar to samazināsies izdevumi, kas rodas lietas izskatīšanas gaitā saistībā ar aicināšanu uz atkārtotām tiesas sēdēm. Samazinājums plānots 48 266 pasta sūtījumiem.</w:t>
            </w:r>
          </w:p>
          <w:p w14:paraId="5C91C12B" w14:textId="77777777" w:rsidR="004F1969" w:rsidRPr="004F1969" w:rsidRDefault="004F1969" w:rsidP="004F1969">
            <w:pPr>
              <w:spacing w:after="0" w:line="240" w:lineRule="auto"/>
              <w:jc w:val="both"/>
              <w:rPr>
                <w:rFonts w:ascii="Times New Roman" w:hAnsi="Times New Roman"/>
                <w:sz w:val="24"/>
                <w:szCs w:val="24"/>
              </w:rPr>
            </w:pPr>
          </w:p>
          <w:p w14:paraId="5C48193F" w14:textId="77777777" w:rsidR="00FF5347" w:rsidRPr="00FF5347" w:rsidRDefault="00FF5347" w:rsidP="000C30E2">
            <w:pPr>
              <w:jc w:val="both"/>
              <w:rPr>
                <w:rFonts w:ascii="Times New Roman" w:hAnsi="Times New Roman"/>
                <w:sz w:val="24"/>
                <w:szCs w:val="24"/>
              </w:rPr>
            </w:pPr>
            <w:r w:rsidRPr="00FF5347">
              <w:rPr>
                <w:rFonts w:ascii="Times New Roman" w:hAnsi="Times New Roman"/>
                <w:sz w:val="24"/>
                <w:szCs w:val="24"/>
              </w:rPr>
              <w:t>Pirmreizējo pasta sūtījumu aprēķins:</w:t>
            </w:r>
          </w:p>
          <w:p w14:paraId="54FD7B00" w14:textId="33FA840B" w:rsidR="00FF5347" w:rsidRPr="00FF5347" w:rsidRDefault="00FF5347" w:rsidP="00FF5347">
            <w:pPr>
              <w:pStyle w:val="Sarakstarindkopa"/>
              <w:numPr>
                <w:ilvl w:val="0"/>
                <w:numId w:val="9"/>
              </w:numPr>
              <w:jc w:val="both"/>
              <w:rPr>
                <w:szCs w:val="24"/>
              </w:rPr>
            </w:pPr>
            <w:r w:rsidRPr="00FF5347">
              <w:rPr>
                <w:szCs w:val="24"/>
              </w:rPr>
              <w:t>2016.</w:t>
            </w:r>
            <w:r w:rsidR="004F1969">
              <w:rPr>
                <w:szCs w:val="24"/>
              </w:rPr>
              <w:t> </w:t>
            </w:r>
            <w:r w:rsidRPr="00FF5347">
              <w:rPr>
                <w:szCs w:val="24"/>
              </w:rPr>
              <w:t>gada pieteikumi brīdinājumā kārtībā, prognoze gadam 25914, vienam pieteikumam 3 ierakstīti pasta sūtījumi, kopā 25914 x 3 = 77 742 sūtījumi;</w:t>
            </w:r>
          </w:p>
          <w:p w14:paraId="1B64852C" w14:textId="561A42C8" w:rsidR="00FF5347" w:rsidRPr="00FF5347" w:rsidRDefault="00FF5347" w:rsidP="00FF5347">
            <w:pPr>
              <w:pStyle w:val="Sarakstarindkopa"/>
              <w:numPr>
                <w:ilvl w:val="0"/>
                <w:numId w:val="9"/>
              </w:numPr>
              <w:jc w:val="both"/>
              <w:rPr>
                <w:szCs w:val="24"/>
              </w:rPr>
            </w:pPr>
            <w:r w:rsidRPr="00FF5347">
              <w:rPr>
                <w:szCs w:val="24"/>
              </w:rPr>
              <w:t xml:space="preserve"> 2016.</w:t>
            </w:r>
            <w:r w:rsidR="004F1969">
              <w:rPr>
                <w:szCs w:val="24"/>
              </w:rPr>
              <w:t> </w:t>
            </w:r>
            <w:r w:rsidR="00396B97">
              <w:rPr>
                <w:szCs w:val="24"/>
              </w:rPr>
              <w:t>gada</w:t>
            </w:r>
            <w:r w:rsidRPr="00FF5347">
              <w:rPr>
                <w:szCs w:val="24"/>
              </w:rPr>
              <w:t xml:space="preserve"> pieteikumi prasības kārtībā, prognoze gadam 42 137; ja viens prasītājs un viens atbildētājs 3 sūtījumi, kopā 42 137 x 3 =126 </w:t>
            </w:r>
            <w:proofErr w:type="gramStart"/>
            <w:r w:rsidRPr="00FF5347">
              <w:rPr>
                <w:szCs w:val="24"/>
              </w:rPr>
              <w:t>411 sūtījumi</w:t>
            </w:r>
            <w:proofErr w:type="gramEnd"/>
            <w:r w:rsidRPr="00FF5347">
              <w:rPr>
                <w:szCs w:val="24"/>
              </w:rPr>
              <w:t>;</w:t>
            </w:r>
          </w:p>
          <w:p w14:paraId="7A55981C" w14:textId="25EA1914" w:rsidR="00FF5347" w:rsidRPr="00FF5347" w:rsidRDefault="00FF5347" w:rsidP="00FF5347">
            <w:pPr>
              <w:pStyle w:val="Sarakstarindkopa"/>
              <w:numPr>
                <w:ilvl w:val="0"/>
                <w:numId w:val="9"/>
              </w:numPr>
              <w:jc w:val="both"/>
              <w:rPr>
                <w:szCs w:val="24"/>
              </w:rPr>
            </w:pPr>
            <w:r w:rsidRPr="00FF5347">
              <w:rPr>
                <w:szCs w:val="24"/>
              </w:rPr>
              <w:t xml:space="preserve">pieņēmums: </w:t>
            </w:r>
            <w:r w:rsidR="004F1969">
              <w:rPr>
                <w:szCs w:val="24"/>
              </w:rPr>
              <w:t>20% pieteikumu prasības kārtībā</w:t>
            </w:r>
            <w:r w:rsidRPr="00FF5347">
              <w:rPr>
                <w:szCs w:val="24"/>
              </w:rPr>
              <w:t xml:space="preserve"> vēl 2 atbildētāji un ka</w:t>
            </w:r>
            <w:r w:rsidR="004F1969">
              <w:rPr>
                <w:szCs w:val="24"/>
              </w:rPr>
              <w:t>tram divi</w:t>
            </w:r>
            <w:r w:rsidRPr="00FF5347">
              <w:rPr>
                <w:szCs w:val="24"/>
              </w:rPr>
              <w:t xml:space="preserve"> sūtījumi, kopā 20% no 42 137 x 2 atbildētāji x 2 sūtījumi = 33710 sūtījumi;</w:t>
            </w:r>
          </w:p>
          <w:p w14:paraId="40B9740A" w14:textId="290CD778" w:rsidR="00FF5347" w:rsidRPr="00FF5347" w:rsidRDefault="00FF5347" w:rsidP="00FF5347">
            <w:pPr>
              <w:pStyle w:val="Sarakstarindkopa"/>
              <w:numPr>
                <w:ilvl w:val="0"/>
                <w:numId w:val="9"/>
              </w:numPr>
              <w:jc w:val="both"/>
              <w:rPr>
                <w:szCs w:val="24"/>
              </w:rPr>
            </w:pPr>
            <w:r w:rsidRPr="00FF5347">
              <w:rPr>
                <w:szCs w:val="24"/>
              </w:rPr>
              <w:t>pieņēmums: 10% pieteikumu ir vēl viens prasītājs</w:t>
            </w:r>
            <w:r w:rsidR="004F1969">
              <w:rPr>
                <w:szCs w:val="24"/>
              </w:rPr>
              <w:t xml:space="preserve"> </w:t>
            </w:r>
            <w:r w:rsidRPr="00FF5347">
              <w:rPr>
                <w:szCs w:val="24"/>
              </w:rPr>
              <w:t>un katram prasītājam viens sūtījums, kopā 10% no 42 137 x 1 prasītājs x 1sūtījums = 4 214 sūtījumi;</w:t>
            </w:r>
          </w:p>
          <w:p w14:paraId="25A585DE" w14:textId="77777777" w:rsidR="00FF5347" w:rsidRPr="00FF5347" w:rsidRDefault="00FF5347" w:rsidP="000C30E2">
            <w:pPr>
              <w:pStyle w:val="Sarakstarindkopa"/>
              <w:ind w:left="0"/>
              <w:jc w:val="both"/>
              <w:rPr>
                <w:szCs w:val="24"/>
              </w:rPr>
            </w:pPr>
            <w:r w:rsidRPr="00FF5347">
              <w:rPr>
                <w:szCs w:val="24"/>
              </w:rPr>
              <w:t>Kopā pirmreizējie sūtījumi, kas arī turpmāk tiks sūtīti ierakstītā pasta sūtījumā: 242 077 sūtījumi.</w:t>
            </w:r>
          </w:p>
          <w:p w14:paraId="5A0D4E25" w14:textId="6657ED95" w:rsidR="00FF5347" w:rsidRPr="00FF5347" w:rsidRDefault="00FF5347" w:rsidP="000C30E2">
            <w:pPr>
              <w:pStyle w:val="Sarakstarindkopa"/>
              <w:ind w:left="0"/>
              <w:jc w:val="both"/>
              <w:rPr>
                <w:szCs w:val="24"/>
              </w:rPr>
            </w:pPr>
            <w:r w:rsidRPr="00FF5347">
              <w:rPr>
                <w:szCs w:val="24"/>
              </w:rPr>
              <w:t>Grozījumi CPL paredz, ka advokātam par tiesas dokumentiem, kā arī citiem elektroniski sagatavotiem dokumentiem paziņo tiešsaistes sistēmā. Izdevumu samazinā</w:t>
            </w:r>
            <w:r w:rsidR="0009782E">
              <w:rPr>
                <w:szCs w:val="24"/>
              </w:rPr>
              <w:t>jums netiek prognozēts, jo</w:t>
            </w:r>
            <w:r w:rsidRPr="00FF5347">
              <w:rPr>
                <w:szCs w:val="24"/>
              </w:rPr>
              <w:t xml:space="preserve"> jau šobrīd saziņa ar advokātiem notiek tiešsaistes sistēmā.</w:t>
            </w:r>
          </w:p>
          <w:p w14:paraId="4B7BB9A2" w14:textId="77777777" w:rsidR="00FF5347" w:rsidRPr="00FF5347" w:rsidRDefault="00FF5347" w:rsidP="000C30E2">
            <w:pPr>
              <w:pStyle w:val="Sarakstarindkopa"/>
              <w:ind w:left="0"/>
              <w:jc w:val="both"/>
              <w:rPr>
                <w:szCs w:val="24"/>
              </w:rPr>
            </w:pPr>
            <w:r w:rsidRPr="00FF5347">
              <w:rPr>
                <w:szCs w:val="24"/>
              </w:rPr>
              <w:t xml:space="preserve">Grozījumi CPL paredz, ka notāram, tiesu izpildītājam, juridiskai personai, valsts un pašvaldību iestādei par tiesas dokumentiem, kā arī citiem elektroniski sagatavotiem dokumentiem paziņo elektroniskā pasta sūtījumā vai tiešsaistes sistēmā. Ievērojot to, ka nav uzskaites datu par ierakstītu pasta </w:t>
            </w:r>
            <w:r w:rsidRPr="00FF5347">
              <w:rPr>
                <w:szCs w:val="24"/>
              </w:rPr>
              <w:lastRenderedPageBreak/>
              <w:t>sūtījumu apjomu minētajām personām, tad šobrīd ietekmi uz valsts budžeta izdevumiem nevar noteikt.</w:t>
            </w:r>
          </w:p>
          <w:p w14:paraId="648D4DAC" w14:textId="77777777" w:rsidR="00FF5347" w:rsidRPr="00FF5347" w:rsidRDefault="00FF5347" w:rsidP="000C30E2">
            <w:pPr>
              <w:pStyle w:val="Sarakstarindkopa"/>
              <w:ind w:left="0"/>
              <w:jc w:val="both"/>
              <w:rPr>
                <w:szCs w:val="24"/>
              </w:rPr>
            </w:pPr>
            <w:r w:rsidRPr="00FF5347">
              <w:rPr>
                <w:szCs w:val="24"/>
              </w:rPr>
              <w:t>Sūtījumu, kurus turpmāk tiesas sūtīs vienkāršā pasta sūtījumā, skaita aprēķins:</w:t>
            </w:r>
          </w:p>
          <w:p w14:paraId="6DB13F8B" w14:textId="0D20CF5E" w:rsidR="00FF5347" w:rsidRPr="00FF5347" w:rsidRDefault="00FF5347" w:rsidP="004F1969">
            <w:pPr>
              <w:pStyle w:val="Sarakstarindkopa"/>
              <w:ind w:left="0"/>
              <w:jc w:val="both"/>
              <w:rPr>
                <w:szCs w:val="24"/>
              </w:rPr>
            </w:pPr>
            <w:r w:rsidRPr="00FF5347">
              <w:rPr>
                <w:szCs w:val="24"/>
              </w:rPr>
              <w:t>Kopējais sūtījumu skaits 290 343 – 242 077 pirmreizējie sūtījumi = 48 266 sūtījumi.</w:t>
            </w:r>
          </w:p>
          <w:tbl>
            <w:tblPr>
              <w:tblW w:w="7400" w:type="dxa"/>
              <w:tblLayout w:type="fixed"/>
              <w:tblLook w:val="04A0" w:firstRow="1" w:lastRow="0" w:firstColumn="1" w:lastColumn="0" w:noHBand="0" w:noVBand="1"/>
            </w:tblPr>
            <w:tblGrid>
              <w:gridCol w:w="1163"/>
              <w:gridCol w:w="1559"/>
              <w:gridCol w:w="992"/>
              <w:gridCol w:w="992"/>
              <w:gridCol w:w="1560"/>
              <w:gridCol w:w="1134"/>
            </w:tblGrid>
            <w:tr w:rsidR="00FF5347" w:rsidRPr="00FF5347" w14:paraId="59E51023" w14:textId="77777777" w:rsidTr="00FF5347">
              <w:trPr>
                <w:trHeight w:val="167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AA5C" w14:textId="77777777" w:rsidR="00FF5347" w:rsidRPr="00FF5347" w:rsidRDefault="00FF5347" w:rsidP="000C30E2">
                  <w:pPr>
                    <w:ind w:left="-79"/>
                    <w:jc w:val="center"/>
                    <w:rPr>
                      <w:rFonts w:ascii="Times New Roman" w:hAnsi="Times New Roman"/>
                      <w:color w:val="000000"/>
                      <w:sz w:val="24"/>
                      <w:szCs w:val="24"/>
                    </w:rPr>
                  </w:pPr>
                  <w:r w:rsidRPr="00FF5347">
                    <w:rPr>
                      <w:rFonts w:ascii="Times New Roman" w:hAnsi="Times New Roman"/>
                      <w:color w:val="000000"/>
                      <w:sz w:val="24"/>
                      <w:szCs w:val="24"/>
                    </w:rPr>
                    <w:t>Sūtījuma veids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69776CB"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Sūtījumi, kurus saskaņā ar grozījumiem CPL paredzēts sūtīt vienkāršā pasta sūtījumā, skaits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B52EC0"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Viena ierakstīta sūtījuma cena, euro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CF4FE5"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Viena vienkārša sūtījuma cena, euro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38DD5C"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Cenas starpība, kura netiks iekasēta no procesa dalībniekiem, euro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90CBBD"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Izdevumu samazinājums, euro</w:t>
                  </w:r>
                </w:p>
              </w:tc>
            </w:tr>
            <w:tr w:rsidR="00FF5347" w:rsidRPr="00FF5347" w14:paraId="7F582E2C" w14:textId="77777777" w:rsidTr="00FF5347">
              <w:trPr>
                <w:trHeight w:val="33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3A8FFEE"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14:paraId="456F38E8"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14:paraId="56E70840"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783475A2"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center"/>
                  <w:hideMark/>
                </w:tcPr>
                <w:p w14:paraId="0F91C7C2"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5 (3-4)</w:t>
                  </w:r>
                </w:p>
              </w:tc>
              <w:tc>
                <w:tcPr>
                  <w:tcW w:w="1134" w:type="dxa"/>
                  <w:tcBorders>
                    <w:top w:val="nil"/>
                    <w:left w:val="nil"/>
                    <w:bottom w:val="single" w:sz="4" w:space="0" w:color="auto"/>
                    <w:right w:val="single" w:sz="4" w:space="0" w:color="auto"/>
                  </w:tcBorders>
                  <w:shd w:val="clear" w:color="auto" w:fill="auto"/>
                  <w:vAlign w:val="center"/>
                  <w:hideMark/>
                </w:tcPr>
                <w:p w14:paraId="66A91359"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6 (2 x 5)</w:t>
                  </w:r>
                </w:p>
              </w:tc>
            </w:tr>
            <w:tr w:rsidR="00FF5347" w:rsidRPr="00FF5347" w14:paraId="3F5F36EE" w14:textId="77777777" w:rsidTr="00FF5347">
              <w:trPr>
                <w:trHeight w:val="330"/>
              </w:trPr>
              <w:tc>
                <w:tcPr>
                  <w:tcW w:w="74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F03CF3"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Sūtījumi pa Latviju, A klase</w:t>
                  </w:r>
                </w:p>
              </w:tc>
            </w:tr>
            <w:tr w:rsidR="00FF5347" w:rsidRPr="00FF5347" w14:paraId="1C854823"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2CB1DA8"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20 g </w:t>
                  </w:r>
                </w:p>
              </w:tc>
              <w:tc>
                <w:tcPr>
                  <w:tcW w:w="1559" w:type="dxa"/>
                  <w:tcBorders>
                    <w:top w:val="nil"/>
                    <w:left w:val="nil"/>
                    <w:bottom w:val="single" w:sz="4" w:space="0" w:color="auto"/>
                    <w:right w:val="single" w:sz="4" w:space="0" w:color="auto"/>
                  </w:tcBorders>
                  <w:shd w:val="clear" w:color="auto" w:fill="auto"/>
                  <w:noWrap/>
                  <w:vAlign w:val="bottom"/>
                  <w:hideMark/>
                </w:tcPr>
                <w:p w14:paraId="053D7DAB"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796</w:t>
                  </w:r>
                </w:p>
              </w:tc>
              <w:tc>
                <w:tcPr>
                  <w:tcW w:w="992" w:type="dxa"/>
                  <w:tcBorders>
                    <w:top w:val="nil"/>
                    <w:left w:val="nil"/>
                    <w:bottom w:val="single" w:sz="4" w:space="0" w:color="auto"/>
                    <w:right w:val="single" w:sz="4" w:space="0" w:color="auto"/>
                  </w:tcBorders>
                  <w:shd w:val="clear" w:color="auto" w:fill="auto"/>
                  <w:noWrap/>
                  <w:vAlign w:val="bottom"/>
                  <w:hideMark/>
                </w:tcPr>
                <w:p w14:paraId="230AAF1D"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1,42</w:t>
                  </w:r>
                </w:p>
              </w:tc>
              <w:tc>
                <w:tcPr>
                  <w:tcW w:w="992" w:type="dxa"/>
                  <w:tcBorders>
                    <w:top w:val="nil"/>
                    <w:left w:val="nil"/>
                    <w:bottom w:val="single" w:sz="4" w:space="0" w:color="auto"/>
                    <w:right w:val="single" w:sz="4" w:space="0" w:color="auto"/>
                  </w:tcBorders>
                  <w:shd w:val="clear" w:color="auto" w:fill="auto"/>
                  <w:noWrap/>
                  <w:vAlign w:val="bottom"/>
                  <w:hideMark/>
                </w:tcPr>
                <w:p w14:paraId="6BECA28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0,57</w:t>
                  </w:r>
                </w:p>
              </w:tc>
              <w:tc>
                <w:tcPr>
                  <w:tcW w:w="1560" w:type="dxa"/>
                  <w:tcBorders>
                    <w:top w:val="nil"/>
                    <w:left w:val="nil"/>
                    <w:bottom w:val="single" w:sz="4" w:space="0" w:color="auto"/>
                    <w:right w:val="single" w:sz="4" w:space="0" w:color="auto"/>
                  </w:tcBorders>
                  <w:shd w:val="clear" w:color="auto" w:fill="auto"/>
                  <w:noWrap/>
                  <w:vAlign w:val="bottom"/>
                  <w:hideMark/>
                </w:tcPr>
                <w:p w14:paraId="702421A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0,85</w:t>
                  </w:r>
                </w:p>
              </w:tc>
              <w:tc>
                <w:tcPr>
                  <w:tcW w:w="1134" w:type="dxa"/>
                  <w:tcBorders>
                    <w:top w:val="nil"/>
                    <w:left w:val="nil"/>
                    <w:bottom w:val="single" w:sz="4" w:space="0" w:color="auto"/>
                    <w:right w:val="single" w:sz="4" w:space="0" w:color="auto"/>
                  </w:tcBorders>
                  <w:shd w:val="clear" w:color="auto" w:fill="auto"/>
                  <w:noWrap/>
                  <w:vAlign w:val="bottom"/>
                  <w:hideMark/>
                </w:tcPr>
                <w:p w14:paraId="352D0E2B"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676,60</w:t>
                  </w:r>
                </w:p>
              </w:tc>
            </w:tr>
            <w:tr w:rsidR="00FF5347" w:rsidRPr="00FF5347" w14:paraId="60424613"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02D2940"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līdz 50 g</w:t>
                  </w:r>
                </w:p>
              </w:tc>
              <w:tc>
                <w:tcPr>
                  <w:tcW w:w="1559" w:type="dxa"/>
                  <w:tcBorders>
                    <w:top w:val="nil"/>
                    <w:left w:val="nil"/>
                    <w:bottom w:val="single" w:sz="4" w:space="0" w:color="auto"/>
                    <w:right w:val="single" w:sz="4" w:space="0" w:color="auto"/>
                  </w:tcBorders>
                  <w:shd w:val="clear" w:color="auto" w:fill="auto"/>
                  <w:noWrap/>
                  <w:vAlign w:val="bottom"/>
                  <w:hideMark/>
                </w:tcPr>
                <w:p w14:paraId="1F94617B"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566</w:t>
                  </w:r>
                </w:p>
              </w:tc>
              <w:tc>
                <w:tcPr>
                  <w:tcW w:w="992" w:type="dxa"/>
                  <w:tcBorders>
                    <w:top w:val="nil"/>
                    <w:left w:val="nil"/>
                    <w:bottom w:val="single" w:sz="4" w:space="0" w:color="auto"/>
                    <w:right w:val="single" w:sz="4" w:space="0" w:color="auto"/>
                  </w:tcBorders>
                  <w:shd w:val="clear" w:color="auto" w:fill="auto"/>
                  <w:noWrap/>
                  <w:vAlign w:val="bottom"/>
                  <w:hideMark/>
                </w:tcPr>
                <w:p w14:paraId="1A6C6E5F"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1,49</w:t>
                  </w:r>
                </w:p>
              </w:tc>
              <w:tc>
                <w:tcPr>
                  <w:tcW w:w="992" w:type="dxa"/>
                  <w:tcBorders>
                    <w:top w:val="nil"/>
                    <w:left w:val="nil"/>
                    <w:bottom w:val="single" w:sz="4" w:space="0" w:color="auto"/>
                    <w:right w:val="single" w:sz="4" w:space="0" w:color="auto"/>
                  </w:tcBorders>
                  <w:shd w:val="clear" w:color="auto" w:fill="auto"/>
                  <w:noWrap/>
                  <w:vAlign w:val="bottom"/>
                  <w:hideMark/>
                </w:tcPr>
                <w:p w14:paraId="4CD2FF50"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0,61</w:t>
                  </w:r>
                </w:p>
              </w:tc>
              <w:tc>
                <w:tcPr>
                  <w:tcW w:w="1560" w:type="dxa"/>
                  <w:tcBorders>
                    <w:top w:val="nil"/>
                    <w:left w:val="nil"/>
                    <w:bottom w:val="single" w:sz="4" w:space="0" w:color="auto"/>
                    <w:right w:val="single" w:sz="4" w:space="0" w:color="auto"/>
                  </w:tcBorders>
                  <w:shd w:val="clear" w:color="auto" w:fill="auto"/>
                  <w:noWrap/>
                  <w:vAlign w:val="bottom"/>
                  <w:hideMark/>
                </w:tcPr>
                <w:p w14:paraId="559980D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0,88</w:t>
                  </w:r>
                </w:p>
              </w:tc>
              <w:tc>
                <w:tcPr>
                  <w:tcW w:w="1134" w:type="dxa"/>
                  <w:tcBorders>
                    <w:top w:val="nil"/>
                    <w:left w:val="nil"/>
                    <w:bottom w:val="single" w:sz="4" w:space="0" w:color="auto"/>
                    <w:right w:val="single" w:sz="4" w:space="0" w:color="auto"/>
                  </w:tcBorders>
                  <w:shd w:val="clear" w:color="auto" w:fill="auto"/>
                  <w:noWrap/>
                  <w:vAlign w:val="bottom"/>
                  <w:hideMark/>
                </w:tcPr>
                <w:p w14:paraId="7CF1B88F"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498,08</w:t>
                  </w:r>
                </w:p>
              </w:tc>
            </w:tr>
            <w:tr w:rsidR="00FF5347" w:rsidRPr="00FF5347" w14:paraId="3A764AAF"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98737F8"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100 g </w:t>
                  </w:r>
                </w:p>
              </w:tc>
              <w:tc>
                <w:tcPr>
                  <w:tcW w:w="1559" w:type="dxa"/>
                  <w:tcBorders>
                    <w:top w:val="nil"/>
                    <w:left w:val="nil"/>
                    <w:bottom w:val="single" w:sz="4" w:space="0" w:color="auto"/>
                    <w:right w:val="single" w:sz="4" w:space="0" w:color="auto"/>
                  </w:tcBorders>
                  <w:shd w:val="clear" w:color="auto" w:fill="auto"/>
                  <w:noWrap/>
                  <w:vAlign w:val="bottom"/>
                  <w:hideMark/>
                </w:tcPr>
                <w:p w14:paraId="037B029C"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70</w:t>
                  </w:r>
                </w:p>
              </w:tc>
              <w:tc>
                <w:tcPr>
                  <w:tcW w:w="992" w:type="dxa"/>
                  <w:tcBorders>
                    <w:top w:val="nil"/>
                    <w:left w:val="nil"/>
                    <w:bottom w:val="single" w:sz="4" w:space="0" w:color="auto"/>
                    <w:right w:val="single" w:sz="4" w:space="0" w:color="auto"/>
                  </w:tcBorders>
                  <w:shd w:val="clear" w:color="auto" w:fill="auto"/>
                  <w:noWrap/>
                  <w:vAlign w:val="bottom"/>
                  <w:hideMark/>
                </w:tcPr>
                <w:p w14:paraId="211FC229"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1,57</w:t>
                  </w:r>
                </w:p>
              </w:tc>
              <w:tc>
                <w:tcPr>
                  <w:tcW w:w="992" w:type="dxa"/>
                  <w:tcBorders>
                    <w:top w:val="nil"/>
                    <w:left w:val="nil"/>
                    <w:bottom w:val="single" w:sz="4" w:space="0" w:color="auto"/>
                    <w:right w:val="single" w:sz="4" w:space="0" w:color="auto"/>
                  </w:tcBorders>
                  <w:shd w:val="clear" w:color="auto" w:fill="auto"/>
                  <w:noWrap/>
                  <w:vAlign w:val="bottom"/>
                  <w:hideMark/>
                </w:tcPr>
                <w:p w14:paraId="5A686E2B"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0,68</w:t>
                  </w:r>
                </w:p>
              </w:tc>
              <w:tc>
                <w:tcPr>
                  <w:tcW w:w="1560" w:type="dxa"/>
                  <w:tcBorders>
                    <w:top w:val="nil"/>
                    <w:left w:val="nil"/>
                    <w:bottom w:val="single" w:sz="4" w:space="0" w:color="auto"/>
                    <w:right w:val="single" w:sz="4" w:space="0" w:color="auto"/>
                  </w:tcBorders>
                  <w:shd w:val="clear" w:color="auto" w:fill="auto"/>
                  <w:noWrap/>
                  <w:vAlign w:val="bottom"/>
                  <w:hideMark/>
                </w:tcPr>
                <w:p w14:paraId="73574833"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0,89</w:t>
                  </w:r>
                </w:p>
              </w:tc>
              <w:tc>
                <w:tcPr>
                  <w:tcW w:w="1134" w:type="dxa"/>
                  <w:tcBorders>
                    <w:top w:val="nil"/>
                    <w:left w:val="nil"/>
                    <w:bottom w:val="single" w:sz="4" w:space="0" w:color="auto"/>
                    <w:right w:val="single" w:sz="4" w:space="0" w:color="auto"/>
                  </w:tcBorders>
                  <w:shd w:val="clear" w:color="auto" w:fill="auto"/>
                  <w:noWrap/>
                  <w:vAlign w:val="bottom"/>
                  <w:hideMark/>
                </w:tcPr>
                <w:p w14:paraId="7679D1E6"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62,30</w:t>
                  </w:r>
                </w:p>
              </w:tc>
            </w:tr>
            <w:tr w:rsidR="00FF5347" w:rsidRPr="00FF5347" w14:paraId="1383FE3D"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71BE53A"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250 g </w:t>
                  </w:r>
                </w:p>
              </w:tc>
              <w:tc>
                <w:tcPr>
                  <w:tcW w:w="1559" w:type="dxa"/>
                  <w:tcBorders>
                    <w:top w:val="nil"/>
                    <w:left w:val="nil"/>
                    <w:bottom w:val="single" w:sz="4" w:space="0" w:color="auto"/>
                    <w:right w:val="single" w:sz="4" w:space="0" w:color="auto"/>
                  </w:tcBorders>
                  <w:shd w:val="clear" w:color="auto" w:fill="auto"/>
                  <w:noWrap/>
                  <w:vAlign w:val="bottom"/>
                  <w:hideMark/>
                </w:tcPr>
                <w:p w14:paraId="3435D11D"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62</w:t>
                  </w:r>
                </w:p>
              </w:tc>
              <w:tc>
                <w:tcPr>
                  <w:tcW w:w="992" w:type="dxa"/>
                  <w:tcBorders>
                    <w:top w:val="nil"/>
                    <w:left w:val="nil"/>
                    <w:bottom w:val="single" w:sz="4" w:space="0" w:color="auto"/>
                    <w:right w:val="single" w:sz="4" w:space="0" w:color="auto"/>
                  </w:tcBorders>
                  <w:shd w:val="clear" w:color="auto" w:fill="auto"/>
                  <w:noWrap/>
                  <w:vAlign w:val="bottom"/>
                  <w:hideMark/>
                </w:tcPr>
                <w:p w14:paraId="0FA426B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1,58</w:t>
                  </w:r>
                </w:p>
              </w:tc>
              <w:tc>
                <w:tcPr>
                  <w:tcW w:w="992" w:type="dxa"/>
                  <w:tcBorders>
                    <w:top w:val="nil"/>
                    <w:left w:val="nil"/>
                    <w:bottom w:val="single" w:sz="4" w:space="0" w:color="auto"/>
                    <w:right w:val="single" w:sz="4" w:space="0" w:color="auto"/>
                  </w:tcBorders>
                  <w:shd w:val="clear" w:color="auto" w:fill="auto"/>
                  <w:noWrap/>
                  <w:vAlign w:val="bottom"/>
                  <w:hideMark/>
                </w:tcPr>
                <w:p w14:paraId="276E2AE0"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0,85</w:t>
                  </w:r>
                </w:p>
              </w:tc>
              <w:tc>
                <w:tcPr>
                  <w:tcW w:w="1560" w:type="dxa"/>
                  <w:tcBorders>
                    <w:top w:val="nil"/>
                    <w:left w:val="nil"/>
                    <w:bottom w:val="single" w:sz="4" w:space="0" w:color="auto"/>
                    <w:right w:val="single" w:sz="4" w:space="0" w:color="auto"/>
                  </w:tcBorders>
                  <w:shd w:val="clear" w:color="auto" w:fill="auto"/>
                  <w:noWrap/>
                  <w:vAlign w:val="bottom"/>
                  <w:hideMark/>
                </w:tcPr>
                <w:p w14:paraId="486F9889"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0,73</w:t>
                  </w:r>
                </w:p>
              </w:tc>
              <w:tc>
                <w:tcPr>
                  <w:tcW w:w="1134" w:type="dxa"/>
                  <w:tcBorders>
                    <w:top w:val="nil"/>
                    <w:left w:val="nil"/>
                    <w:bottom w:val="single" w:sz="4" w:space="0" w:color="auto"/>
                    <w:right w:val="single" w:sz="4" w:space="0" w:color="auto"/>
                  </w:tcBorders>
                  <w:shd w:val="clear" w:color="auto" w:fill="auto"/>
                  <w:noWrap/>
                  <w:vAlign w:val="bottom"/>
                  <w:hideMark/>
                </w:tcPr>
                <w:p w14:paraId="7C3B8C5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45,26</w:t>
                  </w:r>
                </w:p>
              </w:tc>
            </w:tr>
            <w:tr w:rsidR="00FF5347" w:rsidRPr="00FF5347" w14:paraId="4DF6A5F9"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9BD1DC9"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500 g </w:t>
                  </w:r>
                </w:p>
              </w:tc>
              <w:tc>
                <w:tcPr>
                  <w:tcW w:w="1559" w:type="dxa"/>
                  <w:tcBorders>
                    <w:top w:val="nil"/>
                    <w:left w:val="nil"/>
                    <w:bottom w:val="single" w:sz="4" w:space="0" w:color="auto"/>
                    <w:right w:val="single" w:sz="4" w:space="0" w:color="auto"/>
                  </w:tcBorders>
                  <w:shd w:val="clear" w:color="auto" w:fill="auto"/>
                  <w:noWrap/>
                  <w:vAlign w:val="bottom"/>
                  <w:hideMark/>
                </w:tcPr>
                <w:p w14:paraId="772C87A0"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32</w:t>
                  </w:r>
                </w:p>
              </w:tc>
              <w:tc>
                <w:tcPr>
                  <w:tcW w:w="992" w:type="dxa"/>
                  <w:tcBorders>
                    <w:top w:val="nil"/>
                    <w:left w:val="nil"/>
                    <w:bottom w:val="single" w:sz="4" w:space="0" w:color="auto"/>
                    <w:right w:val="single" w:sz="4" w:space="0" w:color="auto"/>
                  </w:tcBorders>
                  <w:shd w:val="clear" w:color="auto" w:fill="auto"/>
                  <w:noWrap/>
                  <w:vAlign w:val="bottom"/>
                  <w:hideMark/>
                </w:tcPr>
                <w:p w14:paraId="025BFCA4"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1,81</w:t>
                  </w:r>
                </w:p>
              </w:tc>
              <w:tc>
                <w:tcPr>
                  <w:tcW w:w="992" w:type="dxa"/>
                  <w:tcBorders>
                    <w:top w:val="nil"/>
                    <w:left w:val="nil"/>
                    <w:bottom w:val="single" w:sz="4" w:space="0" w:color="auto"/>
                    <w:right w:val="single" w:sz="4" w:space="0" w:color="auto"/>
                  </w:tcBorders>
                  <w:shd w:val="clear" w:color="auto" w:fill="auto"/>
                  <w:noWrap/>
                  <w:vAlign w:val="bottom"/>
                  <w:hideMark/>
                </w:tcPr>
                <w:p w14:paraId="1DF7C844"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1,10</w:t>
                  </w:r>
                </w:p>
              </w:tc>
              <w:tc>
                <w:tcPr>
                  <w:tcW w:w="1560" w:type="dxa"/>
                  <w:tcBorders>
                    <w:top w:val="nil"/>
                    <w:left w:val="nil"/>
                    <w:bottom w:val="single" w:sz="4" w:space="0" w:color="auto"/>
                    <w:right w:val="single" w:sz="4" w:space="0" w:color="auto"/>
                  </w:tcBorders>
                  <w:shd w:val="clear" w:color="auto" w:fill="auto"/>
                  <w:noWrap/>
                  <w:vAlign w:val="bottom"/>
                  <w:hideMark/>
                </w:tcPr>
                <w:p w14:paraId="45CAA462"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0,71</w:t>
                  </w:r>
                </w:p>
              </w:tc>
              <w:tc>
                <w:tcPr>
                  <w:tcW w:w="1134" w:type="dxa"/>
                  <w:tcBorders>
                    <w:top w:val="nil"/>
                    <w:left w:val="nil"/>
                    <w:bottom w:val="single" w:sz="4" w:space="0" w:color="auto"/>
                    <w:right w:val="single" w:sz="4" w:space="0" w:color="auto"/>
                  </w:tcBorders>
                  <w:shd w:val="clear" w:color="auto" w:fill="auto"/>
                  <w:noWrap/>
                  <w:vAlign w:val="bottom"/>
                  <w:hideMark/>
                </w:tcPr>
                <w:p w14:paraId="0A111F9E"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22,72</w:t>
                  </w:r>
                </w:p>
              </w:tc>
            </w:tr>
            <w:tr w:rsidR="00FF5347" w:rsidRPr="00FF5347" w14:paraId="4FBB1285"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A4A166E"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līdz 1000 g</w:t>
                  </w:r>
                </w:p>
              </w:tc>
              <w:tc>
                <w:tcPr>
                  <w:tcW w:w="1559" w:type="dxa"/>
                  <w:tcBorders>
                    <w:top w:val="nil"/>
                    <w:left w:val="nil"/>
                    <w:bottom w:val="single" w:sz="4" w:space="0" w:color="auto"/>
                    <w:right w:val="single" w:sz="4" w:space="0" w:color="auto"/>
                  </w:tcBorders>
                  <w:shd w:val="clear" w:color="auto" w:fill="auto"/>
                  <w:noWrap/>
                  <w:vAlign w:val="bottom"/>
                  <w:hideMark/>
                </w:tcPr>
                <w:p w14:paraId="574B2CB0"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noWrap/>
                  <w:vAlign w:val="bottom"/>
                  <w:hideMark/>
                </w:tcPr>
                <w:p w14:paraId="79FE34A6"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14:paraId="2836C6E8"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1,71</w:t>
                  </w:r>
                </w:p>
              </w:tc>
              <w:tc>
                <w:tcPr>
                  <w:tcW w:w="1560" w:type="dxa"/>
                  <w:tcBorders>
                    <w:top w:val="nil"/>
                    <w:left w:val="nil"/>
                    <w:bottom w:val="single" w:sz="4" w:space="0" w:color="auto"/>
                    <w:right w:val="single" w:sz="4" w:space="0" w:color="auto"/>
                  </w:tcBorders>
                  <w:shd w:val="clear" w:color="auto" w:fill="auto"/>
                  <w:noWrap/>
                  <w:vAlign w:val="bottom"/>
                  <w:hideMark/>
                </w:tcPr>
                <w:p w14:paraId="58797CD5"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0,51</w:t>
                  </w:r>
                </w:p>
              </w:tc>
              <w:tc>
                <w:tcPr>
                  <w:tcW w:w="1134" w:type="dxa"/>
                  <w:tcBorders>
                    <w:top w:val="nil"/>
                    <w:left w:val="nil"/>
                    <w:bottom w:val="single" w:sz="4" w:space="0" w:color="auto"/>
                    <w:right w:val="single" w:sz="4" w:space="0" w:color="auto"/>
                  </w:tcBorders>
                  <w:shd w:val="clear" w:color="auto" w:fill="auto"/>
                  <w:noWrap/>
                  <w:vAlign w:val="bottom"/>
                  <w:hideMark/>
                </w:tcPr>
                <w:p w14:paraId="47B6ED5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17,34</w:t>
                  </w:r>
                </w:p>
              </w:tc>
            </w:tr>
            <w:tr w:rsidR="00FF5347" w:rsidRPr="00FF5347" w14:paraId="6B618096"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56C246D7"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2000 g </w:t>
                  </w:r>
                </w:p>
              </w:tc>
              <w:tc>
                <w:tcPr>
                  <w:tcW w:w="1559" w:type="dxa"/>
                  <w:tcBorders>
                    <w:top w:val="nil"/>
                    <w:left w:val="nil"/>
                    <w:bottom w:val="single" w:sz="4" w:space="0" w:color="auto"/>
                    <w:right w:val="single" w:sz="4" w:space="0" w:color="auto"/>
                  </w:tcBorders>
                  <w:shd w:val="clear" w:color="auto" w:fill="auto"/>
                  <w:noWrap/>
                  <w:vAlign w:val="bottom"/>
                  <w:hideMark/>
                </w:tcPr>
                <w:p w14:paraId="76248DB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14:paraId="735E20CA"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3,04</w:t>
                  </w:r>
                </w:p>
              </w:tc>
              <w:tc>
                <w:tcPr>
                  <w:tcW w:w="992" w:type="dxa"/>
                  <w:tcBorders>
                    <w:top w:val="nil"/>
                    <w:left w:val="nil"/>
                    <w:bottom w:val="single" w:sz="4" w:space="0" w:color="auto"/>
                    <w:right w:val="single" w:sz="4" w:space="0" w:color="auto"/>
                  </w:tcBorders>
                  <w:shd w:val="clear" w:color="auto" w:fill="auto"/>
                  <w:noWrap/>
                  <w:vAlign w:val="bottom"/>
                  <w:hideMark/>
                </w:tcPr>
                <w:p w14:paraId="7D1CC7C3"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2,18</w:t>
                  </w:r>
                </w:p>
              </w:tc>
              <w:tc>
                <w:tcPr>
                  <w:tcW w:w="1560" w:type="dxa"/>
                  <w:tcBorders>
                    <w:top w:val="nil"/>
                    <w:left w:val="nil"/>
                    <w:bottom w:val="single" w:sz="4" w:space="0" w:color="auto"/>
                    <w:right w:val="single" w:sz="4" w:space="0" w:color="auto"/>
                  </w:tcBorders>
                  <w:shd w:val="clear" w:color="auto" w:fill="auto"/>
                  <w:noWrap/>
                  <w:vAlign w:val="bottom"/>
                  <w:hideMark/>
                </w:tcPr>
                <w:p w14:paraId="542870B6"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0,86</w:t>
                  </w:r>
                </w:p>
              </w:tc>
              <w:tc>
                <w:tcPr>
                  <w:tcW w:w="1134" w:type="dxa"/>
                  <w:tcBorders>
                    <w:top w:val="nil"/>
                    <w:left w:val="nil"/>
                    <w:bottom w:val="single" w:sz="4" w:space="0" w:color="auto"/>
                    <w:right w:val="single" w:sz="4" w:space="0" w:color="auto"/>
                  </w:tcBorders>
                  <w:shd w:val="clear" w:color="auto" w:fill="auto"/>
                  <w:noWrap/>
                  <w:vAlign w:val="bottom"/>
                  <w:hideMark/>
                </w:tcPr>
                <w:p w14:paraId="2E78CD1C"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33,54</w:t>
                  </w:r>
                </w:p>
              </w:tc>
            </w:tr>
            <w:tr w:rsidR="00FF5347" w:rsidRPr="00FF5347" w14:paraId="069BCBC2" w14:textId="77777777" w:rsidTr="00FF5347">
              <w:trPr>
                <w:trHeight w:val="300"/>
              </w:trPr>
              <w:tc>
                <w:tcPr>
                  <w:tcW w:w="74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8EFD65" w14:textId="77777777" w:rsidR="00FF5347" w:rsidRPr="00FF5347" w:rsidRDefault="00FF5347" w:rsidP="000C30E2">
                  <w:pPr>
                    <w:jc w:val="center"/>
                    <w:rPr>
                      <w:rFonts w:ascii="Times New Roman" w:hAnsi="Times New Roman"/>
                      <w:color w:val="000000"/>
                      <w:sz w:val="24"/>
                      <w:szCs w:val="24"/>
                    </w:rPr>
                  </w:pPr>
                  <w:r w:rsidRPr="00FF5347">
                    <w:rPr>
                      <w:rFonts w:ascii="Times New Roman" w:hAnsi="Times New Roman"/>
                      <w:color w:val="000000"/>
                      <w:sz w:val="24"/>
                      <w:szCs w:val="24"/>
                    </w:rPr>
                    <w:t>Sūtījumi pa Latviju, B klase</w:t>
                  </w:r>
                </w:p>
              </w:tc>
            </w:tr>
            <w:tr w:rsidR="00FF5347" w:rsidRPr="00FF5347" w14:paraId="2F7E9C04"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21E49091" w14:textId="77777777" w:rsidR="00FF5347" w:rsidRPr="00FF5347" w:rsidRDefault="00FF5347" w:rsidP="000C30E2">
                  <w:pPr>
                    <w:rPr>
                      <w:rFonts w:ascii="Times New Roman" w:hAnsi="Times New Roman"/>
                      <w:color w:val="000000"/>
                      <w:sz w:val="24"/>
                      <w:szCs w:val="24"/>
                    </w:rPr>
                  </w:pPr>
                  <w:r w:rsidRPr="00FF5347">
                    <w:rPr>
                      <w:rFonts w:ascii="Times New Roman" w:hAnsi="Times New Roman"/>
                      <w:color w:val="000000"/>
                      <w:sz w:val="24"/>
                      <w:szCs w:val="24"/>
                    </w:rPr>
                    <w:t xml:space="preserve">līdz 20 g </w:t>
                  </w:r>
                </w:p>
              </w:tc>
              <w:tc>
                <w:tcPr>
                  <w:tcW w:w="1559" w:type="dxa"/>
                  <w:tcBorders>
                    <w:top w:val="nil"/>
                    <w:left w:val="nil"/>
                    <w:bottom w:val="single" w:sz="4" w:space="0" w:color="auto"/>
                    <w:right w:val="single" w:sz="4" w:space="0" w:color="auto"/>
                  </w:tcBorders>
                  <w:shd w:val="clear" w:color="auto" w:fill="auto"/>
                  <w:noWrap/>
                  <w:vAlign w:val="bottom"/>
                  <w:hideMark/>
                </w:tcPr>
                <w:p w14:paraId="588AE244"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46 667</w:t>
                  </w:r>
                </w:p>
              </w:tc>
              <w:tc>
                <w:tcPr>
                  <w:tcW w:w="992" w:type="dxa"/>
                  <w:tcBorders>
                    <w:top w:val="nil"/>
                    <w:left w:val="nil"/>
                    <w:bottom w:val="single" w:sz="4" w:space="0" w:color="auto"/>
                    <w:right w:val="single" w:sz="4" w:space="0" w:color="auto"/>
                  </w:tcBorders>
                  <w:shd w:val="clear" w:color="auto" w:fill="auto"/>
                  <w:noWrap/>
                  <w:vAlign w:val="bottom"/>
                  <w:hideMark/>
                </w:tcPr>
                <w:p w14:paraId="63173181"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1,39</w:t>
                  </w:r>
                </w:p>
              </w:tc>
              <w:tc>
                <w:tcPr>
                  <w:tcW w:w="992" w:type="dxa"/>
                  <w:tcBorders>
                    <w:top w:val="nil"/>
                    <w:left w:val="nil"/>
                    <w:bottom w:val="single" w:sz="4" w:space="0" w:color="auto"/>
                    <w:right w:val="single" w:sz="4" w:space="0" w:color="auto"/>
                  </w:tcBorders>
                  <w:shd w:val="clear" w:color="auto" w:fill="auto"/>
                  <w:noWrap/>
                  <w:vAlign w:val="bottom"/>
                  <w:hideMark/>
                </w:tcPr>
                <w:p w14:paraId="0BD303CC"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39456C19"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0,89</w:t>
                  </w:r>
                </w:p>
              </w:tc>
              <w:tc>
                <w:tcPr>
                  <w:tcW w:w="1134" w:type="dxa"/>
                  <w:tcBorders>
                    <w:top w:val="nil"/>
                    <w:left w:val="nil"/>
                    <w:bottom w:val="single" w:sz="4" w:space="0" w:color="auto"/>
                    <w:right w:val="single" w:sz="4" w:space="0" w:color="auto"/>
                  </w:tcBorders>
                  <w:shd w:val="clear" w:color="auto" w:fill="auto"/>
                  <w:noWrap/>
                  <w:vAlign w:val="bottom"/>
                  <w:hideMark/>
                </w:tcPr>
                <w:p w14:paraId="3750BD65" w14:textId="77777777" w:rsidR="00FF5347" w:rsidRPr="00FF5347" w:rsidRDefault="00FF5347" w:rsidP="000C30E2">
                  <w:pPr>
                    <w:jc w:val="right"/>
                    <w:rPr>
                      <w:rFonts w:ascii="Times New Roman" w:hAnsi="Times New Roman"/>
                      <w:color w:val="000000"/>
                      <w:sz w:val="24"/>
                      <w:szCs w:val="24"/>
                    </w:rPr>
                  </w:pPr>
                  <w:r w:rsidRPr="00FF5347">
                    <w:rPr>
                      <w:rFonts w:ascii="Times New Roman" w:hAnsi="Times New Roman"/>
                      <w:color w:val="000000"/>
                      <w:sz w:val="24"/>
                      <w:szCs w:val="24"/>
                    </w:rPr>
                    <w:t>41 533,63</w:t>
                  </w:r>
                </w:p>
              </w:tc>
            </w:tr>
            <w:tr w:rsidR="00FF5347" w:rsidRPr="00FF5347" w14:paraId="23A1F054" w14:textId="77777777" w:rsidTr="00FF5347">
              <w:trPr>
                <w:trHeight w:val="300"/>
              </w:trPr>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27341481"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Kopā</w:t>
                  </w:r>
                </w:p>
              </w:tc>
              <w:tc>
                <w:tcPr>
                  <w:tcW w:w="1559" w:type="dxa"/>
                  <w:tcBorders>
                    <w:top w:val="nil"/>
                    <w:left w:val="nil"/>
                    <w:bottom w:val="single" w:sz="4" w:space="0" w:color="auto"/>
                    <w:right w:val="single" w:sz="4" w:space="0" w:color="auto"/>
                  </w:tcBorders>
                  <w:shd w:val="clear" w:color="auto" w:fill="auto"/>
                  <w:noWrap/>
                  <w:vAlign w:val="bottom"/>
                  <w:hideMark/>
                </w:tcPr>
                <w:p w14:paraId="1403648B"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48 266</w:t>
                  </w:r>
                </w:p>
              </w:tc>
              <w:tc>
                <w:tcPr>
                  <w:tcW w:w="992" w:type="dxa"/>
                  <w:tcBorders>
                    <w:top w:val="nil"/>
                    <w:left w:val="nil"/>
                    <w:bottom w:val="single" w:sz="4" w:space="0" w:color="auto"/>
                    <w:right w:val="single" w:sz="4" w:space="0" w:color="auto"/>
                  </w:tcBorders>
                  <w:shd w:val="clear" w:color="auto" w:fill="auto"/>
                  <w:noWrap/>
                  <w:vAlign w:val="bottom"/>
                  <w:hideMark/>
                </w:tcPr>
                <w:p w14:paraId="6134ED81"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468852DE"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x</w:t>
                  </w:r>
                </w:p>
              </w:tc>
              <w:tc>
                <w:tcPr>
                  <w:tcW w:w="1560" w:type="dxa"/>
                  <w:tcBorders>
                    <w:top w:val="nil"/>
                    <w:left w:val="nil"/>
                    <w:bottom w:val="single" w:sz="4" w:space="0" w:color="auto"/>
                    <w:right w:val="single" w:sz="4" w:space="0" w:color="auto"/>
                  </w:tcBorders>
                  <w:shd w:val="clear" w:color="auto" w:fill="auto"/>
                  <w:noWrap/>
                  <w:vAlign w:val="bottom"/>
                  <w:hideMark/>
                </w:tcPr>
                <w:p w14:paraId="76DFE2CA" w14:textId="77777777" w:rsidR="00FF5347" w:rsidRPr="00FF5347" w:rsidRDefault="00FF5347" w:rsidP="000C30E2">
                  <w:pPr>
                    <w:jc w:val="center"/>
                    <w:rPr>
                      <w:rFonts w:ascii="Times New Roman" w:hAnsi="Times New Roman"/>
                      <w:b/>
                      <w:bCs/>
                      <w:color w:val="000000"/>
                      <w:sz w:val="24"/>
                      <w:szCs w:val="24"/>
                    </w:rPr>
                  </w:pPr>
                  <w:r w:rsidRPr="00FF5347">
                    <w:rPr>
                      <w:rFonts w:ascii="Times New Roman" w:hAnsi="Times New Roman"/>
                      <w:b/>
                      <w:bCs/>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60C5EEA" w14:textId="77777777" w:rsidR="00FF5347" w:rsidRPr="00FF5347" w:rsidRDefault="00FF5347" w:rsidP="000C30E2">
                  <w:pPr>
                    <w:jc w:val="right"/>
                    <w:rPr>
                      <w:rFonts w:ascii="Times New Roman" w:hAnsi="Times New Roman"/>
                      <w:b/>
                      <w:bCs/>
                      <w:sz w:val="24"/>
                      <w:szCs w:val="24"/>
                    </w:rPr>
                  </w:pPr>
                  <w:r w:rsidRPr="00FF5347">
                    <w:rPr>
                      <w:rFonts w:ascii="Times New Roman" w:hAnsi="Times New Roman"/>
                      <w:b/>
                      <w:bCs/>
                      <w:sz w:val="24"/>
                      <w:szCs w:val="24"/>
                    </w:rPr>
                    <w:t>42 889,47</w:t>
                  </w:r>
                </w:p>
              </w:tc>
            </w:tr>
          </w:tbl>
          <w:p w14:paraId="0F5E40B8" w14:textId="72872427" w:rsidR="00FF5347" w:rsidRPr="004F1969" w:rsidRDefault="00FF5347" w:rsidP="004F1969">
            <w:pPr>
              <w:spacing w:after="0" w:line="240" w:lineRule="auto"/>
            </w:pPr>
          </w:p>
        </w:tc>
      </w:tr>
      <w:tr w:rsidR="00FF5347" w:rsidRPr="00B36392" w14:paraId="6A21E0A3" w14:textId="77777777" w:rsidTr="00D2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47"/>
        </w:trPr>
        <w:tc>
          <w:tcPr>
            <w:tcW w:w="880" w:type="pct"/>
            <w:gridSpan w:val="2"/>
          </w:tcPr>
          <w:p w14:paraId="57E63A67" w14:textId="77777777" w:rsidR="00FF5347" w:rsidRPr="00FF5347" w:rsidRDefault="00FF5347" w:rsidP="000C30E2">
            <w:pPr>
              <w:rPr>
                <w:rFonts w:ascii="Times New Roman" w:hAnsi="Times New Roman"/>
                <w:sz w:val="24"/>
                <w:szCs w:val="24"/>
              </w:rPr>
            </w:pPr>
            <w:r w:rsidRPr="00FF5347">
              <w:rPr>
                <w:rFonts w:ascii="Times New Roman" w:hAnsi="Times New Roman"/>
                <w:sz w:val="24"/>
                <w:szCs w:val="24"/>
              </w:rPr>
              <w:lastRenderedPageBreak/>
              <w:t>7. Cita informācija</w:t>
            </w:r>
          </w:p>
        </w:tc>
        <w:tc>
          <w:tcPr>
            <w:tcW w:w="4120" w:type="pct"/>
            <w:gridSpan w:val="6"/>
          </w:tcPr>
          <w:p w14:paraId="365B5D95" w14:textId="36E7CBC0" w:rsidR="00FF5347" w:rsidRPr="00FF5347" w:rsidRDefault="00B506AF" w:rsidP="000C30E2">
            <w:pPr>
              <w:pStyle w:val="naisf"/>
              <w:tabs>
                <w:tab w:val="left" w:pos="4644"/>
              </w:tabs>
              <w:spacing w:before="0" w:after="0"/>
              <w:ind w:firstLine="0"/>
            </w:pPr>
            <w:r>
              <w:t>Nav</w:t>
            </w:r>
          </w:p>
        </w:tc>
      </w:tr>
    </w:tbl>
    <w:p w14:paraId="5607477E" w14:textId="77777777" w:rsidR="008752D4" w:rsidRPr="00647904" w:rsidRDefault="008752D4" w:rsidP="008752D4">
      <w:pPr>
        <w:spacing w:after="0" w:line="240" w:lineRule="auto"/>
        <w:rPr>
          <w:rFonts w:ascii="Times New Roman" w:eastAsia="Times New Roman" w:hAnsi="Times New Roman"/>
          <w:vanish/>
          <w:color w:val="000000"/>
          <w:sz w:val="24"/>
          <w:szCs w:val="24"/>
          <w:lang w:eastAsia="lv-LV"/>
        </w:rPr>
      </w:pPr>
    </w:p>
    <w:p w14:paraId="6F077AA1" w14:textId="77777777" w:rsidR="00FF5347" w:rsidRDefault="00FF5347" w:rsidP="003610AA">
      <w:pPr>
        <w:spacing w:after="0" w:line="240" w:lineRule="auto"/>
        <w:rPr>
          <w:rFonts w:ascii="Times New Roman" w:eastAsia="Times New Roman" w:hAnsi="Times New Roman"/>
          <w:color w:val="000000"/>
          <w:sz w:val="24"/>
          <w:szCs w:val="24"/>
          <w:lang w:eastAsia="lv-LV"/>
        </w:rPr>
      </w:pPr>
    </w:p>
    <w:p w14:paraId="7AA6E253" w14:textId="77777777" w:rsidR="0079260D" w:rsidRPr="00647904" w:rsidRDefault="0079260D" w:rsidP="003610AA">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7"/>
        <w:gridCol w:w="6140"/>
      </w:tblGrid>
      <w:tr w:rsidR="008752D4" w:rsidRPr="00647904" w14:paraId="4894BB1D" w14:textId="77777777" w:rsidTr="003610AA">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1BF95DEB" w14:textId="77777777" w:rsidR="008752D4" w:rsidRPr="00647904"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IV. Tiesību akta projekta ietekme uz spēkā esošo tiesību normu sistēmu</w:t>
            </w:r>
          </w:p>
        </w:tc>
      </w:tr>
      <w:tr w:rsidR="008752D4" w:rsidRPr="00647904" w14:paraId="78A90CA6" w14:textId="77777777" w:rsidTr="003610AA">
        <w:tc>
          <w:tcPr>
            <w:tcW w:w="247" w:type="pct"/>
            <w:tcBorders>
              <w:top w:val="outset" w:sz="6" w:space="0" w:color="414142"/>
              <w:left w:val="outset" w:sz="6" w:space="0" w:color="414142"/>
              <w:bottom w:val="outset" w:sz="6" w:space="0" w:color="414142"/>
              <w:right w:val="outset" w:sz="6" w:space="0" w:color="414142"/>
            </w:tcBorders>
          </w:tcPr>
          <w:p w14:paraId="0CDB30F6"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1.</w:t>
            </w:r>
          </w:p>
        </w:tc>
        <w:tc>
          <w:tcPr>
            <w:tcW w:w="1432" w:type="pct"/>
            <w:tcBorders>
              <w:top w:val="outset" w:sz="6" w:space="0" w:color="414142"/>
              <w:left w:val="outset" w:sz="6" w:space="0" w:color="414142"/>
              <w:bottom w:val="outset" w:sz="6" w:space="0" w:color="414142"/>
              <w:right w:val="outset" w:sz="6" w:space="0" w:color="414142"/>
            </w:tcBorders>
          </w:tcPr>
          <w:p w14:paraId="4FF216A5"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Nepieciešamie saistītie tiesību aktu projekti</w:t>
            </w:r>
          </w:p>
        </w:tc>
        <w:tc>
          <w:tcPr>
            <w:tcW w:w="3321" w:type="pct"/>
            <w:tcBorders>
              <w:top w:val="outset" w:sz="6" w:space="0" w:color="414142"/>
              <w:left w:val="outset" w:sz="6" w:space="0" w:color="414142"/>
              <w:bottom w:val="outset" w:sz="6" w:space="0" w:color="414142"/>
              <w:right w:val="outset" w:sz="6" w:space="0" w:color="414142"/>
            </w:tcBorders>
          </w:tcPr>
          <w:p w14:paraId="155BAA82" w14:textId="77777777" w:rsidR="008752D4" w:rsidRPr="00647904" w:rsidRDefault="0098563A" w:rsidP="0098563A">
            <w:pPr>
              <w:spacing w:after="0" w:line="240" w:lineRule="auto"/>
              <w:jc w:val="both"/>
              <w:rPr>
                <w:rFonts w:ascii="Times New Roman" w:eastAsia="Times New Roman" w:hAnsi="Times New Roman"/>
                <w:color w:val="000000"/>
                <w:sz w:val="24"/>
                <w:szCs w:val="24"/>
                <w:lang w:eastAsia="lv-LV"/>
              </w:rPr>
            </w:pPr>
            <w:r>
              <w:rPr>
                <w:rFonts w:ascii="Times New Roman" w:hAnsi="Times New Roman"/>
                <w:color w:val="000000"/>
                <w:sz w:val="24"/>
                <w:szCs w:val="24"/>
              </w:rPr>
              <w:t>Nav</w:t>
            </w:r>
          </w:p>
        </w:tc>
      </w:tr>
      <w:tr w:rsidR="008752D4" w:rsidRPr="00647904" w14:paraId="0239742E" w14:textId="77777777" w:rsidTr="003610AA">
        <w:tc>
          <w:tcPr>
            <w:tcW w:w="247" w:type="pct"/>
            <w:tcBorders>
              <w:top w:val="outset" w:sz="6" w:space="0" w:color="414142"/>
              <w:left w:val="outset" w:sz="6" w:space="0" w:color="414142"/>
              <w:bottom w:val="outset" w:sz="6" w:space="0" w:color="414142"/>
              <w:right w:val="outset" w:sz="6" w:space="0" w:color="414142"/>
            </w:tcBorders>
          </w:tcPr>
          <w:p w14:paraId="08572AD4"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2.</w:t>
            </w:r>
          </w:p>
        </w:tc>
        <w:tc>
          <w:tcPr>
            <w:tcW w:w="1432" w:type="pct"/>
            <w:tcBorders>
              <w:top w:val="outset" w:sz="6" w:space="0" w:color="414142"/>
              <w:left w:val="outset" w:sz="6" w:space="0" w:color="414142"/>
              <w:bottom w:val="outset" w:sz="6" w:space="0" w:color="414142"/>
              <w:right w:val="outset" w:sz="6" w:space="0" w:color="414142"/>
            </w:tcBorders>
          </w:tcPr>
          <w:p w14:paraId="1312B77F"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Atbildīgā institūcija</w:t>
            </w:r>
          </w:p>
        </w:tc>
        <w:tc>
          <w:tcPr>
            <w:tcW w:w="3321" w:type="pct"/>
            <w:tcBorders>
              <w:top w:val="outset" w:sz="6" w:space="0" w:color="414142"/>
              <w:left w:val="outset" w:sz="6" w:space="0" w:color="414142"/>
              <w:bottom w:val="outset" w:sz="6" w:space="0" w:color="414142"/>
              <w:right w:val="outset" w:sz="6" w:space="0" w:color="414142"/>
            </w:tcBorders>
          </w:tcPr>
          <w:p w14:paraId="50164A9E" w14:textId="77777777" w:rsidR="008752D4" w:rsidRPr="00647904" w:rsidRDefault="008752D4" w:rsidP="00F3099D">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Tieslietu ministrija</w:t>
            </w:r>
          </w:p>
        </w:tc>
      </w:tr>
      <w:tr w:rsidR="008752D4" w:rsidRPr="00647904" w14:paraId="53D810AB" w14:textId="77777777" w:rsidTr="003610AA">
        <w:tc>
          <w:tcPr>
            <w:tcW w:w="247" w:type="pct"/>
            <w:tcBorders>
              <w:top w:val="outset" w:sz="6" w:space="0" w:color="414142"/>
              <w:left w:val="outset" w:sz="6" w:space="0" w:color="414142"/>
              <w:bottom w:val="outset" w:sz="6" w:space="0" w:color="414142"/>
              <w:right w:val="outset" w:sz="6" w:space="0" w:color="414142"/>
            </w:tcBorders>
          </w:tcPr>
          <w:p w14:paraId="712AC7F3"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3.</w:t>
            </w:r>
          </w:p>
        </w:tc>
        <w:tc>
          <w:tcPr>
            <w:tcW w:w="1432" w:type="pct"/>
            <w:tcBorders>
              <w:top w:val="outset" w:sz="6" w:space="0" w:color="414142"/>
              <w:left w:val="outset" w:sz="6" w:space="0" w:color="414142"/>
              <w:bottom w:val="outset" w:sz="6" w:space="0" w:color="414142"/>
              <w:right w:val="outset" w:sz="6" w:space="0" w:color="414142"/>
            </w:tcBorders>
          </w:tcPr>
          <w:p w14:paraId="11459AD0"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Cita informācija</w:t>
            </w:r>
          </w:p>
        </w:tc>
        <w:tc>
          <w:tcPr>
            <w:tcW w:w="3321" w:type="pct"/>
            <w:tcBorders>
              <w:top w:val="outset" w:sz="6" w:space="0" w:color="414142"/>
              <w:left w:val="outset" w:sz="6" w:space="0" w:color="414142"/>
              <w:bottom w:val="outset" w:sz="6" w:space="0" w:color="414142"/>
              <w:right w:val="outset" w:sz="6" w:space="0" w:color="414142"/>
            </w:tcBorders>
          </w:tcPr>
          <w:p w14:paraId="3650C666" w14:textId="77777777" w:rsidR="008752D4" w:rsidRPr="00647904" w:rsidRDefault="008752D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Nav</w:t>
            </w:r>
          </w:p>
        </w:tc>
      </w:tr>
    </w:tbl>
    <w:p w14:paraId="23045341" w14:textId="77777777" w:rsidR="00EA69B1" w:rsidRDefault="00EA69B1" w:rsidP="008752D4">
      <w:pPr>
        <w:spacing w:after="0" w:line="240" w:lineRule="auto"/>
        <w:rPr>
          <w:rFonts w:ascii="Times New Roman" w:eastAsia="Times New Roman" w:hAnsi="Times New Roman"/>
          <w:color w:val="000000"/>
          <w:sz w:val="24"/>
          <w:szCs w:val="24"/>
          <w:lang w:eastAsia="lv-LV"/>
        </w:rPr>
      </w:pPr>
    </w:p>
    <w:p w14:paraId="746557CA" w14:textId="77777777" w:rsidR="0079260D" w:rsidRPr="00647904" w:rsidRDefault="0079260D" w:rsidP="008752D4">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4"/>
      </w:tblGrid>
      <w:tr w:rsidR="00EA69B1" w:rsidRPr="00647904" w14:paraId="65728776" w14:textId="77777777" w:rsidTr="003610AA">
        <w:tc>
          <w:tcPr>
            <w:tcW w:w="5000" w:type="pct"/>
            <w:tcBorders>
              <w:top w:val="outset" w:sz="6" w:space="0" w:color="414142"/>
              <w:left w:val="outset" w:sz="6" w:space="0" w:color="414142"/>
              <w:bottom w:val="outset" w:sz="6" w:space="0" w:color="414142"/>
              <w:right w:val="outset" w:sz="6" w:space="0" w:color="414142"/>
            </w:tcBorders>
            <w:vAlign w:val="center"/>
          </w:tcPr>
          <w:p w14:paraId="77FAA400" w14:textId="77777777" w:rsidR="00EA69B1" w:rsidRPr="00647904" w:rsidRDefault="00EA69B1" w:rsidP="008E577C">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V. Tiesību akta projekta atbilstība Latvijas Republikas starptautiskajām saistībām</w:t>
            </w:r>
          </w:p>
        </w:tc>
      </w:tr>
      <w:tr w:rsidR="00DD40E1" w:rsidRPr="00647904" w14:paraId="7041DC28" w14:textId="77777777" w:rsidTr="003610AA">
        <w:tc>
          <w:tcPr>
            <w:tcW w:w="5000" w:type="pct"/>
            <w:tcBorders>
              <w:top w:val="outset" w:sz="6" w:space="0" w:color="414142"/>
              <w:left w:val="outset" w:sz="6" w:space="0" w:color="414142"/>
              <w:bottom w:val="outset" w:sz="6" w:space="0" w:color="414142"/>
              <w:right w:val="outset" w:sz="6" w:space="0" w:color="414142"/>
            </w:tcBorders>
            <w:vAlign w:val="center"/>
          </w:tcPr>
          <w:p w14:paraId="75C3B69F" w14:textId="77777777" w:rsidR="00DD40E1" w:rsidRPr="00647904" w:rsidRDefault="00DD40E1" w:rsidP="008E577C">
            <w:pPr>
              <w:spacing w:after="0" w:line="240" w:lineRule="auto"/>
              <w:ind w:firstLine="300"/>
              <w:jc w:val="center"/>
              <w:rPr>
                <w:rFonts w:ascii="Times New Roman" w:eastAsia="Times New Roman" w:hAnsi="Times New Roman"/>
                <w:bCs/>
                <w:color w:val="000000"/>
                <w:sz w:val="24"/>
                <w:szCs w:val="24"/>
                <w:lang w:eastAsia="lv-LV"/>
              </w:rPr>
            </w:pPr>
            <w:r w:rsidRPr="00647904">
              <w:rPr>
                <w:rFonts w:ascii="Times New Roman" w:eastAsia="Times New Roman" w:hAnsi="Times New Roman"/>
                <w:bCs/>
                <w:color w:val="000000"/>
                <w:sz w:val="24"/>
                <w:szCs w:val="24"/>
                <w:lang w:eastAsia="lv-LV"/>
              </w:rPr>
              <w:t>Projekts šo jomu neskar</w:t>
            </w:r>
          </w:p>
        </w:tc>
      </w:tr>
    </w:tbl>
    <w:p w14:paraId="29A7E80A" w14:textId="77777777" w:rsidR="00EA69B1" w:rsidRDefault="00EA69B1" w:rsidP="008752D4">
      <w:pPr>
        <w:spacing w:after="0" w:line="240" w:lineRule="auto"/>
        <w:rPr>
          <w:rFonts w:ascii="Times New Roman" w:eastAsia="Times New Roman" w:hAnsi="Times New Roman"/>
          <w:color w:val="000000"/>
          <w:sz w:val="24"/>
          <w:szCs w:val="24"/>
          <w:lang w:eastAsia="lv-LV"/>
        </w:rPr>
      </w:pPr>
    </w:p>
    <w:p w14:paraId="6F4571ED" w14:textId="77777777" w:rsidR="0079260D" w:rsidRPr="00647904" w:rsidRDefault="0079260D" w:rsidP="008752D4">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40"/>
        <w:gridCol w:w="6047"/>
      </w:tblGrid>
      <w:tr w:rsidR="008752D4" w:rsidRPr="00647904" w14:paraId="4F58A24A" w14:textId="77777777" w:rsidTr="003610AA">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297D84B3" w14:textId="77777777" w:rsidR="008752D4" w:rsidRPr="00647904"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VI. Sabiedrības līdzdalība un komunikācijas aktivitātes</w:t>
            </w:r>
          </w:p>
        </w:tc>
      </w:tr>
      <w:tr w:rsidR="00207654" w:rsidRPr="00647904" w14:paraId="6918F1F3" w14:textId="77777777" w:rsidTr="003610AA">
        <w:trPr>
          <w:trHeight w:val="540"/>
        </w:trPr>
        <w:tc>
          <w:tcPr>
            <w:tcW w:w="247" w:type="pct"/>
            <w:tcBorders>
              <w:top w:val="outset" w:sz="6" w:space="0" w:color="414142"/>
              <w:left w:val="outset" w:sz="6" w:space="0" w:color="414142"/>
              <w:bottom w:val="outset" w:sz="6" w:space="0" w:color="414142"/>
              <w:right w:val="outset" w:sz="6" w:space="0" w:color="414142"/>
            </w:tcBorders>
          </w:tcPr>
          <w:p w14:paraId="1656D3DE"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1.</w:t>
            </w:r>
          </w:p>
        </w:tc>
        <w:tc>
          <w:tcPr>
            <w:tcW w:w="1482" w:type="pct"/>
            <w:tcBorders>
              <w:top w:val="outset" w:sz="6" w:space="0" w:color="414142"/>
              <w:left w:val="outset" w:sz="6" w:space="0" w:color="414142"/>
              <w:bottom w:val="outset" w:sz="6" w:space="0" w:color="414142"/>
              <w:right w:val="outset" w:sz="6" w:space="0" w:color="414142"/>
            </w:tcBorders>
          </w:tcPr>
          <w:p w14:paraId="1C0A9D1B"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Plānotās sabiedrības līdzdalības un komunikācijas aktivitātes saistībā ar projektu</w:t>
            </w:r>
          </w:p>
        </w:tc>
        <w:tc>
          <w:tcPr>
            <w:tcW w:w="3271" w:type="pct"/>
            <w:tcBorders>
              <w:top w:val="outset" w:sz="6" w:space="0" w:color="414142"/>
              <w:left w:val="outset" w:sz="6" w:space="0" w:color="414142"/>
              <w:bottom w:val="outset" w:sz="6" w:space="0" w:color="414142"/>
              <w:right w:val="outset" w:sz="6" w:space="0" w:color="414142"/>
            </w:tcBorders>
          </w:tcPr>
          <w:p w14:paraId="5E39C3CA" w14:textId="37D02994" w:rsidR="00207654" w:rsidRPr="00647904" w:rsidRDefault="00770F5A" w:rsidP="00052A16">
            <w:pPr>
              <w:spacing w:after="0" w:line="240" w:lineRule="auto"/>
              <w:ind w:firstLine="541"/>
              <w:jc w:val="both"/>
              <w:rPr>
                <w:rFonts w:ascii="Times New Roman" w:hAnsi="Times New Roman"/>
                <w:color w:val="000000"/>
                <w:sz w:val="24"/>
                <w:szCs w:val="24"/>
                <w:lang w:eastAsia="lv-LV"/>
              </w:rPr>
            </w:pPr>
            <w:r w:rsidRPr="00052A16">
              <w:rPr>
                <w:rFonts w:ascii="Times New Roman" w:eastAsia="Times New Roman" w:hAnsi="Times New Roman"/>
                <w:color w:val="000000"/>
                <w:sz w:val="24"/>
                <w:szCs w:val="24"/>
                <w:lang w:eastAsia="lv-LV"/>
              </w:rPr>
              <w:t>Likumprojekts</w:t>
            </w:r>
            <w:r w:rsidR="00207654" w:rsidRPr="00052A16">
              <w:rPr>
                <w:rFonts w:ascii="Times New Roman" w:eastAsia="Times New Roman" w:hAnsi="Times New Roman"/>
                <w:color w:val="000000"/>
                <w:sz w:val="24"/>
                <w:szCs w:val="24"/>
                <w:lang w:eastAsia="lv-LV"/>
              </w:rPr>
              <w:t xml:space="preserve"> ir publicēts Tieslietu ministrijas tīmekļa vietnē</w:t>
            </w:r>
            <w:r w:rsidR="00052A16">
              <w:rPr>
                <w:rFonts w:ascii="Times New Roman" w:eastAsia="Times New Roman" w:hAnsi="Times New Roman"/>
                <w:color w:val="000000"/>
                <w:sz w:val="24"/>
                <w:szCs w:val="24"/>
                <w:lang w:eastAsia="lv-LV"/>
              </w:rPr>
              <w:t>,</w:t>
            </w:r>
            <w:r w:rsidR="00207654" w:rsidRPr="00052A16">
              <w:rPr>
                <w:rFonts w:ascii="Times New Roman" w:eastAsia="Times New Roman" w:hAnsi="Times New Roman"/>
                <w:color w:val="000000"/>
                <w:sz w:val="24"/>
                <w:szCs w:val="24"/>
                <w:lang w:eastAsia="lv-LV"/>
              </w:rPr>
              <w:t xml:space="preserve"> sadaļā „Sabiedrības līdzdalība”, tādējādi dodot iespēju sabiedrībai līdzdarboties tiesību</w:t>
            </w:r>
            <w:r w:rsidR="00207654" w:rsidRPr="00052A16">
              <w:rPr>
                <w:rFonts w:ascii="Times New Roman" w:hAnsi="Times New Roman"/>
                <w:color w:val="000000"/>
                <w:sz w:val="24"/>
                <w:szCs w:val="24"/>
                <w:lang w:eastAsia="lv-LV"/>
              </w:rPr>
              <w:t xml:space="preserve"> akta izstrādes procesā.</w:t>
            </w:r>
            <w:r w:rsidR="00052A16">
              <w:rPr>
                <w:rFonts w:ascii="Times New Roman" w:hAnsi="Times New Roman"/>
                <w:color w:val="000000"/>
                <w:sz w:val="24"/>
                <w:szCs w:val="24"/>
                <w:lang w:eastAsia="lv-LV"/>
              </w:rPr>
              <w:t xml:space="preserve"> </w:t>
            </w:r>
            <w:r w:rsidR="0098563A">
              <w:rPr>
                <w:rFonts w:ascii="Times New Roman" w:hAnsi="Times New Roman"/>
                <w:color w:val="000000"/>
                <w:sz w:val="24"/>
                <w:szCs w:val="24"/>
                <w:lang w:eastAsia="lv-LV"/>
              </w:rPr>
              <w:t xml:space="preserve"> </w:t>
            </w:r>
          </w:p>
        </w:tc>
      </w:tr>
      <w:tr w:rsidR="00207654" w:rsidRPr="00647904" w14:paraId="3A964E33" w14:textId="77777777" w:rsidTr="003610AA">
        <w:trPr>
          <w:trHeight w:val="330"/>
        </w:trPr>
        <w:tc>
          <w:tcPr>
            <w:tcW w:w="247" w:type="pct"/>
            <w:tcBorders>
              <w:top w:val="outset" w:sz="6" w:space="0" w:color="414142"/>
              <w:left w:val="outset" w:sz="6" w:space="0" w:color="414142"/>
              <w:bottom w:val="outset" w:sz="6" w:space="0" w:color="414142"/>
              <w:right w:val="outset" w:sz="6" w:space="0" w:color="414142"/>
            </w:tcBorders>
          </w:tcPr>
          <w:p w14:paraId="7D06E1BF"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2.</w:t>
            </w:r>
          </w:p>
        </w:tc>
        <w:tc>
          <w:tcPr>
            <w:tcW w:w="1482" w:type="pct"/>
            <w:tcBorders>
              <w:top w:val="outset" w:sz="6" w:space="0" w:color="414142"/>
              <w:left w:val="outset" w:sz="6" w:space="0" w:color="414142"/>
              <w:bottom w:val="outset" w:sz="6" w:space="0" w:color="414142"/>
              <w:right w:val="outset" w:sz="6" w:space="0" w:color="414142"/>
            </w:tcBorders>
          </w:tcPr>
          <w:p w14:paraId="0C0F60DD"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Sabiedrības līdzdalība projekta izstrādē</w:t>
            </w:r>
          </w:p>
        </w:tc>
        <w:tc>
          <w:tcPr>
            <w:tcW w:w="3271" w:type="pct"/>
            <w:tcBorders>
              <w:top w:val="outset" w:sz="6" w:space="0" w:color="414142"/>
              <w:left w:val="outset" w:sz="6" w:space="0" w:color="414142"/>
              <w:bottom w:val="outset" w:sz="6" w:space="0" w:color="414142"/>
              <w:right w:val="outset" w:sz="6" w:space="0" w:color="414142"/>
            </w:tcBorders>
          </w:tcPr>
          <w:p w14:paraId="4503B728" w14:textId="77777777" w:rsidR="00207654" w:rsidRPr="0098563A" w:rsidRDefault="00207654" w:rsidP="00770F5A">
            <w:pPr>
              <w:spacing w:after="0" w:line="240" w:lineRule="auto"/>
              <w:ind w:firstLine="541"/>
              <w:jc w:val="both"/>
              <w:rPr>
                <w:rFonts w:ascii="Times New Roman" w:eastAsia="Times New Roman" w:hAnsi="Times New Roman"/>
                <w:color w:val="000000"/>
                <w:sz w:val="24"/>
                <w:szCs w:val="24"/>
                <w:highlight w:val="yellow"/>
                <w:lang w:eastAsia="lv-LV"/>
              </w:rPr>
            </w:pPr>
            <w:r w:rsidRPr="00052A16">
              <w:rPr>
                <w:rFonts w:ascii="Times New Roman" w:hAnsi="Times New Roman"/>
                <w:color w:val="000000"/>
                <w:sz w:val="24"/>
                <w:szCs w:val="24"/>
                <w:lang w:eastAsia="lv-LV"/>
              </w:rPr>
              <w:t xml:space="preserve">Lai informētu sabiedrību par </w:t>
            </w:r>
            <w:r w:rsidR="00770F5A" w:rsidRPr="00052A16">
              <w:rPr>
                <w:rFonts w:ascii="Times New Roman" w:hAnsi="Times New Roman"/>
                <w:color w:val="000000"/>
                <w:sz w:val="24"/>
                <w:szCs w:val="24"/>
                <w:lang w:eastAsia="lv-LV"/>
              </w:rPr>
              <w:t>likumprojektu</w:t>
            </w:r>
            <w:r w:rsidRPr="00052A16">
              <w:rPr>
                <w:rFonts w:ascii="Times New Roman" w:hAnsi="Times New Roman"/>
                <w:color w:val="000000"/>
                <w:sz w:val="24"/>
                <w:szCs w:val="24"/>
                <w:lang w:eastAsia="lv-LV"/>
              </w:rPr>
              <w:t xml:space="preserve"> un dotu iespēju izteikt par to viedokļus, </w:t>
            </w:r>
            <w:r w:rsidR="00770F5A" w:rsidRPr="00052A16">
              <w:rPr>
                <w:rFonts w:ascii="Times New Roman" w:hAnsi="Times New Roman"/>
                <w:color w:val="000000"/>
                <w:sz w:val="24"/>
                <w:szCs w:val="24"/>
                <w:lang w:eastAsia="lv-LV"/>
              </w:rPr>
              <w:t xml:space="preserve">likumprojekts </w:t>
            </w:r>
            <w:r w:rsidRPr="00052A16">
              <w:rPr>
                <w:rFonts w:ascii="Times New Roman" w:hAnsi="Times New Roman"/>
                <w:color w:val="000000"/>
                <w:sz w:val="24"/>
                <w:szCs w:val="24"/>
                <w:lang w:eastAsia="lv-LV"/>
              </w:rPr>
              <w:t>saskaņā ar Ministru kabineta 2009. gada 25. augusta noteikumiem Nr. 970 „</w:t>
            </w:r>
            <w:r w:rsidRPr="00052A16">
              <w:rPr>
                <w:rFonts w:ascii="Times New Roman" w:hAnsi="Times New Roman"/>
                <w:bCs/>
                <w:color w:val="000000"/>
                <w:sz w:val="24"/>
                <w:szCs w:val="24"/>
                <w:lang w:eastAsia="lv-LV"/>
              </w:rPr>
              <w:t xml:space="preserve">Sabiedrības līdzdalības kārtība attīstības plānošanas procesā” </w:t>
            </w:r>
            <w:r w:rsidRPr="00052A16">
              <w:rPr>
                <w:rFonts w:ascii="Times New Roman" w:eastAsia="Times New Roman" w:hAnsi="Times New Roman"/>
                <w:color w:val="000000"/>
                <w:sz w:val="24"/>
                <w:szCs w:val="24"/>
                <w:lang w:eastAsia="lv-LV"/>
              </w:rPr>
              <w:t xml:space="preserve">tika ievietots Tieslietu ministrijas tīmekļa vietnē. </w:t>
            </w:r>
          </w:p>
        </w:tc>
      </w:tr>
      <w:tr w:rsidR="00207654" w:rsidRPr="00647904" w14:paraId="2A9F8BCC" w14:textId="77777777" w:rsidTr="003610AA">
        <w:trPr>
          <w:trHeight w:val="465"/>
        </w:trPr>
        <w:tc>
          <w:tcPr>
            <w:tcW w:w="247" w:type="pct"/>
            <w:tcBorders>
              <w:top w:val="outset" w:sz="6" w:space="0" w:color="414142"/>
              <w:left w:val="outset" w:sz="6" w:space="0" w:color="414142"/>
              <w:bottom w:val="outset" w:sz="6" w:space="0" w:color="414142"/>
              <w:right w:val="outset" w:sz="6" w:space="0" w:color="414142"/>
            </w:tcBorders>
          </w:tcPr>
          <w:p w14:paraId="3342DE1C"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3.</w:t>
            </w:r>
          </w:p>
        </w:tc>
        <w:tc>
          <w:tcPr>
            <w:tcW w:w="1482" w:type="pct"/>
            <w:tcBorders>
              <w:top w:val="outset" w:sz="6" w:space="0" w:color="414142"/>
              <w:left w:val="outset" w:sz="6" w:space="0" w:color="414142"/>
              <w:bottom w:val="outset" w:sz="6" w:space="0" w:color="414142"/>
              <w:right w:val="outset" w:sz="6" w:space="0" w:color="414142"/>
            </w:tcBorders>
          </w:tcPr>
          <w:p w14:paraId="274F9B02"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Sabiedrības līdzdalības rezultāti</w:t>
            </w:r>
          </w:p>
        </w:tc>
        <w:tc>
          <w:tcPr>
            <w:tcW w:w="3271" w:type="pct"/>
            <w:tcBorders>
              <w:top w:val="outset" w:sz="6" w:space="0" w:color="414142"/>
              <w:left w:val="outset" w:sz="6" w:space="0" w:color="414142"/>
              <w:bottom w:val="outset" w:sz="6" w:space="0" w:color="414142"/>
              <w:right w:val="outset" w:sz="6" w:space="0" w:color="414142"/>
            </w:tcBorders>
          </w:tcPr>
          <w:p w14:paraId="33FA7677" w14:textId="3ADDE65B" w:rsidR="00207654" w:rsidRPr="0098563A" w:rsidRDefault="00D27015" w:rsidP="00363660">
            <w:pPr>
              <w:spacing w:after="0" w:line="240" w:lineRule="auto"/>
              <w:ind w:firstLine="541"/>
              <w:jc w:val="both"/>
              <w:rPr>
                <w:rFonts w:ascii="Times New Roman" w:eastAsia="Times New Roman" w:hAnsi="Times New Roman"/>
                <w:color w:val="000000"/>
                <w:sz w:val="24"/>
                <w:szCs w:val="24"/>
                <w:highlight w:val="yellow"/>
                <w:lang w:eastAsia="lv-LV"/>
              </w:rPr>
            </w:pPr>
            <w:r>
              <w:rPr>
                <w:rFonts w:ascii="Times New Roman" w:eastAsia="Times New Roman" w:hAnsi="Times New Roman"/>
                <w:color w:val="000000"/>
                <w:sz w:val="24"/>
                <w:szCs w:val="24"/>
                <w:lang w:eastAsia="lv-LV"/>
              </w:rPr>
              <w:t>Tiks papildināts</w:t>
            </w:r>
          </w:p>
        </w:tc>
      </w:tr>
      <w:tr w:rsidR="00420852" w:rsidRPr="00647904" w14:paraId="08EA6B20" w14:textId="77777777" w:rsidTr="003610AA">
        <w:trPr>
          <w:trHeight w:val="465"/>
        </w:trPr>
        <w:tc>
          <w:tcPr>
            <w:tcW w:w="247" w:type="pct"/>
            <w:tcBorders>
              <w:top w:val="outset" w:sz="6" w:space="0" w:color="414142"/>
              <w:left w:val="outset" w:sz="6" w:space="0" w:color="414142"/>
              <w:bottom w:val="outset" w:sz="6" w:space="0" w:color="414142"/>
              <w:right w:val="outset" w:sz="6" w:space="0" w:color="414142"/>
            </w:tcBorders>
          </w:tcPr>
          <w:p w14:paraId="45C2DF69"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4.</w:t>
            </w:r>
          </w:p>
        </w:tc>
        <w:tc>
          <w:tcPr>
            <w:tcW w:w="1482" w:type="pct"/>
            <w:tcBorders>
              <w:top w:val="outset" w:sz="6" w:space="0" w:color="414142"/>
              <w:left w:val="outset" w:sz="6" w:space="0" w:color="414142"/>
              <w:bottom w:val="outset" w:sz="6" w:space="0" w:color="414142"/>
              <w:right w:val="outset" w:sz="6" w:space="0" w:color="414142"/>
            </w:tcBorders>
          </w:tcPr>
          <w:p w14:paraId="600191DD" w14:textId="77777777" w:rsidR="00207654" w:rsidRPr="00647904" w:rsidRDefault="00207654" w:rsidP="005B430B">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Cita informācija</w:t>
            </w:r>
          </w:p>
        </w:tc>
        <w:tc>
          <w:tcPr>
            <w:tcW w:w="3271" w:type="pct"/>
            <w:tcBorders>
              <w:top w:val="outset" w:sz="6" w:space="0" w:color="414142"/>
              <w:left w:val="outset" w:sz="6" w:space="0" w:color="414142"/>
              <w:bottom w:val="outset" w:sz="6" w:space="0" w:color="414142"/>
              <w:right w:val="outset" w:sz="6" w:space="0" w:color="414142"/>
            </w:tcBorders>
          </w:tcPr>
          <w:p w14:paraId="3745B981" w14:textId="5949520F" w:rsidR="00207654" w:rsidRPr="00647904" w:rsidRDefault="00B506AF" w:rsidP="00363660">
            <w:pPr>
              <w:pStyle w:val="naiskr"/>
              <w:spacing w:before="0" w:after="0"/>
              <w:ind w:firstLine="541"/>
              <w:jc w:val="both"/>
              <w:rPr>
                <w:color w:val="000000"/>
                <w:u w:val="single"/>
              </w:rPr>
            </w:pPr>
            <w:r>
              <w:rPr>
                <w:color w:val="000000"/>
              </w:rPr>
              <w:t>Nav</w:t>
            </w:r>
          </w:p>
        </w:tc>
      </w:tr>
    </w:tbl>
    <w:p w14:paraId="241C5543" w14:textId="77777777" w:rsidR="00177CFA" w:rsidRDefault="00177CFA" w:rsidP="00177CFA">
      <w:pPr>
        <w:spacing w:after="0" w:line="240" w:lineRule="auto"/>
        <w:rPr>
          <w:rFonts w:ascii="Times New Roman" w:eastAsia="Times New Roman" w:hAnsi="Times New Roman"/>
          <w:color w:val="000000"/>
          <w:sz w:val="24"/>
          <w:szCs w:val="24"/>
          <w:lang w:eastAsia="lv-LV"/>
        </w:rPr>
      </w:pPr>
    </w:p>
    <w:p w14:paraId="034E347B" w14:textId="77777777" w:rsidR="00D27015" w:rsidRPr="00647904" w:rsidRDefault="00D27015" w:rsidP="00177CFA">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470"/>
        <w:gridCol w:w="5317"/>
      </w:tblGrid>
      <w:tr w:rsidR="00177CFA" w:rsidRPr="00647904" w14:paraId="0484D232" w14:textId="77777777" w:rsidTr="004B20AF">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6DFFAC60" w14:textId="77777777" w:rsidR="00177CFA" w:rsidRPr="00647904" w:rsidRDefault="00177CFA" w:rsidP="00303AD6">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VII. Tiesību akta projekta izpildes nodrošināšana un tās ietekme uz institūcijām</w:t>
            </w:r>
          </w:p>
        </w:tc>
      </w:tr>
      <w:tr w:rsidR="00177CFA" w:rsidRPr="00647904" w14:paraId="2250D681" w14:textId="77777777" w:rsidTr="004B20AF">
        <w:trPr>
          <w:trHeight w:val="420"/>
        </w:trPr>
        <w:tc>
          <w:tcPr>
            <w:tcW w:w="247" w:type="pct"/>
            <w:tcBorders>
              <w:top w:val="outset" w:sz="6" w:space="0" w:color="414142"/>
              <w:left w:val="outset" w:sz="6" w:space="0" w:color="414142"/>
              <w:bottom w:val="outset" w:sz="6" w:space="0" w:color="414142"/>
              <w:right w:val="outset" w:sz="6" w:space="0" w:color="414142"/>
            </w:tcBorders>
          </w:tcPr>
          <w:p w14:paraId="76806A41"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1.</w:t>
            </w:r>
          </w:p>
        </w:tc>
        <w:tc>
          <w:tcPr>
            <w:tcW w:w="1877" w:type="pct"/>
            <w:tcBorders>
              <w:top w:val="outset" w:sz="6" w:space="0" w:color="414142"/>
              <w:left w:val="outset" w:sz="6" w:space="0" w:color="414142"/>
              <w:bottom w:val="outset" w:sz="6" w:space="0" w:color="414142"/>
              <w:right w:val="outset" w:sz="6" w:space="0" w:color="414142"/>
            </w:tcBorders>
          </w:tcPr>
          <w:p w14:paraId="37793241"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Projekta izpildē iesaistītās institūcijas</w:t>
            </w:r>
          </w:p>
        </w:tc>
        <w:tc>
          <w:tcPr>
            <w:tcW w:w="2876" w:type="pct"/>
            <w:tcBorders>
              <w:top w:val="outset" w:sz="6" w:space="0" w:color="414142"/>
              <w:left w:val="outset" w:sz="6" w:space="0" w:color="414142"/>
              <w:bottom w:val="outset" w:sz="6" w:space="0" w:color="414142"/>
              <w:right w:val="outset" w:sz="6" w:space="0" w:color="414142"/>
            </w:tcBorders>
          </w:tcPr>
          <w:p w14:paraId="3F89BE28" w14:textId="65E43579" w:rsidR="00177CFA" w:rsidRPr="00647904" w:rsidRDefault="0098563A" w:rsidP="00770F5A">
            <w:pPr>
              <w:spacing w:after="0" w:line="240" w:lineRule="auto"/>
              <w:ind w:firstLine="468"/>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Rajona </w:t>
            </w:r>
            <w:r w:rsidR="0029569E">
              <w:rPr>
                <w:rFonts w:ascii="Times New Roman" w:eastAsia="Times New Roman" w:hAnsi="Times New Roman"/>
                <w:color w:val="000000"/>
                <w:sz w:val="24"/>
                <w:szCs w:val="24"/>
                <w:lang w:eastAsia="lv-LV"/>
              </w:rPr>
              <w:t xml:space="preserve">(pilsētu) </w:t>
            </w:r>
            <w:r>
              <w:rPr>
                <w:rFonts w:ascii="Times New Roman" w:eastAsia="Times New Roman" w:hAnsi="Times New Roman"/>
                <w:color w:val="000000"/>
                <w:sz w:val="24"/>
                <w:szCs w:val="24"/>
                <w:lang w:eastAsia="lv-LV"/>
              </w:rPr>
              <w:t>tiesas, apgabaltiesas, Latv</w:t>
            </w:r>
            <w:r w:rsidR="00261A60">
              <w:rPr>
                <w:rFonts w:ascii="Times New Roman" w:eastAsia="Times New Roman" w:hAnsi="Times New Roman"/>
                <w:color w:val="000000"/>
                <w:sz w:val="24"/>
                <w:szCs w:val="24"/>
                <w:lang w:eastAsia="lv-LV"/>
              </w:rPr>
              <w:t>ijas Republikas Augstākā tiesa, Tiesu administrācija.</w:t>
            </w:r>
          </w:p>
        </w:tc>
      </w:tr>
      <w:tr w:rsidR="00177CFA" w:rsidRPr="00647904" w14:paraId="172825C8" w14:textId="77777777" w:rsidTr="004B20AF">
        <w:trPr>
          <w:trHeight w:val="450"/>
        </w:trPr>
        <w:tc>
          <w:tcPr>
            <w:tcW w:w="247" w:type="pct"/>
            <w:tcBorders>
              <w:top w:val="outset" w:sz="6" w:space="0" w:color="414142"/>
              <w:left w:val="outset" w:sz="6" w:space="0" w:color="414142"/>
              <w:bottom w:val="outset" w:sz="6" w:space="0" w:color="414142"/>
              <w:right w:val="outset" w:sz="6" w:space="0" w:color="414142"/>
            </w:tcBorders>
          </w:tcPr>
          <w:p w14:paraId="1241E1C4"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2.</w:t>
            </w:r>
          </w:p>
        </w:tc>
        <w:tc>
          <w:tcPr>
            <w:tcW w:w="1877" w:type="pct"/>
            <w:tcBorders>
              <w:top w:val="outset" w:sz="6" w:space="0" w:color="414142"/>
              <w:left w:val="outset" w:sz="6" w:space="0" w:color="414142"/>
              <w:bottom w:val="outset" w:sz="6" w:space="0" w:color="414142"/>
              <w:right w:val="outset" w:sz="6" w:space="0" w:color="414142"/>
            </w:tcBorders>
          </w:tcPr>
          <w:p w14:paraId="047ED9F3"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 xml:space="preserve">Projekta izpildes ietekme uz pārvaldes funkcijām un institucionālo struktūru. </w:t>
            </w:r>
          </w:p>
          <w:p w14:paraId="117BE62B"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Jaunu institūciju izveide, esošu institūciju likvidācija vai reorganizācija, to ietekme uz institūcijas cilvēkresursiem</w:t>
            </w:r>
          </w:p>
        </w:tc>
        <w:tc>
          <w:tcPr>
            <w:tcW w:w="2876" w:type="pct"/>
            <w:tcBorders>
              <w:top w:val="outset" w:sz="6" w:space="0" w:color="414142"/>
              <w:left w:val="outset" w:sz="6" w:space="0" w:color="414142"/>
              <w:bottom w:val="outset" w:sz="6" w:space="0" w:color="414142"/>
              <w:right w:val="outset" w:sz="6" w:space="0" w:color="414142"/>
            </w:tcBorders>
          </w:tcPr>
          <w:p w14:paraId="5939BD83" w14:textId="77777777" w:rsidR="00177CFA" w:rsidRPr="00647904" w:rsidRDefault="004959F6" w:rsidP="00861C64">
            <w:pPr>
              <w:spacing w:after="0" w:line="240" w:lineRule="auto"/>
              <w:jc w:val="both"/>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Projekts šo jomu neskar.</w:t>
            </w:r>
          </w:p>
        </w:tc>
      </w:tr>
      <w:tr w:rsidR="00177CFA" w:rsidRPr="00647904" w14:paraId="3AD45304" w14:textId="77777777" w:rsidTr="004B20AF">
        <w:trPr>
          <w:trHeight w:val="390"/>
        </w:trPr>
        <w:tc>
          <w:tcPr>
            <w:tcW w:w="247" w:type="pct"/>
            <w:tcBorders>
              <w:top w:val="outset" w:sz="6" w:space="0" w:color="414142"/>
              <w:left w:val="outset" w:sz="6" w:space="0" w:color="414142"/>
              <w:bottom w:val="outset" w:sz="6" w:space="0" w:color="414142"/>
              <w:right w:val="outset" w:sz="6" w:space="0" w:color="414142"/>
            </w:tcBorders>
          </w:tcPr>
          <w:p w14:paraId="7A3E1F4D"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3.</w:t>
            </w:r>
          </w:p>
        </w:tc>
        <w:tc>
          <w:tcPr>
            <w:tcW w:w="1877" w:type="pct"/>
            <w:tcBorders>
              <w:top w:val="outset" w:sz="6" w:space="0" w:color="414142"/>
              <w:left w:val="outset" w:sz="6" w:space="0" w:color="414142"/>
              <w:bottom w:val="outset" w:sz="6" w:space="0" w:color="414142"/>
              <w:right w:val="outset" w:sz="6" w:space="0" w:color="414142"/>
            </w:tcBorders>
          </w:tcPr>
          <w:p w14:paraId="3C43CF46"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Cita informācija</w:t>
            </w:r>
          </w:p>
        </w:tc>
        <w:tc>
          <w:tcPr>
            <w:tcW w:w="2876" w:type="pct"/>
            <w:tcBorders>
              <w:top w:val="outset" w:sz="6" w:space="0" w:color="414142"/>
              <w:left w:val="outset" w:sz="6" w:space="0" w:color="414142"/>
              <w:bottom w:val="outset" w:sz="6" w:space="0" w:color="414142"/>
              <w:right w:val="outset" w:sz="6" w:space="0" w:color="414142"/>
            </w:tcBorders>
          </w:tcPr>
          <w:p w14:paraId="1073857A" w14:textId="77777777" w:rsidR="00177CFA" w:rsidRPr="00647904" w:rsidRDefault="00177CFA" w:rsidP="00303AD6">
            <w:pPr>
              <w:spacing w:after="0" w:line="240" w:lineRule="auto"/>
              <w:rPr>
                <w:rFonts w:ascii="Times New Roman" w:eastAsia="Times New Roman" w:hAnsi="Times New Roman"/>
                <w:color w:val="000000"/>
                <w:sz w:val="24"/>
                <w:szCs w:val="24"/>
                <w:lang w:eastAsia="lv-LV"/>
              </w:rPr>
            </w:pPr>
            <w:r w:rsidRPr="00647904">
              <w:rPr>
                <w:rFonts w:ascii="Times New Roman" w:eastAsia="Times New Roman" w:hAnsi="Times New Roman"/>
                <w:color w:val="000000"/>
                <w:sz w:val="24"/>
                <w:szCs w:val="24"/>
                <w:lang w:eastAsia="lv-LV"/>
              </w:rPr>
              <w:t>Nav</w:t>
            </w:r>
          </w:p>
        </w:tc>
      </w:tr>
    </w:tbl>
    <w:p w14:paraId="7E81950B" w14:textId="77777777" w:rsidR="007C20E5" w:rsidRPr="00647904" w:rsidRDefault="007C20E5" w:rsidP="00B66AB2">
      <w:pPr>
        <w:spacing w:after="0" w:line="240" w:lineRule="auto"/>
        <w:rPr>
          <w:rFonts w:ascii="Times New Roman" w:hAnsi="Times New Roman"/>
          <w:color w:val="000000"/>
          <w:sz w:val="24"/>
          <w:szCs w:val="24"/>
        </w:rPr>
      </w:pPr>
    </w:p>
    <w:p w14:paraId="4C3FC9F8" w14:textId="117BDC5E" w:rsidR="00754F0F" w:rsidRPr="00754F0F" w:rsidRDefault="00754F0F" w:rsidP="00754F0F">
      <w:pPr>
        <w:spacing w:before="75" w:after="75"/>
        <w:jc w:val="both"/>
        <w:rPr>
          <w:rFonts w:ascii="Times New Roman" w:eastAsia="Times New Roman" w:hAnsi="Times New Roman"/>
          <w:sz w:val="24"/>
          <w:szCs w:val="24"/>
          <w:lang w:eastAsia="lv-LV"/>
        </w:rPr>
      </w:pPr>
      <w:r w:rsidRPr="00754F0F">
        <w:rPr>
          <w:rFonts w:ascii="Times New Roman" w:eastAsia="Times New Roman" w:hAnsi="Times New Roman"/>
          <w:sz w:val="24"/>
          <w:szCs w:val="24"/>
          <w:lang w:eastAsia="lv-LV"/>
        </w:rPr>
        <w:lastRenderedPageBreak/>
        <w:t>Tie</w:t>
      </w:r>
      <w:r w:rsidR="00052A16">
        <w:rPr>
          <w:rFonts w:ascii="Times New Roman" w:eastAsia="Times New Roman" w:hAnsi="Times New Roman"/>
          <w:sz w:val="24"/>
          <w:szCs w:val="24"/>
          <w:lang w:eastAsia="lv-LV"/>
        </w:rPr>
        <w:t>slietu ministrs</w:t>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00052A16">
        <w:rPr>
          <w:rFonts w:ascii="Times New Roman" w:eastAsia="Times New Roman" w:hAnsi="Times New Roman"/>
          <w:sz w:val="24"/>
          <w:szCs w:val="24"/>
          <w:lang w:eastAsia="lv-LV"/>
        </w:rPr>
        <w:tab/>
      </w:r>
      <w:r w:rsidRPr="00754F0F">
        <w:rPr>
          <w:rFonts w:ascii="Times New Roman" w:eastAsia="Times New Roman" w:hAnsi="Times New Roman"/>
          <w:sz w:val="24"/>
          <w:szCs w:val="24"/>
          <w:lang w:eastAsia="lv-LV"/>
        </w:rPr>
        <w:t>Dzintars Rasnačs</w:t>
      </w:r>
    </w:p>
    <w:p w14:paraId="46341C6A" w14:textId="77777777" w:rsidR="00754F0F" w:rsidRPr="00754F0F" w:rsidRDefault="00754F0F" w:rsidP="00754F0F">
      <w:pPr>
        <w:spacing w:before="75" w:after="75"/>
        <w:jc w:val="both"/>
        <w:rPr>
          <w:rFonts w:ascii="Times New Roman" w:eastAsia="Times New Roman" w:hAnsi="Times New Roman"/>
          <w:sz w:val="24"/>
          <w:szCs w:val="24"/>
          <w:lang w:eastAsia="lv-LV"/>
        </w:rPr>
      </w:pPr>
    </w:p>
    <w:p w14:paraId="5832E8DF" w14:textId="77777777" w:rsidR="00080BE7" w:rsidRDefault="00080BE7" w:rsidP="00080BE7">
      <w:pPr>
        <w:spacing w:after="0" w:line="240" w:lineRule="auto"/>
        <w:rPr>
          <w:rFonts w:ascii="Times New Roman" w:hAnsi="Times New Roman"/>
          <w:sz w:val="24"/>
          <w:szCs w:val="24"/>
        </w:rPr>
      </w:pPr>
      <w:r>
        <w:rPr>
          <w:rFonts w:ascii="Times New Roman" w:hAnsi="Times New Roman"/>
          <w:sz w:val="24"/>
          <w:szCs w:val="24"/>
        </w:rPr>
        <w:t>Iesniedzējs:</w:t>
      </w:r>
    </w:p>
    <w:p w14:paraId="341C8F1A" w14:textId="3A80639E" w:rsidR="00080BE7" w:rsidRDefault="00052A16" w:rsidP="00080BE7">
      <w:pPr>
        <w:rPr>
          <w:rFonts w:ascii="Times New Roman" w:hAnsi="Times New Roman"/>
          <w:sz w:val="24"/>
          <w:szCs w:val="24"/>
        </w:rPr>
      </w:pPr>
      <w:r>
        <w:rPr>
          <w:rFonts w:ascii="Times New Roman" w:hAnsi="Times New Roman"/>
          <w:sz w:val="24"/>
          <w:szCs w:val="24"/>
        </w:rPr>
        <w:t>tieslietu ministrs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80BE7">
        <w:rPr>
          <w:rFonts w:ascii="Times New Roman" w:hAnsi="Times New Roman"/>
          <w:sz w:val="24"/>
          <w:szCs w:val="24"/>
        </w:rPr>
        <w:t>Dzintars Rasnačs</w:t>
      </w:r>
    </w:p>
    <w:p w14:paraId="46AA94FD" w14:textId="77777777" w:rsidR="00080BE7" w:rsidRDefault="00080BE7" w:rsidP="00080BE7">
      <w:pPr>
        <w:rPr>
          <w:szCs w:val="24"/>
        </w:rPr>
      </w:pPr>
    </w:p>
    <w:p w14:paraId="19227EC3" w14:textId="4A4C40EE" w:rsidR="00080BE7" w:rsidRDefault="00052A16" w:rsidP="00080BE7">
      <w:pPr>
        <w:spacing w:after="0" w:line="240" w:lineRule="auto"/>
        <w:rPr>
          <w:rFonts w:ascii="Times New Roman" w:hAnsi="Times New Roman"/>
          <w:sz w:val="20"/>
          <w:szCs w:val="20"/>
        </w:rPr>
      </w:pPr>
      <w:r>
        <w:rPr>
          <w:rFonts w:ascii="Times New Roman" w:hAnsi="Times New Roman"/>
          <w:sz w:val="20"/>
          <w:szCs w:val="20"/>
        </w:rPr>
        <w:t>1</w:t>
      </w:r>
      <w:r w:rsidR="00396B97">
        <w:rPr>
          <w:rFonts w:ascii="Times New Roman" w:hAnsi="Times New Roman"/>
          <w:sz w:val="20"/>
          <w:szCs w:val="20"/>
        </w:rPr>
        <w:t>7</w:t>
      </w:r>
      <w:r w:rsidR="00080BE7">
        <w:rPr>
          <w:rFonts w:ascii="Times New Roman" w:hAnsi="Times New Roman"/>
          <w:sz w:val="20"/>
          <w:szCs w:val="20"/>
        </w:rPr>
        <w:t>.08.2016. 10:12</w:t>
      </w:r>
    </w:p>
    <w:p w14:paraId="5B65B1F1" w14:textId="4EA0A106" w:rsidR="00080BE7" w:rsidRDefault="00D27015" w:rsidP="00080BE7">
      <w:pPr>
        <w:spacing w:after="0" w:line="240" w:lineRule="auto"/>
        <w:rPr>
          <w:rFonts w:ascii="Times New Roman" w:hAnsi="Times New Roman"/>
          <w:sz w:val="20"/>
          <w:szCs w:val="20"/>
        </w:rPr>
      </w:pPr>
      <w:r>
        <w:rPr>
          <w:rFonts w:ascii="Times New Roman" w:hAnsi="Times New Roman"/>
          <w:sz w:val="20"/>
          <w:szCs w:val="20"/>
        </w:rPr>
        <w:t>2469</w:t>
      </w:r>
    </w:p>
    <w:p w14:paraId="67683FBE" w14:textId="77777777" w:rsidR="00080BE7" w:rsidRDefault="00080BE7" w:rsidP="00080BE7">
      <w:pPr>
        <w:spacing w:after="0" w:line="240" w:lineRule="auto"/>
        <w:rPr>
          <w:rFonts w:ascii="Times New Roman" w:hAnsi="Times New Roman"/>
          <w:sz w:val="20"/>
          <w:szCs w:val="20"/>
        </w:rPr>
      </w:pPr>
      <w:r>
        <w:rPr>
          <w:rFonts w:ascii="Times New Roman" w:hAnsi="Times New Roman"/>
          <w:sz w:val="20"/>
          <w:szCs w:val="20"/>
        </w:rPr>
        <w:t>J.Ābols</w:t>
      </w:r>
    </w:p>
    <w:p w14:paraId="25624A05" w14:textId="2A818205" w:rsidR="00080BE7" w:rsidRDefault="004F1969" w:rsidP="00080BE7">
      <w:pPr>
        <w:spacing w:after="0" w:line="240" w:lineRule="auto"/>
        <w:rPr>
          <w:rFonts w:ascii="Times New Roman" w:hAnsi="Times New Roman"/>
          <w:sz w:val="20"/>
          <w:szCs w:val="20"/>
        </w:rPr>
      </w:pPr>
      <w:r>
        <w:rPr>
          <w:rFonts w:ascii="Times New Roman" w:hAnsi="Times New Roman"/>
          <w:sz w:val="20"/>
          <w:szCs w:val="20"/>
        </w:rPr>
        <w:t xml:space="preserve">67036830, </w:t>
      </w:r>
      <w:hyperlink r:id="rId14" w:history="1">
        <w:r w:rsidRPr="008A6E63">
          <w:rPr>
            <w:rStyle w:val="Hipersaite"/>
            <w:rFonts w:ascii="Times New Roman" w:hAnsi="Times New Roman"/>
            <w:sz w:val="20"/>
            <w:szCs w:val="20"/>
          </w:rPr>
          <w:t>Janis.Abols@tm.gov.lv</w:t>
        </w:r>
      </w:hyperlink>
    </w:p>
    <w:p w14:paraId="1FF2215B" w14:textId="77777777" w:rsidR="004F1969" w:rsidRDefault="004F1969" w:rsidP="00080BE7">
      <w:pPr>
        <w:spacing w:after="0" w:line="240" w:lineRule="auto"/>
        <w:rPr>
          <w:rFonts w:ascii="Times New Roman" w:hAnsi="Times New Roman"/>
          <w:sz w:val="20"/>
          <w:szCs w:val="20"/>
        </w:rPr>
      </w:pPr>
    </w:p>
    <w:p w14:paraId="60DA6720" w14:textId="42AEE04B" w:rsidR="004F1969" w:rsidRPr="004F1969" w:rsidRDefault="004F1969" w:rsidP="004F1969">
      <w:pPr>
        <w:spacing w:after="0" w:line="240" w:lineRule="auto"/>
        <w:rPr>
          <w:rFonts w:ascii="Times New Roman" w:hAnsi="Times New Roman"/>
          <w:sz w:val="20"/>
          <w:szCs w:val="20"/>
        </w:rPr>
      </w:pPr>
      <w:r>
        <w:rPr>
          <w:rFonts w:ascii="Times New Roman" w:hAnsi="Times New Roman"/>
          <w:sz w:val="20"/>
          <w:szCs w:val="20"/>
        </w:rPr>
        <w:t>O.</w:t>
      </w:r>
      <w:r w:rsidRPr="004F1969">
        <w:rPr>
          <w:rFonts w:ascii="Times New Roman" w:hAnsi="Times New Roman"/>
          <w:sz w:val="20"/>
          <w:szCs w:val="20"/>
        </w:rPr>
        <w:t>Āboliņa</w:t>
      </w:r>
    </w:p>
    <w:p w14:paraId="35400C3A" w14:textId="559BF698" w:rsidR="004F1969" w:rsidRPr="004F1969" w:rsidRDefault="004F1969" w:rsidP="004F1969">
      <w:pPr>
        <w:spacing w:after="0" w:line="240" w:lineRule="auto"/>
        <w:rPr>
          <w:rFonts w:ascii="Times New Roman" w:hAnsi="Times New Roman"/>
          <w:sz w:val="20"/>
          <w:szCs w:val="20"/>
        </w:rPr>
      </w:pPr>
      <w:r w:rsidRPr="004F1969">
        <w:rPr>
          <w:rFonts w:ascii="Times New Roman" w:hAnsi="Times New Roman"/>
          <w:sz w:val="20"/>
          <w:szCs w:val="20"/>
        </w:rPr>
        <w:t>67063811</w:t>
      </w:r>
      <w:r>
        <w:rPr>
          <w:rFonts w:ascii="Times New Roman" w:hAnsi="Times New Roman"/>
          <w:sz w:val="20"/>
          <w:szCs w:val="20"/>
        </w:rPr>
        <w:t xml:space="preserve">, </w:t>
      </w:r>
      <w:hyperlink r:id="rId15" w:history="1">
        <w:r w:rsidRPr="008A6E63">
          <w:rPr>
            <w:rStyle w:val="Hipersaite"/>
            <w:rFonts w:ascii="Times New Roman" w:hAnsi="Times New Roman"/>
            <w:sz w:val="20"/>
            <w:szCs w:val="20"/>
          </w:rPr>
          <w:t>Olita.Abolina@ta.gov.lv</w:t>
        </w:r>
      </w:hyperlink>
    </w:p>
    <w:p w14:paraId="4565CD23" w14:textId="77777777" w:rsidR="004F1969" w:rsidRDefault="004F1969" w:rsidP="00080BE7">
      <w:pPr>
        <w:spacing w:after="0" w:line="240" w:lineRule="auto"/>
        <w:rPr>
          <w:rFonts w:ascii="Times New Roman" w:hAnsi="Times New Roman"/>
          <w:sz w:val="20"/>
          <w:szCs w:val="20"/>
        </w:rPr>
      </w:pPr>
    </w:p>
    <w:p w14:paraId="46BE6E2B" w14:textId="77777777" w:rsidR="008752D4" w:rsidRPr="00647904" w:rsidRDefault="008752D4" w:rsidP="00080BE7">
      <w:pPr>
        <w:spacing w:before="75" w:after="75"/>
        <w:jc w:val="both"/>
        <w:rPr>
          <w:rFonts w:ascii="Times New Roman" w:hAnsi="Times New Roman"/>
          <w:color w:val="000000"/>
          <w:sz w:val="24"/>
          <w:szCs w:val="24"/>
        </w:rPr>
      </w:pPr>
    </w:p>
    <w:sectPr w:rsidR="008752D4" w:rsidRPr="00647904" w:rsidSect="002F580E">
      <w:headerReference w:type="default" r:id="rId16"/>
      <w:footerReference w:type="default" r:id="rId17"/>
      <w:footerReference w:type="first" r:id="rId18"/>
      <w:pgSz w:w="11906" w:h="16838"/>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06C6F" w15:done="0"/>
  <w15:commentEx w15:paraId="0ACCC462" w15:done="0"/>
  <w15:commentEx w15:paraId="6C9696DA" w15:done="0"/>
  <w15:commentEx w15:paraId="68260C53" w15:done="0"/>
  <w15:commentEx w15:paraId="16B3B1FC" w15:done="0"/>
  <w15:commentEx w15:paraId="06BFBE42" w15:done="0"/>
  <w15:commentEx w15:paraId="696A0A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EFDC5" w14:textId="77777777" w:rsidR="0059182D" w:rsidRDefault="0059182D" w:rsidP="000F4227">
      <w:pPr>
        <w:spacing w:after="0" w:line="240" w:lineRule="auto"/>
      </w:pPr>
      <w:r>
        <w:separator/>
      </w:r>
    </w:p>
  </w:endnote>
  <w:endnote w:type="continuationSeparator" w:id="0">
    <w:p w14:paraId="0B805D92" w14:textId="77777777" w:rsidR="0059182D" w:rsidRDefault="0059182D" w:rsidP="000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3D1C" w14:textId="6F34D697" w:rsidR="0059182D" w:rsidRPr="00BE79A0" w:rsidRDefault="00F93045" w:rsidP="00A34159">
    <w:pPr>
      <w:pStyle w:val="Kjene"/>
      <w:jc w:val="both"/>
      <w:rPr>
        <w:rFonts w:ascii="Times New Roman" w:hAnsi="Times New Roman"/>
      </w:rPr>
    </w:pPr>
    <w:r>
      <w:rPr>
        <w:rFonts w:ascii="Times New Roman" w:hAnsi="Times New Roman"/>
        <w:sz w:val="20"/>
      </w:rPr>
      <w:t>TMLik_17</w:t>
    </w:r>
    <w:r w:rsidR="0059182D">
      <w:rPr>
        <w:rFonts w:ascii="Times New Roman" w:hAnsi="Times New Roman"/>
        <w:sz w:val="20"/>
      </w:rPr>
      <w:t>0816_CPL</w:t>
    </w:r>
    <w:r w:rsidR="0059182D" w:rsidRPr="00BE79A0">
      <w:rPr>
        <w:rFonts w:ascii="Times New Roman" w:hAnsi="Times New Roman"/>
        <w:sz w:val="20"/>
      </w:rPr>
      <w:t>; Li</w:t>
    </w:r>
    <w:r w:rsidR="0059182D">
      <w:rPr>
        <w:rFonts w:ascii="Times New Roman" w:hAnsi="Times New Roman"/>
        <w:sz w:val="20"/>
      </w:rPr>
      <w:t>kumprojekta „Grozījumi Civilp</w:t>
    </w:r>
    <w:r w:rsidR="0059182D" w:rsidRPr="00BE79A0">
      <w:rPr>
        <w:rFonts w:ascii="Times New Roman" w:hAnsi="Times New Roman"/>
        <w:sz w:val="20"/>
      </w:rPr>
      <w:t>rocesa likumā</w:t>
    </w:r>
    <w:r w:rsidR="0059182D">
      <w:rPr>
        <w:rFonts w:ascii="Times New Roman" w:hAnsi="Times New Roman"/>
        <w:sz w:val="20"/>
      </w:rPr>
      <w:t xml:space="preserve">” </w:t>
    </w:r>
    <w:r w:rsidR="0059182D" w:rsidRPr="00BE79A0">
      <w:rPr>
        <w:rFonts w:ascii="Times New Roman" w:hAnsi="Times New Roman"/>
        <w:sz w:val="20"/>
        <w:szCs w:val="20"/>
      </w:rPr>
      <w:t>sākotnējās</w:t>
    </w:r>
    <w:r w:rsidR="0059182D">
      <w:rPr>
        <w:rFonts w:ascii="Times New Roman" w:hAnsi="Times New Roman"/>
        <w:sz w:val="20"/>
        <w:szCs w:val="20"/>
      </w:rPr>
      <w:t xml:space="preserve"> ietekmes novērtējuma ziņojums </w:t>
    </w:r>
    <w:r w:rsidR="0059182D" w:rsidRPr="00BE79A0">
      <w:rPr>
        <w:rFonts w:ascii="Times New Roman" w:hAnsi="Times New Roman"/>
        <w:sz w:val="20"/>
        <w:szCs w:val="20"/>
      </w:rPr>
      <w:t>(anotācija)</w:t>
    </w:r>
  </w:p>
  <w:p w14:paraId="68E43861" w14:textId="77777777" w:rsidR="0059182D" w:rsidRPr="000F4227" w:rsidRDefault="0059182D" w:rsidP="00181827">
    <w:pPr>
      <w:pStyle w:val="Kjen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0050" w14:textId="1B314406" w:rsidR="0059182D" w:rsidRPr="00BE79A0" w:rsidRDefault="00F93045" w:rsidP="00A34159">
    <w:pPr>
      <w:pStyle w:val="Kjene"/>
      <w:jc w:val="both"/>
      <w:rPr>
        <w:rFonts w:ascii="Times New Roman" w:hAnsi="Times New Roman"/>
      </w:rPr>
    </w:pPr>
    <w:r>
      <w:rPr>
        <w:rFonts w:ascii="Times New Roman" w:hAnsi="Times New Roman"/>
        <w:sz w:val="20"/>
      </w:rPr>
      <w:t>TMLik_17</w:t>
    </w:r>
    <w:r w:rsidR="0059182D">
      <w:rPr>
        <w:rFonts w:ascii="Times New Roman" w:hAnsi="Times New Roman"/>
        <w:sz w:val="20"/>
      </w:rPr>
      <w:t>0816_CPL</w:t>
    </w:r>
    <w:r w:rsidR="0059182D" w:rsidRPr="00BE79A0">
      <w:rPr>
        <w:rFonts w:ascii="Times New Roman" w:hAnsi="Times New Roman"/>
        <w:sz w:val="20"/>
      </w:rPr>
      <w:t>; Li</w:t>
    </w:r>
    <w:r w:rsidR="0059182D">
      <w:rPr>
        <w:rFonts w:ascii="Times New Roman" w:hAnsi="Times New Roman"/>
        <w:sz w:val="20"/>
      </w:rPr>
      <w:t>kumprojekta „Grozījumi Civilp</w:t>
    </w:r>
    <w:r w:rsidR="0059182D" w:rsidRPr="00BE79A0">
      <w:rPr>
        <w:rFonts w:ascii="Times New Roman" w:hAnsi="Times New Roman"/>
        <w:sz w:val="20"/>
      </w:rPr>
      <w:t>rocesa likumā</w:t>
    </w:r>
    <w:r w:rsidR="0059182D">
      <w:rPr>
        <w:rFonts w:ascii="Times New Roman" w:hAnsi="Times New Roman"/>
        <w:sz w:val="20"/>
      </w:rPr>
      <w:t xml:space="preserve">” </w:t>
    </w:r>
    <w:r w:rsidR="0059182D" w:rsidRPr="00BE79A0">
      <w:rPr>
        <w:rFonts w:ascii="Times New Roman" w:hAnsi="Times New Roman"/>
        <w:sz w:val="20"/>
        <w:szCs w:val="20"/>
      </w:rPr>
      <w:t>sākotnējās</w:t>
    </w:r>
    <w:r w:rsidR="0059182D">
      <w:rPr>
        <w:rFonts w:ascii="Times New Roman" w:hAnsi="Times New Roman"/>
        <w:sz w:val="20"/>
        <w:szCs w:val="20"/>
      </w:rPr>
      <w:t xml:space="preserve"> ietekmes novērtējuma ziņojums </w:t>
    </w:r>
    <w:r w:rsidR="0059182D" w:rsidRPr="00BE79A0">
      <w:rPr>
        <w:rFonts w:ascii="Times New Roman" w:hAnsi="Times New Roman"/>
        <w:sz w:val="20"/>
        <w:szCs w:val="20"/>
      </w:rPr>
      <w:t>(anotācija)</w:t>
    </w:r>
  </w:p>
  <w:p w14:paraId="15EFB5C9" w14:textId="77777777" w:rsidR="0059182D" w:rsidRPr="00BE79A0" w:rsidRDefault="0059182D" w:rsidP="008B66F9">
    <w:pPr>
      <w:pStyle w:val="Kjene"/>
      <w:rPr>
        <w:rFonts w:ascii="Times New Roman" w:hAnsi="Times New Roman"/>
      </w:rPr>
    </w:pPr>
  </w:p>
  <w:p w14:paraId="281DA6C1" w14:textId="77777777" w:rsidR="0059182D" w:rsidRPr="008B66F9" w:rsidRDefault="0059182D" w:rsidP="008B66F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0FA2F" w14:textId="77777777" w:rsidR="0059182D" w:rsidRDefault="0059182D" w:rsidP="000F4227">
      <w:pPr>
        <w:spacing w:after="0" w:line="240" w:lineRule="auto"/>
      </w:pPr>
      <w:r>
        <w:separator/>
      </w:r>
    </w:p>
  </w:footnote>
  <w:footnote w:type="continuationSeparator" w:id="0">
    <w:p w14:paraId="3DB240F0" w14:textId="77777777" w:rsidR="0059182D" w:rsidRDefault="0059182D" w:rsidP="000F4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CAB29" w14:textId="77777777" w:rsidR="0059182D" w:rsidRPr="004D15A9" w:rsidRDefault="0059182D">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A23C71">
      <w:rPr>
        <w:rFonts w:ascii="Times New Roman" w:hAnsi="Times New Roman"/>
        <w:noProof/>
        <w:sz w:val="24"/>
        <w:szCs w:val="24"/>
      </w:rPr>
      <w:t>2</w:t>
    </w:r>
    <w:r w:rsidRPr="004D15A9">
      <w:rPr>
        <w:rFonts w:ascii="Times New Roman" w:hAnsi="Times New Roman"/>
        <w:sz w:val="24"/>
        <w:szCs w:val="24"/>
      </w:rPr>
      <w:fldChar w:fldCharType="end"/>
    </w:r>
  </w:p>
  <w:p w14:paraId="491F20BB" w14:textId="77777777" w:rsidR="0059182D" w:rsidRDefault="0059182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406"/>
    <w:multiLevelType w:val="hybridMultilevel"/>
    <w:tmpl w:val="1A06B32A"/>
    <w:lvl w:ilvl="0" w:tplc="1EF613CE">
      <w:start w:val="1"/>
      <w:numFmt w:val="decimal"/>
      <w:lvlText w:val="%1)"/>
      <w:lvlJc w:val="left"/>
      <w:pPr>
        <w:ind w:left="1211" w:hanging="360"/>
      </w:pPr>
      <w:rPr>
        <w:rFonts w:hint="default"/>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nsid w:val="179A19FA"/>
    <w:multiLevelType w:val="hybridMultilevel"/>
    <w:tmpl w:val="5D2E49D2"/>
    <w:lvl w:ilvl="0" w:tplc="25AEE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F2E573B"/>
    <w:multiLevelType w:val="hybridMultilevel"/>
    <w:tmpl w:val="B7AE0CBA"/>
    <w:lvl w:ilvl="0" w:tplc="3F66B7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8FE14F1"/>
    <w:multiLevelType w:val="hybridMultilevel"/>
    <w:tmpl w:val="C492D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C06033A"/>
    <w:multiLevelType w:val="hybridMultilevel"/>
    <w:tmpl w:val="FCF284CC"/>
    <w:lvl w:ilvl="0" w:tplc="91EA3014">
      <w:start w:val="1"/>
      <w:numFmt w:val="decimal"/>
      <w:lvlText w:val="(%1)"/>
      <w:lvlJc w:val="left"/>
      <w:pPr>
        <w:ind w:left="1864" w:hanging="115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54C37A25"/>
    <w:multiLevelType w:val="hybridMultilevel"/>
    <w:tmpl w:val="78C8FAEC"/>
    <w:lvl w:ilvl="0" w:tplc="04260001">
      <w:start w:val="1"/>
      <w:numFmt w:val="bullet"/>
      <w:lvlText w:val=""/>
      <w:lvlJc w:val="left"/>
      <w:pPr>
        <w:ind w:left="1261" w:hanging="360"/>
      </w:pPr>
      <w:rPr>
        <w:rFonts w:ascii="Symbol" w:hAnsi="Symbol" w:hint="default"/>
      </w:rPr>
    </w:lvl>
    <w:lvl w:ilvl="1" w:tplc="04260003" w:tentative="1">
      <w:start w:val="1"/>
      <w:numFmt w:val="bullet"/>
      <w:lvlText w:val="o"/>
      <w:lvlJc w:val="left"/>
      <w:pPr>
        <w:ind w:left="1981" w:hanging="360"/>
      </w:pPr>
      <w:rPr>
        <w:rFonts w:ascii="Courier New" w:hAnsi="Courier New" w:cs="Courier New" w:hint="default"/>
      </w:rPr>
    </w:lvl>
    <w:lvl w:ilvl="2" w:tplc="04260005" w:tentative="1">
      <w:start w:val="1"/>
      <w:numFmt w:val="bullet"/>
      <w:lvlText w:val=""/>
      <w:lvlJc w:val="left"/>
      <w:pPr>
        <w:ind w:left="2701" w:hanging="360"/>
      </w:pPr>
      <w:rPr>
        <w:rFonts w:ascii="Wingdings" w:hAnsi="Wingdings" w:hint="default"/>
      </w:rPr>
    </w:lvl>
    <w:lvl w:ilvl="3" w:tplc="04260001" w:tentative="1">
      <w:start w:val="1"/>
      <w:numFmt w:val="bullet"/>
      <w:lvlText w:val=""/>
      <w:lvlJc w:val="left"/>
      <w:pPr>
        <w:ind w:left="3421" w:hanging="360"/>
      </w:pPr>
      <w:rPr>
        <w:rFonts w:ascii="Symbol" w:hAnsi="Symbol" w:hint="default"/>
      </w:rPr>
    </w:lvl>
    <w:lvl w:ilvl="4" w:tplc="04260003" w:tentative="1">
      <w:start w:val="1"/>
      <w:numFmt w:val="bullet"/>
      <w:lvlText w:val="o"/>
      <w:lvlJc w:val="left"/>
      <w:pPr>
        <w:ind w:left="4141" w:hanging="360"/>
      </w:pPr>
      <w:rPr>
        <w:rFonts w:ascii="Courier New" w:hAnsi="Courier New" w:cs="Courier New" w:hint="default"/>
      </w:rPr>
    </w:lvl>
    <w:lvl w:ilvl="5" w:tplc="04260005" w:tentative="1">
      <w:start w:val="1"/>
      <w:numFmt w:val="bullet"/>
      <w:lvlText w:val=""/>
      <w:lvlJc w:val="left"/>
      <w:pPr>
        <w:ind w:left="4861" w:hanging="360"/>
      </w:pPr>
      <w:rPr>
        <w:rFonts w:ascii="Wingdings" w:hAnsi="Wingdings" w:hint="default"/>
      </w:rPr>
    </w:lvl>
    <w:lvl w:ilvl="6" w:tplc="04260001" w:tentative="1">
      <w:start w:val="1"/>
      <w:numFmt w:val="bullet"/>
      <w:lvlText w:val=""/>
      <w:lvlJc w:val="left"/>
      <w:pPr>
        <w:ind w:left="5581" w:hanging="360"/>
      </w:pPr>
      <w:rPr>
        <w:rFonts w:ascii="Symbol" w:hAnsi="Symbol" w:hint="default"/>
      </w:rPr>
    </w:lvl>
    <w:lvl w:ilvl="7" w:tplc="04260003" w:tentative="1">
      <w:start w:val="1"/>
      <w:numFmt w:val="bullet"/>
      <w:lvlText w:val="o"/>
      <w:lvlJc w:val="left"/>
      <w:pPr>
        <w:ind w:left="6301" w:hanging="360"/>
      </w:pPr>
      <w:rPr>
        <w:rFonts w:ascii="Courier New" w:hAnsi="Courier New" w:cs="Courier New" w:hint="default"/>
      </w:rPr>
    </w:lvl>
    <w:lvl w:ilvl="8" w:tplc="04260005" w:tentative="1">
      <w:start w:val="1"/>
      <w:numFmt w:val="bullet"/>
      <w:lvlText w:val=""/>
      <w:lvlJc w:val="left"/>
      <w:pPr>
        <w:ind w:left="7021" w:hanging="360"/>
      </w:pPr>
      <w:rPr>
        <w:rFonts w:ascii="Wingdings" w:hAnsi="Wingdings" w:hint="default"/>
      </w:rPr>
    </w:lvl>
  </w:abstractNum>
  <w:abstractNum w:abstractNumId="6">
    <w:nsid w:val="773E6A82"/>
    <w:multiLevelType w:val="hybridMultilevel"/>
    <w:tmpl w:val="3112E730"/>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nsid w:val="7C7038DC"/>
    <w:multiLevelType w:val="hybridMultilevel"/>
    <w:tmpl w:val="F724E95C"/>
    <w:lvl w:ilvl="0" w:tplc="80A00924">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8">
    <w:nsid w:val="7E1240EB"/>
    <w:multiLevelType w:val="hybridMultilevel"/>
    <w:tmpl w:val="BBF8B8C4"/>
    <w:lvl w:ilvl="0" w:tplc="F6301792">
      <w:start w:val="1"/>
      <w:numFmt w:val="decimal"/>
      <w:lvlText w:val="%1)"/>
      <w:lvlJc w:val="left"/>
      <w:pPr>
        <w:ind w:left="1211" w:hanging="360"/>
      </w:pPr>
      <w:rPr>
        <w:rFonts w:hint="default"/>
        <w:color w:val="auto"/>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5"/>
  </w:num>
  <w:num w:numId="2">
    <w:abstractNumId w:val="2"/>
  </w:num>
  <w:num w:numId="3">
    <w:abstractNumId w:val="6"/>
  </w:num>
  <w:num w:numId="4">
    <w:abstractNumId w:val="4"/>
  </w:num>
  <w:num w:numId="5">
    <w:abstractNumId w:val="8"/>
  </w:num>
  <w:num w:numId="6">
    <w:abstractNumId w:val="0"/>
  </w:num>
  <w:num w:numId="7">
    <w:abstractNumId w:val="7"/>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ita Ilgaza">
    <w15:presenceInfo w15:providerId="Windows Live" w15:userId="e44d7eb5d47f9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D4"/>
    <w:rsid w:val="0001180A"/>
    <w:rsid w:val="00031662"/>
    <w:rsid w:val="000363CF"/>
    <w:rsid w:val="00040441"/>
    <w:rsid w:val="00046450"/>
    <w:rsid w:val="00052A16"/>
    <w:rsid w:val="0005635F"/>
    <w:rsid w:val="00057C44"/>
    <w:rsid w:val="00060A32"/>
    <w:rsid w:val="00063278"/>
    <w:rsid w:val="00065709"/>
    <w:rsid w:val="000707E5"/>
    <w:rsid w:val="00071B52"/>
    <w:rsid w:val="000748D5"/>
    <w:rsid w:val="00080BE7"/>
    <w:rsid w:val="00087806"/>
    <w:rsid w:val="0009634A"/>
    <w:rsid w:val="0009782E"/>
    <w:rsid w:val="000A4AAE"/>
    <w:rsid w:val="000A4E83"/>
    <w:rsid w:val="000C30E2"/>
    <w:rsid w:val="000C45C8"/>
    <w:rsid w:val="000C50C3"/>
    <w:rsid w:val="000D3449"/>
    <w:rsid w:val="000D4F77"/>
    <w:rsid w:val="000D7617"/>
    <w:rsid w:val="000F4227"/>
    <w:rsid w:val="000F7110"/>
    <w:rsid w:val="00102B0D"/>
    <w:rsid w:val="001032C3"/>
    <w:rsid w:val="001061DC"/>
    <w:rsid w:val="00110794"/>
    <w:rsid w:val="0011555A"/>
    <w:rsid w:val="0012702D"/>
    <w:rsid w:val="00127295"/>
    <w:rsid w:val="00147A05"/>
    <w:rsid w:val="0015087D"/>
    <w:rsid w:val="001568B4"/>
    <w:rsid w:val="0016059F"/>
    <w:rsid w:val="00164E33"/>
    <w:rsid w:val="00165B82"/>
    <w:rsid w:val="00173BFE"/>
    <w:rsid w:val="001740E4"/>
    <w:rsid w:val="0017620B"/>
    <w:rsid w:val="001773F1"/>
    <w:rsid w:val="00177CFA"/>
    <w:rsid w:val="00181827"/>
    <w:rsid w:val="00182545"/>
    <w:rsid w:val="00182C46"/>
    <w:rsid w:val="00183598"/>
    <w:rsid w:val="001941E0"/>
    <w:rsid w:val="0019569B"/>
    <w:rsid w:val="00197159"/>
    <w:rsid w:val="001A0CA0"/>
    <w:rsid w:val="001A608A"/>
    <w:rsid w:val="001B27FF"/>
    <w:rsid w:val="001B373B"/>
    <w:rsid w:val="001B607B"/>
    <w:rsid w:val="001D6644"/>
    <w:rsid w:val="001E234F"/>
    <w:rsid w:val="001E300E"/>
    <w:rsid w:val="001E3FDA"/>
    <w:rsid w:val="001E5B43"/>
    <w:rsid w:val="001F1569"/>
    <w:rsid w:val="001F49ED"/>
    <w:rsid w:val="001F57DD"/>
    <w:rsid w:val="002015E2"/>
    <w:rsid w:val="00206C79"/>
    <w:rsid w:val="00207654"/>
    <w:rsid w:val="00211BE8"/>
    <w:rsid w:val="00224819"/>
    <w:rsid w:val="00227EC7"/>
    <w:rsid w:val="002307D4"/>
    <w:rsid w:val="0024520D"/>
    <w:rsid w:val="00250835"/>
    <w:rsid w:val="0025114A"/>
    <w:rsid w:val="00251481"/>
    <w:rsid w:val="002519E6"/>
    <w:rsid w:val="002542FE"/>
    <w:rsid w:val="0025571A"/>
    <w:rsid w:val="00255938"/>
    <w:rsid w:val="002601DD"/>
    <w:rsid w:val="00261A60"/>
    <w:rsid w:val="00266B80"/>
    <w:rsid w:val="00270739"/>
    <w:rsid w:val="00270A0A"/>
    <w:rsid w:val="00272EBE"/>
    <w:rsid w:val="00273458"/>
    <w:rsid w:val="00274BF8"/>
    <w:rsid w:val="00281291"/>
    <w:rsid w:val="0028281F"/>
    <w:rsid w:val="00284020"/>
    <w:rsid w:val="00285DCD"/>
    <w:rsid w:val="00286611"/>
    <w:rsid w:val="0029569E"/>
    <w:rsid w:val="0029660A"/>
    <w:rsid w:val="002A3A80"/>
    <w:rsid w:val="002A6924"/>
    <w:rsid w:val="002A6A88"/>
    <w:rsid w:val="002B6573"/>
    <w:rsid w:val="002B6DF3"/>
    <w:rsid w:val="002B7921"/>
    <w:rsid w:val="002C1C06"/>
    <w:rsid w:val="002C293C"/>
    <w:rsid w:val="002C4393"/>
    <w:rsid w:val="002D2B5C"/>
    <w:rsid w:val="002E5FE7"/>
    <w:rsid w:val="002F161E"/>
    <w:rsid w:val="002F3678"/>
    <w:rsid w:val="002F5368"/>
    <w:rsid w:val="002F580E"/>
    <w:rsid w:val="002F6227"/>
    <w:rsid w:val="00302D42"/>
    <w:rsid w:val="00303AD6"/>
    <w:rsid w:val="00304848"/>
    <w:rsid w:val="00306FAF"/>
    <w:rsid w:val="00314116"/>
    <w:rsid w:val="00320306"/>
    <w:rsid w:val="00326A04"/>
    <w:rsid w:val="00340D29"/>
    <w:rsid w:val="0034698C"/>
    <w:rsid w:val="0035009D"/>
    <w:rsid w:val="00357F91"/>
    <w:rsid w:val="003610AA"/>
    <w:rsid w:val="00361891"/>
    <w:rsid w:val="00363477"/>
    <w:rsid w:val="00363660"/>
    <w:rsid w:val="00367278"/>
    <w:rsid w:val="0037602E"/>
    <w:rsid w:val="00383CE4"/>
    <w:rsid w:val="00384606"/>
    <w:rsid w:val="00396B97"/>
    <w:rsid w:val="0039728F"/>
    <w:rsid w:val="003A02F0"/>
    <w:rsid w:val="003A1148"/>
    <w:rsid w:val="003A6919"/>
    <w:rsid w:val="003B0333"/>
    <w:rsid w:val="003B5229"/>
    <w:rsid w:val="003E0C9C"/>
    <w:rsid w:val="003E28EF"/>
    <w:rsid w:val="003E2F6D"/>
    <w:rsid w:val="003E4D44"/>
    <w:rsid w:val="003E55BE"/>
    <w:rsid w:val="003F3670"/>
    <w:rsid w:val="003F4443"/>
    <w:rsid w:val="003F76AC"/>
    <w:rsid w:val="00400EC8"/>
    <w:rsid w:val="004033DF"/>
    <w:rsid w:val="00404829"/>
    <w:rsid w:val="00404CA8"/>
    <w:rsid w:val="004106C2"/>
    <w:rsid w:val="004123B8"/>
    <w:rsid w:val="004155CE"/>
    <w:rsid w:val="00420852"/>
    <w:rsid w:val="004254C9"/>
    <w:rsid w:val="00426E71"/>
    <w:rsid w:val="00442D4B"/>
    <w:rsid w:val="00443B75"/>
    <w:rsid w:val="00444AF6"/>
    <w:rsid w:val="00447ABD"/>
    <w:rsid w:val="00451155"/>
    <w:rsid w:val="004548BB"/>
    <w:rsid w:val="004617C9"/>
    <w:rsid w:val="00462984"/>
    <w:rsid w:val="004637AD"/>
    <w:rsid w:val="00467AA7"/>
    <w:rsid w:val="00481C3F"/>
    <w:rsid w:val="004904B9"/>
    <w:rsid w:val="004959F6"/>
    <w:rsid w:val="004A10F3"/>
    <w:rsid w:val="004A6793"/>
    <w:rsid w:val="004B20AF"/>
    <w:rsid w:val="004B51AF"/>
    <w:rsid w:val="004B56E0"/>
    <w:rsid w:val="004C4EDD"/>
    <w:rsid w:val="004C7B0D"/>
    <w:rsid w:val="004D3597"/>
    <w:rsid w:val="004D454B"/>
    <w:rsid w:val="004E0FA8"/>
    <w:rsid w:val="004E1A4D"/>
    <w:rsid w:val="004F1969"/>
    <w:rsid w:val="004F3F11"/>
    <w:rsid w:val="004F5CB9"/>
    <w:rsid w:val="00506E5D"/>
    <w:rsid w:val="005102A6"/>
    <w:rsid w:val="0051663D"/>
    <w:rsid w:val="00520C61"/>
    <w:rsid w:val="00522EBE"/>
    <w:rsid w:val="00523996"/>
    <w:rsid w:val="00525B0E"/>
    <w:rsid w:val="00527BD7"/>
    <w:rsid w:val="00531EE7"/>
    <w:rsid w:val="005365A5"/>
    <w:rsid w:val="00540143"/>
    <w:rsid w:val="00540B40"/>
    <w:rsid w:val="0054129C"/>
    <w:rsid w:val="005445C6"/>
    <w:rsid w:val="005521AA"/>
    <w:rsid w:val="00553843"/>
    <w:rsid w:val="0055783E"/>
    <w:rsid w:val="00560CE4"/>
    <w:rsid w:val="0056268C"/>
    <w:rsid w:val="005703E1"/>
    <w:rsid w:val="00570FE6"/>
    <w:rsid w:val="00571EBC"/>
    <w:rsid w:val="0059182D"/>
    <w:rsid w:val="00591FFE"/>
    <w:rsid w:val="00594213"/>
    <w:rsid w:val="00597A7C"/>
    <w:rsid w:val="005B2BB5"/>
    <w:rsid w:val="005B430B"/>
    <w:rsid w:val="005C3251"/>
    <w:rsid w:val="005C7CED"/>
    <w:rsid w:val="005D0FDD"/>
    <w:rsid w:val="005D4117"/>
    <w:rsid w:val="005D5BC9"/>
    <w:rsid w:val="005D71A5"/>
    <w:rsid w:val="005E3314"/>
    <w:rsid w:val="005E48B4"/>
    <w:rsid w:val="005E7562"/>
    <w:rsid w:val="005F053F"/>
    <w:rsid w:val="005F29F2"/>
    <w:rsid w:val="005F78F3"/>
    <w:rsid w:val="006068CC"/>
    <w:rsid w:val="0061145D"/>
    <w:rsid w:val="00616BFE"/>
    <w:rsid w:val="006219F5"/>
    <w:rsid w:val="00622A8A"/>
    <w:rsid w:val="00624C2F"/>
    <w:rsid w:val="006307AF"/>
    <w:rsid w:val="0063233F"/>
    <w:rsid w:val="00633508"/>
    <w:rsid w:val="0064390D"/>
    <w:rsid w:val="0064654C"/>
    <w:rsid w:val="00647904"/>
    <w:rsid w:val="00652C0B"/>
    <w:rsid w:val="00655B25"/>
    <w:rsid w:val="00656D8D"/>
    <w:rsid w:val="00661F5B"/>
    <w:rsid w:val="006701F0"/>
    <w:rsid w:val="00670771"/>
    <w:rsid w:val="006763AB"/>
    <w:rsid w:val="00680481"/>
    <w:rsid w:val="006819F8"/>
    <w:rsid w:val="00682A22"/>
    <w:rsid w:val="0068481D"/>
    <w:rsid w:val="006914CE"/>
    <w:rsid w:val="00692943"/>
    <w:rsid w:val="006938D6"/>
    <w:rsid w:val="00697346"/>
    <w:rsid w:val="006B6583"/>
    <w:rsid w:val="006C2915"/>
    <w:rsid w:val="006C4BD6"/>
    <w:rsid w:val="006C5851"/>
    <w:rsid w:val="006C5972"/>
    <w:rsid w:val="006C76E8"/>
    <w:rsid w:val="006D0618"/>
    <w:rsid w:val="006D36CD"/>
    <w:rsid w:val="006D74B5"/>
    <w:rsid w:val="006E479A"/>
    <w:rsid w:val="006F0A0F"/>
    <w:rsid w:val="006F2803"/>
    <w:rsid w:val="0070445E"/>
    <w:rsid w:val="00704B9E"/>
    <w:rsid w:val="00713A96"/>
    <w:rsid w:val="00717E2A"/>
    <w:rsid w:val="007262D9"/>
    <w:rsid w:val="00726DED"/>
    <w:rsid w:val="00727317"/>
    <w:rsid w:val="00734059"/>
    <w:rsid w:val="00746135"/>
    <w:rsid w:val="00753E09"/>
    <w:rsid w:val="00754F0F"/>
    <w:rsid w:val="007665A2"/>
    <w:rsid w:val="00770F5A"/>
    <w:rsid w:val="00771139"/>
    <w:rsid w:val="00772349"/>
    <w:rsid w:val="00774326"/>
    <w:rsid w:val="00776CDF"/>
    <w:rsid w:val="007801DE"/>
    <w:rsid w:val="00785A01"/>
    <w:rsid w:val="0079260D"/>
    <w:rsid w:val="00796637"/>
    <w:rsid w:val="007A16A5"/>
    <w:rsid w:val="007A603D"/>
    <w:rsid w:val="007B69C2"/>
    <w:rsid w:val="007C0FE1"/>
    <w:rsid w:val="007C20E5"/>
    <w:rsid w:val="007C49CC"/>
    <w:rsid w:val="007D0820"/>
    <w:rsid w:val="007D4067"/>
    <w:rsid w:val="007E05B3"/>
    <w:rsid w:val="007E76F9"/>
    <w:rsid w:val="007F1CF8"/>
    <w:rsid w:val="007F7A2A"/>
    <w:rsid w:val="00815DEF"/>
    <w:rsid w:val="00816AC0"/>
    <w:rsid w:val="0082152F"/>
    <w:rsid w:val="00843025"/>
    <w:rsid w:val="008507E1"/>
    <w:rsid w:val="00853FC5"/>
    <w:rsid w:val="0086125C"/>
    <w:rsid w:val="00861C64"/>
    <w:rsid w:val="00863991"/>
    <w:rsid w:val="0087348D"/>
    <w:rsid w:val="00873A23"/>
    <w:rsid w:val="008752D4"/>
    <w:rsid w:val="00877BF6"/>
    <w:rsid w:val="008862F1"/>
    <w:rsid w:val="008924BC"/>
    <w:rsid w:val="00892A79"/>
    <w:rsid w:val="00892C66"/>
    <w:rsid w:val="00894991"/>
    <w:rsid w:val="008A4663"/>
    <w:rsid w:val="008A694C"/>
    <w:rsid w:val="008A6BFD"/>
    <w:rsid w:val="008B564B"/>
    <w:rsid w:val="008B66F9"/>
    <w:rsid w:val="008B6B36"/>
    <w:rsid w:val="008C417F"/>
    <w:rsid w:val="008C6A96"/>
    <w:rsid w:val="008D0E18"/>
    <w:rsid w:val="008D7DF7"/>
    <w:rsid w:val="008E14F1"/>
    <w:rsid w:val="008E28B1"/>
    <w:rsid w:val="008E2F89"/>
    <w:rsid w:val="008E577C"/>
    <w:rsid w:val="008E7CA7"/>
    <w:rsid w:val="008F72CC"/>
    <w:rsid w:val="00900A8C"/>
    <w:rsid w:val="00901C7F"/>
    <w:rsid w:val="0090492F"/>
    <w:rsid w:val="00916B4A"/>
    <w:rsid w:val="009235CC"/>
    <w:rsid w:val="00924360"/>
    <w:rsid w:val="00924D7D"/>
    <w:rsid w:val="009264A0"/>
    <w:rsid w:val="00944844"/>
    <w:rsid w:val="00946DDC"/>
    <w:rsid w:val="00946ED6"/>
    <w:rsid w:val="009519D9"/>
    <w:rsid w:val="00952274"/>
    <w:rsid w:val="00954CCF"/>
    <w:rsid w:val="00956C4A"/>
    <w:rsid w:val="0096031F"/>
    <w:rsid w:val="00976001"/>
    <w:rsid w:val="00983575"/>
    <w:rsid w:val="00984884"/>
    <w:rsid w:val="0098563A"/>
    <w:rsid w:val="009911B8"/>
    <w:rsid w:val="009911C0"/>
    <w:rsid w:val="00997F14"/>
    <w:rsid w:val="009A1B8F"/>
    <w:rsid w:val="009A60C2"/>
    <w:rsid w:val="009A6F2A"/>
    <w:rsid w:val="009B00B4"/>
    <w:rsid w:val="009C5724"/>
    <w:rsid w:val="009D06E2"/>
    <w:rsid w:val="009D078E"/>
    <w:rsid w:val="009D1E23"/>
    <w:rsid w:val="009D1F34"/>
    <w:rsid w:val="009D2067"/>
    <w:rsid w:val="009D3716"/>
    <w:rsid w:val="009D60C9"/>
    <w:rsid w:val="009D6F17"/>
    <w:rsid w:val="009D7516"/>
    <w:rsid w:val="009E1803"/>
    <w:rsid w:val="009E2100"/>
    <w:rsid w:val="009E3A40"/>
    <w:rsid w:val="009E6747"/>
    <w:rsid w:val="009E73B9"/>
    <w:rsid w:val="009F55CA"/>
    <w:rsid w:val="009F6066"/>
    <w:rsid w:val="00A0381C"/>
    <w:rsid w:val="00A04B00"/>
    <w:rsid w:val="00A071B2"/>
    <w:rsid w:val="00A10BFC"/>
    <w:rsid w:val="00A16734"/>
    <w:rsid w:val="00A23C71"/>
    <w:rsid w:val="00A34159"/>
    <w:rsid w:val="00A36B66"/>
    <w:rsid w:val="00A51C9B"/>
    <w:rsid w:val="00A51CEE"/>
    <w:rsid w:val="00A5303E"/>
    <w:rsid w:val="00A534E6"/>
    <w:rsid w:val="00A54869"/>
    <w:rsid w:val="00A63830"/>
    <w:rsid w:val="00A6622D"/>
    <w:rsid w:val="00A723AA"/>
    <w:rsid w:val="00A802B4"/>
    <w:rsid w:val="00A803C4"/>
    <w:rsid w:val="00A80EE6"/>
    <w:rsid w:val="00AA0CCC"/>
    <w:rsid w:val="00AA5439"/>
    <w:rsid w:val="00AB0B5A"/>
    <w:rsid w:val="00AB5632"/>
    <w:rsid w:val="00AB5F4D"/>
    <w:rsid w:val="00AC2B44"/>
    <w:rsid w:val="00AC6EB2"/>
    <w:rsid w:val="00AD2ECA"/>
    <w:rsid w:val="00AD385D"/>
    <w:rsid w:val="00AD696B"/>
    <w:rsid w:val="00AF29AE"/>
    <w:rsid w:val="00AF6069"/>
    <w:rsid w:val="00B0619D"/>
    <w:rsid w:val="00B4286D"/>
    <w:rsid w:val="00B506AF"/>
    <w:rsid w:val="00B53A0A"/>
    <w:rsid w:val="00B567BE"/>
    <w:rsid w:val="00B60531"/>
    <w:rsid w:val="00B6194B"/>
    <w:rsid w:val="00B66AB2"/>
    <w:rsid w:val="00B76B04"/>
    <w:rsid w:val="00B80877"/>
    <w:rsid w:val="00BA279B"/>
    <w:rsid w:val="00BA4456"/>
    <w:rsid w:val="00BA5D83"/>
    <w:rsid w:val="00BA6765"/>
    <w:rsid w:val="00BC0565"/>
    <w:rsid w:val="00BC50C4"/>
    <w:rsid w:val="00BC7F98"/>
    <w:rsid w:val="00BD1AC1"/>
    <w:rsid w:val="00BD25EF"/>
    <w:rsid w:val="00BD6B90"/>
    <w:rsid w:val="00BD7F4B"/>
    <w:rsid w:val="00BE0F8F"/>
    <w:rsid w:val="00BE1591"/>
    <w:rsid w:val="00BE1659"/>
    <w:rsid w:val="00BE173F"/>
    <w:rsid w:val="00BE2BD0"/>
    <w:rsid w:val="00BE79A0"/>
    <w:rsid w:val="00BF35A0"/>
    <w:rsid w:val="00BF44A3"/>
    <w:rsid w:val="00C14A61"/>
    <w:rsid w:val="00C174D5"/>
    <w:rsid w:val="00C2434E"/>
    <w:rsid w:val="00C25BA3"/>
    <w:rsid w:val="00C32241"/>
    <w:rsid w:val="00C45137"/>
    <w:rsid w:val="00C46FA1"/>
    <w:rsid w:val="00C60E61"/>
    <w:rsid w:val="00C67FC0"/>
    <w:rsid w:val="00C749BF"/>
    <w:rsid w:val="00C76B38"/>
    <w:rsid w:val="00C7712F"/>
    <w:rsid w:val="00C94800"/>
    <w:rsid w:val="00CA1B12"/>
    <w:rsid w:val="00CA4952"/>
    <w:rsid w:val="00CB07A4"/>
    <w:rsid w:val="00CB07DF"/>
    <w:rsid w:val="00CB0F6D"/>
    <w:rsid w:val="00CC14D1"/>
    <w:rsid w:val="00CC1EF3"/>
    <w:rsid w:val="00CC5F19"/>
    <w:rsid w:val="00CD3C9F"/>
    <w:rsid w:val="00CE3CC8"/>
    <w:rsid w:val="00CE50DA"/>
    <w:rsid w:val="00CE538B"/>
    <w:rsid w:val="00CE6683"/>
    <w:rsid w:val="00CF3F37"/>
    <w:rsid w:val="00D02C46"/>
    <w:rsid w:val="00D06950"/>
    <w:rsid w:val="00D07B95"/>
    <w:rsid w:val="00D12E23"/>
    <w:rsid w:val="00D133C6"/>
    <w:rsid w:val="00D17CC1"/>
    <w:rsid w:val="00D2174F"/>
    <w:rsid w:val="00D250A6"/>
    <w:rsid w:val="00D26515"/>
    <w:rsid w:val="00D27015"/>
    <w:rsid w:val="00D35A33"/>
    <w:rsid w:val="00D57343"/>
    <w:rsid w:val="00D634DD"/>
    <w:rsid w:val="00D70D4D"/>
    <w:rsid w:val="00D75F84"/>
    <w:rsid w:val="00D802E4"/>
    <w:rsid w:val="00D821AF"/>
    <w:rsid w:val="00D87DD9"/>
    <w:rsid w:val="00D90FEA"/>
    <w:rsid w:val="00D941D6"/>
    <w:rsid w:val="00D9472B"/>
    <w:rsid w:val="00D9586D"/>
    <w:rsid w:val="00DA04A3"/>
    <w:rsid w:val="00DA3522"/>
    <w:rsid w:val="00DA4618"/>
    <w:rsid w:val="00DA50DE"/>
    <w:rsid w:val="00DB083E"/>
    <w:rsid w:val="00DB36B8"/>
    <w:rsid w:val="00DC25AD"/>
    <w:rsid w:val="00DC5665"/>
    <w:rsid w:val="00DC6587"/>
    <w:rsid w:val="00DD284E"/>
    <w:rsid w:val="00DD40E1"/>
    <w:rsid w:val="00DE00FD"/>
    <w:rsid w:val="00DE6CE7"/>
    <w:rsid w:val="00DF469C"/>
    <w:rsid w:val="00E07C44"/>
    <w:rsid w:val="00E220C9"/>
    <w:rsid w:val="00E32C44"/>
    <w:rsid w:val="00E36061"/>
    <w:rsid w:val="00E36D8D"/>
    <w:rsid w:val="00E42996"/>
    <w:rsid w:val="00E4337E"/>
    <w:rsid w:val="00E45682"/>
    <w:rsid w:val="00E50D4B"/>
    <w:rsid w:val="00E519A5"/>
    <w:rsid w:val="00E558DA"/>
    <w:rsid w:val="00E642C7"/>
    <w:rsid w:val="00E65B5B"/>
    <w:rsid w:val="00E664CE"/>
    <w:rsid w:val="00E91FB1"/>
    <w:rsid w:val="00E9443E"/>
    <w:rsid w:val="00E9494D"/>
    <w:rsid w:val="00EA2290"/>
    <w:rsid w:val="00EA69B1"/>
    <w:rsid w:val="00EA6EAD"/>
    <w:rsid w:val="00EB130E"/>
    <w:rsid w:val="00EB5800"/>
    <w:rsid w:val="00EC6719"/>
    <w:rsid w:val="00ED126A"/>
    <w:rsid w:val="00EE14CE"/>
    <w:rsid w:val="00EE1DEB"/>
    <w:rsid w:val="00EE607E"/>
    <w:rsid w:val="00EF13AB"/>
    <w:rsid w:val="00F124CF"/>
    <w:rsid w:val="00F14CD1"/>
    <w:rsid w:val="00F16383"/>
    <w:rsid w:val="00F17932"/>
    <w:rsid w:val="00F20F50"/>
    <w:rsid w:val="00F22ADF"/>
    <w:rsid w:val="00F244C8"/>
    <w:rsid w:val="00F26C15"/>
    <w:rsid w:val="00F27BAC"/>
    <w:rsid w:val="00F3099D"/>
    <w:rsid w:val="00F32EF0"/>
    <w:rsid w:val="00F360F2"/>
    <w:rsid w:val="00F36135"/>
    <w:rsid w:val="00F378C7"/>
    <w:rsid w:val="00F408F6"/>
    <w:rsid w:val="00F47386"/>
    <w:rsid w:val="00F60FD4"/>
    <w:rsid w:val="00F63FA1"/>
    <w:rsid w:val="00F647A5"/>
    <w:rsid w:val="00F772CB"/>
    <w:rsid w:val="00F87787"/>
    <w:rsid w:val="00F92213"/>
    <w:rsid w:val="00F93045"/>
    <w:rsid w:val="00F9497A"/>
    <w:rsid w:val="00FA1CE3"/>
    <w:rsid w:val="00FA6C9E"/>
    <w:rsid w:val="00FB6B8A"/>
    <w:rsid w:val="00FC1C88"/>
    <w:rsid w:val="00FC4A7A"/>
    <w:rsid w:val="00FC4B01"/>
    <w:rsid w:val="00FD05E7"/>
    <w:rsid w:val="00FD0FCB"/>
    <w:rsid w:val="00FE51DB"/>
    <w:rsid w:val="00FE718E"/>
    <w:rsid w:val="00FF30AA"/>
    <w:rsid w:val="00FF3749"/>
    <w:rsid w:val="00FF5347"/>
    <w:rsid w:val="00FF570E"/>
    <w:rsid w:val="00FF5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5A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52D4"/>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8752D4"/>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8752D4"/>
    <w:pPr>
      <w:tabs>
        <w:tab w:val="center" w:pos="4153"/>
        <w:tab w:val="right" w:pos="8306"/>
      </w:tabs>
      <w:spacing w:after="0" w:line="240" w:lineRule="auto"/>
    </w:pPr>
  </w:style>
  <w:style w:type="character" w:customStyle="1" w:styleId="GalveneRakstz">
    <w:name w:val="Galvene Rakstz."/>
    <w:link w:val="Galvene"/>
    <w:uiPriority w:val="99"/>
    <w:rsid w:val="008752D4"/>
    <w:rPr>
      <w:rFonts w:ascii="Calibri" w:eastAsia="Calibri" w:hAnsi="Calibri" w:cs="Times New Roman"/>
    </w:rPr>
  </w:style>
  <w:style w:type="paragraph" w:styleId="Kjene">
    <w:name w:val="footer"/>
    <w:basedOn w:val="Parasts"/>
    <w:link w:val="KjeneRakstz"/>
    <w:unhideWhenUsed/>
    <w:rsid w:val="008752D4"/>
    <w:pPr>
      <w:tabs>
        <w:tab w:val="center" w:pos="4153"/>
        <w:tab w:val="right" w:pos="8306"/>
      </w:tabs>
      <w:spacing w:after="0" w:line="240" w:lineRule="auto"/>
    </w:pPr>
  </w:style>
  <w:style w:type="character" w:customStyle="1" w:styleId="KjeneRakstz">
    <w:name w:val="Kājene Rakstz."/>
    <w:link w:val="Kjene"/>
    <w:rsid w:val="008752D4"/>
    <w:rPr>
      <w:rFonts w:ascii="Calibri" w:eastAsia="Calibri" w:hAnsi="Calibri" w:cs="Times New Roman"/>
    </w:rPr>
  </w:style>
  <w:style w:type="paragraph" w:customStyle="1" w:styleId="tv2131">
    <w:name w:val="tv2131"/>
    <w:basedOn w:val="Parasts"/>
    <w:rsid w:val="000F4227"/>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semiHidden/>
    <w:unhideWhenUsed/>
    <w:rsid w:val="00C67FC0"/>
    <w:rPr>
      <w:sz w:val="16"/>
      <w:szCs w:val="16"/>
    </w:rPr>
  </w:style>
  <w:style w:type="paragraph" w:styleId="Komentrateksts">
    <w:name w:val="annotation text"/>
    <w:basedOn w:val="Parasts"/>
    <w:link w:val="KomentratekstsRakstz"/>
    <w:uiPriority w:val="99"/>
    <w:semiHidden/>
    <w:unhideWhenUsed/>
    <w:rsid w:val="00C67FC0"/>
    <w:rPr>
      <w:sz w:val="20"/>
      <w:szCs w:val="20"/>
    </w:rPr>
  </w:style>
  <w:style w:type="character" w:customStyle="1" w:styleId="KomentratekstsRakstz">
    <w:name w:val="Komentāra teksts Rakstz."/>
    <w:link w:val="Komentrateksts"/>
    <w:uiPriority w:val="99"/>
    <w:semiHidden/>
    <w:rsid w:val="00C67FC0"/>
    <w:rPr>
      <w:lang w:eastAsia="en-US"/>
    </w:rPr>
  </w:style>
  <w:style w:type="paragraph" w:styleId="Komentratma">
    <w:name w:val="annotation subject"/>
    <w:basedOn w:val="Komentrateksts"/>
    <w:next w:val="Komentrateksts"/>
    <w:link w:val="KomentratmaRakstz"/>
    <w:uiPriority w:val="99"/>
    <w:semiHidden/>
    <w:unhideWhenUsed/>
    <w:rsid w:val="00C67FC0"/>
    <w:rPr>
      <w:b/>
      <w:bCs/>
    </w:rPr>
  </w:style>
  <w:style w:type="character" w:customStyle="1" w:styleId="KomentratmaRakstz">
    <w:name w:val="Komentāra tēma Rakstz."/>
    <w:link w:val="Komentratma"/>
    <w:uiPriority w:val="99"/>
    <w:semiHidden/>
    <w:rsid w:val="00C67FC0"/>
    <w:rPr>
      <w:b/>
      <w:bCs/>
      <w:lang w:eastAsia="en-US"/>
    </w:rPr>
  </w:style>
  <w:style w:type="paragraph" w:styleId="Balonteksts">
    <w:name w:val="Balloon Text"/>
    <w:basedOn w:val="Parasts"/>
    <w:link w:val="BalontekstsRakstz"/>
    <w:uiPriority w:val="99"/>
    <w:semiHidden/>
    <w:unhideWhenUsed/>
    <w:rsid w:val="00C67FC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C67FC0"/>
    <w:rPr>
      <w:rFonts w:ascii="Tahoma" w:hAnsi="Tahoma" w:cs="Tahoma"/>
      <w:sz w:val="16"/>
      <w:szCs w:val="16"/>
      <w:lang w:eastAsia="en-US"/>
    </w:rPr>
  </w:style>
  <w:style w:type="paragraph" w:customStyle="1" w:styleId="Default">
    <w:name w:val="Default"/>
    <w:rsid w:val="00B567BE"/>
    <w:pPr>
      <w:autoSpaceDE w:val="0"/>
      <w:autoSpaceDN w:val="0"/>
      <w:adjustRightInd w:val="0"/>
    </w:pPr>
    <w:rPr>
      <w:rFonts w:ascii="Times New Roman" w:eastAsia="Times New Roman" w:hAnsi="Times New Roman"/>
      <w:color w:val="000000"/>
      <w:sz w:val="24"/>
      <w:szCs w:val="24"/>
    </w:rPr>
  </w:style>
  <w:style w:type="paragraph" w:styleId="Vresteksts">
    <w:name w:val="footnote text"/>
    <w:basedOn w:val="Parasts"/>
    <w:link w:val="VrestekstsRakstz"/>
    <w:semiHidden/>
    <w:unhideWhenUsed/>
    <w:rsid w:val="009D751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link w:val="Vresteksts"/>
    <w:semiHidden/>
    <w:rsid w:val="009D7516"/>
    <w:rPr>
      <w:rFonts w:ascii="Times New Roman" w:eastAsia="Times New Roman" w:hAnsi="Times New Roman"/>
    </w:rPr>
  </w:style>
  <w:style w:type="character" w:styleId="Vresatsauce">
    <w:name w:val="footnote reference"/>
    <w:semiHidden/>
    <w:unhideWhenUsed/>
    <w:rsid w:val="009D7516"/>
    <w:rPr>
      <w:vertAlign w:val="superscript"/>
    </w:rPr>
  </w:style>
  <w:style w:type="paragraph" w:styleId="Sarakstarindkopa">
    <w:name w:val="List Paragraph"/>
    <w:basedOn w:val="Parasts"/>
    <w:uiPriority w:val="34"/>
    <w:qFormat/>
    <w:rsid w:val="00525B0E"/>
    <w:pPr>
      <w:spacing w:after="0" w:line="240" w:lineRule="auto"/>
      <w:ind w:left="720"/>
      <w:contextualSpacing/>
    </w:pPr>
    <w:rPr>
      <w:rFonts w:ascii="Times New Roman" w:hAnsi="Times New Roman"/>
      <w:sz w:val="24"/>
    </w:rPr>
  </w:style>
  <w:style w:type="paragraph" w:customStyle="1" w:styleId="naispant">
    <w:name w:val="naispant"/>
    <w:basedOn w:val="Parasts"/>
    <w:rsid w:val="0025114A"/>
    <w:pPr>
      <w:spacing w:before="100" w:beforeAutospacing="1" w:after="100" w:afterAutospacing="1" w:line="240" w:lineRule="auto"/>
    </w:pPr>
    <w:rPr>
      <w:rFonts w:ascii="Times New Roman" w:hAnsi="Times New Roman"/>
      <w:sz w:val="24"/>
      <w:szCs w:val="24"/>
      <w:lang w:eastAsia="lv-LV"/>
    </w:rPr>
  </w:style>
  <w:style w:type="table" w:styleId="Reatabula">
    <w:name w:val="Table Grid"/>
    <w:basedOn w:val="Parastatabula"/>
    <w:uiPriority w:val="59"/>
    <w:rsid w:val="00CB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861C64"/>
    <w:rPr>
      <w:color w:val="0000FF"/>
      <w:u w:val="single"/>
    </w:rPr>
  </w:style>
  <w:style w:type="paragraph" w:styleId="Bezatstarpm">
    <w:name w:val="No Spacing"/>
    <w:uiPriority w:val="1"/>
    <w:qFormat/>
    <w:rsid w:val="00A803C4"/>
    <w:rPr>
      <w:sz w:val="22"/>
      <w:szCs w:val="22"/>
      <w:lang w:eastAsia="en-US"/>
    </w:rPr>
  </w:style>
  <w:style w:type="paragraph" w:styleId="Prskatjums">
    <w:name w:val="Revision"/>
    <w:hidden/>
    <w:uiPriority w:val="99"/>
    <w:semiHidden/>
    <w:rsid w:val="007C20E5"/>
    <w:rPr>
      <w:sz w:val="22"/>
      <w:szCs w:val="22"/>
      <w:lang w:eastAsia="en-US"/>
    </w:rPr>
  </w:style>
  <w:style w:type="paragraph" w:customStyle="1" w:styleId="naiskr">
    <w:name w:val="naiskr"/>
    <w:basedOn w:val="Parasts"/>
    <w:rsid w:val="00207654"/>
    <w:pPr>
      <w:spacing w:before="75" w:after="75" w:line="240" w:lineRule="auto"/>
    </w:pPr>
    <w:rPr>
      <w:rFonts w:ascii="Times New Roman" w:eastAsia="Times New Roman" w:hAnsi="Times New Roman"/>
      <w:sz w:val="24"/>
      <w:szCs w:val="24"/>
      <w:lang w:eastAsia="lv-LV"/>
    </w:rPr>
  </w:style>
  <w:style w:type="paragraph" w:customStyle="1" w:styleId="tv2132">
    <w:name w:val="tv2132"/>
    <w:basedOn w:val="Parasts"/>
    <w:rsid w:val="003A1148"/>
    <w:pPr>
      <w:spacing w:after="0" w:line="360" w:lineRule="auto"/>
      <w:ind w:firstLine="300"/>
    </w:pPr>
    <w:rPr>
      <w:rFonts w:ascii="Times New Roman" w:eastAsia="Times New Roman" w:hAnsi="Times New Roman"/>
      <w:color w:val="414142"/>
      <w:sz w:val="20"/>
      <w:szCs w:val="20"/>
      <w:lang w:eastAsia="lv-LV"/>
    </w:rPr>
  </w:style>
  <w:style w:type="paragraph" w:customStyle="1" w:styleId="naisf">
    <w:name w:val="naisf"/>
    <w:basedOn w:val="Parasts"/>
    <w:rsid w:val="00FF5347"/>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Parasts"/>
    <w:rsid w:val="00FF5347"/>
    <w:pPr>
      <w:spacing w:before="150" w:after="150" w:line="240" w:lineRule="auto"/>
      <w:jc w:val="center"/>
    </w:pPr>
    <w:rPr>
      <w:rFonts w:ascii="Times New Roman" w:eastAsia="Times New Roman" w:hAnsi="Times New Roman"/>
      <w:b/>
      <w:bCs/>
      <w:sz w:val="24"/>
      <w:szCs w:val="24"/>
      <w:lang w:eastAsia="lv-LV"/>
    </w:rPr>
  </w:style>
  <w:style w:type="paragraph" w:styleId="Paraststmeklis">
    <w:name w:val="Normal (Web)"/>
    <w:basedOn w:val="Parasts"/>
    <w:rsid w:val="00FF5347"/>
    <w:pPr>
      <w:spacing w:before="100" w:beforeAutospacing="1" w:after="100" w:afterAutospacing="1"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52D4"/>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8752D4"/>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8752D4"/>
    <w:pPr>
      <w:tabs>
        <w:tab w:val="center" w:pos="4153"/>
        <w:tab w:val="right" w:pos="8306"/>
      </w:tabs>
      <w:spacing w:after="0" w:line="240" w:lineRule="auto"/>
    </w:pPr>
  </w:style>
  <w:style w:type="character" w:customStyle="1" w:styleId="GalveneRakstz">
    <w:name w:val="Galvene Rakstz."/>
    <w:link w:val="Galvene"/>
    <w:uiPriority w:val="99"/>
    <w:rsid w:val="008752D4"/>
    <w:rPr>
      <w:rFonts w:ascii="Calibri" w:eastAsia="Calibri" w:hAnsi="Calibri" w:cs="Times New Roman"/>
    </w:rPr>
  </w:style>
  <w:style w:type="paragraph" w:styleId="Kjene">
    <w:name w:val="footer"/>
    <w:basedOn w:val="Parasts"/>
    <w:link w:val="KjeneRakstz"/>
    <w:unhideWhenUsed/>
    <w:rsid w:val="008752D4"/>
    <w:pPr>
      <w:tabs>
        <w:tab w:val="center" w:pos="4153"/>
        <w:tab w:val="right" w:pos="8306"/>
      </w:tabs>
      <w:spacing w:after="0" w:line="240" w:lineRule="auto"/>
    </w:pPr>
  </w:style>
  <w:style w:type="character" w:customStyle="1" w:styleId="KjeneRakstz">
    <w:name w:val="Kājene Rakstz."/>
    <w:link w:val="Kjene"/>
    <w:rsid w:val="008752D4"/>
    <w:rPr>
      <w:rFonts w:ascii="Calibri" w:eastAsia="Calibri" w:hAnsi="Calibri" w:cs="Times New Roman"/>
    </w:rPr>
  </w:style>
  <w:style w:type="paragraph" w:customStyle="1" w:styleId="tv2131">
    <w:name w:val="tv2131"/>
    <w:basedOn w:val="Parasts"/>
    <w:rsid w:val="000F4227"/>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semiHidden/>
    <w:unhideWhenUsed/>
    <w:rsid w:val="00C67FC0"/>
    <w:rPr>
      <w:sz w:val="16"/>
      <w:szCs w:val="16"/>
    </w:rPr>
  </w:style>
  <w:style w:type="paragraph" w:styleId="Komentrateksts">
    <w:name w:val="annotation text"/>
    <w:basedOn w:val="Parasts"/>
    <w:link w:val="KomentratekstsRakstz"/>
    <w:uiPriority w:val="99"/>
    <w:semiHidden/>
    <w:unhideWhenUsed/>
    <w:rsid w:val="00C67FC0"/>
    <w:rPr>
      <w:sz w:val="20"/>
      <w:szCs w:val="20"/>
    </w:rPr>
  </w:style>
  <w:style w:type="character" w:customStyle="1" w:styleId="KomentratekstsRakstz">
    <w:name w:val="Komentāra teksts Rakstz."/>
    <w:link w:val="Komentrateksts"/>
    <w:uiPriority w:val="99"/>
    <w:semiHidden/>
    <w:rsid w:val="00C67FC0"/>
    <w:rPr>
      <w:lang w:eastAsia="en-US"/>
    </w:rPr>
  </w:style>
  <w:style w:type="paragraph" w:styleId="Komentratma">
    <w:name w:val="annotation subject"/>
    <w:basedOn w:val="Komentrateksts"/>
    <w:next w:val="Komentrateksts"/>
    <w:link w:val="KomentratmaRakstz"/>
    <w:uiPriority w:val="99"/>
    <w:semiHidden/>
    <w:unhideWhenUsed/>
    <w:rsid w:val="00C67FC0"/>
    <w:rPr>
      <w:b/>
      <w:bCs/>
    </w:rPr>
  </w:style>
  <w:style w:type="character" w:customStyle="1" w:styleId="KomentratmaRakstz">
    <w:name w:val="Komentāra tēma Rakstz."/>
    <w:link w:val="Komentratma"/>
    <w:uiPriority w:val="99"/>
    <w:semiHidden/>
    <w:rsid w:val="00C67FC0"/>
    <w:rPr>
      <w:b/>
      <w:bCs/>
      <w:lang w:eastAsia="en-US"/>
    </w:rPr>
  </w:style>
  <w:style w:type="paragraph" w:styleId="Balonteksts">
    <w:name w:val="Balloon Text"/>
    <w:basedOn w:val="Parasts"/>
    <w:link w:val="BalontekstsRakstz"/>
    <w:uiPriority w:val="99"/>
    <w:semiHidden/>
    <w:unhideWhenUsed/>
    <w:rsid w:val="00C67FC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C67FC0"/>
    <w:rPr>
      <w:rFonts w:ascii="Tahoma" w:hAnsi="Tahoma" w:cs="Tahoma"/>
      <w:sz w:val="16"/>
      <w:szCs w:val="16"/>
      <w:lang w:eastAsia="en-US"/>
    </w:rPr>
  </w:style>
  <w:style w:type="paragraph" w:customStyle="1" w:styleId="Default">
    <w:name w:val="Default"/>
    <w:rsid w:val="00B567BE"/>
    <w:pPr>
      <w:autoSpaceDE w:val="0"/>
      <w:autoSpaceDN w:val="0"/>
      <w:adjustRightInd w:val="0"/>
    </w:pPr>
    <w:rPr>
      <w:rFonts w:ascii="Times New Roman" w:eastAsia="Times New Roman" w:hAnsi="Times New Roman"/>
      <w:color w:val="000000"/>
      <w:sz w:val="24"/>
      <w:szCs w:val="24"/>
    </w:rPr>
  </w:style>
  <w:style w:type="paragraph" w:styleId="Vresteksts">
    <w:name w:val="footnote text"/>
    <w:basedOn w:val="Parasts"/>
    <w:link w:val="VrestekstsRakstz"/>
    <w:semiHidden/>
    <w:unhideWhenUsed/>
    <w:rsid w:val="009D751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link w:val="Vresteksts"/>
    <w:semiHidden/>
    <w:rsid w:val="009D7516"/>
    <w:rPr>
      <w:rFonts w:ascii="Times New Roman" w:eastAsia="Times New Roman" w:hAnsi="Times New Roman"/>
    </w:rPr>
  </w:style>
  <w:style w:type="character" w:styleId="Vresatsauce">
    <w:name w:val="footnote reference"/>
    <w:semiHidden/>
    <w:unhideWhenUsed/>
    <w:rsid w:val="009D7516"/>
    <w:rPr>
      <w:vertAlign w:val="superscript"/>
    </w:rPr>
  </w:style>
  <w:style w:type="paragraph" w:styleId="Sarakstarindkopa">
    <w:name w:val="List Paragraph"/>
    <w:basedOn w:val="Parasts"/>
    <w:uiPriority w:val="34"/>
    <w:qFormat/>
    <w:rsid w:val="00525B0E"/>
    <w:pPr>
      <w:spacing w:after="0" w:line="240" w:lineRule="auto"/>
      <w:ind w:left="720"/>
      <w:contextualSpacing/>
    </w:pPr>
    <w:rPr>
      <w:rFonts w:ascii="Times New Roman" w:hAnsi="Times New Roman"/>
      <w:sz w:val="24"/>
    </w:rPr>
  </w:style>
  <w:style w:type="paragraph" w:customStyle="1" w:styleId="naispant">
    <w:name w:val="naispant"/>
    <w:basedOn w:val="Parasts"/>
    <w:rsid w:val="0025114A"/>
    <w:pPr>
      <w:spacing w:before="100" w:beforeAutospacing="1" w:after="100" w:afterAutospacing="1" w:line="240" w:lineRule="auto"/>
    </w:pPr>
    <w:rPr>
      <w:rFonts w:ascii="Times New Roman" w:hAnsi="Times New Roman"/>
      <w:sz w:val="24"/>
      <w:szCs w:val="24"/>
      <w:lang w:eastAsia="lv-LV"/>
    </w:rPr>
  </w:style>
  <w:style w:type="table" w:styleId="Reatabula">
    <w:name w:val="Table Grid"/>
    <w:basedOn w:val="Parastatabula"/>
    <w:uiPriority w:val="59"/>
    <w:rsid w:val="00CB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861C64"/>
    <w:rPr>
      <w:color w:val="0000FF"/>
      <w:u w:val="single"/>
    </w:rPr>
  </w:style>
  <w:style w:type="paragraph" w:styleId="Bezatstarpm">
    <w:name w:val="No Spacing"/>
    <w:uiPriority w:val="1"/>
    <w:qFormat/>
    <w:rsid w:val="00A803C4"/>
    <w:rPr>
      <w:sz w:val="22"/>
      <w:szCs w:val="22"/>
      <w:lang w:eastAsia="en-US"/>
    </w:rPr>
  </w:style>
  <w:style w:type="paragraph" w:styleId="Prskatjums">
    <w:name w:val="Revision"/>
    <w:hidden/>
    <w:uiPriority w:val="99"/>
    <w:semiHidden/>
    <w:rsid w:val="007C20E5"/>
    <w:rPr>
      <w:sz w:val="22"/>
      <w:szCs w:val="22"/>
      <w:lang w:eastAsia="en-US"/>
    </w:rPr>
  </w:style>
  <w:style w:type="paragraph" w:customStyle="1" w:styleId="naiskr">
    <w:name w:val="naiskr"/>
    <w:basedOn w:val="Parasts"/>
    <w:rsid w:val="00207654"/>
    <w:pPr>
      <w:spacing w:before="75" w:after="75" w:line="240" w:lineRule="auto"/>
    </w:pPr>
    <w:rPr>
      <w:rFonts w:ascii="Times New Roman" w:eastAsia="Times New Roman" w:hAnsi="Times New Roman"/>
      <w:sz w:val="24"/>
      <w:szCs w:val="24"/>
      <w:lang w:eastAsia="lv-LV"/>
    </w:rPr>
  </w:style>
  <w:style w:type="paragraph" w:customStyle="1" w:styleId="tv2132">
    <w:name w:val="tv2132"/>
    <w:basedOn w:val="Parasts"/>
    <w:rsid w:val="003A1148"/>
    <w:pPr>
      <w:spacing w:after="0" w:line="360" w:lineRule="auto"/>
      <w:ind w:firstLine="300"/>
    </w:pPr>
    <w:rPr>
      <w:rFonts w:ascii="Times New Roman" w:eastAsia="Times New Roman" w:hAnsi="Times New Roman"/>
      <w:color w:val="414142"/>
      <w:sz w:val="20"/>
      <w:szCs w:val="20"/>
      <w:lang w:eastAsia="lv-LV"/>
    </w:rPr>
  </w:style>
  <w:style w:type="paragraph" w:customStyle="1" w:styleId="naisf">
    <w:name w:val="naisf"/>
    <w:basedOn w:val="Parasts"/>
    <w:rsid w:val="00FF5347"/>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Parasts"/>
    <w:rsid w:val="00FF5347"/>
    <w:pPr>
      <w:spacing w:before="150" w:after="150" w:line="240" w:lineRule="auto"/>
      <w:jc w:val="center"/>
    </w:pPr>
    <w:rPr>
      <w:rFonts w:ascii="Times New Roman" w:eastAsia="Times New Roman" w:hAnsi="Times New Roman"/>
      <w:b/>
      <w:bCs/>
      <w:sz w:val="24"/>
      <w:szCs w:val="24"/>
      <w:lang w:eastAsia="lv-LV"/>
    </w:rPr>
  </w:style>
  <w:style w:type="paragraph" w:styleId="Paraststmeklis">
    <w:name w:val="Normal (Web)"/>
    <w:basedOn w:val="Parasts"/>
    <w:rsid w:val="00FF5347"/>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424">
      <w:bodyDiv w:val="1"/>
      <w:marLeft w:val="0"/>
      <w:marRight w:val="0"/>
      <w:marTop w:val="0"/>
      <w:marBottom w:val="0"/>
      <w:divBdr>
        <w:top w:val="none" w:sz="0" w:space="0" w:color="auto"/>
        <w:left w:val="none" w:sz="0" w:space="0" w:color="auto"/>
        <w:bottom w:val="none" w:sz="0" w:space="0" w:color="auto"/>
        <w:right w:val="none" w:sz="0" w:space="0" w:color="auto"/>
      </w:divBdr>
    </w:div>
    <w:div w:id="166016386">
      <w:bodyDiv w:val="1"/>
      <w:marLeft w:val="0"/>
      <w:marRight w:val="0"/>
      <w:marTop w:val="0"/>
      <w:marBottom w:val="0"/>
      <w:divBdr>
        <w:top w:val="none" w:sz="0" w:space="0" w:color="auto"/>
        <w:left w:val="none" w:sz="0" w:space="0" w:color="auto"/>
        <w:bottom w:val="none" w:sz="0" w:space="0" w:color="auto"/>
        <w:right w:val="none" w:sz="0" w:space="0" w:color="auto"/>
      </w:divBdr>
    </w:div>
    <w:div w:id="168720708">
      <w:bodyDiv w:val="1"/>
      <w:marLeft w:val="0"/>
      <w:marRight w:val="0"/>
      <w:marTop w:val="0"/>
      <w:marBottom w:val="0"/>
      <w:divBdr>
        <w:top w:val="none" w:sz="0" w:space="0" w:color="auto"/>
        <w:left w:val="none" w:sz="0" w:space="0" w:color="auto"/>
        <w:bottom w:val="none" w:sz="0" w:space="0" w:color="auto"/>
        <w:right w:val="none" w:sz="0" w:space="0" w:color="auto"/>
      </w:divBdr>
      <w:divsChild>
        <w:div w:id="1821389331">
          <w:marLeft w:val="0"/>
          <w:marRight w:val="0"/>
          <w:marTop w:val="0"/>
          <w:marBottom w:val="0"/>
          <w:divBdr>
            <w:top w:val="none" w:sz="0" w:space="0" w:color="auto"/>
            <w:left w:val="none" w:sz="0" w:space="0" w:color="auto"/>
            <w:bottom w:val="none" w:sz="0" w:space="0" w:color="auto"/>
            <w:right w:val="none" w:sz="0" w:space="0" w:color="auto"/>
          </w:divBdr>
          <w:divsChild>
            <w:div w:id="827331742">
              <w:marLeft w:val="0"/>
              <w:marRight w:val="0"/>
              <w:marTop w:val="0"/>
              <w:marBottom w:val="0"/>
              <w:divBdr>
                <w:top w:val="none" w:sz="0" w:space="0" w:color="auto"/>
                <w:left w:val="none" w:sz="0" w:space="0" w:color="auto"/>
                <w:bottom w:val="none" w:sz="0" w:space="0" w:color="auto"/>
                <w:right w:val="none" w:sz="0" w:space="0" w:color="auto"/>
              </w:divBdr>
              <w:divsChild>
                <w:div w:id="554046874">
                  <w:marLeft w:val="0"/>
                  <w:marRight w:val="0"/>
                  <w:marTop w:val="0"/>
                  <w:marBottom w:val="0"/>
                  <w:divBdr>
                    <w:top w:val="none" w:sz="0" w:space="0" w:color="auto"/>
                    <w:left w:val="none" w:sz="0" w:space="0" w:color="auto"/>
                    <w:bottom w:val="none" w:sz="0" w:space="0" w:color="auto"/>
                    <w:right w:val="none" w:sz="0" w:space="0" w:color="auto"/>
                  </w:divBdr>
                  <w:divsChild>
                    <w:div w:id="1751272838">
                      <w:marLeft w:val="0"/>
                      <w:marRight w:val="0"/>
                      <w:marTop w:val="0"/>
                      <w:marBottom w:val="0"/>
                      <w:divBdr>
                        <w:top w:val="none" w:sz="0" w:space="0" w:color="auto"/>
                        <w:left w:val="none" w:sz="0" w:space="0" w:color="auto"/>
                        <w:bottom w:val="none" w:sz="0" w:space="0" w:color="auto"/>
                        <w:right w:val="none" w:sz="0" w:space="0" w:color="auto"/>
                      </w:divBdr>
                      <w:divsChild>
                        <w:div w:id="1090127656">
                          <w:marLeft w:val="0"/>
                          <w:marRight w:val="0"/>
                          <w:marTop w:val="0"/>
                          <w:marBottom w:val="0"/>
                          <w:divBdr>
                            <w:top w:val="none" w:sz="0" w:space="0" w:color="auto"/>
                            <w:left w:val="none" w:sz="0" w:space="0" w:color="auto"/>
                            <w:bottom w:val="none" w:sz="0" w:space="0" w:color="auto"/>
                            <w:right w:val="none" w:sz="0" w:space="0" w:color="auto"/>
                          </w:divBdr>
                          <w:divsChild>
                            <w:div w:id="16843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59440">
      <w:bodyDiv w:val="1"/>
      <w:marLeft w:val="0"/>
      <w:marRight w:val="0"/>
      <w:marTop w:val="0"/>
      <w:marBottom w:val="0"/>
      <w:divBdr>
        <w:top w:val="none" w:sz="0" w:space="0" w:color="auto"/>
        <w:left w:val="none" w:sz="0" w:space="0" w:color="auto"/>
        <w:bottom w:val="none" w:sz="0" w:space="0" w:color="auto"/>
        <w:right w:val="none" w:sz="0" w:space="0" w:color="auto"/>
      </w:divBdr>
    </w:div>
    <w:div w:id="305202648">
      <w:bodyDiv w:val="1"/>
      <w:marLeft w:val="0"/>
      <w:marRight w:val="0"/>
      <w:marTop w:val="0"/>
      <w:marBottom w:val="0"/>
      <w:divBdr>
        <w:top w:val="none" w:sz="0" w:space="0" w:color="auto"/>
        <w:left w:val="none" w:sz="0" w:space="0" w:color="auto"/>
        <w:bottom w:val="none" w:sz="0" w:space="0" w:color="auto"/>
        <w:right w:val="none" w:sz="0" w:space="0" w:color="auto"/>
      </w:divBdr>
    </w:div>
    <w:div w:id="342249387">
      <w:bodyDiv w:val="1"/>
      <w:marLeft w:val="0"/>
      <w:marRight w:val="0"/>
      <w:marTop w:val="0"/>
      <w:marBottom w:val="0"/>
      <w:divBdr>
        <w:top w:val="none" w:sz="0" w:space="0" w:color="auto"/>
        <w:left w:val="none" w:sz="0" w:space="0" w:color="auto"/>
        <w:bottom w:val="none" w:sz="0" w:space="0" w:color="auto"/>
        <w:right w:val="none" w:sz="0" w:space="0" w:color="auto"/>
      </w:divBdr>
    </w:div>
    <w:div w:id="397558797">
      <w:bodyDiv w:val="1"/>
      <w:marLeft w:val="0"/>
      <w:marRight w:val="0"/>
      <w:marTop w:val="0"/>
      <w:marBottom w:val="0"/>
      <w:divBdr>
        <w:top w:val="none" w:sz="0" w:space="0" w:color="auto"/>
        <w:left w:val="none" w:sz="0" w:space="0" w:color="auto"/>
        <w:bottom w:val="none" w:sz="0" w:space="0" w:color="auto"/>
        <w:right w:val="none" w:sz="0" w:space="0" w:color="auto"/>
      </w:divBdr>
    </w:div>
    <w:div w:id="469519242">
      <w:bodyDiv w:val="1"/>
      <w:marLeft w:val="0"/>
      <w:marRight w:val="0"/>
      <w:marTop w:val="0"/>
      <w:marBottom w:val="0"/>
      <w:divBdr>
        <w:top w:val="none" w:sz="0" w:space="0" w:color="auto"/>
        <w:left w:val="none" w:sz="0" w:space="0" w:color="auto"/>
        <w:bottom w:val="none" w:sz="0" w:space="0" w:color="auto"/>
        <w:right w:val="none" w:sz="0" w:space="0" w:color="auto"/>
      </w:divBdr>
    </w:div>
    <w:div w:id="671222697">
      <w:bodyDiv w:val="1"/>
      <w:marLeft w:val="0"/>
      <w:marRight w:val="0"/>
      <w:marTop w:val="0"/>
      <w:marBottom w:val="0"/>
      <w:divBdr>
        <w:top w:val="none" w:sz="0" w:space="0" w:color="auto"/>
        <w:left w:val="none" w:sz="0" w:space="0" w:color="auto"/>
        <w:bottom w:val="none" w:sz="0" w:space="0" w:color="auto"/>
        <w:right w:val="none" w:sz="0" w:space="0" w:color="auto"/>
      </w:divBdr>
    </w:div>
    <w:div w:id="949969600">
      <w:bodyDiv w:val="1"/>
      <w:marLeft w:val="0"/>
      <w:marRight w:val="0"/>
      <w:marTop w:val="0"/>
      <w:marBottom w:val="0"/>
      <w:divBdr>
        <w:top w:val="none" w:sz="0" w:space="0" w:color="auto"/>
        <w:left w:val="none" w:sz="0" w:space="0" w:color="auto"/>
        <w:bottom w:val="none" w:sz="0" w:space="0" w:color="auto"/>
        <w:right w:val="none" w:sz="0" w:space="0" w:color="auto"/>
      </w:divBdr>
    </w:div>
    <w:div w:id="1105611269">
      <w:bodyDiv w:val="1"/>
      <w:marLeft w:val="0"/>
      <w:marRight w:val="0"/>
      <w:marTop w:val="0"/>
      <w:marBottom w:val="0"/>
      <w:divBdr>
        <w:top w:val="none" w:sz="0" w:space="0" w:color="auto"/>
        <w:left w:val="none" w:sz="0" w:space="0" w:color="auto"/>
        <w:bottom w:val="none" w:sz="0" w:space="0" w:color="auto"/>
        <w:right w:val="none" w:sz="0" w:space="0" w:color="auto"/>
      </w:divBdr>
    </w:div>
    <w:div w:id="1347442793">
      <w:bodyDiv w:val="1"/>
      <w:marLeft w:val="0"/>
      <w:marRight w:val="0"/>
      <w:marTop w:val="0"/>
      <w:marBottom w:val="0"/>
      <w:divBdr>
        <w:top w:val="none" w:sz="0" w:space="0" w:color="auto"/>
        <w:left w:val="none" w:sz="0" w:space="0" w:color="auto"/>
        <w:bottom w:val="none" w:sz="0" w:space="0" w:color="auto"/>
        <w:right w:val="none" w:sz="0" w:space="0" w:color="auto"/>
      </w:divBdr>
      <w:divsChild>
        <w:div w:id="1819374926">
          <w:marLeft w:val="0"/>
          <w:marRight w:val="0"/>
          <w:marTop w:val="0"/>
          <w:marBottom w:val="0"/>
          <w:divBdr>
            <w:top w:val="none" w:sz="0" w:space="0" w:color="auto"/>
            <w:left w:val="none" w:sz="0" w:space="0" w:color="auto"/>
            <w:bottom w:val="none" w:sz="0" w:space="0" w:color="auto"/>
            <w:right w:val="none" w:sz="0" w:space="0" w:color="auto"/>
          </w:divBdr>
          <w:divsChild>
            <w:div w:id="514925540">
              <w:marLeft w:val="0"/>
              <w:marRight w:val="0"/>
              <w:marTop w:val="0"/>
              <w:marBottom w:val="0"/>
              <w:divBdr>
                <w:top w:val="none" w:sz="0" w:space="0" w:color="auto"/>
                <w:left w:val="none" w:sz="0" w:space="0" w:color="auto"/>
                <w:bottom w:val="none" w:sz="0" w:space="0" w:color="auto"/>
                <w:right w:val="none" w:sz="0" w:space="0" w:color="auto"/>
              </w:divBdr>
              <w:divsChild>
                <w:div w:id="1678191613">
                  <w:marLeft w:val="0"/>
                  <w:marRight w:val="0"/>
                  <w:marTop w:val="0"/>
                  <w:marBottom w:val="0"/>
                  <w:divBdr>
                    <w:top w:val="none" w:sz="0" w:space="0" w:color="auto"/>
                    <w:left w:val="none" w:sz="0" w:space="0" w:color="auto"/>
                    <w:bottom w:val="none" w:sz="0" w:space="0" w:color="auto"/>
                    <w:right w:val="none" w:sz="0" w:space="0" w:color="auto"/>
                  </w:divBdr>
                  <w:divsChild>
                    <w:div w:id="1085998633">
                      <w:marLeft w:val="0"/>
                      <w:marRight w:val="0"/>
                      <w:marTop w:val="0"/>
                      <w:marBottom w:val="0"/>
                      <w:divBdr>
                        <w:top w:val="none" w:sz="0" w:space="0" w:color="auto"/>
                        <w:left w:val="none" w:sz="0" w:space="0" w:color="auto"/>
                        <w:bottom w:val="none" w:sz="0" w:space="0" w:color="auto"/>
                        <w:right w:val="none" w:sz="0" w:space="0" w:color="auto"/>
                      </w:divBdr>
                      <w:divsChild>
                        <w:div w:id="1413820259">
                          <w:marLeft w:val="0"/>
                          <w:marRight w:val="0"/>
                          <w:marTop w:val="0"/>
                          <w:marBottom w:val="0"/>
                          <w:divBdr>
                            <w:top w:val="none" w:sz="0" w:space="0" w:color="auto"/>
                            <w:left w:val="none" w:sz="0" w:space="0" w:color="auto"/>
                            <w:bottom w:val="none" w:sz="0" w:space="0" w:color="auto"/>
                            <w:right w:val="none" w:sz="0" w:space="0" w:color="auto"/>
                          </w:divBdr>
                          <w:divsChild>
                            <w:div w:id="9689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906387">
      <w:bodyDiv w:val="1"/>
      <w:marLeft w:val="0"/>
      <w:marRight w:val="0"/>
      <w:marTop w:val="0"/>
      <w:marBottom w:val="0"/>
      <w:divBdr>
        <w:top w:val="none" w:sz="0" w:space="0" w:color="auto"/>
        <w:left w:val="none" w:sz="0" w:space="0" w:color="auto"/>
        <w:bottom w:val="none" w:sz="0" w:space="0" w:color="auto"/>
        <w:right w:val="none" w:sz="0" w:space="0" w:color="auto"/>
      </w:divBdr>
    </w:div>
    <w:div w:id="1394278940">
      <w:bodyDiv w:val="1"/>
      <w:marLeft w:val="0"/>
      <w:marRight w:val="0"/>
      <w:marTop w:val="0"/>
      <w:marBottom w:val="0"/>
      <w:divBdr>
        <w:top w:val="none" w:sz="0" w:space="0" w:color="auto"/>
        <w:left w:val="none" w:sz="0" w:space="0" w:color="auto"/>
        <w:bottom w:val="none" w:sz="0" w:space="0" w:color="auto"/>
        <w:right w:val="none" w:sz="0" w:space="0" w:color="auto"/>
      </w:divBdr>
    </w:div>
    <w:div w:id="1420100465">
      <w:bodyDiv w:val="1"/>
      <w:marLeft w:val="0"/>
      <w:marRight w:val="0"/>
      <w:marTop w:val="0"/>
      <w:marBottom w:val="0"/>
      <w:divBdr>
        <w:top w:val="none" w:sz="0" w:space="0" w:color="auto"/>
        <w:left w:val="none" w:sz="0" w:space="0" w:color="auto"/>
        <w:bottom w:val="none" w:sz="0" w:space="0" w:color="auto"/>
        <w:right w:val="none" w:sz="0" w:space="0" w:color="auto"/>
      </w:divBdr>
    </w:div>
    <w:div w:id="1762792336">
      <w:bodyDiv w:val="1"/>
      <w:marLeft w:val="0"/>
      <w:marRight w:val="0"/>
      <w:marTop w:val="0"/>
      <w:marBottom w:val="0"/>
      <w:divBdr>
        <w:top w:val="none" w:sz="0" w:space="0" w:color="auto"/>
        <w:left w:val="none" w:sz="0" w:space="0" w:color="auto"/>
        <w:bottom w:val="none" w:sz="0" w:space="0" w:color="auto"/>
        <w:right w:val="none" w:sz="0" w:space="0" w:color="auto"/>
      </w:divBdr>
      <w:divsChild>
        <w:div w:id="1318457818">
          <w:marLeft w:val="0"/>
          <w:marRight w:val="0"/>
          <w:marTop w:val="0"/>
          <w:marBottom w:val="0"/>
          <w:divBdr>
            <w:top w:val="none" w:sz="0" w:space="0" w:color="auto"/>
            <w:left w:val="none" w:sz="0" w:space="0" w:color="auto"/>
            <w:bottom w:val="none" w:sz="0" w:space="0" w:color="auto"/>
            <w:right w:val="none" w:sz="0" w:space="0" w:color="auto"/>
          </w:divBdr>
          <w:divsChild>
            <w:div w:id="1885747089">
              <w:marLeft w:val="0"/>
              <w:marRight w:val="0"/>
              <w:marTop w:val="0"/>
              <w:marBottom w:val="0"/>
              <w:divBdr>
                <w:top w:val="none" w:sz="0" w:space="0" w:color="auto"/>
                <w:left w:val="none" w:sz="0" w:space="0" w:color="auto"/>
                <w:bottom w:val="none" w:sz="0" w:space="0" w:color="auto"/>
                <w:right w:val="none" w:sz="0" w:space="0" w:color="auto"/>
              </w:divBdr>
              <w:divsChild>
                <w:div w:id="1837914301">
                  <w:marLeft w:val="0"/>
                  <w:marRight w:val="0"/>
                  <w:marTop w:val="0"/>
                  <w:marBottom w:val="0"/>
                  <w:divBdr>
                    <w:top w:val="none" w:sz="0" w:space="0" w:color="auto"/>
                    <w:left w:val="none" w:sz="0" w:space="0" w:color="auto"/>
                    <w:bottom w:val="none" w:sz="0" w:space="0" w:color="auto"/>
                    <w:right w:val="none" w:sz="0" w:space="0" w:color="auto"/>
                  </w:divBdr>
                  <w:divsChild>
                    <w:div w:id="1810856057">
                      <w:marLeft w:val="0"/>
                      <w:marRight w:val="0"/>
                      <w:marTop w:val="0"/>
                      <w:marBottom w:val="0"/>
                      <w:divBdr>
                        <w:top w:val="none" w:sz="0" w:space="0" w:color="auto"/>
                        <w:left w:val="none" w:sz="0" w:space="0" w:color="auto"/>
                        <w:bottom w:val="none" w:sz="0" w:space="0" w:color="auto"/>
                        <w:right w:val="none" w:sz="0" w:space="0" w:color="auto"/>
                      </w:divBdr>
                      <w:divsChild>
                        <w:div w:id="1334408396">
                          <w:marLeft w:val="0"/>
                          <w:marRight w:val="0"/>
                          <w:marTop w:val="0"/>
                          <w:marBottom w:val="0"/>
                          <w:divBdr>
                            <w:top w:val="none" w:sz="0" w:space="0" w:color="auto"/>
                            <w:left w:val="none" w:sz="0" w:space="0" w:color="auto"/>
                            <w:bottom w:val="none" w:sz="0" w:space="0" w:color="auto"/>
                            <w:right w:val="none" w:sz="0" w:space="0" w:color="auto"/>
                          </w:divBdr>
                          <w:divsChild>
                            <w:div w:id="9083466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97866">
      <w:bodyDiv w:val="1"/>
      <w:marLeft w:val="0"/>
      <w:marRight w:val="0"/>
      <w:marTop w:val="0"/>
      <w:marBottom w:val="0"/>
      <w:divBdr>
        <w:top w:val="none" w:sz="0" w:space="0" w:color="auto"/>
        <w:left w:val="none" w:sz="0" w:space="0" w:color="auto"/>
        <w:bottom w:val="none" w:sz="0" w:space="0" w:color="auto"/>
        <w:right w:val="none" w:sz="0" w:space="0" w:color="auto"/>
      </w:divBdr>
    </w:div>
    <w:div w:id="1925842273">
      <w:bodyDiv w:val="1"/>
      <w:marLeft w:val="0"/>
      <w:marRight w:val="0"/>
      <w:marTop w:val="0"/>
      <w:marBottom w:val="0"/>
      <w:divBdr>
        <w:top w:val="none" w:sz="0" w:space="0" w:color="auto"/>
        <w:left w:val="none" w:sz="0" w:space="0" w:color="auto"/>
        <w:bottom w:val="none" w:sz="0" w:space="0" w:color="auto"/>
        <w:right w:val="none" w:sz="0" w:space="0" w:color="auto"/>
      </w:divBdr>
    </w:div>
    <w:div w:id="1993868297">
      <w:bodyDiv w:val="1"/>
      <w:marLeft w:val="0"/>
      <w:marRight w:val="0"/>
      <w:marTop w:val="0"/>
      <w:marBottom w:val="0"/>
      <w:divBdr>
        <w:top w:val="none" w:sz="0" w:space="0" w:color="auto"/>
        <w:left w:val="none" w:sz="0" w:space="0" w:color="auto"/>
        <w:bottom w:val="none" w:sz="0" w:space="0" w:color="auto"/>
        <w:right w:val="none" w:sz="0" w:space="0" w:color="auto"/>
      </w:divBdr>
      <w:divsChild>
        <w:div w:id="672882544">
          <w:marLeft w:val="0"/>
          <w:marRight w:val="0"/>
          <w:marTop w:val="0"/>
          <w:marBottom w:val="0"/>
          <w:divBdr>
            <w:top w:val="none" w:sz="0" w:space="0" w:color="auto"/>
            <w:left w:val="none" w:sz="0" w:space="0" w:color="auto"/>
            <w:bottom w:val="none" w:sz="0" w:space="0" w:color="auto"/>
            <w:right w:val="none" w:sz="0" w:space="0" w:color="auto"/>
          </w:divBdr>
          <w:divsChild>
            <w:div w:id="1035274618">
              <w:marLeft w:val="0"/>
              <w:marRight w:val="0"/>
              <w:marTop w:val="0"/>
              <w:marBottom w:val="0"/>
              <w:divBdr>
                <w:top w:val="none" w:sz="0" w:space="0" w:color="auto"/>
                <w:left w:val="none" w:sz="0" w:space="0" w:color="auto"/>
                <w:bottom w:val="none" w:sz="0" w:space="0" w:color="auto"/>
                <w:right w:val="none" w:sz="0" w:space="0" w:color="auto"/>
              </w:divBdr>
              <w:divsChild>
                <w:div w:id="32771134">
                  <w:marLeft w:val="0"/>
                  <w:marRight w:val="0"/>
                  <w:marTop w:val="0"/>
                  <w:marBottom w:val="0"/>
                  <w:divBdr>
                    <w:top w:val="none" w:sz="0" w:space="0" w:color="auto"/>
                    <w:left w:val="none" w:sz="0" w:space="0" w:color="auto"/>
                    <w:bottom w:val="none" w:sz="0" w:space="0" w:color="auto"/>
                    <w:right w:val="none" w:sz="0" w:space="0" w:color="auto"/>
                  </w:divBdr>
                  <w:divsChild>
                    <w:div w:id="184293981">
                      <w:marLeft w:val="0"/>
                      <w:marRight w:val="0"/>
                      <w:marTop w:val="0"/>
                      <w:marBottom w:val="0"/>
                      <w:divBdr>
                        <w:top w:val="none" w:sz="0" w:space="0" w:color="auto"/>
                        <w:left w:val="none" w:sz="0" w:space="0" w:color="auto"/>
                        <w:bottom w:val="none" w:sz="0" w:space="0" w:color="auto"/>
                        <w:right w:val="none" w:sz="0" w:space="0" w:color="auto"/>
                      </w:divBdr>
                      <w:divsChild>
                        <w:div w:id="471872681">
                          <w:marLeft w:val="0"/>
                          <w:marRight w:val="0"/>
                          <w:marTop w:val="0"/>
                          <w:marBottom w:val="0"/>
                          <w:divBdr>
                            <w:top w:val="none" w:sz="0" w:space="0" w:color="auto"/>
                            <w:left w:val="none" w:sz="0" w:space="0" w:color="auto"/>
                            <w:bottom w:val="none" w:sz="0" w:space="0" w:color="auto"/>
                            <w:right w:val="none" w:sz="0" w:space="0" w:color="auto"/>
                          </w:divBdr>
                          <w:divsChild>
                            <w:div w:id="14839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iesas.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lita.Abolina@ta.gov.l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is.Abols@tm.gov.lv" TargetMode="External"/><Relationship Id="rId22"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6DFF-D20E-469D-85DB-5E66E1EBECA1}">
  <ds:schemaRefs>
    <ds:schemaRef ds:uri="http://schemas.microsoft.com/office/2006/metadata/longProperties"/>
  </ds:schemaRefs>
</ds:datastoreItem>
</file>

<file path=customXml/itemProps2.xml><?xml version="1.0" encoding="utf-8"?>
<ds:datastoreItem xmlns:ds="http://schemas.openxmlformats.org/officeDocument/2006/customXml" ds:itemID="{A0D986B4-BF9D-4127-85BE-98A176059372}">
  <ds:schemaRefs>
    <ds:schemaRef ds:uri="http://schemas.microsoft.com/sharepoint/v3/contenttype/forms"/>
  </ds:schemaRefs>
</ds:datastoreItem>
</file>

<file path=customXml/itemProps3.xml><?xml version="1.0" encoding="utf-8"?>
<ds:datastoreItem xmlns:ds="http://schemas.openxmlformats.org/officeDocument/2006/customXml" ds:itemID="{30F05839-D7AF-448C-A8D7-2B840423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75E518-28B6-442C-B42B-724936EE121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D86B8961-70D5-44A9-AC40-8866D71C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12029</Words>
  <Characters>6858</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Valsts nodrošinātās juridiskās palīdzības likumā” sākotnējās ietekmes novērtējuma ziņojuma (anotācija)</vt:lpstr>
      <vt:lpstr>Likumprojekts „Grozījumi likumā „Par audzinoša rakstura piespiedu līdzekļu piemērošanu bērniem””</vt:lpstr>
    </vt:vector>
  </TitlesOfParts>
  <Company>Tieslietu ministrija</Company>
  <LinksUpToDate>false</LinksUpToDate>
  <CharactersWithSpaces>18850</CharactersWithSpaces>
  <SharedDoc>false</SharedDoc>
  <HLinks>
    <vt:vector size="6" baseType="variant">
      <vt:variant>
        <vt:i4>196693</vt:i4>
      </vt:variant>
      <vt:variant>
        <vt:i4>0</vt:i4>
      </vt:variant>
      <vt:variant>
        <vt:i4>0</vt:i4>
      </vt:variant>
      <vt:variant>
        <vt:i4>5</vt:i4>
      </vt:variant>
      <vt:variant>
        <vt:lpwstr>http://www.tiesas.lv/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Valsts nodrošinātās juridiskās palīdzības likumā” sākotnējās ietekmes novērtējuma ziņojuma (anotācija)</dc:title>
  <dc:subject>Anotācija</dc:subject>
  <dc:creator>Sindija Šube</dc:creator>
  <dc:description>67036838, Sindija.sube@tm.gov.lv</dc:description>
  <cp:lastModifiedBy>Janis Abols</cp:lastModifiedBy>
  <cp:revision>10</cp:revision>
  <cp:lastPrinted>2016-08-17T06:51:00Z</cp:lastPrinted>
  <dcterms:created xsi:type="dcterms:W3CDTF">2016-08-17T06:49:00Z</dcterms:created>
  <dcterms:modified xsi:type="dcterms:W3CDTF">2016-08-17T12:35:00Z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ies>
</file>