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507FB" w14:textId="4F5F9453" w:rsidR="002B3C65" w:rsidRPr="00C15646" w:rsidRDefault="002B3C65" w:rsidP="002B3C65">
      <w:pPr>
        <w:pStyle w:val="Kjene"/>
        <w:jc w:val="center"/>
        <w:rPr>
          <w:b/>
          <w:lang w:val="lv-LV"/>
        </w:rPr>
      </w:pPr>
      <w:r w:rsidRPr="00C15646">
        <w:rPr>
          <w:b/>
          <w:lang w:val="lv-LV" w:eastAsia="lv-LV"/>
        </w:rPr>
        <w:t>Ministru kabineta noteikumu</w:t>
      </w:r>
      <w:r w:rsidR="00F149AE" w:rsidRPr="00C15646">
        <w:rPr>
          <w:b/>
          <w:lang w:val="lv-LV" w:eastAsia="lv-LV"/>
        </w:rPr>
        <w:t xml:space="preserve"> </w:t>
      </w:r>
      <w:r w:rsidRPr="00C15646">
        <w:rPr>
          <w:b/>
          <w:lang w:val="lv-LV"/>
        </w:rPr>
        <w:t>"</w:t>
      </w:r>
      <w:r w:rsidR="00F149AE" w:rsidRPr="00C15646">
        <w:rPr>
          <w:b/>
          <w:bCs/>
          <w:color w:val="414142"/>
          <w:lang w:val="lv-LV"/>
        </w:rPr>
        <w:t>Administratīvā pārkāpuma procesā radušos procesuālo izdevumu segšanas noteikumi</w:t>
      </w:r>
      <w:r w:rsidR="00F50E17" w:rsidRPr="00C15646">
        <w:rPr>
          <w:b/>
          <w:lang w:val="lv-LV"/>
        </w:rPr>
        <w:t>"</w:t>
      </w:r>
      <w:r w:rsidRPr="00C15646">
        <w:rPr>
          <w:b/>
          <w:lang w:val="lv-LV"/>
        </w:rPr>
        <w:t xml:space="preserve"> </w:t>
      </w:r>
      <w:r w:rsidR="00F149AE" w:rsidRPr="00C15646">
        <w:rPr>
          <w:b/>
          <w:lang w:val="lv-LV"/>
        </w:rPr>
        <w:t xml:space="preserve">projekta </w:t>
      </w:r>
      <w:r w:rsidRPr="00C15646">
        <w:rPr>
          <w:b/>
          <w:lang w:val="lv-LV"/>
        </w:rPr>
        <w:t>sākotnējās ietekmes novērtējuma ziņojums (anotācija)</w:t>
      </w:r>
    </w:p>
    <w:tbl>
      <w:tblPr>
        <w:tblpPr w:leftFromText="180" w:rightFromText="180" w:vertAnchor="text" w:horzAnchor="margin" w:tblpXSpec="center" w:tblpY="149"/>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3"/>
        <w:gridCol w:w="1449"/>
        <w:gridCol w:w="850"/>
        <w:gridCol w:w="132"/>
        <w:gridCol w:w="1002"/>
        <w:gridCol w:w="851"/>
        <w:gridCol w:w="1091"/>
        <w:gridCol w:w="984"/>
        <w:gridCol w:w="944"/>
        <w:gridCol w:w="8"/>
        <w:gridCol w:w="1083"/>
        <w:gridCol w:w="15"/>
        <w:gridCol w:w="43"/>
      </w:tblGrid>
      <w:tr w:rsidR="002B3C65" w:rsidRPr="00C15646" w14:paraId="2216AE08" w14:textId="77777777" w:rsidTr="00314220">
        <w:trPr>
          <w:gridAfter w:val="2"/>
          <w:wAfter w:w="58" w:type="dxa"/>
        </w:trPr>
        <w:tc>
          <w:tcPr>
            <w:tcW w:w="9067" w:type="dxa"/>
            <w:gridSpan w:val="11"/>
            <w:tcBorders>
              <w:bottom w:val="single" w:sz="4" w:space="0" w:color="auto"/>
            </w:tcBorders>
            <w:vAlign w:val="center"/>
          </w:tcPr>
          <w:p w14:paraId="182016C8" w14:textId="77777777" w:rsidR="002B3C65" w:rsidRPr="00C15646" w:rsidRDefault="002B3C65" w:rsidP="00E35CBC">
            <w:pPr>
              <w:jc w:val="center"/>
              <w:rPr>
                <w:b/>
                <w:bCs/>
                <w:lang w:val="lv-LV" w:eastAsia="lv-LV"/>
              </w:rPr>
            </w:pPr>
            <w:r w:rsidRPr="00C15646">
              <w:rPr>
                <w:b/>
                <w:bCs/>
                <w:lang w:val="lv-LV"/>
              </w:rPr>
              <w:t>Tiesību akta projekta anotācijas kopsavilkums</w:t>
            </w:r>
          </w:p>
        </w:tc>
      </w:tr>
      <w:tr w:rsidR="002B3C65" w:rsidRPr="00B661F5" w14:paraId="7134A1A4" w14:textId="77777777" w:rsidTr="00314220">
        <w:trPr>
          <w:gridAfter w:val="2"/>
          <w:wAfter w:w="58" w:type="dxa"/>
        </w:trPr>
        <w:tc>
          <w:tcPr>
            <w:tcW w:w="3104" w:type="dxa"/>
            <w:gridSpan w:val="4"/>
            <w:tcBorders>
              <w:bottom w:val="single" w:sz="4" w:space="0" w:color="auto"/>
            </w:tcBorders>
          </w:tcPr>
          <w:p w14:paraId="5B1F254C" w14:textId="77777777" w:rsidR="002B3C65" w:rsidRPr="00C15646" w:rsidRDefault="002B3C65" w:rsidP="00E35CBC">
            <w:pPr>
              <w:rPr>
                <w:bCs/>
                <w:lang w:val="lv-LV" w:eastAsia="lv-LV"/>
              </w:rPr>
            </w:pPr>
            <w:r w:rsidRPr="00C15646">
              <w:rPr>
                <w:lang w:val="lv-LV"/>
              </w:rPr>
              <w:t>Mērķis, risinājums un projekta spēkā stāšanās laiks (500 zīmes bez atstarpēm)</w:t>
            </w:r>
          </w:p>
        </w:tc>
        <w:tc>
          <w:tcPr>
            <w:tcW w:w="5963" w:type="dxa"/>
            <w:gridSpan w:val="7"/>
            <w:tcBorders>
              <w:bottom w:val="single" w:sz="4" w:space="0" w:color="auto"/>
            </w:tcBorders>
            <w:vAlign w:val="center"/>
          </w:tcPr>
          <w:p w14:paraId="4841C53B" w14:textId="6D4F2CEA" w:rsidR="00607DEA" w:rsidRPr="00607DEA" w:rsidRDefault="00607DEA" w:rsidP="00607DEA">
            <w:pPr>
              <w:ind w:firstLine="284"/>
              <w:jc w:val="both"/>
              <w:rPr>
                <w:lang w:val="lv-LV" w:eastAsia="lv-LV"/>
              </w:rPr>
            </w:pPr>
            <w:r w:rsidRPr="00607DEA">
              <w:rPr>
                <w:lang w:val="lv-LV" w:eastAsia="lv-LV"/>
              </w:rPr>
              <w:t>Projekta mērķis</w:t>
            </w:r>
            <w:r w:rsidRPr="00C15646">
              <w:rPr>
                <w:lang w:val="lv-LV" w:eastAsia="lv-LV"/>
              </w:rPr>
              <w:t xml:space="preserve"> </w:t>
            </w:r>
            <w:r w:rsidRPr="00607DEA">
              <w:rPr>
                <w:lang w:val="lv-LV" w:eastAsia="lv-LV"/>
              </w:rPr>
              <w:t>ir nodrošināt</w:t>
            </w:r>
            <w:r w:rsidR="00620E71" w:rsidRPr="00C15646">
              <w:rPr>
                <w:lang w:val="lv-LV" w:eastAsia="lv-LV"/>
              </w:rPr>
              <w:t xml:space="preserve"> </w:t>
            </w:r>
            <w:r w:rsidR="00FB7721" w:rsidRPr="00C15646">
              <w:rPr>
                <w:lang w:val="lv-LV" w:eastAsia="lv-LV"/>
              </w:rPr>
              <w:t xml:space="preserve">privātpersonai </w:t>
            </w:r>
            <w:r w:rsidRPr="00607DEA">
              <w:rPr>
                <w:lang w:val="lv-LV" w:eastAsia="lv-LV"/>
              </w:rPr>
              <w:t>pēc iespējas ātrāku administratīvā pārkāpuma procesā radušos procesuālo izdevumu</w:t>
            </w:r>
            <w:r w:rsidR="00FB7721" w:rsidRPr="00C15646">
              <w:rPr>
                <w:lang w:val="lv-LV" w:eastAsia="lv-LV"/>
              </w:rPr>
              <w:t xml:space="preserve"> atbilstīgu atlīdzinājumu</w:t>
            </w:r>
            <w:r w:rsidR="00620E71" w:rsidRPr="00C15646">
              <w:rPr>
                <w:lang w:val="lv-LV" w:eastAsia="lv-LV"/>
              </w:rPr>
              <w:t>. Projekts paredz procesuālo izdevumu segšanas kārtību un apmēru.</w:t>
            </w:r>
          </w:p>
          <w:p w14:paraId="330F68CF" w14:textId="47BF46C8" w:rsidR="002B3C65" w:rsidRPr="00C15646" w:rsidRDefault="00607DEA" w:rsidP="00607DEA">
            <w:pPr>
              <w:ind w:firstLine="284"/>
              <w:jc w:val="both"/>
              <w:rPr>
                <w:lang w:val="lv-LV" w:eastAsia="lv-LV"/>
              </w:rPr>
            </w:pPr>
            <w:r w:rsidRPr="00607DEA">
              <w:rPr>
                <w:lang w:val="lv-LV" w:eastAsia="lv-LV"/>
              </w:rPr>
              <w:t>Projekts stāsies spēkā vienlaikus ar Administratīvās atbildības likumu. </w:t>
            </w:r>
          </w:p>
        </w:tc>
      </w:tr>
      <w:tr w:rsidR="002B3C65" w:rsidRPr="00B661F5" w14:paraId="66817FF0" w14:textId="77777777" w:rsidTr="00314220">
        <w:trPr>
          <w:gridAfter w:val="2"/>
          <w:wAfter w:w="58" w:type="dxa"/>
        </w:trPr>
        <w:tc>
          <w:tcPr>
            <w:tcW w:w="3104" w:type="dxa"/>
            <w:gridSpan w:val="4"/>
            <w:tcBorders>
              <w:top w:val="single" w:sz="4" w:space="0" w:color="auto"/>
              <w:left w:val="nil"/>
              <w:bottom w:val="nil"/>
              <w:right w:val="nil"/>
            </w:tcBorders>
          </w:tcPr>
          <w:p w14:paraId="0B2A059F" w14:textId="77777777" w:rsidR="002B3C65" w:rsidRPr="00C15646" w:rsidRDefault="002B3C65" w:rsidP="00E35CBC">
            <w:pPr>
              <w:rPr>
                <w:lang w:val="lv-LV"/>
              </w:rPr>
            </w:pPr>
          </w:p>
        </w:tc>
        <w:tc>
          <w:tcPr>
            <w:tcW w:w="5963" w:type="dxa"/>
            <w:gridSpan w:val="7"/>
            <w:tcBorders>
              <w:top w:val="single" w:sz="4" w:space="0" w:color="auto"/>
              <w:left w:val="nil"/>
              <w:bottom w:val="nil"/>
              <w:right w:val="nil"/>
            </w:tcBorders>
            <w:vAlign w:val="center"/>
          </w:tcPr>
          <w:p w14:paraId="66264DBF" w14:textId="77777777" w:rsidR="002B3C65" w:rsidRPr="00C15646" w:rsidRDefault="002B3C65" w:rsidP="00E35CBC">
            <w:pPr>
              <w:ind w:firstLine="284"/>
              <w:jc w:val="both"/>
              <w:rPr>
                <w:lang w:val="lv-LV" w:eastAsia="lv-LV"/>
              </w:rPr>
            </w:pPr>
          </w:p>
        </w:tc>
      </w:tr>
      <w:tr w:rsidR="002B3C65" w:rsidRPr="00C15646" w14:paraId="1267C068" w14:textId="77777777" w:rsidTr="00314220">
        <w:trPr>
          <w:gridAfter w:val="2"/>
          <w:wAfter w:w="58" w:type="dxa"/>
        </w:trPr>
        <w:tc>
          <w:tcPr>
            <w:tcW w:w="9067" w:type="dxa"/>
            <w:gridSpan w:val="11"/>
            <w:tcBorders>
              <w:top w:val="single" w:sz="4" w:space="0" w:color="auto"/>
            </w:tcBorders>
            <w:vAlign w:val="center"/>
          </w:tcPr>
          <w:p w14:paraId="1115F514" w14:textId="77777777" w:rsidR="002B3C65" w:rsidRPr="00C15646" w:rsidRDefault="002B3C65" w:rsidP="00E35CBC">
            <w:pPr>
              <w:jc w:val="center"/>
              <w:rPr>
                <w:b/>
                <w:bCs/>
                <w:lang w:val="lv-LV" w:eastAsia="lv-LV"/>
              </w:rPr>
            </w:pPr>
            <w:r w:rsidRPr="00C15646">
              <w:rPr>
                <w:b/>
                <w:bCs/>
                <w:lang w:val="lv-LV" w:eastAsia="lv-LV"/>
              </w:rPr>
              <w:t>I. Tiesību akta projekta izstrādes nepieciešamība</w:t>
            </w:r>
          </w:p>
        </w:tc>
      </w:tr>
      <w:tr w:rsidR="002B3C65" w:rsidRPr="00C15646" w14:paraId="673DAC40" w14:textId="77777777" w:rsidTr="00314220">
        <w:trPr>
          <w:gridAfter w:val="1"/>
          <w:wAfter w:w="43" w:type="dxa"/>
          <w:trHeight w:val="630"/>
        </w:trPr>
        <w:tc>
          <w:tcPr>
            <w:tcW w:w="673" w:type="dxa"/>
          </w:tcPr>
          <w:p w14:paraId="314D1BD7" w14:textId="77777777" w:rsidR="002B3C65" w:rsidRPr="00C15646" w:rsidRDefault="002B3C65" w:rsidP="00E35CBC">
            <w:pPr>
              <w:rPr>
                <w:lang w:val="lv-LV" w:eastAsia="lv-LV"/>
              </w:rPr>
            </w:pPr>
            <w:r w:rsidRPr="00C15646">
              <w:rPr>
                <w:lang w:val="lv-LV" w:eastAsia="lv-LV"/>
              </w:rPr>
              <w:t>1.</w:t>
            </w:r>
          </w:p>
        </w:tc>
        <w:tc>
          <w:tcPr>
            <w:tcW w:w="2431" w:type="dxa"/>
            <w:gridSpan w:val="3"/>
          </w:tcPr>
          <w:p w14:paraId="7631DA93" w14:textId="77777777" w:rsidR="002B3C65" w:rsidRPr="00C15646" w:rsidRDefault="002B3C65" w:rsidP="00E35CBC">
            <w:pPr>
              <w:ind w:hanging="10"/>
              <w:rPr>
                <w:lang w:val="lv-LV" w:eastAsia="lv-LV"/>
              </w:rPr>
            </w:pPr>
            <w:r w:rsidRPr="00C15646">
              <w:rPr>
                <w:lang w:val="lv-LV" w:eastAsia="lv-LV"/>
              </w:rPr>
              <w:t>Pamatojums</w:t>
            </w:r>
          </w:p>
        </w:tc>
        <w:tc>
          <w:tcPr>
            <w:tcW w:w="5978" w:type="dxa"/>
            <w:gridSpan w:val="8"/>
          </w:tcPr>
          <w:p w14:paraId="719B2093" w14:textId="4A0D3F56" w:rsidR="002B3C65" w:rsidRPr="00C15646" w:rsidRDefault="00A12814" w:rsidP="00CB11F0">
            <w:pPr>
              <w:ind w:firstLine="296"/>
              <w:jc w:val="both"/>
              <w:rPr>
                <w:rFonts w:eastAsia="Calibri"/>
                <w:lang w:val="lv-LV"/>
              </w:rPr>
            </w:pPr>
            <w:r w:rsidRPr="00C15646">
              <w:rPr>
                <w:rFonts w:eastAsia="Calibri"/>
                <w:lang w:val="lv-LV"/>
              </w:rPr>
              <w:t>Administratīvās atbildības likuma 76. panta trešā daļa</w:t>
            </w:r>
          </w:p>
        </w:tc>
      </w:tr>
      <w:tr w:rsidR="002B3C65" w:rsidRPr="00B661F5" w14:paraId="5B12C860" w14:textId="77777777" w:rsidTr="00314220">
        <w:trPr>
          <w:gridAfter w:val="1"/>
          <w:wAfter w:w="43" w:type="dxa"/>
          <w:trHeight w:val="472"/>
        </w:trPr>
        <w:tc>
          <w:tcPr>
            <w:tcW w:w="673" w:type="dxa"/>
          </w:tcPr>
          <w:p w14:paraId="4405EF0A" w14:textId="77777777" w:rsidR="002B3C65" w:rsidRPr="00C15646" w:rsidRDefault="002B3C65" w:rsidP="00E35CBC">
            <w:pPr>
              <w:rPr>
                <w:lang w:val="lv-LV" w:eastAsia="lv-LV"/>
              </w:rPr>
            </w:pPr>
            <w:r w:rsidRPr="00C15646">
              <w:rPr>
                <w:lang w:val="lv-LV" w:eastAsia="lv-LV"/>
              </w:rPr>
              <w:t>2.</w:t>
            </w:r>
          </w:p>
        </w:tc>
        <w:tc>
          <w:tcPr>
            <w:tcW w:w="2431" w:type="dxa"/>
            <w:gridSpan w:val="3"/>
          </w:tcPr>
          <w:p w14:paraId="32B019AA" w14:textId="77777777" w:rsidR="002B3C65" w:rsidRPr="00C15646" w:rsidRDefault="002B3C65" w:rsidP="00E35CBC">
            <w:pPr>
              <w:tabs>
                <w:tab w:val="left" w:pos="170"/>
              </w:tabs>
              <w:rPr>
                <w:lang w:val="lv-LV" w:eastAsia="lv-LV"/>
              </w:rPr>
            </w:pPr>
            <w:r w:rsidRPr="00C15646">
              <w:rPr>
                <w:lang w:val="lv-LV" w:eastAsia="lv-LV"/>
              </w:rPr>
              <w:t>Pašreizējā situācija un problēmas, kuru risināšanai tiesību akta projekts izstrādāts, tiesiskā regulējuma mērķis un būtība</w:t>
            </w:r>
          </w:p>
        </w:tc>
        <w:tc>
          <w:tcPr>
            <w:tcW w:w="5978" w:type="dxa"/>
            <w:gridSpan w:val="8"/>
          </w:tcPr>
          <w:p w14:paraId="3156E160" w14:textId="64E6787A" w:rsidR="00FE62AC" w:rsidRPr="00C15646" w:rsidRDefault="00CF2AF7" w:rsidP="00DD7445">
            <w:pPr>
              <w:ind w:firstLine="284"/>
              <w:jc w:val="both"/>
              <w:rPr>
                <w:b/>
                <w:lang w:val="lv-LV"/>
              </w:rPr>
            </w:pPr>
            <w:r w:rsidRPr="00C15646">
              <w:rPr>
                <w:b/>
                <w:lang w:val="lv-LV"/>
              </w:rPr>
              <w:t>1. </w:t>
            </w:r>
            <w:r w:rsidR="00CB11F0" w:rsidRPr="00C15646">
              <w:rPr>
                <w:b/>
                <w:lang w:val="lv-LV"/>
              </w:rPr>
              <w:t>Pašreizējā situācija</w:t>
            </w:r>
          </w:p>
          <w:p w14:paraId="3F59F260" w14:textId="77777777" w:rsidR="00CB11F0" w:rsidRPr="00C15646" w:rsidRDefault="00CB11F0" w:rsidP="00DD7445">
            <w:pPr>
              <w:ind w:firstLine="284"/>
              <w:jc w:val="both"/>
              <w:rPr>
                <w:lang w:val="lv-LV"/>
              </w:rPr>
            </w:pPr>
          </w:p>
          <w:p w14:paraId="39A1FFE8" w14:textId="68C5A7B9" w:rsidR="00325996" w:rsidRPr="00C15646" w:rsidRDefault="00A960AC" w:rsidP="00A960AC">
            <w:pPr>
              <w:ind w:firstLine="284"/>
              <w:jc w:val="both"/>
              <w:rPr>
                <w:lang w:val="lv-LV"/>
              </w:rPr>
            </w:pPr>
            <w:r w:rsidRPr="00A960AC">
              <w:rPr>
                <w:lang w:val="lv-LV"/>
              </w:rPr>
              <w:t xml:space="preserve">Administratīvo pārkāpumu lietas pēc sava rakstura un būtības ir līdzīgas nelieliem kriminālpārkāpumiem. Salīdzinot procesuālo izdevumu atlīdzināšanu sodu tiesībās, </w:t>
            </w:r>
            <w:r w:rsidRPr="00C15646">
              <w:rPr>
                <w:lang w:val="lv-LV"/>
              </w:rPr>
              <w:t>redzams</w:t>
            </w:r>
            <w:r w:rsidRPr="00A960AC">
              <w:rPr>
                <w:lang w:val="lv-LV"/>
              </w:rPr>
              <w:t>,</w:t>
            </w:r>
            <w:r w:rsidRPr="00C15646">
              <w:rPr>
                <w:lang w:val="lv-LV"/>
              </w:rPr>
              <w:t xml:space="preserve"> </w:t>
            </w:r>
            <w:r w:rsidRPr="00A960AC">
              <w:rPr>
                <w:lang w:val="lv-LV"/>
              </w:rPr>
              <w:t>ka Kriminālprocesa likuma 367. pantā ir noteikti procesuālie izdevumi un 3</w:t>
            </w:r>
            <w:r w:rsidR="001A75E2">
              <w:rPr>
                <w:lang w:val="lv-LV"/>
              </w:rPr>
              <w:t>6</w:t>
            </w:r>
            <w:r w:rsidRPr="00A960AC">
              <w:rPr>
                <w:lang w:val="lv-LV"/>
              </w:rPr>
              <w:t>8.</w:t>
            </w:r>
            <w:r w:rsidR="00325996" w:rsidRPr="00C15646">
              <w:rPr>
                <w:lang w:val="lv-LV"/>
              </w:rPr>
              <w:t> </w:t>
            </w:r>
            <w:r w:rsidRPr="00A960AC">
              <w:rPr>
                <w:lang w:val="lv-LV"/>
              </w:rPr>
              <w:t>pantā ir paredzēta procesuālo izdevumu piedziņa, proti, procesuālos izdevumus ar tiesas nolēmumu piedzen no notiesātajiem.</w:t>
            </w:r>
            <w:r w:rsidR="00325996" w:rsidRPr="00C15646">
              <w:rPr>
                <w:lang w:val="lv-LV"/>
              </w:rPr>
              <w:t xml:space="preserve"> Latvijas Administratīvo pārkāpumu kodeksā</w:t>
            </w:r>
            <w:r w:rsidR="005935CC" w:rsidRPr="00C15646">
              <w:rPr>
                <w:lang w:val="lv-LV"/>
              </w:rPr>
              <w:t xml:space="preserve"> (turpmāk – Kodekss) nav līdzvērtīga regulējuma. Kodeksā nav </w:t>
            </w:r>
            <w:r w:rsidR="00DC2D64" w:rsidRPr="00C15646">
              <w:rPr>
                <w:lang w:val="lv-LV"/>
              </w:rPr>
              <w:t xml:space="preserve">vienota principa procesuālo izdevumu segšanai </w:t>
            </w:r>
            <w:r w:rsidR="001B3A23" w:rsidRPr="00C15646">
              <w:rPr>
                <w:lang w:val="lv-LV"/>
              </w:rPr>
              <w:t>(</w:t>
            </w:r>
            <w:r w:rsidR="001B3A23" w:rsidRPr="00C15646">
              <w:rPr>
                <w:i/>
                <w:lang w:val="lv-LV"/>
              </w:rPr>
              <w:t>sk. likumprojekta "Administratīvo pārkāpumu procesa likums" (Nr. </w:t>
            </w:r>
            <w:hyperlink r:id="rId7" w:history="1">
              <w:r w:rsidR="001B3A23" w:rsidRPr="00C15646">
                <w:rPr>
                  <w:rStyle w:val="Hipersaite"/>
                  <w:i/>
                  <w:lang w:val="lv-LV"/>
                </w:rPr>
                <w:t>1160/Lp11</w:t>
              </w:r>
            </w:hyperlink>
            <w:r w:rsidR="001B3A23" w:rsidRPr="00C15646">
              <w:rPr>
                <w:i/>
                <w:lang w:val="lv-LV"/>
              </w:rPr>
              <w:t>) anotācij</w:t>
            </w:r>
            <w:r w:rsidR="00676DF1" w:rsidRPr="00C15646">
              <w:rPr>
                <w:i/>
                <w:lang w:val="lv-LV"/>
              </w:rPr>
              <w:t>u</w:t>
            </w:r>
            <w:r w:rsidR="001B3A23" w:rsidRPr="00C15646">
              <w:rPr>
                <w:lang w:val="lv-LV"/>
              </w:rPr>
              <w:t>).</w:t>
            </w:r>
          </w:p>
          <w:p w14:paraId="3E6698B1" w14:textId="5D8EC88C" w:rsidR="00356BF8" w:rsidRPr="00C15646" w:rsidRDefault="00356BF8" w:rsidP="00356BF8">
            <w:pPr>
              <w:ind w:firstLine="284"/>
              <w:jc w:val="both"/>
              <w:rPr>
                <w:lang w:val="lv-LV"/>
              </w:rPr>
            </w:pPr>
            <w:r w:rsidRPr="00C15646">
              <w:rPr>
                <w:lang w:val="lv-LV"/>
              </w:rPr>
              <w:t>Kodeksa 257. panta astotā daļa noteic: "Persona, kurai uzlikts administratīvais sods, Ministru kabineta noteiktā kārtībā un apmērā sedz izdevumus, kas radušies sakarā ar administratīvā pārkāpuma lietā izņemtās mantas un dokumentu nodošanu glabāšanā, glabāšanu un iznīcināšanu. Ja persona ir trūcīga vai maznodrošināta, minētos izdevumus sedz no valsts līdzekļiem."</w:t>
            </w:r>
            <w:r w:rsidR="00F57329" w:rsidRPr="00C15646">
              <w:rPr>
                <w:lang w:val="lv-LV"/>
              </w:rPr>
              <w:t xml:space="preserve"> </w:t>
            </w:r>
            <w:r w:rsidRPr="00356BF8">
              <w:rPr>
                <w:lang w:val="lv-LV"/>
              </w:rPr>
              <w:t>Ministru kabineta 2010.</w:t>
            </w:r>
            <w:r w:rsidR="00F57329" w:rsidRPr="00C15646">
              <w:rPr>
                <w:lang w:val="lv-LV"/>
              </w:rPr>
              <w:t> </w:t>
            </w:r>
            <w:r w:rsidRPr="00356BF8">
              <w:rPr>
                <w:lang w:val="lv-LV"/>
              </w:rPr>
              <w:t>gada 7.</w:t>
            </w:r>
            <w:r w:rsidR="00F57329" w:rsidRPr="00C15646">
              <w:rPr>
                <w:lang w:val="lv-LV"/>
              </w:rPr>
              <w:t> </w:t>
            </w:r>
            <w:r w:rsidRPr="00356BF8">
              <w:rPr>
                <w:lang w:val="lv-LV"/>
              </w:rPr>
              <w:t>decembra noteikumi Nr.</w:t>
            </w:r>
            <w:r w:rsidR="00F57329" w:rsidRPr="00C15646">
              <w:rPr>
                <w:lang w:val="lv-LV"/>
              </w:rPr>
              <w:t> </w:t>
            </w:r>
            <w:r w:rsidRPr="00356BF8">
              <w:rPr>
                <w:lang w:val="lv-LV"/>
              </w:rPr>
              <w:t>1098 "Noteikumi par rīcību ar administratīvo pārkāpumu lietās izņemto mantu un dokumentiem"</w:t>
            </w:r>
            <w:r w:rsidR="00F57329" w:rsidRPr="00C15646">
              <w:rPr>
                <w:lang w:val="lv-LV"/>
              </w:rPr>
              <w:t xml:space="preserve"> </w:t>
            </w:r>
            <w:r w:rsidRPr="00356BF8">
              <w:rPr>
                <w:lang w:val="lv-LV"/>
              </w:rPr>
              <w:t>no</w:t>
            </w:r>
            <w:r w:rsidR="00F57329" w:rsidRPr="00C15646">
              <w:rPr>
                <w:lang w:val="lv-LV"/>
              </w:rPr>
              <w:t>teic</w:t>
            </w:r>
            <w:r w:rsidRPr="00356BF8">
              <w:rPr>
                <w:lang w:val="lv-LV"/>
              </w:rPr>
              <w:t xml:space="preserve"> arī kārtību, kādā persona, kurai uzlikts administratīvais sods, sedz izdevumus par izņemtās mantas vai dokumenta nodošanu glabāšanā, glabāšanu vai iznīcināšanu, kā arī nosaka šo izdevumu apmēru.</w:t>
            </w:r>
          </w:p>
          <w:p w14:paraId="7BC7C7DC" w14:textId="429FC6E7" w:rsidR="00023D7A" w:rsidRPr="00023D7A" w:rsidRDefault="00023D7A" w:rsidP="00023D7A">
            <w:pPr>
              <w:ind w:firstLine="284"/>
              <w:jc w:val="both"/>
              <w:rPr>
                <w:lang w:val="lv-LV"/>
              </w:rPr>
            </w:pPr>
            <w:r w:rsidRPr="00023D7A">
              <w:rPr>
                <w:lang w:val="lv-LV"/>
              </w:rPr>
              <w:t>Kodeksa 258.</w:t>
            </w:r>
            <w:r w:rsidRPr="00C15646">
              <w:rPr>
                <w:lang w:val="lv-LV"/>
              </w:rPr>
              <w:t> </w:t>
            </w:r>
            <w:r w:rsidRPr="00023D7A">
              <w:rPr>
                <w:lang w:val="lv-LV"/>
              </w:rPr>
              <w:t>panta trešā daļa noteic: "Persona, kurai uzlikts administratīvais sods, Ministru kabineta noteiktā kārtībā sedz izdevumus, kas saistīti ar alkohola koncentrācijas, narkotisko vai citu apreibinošo vielu iespaida konstatēšanai veiktajām pārbaudēm."</w:t>
            </w:r>
            <w:r w:rsidRPr="00C15646">
              <w:rPr>
                <w:lang w:val="lv-LV"/>
              </w:rPr>
              <w:t xml:space="preserve"> </w:t>
            </w:r>
            <w:r w:rsidRPr="00023D7A">
              <w:rPr>
                <w:lang w:val="lv-LV"/>
              </w:rPr>
              <w:t>Ministru kabineta 2007.</w:t>
            </w:r>
            <w:r w:rsidRPr="00C15646">
              <w:rPr>
                <w:lang w:val="lv-LV"/>
              </w:rPr>
              <w:t> </w:t>
            </w:r>
            <w:r w:rsidRPr="00023D7A">
              <w:rPr>
                <w:lang w:val="lv-LV"/>
              </w:rPr>
              <w:t>gada 18.</w:t>
            </w:r>
            <w:r w:rsidRPr="00C15646">
              <w:rPr>
                <w:lang w:val="lv-LV"/>
              </w:rPr>
              <w:t> </w:t>
            </w:r>
            <w:r w:rsidRPr="00023D7A">
              <w:rPr>
                <w:lang w:val="lv-LV"/>
              </w:rPr>
              <w:t>decembra noteikumi Nr.</w:t>
            </w:r>
            <w:r w:rsidRPr="00C15646">
              <w:rPr>
                <w:lang w:val="lv-LV"/>
              </w:rPr>
              <w:t> </w:t>
            </w:r>
            <w:r w:rsidRPr="00023D7A">
              <w:rPr>
                <w:lang w:val="lv-LV"/>
              </w:rPr>
              <w:t>915 "Noteikumi par kārtību, kādā sedz izdevumus, kas saistīti ar alkohola koncentrācijas, narkotisko vai citu apreibinošo vielu iespaida konstatēšanai veiktajām pārbaudēm" no</w:t>
            </w:r>
            <w:r w:rsidR="00617563">
              <w:rPr>
                <w:lang w:val="lv-LV"/>
              </w:rPr>
              <w:t>teic</w:t>
            </w:r>
            <w:r w:rsidRPr="00023D7A">
              <w:rPr>
                <w:lang w:val="lv-LV"/>
              </w:rPr>
              <w:t xml:space="preserve"> kārtību, kādā persona, kurai uzlikts administratīvais sods, sedz izdevumus, kas saistīti ar </w:t>
            </w:r>
            <w:r w:rsidRPr="00023D7A">
              <w:rPr>
                <w:lang w:val="lv-LV"/>
              </w:rPr>
              <w:lastRenderedPageBreak/>
              <w:t>alkohola koncentrācijas, narkotisko vai citu apreibinošo vielu iespaida konstatēšanai veiktajām pārbaudēm.</w:t>
            </w:r>
            <w:r w:rsidRPr="00C15646">
              <w:rPr>
                <w:lang w:val="lv-LV"/>
              </w:rPr>
              <w:t xml:space="preserve"> </w:t>
            </w:r>
            <w:r w:rsidRPr="00023D7A">
              <w:rPr>
                <w:lang w:val="lv-LV"/>
              </w:rPr>
              <w:t>Saskaņā ar šo noteikumu 3.</w:t>
            </w:r>
            <w:r w:rsidRPr="00C15646">
              <w:rPr>
                <w:lang w:val="lv-LV"/>
              </w:rPr>
              <w:t> </w:t>
            </w:r>
            <w:r w:rsidRPr="00023D7A">
              <w:rPr>
                <w:lang w:val="lv-LV"/>
              </w:rPr>
              <w:t>punktu ar alkohola</w:t>
            </w:r>
            <w:r w:rsidRPr="00C15646">
              <w:rPr>
                <w:lang w:val="lv-LV"/>
              </w:rPr>
              <w:t xml:space="preserve"> </w:t>
            </w:r>
            <w:r w:rsidRPr="00023D7A">
              <w:rPr>
                <w:lang w:val="lv-LV"/>
              </w:rPr>
              <w:t>koncentrācijas, narkotisko vai citu apreibinošo vielu ietekmes vai iespaida konstatēšanai veiktajām pārbaudēm saistīto izdevumu apmēru nosaka, ņemot vērā Ministru kabineta noteikumos, kas regulē alkohola, narkotisko, psihotropo vai toksisko vielu ietekmes pārbaudes kārtību, noteikto izdevumu apmēru par personas pārbaudi ar portatīvu mērierīci alkohola koncentrācijas noteikšanai izelpotajā gaisā vai ārstniecības iestādes norādīto izdevumu apmēru saskaņā ar ārstniecības iestādē apstiprinātu cenrādi. </w:t>
            </w:r>
          </w:p>
          <w:p w14:paraId="571114F4" w14:textId="77777777" w:rsidR="0071031E" w:rsidRPr="00C15646" w:rsidRDefault="008C634A" w:rsidP="0071031E">
            <w:pPr>
              <w:ind w:firstLine="284"/>
              <w:jc w:val="both"/>
              <w:rPr>
                <w:lang w:val="lv-LV"/>
              </w:rPr>
            </w:pPr>
            <w:r w:rsidRPr="008C634A">
              <w:rPr>
                <w:lang w:val="lv-LV"/>
              </w:rPr>
              <w:t>Ar alkohola reibuma, narkotisko vai citu apreibinošu vielu ietekmes konstatēšanu saistīto izdevumu regulējums ir ietverts arī Ceļu satiksmes likuma</w:t>
            </w:r>
            <w:r w:rsidRPr="00C15646">
              <w:rPr>
                <w:lang w:val="lv-LV"/>
              </w:rPr>
              <w:t xml:space="preserve"> </w:t>
            </w:r>
            <w:r w:rsidRPr="008C634A">
              <w:rPr>
                <w:lang w:val="lv-LV"/>
              </w:rPr>
              <w:t>43.</w:t>
            </w:r>
            <w:r w:rsidRPr="008C634A">
              <w:rPr>
                <w:vertAlign w:val="superscript"/>
                <w:lang w:val="lv-LV"/>
              </w:rPr>
              <w:t>5</w:t>
            </w:r>
            <w:r w:rsidRPr="008C634A">
              <w:rPr>
                <w:lang w:val="lv-LV"/>
              </w:rPr>
              <w:t> pantā. Uz šā panta pamata izdotie Ministru kabineta 2018. </w:t>
            </w:r>
            <w:r w:rsidRPr="00C15646">
              <w:rPr>
                <w:lang w:val="lv-LV"/>
              </w:rPr>
              <w:t> </w:t>
            </w:r>
            <w:r w:rsidRPr="008C634A">
              <w:rPr>
                <w:lang w:val="lv-LV"/>
              </w:rPr>
              <w:t>gada 27.</w:t>
            </w:r>
            <w:r w:rsidRPr="00C15646">
              <w:rPr>
                <w:lang w:val="lv-LV"/>
              </w:rPr>
              <w:t> </w:t>
            </w:r>
            <w:r w:rsidRPr="008C634A">
              <w:rPr>
                <w:lang w:val="lv-LV"/>
              </w:rPr>
              <w:t>novembra noteikumi Nr.</w:t>
            </w:r>
            <w:r w:rsidRPr="00C15646">
              <w:rPr>
                <w:lang w:val="lv-LV"/>
              </w:rPr>
              <w:t> </w:t>
            </w:r>
            <w:r w:rsidRPr="008C634A">
              <w:rPr>
                <w:lang w:val="lv-LV"/>
              </w:rPr>
              <w:t>719 "Kārtība, kādā nosaka alkohola koncentrāciju asinīs un izelpotajā gaisā un konstatē narkotisko vai citu apreibinošo vielu ietekmi" noteic arī</w:t>
            </w:r>
            <w:r w:rsidRPr="00C15646">
              <w:rPr>
                <w:lang w:val="lv-LV"/>
              </w:rPr>
              <w:t xml:space="preserve"> </w:t>
            </w:r>
            <w:r w:rsidRPr="008C634A">
              <w:rPr>
                <w:lang w:val="lv-LV"/>
              </w:rPr>
              <w:t>izdevumu apmēru par alkohola koncentrācijas pārbaudes veikšanu izelpotajā gaisā un kārtību, kādā sedz izdevumus, kas saistīti ar alkohola koncentrācijas pārbaužu un narkotisko vai citu apreibinošo vielu ietekmes pārbaužu veikšanu, kā arī to personu loku, kuras sedz minētos izdevumus. </w:t>
            </w:r>
          </w:p>
          <w:p w14:paraId="0CA8D79F" w14:textId="749AF4EA" w:rsidR="0071031E" w:rsidRPr="00C15646" w:rsidRDefault="0071031E" w:rsidP="0071031E">
            <w:pPr>
              <w:ind w:firstLine="284"/>
              <w:jc w:val="both"/>
              <w:rPr>
                <w:lang w:val="lv-LV"/>
              </w:rPr>
            </w:pPr>
            <w:r w:rsidRPr="0071031E">
              <w:rPr>
                <w:lang w:val="lv-LV"/>
              </w:rPr>
              <w:t>Kodeksa 267.</w:t>
            </w:r>
            <w:r w:rsidR="00D04599" w:rsidRPr="00C15646">
              <w:rPr>
                <w:lang w:val="lv-LV"/>
              </w:rPr>
              <w:t> </w:t>
            </w:r>
            <w:r w:rsidRPr="0071031E">
              <w:rPr>
                <w:lang w:val="lv-LV"/>
              </w:rPr>
              <w:t>panta pirmā daļa</w:t>
            </w:r>
            <w:r w:rsidR="00D04599" w:rsidRPr="00C15646">
              <w:rPr>
                <w:lang w:val="lv-LV"/>
              </w:rPr>
              <w:t xml:space="preserve"> </w:t>
            </w:r>
            <w:r w:rsidRPr="0071031E">
              <w:rPr>
                <w:lang w:val="lv-LV"/>
              </w:rPr>
              <w:t>noteic, ka</w:t>
            </w:r>
            <w:r w:rsidR="00D04599" w:rsidRPr="00C15646">
              <w:rPr>
                <w:lang w:val="lv-LV"/>
              </w:rPr>
              <w:t xml:space="preserve"> </w:t>
            </w:r>
            <w:r w:rsidRPr="0071031E">
              <w:rPr>
                <w:lang w:val="lv-LV"/>
              </w:rPr>
              <w:t>cietušajiem, lieciniekiem, ekspertiem un tulkiem atlīdzina izdevumus, kas radušies sakarā ar ierašanos pēc tās institūcijas (amatpersonas) uzaicinājuma, kura lietvedībā ir administratīvā pārkāpuma lieta. Šā panta otrā daļa noteic, ka cietušajiem, lieciniekiem, ekspertiem un tulkiem noteiktā kārtībā darbavietā tiek saglabāta darba alga par visu prombūtnes laiku sakarā ar institūcijas (amatpersonas) uzaicinājumu, kura lietvedībā ir administratīvā pārkāpuma lieta.</w:t>
            </w:r>
          </w:p>
          <w:p w14:paraId="77B2B894" w14:textId="4FAD0357" w:rsidR="009A2239" w:rsidRPr="00C15646" w:rsidRDefault="00BB0F4C" w:rsidP="0071031E">
            <w:pPr>
              <w:ind w:firstLine="284"/>
              <w:jc w:val="both"/>
              <w:rPr>
                <w:b/>
                <w:lang w:val="lv-LV"/>
              </w:rPr>
            </w:pPr>
            <w:r w:rsidRPr="00C15646">
              <w:rPr>
                <w:b/>
                <w:lang w:val="lv-LV"/>
              </w:rPr>
              <w:t>Tādējādi Kodeksā ietvertais regulējums ir vispārīgs, tas nenodrošina</w:t>
            </w:r>
            <w:r w:rsidR="003C267C" w:rsidRPr="00C15646">
              <w:rPr>
                <w:b/>
                <w:lang w:val="lv-LV"/>
              </w:rPr>
              <w:t xml:space="preserve"> privātpersonai skaidri saprotamu un ātru procesuālo izdevumu segšanu iepriekš paredzamā un taisnīgā apmērā.</w:t>
            </w:r>
          </w:p>
          <w:p w14:paraId="3B65F773" w14:textId="00410F30" w:rsidR="005314E8" w:rsidRPr="00C15646" w:rsidRDefault="00E61858" w:rsidP="0071031E">
            <w:pPr>
              <w:ind w:firstLine="284"/>
              <w:jc w:val="both"/>
              <w:rPr>
                <w:lang w:val="lv-LV"/>
              </w:rPr>
            </w:pPr>
            <w:r w:rsidRPr="00C15646">
              <w:rPr>
                <w:lang w:val="lv-LV"/>
              </w:rPr>
              <w:t xml:space="preserve">Salīdzinoši efektīvāks regulējums ir ietverts Kriminālprocesa likuma </w:t>
            </w:r>
            <w:r w:rsidR="00AD00F9" w:rsidRPr="00C15646">
              <w:rPr>
                <w:lang w:val="lv-LV"/>
              </w:rPr>
              <w:t xml:space="preserve">29. nodaļā un </w:t>
            </w:r>
            <w:r w:rsidR="006B2D25" w:rsidRPr="00C15646">
              <w:rPr>
                <w:lang w:val="lv-LV"/>
              </w:rPr>
              <w:t>Ministru kabineta 2005. gada 4. oktobra noteikum</w:t>
            </w:r>
            <w:r w:rsidR="00AD00F9" w:rsidRPr="00C15646">
              <w:rPr>
                <w:lang w:val="lv-LV"/>
              </w:rPr>
              <w:t>os</w:t>
            </w:r>
            <w:r w:rsidR="006B2D25" w:rsidRPr="00C15646">
              <w:rPr>
                <w:lang w:val="lv-LV"/>
              </w:rPr>
              <w:t xml:space="preserve"> Nr. 754 "Noteikumi par kriminālprocesuālo izdevumu atlīdzināšanas kārtību un apmēru".</w:t>
            </w:r>
            <w:r w:rsidR="00D759D8" w:rsidRPr="00C15646">
              <w:rPr>
                <w:lang w:val="lv-LV"/>
              </w:rPr>
              <w:t xml:space="preserve"> Līdzīgu  kārtību, kādā izmaksā atlīdzību lieciniekam, tulkam un ekspertam par piedalīšanos administratīvajā procesā tiesā, un tās apmēru noteic </w:t>
            </w:r>
            <w:r w:rsidR="00B933FA" w:rsidRPr="00C15646">
              <w:rPr>
                <w:lang w:val="lv-LV"/>
              </w:rPr>
              <w:t>arī Ministru kabineta 2004. gada 31. augusta noteikumi Nr. 748 "Noteikumi par atlīdzības izmaksu lieciniekam, tulkam un ekspertam administratīvajā procesā tiesā".</w:t>
            </w:r>
            <w:r w:rsidR="004E66E6" w:rsidRPr="00C15646">
              <w:rPr>
                <w:lang w:val="lv-LV"/>
              </w:rPr>
              <w:t xml:space="preserve"> </w:t>
            </w:r>
            <w:r w:rsidR="00B933FA" w:rsidRPr="00C15646">
              <w:rPr>
                <w:lang w:val="lv-LV"/>
              </w:rPr>
              <w:t>Iepriekšminētie Ministru kabineta noteikumi ir izmantoti</w:t>
            </w:r>
            <w:r w:rsidR="004E66E6" w:rsidRPr="00C15646">
              <w:rPr>
                <w:lang w:val="lv-LV"/>
              </w:rPr>
              <w:t xml:space="preserve"> projekta izstrādē, lai</w:t>
            </w:r>
            <w:r w:rsidR="009C5BA4" w:rsidRPr="00C15646">
              <w:rPr>
                <w:lang w:val="lv-LV"/>
              </w:rPr>
              <w:t xml:space="preserve"> personai </w:t>
            </w:r>
            <w:r w:rsidR="004E66E6" w:rsidRPr="00C15646">
              <w:rPr>
                <w:lang w:val="lv-LV"/>
              </w:rPr>
              <w:t xml:space="preserve">nodrošinātu līdzvērtīgas tiesības </w:t>
            </w:r>
            <w:r w:rsidR="009C5BA4" w:rsidRPr="00C15646">
              <w:rPr>
                <w:lang w:val="lv-LV"/>
              </w:rPr>
              <w:t>arī administratīvā pārkāpuma procesā.</w:t>
            </w:r>
          </w:p>
          <w:p w14:paraId="5AF0610E" w14:textId="52C82DE7" w:rsidR="009C5BA4" w:rsidRPr="00C15646" w:rsidRDefault="009C5BA4" w:rsidP="0071031E">
            <w:pPr>
              <w:ind w:firstLine="284"/>
              <w:jc w:val="both"/>
              <w:rPr>
                <w:lang w:val="lv-LV"/>
              </w:rPr>
            </w:pPr>
          </w:p>
          <w:p w14:paraId="6495DAA5" w14:textId="4B1202A3" w:rsidR="009C5BA4" w:rsidRPr="00C15646" w:rsidRDefault="00841F31" w:rsidP="0071031E">
            <w:pPr>
              <w:ind w:firstLine="284"/>
              <w:jc w:val="both"/>
              <w:rPr>
                <w:lang w:val="lv-LV"/>
              </w:rPr>
            </w:pPr>
            <w:r w:rsidRPr="00C15646">
              <w:rPr>
                <w:lang w:val="lv-LV"/>
              </w:rPr>
              <w:t xml:space="preserve">2020. gada 1. janvārī stāsies spēkā Administratīvās atbildības likums (pieņemts </w:t>
            </w:r>
            <w:r w:rsidR="004F6434" w:rsidRPr="00C15646">
              <w:rPr>
                <w:lang w:val="lv-LV"/>
              </w:rPr>
              <w:t xml:space="preserve">2018. gada 25. oktobrī). </w:t>
            </w:r>
            <w:r w:rsidR="004F6434" w:rsidRPr="00C15646">
              <w:rPr>
                <w:lang w:val="lv-LV"/>
              </w:rPr>
              <w:lastRenderedPageBreak/>
              <w:t xml:space="preserve">Administratīvās atbildības likuma </w:t>
            </w:r>
            <w:r w:rsidR="00202351" w:rsidRPr="00C15646">
              <w:rPr>
                <w:lang w:val="lv-LV"/>
              </w:rPr>
              <w:t xml:space="preserve">75. panta pirmā daļa paredz procesuālo izdevumu veidus. Savukārt šā likuma </w:t>
            </w:r>
            <w:r w:rsidR="006A4F52" w:rsidRPr="00C15646">
              <w:rPr>
                <w:lang w:val="lv-LV"/>
              </w:rPr>
              <w:t>76. panta trešajā daļā ir ietverts pilnvarojums Ministru kabinetam noteikt apmēru un kārtību, kādā procesuālos izdevumus sedz no valsts un pašvaldības līdzekļiem.</w:t>
            </w:r>
          </w:p>
          <w:p w14:paraId="64984F6D" w14:textId="75097E5B" w:rsidR="009A2239" w:rsidRPr="00C15646" w:rsidRDefault="009A2239" w:rsidP="0071031E">
            <w:pPr>
              <w:ind w:firstLine="284"/>
              <w:jc w:val="both"/>
              <w:rPr>
                <w:lang w:val="lv-LV"/>
              </w:rPr>
            </w:pPr>
          </w:p>
          <w:p w14:paraId="0841685E" w14:textId="328B1C8D" w:rsidR="00107D44" w:rsidRPr="0071031E" w:rsidRDefault="00107D44" w:rsidP="0071031E">
            <w:pPr>
              <w:ind w:firstLine="284"/>
              <w:jc w:val="both"/>
              <w:rPr>
                <w:b/>
                <w:lang w:val="lv-LV"/>
              </w:rPr>
            </w:pPr>
            <w:r w:rsidRPr="00C15646">
              <w:rPr>
                <w:b/>
                <w:lang w:val="lv-LV"/>
              </w:rPr>
              <w:t>2. Projekta mērķis</w:t>
            </w:r>
          </w:p>
          <w:p w14:paraId="38080FB3" w14:textId="77777777" w:rsidR="00107D44" w:rsidRPr="00C15646" w:rsidRDefault="00107D44" w:rsidP="00A960AC">
            <w:pPr>
              <w:ind w:firstLine="284"/>
              <w:jc w:val="both"/>
              <w:rPr>
                <w:lang w:val="lv-LV"/>
              </w:rPr>
            </w:pPr>
          </w:p>
          <w:p w14:paraId="12DC02F2" w14:textId="284F1F58" w:rsidR="00676DF1" w:rsidRPr="00C15646" w:rsidRDefault="00107D44" w:rsidP="00A960AC">
            <w:pPr>
              <w:ind w:firstLine="284"/>
              <w:jc w:val="both"/>
              <w:rPr>
                <w:lang w:val="lv-LV"/>
              </w:rPr>
            </w:pPr>
            <w:r w:rsidRPr="00607DEA">
              <w:rPr>
                <w:lang w:val="lv-LV"/>
              </w:rPr>
              <w:t>Projekta mērķis</w:t>
            </w:r>
            <w:r w:rsidRPr="00C15646">
              <w:rPr>
                <w:lang w:val="lv-LV"/>
              </w:rPr>
              <w:t xml:space="preserve"> </w:t>
            </w:r>
            <w:r w:rsidRPr="00607DEA">
              <w:rPr>
                <w:lang w:val="lv-LV"/>
              </w:rPr>
              <w:t>ir nodrošināt</w:t>
            </w:r>
            <w:r w:rsidRPr="00C15646">
              <w:rPr>
                <w:lang w:val="lv-LV"/>
              </w:rPr>
              <w:t xml:space="preserve"> privātpersonai </w:t>
            </w:r>
            <w:r w:rsidRPr="00607DEA">
              <w:rPr>
                <w:lang w:val="lv-LV"/>
              </w:rPr>
              <w:t>pēc iespējas ātrāku administratīvā pārkāpuma procesā radušos procesuālo izdevumu</w:t>
            </w:r>
            <w:r w:rsidRPr="00C15646">
              <w:rPr>
                <w:lang w:val="lv-LV"/>
              </w:rPr>
              <w:t xml:space="preserve"> atbilstīgu atlīdzinājumu.</w:t>
            </w:r>
          </w:p>
          <w:p w14:paraId="7E723A39" w14:textId="0F3041F4" w:rsidR="00107D44" w:rsidRPr="00C15646" w:rsidRDefault="00657833" w:rsidP="00A960AC">
            <w:pPr>
              <w:ind w:firstLine="284"/>
              <w:jc w:val="both"/>
              <w:rPr>
                <w:lang w:val="lv-LV"/>
              </w:rPr>
            </w:pPr>
            <w:r w:rsidRPr="00C15646">
              <w:rPr>
                <w:lang w:val="lv-LV"/>
              </w:rPr>
              <w:t xml:space="preserve">Projekts </w:t>
            </w:r>
            <w:r w:rsidRPr="00C15646">
              <w:rPr>
                <w:u w:val="single"/>
                <w:lang w:val="lv-LV"/>
              </w:rPr>
              <w:t>neattiecas</w:t>
            </w:r>
            <w:r w:rsidRPr="00C15646">
              <w:rPr>
                <w:lang w:val="lv-LV"/>
              </w:rPr>
              <w:t xml:space="preserve"> uz</w:t>
            </w:r>
            <w:r w:rsidR="001A2109" w:rsidRPr="00C15646">
              <w:rPr>
                <w:lang w:val="lv-LV"/>
              </w:rPr>
              <w:t xml:space="preserve"> izdevumu segšanu valsts un pašvaldību institūciju amatpersonai (darbiniekam), ja tā piedalās administratīvā pārkāpuma procesā, pildot amata (dienesta, darba) pienākumus. </w:t>
            </w:r>
            <w:r w:rsidR="00B22BC0" w:rsidRPr="00C15646">
              <w:rPr>
                <w:lang w:val="lv-LV"/>
              </w:rPr>
              <w:t>Šajā gadījumā izdevumi, kas rados amatpersonai (darbiniekam), ir tās atlīdzības sastāvdaļa</w:t>
            </w:r>
            <w:r w:rsidR="008A2249" w:rsidRPr="00C15646">
              <w:rPr>
                <w:lang w:val="lv-LV"/>
              </w:rPr>
              <w:t xml:space="preserve">. To segšanu regulē citi ārējie normatīvie akti (piemēram, </w:t>
            </w:r>
            <w:r w:rsidR="00572C2B" w:rsidRPr="00C15646">
              <w:rPr>
                <w:lang w:val="lv-LV"/>
              </w:rPr>
              <w:t>Valsts un pašvaldību institūciju amatpersonu un darbinieku atlīdzības likums,</w:t>
            </w:r>
            <w:r w:rsidR="00A369BD" w:rsidRPr="00C15646">
              <w:rPr>
                <w:lang w:val="lv-LV"/>
              </w:rPr>
              <w:t xml:space="preserve"> Ministru kabineta 2010. gada 12. oktobra noteikumi Nr. 969 "Kārtība, kādā atlīdzināmi ar komandējumiem saistītie izdevumi"</w:t>
            </w:r>
            <w:r w:rsidR="004C62D4" w:rsidRPr="00C15646">
              <w:rPr>
                <w:lang w:val="lv-LV"/>
              </w:rPr>
              <w:t>). Līdz ar to šīm personām radušies izdevumi</w:t>
            </w:r>
            <w:r w:rsidR="0000384D" w:rsidRPr="00C15646">
              <w:rPr>
                <w:lang w:val="lv-LV"/>
              </w:rPr>
              <w:t xml:space="preserve"> </w:t>
            </w:r>
            <w:r w:rsidR="004C62D4" w:rsidRPr="00C15646">
              <w:rPr>
                <w:lang w:val="lv-LV"/>
              </w:rPr>
              <w:t xml:space="preserve">nav uzskatāmi par </w:t>
            </w:r>
            <w:r w:rsidR="008B076E" w:rsidRPr="00C15646">
              <w:rPr>
                <w:lang w:val="lv-LV"/>
              </w:rPr>
              <w:t>procesuālajiem izdevumiem Administratīvās atbildības likuma izpratnē.</w:t>
            </w:r>
          </w:p>
          <w:p w14:paraId="239610DF" w14:textId="41CC547E" w:rsidR="008B076E" w:rsidRPr="00C15646" w:rsidRDefault="006E6394" w:rsidP="00A960AC">
            <w:pPr>
              <w:ind w:firstLine="284"/>
              <w:jc w:val="both"/>
              <w:rPr>
                <w:lang w:val="lv-LV"/>
              </w:rPr>
            </w:pPr>
            <w:r w:rsidRPr="00C15646">
              <w:rPr>
                <w:lang w:val="lv-LV"/>
              </w:rPr>
              <w:t xml:space="preserve">Projekts </w:t>
            </w:r>
            <w:r w:rsidRPr="00C15646">
              <w:rPr>
                <w:u w:val="single"/>
                <w:lang w:val="lv-LV"/>
              </w:rPr>
              <w:t>neattiecas</w:t>
            </w:r>
            <w:r w:rsidRPr="00C15646">
              <w:rPr>
                <w:lang w:val="lv-LV"/>
              </w:rPr>
              <w:t xml:space="preserve"> arī uz izdevumu segšanu privātpersonai, ja tā piedalās administratīvā pārkāpuma procesā, pildot tai deleģētu valsts pārvaldes uzdevumu</w:t>
            </w:r>
            <w:r w:rsidR="00D25CCB" w:rsidRPr="00C15646">
              <w:rPr>
                <w:lang w:val="lv-LV"/>
              </w:rPr>
              <w:t>.</w:t>
            </w:r>
            <w:r w:rsidR="002E45A7" w:rsidRPr="00C15646">
              <w:rPr>
                <w:lang w:val="lv-LV"/>
              </w:rPr>
              <w:t xml:space="preserve"> S</w:t>
            </w:r>
            <w:r w:rsidR="00514660" w:rsidRPr="00C15646">
              <w:rPr>
                <w:lang w:val="lv-LV"/>
              </w:rPr>
              <w:t xml:space="preserve">avstarpējo norēķinu kārtību, </w:t>
            </w:r>
            <w:r w:rsidR="002E45A7" w:rsidRPr="00C15646">
              <w:rPr>
                <w:lang w:val="lv-LV"/>
              </w:rPr>
              <w:t>finanšu</w:t>
            </w:r>
            <w:r w:rsidR="00514660" w:rsidRPr="00C15646">
              <w:rPr>
                <w:lang w:val="lv-LV"/>
              </w:rPr>
              <w:t xml:space="preserve"> un citu resursu piešķiršanas noteikumus</w:t>
            </w:r>
            <w:r w:rsidR="002E45A7" w:rsidRPr="00C15646">
              <w:rPr>
                <w:lang w:val="lv-LV"/>
              </w:rPr>
              <w:t xml:space="preserve"> norāda deleģēšanas līgumā </w:t>
            </w:r>
            <w:r w:rsidR="00514660" w:rsidRPr="00C15646">
              <w:rPr>
                <w:lang w:val="lv-LV"/>
              </w:rPr>
              <w:t>(Valsts pārvaldes iekārtas likuma 46.</w:t>
            </w:r>
            <w:r w:rsidR="00AA41B6" w:rsidRPr="00C15646">
              <w:rPr>
                <w:lang w:val="lv-LV"/>
              </w:rPr>
              <w:t> </w:t>
            </w:r>
            <w:r w:rsidR="00514660" w:rsidRPr="00C15646">
              <w:rPr>
                <w:lang w:val="lv-LV"/>
              </w:rPr>
              <w:t>panta 6.</w:t>
            </w:r>
            <w:r w:rsidR="00AA41B6" w:rsidRPr="00C15646">
              <w:rPr>
                <w:lang w:val="lv-LV"/>
              </w:rPr>
              <w:t> </w:t>
            </w:r>
            <w:r w:rsidR="00514660" w:rsidRPr="00C15646">
              <w:rPr>
                <w:lang w:val="lv-LV"/>
              </w:rPr>
              <w:t>punkts)</w:t>
            </w:r>
            <w:r w:rsidR="00E52A2C" w:rsidRPr="00C15646">
              <w:rPr>
                <w:lang w:val="lv-LV"/>
              </w:rPr>
              <w:t xml:space="preserve">. Slēdzot deleģēšanas līgumu, būtu jāievēro projektā paredzētie </w:t>
            </w:r>
            <w:r w:rsidR="00971D69" w:rsidRPr="00C15646">
              <w:rPr>
                <w:lang w:val="lv-LV"/>
              </w:rPr>
              <w:t>izdevumu segšanas principi un apmērs.</w:t>
            </w:r>
          </w:p>
          <w:p w14:paraId="56D22E3A" w14:textId="543160E9" w:rsidR="003D6EC1" w:rsidRPr="00C15646" w:rsidRDefault="003D6EC1" w:rsidP="00A960AC">
            <w:pPr>
              <w:ind w:firstLine="284"/>
              <w:jc w:val="both"/>
              <w:rPr>
                <w:lang w:val="lv-LV"/>
              </w:rPr>
            </w:pPr>
            <w:r w:rsidRPr="00C15646">
              <w:rPr>
                <w:lang w:val="lv-LV"/>
              </w:rPr>
              <w:t xml:space="preserve">Līdzīgu apsvērumu dēļ projekts </w:t>
            </w:r>
            <w:r w:rsidRPr="00C15646">
              <w:rPr>
                <w:u w:val="single"/>
                <w:lang w:val="lv-LV"/>
              </w:rPr>
              <w:t>neregulē</w:t>
            </w:r>
            <w:r w:rsidRPr="00C15646">
              <w:rPr>
                <w:lang w:val="lv-LV"/>
              </w:rPr>
              <w:t xml:space="preserve"> arī iespējamos </w:t>
            </w:r>
            <w:r w:rsidR="00F80D1C" w:rsidRPr="00C15646">
              <w:rPr>
                <w:lang w:val="lv-LV"/>
              </w:rPr>
              <w:t xml:space="preserve">valsts un pašvaldības iestāžu savstarpējos norēķinus. Tas ir </w:t>
            </w:r>
            <w:r w:rsidR="00844DEE" w:rsidRPr="00C15646">
              <w:rPr>
                <w:lang w:val="lv-LV"/>
              </w:rPr>
              <w:t>sadarbības valsts pārvaldē jautājums.</w:t>
            </w:r>
          </w:p>
          <w:p w14:paraId="055F9BB9" w14:textId="6904C30E" w:rsidR="00844DEE" w:rsidRPr="00C15646" w:rsidRDefault="00844DEE" w:rsidP="00A960AC">
            <w:pPr>
              <w:ind w:firstLine="284"/>
              <w:jc w:val="both"/>
              <w:rPr>
                <w:lang w:val="lv-LV"/>
              </w:rPr>
            </w:pPr>
            <w:r w:rsidRPr="00C15646">
              <w:rPr>
                <w:lang w:val="lv-LV"/>
              </w:rPr>
              <w:t xml:space="preserve">Projekts </w:t>
            </w:r>
            <w:r w:rsidR="003B0EC5" w:rsidRPr="00C15646">
              <w:rPr>
                <w:u w:val="single"/>
                <w:lang w:val="lv-LV"/>
              </w:rPr>
              <w:t>detalizēti neregulē</w:t>
            </w:r>
            <w:r w:rsidR="003B0EC5" w:rsidRPr="00C15646">
              <w:rPr>
                <w:lang w:val="lv-LV"/>
              </w:rPr>
              <w:t xml:space="preserve"> arī procesuālo izdevumu </w:t>
            </w:r>
            <w:r w:rsidR="002C56F4" w:rsidRPr="00C15646">
              <w:rPr>
                <w:lang w:val="lv-LV"/>
              </w:rPr>
              <w:t xml:space="preserve">apmēru un to </w:t>
            </w:r>
            <w:r w:rsidR="003B0EC5" w:rsidRPr="00C15646">
              <w:rPr>
                <w:lang w:val="lv-LV"/>
              </w:rPr>
              <w:t>segšan</w:t>
            </w:r>
            <w:r w:rsidR="002C56F4" w:rsidRPr="00C15646">
              <w:rPr>
                <w:lang w:val="lv-LV"/>
              </w:rPr>
              <w:t>as kārtību</w:t>
            </w:r>
            <w:r w:rsidR="003B0EC5" w:rsidRPr="00C15646">
              <w:rPr>
                <w:lang w:val="lv-LV"/>
              </w:rPr>
              <w:t xml:space="preserve"> personai, kas piedalās administratīvā pārkāpuma procesā, pamatojoties uz pakalpojuma līgumu, kas noslēgts ar publisku personu</w:t>
            </w:r>
            <w:r w:rsidR="00CA56EF" w:rsidRPr="00C15646">
              <w:rPr>
                <w:lang w:val="lv-LV"/>
              </w:rPr>
              <w:t xml:space="preserve"> (piemēram, eksperti, tulki).</w:t>
            </w:r>
            <w:r w:rsidR="000A0DC7" w:rsidRPr="00C15646">
              <w:rPr>
                <w:lang w:val="lv-LV"/>
              </w:rPr>
              <w:t xml:space="preserve"> Ciktāl procesuālo izdevumu segšana nav paredzēta projektā vai citos ārējos normatīvajos aktos, </w:t>
            </w:r>
            <w:r w:rsidR="0081138A" w:rsidRPr="00C15646">
              <w:rPr>
                <w:lang w:val="lv-LV"/>
              </w:rPr>
              <w:t>tas ir attiecīgā līguma – personu vienošanās – jautājums.</w:t>
            </w:r>
          </w:p>
          <w:p w14:paraId="11351475" w14:textId="3C5E7916" w:rsidR="000646C0" w:rsidRPr="00C15646" w:rsidRDefault="000646C0" w:rsidP="00A960AC">
            <w:pPr>
              <w:ind w:firstLine="284"/>
              <w:jc w:val="both"/>
              <w:rPr>
                <w:lang w:val="lv-LV"/>
              </w:rPr>
            </w:pPr>
          </w:p>
          <w:p w14:paraId="0F581DC2" w14:textId="3AC8C15E" w:rsidR="000646C0" w:rsidRPr="00C15646" w:rsidRDefault="000646C0" w:rsidP="00A960AC">
            <w:pPr>
              <w:ind w:firstLine="284"/>
              <w:jc w:val="both"/>
              <w:rPr>
                <w:b/>
                <w:lang w:val="lv-LV"/>
              </w:rPr>
            </w:pPr>
            <w:r w:rsidRPr="00C15646">
              <w:rPr>
                <w:b/>
                <w:lang w:val="lv-LV"/>
              </w:rPr>
              <w:t>3. </w:t>
            </w:r>
            <w:r w:rsidR="00B600D2" w:rsidRPr="00C15646">
              <w:rPr>
                <w:b/>
                <w:lang w:val="lv-LV"/>
              </w:rPr>
              <w:t>Projekta būtība</w:t>
            </w:r>
          </w:p>
          <w:p w14:paraId="42AF039F" w14:textId="4F2AC7BF" w:rsidR="00B600D2" w:rsidRPr="00C15646" w:rsidRDefault="00B600D2" w:rsidP="00A960AC">
            <w:pPr>
              <w:ind w:firstLine="284"/>
              <w:jc w:val="both"/>
              <w:rPr>
                <w:b/>
                <w:lang w:val="lv-LV"/>
              </w:rPr>
            </w:pPr>
          </w:p>
          <w:p w14:paraId="06849E3F" w14:textId="387A3E31" w:rsidR="006B2F29" w:rsidRPr="00C15646" w:rsidRDefault="006B2F29" w:rsidP="006B2F29">
            <w:pPr>
              <w:ind w:firstLine="284"/>
              <w:jc w:val="both"/>
              <w:rPr>
                <w:lang w:val="lv-LV"/>
              </w:rPr>
            </w:pPr>
            <w:r w:rsidRPr="006B2F29">
              <w:rPr>
                <w:lang w:val="lv-LV"/>
              </w:rPr>
              <w:t>Ar procesuālajiem izdevumiem šaurākā</w:t>
            </w:r>
            <w:r w:rsidR="008D0893" w:rsidRPr="00C15646">
              <w:rPr>
                <w:lang w:val="lv-LV"/>
              </w:rPr>
              <w:t xml:space="preserve"> </w:t>
            </w:r>
            <w:r w:rsidRPr="006B2F29">
              <w:rPr>
                <w:lang w:val="lv-LV"/>
              </w:rPr>
              <w:t>nozīmē saprot izdevumus, ko sākotnēji sedz no valsts</w:t>
            </w:r>
            <w:r w:rsidRPr="00C15646">
              <w:rPr>
                <w:lang w:val="lv-LV"/>
              </w:rPr>
              <w:t xml:space="preserve"> vai </w:t>
            </w:r>
            <w:r w:rsidRPr="006B2F29">
              <w:rPr>
                <w:lang w:val="lv-LV"/>
              </w:rPr>
              <w:t>pašvaldības</w:t>
            </w:r>
            <w:r w:rsidR="008D0893" w:rsidRPr="00C15646">
              <w:rPr>
                <w:lang w:val="lv-LV"/>
              </w:rPr>
              <w:t xml:space="preserve"> </w:t>
            </w:r>
            <w:r w:rsidRPr="006B2F29">
              <w:rPr>
                <w:lang w:val="lv-LV"/>
              </w:rPr>
              <w:t>līdzekļiem, bet vēlāk piedzen no sodītās personas, kas, izdarot pārkāpumu, ir radījusi konkrēto administratīvā pārkāpuma procesu un ar to saistītos izdevumus</w:t>
            </w:r>
            <w:r w:rsidR="008D0893" w:rsidRPr="00C15646">
              <w:rPr>
                <w:lang w:val="lv-LV"/>
              </w:rPr>
              <w:t xml:space="preserve"> (</w:t>
            </w:r>
            <w:r w:rsidR="008D0893" w:rsidRPr="00C15646">
              <w:rPr>
                <w:i/>
                <w:lang w:val="lv-LV"/>
              </w:rPr>
              <w:t>sk. likumprojekta "Administratīvo pārkāpumu procesa likums" (Nr. </w:t>
            </w:r>
            <w:hyperlink r:id="rId8" w:history="1">
              <w:r w:rsidR="008D0893" w:rsidRPr="00C15646">
                <w:rPr>
                  <w:rStyle w:val="Hipersaite"/>
                  <w:i/>
                  <w:lang w:val="lv-LV"/>
                </w:rPr>
                <w:t>1160/Lp11</w:t>
              </w:r>
            </w:hyperlink>
            <w:r w:rsidR="008D0893" w:rsidRPr="00C15646">
              <w:rPr>
                <w:i/>
                <w:lang w:val="lv-LV"/>
              </w:rPr>
              <w:t>) anotāciju</w:t>
            </w:r>
            <w:r w:rsidR="008D0893" w:rsidRPr="00C15646">
              <w:rPr>
                <w:lang w:val="lv-LV"/>
              </w:rPr>
              <w:t>).</w:t>
            </w:r>
          </w:p>
          <w:p w14:paraId="44B0B671" w14:textId="12A74BDF" w:rsidR="008D0893" w:rsidRPr="00C15646" w:rsidRDefault="007C32D5" w:rsidP="006B2F29">
            <w:pPr>
              <w:ind w:firstLine="284"/>
              <w:jc w:val="both"/>
              <w:rPr>
                <w:lang w:val="lv-LV"/>
              </w:rPr>
            </w:pPr>
            <w:r w:rsidRPr="00C15646">
              <w:rPr>
                <w:lang w:val="lv-LV"/>
              </w:rPr>
              <w:lastRenderedPageBreak/>
              <w:t xml:space="preserve">Tādējādi projekts </w:t>
            </w:r>
            <w:r w:rsidR="004B772D" w:rsidRPr="00C15646">
              <w:rPr>
                <w:lang w:val="lv-LV"/>
              </w:rPr>
              <w:t xml:space="preserve"> paredz apmēru un kārtību, kādā  personai sākotnēji no valsts vai pašvaldības budžeta līdzekļiem tiek atlīdzināti procesuālie izdevumi.</w:t>
            </w:r>
            <w:r w:rsidR="009D59B5" w:rsidRPr="00C15646">
              <w:rPr>
                <w:lang w:val="lv-LV"/>
              </w:rPr>
              <w:t xml:space="preserve"> </w:t>
            </w:r>
            <w:r w:rsidR="004B772D" w:rsidRPr="00C15646">
              <w:rPr>
                <w:lang w:val="lv-LV"/>
              </w:rPr>
              <w:t>Procesuālo izdevumu piedziņu no sodītās personas regulē Administratīvās atbildības likums.</w:t>
            </w:r>
          </w:p>
          <w:p w14:paraId="6FFF76A9" w14:textId="17FADABA" w:rsidR="00EE05E0" w:rsidRPr="00C15646" w:rsidRDefault="008F445C" w:rsidP="00EE05E0">
            <w:pPr>
              <w:ind w:firstLine="284"/>
              <w:jc w:val="both"/>
              <w:rPr>
                <w:lang w:val="lv-LV"/>
              </w:rPr>
            </w:pPr>
            <w:r w:rsidRPr="00C15646">
              <w:rPr>
                <w:lang w:val="lv-LV"/>
              </w:rPr>
              <w:t>Lai arī piedalīšanās administratīvā pārkāpuma procesā atsevišķos gadījumos ir personas pienākums</w:t>
            </w:r>
            <w:r w:rsidR="003C62D9" w:rsidRPr="00C15646">
              <w:rPr>
                <w:lang w:val="lv-LV"/>
              </w:rPr>
              <w:t>,</w:t>
            </w:r>
            <w:r w:rsidR="00C80DE8" w:rsidRPr="00C15646">
              <w:rPr>
                <w:lang w:val="lv-LV"/>
              </w:rPr>
              <w:t xml:space="preserve"> piedalīšanās procesuālajās darbībās nevar radīt personai</w:t>
            </w:r>
            <w:r w:rsidR="00DA7952" w:rsidRPr="00C15646">
              <w:rPr>
                <w:lang w:val="lv-LV"/>
              </w:rPr>
              <w:t xml:space="preserve"> papildu izdevumus</w:t>
            </w:r>
            <w:r w:rsidR="00E119DA" w:rsidRPr="00C15646">
              <w:rPr>
                <w:lang w:val="lv-LV"/>
              </w:rPr>
              <w:t xml:space="preserve">, pozitīvus zaudējumus </w:t>
            </w:r>
            <w:r w:rsidR="00C80DE8" w:rsidRPr="00C15646">
              <w:rPr>
                <w:lang w:val="lv-LV"/>
              </w:rPr>
              <w:t>(</w:t>
            </w:r>
            <w:r w:rsidR="00E445B4" w:rsidRPr="00C15646">
              <w:rPr>
                <w:lang w:val="lv-LV"/>
              </w:rPr>
              <w:t>t.</w:t>
            </w:r>
            <w:r w:rsidR="00BB12B7">
              <w:rPr>
                <w:lang w:val="lv-LV"/>
              </w:rPr>
              <w:t> </w:t>
            </w:r>
            <w:r w:rsidR="00E445B4" w:rsidRPr="00C15646">
              <w:rPr>
                <w:lang w:val="lv-LV"/>
              </w:rPr>
              <w:t>i., tagadējās mantas samazinājum</w:t>
            </w:r>
            <w:r w:rsidR="00B92F87" w:rsidRPr="00C15646">
              <w:rPr>
                <w:lang w:val="lv-LV"/>
              </w:rPr>
              <w:t>u</w:t>
            </w:r>
            <w:r w:rsidR="00E445B4" w:rsidRPr="00C15646">
              <w:rPr>
                <w:lang w:val="lv-LV"/>
              </w:rPr>
              <w:t xml:space="preserve">, </w:t>
            </w:r>
            <w:proofErr w:type="gramStart"/>
            <w:r w:rsidR="00C80DE8" w:rsidRPr="00C15646">
              <w:rPr>
                <w:lang w:val="lv-LV"/>
              </w:rPr>
              <w:t>mantiski novērtējams pametum</w:t>
            </w:r>
            <w:r w:rsidR="00B92F87" w:rsidRPr="00C15646">
              <w:rPr>
                <w:lang w:val="lv-LV"/>
              </w:rPr>
              <w:t>u</w:t>
            </w:r>
            <w:proofErr w:type="gramEnd"/>
            <w:r w:rsidR="00C80DE8" w:rsidRPr="00C15646">
              <w:rPr>
                <w:lang w:val="lv-LV"/>
              </w:rPr>
              <w:t>, kas radies sakarā ar piedalīšanos administratīvā pārkāpuma procesā).</w:t>
            </w:r>
            <w:r w:rsidR="003619BF" w:rsidRPr="00C15646">
              <w:rPr>
                <w:lang w:val="lv-LV"/>
              </w:rPr>
              <w:t xml:space="preserve"> Piemēram, </w:t>
            </w:r>
            <w:r w:rsidR="007C4A73" w:rsidRPr="00C15646">
              <w:rPr>
                <w:lang w:val="lv-LV"/>
              </w:rPr>
              <w:t>Augstākā tiesa ir secinājusi, ka,  tā kā likumos nav paredzēts, ka privātpersonām – ekspertīžu veicējiem</w:t>
            </w:r>
            <w:r w:rsidR="00B729CB" w:rsidRPr="00C15646">
              <w:rPr>
                <w:lang w:val="lv-LV"/>
              </w:rPr>
              <w:t> </w:t>
            </w:r>
            <w:r w:rsidR="007C4A73" w:rsidRPr="00C15646">
              <w:rPr>
                <w:lang w:val="lv-LV"/>
              </w:rPr>
              <w:t>– būtu šis darbs jādara bez atlīdzības, ir saprotams, ka valstij</w:t>
            </w:r>
            <w:r w:rsidR="00B729CB" w:rsidRPr="00C15646">
              <w:rPr>
                <w:lang w:val="lv-LV"/>
              </w:rPr>
              <w:t xml:space="preserve"> </w:t>
            </w:r>
            <w:r w:rsidR="007C4A73" w:rsidRPr="00C15646">
              <w:rPr>
                <w:lang w:val="lv-LV"/>
              </w:rPr>
              <w:t>ir pienākums par veikto darbu samaksāt. Pretējā gadījumā šādam privātpersonu pienākumam veikt darbu bez atlīdzības būtu jābūt skaidri ietvertam likumā, turklāt ievērojot robežas, kas izriet no nepieciešamības ievērot personu pamattiesības (</w:t>
            </w:r>
            <w:r w:rsidR="007C4A73" w:rsidRPr="00C15646">
              <w:rPr>
                <w:i/>
                <w:lang w:val="lv-LV"/>
              </w:rPr>
              <w:t>Latvijas Republikas Augstākās tiesas Senāta Administratīvo lietu departamenta 2013. gada 11. novembra lēmuma lietā Nr. SKA-1014/2013 8. punkts</w:t>
            </w:r>
            <w:r w:rsidR="007C4A73" w:rsidRPr="00C15646">
              <w:rPr>
                <w:lang w:val="lv-LV"/>
              </w:rPr>
              <w:t>).</w:t>
            </w:r>
            <w:r w:rsidR="00B729CB" w:rsidRPr="00C15646">
              <w:rPr>
                <w:lang w:val="lv-LV"/>
              </w:rPr>
              <w:t xml:space="preserve"> </w:t>
            </w:r>
            <w:r w:rsidR="00EE05E0" w:rsidRPr="00C15646">
              <w:rPr>
                <w:lang w:val="lv-LV"/>
              </w:rPr>
              <w:t>Vienlaikus</w:t>
            </w:r>
            <w:r w:rsidR="006262EC" w:rsidRPr="00C15646">
              <w:rPr>
                <w:lang w:val="lv-LV"/>
              </w:rPr>
              <w:t xml:space="preserve"> valstij vai pašvaldībai nav jāatlīdzina par katru </w:t>
            </w:r>
            <w:r w:rsidR="00EE05E0" w:rsidRPr="00C15646">
              <w:rPr>
                <w:lang w:val="lv-LV"/>
              </w:rPr>
              <w:t>laiku un pūlēm, ko privātpersona veltījusi sava procesuālā pienākuma izpildei (sal. sk. Valsts pārvaldes iestāžu nodarīto zaudējumu atlīdzināšanas likuma 7. pantu).</w:t>
            </w:r>
            <w:r w:rsidR="001827BC" w:rsidRPr="00C15646">
              <w:rPr>
                <w:lang w:val="lv-LV"/>
              </w:rPr>
              <w:t xml:space="preserve"> Līdz ar to procesuālo izdevumu segšanas apmēra un kārtības regulējuma uzdevums ir noteikt atbilstīgu (taisnīgu, samērīgu) procesuālo izdevumu </w:t>
            </w:r>
            <w:r w:rsidR="00A255EE" w:rsidRPr="00C15646">
              <w:rPr>
                <w:lang w:val="lv-LV"/>
              </w:rPr>
              <w:t xml:space="preserve">segšanas </w:t>
            </w:r>
            <w:r w:rsidR="001827BC" w:rsidRPr="00C15646">
              <w:rPr>
                <w:lang w:val="lv-LV"/>
              </w:rPr>
              <w:t>apmēru</w:t>
            </w:r>
            <w:r w:rsidR="00892851" w:rsidRPr="00C15646">
              <w:rPr>
                <w:lang w:val="lv-LV"/>
              </w:rPr>
              <w:t xml:space="preserve">, kā arī ātru, privātpersonai ērtu un </w:t>
            </w:r>
            <w:r w:rsidR="00A255EE" w:rsidRPr="00C15646">
              <w:rPr>
                <w:lang w:val="lv-LV"/>
              </w:rPr>
              <w:t>vienkāršu procesuālo izdevumu segšanas kārtību.</w:t>
            </w:r>
          </w:p>
          <w:p w14:paraId="47F5A6E6" w14:textId="3610A098" w:rsidR="00D55DF6" w:rsidRPr="00C15646" w:rsidRDefault="00D55DF6" w:rsidP="00EE05E0">
            <w:pPr>
              <w:ind w:firstLine="284"/>
              <w:jc w:val="both"/>
              <w:rPr>
                <w:lang w:val="lv-LV"/>
              </w:rPr>
            </w:pPr>
          </w:p>
          <w:p w14:paraId="36EDB54B" w14:textId="595D5D77" w:rsidR="00D55DF6" w:rsidRPr="00C15646" w:rsidRDefault="00D55DF6" w:rsidP="00EE05E0">
            <w:pPr>
              <w:ind w:firstLine="284"/>
              <w:jc w:val="both"/>
              <w:rPr>
                <w:b/>
                <w:lang w:val="lv-LV"/>
              </w:rPr>
            </w:pPr>
            <w:r w:rsidRPr="00C15646">
              <w:rPr>
                <w:b/>
                <w:lang w:val="lv-LV"/>
              </w:rPr>
              <w:t>3.1. Procesuālo izdevumu segšanas pamatprincipi</w:t>
            </w:r>
          </w:p>
          <w:p w14:paraId="6DD7961D" w14:textId="0268A312" w:rsidR="00D55DF6" w:rsidRPr="00C15646" w:rsidRDefault="00FA64B0" w:rsidP="00EE05E0">
            <w:pPr>
              <w:ind w:firstLine="284"/>
              <w:jc w:val="both"/>
              <w:rPr>
                <w:lang w:val="lv-LV"/>
              </w:rPr>
            </w:pPr>
            <w:r w:rsidRPr="00C15646">
              <w:rPr>
                <w:lang w:val="lv-LV"/>
              </w:rPr>
              <w:t>Projektā paredzētā regulējuma pamatā ir vairāki pamatprincipi:</w:t>
            </w:r>
          </w:p>
          <w:p w14:paraId="03449B98" w14:textId="797B0A8F" w:rsidR="00FA64B0" w:rsidRPr="00C15646" w:rsidRDefault="00FA64B0" w:rsidP="00EE05E0">
            <w:pPr>
              <w:ind w:firstLine="284"/>
              <w:jc w:val="both"/>
              <w:rPr>
                <w:lang w:val="lv-LV"/>
              </w:rPr>
            </w:pPr>
            <w:r w:rsidRPr="00C15646">
              <w:rPr>
                <w:lang w:val="lv-LV"/>
              </w:rPr>
              <w:t>1. </w:t>
            </w:r>
            <w:r w:rsidR="00B71C03" w:rsidRPr="00C15646">
              <w:rPr>
                <w:lang w:val="lv-LV"/>
              </w:rPr>
              <w:t>Procesuālo izdevumu veidus</w:t>
            </w:r>
            <w:r w:rsidR="00E052F5" w:rsidRPr="00C15646">
              <w:rPr>
                <w:lang w:val="lv-LV"/>
              </w:rPr>
              <w:t xml:space="preserve"> un personas, kurām </w:t>
            </w:r>
            <w:r w:rsidR="00AF7F78" w:rsidRPr="00C15646">
              <w:rPr>
                <w:lang w:val="lv-LV"/>
              </w:rPr>
              <w:t xml:space="preserve">konkrētajā gadījumā </w:t>
            </w:r>
            <w:r w:rsidR="00E052F5" w:rsidRPr="00C15646">
              <w:rPr>
                <w:lang w:val="lv-LV"/>
              </w:rPr>
              <w:t xml:space="preserve">ir tiesības uz procesuālo izdevumu </w:t>
            </w:r>
            <w:r w:rsidR="00451CDE" w:rsidRPr="00C15646">
              <w:rPr>
                <w:lang w:val="lv-LV"/>
              </w:rPr>
              <w:t xml:space="preserve">segšanu (atlīdzināšanu), noteic Administratīvās atbildības likums </w:t>
            </w:r>
            <w:r w:rsidR="003A7ED4" w:rsidRPr="00C15646">
              <w:rPr>
                <w:lang w:val="lv-LV"/>
              </w:rPr>
              <w:t xml:space="preserve">(šā likuma 75. un 76. pants). </w:t>
            </w:r>
            <w:r w:rsidR="00F306D6" w:rsidRPr="00C15646">
              <w:rPr>
                <w:lang w:val="lv-LV"/>
              </w:rPr>
              <w:t xml:space="preserve">Projektā ir izmantots vispārīgs apzīmējums "persona, </w:t>
            </w:r>
            <w:r w:rsidR="002F502E" w:rsidRPr="00C15646">
              <w:rPr>
                <w:lang w:val="lv-LV"/>
              </w:rPr>
              <w:t>kurai ir tiesības uz procesuālo izdevumu segšanu"</w:t>
            </w:r>
            <w:r w:rsidR="006A39CA" w:rsidRPr="00C15646">
              <w:rPr>
                <w:lang w:val="lv-LV"/>
              </w:rPr>
              <w:t xml:space="preserve">, kā arī atsevišķi regulēti tikai tipiskākie procesuālo izdevumu veidi (citi Administratīvās atbildības likuma </w:t>
            </w:r>
            <w:r w:rsidR="00CC271C" w:rsidRPr="00C15646">
              <w:rPr>
                <w:lang w:val="lv-LV"/>
              </w:rPr>
              <w:t xml:space="preserve">75. panta pirmajā daļā noteiktie procesuālo izdevumu veidi ir </w:t>
            </w:r>
            <w:r w:rsidR="002222B8" w:rsidRPr="00C15646">
              <w:rPr>
                <w:lang w:val="lv-LV"/>
              </w:rPr>
              <w:t xml:space="preserve">vispārīgi paredzēti projekta </w:t>
            </w:r>
            <w:r w:rsidR="00AD5E28" w:rsidRPr="00C15646">
              <w:rPr>
                <w:lang w:val="lv-LV"/>
              </w:rPr>
              <w:t>V nodaļā kā citi procesuālie izdevumi).</w:t>
            </w:r>
          </w:p>
          <w:p w14:paraId="3C1AC5C5" w14:textId="4D085263" w:rsidR="00AD5E28" w:rsidRPr="00C15646" w:rsidRDefault="00AD5E28" w:rsidP="00EE05E0">
            <w:pPr>
              <w:ind w:firstLine="284"/>
              <w:jc w:val="both"/>
              <w:rPr>
                <w:lang w:val="lv-LV"/>
              </w:rPr>
            </w:pPr>
            <w:r w:rsidRPr="00C15646">
              <w:rPr>
                <w:lang w:val="lv-LV"/>
              </w:rPr>
              <w:t>2. </w:t>
            </w:r>
            <w:r w:rsidR="00340228" w:rsidRPr="00C15646">
              <w:rPr>
                <w:lang w:val="lv-LV"/>
              </w:rPr>
              <w:t>Projekts neregulē izdevumu segšan</w:t>
            </w:r>
            <w:r w:rsidR="00104530" w:rsidRPr="00C15646">
              <w:rPr>
                <w:lang w:val="lv-LV"/>
              </w:rPr>
              <w:t>u un savstarpējos norēķinus valsts pārvaldes iekšējās attiecībās.</w:t>
            </w:r>
          </w:p>
          <w:p w14:paraId="7E4DD45B" w14:textId="53A684DF" w:rsidR="00D72A77" w:rsidRPr="00C15646" w:rsidRDefault="005E2292" w:rsidP="00D72A77">
            <w:pPr>
              <w:ind w:firstLine="284"/>
              <w:jc w:val="both"/>
              <w:rPr>
                <w:lang w:val="lv-LV"/>
              </w:rPr>
            </w:pPr>
            <w:r w:rsidRPr="00C15646">
              <w:rPr>
                <w:lang w:val="lv-LV"/>
              </w:rPr>
              <w:t xml:space="preserve">3. Projekts tiešā veidā neskar jautājumus par procesuālo izdevumu piedziņu </w:t>
            </w:r>
            <w:r w:rsidR="003916E7" w:rsidRPr="00C15646">
              <w:rPr>
                <w:lang w:val="lv-LV"/>
              </w:rPr>
              <w:t xml:space="preserve">no sodītās personas. </w:t>
            </w:r>
            <w:r w:rsidR="00D72A77" w:rsidRPr="00C15646">
              <w:rPr>
                <w:lang w:val="lv-LV"/>
              </w:rPr>
              <w:t>Protams, piemēram, summas, ko izmaksā cietušajiem, lieciniekiem, ekspertiem un tulkiem</w:t>
            </w:r>
            <w:r w:rsidR="000138CD" w:rsidRPr="00C15646">
              <w:rPr>
                <w:lang w:val="lv-LV"/>
              </w:rPr>
              <w:t>, lai segtu ceļa izdevumus, ietekmē piedziņas apmēru no sodītās personas. Vienlaikus</w:t>
            </w:r>
            <w:r w:rsidR="00EA23D3" w:rsidRPr="00C15646">
              <w:rPr>
                <w:lang w:val="lv-LV"/>
              </w:rPr>
              <w:t xml:space="preserve">, ja izdevumi ir radušies valsts pārvaldes iekšējās attiecībās un tādējādi to segšana nav </w:t>
            </w:r>
            <w:r w:rsidR="00EA23D3" w:rsidRPr="00C15646">
              <w:rPr>
                <w:lang w:val="lv-LV"/>
              </w:rPr>
              <w:lastRenderedPageBreak/>
              <w:t>nepieciešama vai pat teorētiski nav iespējama (publiska persona nevar segt savus izdevumus)</w:t>
            </w:r>
            <w:r w:rsidR="0052212B" w:rsidRPr="00C15646">
              <w:rPr>
                <w:lang w:val="lv-LV"/>
              </w:rPr>
              <w:t>, projekta kontekstā tas neskar iespējamību šos izdevumus piedzīt no sodītās personas, ciktāl tas izriet no Administratīvās atbildības likuma.</w:t>
            </w:r>
          </w:p>
          <w:p w14:paraId="36443242" w14:textId="7C0BC17F" w:rsidR="00187D04" w:rsidRPr="00C15646" w:rsidRDefault="00187D04" w:rsidP="00D72A77">
            <w:pPr>
              <w:ind w:firstLine="284"/>
              <w:jc w:val="both"/>
              <w:rPr>
                <w:lang w:val="lv-LV"/>
              </w:rPr>
            </w:pPr>
            <w:r w:rsidRPr="00C15646">
              <w:rPr>
                <w:lang w:val="lv-LV"/>
              </w:rPr>
              <w:t>4. </w:t>
            </w:r>
            <w:r w:rsidR="005617E1" w:rsidRPr="00C15646">
              <w:rPr>
                <w:lang w:val="lv-LV"/>
              </w:rPr>
              <w:t>Persona procesuālo izdevumu segšanu var lūgt</w:t>
            </w:r>
            <w:r w:rsidR="00DE4178" w:rsidRPr="00C15646">
              <w:rPr>
                <w:lang w:val="lv-LV"/>
              </w:rPr>
              <w:t xml:space="preserve"> (iesniegt iesniegumu)</w:t>
            </w:r>
            <w:r w:rsidR="005617E1" w:rsidRPr="00C15646">
              <w:rPr>
                <w:lang w:val="lv-LV"/>
              </w:rPr>
              <w:t xml:space="preserve"> </w:t>
            </w:r>
            <w:r w:rsidR="00DE4178" w:rsidRPr="00C15646">
              <w:rPr>
                <w:lang w:val="lv-LV"/>
              </w:rPr>
              <w:t>jebkurai personai</w:t>
            </w:r>
            <w:r w:rsidR="00507C51" w:rsidRPr="00C15646">
              <w:rPr>
                <w:lang w:val="lv-LV"/>
              </w:rPr>
              <w:t xml:space="preserve">, kas veic administratīvā pārkāpuma procesu – </w:t>
            </w:r>
            <w:r w:rsidR="00DD166E" w:rsidRPr="00C15646">
              <w:rPr>
                <w:lang w:val="lv-LV"/>
              </w:rPr>
              <w:t xml:space="preserve">amatpersonai, augstākai amatpersonai, tiesai (tiesnesim). </w:t>
            </w:r>
            <w:r w:rsidR="00474079" w:rsidRPr="00C15646">
              <w:rPr>
                <w:lang w:val="lv-LV"/>
              </w:rPr>
              <w:t>Savukārt izdevumus atlīdzina tā iestāde, kuras amatp</w:t>
            </w:r>
            <w:r w:rsidR="00E85EA1" w:rsidRPr="00C15646">
              <w:rPr>
                <w:lang w:val="lv-LV"/>
              </w:rPr>
              <w:t xml:space="preserve">ersonas nolēmums vai rīcība ir radījusi attiecīgos procesuālos izdevumus. </w:t>
            </w:r>
            <w:r w:rsidR="00B17567" w:rsidRPr="00C15646">
              <w:rPr>
                <w:lang w:val="lv-LV"/>
              </w:rPr>
              <w:t>Procesuālos izdevumus sedz mēneša laikā, šo termiņu skaito</w:t>
            </w:r>
            <w:r w:rsidR="003E753B" w:rsidRPr="00C15646">
              <w:rPr>
                <w:lang w:val="lv-LV"/>
              </w:rPr>
              <w:t>t</w:t>
            </w:r>
            <w:r w:rsidR="00B17567" w:rsidRPr="00C15646">
              <w:rPr>
                <w:lang w:val="lv-LV"/>
              </w:rPr>
              <w:t xml:space="preserve"> no dienas, kad persona iesniedza iesniegumu </w:t>
            </w:r>
            <w:r w:rsidR="003E753B" w:rsidRPr="00C15646">
              <w:rPr>
                <w:lang w:val="lv-LV"/>
              </w:rPr>
              <w:t xml:space="preserve">personai, kas veic administratīvā pārkāpuma procesu (projekta </w:t>
            </w:r>
            <w:r w:rsidR="007970F2" w:rsidRPr="00C15646">
              <w:rPr>
                <w:lang w:val="lv-LV"/>
              </w:rPr>
              <w:t>2., 3., 4. un 5. punkts).</w:t>
            </w:r>
          </w:p>
          <w:p w14:paraId="6A0B29C2" w14:textId="33D5172B" w:rsidR="00135BFE" w:rsidRPr="00C15646" w:rsidRDefault="00135BFE" w:rsidP="00D72A77">
            <w:pPr>
              <w:ind w:firstLine="284"/>
              <w:jc w:val="both"/>
              <w:rPr>
                <w:lang w:val="lv-LV"/>
              </w:rPr>
            </w:pPr>
            <w:r w:rsidRPr="00C15646">
              <w:rPr>
                <w:lang w:val="lv-LV"/>
              </w:rPr>
              <w:t xml:space="preserve">5. Projekts paredz segt izdevumus apmērā, kas ir ekonomiski pamatots, samērīgs un nepieciešams, lai </w:t>
            </w:r>
            <w:r w:rsidR="00627DEC" w:rsidRPr="00C15646">
              <w:rPr>
                <w:lang w:val="lv-LV"/>
              </w:rPr>
              <w:t xml:space="preserve">persona varētu </w:t>
            </w:r>
            <w:r w:rsidRPr="00C15646">
              <w:rPr>
                <w:lang w:val="lv-LV"/>
              </w:rPr>
              <w:t>veikt</w:t>
            </w:r>
            <w:r w:rsidR="00627DEC" w:rsidRPr="00C15646">
              <w:rPr>
                <w:lang w:val="lv-LV"/>
              </w:rPr>
              <w:t xml:space="preserve"> </w:t>
            </w:r>
            <w:r w:rsidRPr="00C15646">
              <w:rPr>
                <w:lang w:val="lv-LV"/>
              </w:rPr>
              <w:t>attiecīgo darbību</w:t>
            </w:r>
            <w:r w:rsidR="00627DEC" w:rsidRPr="00C15646">
              <w:rPr>
                <w:lang w:val="lv-LV"/>
              </w:rPr>
              <w:t xml:space="preserve">. </w:t>
            </w:r>
            <w:r w:rsidR="000D0423" w:rsidRPr="00C15646">
              <w:rPr>
                <w:lang w:val="lv-LV"/>
              </w:rPr>
              <w:t xml:space="preserve">Izdevumu apmērs vērtējams katrā konkrētā gadījumā, ievērojot arī to, ka personai </w:t>
            </w:r>
            <w:r w:rsidR="00AA2965" w:rsidRPr="00C15646">
              <w:rPr>
                <w:lang w:val="lv-LV"/>
              </w:rPr>
              <w:t xml:space="preserve">tomēr </w:t>
            </w:r>
            <w:r w:rsidR="000D0423" w:rsidRPr="00C15646">
              <w:rPr>
                <w:lang w:val="lv-LV"/>
              </w:rPr>
              <w:t xml:space="preserve">nav jāvelta nesamērīgas pūles vai laiks, lai </w:t>
            </w:r>
            <w:r w:rsidR="00AA2965" w:rsidRPr="00C15646">
              <w:rPr>
                <w:lang w:val="lv-LV"/>
              </w:rPr>
              <w:t>iespējami samazinātu radušos procesuālos izdevumus.</w:t>
            </w:r>
            <w:r w:rsidR="006A6B72" w:rsidRPr="00C15646">
              <w:rPr>
                <w:lang w:val="lv-LV"/>
              </w:rPr>
              <w:t xml:space="preserve"> Procesuālās ekonomijas principa nodrošināšana ir</w:t>
            </w:r>
            <w:proofErr w:type="gramStart"/>
            <w:r w:rsidR="006A6B72" w:rsidRPr="00C15646">
              <w:rPr>
                <w:lang w:val="lv-LV"/>
              </w:rPr>
              <w:t xml:space="preserve">  </w:t>
            </w:r>
            <w:proofErr w:type="gramEnd"/>
            <w:r w:rsidR="006A6B72" w:rsidRPr="00C15646">
              <w:rPr>
                <w:lang w:val="lv-LV"/>
              </w:rPr>
              <w:t>amatpersonas, augstāka</w:t>
            </w:r>
            <w:r w:rsidR="00940A63">
              <w:rPr>
                <w:lang w:val="lv-LV"/>
              </w:rPr>
              <w:t>s</w:t>
            </w:r>
            <w:r w:rsidR="006A6B72" w:rsidRPr="00C15646">
              <w:rPr>
                <w:lang w:val="lv-LV"/>
              </w:rPr>
              <w:t xml:space="preserve"> amatpersonas un tiesas (tiesneša) pienākums (Administratīvās atbildības likuma </w:t>
            </w:r>
            <w:r w:rsidR="00D1099F" w:rsidRPr="00C15646">
              <w:rPr>
                <w:lang w:val="lv-LV"/>
              </w:rPr>
              <w:t>32. pants</w:t>
            </w:r>
            <w:r w:rsidR="006A6B72" w:rsidRPr="00C15646">
              <w:rPr>
                <w:lang w:val="lv-LV"/>
              </w:rPr>
              <w:t>).</w:t>
            </w:r>
          </w:p>
          <w:p w14:paraId="7DA4B756" w14:textId="5BC95468" w:rsidR="00B56FD8" w:rsidRPr="00C15646" w:rsidRDefault="00B56FD8" w:rsidP="00D72A77">
            <w:pPr>
              <w:ind w:firstLine="284"/>
              <w:jc w:val="both"/>
              <w:rPr>
                <w:lang w:val="lv-LV"/>
              </w:rPr>
            </w:pPr>
            <w:r w:rsidRPr="00C15646">
              <w:rPr>
                <w:lang w:val="lv-LV"/>
              </w:rPr>
              <w:t>6. </w:t>
            </w:r>
            <w:r w:rsidR="008F72A6" w:rsidRPr="00C15646">
              <w:rPr>
                <w:lang w:val="lv-LV"/>
              </w:rPr>
              <w:t>Iestādes rīcības kontrole j</w:t>
            </w:r>
            <w:r w:rsidRPr="00C15646">
              <w:rPr>
                <w:lang w:val="lv-LV"/>
              </w:rPr>
              <w:t>autājum</w:t>
            </w:r>
            <w:r w:rsidR="008F72A6" w:rsidRPr="00C15646">
              <w:rPr>
                <w:lang w:val="lv-LV"/>
              </w:rPr>
              <w:t>os</w:t>
            </w:r>
            <w:r w:rsidRPr="00C15646">
              <w:rPr>
                <w:lang w:val="lv-LV"/>
              </w:rPr>
              <w:t xml:space="preserve">, kas saistīti ar procesuālo izdevumu segšanu privātpersonai, </w:t>
            </w:r>
            <w:r w:rsidR="00FC21B6" w:rsidRPr="00C15646">
              <w:rPr>
                <w:lang w:val="lv-LV"/>
              </w:rPr>
              <w:t xml:space="preserve">ir </w:t>
            </w:r>
            <w:r w:rsidR="002A42B4">
              <w:rPr>
                <w:lang w:val="lv-LV"/>
              </w:rPr>
              <w:t>veicama</w:t>
            </w:r>
            <w:r w:rsidR="00FC21B6" w:rsidRPr="00C15646">
              <w:rPr>
                <w:lang w:val="lv-LV"/>
              </w:rPr>
              <w:t xml:space="preserve"> saskaņā ar Administratīvā procesa likuma regulējumu</w:t>
            </w:r>
            <w:r w:rsidR="00577094" w:rsidRPr="00C15646">
              <w:rPr>
                <w:lang w:val="lv-LV"/>
              </w:rPr>
              <w:t xml:space="preserve"> (nevis</w:t>
            </w:r>
            <w:r w:rsidR="008F72A6" w:rsidRPr="00C15646">
              <w:rPr>
                <w:lang w:val="lv-LV"/>
              </w:rPr>
              <w:t xml:space="preserve"> Administratīvās atbildības likumā paredzētajā kārtībā). Piemēram, </w:t>
            </w:r>
            <w:r w:rsidR="0076292B" w:rsidRPr="00C15646">
              <w:rPr>
                <w:rFonts w:ascii="Arial" w:hAnsi="Arial" w:cs="Arial"/>
                <w:color w:val="414142"/>
                <w:sz w:val="20"/>
                <w:szCs w:val="20"/>
                <w:shd w:val="clear" w:color="auto" w:fill="FFFFFF"/>
                <w:lang w:val="lv-LV"/>
              </w:rPr>
              <w:t xml:space="preserve"> </w:t>
            </w:r>
            <w:r w:rsidR="0076292B" w:rsidRPr="00C15646">
              <w:rPr>
                <w:lang w:val="lv-LV"/>
              </w:rPr>
              <w:t>pilnīgs vai daļējs atteikums segt procesuālos izdevumus ir apstrīdams un pārsūdzams Administratīvā procesa likumā noteiktajā kārtībā.</w:t>
            </w:r>
          </w:p>
          <w:p w14:paraId="1516E6F7" w14:textId="2AA75491" w:rsidR="003C1DA3" w:rsidRPr="00C15646" w:rsidRDefault="003C1DA3" w:rsidP="00D72A77">
            <w:pPr>
              <w:ind w:firstLine="284"/>
              <w:jc w:val="both"/>
              <w:rPr>
                <w:lang w:val="lv-LV"/>
              </w:rPr>
            </w:pPr>
          </w:p>
          <w:p w14:paraId="70641969" w14:textId="794A2897" w:rsidR="003C1DA3" w:rsidRPr="00C15646" w:rsidRDefault="003C1DA3" w:rsidP="00D72A77">
            <w:pPr>
              <w:ind w:firstLine="284"/>
              <w:jc w:val="both"/>
              <w:rPr>
                <w:b/>
                <w:lang w:val="lv-LV"/>
              </w:rPr>
            </w:pPr>
            <w:r w:rsidRPr="00C15646">
              <w:rPr>
                <w:b/>
                <w:lang w:val="lv-LV"/>
              </w:rPr>
              <w:t>3.2.</w:t>
            </w:r>
            <w:r w:rsidR="0065439E" w:rsidRPr="00C15646">
              <w:rPr>
                <w:b/>
                <w:lang w:val="lv-LV"/>
              </w:rPr>
              <w:t> S</w:t>
            </w:r>
            <w:r w:rsidR="00233F89" w:rsidRPr="00C15646">
              <w:rPr>
                <w:b/>
                <w:lang w:val="lv-LV"/>
              </w:rPr>
              <w:t>ummas, ko izmaksā cietušajiem, lieciniekiem, ekspertiem un tulkiem, lai segtu ceļa izdevumus, kas saistīti ar ierašanos procesuālās darbības veikšanas vietā un atgriešanos dzīvesvietā, un maksu par naktsmītni</w:t>
            </w:r>
            <w:r w:rsidR="0065439E" w:rsidRPr="00C15646">
              <w:rPr>
                <w:b/>
                <w:lang w:val="lv-LV"/>
              </w:rPr>
              <w:t xml:space="preserve"> (Administratīvās atbildības likuma </w:t>
            </w:r>
            <w:r w:rsidR="003E11B1" w:rsidRPr="00C15646">
              <w:rPr>
                <w:b/>
                <w:lang w:val="lv-LV"/>
              </w:rPr>
              <w:t>75. panta pirmās daļas 1. punkts)</w:t>
            </w:r>
          </w:p>
          <w:p w14:paraId="0937E804" w14:textId="77777777" w:rsidR="00006530" w:rsidRPr="00C15646" w:rsidRDefault="00737877" w:rsidP="00006530">
            <w:pPr>
              <w:ind w:firstLine="284"/>
              <w:jc w:val="both"/>
              <w:rPr>
                <w:lang w:val="lv-LV"/>
              </w:rPr>
            </w:pPr>
            <w:r w:rsidRPr="00C15646">
              <w:rPr>
                <w:lang w:val="lv-LV"/>
              </w:rPr>
              <w:t>Ceļa izdevumu un maksas par naktsmītni segšanas apmērs un kārtība ir paredzēta projekta II</w:t>
            </w:r>
            <w:r w:rsidR="0030297C" w:rsidRPr="00C15646">
              <w:rPr>
                <w:lang w:val="lv-LV"/>
              </w:rPr>
              <w:t>I</w:t>
            </w:r>
            <w:r w:rsidRPr="00C15646">
              <w:rPr>
                <w:lang w:val="lv-LV"/>
              </w:rPr>
              <w:t> nodaļā.</w:t>
            </w:r>
          </w:p>
          <w:p w14:paraId="1CD34A94" w14:textId="1053DE1C" w:rsidR="0030297C" w:rsidRPr="00C15646" w:rsidRDefault="0030297C" w:rsidP="00D72A77">
            <w:pPr>
              <w:ind w:firstLine="284"/>
              <w:jc w:val="both"/>
              <w:rPr>
                <w:lang w:val="lv-LV"/>
              </w:rPr>
            </w:pPr>
            <w:r w:rsidRPr="00C15646">
              <w:rPr>
                <w:lang w:val="lv-LV"/>
              </w:rPr>
              <w:t>Projekts paredz līdzvērtīgu izdevumu apmēru tam, kāds ir noteikts kriminālprocesā un administratīvajā procesā (</w:t>
            </w:r>
            <w:r w:rsidR="00006530" w:rsidRPr="00C15646">
              <w:rPr>
                <w:lang w:val="lv-LV"/>
              </w:rPr>
              <w:t>Ministru kabineta 2005. gada 4. oktobra noteikumu Nr. 754 "Noteikumi par kriminālprocesuālo izdevumu atlīdzināšanas kārtību un apmēru"</w:t>
            </w:r>
            <w:r w:rsidR="00B90691" w:rsidRPr="00C15646">
              <w:rPr>
                <w:lang w:val="lv-LV"/>
              </w:rPr>
              <w:t xml:space="preserve"> 5. punkts un</w:t>
            </w:r>
            <w:r w:rsidR="00754671" w:rsidRPr="00C15646">
              <w:rPr>
                <w:lang w:val="lv-LV"/>
              </w:rPr>
              <w:t xml:space="preserve"> Ministru kabineta 2004. gada 31. augusta noteikumu Nr. 748 "Noteikumi par atlīdzības izmaksu lieciniekam, tulkam un ekspertam administratīvajā procesā tiesā"</w:t>
            </w:r>
            <w:r w:rsidR="00FE4117" w:rsidRPr="00C15646">
              <w:rPr>
                <w:lang w:val="lv-LV"/>
              </w:rPr>
              <w:t xml:space="preserve"> 3. punkts</w:t>
            </w:r>
            <w:r w:rsidRPr="00C15646">
              <w:rPr>
                <w:lang w:val="lv-LV"/>
              </w:rPr>
              <w:t>).</w:t>
            </w:r>
          </w:p>
          <w:p w14:paraId="7C7CA126" w14:textId="02535BEF" w:rsidR="009B3C4A" w:rsidRPr="00C15646" w:rsidRDefault="00F51AB2" w:rsidP="00D72A77">
            <w:pPr>
              <w:ind w:firstLine="284"/>
              <w:jc w:val="both"/>
              <w:rPr>
                <w:lang w:val="lv-LV"/>
              </w:rPr>
            </w:pPr>
            <w:r w:rsidRPr="00C15646">
              <w:rPr>
                <w:lang w:val="lv-LV"/>
              </w:rPr>
              <w:t xml:space="preserve">Termins "dzīvesvieta" (projekta </w:t>
            </w:r>
            <w:r w:rsidR="00ED42D1" w:rsidRPr="00C15646">
              <w:rPr>
                <w:lang w:val="lv-LV"/>
              </w:rPr>
              <w:t>9. punkts) Administratīvās atbildības likumā nav skaidrots, turklāt tiek nošķirta "dzīvesvieta" un "</w:t>
            </w:r>
            <w:r w:rsidR="0076236F" w:rsidRPr="00C15646">
              <w:rPr>
                <w:lang w:val="lv-LV"/>
              </w:rPr>
              <w:t xml:space="preserve">deklarētā dzīvesvieta". </w:t>
            </w:r>
            <w:r w:rsidR="0031724C" w:rsidRPr="00C15646">
              <w:rPr>
                <w:lang w:val="lv-LV"/>
              </w:rPr>
              <w:t>Līdz ar to šajā gadījumā nav izmanto</w:t>
            </w:r>
            <w:r w:rsidR="00C709F2" w:rsidRPr="00C15646">
              <w:rPr>
                <w:lang w:val="lv-LV"/>
              </w:rPr>
              <w:t xml:space="preserve">jama formāla pieeja, "dzīvesvieta" var būt gan deklarētā dzīvesvieta, gan </w:t>
            </w:r>
            <w:r w:rsidR="00D50A34" w:rsidRPr="00C15646">
              <w:rPr>
                <w:lang w:val="lv-LV"/>
              </w:rPr>
              <w:t xml:space="preserve">personas norādītā papildu </w:t>
            </w:r>
            <w:r w:rsidR="00D50A34" w:rsidRPr="00C15646">
              <w:rPr>
                <w:lang w:val="lv-LV"/>
              </w:rPr>
              <w:lastRenderedPageBreak/>
              <w:t>adrese vai cita adrese</w:t>
            </w:r>
            <w:r w:rsidR="00465B43" w:rsidRPr="00C15646">
              <w:rPr>
                <w:lang w:val="lv-LV"/>
              </w:rPr>
              <w:t xml:space="preserve">. </w:t>
            </w:r>
            <w:r w:rsidR="00956B99" w:rsidRPr="00C15646">
              <w:rPr>
                <w:lang w:val="lv-LV"/>
              </w:rPr>
              <w:t xml:space="preserve">Ievērojot to, ka persona var ierasties procesuālās darbības veikšanas vietā arī no citas vietas (piemēram, no darbavietas), tad projekta </w:t>
            </w:r>
            <w:r w:rsidR="0038120F" w:rsidRPr="00C15646">
              <w:rPr>
                <w:lang w:val="lv-LV"/>
              </w:rPr>
              <w:t>9. punktā ir paredzēts, ka arī šajā gadījumā sedz ceļa izdevumus, tomēr nepārsniedzot to izdevumu apmēru, kāds būtu, ja persona ierastos no dzīvesvietas vai atgrieztos dzīvesvietā.</w:t>
            </w:r>
          </w:p>
          <w:p w14:paraId="4F77F591" w14:textId="3AA9152F" w:rsidR="009F14C9" w:rsidRPr="00C15646" w:rsidRDefault="004E26CA" w:rsidP="009F14C9">
            <w:pPr>
              <w:ind w:firstLine="284"/>
              <w:jc w:val="both"/>
              <w:rPr>
                <w:lang w:val="lv-LV"/>
              </w:rPr>
            </w:pPr>
            <w:r w:rsidRPr="00C15646">
              <w:rPr>
                <w:lang w:val="lv-LV"/>
              </w:rPr>
              <w:t>Maksu par naktsmītni (piemēram, viesnīcu)</w:t>
            </w:r>
            <w:r w:rsidR="00B1218F" w:rsidRPr="00C15646">
              <w:rPr>
                <w:lang w:val="lv-LV"/>
              </w:rPr>
              <w:t xml:space="preserve"> sedz normatīvajos aktos komandējumu jomā noteiktajā apmērā, ja vien to ir iespējams objektīvi ievērot konkrētajā gadījumā (projekta </w:t>
            </w:r>
            <w:r w:rsidR="00CC0793" w:rsidRPr="00C15646">
              <w:rPr>
                <w:lang w:val="lv-LV"/>
              </w:rPr>
              <w:t xml:space="preserve">12. un 13. punkts). </w:t>
            </w:r>
            <w:r w:rsidR="0094749A" w:rsidRPr="00C15646">
              <w:rPr>
                <w:lang w:val="lv-LV"/>
              </w:rPr>
              <w:t>Piemēram, Ministru kabineta 2010. gada 12. oktobra noteikumu Nr. 969 "Kārtība, kādā atlīdzināmi ar komandējumiem saistītie izdevumi"</w:t>
            </w:r>
            <w:r w:rsidR="004A0B50" w:rsidRPr="00C15646">
              <w:rPr>
                <w:lang w:val="lv-LV"/>
              </w:rPr>
              <w:t xml:space="preserve"> 21.3. apakšpunkts noteic, ka Latvijas Republikā</w:t>
            </w:r>
            <w:r w:rsidR="009F14C9" w:rsidRPr="00C15646">
              <w:rPr>
                <w:lang w:val="lv-LV"/>
              </w:rPr>
              <w:t xml:space="preserve"> atlīdzina izdevumus par viesnīcu (naktsmītni) (arī izdevumus par vietas rezervēšanu) saskaņā ar iesniegtajiem samaksātajiem rēķiniem. Budžeta iestāžu darbinieku izdevumiem par viesnīcu (naktsmītni) noteiktā maksimālā norma Rīgā – 57 </w:t>
            </w:r>
            <w:r w:rsidR="009F14C9" w:rsidRPr="00C15646">
              <w:rPr>
                <w:i/>
                <w:iCs/>
                <w:lang w:val="lv-LV"/>
              </w:rPr>
              <w:t>euro</w:t>
            </w:r>
            <w:r w:rsidR="009F14C9" w:rsidRPr="00C15646">
              <w:rPr>
                <w:lang w:val="lv-LV"/>
              </w:rPr>
              <w:t> par diennakti, citās apdzīvotās vietās − 43 </w:t>
            </w:r>
            <w:r w:rsidR="009F14C9" w:rsidRPr="00C15646">
              <w:rPr>
                <w:i/>
                <w:iCs/>
                <w:lang w:val="lv-LV"/>
              </w:rPr>
              <w:t>euro</w:t>
            </w:r>
            <w:r w:rsidR="009F14C9" w:rsidRPr="00C15646">
              <w:rPr>
                <w:lang w:val="lv-LV"/>
              </w:rPr>
              <w:t> par diennakti.</w:t>
            </w:r>
            <w:r w:rsidR="003B76B5" w:rsidRPr="00C15646">
              <w:rPr>
                <w:lang w:val="lv-LV"/>
              </w:rPr>
              <w:t xml:space="preserve"> Šie izdevumi var ietvert rezervēšanas maksu,</w:t>
            </w:r>
            <w:r w:rsidR="008808CA" w:rsidRPr="00C15646">
              <w:rPr>
                <w:lang w:val="lv-LV"/>
              </w:rPr>
              <w:t xml:space="preserve"> bet neaptver </w:t>
            </w:r>
            <w:r w:rsidR="00B6295E" w:rsidRPr="00C15646">
              <w:rPr>
                <w:lang w:val="lv-LV"/>
              </w:rPr>
              <w:t xml:space="preserve">personiskus izdevumus (šo noteikumu </w:t>
            </w:r>
            <w:r w:rsidR="00930414" w:rsidRPr="00C15646">
              <w:rPr>
                <w:lang w:val="lv-LV"/>
              </w:rPr>
              <w:t>22. punkts).</w:t>
            </w:r>
          </w:p>
          <w:p w14:paraId="039E6EC4" w14:textId="700BFBA4" w:rsidR="003F5752" w:rsidRPr="00C15646" w:rsidRDefault="003F5752" w:rsidP="009F14C9">
            <w:pPr>
              <w:ind w:firstLine="284"/>
              <w:jc w:val="both"/>
              <w:rPr>
                <w:lang w:val="lv-LV"/>
              </w:rPr>
            </w:pPr>
          </w:p>
          <w:p w14:paraId="7A3F273E" w14:textId="7488F273" w:rsidR="003F5752" w:rsidRPr="00C15646" w:rsidRDefault="003F5752" w:rsidP="003F5752">
            <w:pPr>
              <w:ind w:firstLine="284"/>
              <w:jc w:val="both"/>
              <w:rPr>
                <w:b/>
                <w:lang w:val="lv-LV"/>
              </w:rPr>
            </w:pPr>
            <w:r w:rsidRPr="00C15646">
              <w:rPr>
                <w:b/>
                <w:lang w:val="lv-LV"/>
              </w:rPr>
              <w:t>3.3. </w:t>
            </w:r>
            <w:r w:rsidRPr="00C15646">
              <w:rPr>
                <w:rFonts w:ascii="Arial" w:hAnsi="Arial" w:cs="Arial"/>
                <w:color w:val="414142"/>
                <w:sz w:val="20"/>
                <w:szCs w:val="20"/>
                <w:shd w:val="clear" w:color="auto" w:fill="FFFFFF"/>
                <w:lang w:val="lv-LV"/>
              </w:rPr>
              <w:t xml:space="preserve"> </w:t>
            </w:r>
            <w:r w:rsidRPr="00C15646">
              <w:rPr>
                <w:b/>
                <w:lang w:val="lv-LV"/>
              </w:rPr>
              <w:t>Summas, ko izmaksā lieciniekiem un cietušajiem kā vidējo darba samaksu par laiku, kurā viņi sakarā ar piedalīšanos procesuālajā</w:t>
            </w:r>
            <w:r w:rsidR="00C4045D" w:rsidRPr="00C15646">
              <w:rPr>
                <w:b/>
                <w:lang w:val="lv-LV"/>
              </w:rPr>
              <w:t xml:space="preserve"> </w:t>
            </w:r>
            <w:r w:rsidRPr="00C15646">
              <w:rPr>
                <w:b/>
                <w:lang w:val="lv-LV"/>
              </w:rPr>
              <w:t>darbībā</w:t>
            </w:r>
            <w:r w:rsidRPr="00C15646">
              <w:rPr>
                <w:b/>
                <w:i/>
                <w:iCs/>
                <w:lang w:val="lv-LV"/>
              </w:rPr>
              <w:t> </w:t>
            </w:r>
            <w:r w:rsidRPr="00C15646">
              <w:rPr>
                <w:b/>
                <w:lang w:val="lv-LV"/>
              </w:rPr>
              <w:t>neveica savu darbu (Administratīvās atbildības likuma 75. panta pirmās daļas 2. punkts)</w:t>
            </w:r>
          </w:p>
          <w:p w14:paraId="7B868E7D" w14:textId="489D4C71" w:rsidR="000F7FB7" w:rsidRPr="00C15646" w:rsidRDefault="008E7D36" w:rsidP="000F7FB7">
            <w:pPr>
              <w:ind w:firstLine="284"/>
              <w:jc w:val="both"/>
              <w:rPr>
                <w:lang w:val="lv-LV"/>
              </w:rPr>
            </w:pPr>
            <w:r w:rsidRPr="00C15646">
              <w:rPr>
                <w:lang w:val="lv-LV"/>
              </w:rPr>
              <w:t xml:space="preserve">Saskaņā ar Darba likuma </w:t>
            </w:r>
            <w:r w:rsidR="007B7C2F" w:rsidRPr="00C15646">
              <w:rPr>
                <w:lang w:val="lv-LV"/>
              </w:rPr>
              <w:t>74. panta pirmās daļas 6. punktu</w:t>
            </w:r>
            <w:r w:rsidR="00E00A11" w:rsidRPr="00C15646">
              <w:rPr>
                <w:lang w:val="lv-LV"/>
              </w:rPr>
              <w:t xml:space="preserve"> darba devējam ir pienākums izmaksāt šā panta trešajā daļā noteikto atlīdzību</w:t>
            </w:r>
            <w:r w:rsidR="00EA7220" w:rsidRPr="00C15646">
              <w:rPr>
                <w:lang w:val="lv-LV"/>
              </w:rPr>
              <w:t xml:space="preserve"> (ja darbiniekam ir noteikta laika alga, viņam izmaksā noteikto darba samaksu; ja darbiniekam ir noteikta akorda alga,</w:t>
            </w:r>
            <w:r w:rsidR="00BF59D8" w:rsidRPr="00C15646">
              <w:rPr>
                <w:lang w:val="lv-LV"/>
              </w:rPr>
              <w:t xml:space="preserve"> tad </w:t>
            </w:r>
            <w:r w:rsidR="00EA7220" w:rsidRPr="00C15646">
              <w:rPr>
                <w:lang w:val="lv-LV"/>
              </w:rPr>
              <w:t>izmaksā vidējo izpeļņu)</w:t>
            </w:r>
            <w:r w:rsidR="00E00A11" w:rsidRPr="00C15646">
              <w:rPr>
                <w:lang w:val="lv-LV"/>
              </w:rPr>
              <w:t xml:space="preserve">, </w:t>
            </w:r>
            <w:proofErr w:type="gramStart"/>
            <w:r w:rsidR="00E00A11" w:rsidRPr="00C15646">
              <w:rPr>
                <w:lang w:val="lv-LV"/>
              </w:rPr>
              <w:t>ja darbinieks neveic</w:t>
            </w:r>
            <w:proofErr w:type="gramEnd"/>
            <w:r w:rsidR="00E00A11" w:rsidRPr="00C15646">
              <w:rPr>
                <w:lang w:val="lv-LV"/>
              </w:rPr>
              <w:t xml:space="preserve"> darbu attaisnojošu iemeslu dēļ,</w:t>
            </w:r>
            <w:r w:rsidR="00BF59D8" w:rsidRPr="00C15646">
              <w:rPr>
                <w:lang w:val="lv-LV"/>
              </w:rPr>
              <w:t xml:space="preserve"> proti, darbinieks, </w:t>
            </w:r>
            <w:r w:rsidR="00BF59D8" w:rsidRPr="00C15646">
              <w:rPr>
                <w:rFonts w:ascii="Arial" w:hAnsi="Arial" w:cs="Arial"/>
                <w:color w:val="414142"/>
                <w:sz w:val="20"/>
                <w:szCs w:val="20"/>
                <w:shd w:val="clear" w:color="auto" w:fill="FFFFFF"/>
                <w:lang w:val="lv-LV"/>
              </w:rPr>
              <w:t xml:space="preserve"> </w:t>
            </w:r>
            <w:r w:rsidR="00BF59D8" w:rsidRPr="00C15646">
              <w:rPr>
                <w:lang w:val="lv-LV"/>
              </w:rPr>
              <w:t>pamatojoties uz izsaukumu, ierodas izziņas iestādē, prokuratūrā vai tiesā</w:t>
            </w:r>
            <w:r w:rsidR="000F7FB7" w:rsidRPr="00C15646">
              <w:rPr>
                <w:lang w:val="lv-LV"/>
              </w:rPr>
              <w:t>. Kārtību, kādā valsts institūcija darba devējam atlīdzina darbiniekam izmaksājamo atlīdzību, no</w:t>
            </w:r>
            <w:r w:rsidR="00343CBE" w:rsidRPr="00C15646">
              <w:rPr>
                <w:lang w:val="lv-LV"/>
              </w:rPr>
              <w:t>teic Ministru kabineta 2007. gada 10. aprīļa noteikumi Nr. 238 "Kārtība, kādā valsts institūcija darba devējam atlīdzina darbiniekam izmaksājamo atlīdzību".</w:t>
            </w:r>
          </w:p>
          <w:p w14:paraId="24554F65" w14:textId="039452FD" w:rsidR="00F16ACC" w:rsidRPr="00C15646" w:rsidRDefault="004B2740" w:rsidP="00F16ACC">
            <w:pPr>
              <w:ind w:firstLine="284"/>
              <w:jc w:val="both"/>
              <w:rPr>
                <w:lang w:val="lv-LV"/>
              </w:rPr>
            </w:pPr>
            <w:r w:rsidRPr="00C15646">
              <w:rPr>
                <w:lang w:val="lv-LV"/>
              </w:rPr>
              <w:t xml:space="preserve">Saskaņā ar Kriminālprocesa likuma </w:t>
            </w:r>
            <w:r w:rsidR="00D75141" w:rsidRPr="00C15646">
              <w:rPr>
                <w:lang w:val="lv-LV"/>
              </w:rPr>
              <w:t>367. panta pirmās daļas 2. punktu procesuālie izdevumi ir</w:t>
            </w:r>
            <w:r w:rsidR="004D2B83">
              <w:rPr>
                <w:lang w:val="lv-LV"/>
              </w:rPr>
              <w:t xml:space="preserve"> </w:t>
            </w:r>
            <w:r w:rsidR="00D75141" w:rsidRPr="00C15646">
              <w:rPr>
                <w:lang w:val="lv-LV"/>
              </w:rPr>
              <w:t>summas, ko izmaksā lieciniekiem un cietušajiem kā vidējo darba samaksu par laiku, kurā viņi sakarā ar piedalīšanos procesuālajā darbībā neveica savu darbu, vai ko izmeklēšanas iestādes, prokuratūra vai Tieslietu ministrija ir atlīdzinājusi minēto personu darba devējiem par izmaksāto vidējo izpeļņu</w:t>
            </w:r>
            <w:r w:rsidR="005440D6" w:rsidRPr="00C15646">
              <w:rPr>
                <w:lang w:val="lv-LV"/>
              </w:rPr>
              <w:t xml:space="preserve">. </w:t>
            </w:r>
            <w:r w:rsidR="000E4760" w:rsidRPr="00C15646">
              <w:rPr>
                <w:rFonts w:eastAsiaTheme="minorHAnsi"/>
                <w:lang w:val="lv-LV"/>
              </w:rPr>
              <w:t xml:space="preserve"> </w:t>
            </w:r>
            <w:r w:rsidR="000E4760" w:rsidRPr="00C15646">
              <w:rPr>
                <w:lang w:val="lv-LV"/>
              </w:rPr>
              <w:t>Ministru kabineta 2005. gada 4. oktobra noteikumu Nr. 754 "Noteikumi par kriminālprocesuālo izdevumu atlīdzināšanas kārtību un apmēru"</w:t>
            </w:r>
            <w:r w:rsidR="00F16ACC" w:rsidRPr="00C15646">
              <w:rPr>
                <w:lang w:val="lv-LV"/>
              </w:rPr>
              <w:t xml:space="preserve"> 6. punkts noteic, ka šīs summas izmaksā saskaņā ar normatīvajiem aktiem par kārtību, kādā valsts institūcija darba devējam atlīdzina darbiniekam izmaksājamo vidējo izpeļņu.</w:t>
            </w:r>
          </w:p>
          <w:p w14:paraId="3B9D2717" w14:textId="00185821" w:rsidR="00343CBE" w:rsidRPr="00C15646" w:rsidRDefault="00805FF4" w:rsidP="00ED0689">
            <w:pPr>
              <w:ind w:firstLine="284"/>
              <w:jc w:val="both"/>
              <w:rPr>
                <w:lang w:val="lv-LV"/>
              </w:rPr>
            </w:pPr>
            <w:r w:rsidRPr="00C15646">
              <w:rPr>
                <w:lang w:val="lv-LV"/>
              </w:rPr>
              <w:lastRenderedPageBreak/>
              <w:t xml:space="preserve">Līdzīga kārtība ir paredzēta arī projekta </w:t>
            </w:r>
            <w:r w:rsidR="000E37DD" w:rsidRPr="00C15646">
              <w:rPr>
                <w:lang w:val="lv-LV"/>
              </w:rPr>
              <w:t xml:space="preserve">14. un 15. punktā. Tā kā Ministru kabineta 2007. gada 10. aprīļa noteikumi Nr. 238 "Kārtība, kādā valsts institūcija darba devējam atlīdzina darbiniekam izmaksājamo atlīdzību" administratīvā pārkāpuma procesā būtu piemērojami tikai pēc analoģijas, tad projektā nav ietverta atsauce uz šo regulējumu, bet </w:t>
            </w:r>
            <w:r w:rsidR="00ED0689" w:rsidRPr="00C15646">
              <w:rPr>
                <w:lang w:val="lv-LV"/>
              </w:rPr>
              <w:t>pārņemtas un vispārīgajai kārtībai pielāgot</w:t>
            </w:r>
            <w:r w:rsidR="004D2B83">
              <w:rPr>
                <w:lang w:val="lv-LV"/>
              </w:rPr>
              <w:t>a</w:t>
            </w:r>
            <w:r w:rsidR="00ED0689" w:rsidRPr="00C15646">
              <w:rPr>
                <w:lang w:val="lv-LV"/>
              </w:rPr>
              <w:t>s tikai administratīvā pārkāpuma procesā būtiskās normas.</w:t>
            </w:r>
          </w:p>
          <w:p w14:paraId="552CFE9F" w14:textId="04A91956" w:rsidR="00ED0689" w:rsidRPr="00C15646" w:rsidRDefault="00FD2041" w:rsidP="00ED0689">
            <w:pPr>
              <w:ind w:firstLine="284"/>
              <w:jc w:val="both"/>
              <w:rPr>
                <w:lang w:val="lv-LV"/>
              </w:rPr>
            </w:pPr>
            <w:r w:rsidRPr="00C15646">
              <w:rPr>
                <w:lang w:val="lv-LV"/>
              </w:rPr>
              <w:t>Administratīvās atbildības likuma 75. panta pirmās daļas 2. punktā un projektā paredzētais regulējums attiecas tikai uz darbiniekiem</w:t>
            </w:r>
            <w:r w:rsidR="003A71B2" w:rsidRPr="00C15646">
              <w:rPr>
                <w:lang w:val="lv-LV"/>
              </w:rPr>
              <w:t xml:space="preserve"> (piemēram, šādas tiesības nav paredzētas pašnodarbinātajiem, </w:t>
            </w:r>
            <w:r w:rsidR="003A71B2" w:rsidRPr="00C15646">
              <w:rPr>
                <w:i/>
                <w:lang w:val="lv-LV"/>
              </w:rPr>
              <w:t>sk.</w:t>
            </w:r>
            <w:r w:rsidR="00B96191" w:rsidRPr="00C15646">
              <w:rPr>
                <w:i/>
                <w:lang w:val="lv-LV"/>
              </w:rPr>
              <w:t xml:space="preserve"> arī</w:t>
            </w:r>
            <w:r w:rsidR="003A71B2" w:rsidRPr="00C15646">
              <w:rPr>
                <w:i/>
                <w:lang w:val="lv-LV"/>
              </w:rPr>
              <w:t xml:space="preserve"> </w:t>
            </w:r>
            <w:r w:rsidR="00B96191" w:rsidRPr="00C15646">
              <w:rPr>
                <w:bCs/>
                <w:i/>
                <w:iCs/>
                <w:lang w:val="lv-LV"/>
              </w:rPr>
              <w:t>Augstākās tiesas Administratīvo lietu departamenta 2014. gada 21. augusta spriedumu lietā Nr. SKA-0314-14</w:t>
            </w:r>
            <w:r w:rsidR="003A71B2" w:rsidRPr="00C15646">
              <w:rPr>
                <w:lang w:val="lv-LV"/>
              </w:rPr>
              <w:t>).</w:t>
            </w:r>
          </w:p>
          <w:p w14:paraId="52FA813E" w14:textId="2D04252A" w:rsidR="004E26CA" w:rsidRPr="00C15646" w:rsidRDefault="004E26CA" w:rsidP="00D72A77">
            <w:pPr>
              <w:ind w:firstLine="284"/>
              <w:jc w:val="both"/>
              <w:rPr>
                <w:lang w:val="lv-LV"/>
              </w:rPr>
            </w:pPr>
          </w:p>
          <w:p w14:paraId="13127CED" w14:textId="6CD4A4D4" w:rsidR="00BF261A" w:rsidRPr="00C15646" w:rsidRDefault="00BF261A" w:rsidP="00C67578">
            <w:pPr>
              <w:ind w:firstLine="284"/>
              <w:jc w:val="both"/>
              <w:rPr>
                <w:b/>
                <w:lang w:val="lv-LV"/>
              </w:rPr>
            </w:pPr>
            <w:r w:rsidRPr="00C15646">
              <w:rPr>
                <w:b/>
                <w:lang w:val="lv-LV"/>
              </w:rPr>
              <w:t>3.4. </w:t>
            </w:r>
            <w:r w:rsidR="00C67578" w:rsidRPr="00C15646">
              <w:rPr>
                <w:b/>
                <w:lang w:val="lv-LV"/>
              </w:rPr>
              <w:t xml:space="preserve">Samaksa ekspertiem un tulkiem par darbu, izņemot gadījumus, kad viņi piedalās procesā, izpildot savus dienesta pienākumus </w:t>
            </w:r>
            <w:r w:rsidRPr="00C15646">
              <w:rPr>
                <w:b/>
                <w:lang w:val="lv-LV"/>
              </w:rPr>
              <w:t>(Administratīvās atbildības likuma 75. panta pirmās daļas 3. punkts)</w:t>
            </w:r>
          </w:p>
          <w:p w14:paraId="7B93E724" w14:textId="4E38AF6C" w:rsidR="00BF261A" w:rsidRPr="00C15646" w:rsidRDefault="00355F4D" w:rsidP="00D72A77">
            <w:pPr>
              <w:ind w:firstLine="284"/>
              <w:jc w:val="both"/>
              <w:rPr>
                <w:lang w:val="lv-LV"/>
              </w:rPr>
            </w:pPr>
            <w:r w:rsidRPr="00C15646">
              <w:rPr>
                <w:lang w:val="lv-LV"/>
              </w:rPr>
              <w:t xml:space="preserve">Projekta </w:t>
            </w:r>
            <w:r w:rsidR="004E0C82" w:rsidRPr="00C15646">
              <w:rPr>
                <w:lang w:val="lv-LV"/>
              </w:rPr>
              <w:t>16. punktā paredzēts</w:t>
            </w:r>
            <w:r w:rsidR="001E7ED3" w:rsidRPr="00C15646">
              <w:rPr>
                <w:lang w:val="lv-LV"/>
              </w:rPr>
              <w:t xml:space="preserve"> līdzvērtīgs regulējums, kāds ir noteikts kriminālprocesā un administratīvajā procesā (</w:t>
            </w:r>
            <w:r w:rsidR="00F635FA" w:rsidRPr="00C15646">
              <w:rPr>
                <w:lang w:val="lv-LV"/>
              </w:rPr>
              <w:t xml:space="preserve">Ministru kabineta 2005. gada 4. oktobra noteikumu Nr. 754 "Noteikumi par kriminālprocesuālo izdevumu atlīdzināšanas kārtību un apmēru" 7. punkts, </w:t>
            </w:r>
            <w:r w:rsidR="00C63008" w:rsidRPr="00C15646">
              <w:rPr>
                <w:rFonts w:eastAsiaTheme="minorHAnsi"/>
                <w:lang w:val="lv-LV"/>
              </w:rPr>
              <w:t xml:space="preserve"> </w:t>
            </w:r>
            <w:r w:rsidR="00C63008" w:rsidRPr="00C15646">
              <w:rPr>
                <w:lang w:val="lv-LV"/>
              </w:rPr>
              <w:t>Ministru kabineta 2004. gada 31. augusta noteikumu Nr. 748 "Noteikumi par atlīdzības izmaksu lieciniekam, tulkam un ekspertam administratīvajā procesā tiesā" 5. punkts</w:t>
            </w:r>
            <w:r w:rsidR="001E7ED3" w:rsidRPr="00C15646">
              <w:rPr>
                <w:lang w:val="lv-LV"/>
              </w:rPr>
              <w:t>).</w:t>
            </w:r>
            <w:r w:rsidR="007B1BC9" w:rsidRPr="00C15646">
              <w:rPr>
                <w:lang w:val="lv-LV"/>
              </w:rPr>
              <w:t xml:space="preserve"> Vienlaikus projektā nav iekļauta veidlapa, aizstājot to ar nepieciešamās informācijas satura izklāstu.</w:t>
            </w:r>
          </w:p>
          <w:p w14:paraId="6FAE916E" w14:textId="77777777" w:rsidR="007B1BC9" w:rsidRPr="00C15646" w:rsidRDefault="007B1BC9" w:rsidP="00D72A77">
            <w:pPr>
              <w:ind w:firstLine="284"/>
              <w:jc w:val="both"/>
              <w:rPr>
                <w:b/>
                <w:lang w:val="lv-LV"/>
              </w:rPr>
            </w:pPr>
          </w:p>
          <w:p w14:paraId="1A22DBA3" w14:textId="63313CAC" w:rsidR="00BF261A" w:rsidRPr="00C15646" w:rsidRDefault="00BF261A" w:rsidP="00DF3A34">
            <w:pPr>
              <w:ind w:firstLine="284"/>
              <w:jc w:val="both"/>
              <w:rPr>
                <w:lang w:val="lv-LV"/>
              </w:rPr>
            </w:pPr>
            <w:r w:rsidRPr="00C15646">
              <w:rPr>
                <w:b/>
                <w:lang w:val="lv-LV"/>
              </w:rPr>
              <w:t>3.5.</w:t>
            </w:r>
            <w:r w:rsidR="00DF3A34" w:rsidRPr="00C15646">
              <w:rPr>
                <w:b/>
                <w:lang w:val="lv-LV"/>
              </w:rPr>
              <w:t xml:space="preserve"> Summas, kas radušās sakarā ar administratīvā pārkāpuma lietā izņemtās mantas un dokumentu nodošanu glabāšanā, glabāšanu, iznīcināšanu un realizāciju </w:t>
            </w:r>
            <w:r w:rsidRPr="00C15646">
              <w:rPr>
                <w:b/>
                <w:lang w:val="lv-LV"/>
              </w:rPr>
              <w:t>(Administratīvās atbildības likuma 75. panta pirmās daļas 4. punkts)</w:t>
            </w:r>
          </w:p>
          <w:p w14:paraId="2AB1787B" w14:textId="2BEDAAA6" w:rsidR="00BF261A" w:rsidRPr="00C15646" w:rsidRDefault="00415CBA" w:rsidP="00483F81">
            <w:pPr>
              <w:ind w:firstLine="284"/>
              <w:jc w:val="both"/>
              <w:rPr>
                <w:lang w:val="lv-LV"/>
              </w:rPr>
            </w:pPr>
            <w:r w:rsidRPr="00C15646">
              <w:rPr>
                <w:lang w:val="lv-LV"/>
              </w:rPr>
              <w:t xml:space="preserve">Administratīvās atbildības likuma </w:t>
            </w:r>
            <w:r w:rsidR="00483F81" w:rsidRPr="00C15646">
              <w:rPr>
                <w:lang w:val="lv-LV"/>
              </w:rPr>
              <w:t>75. panta trešā daļa noteic: "Ministru kabinets nosaka kārtību, kādā aprēķina izdevumus, kas radušies sakarā ar administratīvā pārkāpuma lietā izņemtās mantas un dokumentu nodošanu glabāšanā, glabāšanu, iznīcināšanu un realizāciju, un kārtību, kādā par minētajiem izdevumiem informē iestādi, kuras amatpersona pieņem nolēmumu par sodu."</w:t>
            </w:r>
            <w:r w:rsidR="00627ABD" w:rsidRPr="00C15646">
              <w:rPr>
                <w:lang w:val="lv-LV"/>
              </w:rPr>
              <w:t xml:space="preserve"> Līdz ar to arī attiecīgo izdevumu apmēra regulējums izrietēs no šiem noteikumiem.</w:t>
            </w:r>
          </w:p>
          <w:p w14:paraId="57B87241" w14:textId="22654720" w:rsidR="00E41264" w:rsidRPr="00C15646" w:rsidRDefault="00E41264" w:rsidP="00483F81">
            <w:pPr>
              <w:ind w:firstLine="284"/>
              <w:jc w:val="both"/>
              <w:rPr>
                <w:lang w:val="lv-LV"/>
              </w:rPr>
            </w:pPr>
            <w:r w:rsidRPr="00C15646">
              <w:rPr>
                <w:lang w:val="lv-LV"/>
              </w:rPr>
              <w:t>Šobrīd</w:t>
            </w:r>
            <w:r w:rsidR="00D0397A" w:rsidRPr="00C15646">
              <w:rPr>
                <w:lang w:val="lv-LV"/>
              </w:rPr>
              <w:t xml:space="preserve"> </w:t>
            </w:r>
            <w:r w:rsidRPr="00356BF8">
              <w:rPr>
                <w:lang w:val="lv-LV"/>
              </w:rPr>
              <w:t>Ministru kabineta 2010.</w:t>
            </w:r>
            <w:r w:rsidRPr="00C15646">
              <w:rPr>
                <w:lang w:val="lv-LV"/>
              </w:rPr>
              <w:t> </w:t>
            </w:r>
            <w:r w:rsidRPr="00356BF8">
              <w:rPr>
                <w:lang w:val="lv-LV"/>
              </w:rPr>
              <w:t>gada 7.</w:t>
            </w:r>
            <w:r w:rsidRPr="00C15646">
              <w:rPr>
                <w:lang w:val="lv-LV"/>
              </w:rPr>
              <w:t> </w:t>
            </w:r>
            <w:r w:rsidRPr="00356BF8">
              <w:rPr>
                <w:lang w:val="lv-LV"/>
              </w:rPr>
              <w:t>decembra noteikum</w:t>
            </w:r>
            <w:r w:rsidRPr="00C15646">
              <w:rPr>
                <w:lang w:val="lv-LV"/>
              </w:rPr>
              <w:t>u</w:t>
            </w:r>
            <w:r w:rsidRPr="00356BF8">
              <w:rPr>
                <w:lang w:val="lv-LV"/>
              </w:rPr>
              <w:t xml:space="preserve"> Nr.</w:t>
            </w:r>
            <w:r w:rsidRPr="00C15646">
              <w:rPr>
                <w:lang w:val="lv-LV"/>
              </w:rPr>
              <w:t> </w:t>
            </w:r>
            <w:r w:rsidRPr="00356BF8">
              <w:rPr>
                <w:lang w:val="lv-LV"/>
              </w:rPr>
              <w:t>1098 "Noteikumi par rīcību ar administratīvo pārkāpumu lietās izņemto mantu un dokumentiem"</w:t>
            </w:r>
            <w:r w:rsidR="0065592B" w:rsidRPr="00C15646">
              <w:rPr>
                <w:lang w:val="lv-LV"/>
              </w:rPr>
              <w:t xml:space="preserve"> 3. punkts noteic, ka dokumentāri apliecinātos izdevumus, kas saistīti ar Nodrošinājuma valsts aģentūrā uzskaitītās izņemtās mantas vai dokumenta nodošanu glabāšanā, glabāšanu, realizāciju vai iznīcināšanu, sedz no aģentūrai šim mērķim piešķirtajiem </w:t>
            </w:r>
            <w:r w:rsidR="0065592B" w:rsidRPr="00C15646">
              <w:rPr>
                <w:lang w:val="lv-LV"/>
              </w:rPr>
              <w:lastRenderedPageBreak/>
              <w:t>valsts budžeta līdzekļiem, ja šajos noteikumos nav noteikts citādi.</w:t>
            </w:r>
            <w:r w:rsidR="00D0397A" w:rsidRPr="00C15646">
              <w:rPr>
                <w:lang w:val="lv-LV"/>
              </w:rPr>
              <w:t xml:space="preserve"> Tādējādi tas nav projektā regulējams jautājums.</w:t>
            </w:r>
          </w:p>
          <w:p w14:paraId="29E16B99" w14:textId="47E9A3B9" w:rsidR="00BF261A" w:rsidRPr="00C15646" w:rsidRDefault="00BF261A" w:rsidP="00D72A77">
            <w:pPr>
              <w:ind w:firstLine="284"/>
              <w:jc w:val="both"/>
              <w:rPr>
                <w:lang w:val="lv-LV"/>
              </w:rPr>
            </w:pPr>
          </w:p>
          <w:p w14:paraId="693AD38F" w14:textId="68781C3A" w:rsidR="00BF261A" w:rsidRPr="00C15646" w:rsidRDefault="00BF261A" w:rsidP="001E6889">
            <w:pPr>
              <w:ind w:firstLine="284"/>
              <w:jc w:val="both"/>
              <w:rPr>
                <w:b/>
                <w:lang w:val="lv-LV"/>
              </w:rPr>
            </w:pPr>
            <w:r w:rsidRPr="00C15646">
              <w:rPr>
                <w:b/>
                <w:lang w:val="lv-LV"/>
              </w:rPr>
              <w:t>3.6. </w:t>
            </w:r>
            <w:r w:rsidR="001E6889" w:rsidRPr="00C15646">
              <w:rPr>
                <w:b/>
                <w:lang w:val="lv-LV"/>
              </w:rPr>
              <w:t xml:space="preserve">Summas, kas izlietotas ekspertīzes veikšanai vai kompetentās iestādes atzinuma sagatavošanai  </w:t>
            </w:r>
            <w:r w:rsidRPr="00C15646">
              <w:rPr>
                <w:b/>
                <w:lang w:val="lv-LV"/>
              </w:rPr>
              <w:t>(Administratīvās atbildības likuma 75. panta pirmās daļas 5. punkts)</w:t>
            </w:r>
          </w:p>
          <w:p w14:paraId="057117D1" w14:textId="77777777" w:rsidR="000B03AC" w:rsidRPr="00C15646" w:rsidRDefault="002A7F9B" w:rsidP="00DC6011">
            <w:pPr>
              <w:ind w:firstLine="284"/>
              <w:jc w:val="both"/>
              <w:rPr>
                <w:lang w:val="lv-LV"/>
              </w:rPr>
            </w:pPr>
            <w:r w:rsidRPr="00C15646">
              <w:rPr>
                <w:lang w:val="lv-LV"/>
              </w:rPr>
              <w:t>Ministru kabineta 2005. gada 4. oktobra noteikumu Nr. 754 "Noteikumi par kriminālprocesuālo izdevumu atlīdzināšanas kārtību un apmēru"</w:t>
            </w:r>
            <w:r w:rsidR="00DC6011" w:rsidRPr="00C15646">
              <w:rPr>
                <w:lang w:val="lv-LV"/>
              </w:rPr>
              <w:t xml:space="preserve"> 8. punktā noteikts, ka izdevumus, kas radušies, veicot ekspertīzi, atlīdzina to faktiskajā apmērā.</w:t>
            </w:r>
            <w:r w:rsidR="00CD0CCC" w:rsidRPr="00C15646">
              <w:rPr>
                <w:lang w:val="lv-LV"/>
              </w:rPr>
              <w:t xml:space="preserve"> Līdzvērtīgs regulējums ir paredzēts projekta </w:t>
            </w:r>
            <w:r w:rsidR="00776166" w:rsidRPr="00C15646">
              <w:rPr>
                <w:lang w:val="lv-LV"/>
              </w:rPr>
              <w:t>17. punktā.</w:t>
            </w:r>
            <w:r w:rsidR="00AD7BEF" w:rsidRPr="00C15646">
              <w:rPr>
                <w:lang w:val="lv-LV"/>
              </w:rPr>
              <w:t xml:space="preserve"> Projekta regulējums tiešā veidā attiecas uz </w:t>
            </w:r>
            <w:r w:rsidR="007E7EEA" w:rsidRPr="00C15646">
              <w:rPr>
                <w:lang w:val="lv-LV"/>
              </w:rPr>
              <w:t xml:space="preserve">privātajiem tiesu ekspertiem un </w:t>
            </w:r>
            <w:r w:rsidR="00C61AC4" w:rsidRPr="00C15646">
              <w:rPr>
                <w:lang w:val="lv-LV"/>
              </w:rPr>
              <w:t>citām personām, kurām ir atbilstošas speciālas zināšanas (</w:t>
            </w:r>
            <w:r w:rsidR="000B03AC" w:rsidRPr="00C15646">
              <w:rPr>
                <w:lang w:val="lv-LV"/>
              </w:rPr>
              <w:t>Tiesu ekspertu likuma 3. panta pirmās daļas 2. punkts un otrā daļa).</w:t>
            </w:r>
          </w:p>
          <w:p w14:paraId="27C69E74" w14:textId="77777777" w:rsidR="001E6889" w:rsidRPr="00C15646" w:rsidRDefault="001E6889" w:rsidP="001E6889">
            <w:pPr>
              <w:ind w:firstLine="284"/>
              <w:jc w:val="both"/>
              <w:rPr>
                <w:b/>
                <w:lang w:val="lv-LV"/>
              </w:rPr>
            </w:pPr>
          </w:p>
          <w:p w14:paraId="2F296725" w14:textId="315A5397" w:rsidR="001E6889" w:rsidRPr="00C15646" w:rsidRDefault="001E6889" w:rsidP="003B500E">
            <w:pPr>
              <w:ind w:firstLine="284"/>
              <w:jc w:val="both"/>
              <w:rPr>
                <w:b/>
                <w:lang w:val="lv-LV"/>
              </w:rPr>
            </w:pPr>
            <w:r w:rsidRPr="00C15646">
              <w:rPr>
                <w:b/>
                <w:lang w:val="lv-LV"/>
              </w:rPr>
              <w:t>3.7. </w:t>
            </w:r>
            <w:r w:rsidR="003B500E" w:rsidRPr="00C15646">
              <w:rPr>
                <w:rFonts w:eastAsiaTheme="minorHAnsi"/>
                <w:b/>
                <w:lang w:val="lv-LV"/>
              </w:rPr>
              <w:t xml:space="preserve">Summas, kas saistītas ar apreibinošo vielu ietekmes konstatēšanai veiktajām pārbaudēm </w:t>
            </w:r>
            <w:r w:rsidRPr="00C15646">
              <w:rPr>
                <w:b/>
                <w:lang w:val="lv-LV"/>
              </w:rPr>
              <w:t xml:space="preserve">(Administratīvās atbildības likuma 75. panta pirmās daļas </w:t>
            </w:r>
            <w:r w:rsidR="003B500E" w:rsidRPr="00C15646">
              <w:rPr>
                <w:b/>
                <w:lang w:val="lv-LV"/>
              </w:rPr>
              <w:t>6</w:t>
            </w:r>
            <w:r w:rsidRPr="00C15646">
              <w:rPr>
                <w:b/>
                <w:lang w:val="lv-LV"/>
              </w:rPr>
              <w:t>. punkts)</w:t>
            </w:r>
          </w:p>
          <w:p w14:paraId="3AFD47AE" w14:textId="16A70E08" w:rsidR="00FD6836" w:rsidRPr="00C15646" w:rsidRDefault="003C141D" w:rsidP="00FD6836">
            <w:pPr>
              <w:ind w:firstLine="284"/>
              <w:jc w:val="both"/>
              <w:rPr>
                <w:lang w:val="lv-LV"/>
              </w:rPr>
            </w:pPr>
            <w:r w:rsidRPr="00C15646">
              <w:rPr>
                <w:lang w:val="lv-LV"/>
              </w:rPr>
              <w:t xml:space="preserve">Administratīvās atbildības likuma </w:t>
            </w:r>
            <w:r w:rsidR="00FD6836" w:rsidRPr="00C15646">
              <w:rPr>
                <w:lang w:val="lv-LV"/>
              </w:rPr>
              <w:t>75. panta otrajā daļā ir ietverts pilnvarojums Ministru kabinet</w:t>
            </w:r>
            <w:r w:rsidR="00AF00DA" w:rsidRPr="00C15646">
              <w:rPr>
                <w:lang w:val="lv-LV"/>
              </w:rPr>
              <w:t>am</w:t>
            </w:r>
            <w:r w:rsidR="00FD6836" w:rsidRPr="00C15646">
              <w:rPr>
                <w:lang w:val="lv-LV"/>
              </w:rPr>
              <w:t xml:space="preserve"> no</w:t>
            </w:r>
            <w:r w:rsidR="00AF00DA" w:rsidRPr="00C15646">
              <w:rPr>
                <w:lang w:val="lv-LV"/>
              </w:rPr>
              <w:t>teikt</w:t>
            </w:r>
            <w:r w:rsidR="00FD6836" w:rsidRPr="00C15646">
              <w:rPr>
                <w:lang w:val="lv-LV"/>
              </w:rPr>
              <w:t xml:space="preserve"> kārtību, kādā aprēķina izdevumus, kas saistīti ar apreibinošo vielu ietekmes konstatēšanai veiktajām pārbaudēm, un kārtību, kādā par minētajiem izdevumiem informē iestādi, kuras amatpersona pieņem nolēmumu par sodu.</w:t>
            </w:r>
            <w:r w:rsidR="00AF00DA" w:rsidRPr="00C15646">
              <w:rPr>
                <w:lang w:val="lv-LV"/>
              </w:rPr>
              <w:t xml:space="preserve"> Līdz ar to arī attiecīgo izdevumu apmēra regulējums izrietēs no šiem noteikumiem.</w:t>
            </w:r>
          </w:p>
          <w:p w14:paraId="725A136B" w14:textId="30691229" w:rsidR="00B561C0" w:rsidRPr="00C15646" w:rsidRDefault="00B561C0" w:rsidP="00D72A77">
            <w:pPr>
              <w:ind w:firstLine="284"/>
              <w:jc w:val="both"/>
              <w:rPr>
                <w:lang w:val="lv-LV"/>
              </w:rPr>
            </w:pPr>
          </w:p>
          <w:p w14:paraId="49EA7720" w14:textId="3EB72A29" w:rsidR="000B03AC" w:rsidRPr="00C15646" w:rsidRDefault="000B03AC" w:rsidP="00D72A77">
            <w:pPr>
              <w:ind w:firstLine="284"/>
              <w:jc w:val="both"/>
              <w:rPr>
                <w:b/>
                <w:lang w:val="lv-LV"/>
              </w:rPr>
            </w:pPr>
            <w:r w:rsidRPr="00C15646">
              <w:rPr>
                <w:b/>
                <w:lang w:val="lv-LV"/>
              </w:rPr>
              <w:t>3.8. </w:t>
            </w:r>
            <w:proofErr w:type="gramStart"/>
            <w:r w:rsidRPr="00C15646">
              <w:rPr>
                <w:b/>
                <w:lang w:val="lv-LV"/>
              </w:rPr>
              <w:t xml:space="preserve">Citi </w:t>
            </w:r>
            <w:r w:rsidR="002E08E1">
              <w:rPr>
                <w:b/>
                <w:lang w:val="lv-LV"/>
              </w:rPr>
              <w:t xml:space="preserve">procesuālie </w:t>
            </w:r>
            <w:r w:rsidRPr="00C15646">
              <w:rPr>
                <w:b/>
                <w:lang w:val="lv-LV"/>
              </w:rPr>
              <w:t>izdevumi</w:t>
            </w:r>
            <w:proofErr w:type="gramEnd"/>
          </w:p>
          <w:p w14:paraId="1D1F162E" w14:textId="786A9F3D" w:rsidR="003E11B1" w:rsidRPr="00C15646" w:rsidRDefault="00F5226B" w:rsidP="00D72A77">
            <w:pPr>
              <w:ind w:firstLine="284"/>
              <w:jc w:val="both"/>
              <w:rPr>
                <w:lang w:val="lv-LV"/>
              </w:rPr>
            </w:pPr>
            <w:r w:rsidRPr="00C15646">
              <w:rPr>
                <w:lang w:val="lv-LV"/>
              </w:rPr>
              <w:t>Projekta V nodaļa attiecas uz "citiem procesuālajiem izdevumiem".</w:t>
            </w:r>
            <w:r w:rsidR="00047F84" w:rsidRPr="00C15646">
              <w:rPr>
                <w:lang w:val="lv-LV"/>
              </w:rPr>
              <w:t xml:space="preserve"> Projekta </w:t>
            </w:r>
            <w:r w:rsidR="00014583" w:rsidRPr="00C15646">
              <w:rPr>
                <w:lang w:val="lv-LV"/>
              </w:rPr>
              <w:t>17. punkts nepaplašina un nevar paplašināt Administratīvās atbildības likum</w:t>
            </w:r>
            <w:r w:rsidR="00234081" w:rsidRPr="00C15646">
              <w:rPr>
                <w:lang w:val="lv-LV"/>
              </w:rPr>
              <w:t xml:space="preserve">ā noteikto sedzamo procesuālo izdevumu loku. Tā mērķis ir regulēt tos procesuālos izdevumus, ko nav nepieciešams </w:t>
            </w:r>
            <w:r w:rsidR="002E08E1">
              <w:rPr>
                <w:lang w:val="lv-LV"/>
              </w:rPr>
              <w:t xml:space="preserve">atsevišķi </w:t>
            </w:r>
            <w:r w:rsidR="00234081" w:rsidRPr="00C15646">
              <w:rPr>
                <w:lang w:val="lv-LV"/>
              </w:rPr>
              <w:t>detalizēti regulēt</w:t>
            </w:r>
            <w:r w:rsidR="002E08E1">
              <w:rPr>
                <w:lang w:val="lv-LV"/>
              </w:rPr>
              <w:t xml:space="preserve"> projektā</w:t>
            </w:r>
            <w:r w:rsidR="00234081" w:rsidRPr="00C15646">
              <w:rPr>
                <w:lang w:val="lv-LV"/>
              </w:rPr>
              <w:t xml:space="preserve"> (sal. projekta </w:t>
            </w:r>
            <w:r w:rsidR="00100A46" w:rsidRPr="00C15646">
              <w:rPr>
                <w:lang w:val="lv-LV"/>
              </w:rPr>
              <w:t xml:space="preserve">III un IV nodaļa). </w:t>
            </w:r>
            <w:r w:rsidR="00593BA4" w:rsidRPr="00C15646">
              <w:rPr>
                <w:lang w:val="lv-LV"/>
              </w:rPr>
              <w:t xml:space="preserve">Vienlaikus, ja Administratīvās atbildības likumā tiek mainīts procesuālo izdevumu veidu uzskaitījums, </w:t>
            </w:r>
            <w:r w:rsidR="00F50179" w:rsidRPr="00C15646">
              <w:rPr>
                <w:lang w:val="lv-LV"/>
              </w:rPr>
              <w:t xml:space="preserve">projektā paredzētais regulējums varētu būt pietiekami </w:t>
            </w:r>
            <w:proofErr w:type="spellStart"/>
            <w:r w:rsidR="00F50179" w:rsidRPr="00C15646">
              <w:rPr>
                <w:lang w:val="lv-LV"/>
              </w:rPr>
              <w:t>fleksibls</w:t>
            </w:r>
            <w:proofErr w:type="spellEnd"/>
            <w:r w:rsidR="00F50179" w:rsidRPr="00C15646">
              <w:rPr>
                <w:lang w:val="lv-LV"/>
              </w:rPr>
              <w:t>, lai risinātu arī šobrīd likumā neregulētas situācijas.</w:t>
            </w:r>
          </w:p>
          <w:p w14:paraId="373DD430" w14:textId="25840018" w:rsidR="00B600D2" w:rsidRDefault="00CC329B" w:rsidP="00A960AC">
            <w:pPr>
              <w:ind w:firstLine="284"/>
              <w:jc w:val="both"/>
              <w:rPr>
                <w:lang w:val="lv-LV"/>
              </w:rPr>
            </w:pPr>
            <w:r w:rsidRPr="00C15646">
              <w:rPr>
                <w:lang w:val="lv-LV"/>
              </w:rPr>
              <w:t>Projekta 17. punkts paredz, ka  citus procesuālos izdevumus sedz normatīvi noteiktajā vai faktiskajā apmērā</w:t>
            </w:r>
            <w:r w:rsidR="00477154" w:rsidRPr="00C15646">
              <w:rPr>
                <w:lang w:val="lv-LV"/>
              </w:rPr>
              <w:t xml:space="preserve">. "Normatīvi noteikts" apmērs nozīmē to, ka kārtība, kādā aprēķina sedzamos procesuālos izdevumus ir noteikta </w:t>
            </w:r>
            <w:proofErr w:type="gramStart"/>
            <w:r w:rsidR="00477154" w:rsidRPr="00C15646">
              <w:rPr>
                <w:lang w:val="lv-LV"/>
              </w:rPr>
              <w:t>citā normatīvajā aktā</w:t>
            </w:r>
            <w:proofErr w:type="gramEnd"/>
            <w:r w:rsidR="00477154" w:rsidRPr="00C15646">
              <w:rPr>
                <w:lang w:val="lv-LV"/>
              </w:rPr>
              <w:t xml:space="preserve"> (piemēram, </w:t>
            </w:r>
            <w:r w:rsidR="00B24B21" w:rsidRPr="00C15646">
              <w:rPr>
                <w:lang w:val="lv-LV"/>
              </w:rPr>
              <w:t>saskaņā ar Administratīvās atbildības likuma</w:t>
            </w:r>
            <w:r w:rsidR="00487C76" w:rsidRPr="00C15646">
              <w:rPr>
                <w:lang w:val="lv-LV"/>
              </w:rPr>
              <w:t xml:space="preserve"> 75. panta otro daļu Ministru kabinets nosaka kārtību, kādā aprēķina izdevumus, kas saistīti ar apreibinošo vielu ietekmes konstatēšanai veiktajām pārbaudēm</w:t>
            </w:r>
            <w:r w:rsidR="005D639C" w:rsidRPr="00C15646">
              <w:rPr>
                <w:lang w:val="lv-LV"/>
              </w:rPr>
              <w:t>). Savukārt "faktiskajā apmērā" sedzami, piemēram, Administratīvās atbildības likuma 75. panta pirmās daļas</w:t>
            </w:r>
            <w:r w:rsidR="00507FD1" w:rsidRPr="00C15646">
              <w:rPr>
                <w:lang w:val="lv-LV"/>
              </w:rPr>
              <w:t xml:space="preserve"> 5. punktā minētās</w:t>
            </w:r>
            <w:r w:rsidR="00C15646" w:rsidRPr="00C15646">
              <w:rPr>
                <w:lang w:val="lv-LV"/>
              </w:rPr>
              <w:t xml:space="preserve"> </w:t>
            </w:r>
            <w:r w:rsidR="00507FD1" w:rsidRPr="00C15646">
              <w:rPr>
                <w:lang w:val="lv-LV"/>
              </w:rPr>
              <w:t>summas, kas izlietotas ekspertīzes veikšanai</w:t>
            </w:r>
            <w:r w:rsidR="00C15646" w:rsidRPr="00C15646">
              <w:rPr>
                <w:lang w:val="lv-LV"/>
              </w:rPr>
              <w:t>.</w:t>
            </w:r>
          </w:p>
          <w:p w14:paraId="540464EC" w14:textId="47A08129" w:rsidR="00550B38" w:rsidRDefault="00550B38" w:rsidP="00A960AC">
            <w:pPr>
              <w:ind w:firstLine="284"/>
              <w:jc w:val="both"/>
              <w:rPr>
                <w:lang w:val="lv-LV"/>
              </w:rPr>
            </w:pPr>
          </w:p>
          <w:p w14:paraId="7387CA0C" w14:textId="48E9D081" w:rsidR="00550B38" w:rsidRDefault="00550B38" w:rsidP="00A960AC">
            <w:pPr>
              <w:ind w:firstLine="284"/>
              <w:jc w:val="both"/>
              <w:rPr>
                <w:b/>
                <w:lang w:val="lv-LV"/>
              </w:rPr>
            </w:pPr>
            <w:r>
              <w:rPr>
                <w:b/>
                <w:lang w:val="lv-LV"/>
              </w:rPr>
              <w:lastRenderedPageBreak/>
              <w:t>3.9. Projekta spēkā stāšanās</w:t>
            </w:r>
          </w:p>
          <w:p w14:paraId="4CF0C0BA" w14:textId="26A9A25E" w:rsidR="00550B38" w:rsidRPr="00550B38" w:rsidRDefault="00550B38" w:rsidP="00A960AC">
            <w:pPr>
              <w:ind w:firstLine="284"/>
              <w:jc w:val="both"/>
              <w:rPr>
                <w:lang w:val="lv-LV"/>
              </w:rPr>
            </w:pPr>
            <w:r>
              <w:rPr>
                <w:lang w:val="lv-LV"/>
              </w:rPr>
              <w:t>Projekt</w:t>
            </w:r>
            <w:r w:rsidR="00100E4F">
              <w:rPr>
                <w:lang w:val="lv-LV"/>
              </w:rPr>
              <w:t>s stājas spēkā vienlaikus ar Administratīvās atbildības likumu (projekta 18. punkts).</w:t>
            </w:r>
          </w:p>
          <w:p w14:paraId="62366021" w14:textId="6D10FA29" w:rsidR="00CB11F0" w:rsidRPr="00C15646" w:rsidRDefault="00CB11F0" w:rsidP="00DC2D64">
            <w:pPr>
              <w:ind w:firstLine="284"/>
              <w:jc w:val="both"/>
              <w:rPr>
                <w:lang w:val="lv-LV"/>
              </w:rPr>
            </w:pPr>
          </w:p>
        </w:tc>
      </w:tr>
      <w:tr w:rsidR="009E7A9C" w:rsidRPr="00C15646" w14:paraId="1EAB1F68" w14:textId="77777777" w:rsidTr="00314220">
        <w:trPr>
          <w:gridAfter w:val="1"/>
          <w:wAfter w:w="43" w:type="dxa"/>
          <w:trHeight w:val="1071"/>
        </w:trPr>
        <w:tc>
          <w:tcPr>
            <w:tcW w:w="673" w:type="dxa"/>
            <w:tcBorders>
              <w:bottom w:val="single" w:sz="4" w:space="0" w:color="auto"/>
            </w:tcBorders>
          </w:tcPr>
          <w:p w14:paraId="7A9DE469" w14:textId="77777777" w:rsidR="009E7A9C" w:rsidRPr="00C15646" w:rsidRDefault="009E7A9C" w:rsidP="009E7A9C">
            <w:pPr>
              <w:rPr>
                <w:lang w:val="lv-LV" w:eastAsia="lv-LV"/>
              </w:rPr>
            </w:pPr>
            <w:r w:rsidRPr="00C15646">
              <w:rPr>
                <w:lang w:val="lv-LV" w:eastAsia="lv-LV"/>
              </w:rPr>
              <w:lastRenderedPageBreak/>
              <w:t xml:space="preserve">3.  </w:t>
            </w:r>
          </w:p>
        </w:tc>
        <w:tc>
          <w:tcPr>
            <w:tcW w:w="2431" w:type="dxa"/>
            <w:gridSpan w:val="3"/>
            <w:tcBorders>
              <w:bottom w:val="single" w:sz="4" w:space="0" w:color="auto"/>
            </w:tcBorders>
          </w:tcPr>
          <w:p w14:paraId="165092AC" w14:textId="77777777" w:rsidR="009E7A9C" w:rsidRPr="00C15646" w:rsidRDefault="009E7A9C" w:rsidP="009E7A9C">
            <w:pPr>
              <w:ind w:right="182"/>
              <w:jc w:val="both"/>
              <w:rPr>
                <w:lang w:val="lv-LV" w:eastAsia="lv-LV"/>
              </w:rPr>
            </w:pPr>
            <w:r w:rsidRPr="00C15646">
              <w:rPr>
                <w:lang w:val="lv-LV" w:eastAsia="lv-LV"/>
              </w:rPr>
              <w:t>Projekta izstrādē iesaistītās institūcijas un publiskas personas kapitālsabiedrības</w:t>
            </w:r>
          </w:p>
        </w:tc>
        <w:tc>
          <w:tcPr>
            <w:tcW w:w="5978" w:type="dxa"/>
            <w:gridSpan w:val="8"/>
            <w:tcBorders>
              <w:bottom w:val="single" w:sz="4" w:space="0" w:color="auto"/>
            </w:tcBorders>
          </w:tcPr>
          <w:p w14:paraId="1F9B2A1B" w14:textId="5D4C0FF6" w:rsidR="009E7A9C" w:rsidRPr="00C15646" w:rsidRDefault="009E7A9C" w:rsidP="00CB11F0">
            <w:pPr>
              <w:ind w:firstLine="296"/>
              <w:jc w:val="both"/>
              <w:rPr>
                <w:lang w:val="lv-LV" w:eastAsia="lv-LV"/>
              </w:rPr>
            </w:pPr>
            <w:r w:rsidRPr="00C15646">
              <w:rPr>
                <w:rFonts w:eastAsia="Calibri"/>
                <w:lang w:val="lv-LV"/>
              </w:rPr>
              <w:t>Tieslietu ministrija</w:t>
            </w:r>
          </w:p>
        </w:tc>
      </w:tr>
      <w:tr w:rsidR="009E7A9C" w:rsidRPr="00C15646" w14:paraId="05A6ECA3" w14:textId="77777777" w:rsidTr="00314220">
        <w:trPr>
          <w:gridAfter w:val="1"/>
          <w:wAfter w:w="43" w:type="dxa"/>
          <w:trHeight w:val="384"/>
        </w:trPr>
        <w:tc>
          <w:tcPr>
            <w:tcW w:w="673" w:type="dxa"/>
            <w:tcBorders>
              <w:bottom w:val="single" w:sz="4" w:space="0" w:color="auto"/>
            </w:tcBorders>
          </w:tcPr>
          <w:p w14:paraId="25E0AB34" w14:textId="77777777" w:rsidR="009E7A9C" w:rsidRPr="00C15646" w:rsidRDefault="009E7A9C" w:rsidP="009E7A9C">
            <w:pPr>
              <w:rPr>
                <w:lang w:val="lv-LV" w:eastAsia="lv-LV"/>
              </w:rPr>
            </w:pPr>
            <w:r w:rsidRPr="00C15646">
              <w:rPr>
                <w:lang w:val="lv-LV" w:eastAsia="lv-LV"/>
              </w:rPr>
              <w:t>4.</w:t>
            </w:r>
          </w:p>
        </w:tc>
        <w:tc>
          <w:tcPr>
            <w:tcW w:w="2431" w:type="dxa"/>
            <w:gridSpan w:val="3"/>
            <w:tcBorders>
              <w:bottom w:val="single" w:sz="4" w:space="0" w:color="auto"/>
            </w:tcBorders>
          </w:tcPr>
          <w:p w14:paraId="3714BC3D" w14:textId="77777777" w:rsidR="009E7A9C" w:rsidRPr="00C15646" w:rsidRDefault="009E7A9C" w:rsidP="009E7A9C">
            <w:pPr>
              <w:rPr>
                <w:lang w:val="lv-LV" w:eastAsia="lv-LV"/>
              </w:rPr>
            </w:pPr>
            <w:r w:rsidRPr="00C15646">
              <w:rPr>
                <w:lang w:val="lv-LV" w:eastAsia="lv-LV"/>
              </w:rPr>
              <w:t>Cita informācija</w:t>
            </w:r>
          </w:p>
        </w:tc>
        <w:tc>
          <w:tcPr>
            <w:tcW w:w="5978" w:type="dxa"/>
            <w:gridSpan w:val="8"/>
            <w:tcBorders>
              <w:bottom w:val="single" w:sz="4" w:space="0" w:color="auto"/>
            </w:tcBorders>
          </w:tcPr>
          <w:p w14:paraId="31863B8A" w14:textId="77777777" w:rsidR="009E7A9C" w:rsidRPr="00C15646" w:rsidRDefault="009E7A9C" w:rsidP="00A761C8">
            <w:pPr>
              <w:ind w:firstLine="296"/>
              <w:jc w:val="both"/>
              <w:rPr>
                <w:bCs/>
                <w:lang w:val="lv-LV" w:eastAsia="lv-LV"/>
              </w:rPr>
            </w:pPr>
            <w:r w:rsidRPr="00C15646">
              <w:rPr>
                <w:bCs/>
                <w:lang w:val="lv-LV" w:eastAsia="lv-LV"/>
              </w:rPr>
              <w:t>Nav.</w:t>
            </w:r>
          </w:p>
        </w:tc>
      </w:tr>
      <w:tr w:rsidR="009E7A9C" w:rsidRPr="00C15646" w14:paraId="0BF0E5F0" w14:textId="77777777" w:rsidTr="00314220">
        <w:trPr>
          <w:gridAfter w:val="1"/>
          <w:wAfter w:w="43" w:type="dxa"/>
          <w:trHeight w:val="384"/>
        </w:trPr>
        <w:tc>
          <w:tcPr>
            <w:tcW w:w="673" w:type="dxa"/>
            <w:tcBorders>
              <w:top w:val="single" w:sz="4" w:space="0" w:color="auto"/>
              <w:left w:val="nil"/>
              <w:bottom w:val="nil"/>
              <w:right w:val="nil"/>
            </w:tcBorders>
          </w:tcPr>
          <w:p w14:paraId="6FD0D1F9" w14:textId="77777777" w:rsidR="009E7A9C" w:rsidRPr="00C15646" w:rsidRDefault="009E7A9C" w:rsidP="009E7A9C">
            <w:pPr>
              <w:rPr>
                <w:lang w:val="lv-LV" w:eastAsia="lv-LV"/>
              </w:rPr>
            </w:pPr>
          </w:p>
        </w:tc>
        <w:tc>
          <w:tcPr>
            <w:tcW w:w="2431" w:type="dxa"/>
            <w:gridSpan w:val="3"/>
            <w:tcBorders>
              <w:top w:val="single" w:sz="4" w:space="0" w:color="auto"/>
              <w:left w:val="nil"/>
              <w:bottom w:val="nil"/>
              <w:right w:val="nil"/>
            </w:tcBorders>
          </w:tcPr>
          <w:p w14:paraId="39143678" w14:textId="77777777" w:rsidR="009E7A9C" w:rsidRPr="00C15646" w:rsidRDefault="009E7A9C" w:rsidP="009E7A9C">
            <w:pPr>
              <w:rPr>
                <w:lang w:val="lv-LV" w:eastAsia="lv-LV"/>
              </w:rPr>
            </w:pPr>
          </w:p>
        </w:tc>
        <w:tc>
          <w:tcPr>
            <w:tcW w:w="5978" w:type="dxa"/>
            <w:gridSpan w:val="8"/>
            <w:tcBorders>
              <w:top w:val="single" w:sz="4" w:space="0" w:color="auto"/>
              <w:left w:val="nil"/>
              <w:bottom w:val="nil"/>
              <w:right w:val="nil"/>
            </w:tcBorders>
          </w:tcPr>
          <w:p w14:paraId="577A5A8E" w14:textId="77777777" w:rsidR="009E7A9C" w:rsidRPr="00C15646" w:rsidRDefault="009E7A9C" w:rsidP="009E7A9C">
            <w:pPr>
              <w:jc w:val="both"/>
              <w:rPr>
                <w:bCs/>
                <w:lang w:val="lv-LV" w:eastAsia="lv-LV"/>
              </w:rPr>
            </w:pPr>
          </w:p>
        </w:tc>
      </w:tr>
      <w:tr w:rsidR="009E7A9C" w:rsidRPr="00C15646" w14:paraId="47453173" w14:textId="77777777" w:rsidTr="00314220">
        <w:tc>
          <w:tcPr>
            <w:tcW w:w="9125" w:type="dxa"/>
            <w:gridSpan w:val="13"/>
            <w:vAlign w:val="center"/>
          </w:tcPr>
          <w:p w14:paraId="33B1CE54" w14:textId="77777777" w:rsidR="009E7A9C" w:rsidRPr="00C15646" w:rsidRDefault="009E7A9C" w:rsidP="009E7A9C">
            <w:pPr>
              <w:jc w:val="center"/>
              <w:rPr>
                <w:b/>
                <w:bCs/>
                <w:lang w:val="lv-LV" w:eastAsia="lv-LV"/>
              </w:rPr>
            </w:pPr>
            <w:r w:rsidRPr="00C15646">
              <w:rPr>
                <w:b/>
                <w:bCs/>
                <w:lang w:val="lv-LV" w:eastAsia="lv-LV"/>
              </w:rPr>
              <w:t>II. Tiesību akta projekta ietekme uz sabiedrību, tautsaimniecības attīstību un administratīvo slogu</w:t>
            </w:r>
          </w:p>
        </w:tc>
      </w:tr>
      <w:tr w:rsidR="009E7A9C" w:rsidRPr="00B661F5" w14:paraId="76C6A40A" w14:textId="77777777" w:rsidTr="00314220">
        <w:trPr>
          <w:trHeight w:val="467"/>
        </w:trPr>
        <w:tc>
          <w:tcPr>
            <w:tcW w:w="673" w:type="dxa"/>
          </w:tcPr>
          <w:p w14:paraId="4486E6D0" w14:textId="77777777" w:rsidR="009E7A9C" w:rsidRPr="00C15646" w:rsidRDefault="009E7A9C" w:rsidP="009E7A9C">
            <w:pPr>
              <w:rPr>
                <w:lang w:val="lv-LV" w:eastAsia="lv-LV"/>
              </w:rPr>
            </w:pPr>
            <w:r w:rsidRPr="00C15646">
              <w:rPr>
                <w:lang w:val="lv-LV" w:eastAsia="lv-LV"/>
              </w:rPr>
              <w:t>1.</w:t>
            </w:r>
          </w:p>
        </w:tc>
        <w:tc>
          <w:tcPr>
            <w:tcW w:w="2431" w:type="dxa"/>
            <w:gridSpan w:val="3"/>
          </w:tcPr>
          <w:p w14:paraId="065191D5" w14:textId="77777777" w:rsidR="009E7A9C" w:rsidRPr="00C15646" w:rsidRDefault="009E7A9C" w:rsidP="009E7A9C">
            <w:pPr>
              <w:rPr>
                <w:lang w:val="lv-LV" w:eastAsia="lv-LV"/>
              </w:rPr>
            </w:pPr>
            <w:r w:rsidRPr="00C15646">
              <w:rPr>
                <w:lang w:val="lv-LV" w:eastAsia="lv-LV"/>
              </w:rPr>
              <w:t>Sabiedrības mērķgrupas, kuras tiesiskais regulējums ietekmē vai varētu ietekmēt</w:t>
            </w:r>
          </w:p>
        </w:tc>
        <w:tc>
          <w:tcPr>
            <w:tcW w:w="6021" w:type="dxa"/>
            <w:gridSpan w:val="9"/>
          </w:tcPr>
          <w:p w14:paraId="02544ACF" w14:textId="2FDFE7A3" w:rsidR="009E7A9C" w:rsidRPr="00C15646" w:rsidRDefault="006C1E3F" w:rsidP="009E7A9C">
            <w:pPr>
              <w:ind w:firstLine="425"/>
              <w:jc w:val="both"/>
              <w:rPr>
                <w:lang w:val="lv-LV" w:eastAsia="lv-LV"/>
              </w:rPr>
            </w:pPr>
            <w:r w:rsidRPr="00C15646">
              <w:rPr>
                <w:lang w:val="lv-LV" w:eastAsia="lv-LV"/>
              </w:rPr>
              <w:t xml:space="preserve">Projekts attiecas uz personām, </w:t>
            </w:r>
            <w:r w:rsidR="001A556A" w:rsidRPr="00C15646">
              <w:rPr>
                <w:lang w:val="lv-LV" w:eastAsia="lv-LV"/>
              </w:rPr>
              <w:t xml:space="preserve">kuras piedalās administratīvā pārkāpuma procesā un kurām ir tiesības uz procesuālo izdevumu segšanu (piemēram, </w:t>
            </w:r>
            <w:r w:rsidR="00A22E5F" w:rsidRPr="00C15646">
              <w:rPr>
                <w:lang w:val="lv-LV" w:eastAsia="lv-LV"/>
              </w:rPr>
              <w:t>cietušie, liecinieki, eksperti, tulki)</w:t>
            </w:r>
            <w:r w:rsidR="00CE0926">
              <w:rPr>
                <w:lang w:val="lv-LV" w:eastAsia="lv-LV"/>
              </w:rPr>
              <w:t>, kā arī</w:t>
            </w:r>
            <w:r w:rsidR="00C27FEC">
              <w:rPr>
                <w:lang w:val="lv-LV" w:eastAsia="lv-LV"/>
              </w:rPr>
              <w:t xml:space="preserve"> darba devējiem, kuru darbinieki neveic darbu</w:t>
            </w:r>
            <w:r w:rsidR="00874447">
              <w:rPr>
                <w:lang w:val="lv-LV" w:eastAsia="lv-LV"/>
              </w:rPr>
              <w:t>.</w:t>
            </w:r>
          </w:p>
        </w:tc>
      </w:tr>
      <w:tr w:rsidR="009E7A9C" w:rsidRPr="00B661F5" w14:paraId="5FCE567E" w14:textId="77777777" w:rsidTr="00314220">
        <w:trPr>
          <w:trHeight w:val="523"/>
        </w:trPr>
        <w:tc>
          <w:tcPr>
            <w:tcW w:w="673" w:type="dxa"/>
          </w:tcPr>
          <w:p w14:paraId="3D90005B" w14:textId="77777777" w:rsidR="009E7A9C" w:rsidRPr="00C15646" w:rsidRDefault="009E7A9C" w:rsidP="009E7A9C">
            <w:pPr>
              <w:jc w:val="both"/>
              <w:rPr>
                <w:lang w:val="lv-LV" w:eastAsia="lv-LV"/>
              </w:rPr>
            </w:pPr>
            <w:r w:rsidRPr="00C15646">
              <w:rPr>
                <w:lang w:val="lv-LV" w:eastAsia="lv-LV"/>
              </w:rPr>
              <w:t>2.</w:t>
            </w:r>
          </w:p>
        </w:tc>
        <w:tc>
          <w:tcPr>
            <w:tcW w:w="2431" w:type="dxa"/>
            <w:gridSpan w:val="3"/>
          </w:tcPr>
          <w:p w14:paraId="586A830A" w14:textId="77777777" w:rsidR="009E7A9C" w:rsidRPr="00C15646" w:rsidRDefault="009E7A9C" w:rsidP="009E7A9C">
            <w:pPr>
              <w:jc w:val="both"/>
              <w:rPr>
                <w:lang w:val="lv-LV" w:eastAsia="lv-LV"/>
              </w:rPr>
            </w:pPr>
            <w:r w:rsidRPr="00C15646">
              <w:rPr>
                <w:lang w:val="lv-LV" w:eastAsia="lv-LV"/>
              </w:rPr>
              <w:t>Tiesiskā regulējuma ietekme uz tautsaimniecību un administratīvo slogu</w:t>
            </w:r>
          </w:p>
        </w:tc>
        <w:tc>
          <w:tcPr>
            <w:tcW w:w="6021" w:type="dxa"/>
            <w:gridSpan w:val="9"/>
          </w:tcPr>
          <w:p w14:paraId="3E3F9B2A" w14:textId="3506F264" w:rsidR="009E7A9C" w:rsidRDefault="005A36AA" w:rsidP="009E7A9C">
            <w:pPr>
              <w:ind w:firstLine="283"/>
              <w:jc w:val="both"/>
              <w:rPr>
                <w:lang w:val="lv-LV"/>
              </w:rPr>
            </w:pPr>
            <w:r>
              <w:rPr>
                <w:lang w:val="lv-LV"/>
              </w:rPr>
              <w:t>Projekt</w:t>
            </w:r>
            <w:r w:rsidR="004D5FB8">
              <w:rPr>
                <w:lang w:val="lv-LV"/>
              </w:rPr>
              <w:t xml:space="preserve">s </w:t>
            </w:r>
            <w:r w:rsidR="00AA3079">
              <w:rPr>
                <w:lang w:val="lv-LV"/>
              </w:rPr>
              <w:t>labvēlīgi ietekmē darba devējus, kuru darbinieki neveic darbu</w:t>
            </w:r>
            <w:r w:rsidR="004D5FB8">
              <w:rPr>
                <w:lang w:val="lv-LV"/>
              </w:rPr>
              <w:t xml:space="preserve"> sakarā ar piedalīšos administratīvā pārkāpuma procesā</w:t>
            </w:r>
            <w:r w:rsidR="000C672E">
              <w:rPr>
                <w:lang w:val="lv-LV"/>
              </w:rPr>
              <w:t xml:space="preserve"> liecinieka vai cietušā statusā. </w:t>
            </w:r>
            <w:r w:rsidR="0030633F">
              <w:rPr>
                <w:lang w:val="lv-LV"/>
              </w:rPr>
              <w:t xml:space="preserve">Projekts paredz </w:t>
            </w:r>
            <w:r w:rsidR="007B6057">
              <w:rPr>
                <w:lang w:val="lv-LV"/>
              </w:rPr>
              <w:t xml:space="preserve">ātru, </w:t>
            </w:r>
            <w:r w:rsidR="0030633F">
              <w:rPr>
                <w:lang w:val="lv-LV"/>
              </w:rPr>
              <w:t>vienkāršu un skaidru kārtību</w:t>
            </w:r>
            <w:r w:rsidR="00D17AC6">
              <w:rPr>
                <w:lang w:val="lv-LV"/>
              </w:rPr>
              <w:t>, kādā notiek darba samaksas segšana.</w:t>
            </w:r>
          </w:p>
          <w:p w14:paraId="0115D954" w14:textId="78BA64C0" w:rsidR="00F64381" w:rsidRDefault="00C436A8" w:rsidP="00BA14AB">
            <w:pPr>
              <w:ind w:firstLine="283"/>
              <w:jc w:val="both"/>
              <w:rPr>
                <w:lang w:val="lv-LV"/>
              </w:rPr>
            </w:pPr>
            <w:r>
              <w:rPr>
                <w:lang w:val="lv-LV"/>
              </w:rPr>
              <w:t>Projekts palielina administratīvo slogu iestādēm</w:t>
            </w:r>
            <w:r w:rsidR="00D44991">
              <w:rPr>
                <w:lang w:val="lv-LV"/>
              </w:rPr>
              <w:t xml:space="preserve">, kuru </w:t>
            </w:r>
            <w:r w:rsidR="00B80593">
              <w:rPr>
                <w:lang w:val="lv-LV"/>
              </w:rPr>
              <w:t>amat</w:t>
            </w:r>
            <w:r w:rsidR="00D44991">
              <w:rPr>
                <w:lang w:val="lv-LV"/>
              </w:rPr>
              <w:t>person</w:t>
            </w:r>
            <w:r w:rsidR="00B80593">
              <w:rPr>
                <w:lang w:val="lv-LV"/>
              </w:rPr>
              <w:t xml:space="preserve">as </w:t>
            </w:r>
            <w:r w:rsidR="00D44991">
              <w:rPr>
                <w:lang w:val="lv-LV"/>
              </w:rPr>
              <w:t>veic administratīvā pārkāpuma procesu</w:t>
            </w:r>
            <w:r w:rsidR="00B80593">
              <w:rPr>
                <w:lang w:val="lv-LV"/>
              </w:rPr>
              <w:t>, kā arī iestādei, kas administrē tiesas budžetu.</w:t>
            </w:r>
            <w:r w:rsidR="0029683A">
              <w:rPr>
                <w:lang w:val="lv-LV"/>
              </w:rPr>
              <w:t xml:space="preserve"> Projekts paredz pienākumu izskatīt personu iesniegumus un izmaksā</w:t>
            </w:r>
            <w:r w:rsidR="002148FF">
              <w:rPr>
                <w:lang w:val="lv-LV"/>
              </w:rPr>
              <w:t>t</w:t>
            </w:r>
            <w:r w:rsidR="0029683A">
              <w:rPr>
                <w:lang w:val="lv-LV"/>
              </w:rPr>
              <w:t xml:space="preserve"> procesuālo izdevumu atlīdzību. Vienlaikus projekts detalizēti neregulē </w:t>
            </w:r>
            <w:r w:rsidR="00BA14AB">
              <w:rPr>
                <w:lang w:val="lv-LV"/>
              </w:rPr>
              <w:t>personas, kas veic administratīvā pārkāpuma procesu</w:t>
            </w:r>
            <w:proofErr w:type="gramStart"/>
            <w:r w:rsidR="00BA14AB">
              <w:rPr>
                <w:lang w:val="lv-LV"/>
              </w:rPr>
              <w:t>, un iestādes sadarbības kārtību</w:t>
            </w:r>
            <w:proofErr w:type="gramEnd"/>
            <w:r w:rsidR="00BA14AB">
              <w:rPr>
                <w:lang w:val="lv-LV"/>
              </w:rPr>
              <w:t>, atstājot iespēju katrā konkrētajā gadījumā izveidot iespējami efektīvu sadarbības modeli.</w:t>
            </w:r>
          </w:p>
          <w:p w14:paraId="09320AA0" w14:textId="2B5543C6" w:rsidR="00BA14AB" w:rsidRPr="00C15646" w:rsidRDefault="00BA14AB" w:rsidP="00BA14AB">
            <w:pPr>
              <w:ind w:firstLine="283"/>
              <w:jc w:val="both"/>
              <w:rPr>
                <w:lang w:val="lv-LV"/>
              </w:rPr>
            </w:pPr>
          </w:p>
        </w:tc>
      </w:tr>
      <w:tr w:rsidR="009E7A9C" w:rsidRPr="00C15646" w14:paraId="57839E15" w14:textId="77777777" w:rsidTr="00314220">
        <w:trPr>
          <w:trHeight w:val="357"/>
        </w:trPr>
        <w:tc>
          <w:tcPr>
            <w:tcW w:w="673" w:type="dxa"/>
          </w:tcPr>
          <w:p w14:paraId="09D90CB9" w14:textId="77777777" w:rsidR="009E7A9C" w:rsidRPr="00C15646" w:rsidRDefault="009E7A9C" w:rsidP="009E7A9C">
            <w:pPr>
              <w:jc w:val="both"/>
              <w:rPr>
                <w:lang w:val="lv-LV" w:eastAsia="lv-LV"/>
              </w:rPr>
            </w:pPr>
            <w:r w:rsidRPr="00C15646">
              <w:rPr>
                <w:lang w:val="lv-LV" w:eastAsia="lv-LV"/>
              </w:rPr>
              <w:t>3.</w:t>
            </w:r>
          </w:p>
        </w:tc>
        <w:tc>
          <w:tcPr>
            <w:tcW w:w="2431" w:type="dxa"/>
            <w:gridSpan w:val="3"/>
          </w:tcPr>
          <w:p w14:paraId="66C9CCBA" w14:textId="77777777" w:rsidR="009E7A9C" w:rsidRPr="00C15646" w:rsidRDefault="009E7A9C" w:rsidP="009E7A9C">
            <w:pPr>
              <w:jc w:val="both"/>
              <w:rPr>
                <w:lang w:val="lv-LV" w:eastAsia="lv-LV"/>
              </w:rPr>
            </w:pPr>
            <w:r w:rsidRPr="00C15646">
              <w:rPr>
                <w:lang w:val="lv-LV" w:eastAsia="lv-LV"/>
              </w:rPr>
              <w:t>Administratīvo izmaksu monetārs novērtējums</w:t>
            </w:r>
          </w:p>
        </w:tc>
        <w:tc>
          <w:tcPr>
            <w:tcW w:w="6021" w:type="dxa"/>
            <w:gridSpan w:val="9"/>
          </w:tcPr>
          <w:p w14:paraId="47D87EC1" w14:textId="40B65388" w:rsidR="009E7A9C" w:rsidRPr="00C15646" w:rsidRDefault="00CC4C74" w:rsidP="007F55C5">
            <w:pPr>
              <w:pStyle w:val="tv2132"/>
              <w:spacing w:line="240" w:lineRule="auto"/>
              <w:jc w:val="both"/>
              <w:rPr>
                <w:color w:val="auto"/>
                <w:sz w:val="24"/>
                <w:szCs w:val="24"/>
                <w:lang w:val="lv-LV"/>
              </w:rPr>
            </w:pPr>
            <w:r>
              <w:rPr>
                <w:color w:val="auto"/>
                <w:sz w:val="24"/>
                <w:szCs w:val="24"/>
                <w:lang w:val="lv-LV"/>
              </w:rPr>
              <w:t>Projekts šo jomu neskar.</w:t>
            </w:r>
          </w:p>
        </w:tc>
      </w:tr>
      <w:tr w:rsidR="009E7A9C" w:rsidRPr="00C15646" w14:paraId="6FB55F24" w14:textId="77777777" w:rsidTr="00314220">
        <w:trPr>
          <w:trHeight w:val="357"/>
        </w:trPr>
        <w:tc>
          <w:tcPr>
            <w:tcW w:w="673" w:type="dxa"/>
            <w:tcBorders>
              <w:bottom w:val="single" w:sz="4" w:space="0" w:color="auto"/>
            </w:tcBorders>
          </w:tcPr>
          <w:p w14:paraId="6F548203" w14:textId="77777777" w:rsidR="009E7A9C" w:rsidRPr="00C15646" w:rsidRDefault="009E7A9C" w:rsidP="009E7A9C">
            <w:pPr>
              <w:jc w:val="both"/>
              <w:rPr>
                <w:lang w:val="lv-LV" w:eastAsia="lv-LV"/>
              </w:rPr>
            </w:pPr>
            <w:r w:rsidRPr="00C15646">
              <w:rPr>
                <w:lang w:val="lv-LV" w:eastAsia="lv-LV"/>
              </w:rPr>
              <w:t>4.</w:t>
            </w:r>
          </w:p>
        </w:tc>
        <w:tc>
          <w:tcPr>
            <w:tcW w:w="2431" w:type="dxa"/>
            <w:gridSpan w:val="3"/>
            <w:tcBorders>
              <w:bottom w:val="single" w:sz="4" w:space="0" w:color="auto"/>
            </w:tcBorders>
          </w:tcPr>
          <w:p w14:paraId="180CACFF" w14:textId="77777777" w:rsidR="009E7A9C" w:rsidRPr="00C15646" w:rsidRDefault="009E7A9C" w:rsidP="009E7A9C">
            <w:pPr>
              <w:jc w:val="both"/>
              <w:rPr>
                <w:lang w:val="lv-LV" w:eastAsia="lv-LV"/>
              </w:rPr>
            </w:pPr>
            <w:r w:rsidRPr="00C15646">
              <w:rPr>
                <w:lang w:val="lv-LV"/>
              </w:rPr>
              <w:t>Atbilstības izmaksu monetārs novērtējums</w:t>
            </w:r>
          </w:p>
        </w:tc>
        <w:tc>
          <w:tcPr>
            <w:tcW w:w="6021" w:type="dxa"/>
            <w:gridSpan w:val="9"/>
            <w:tcBorders>
              <w:bottom w:val="single" w:sz="4" w:space="0" w:color="auto"/>
            </w:tcBorders>
          </w:tcPr>
          <w:p w14:paraId="39556883" w14:textId="003A169C" w:rsidR="009E7A9C" w:rsidRPr="00C15646" w:rsidRDefault="00205E4D" w:rsidP="009E7A9C">
            <w:pPr>
              <w:ind w:firstLine="300"/>
              <w:jc w:val="both"/>
              <w:rPr>
                <w:lang w:val="lv-LV"/>
              </w:rPr>
            </w:pPr>
            <w:r w:rsidRPr="00C15646">
              <w:rPr>
                <w:lang w:val="lv-LV"/>
              </w:rPr>
              <w:t>P</w:t>
            </w:r>
            <w:r w:rsidR="009E7A9C" w:rsidRPr="00C15646">
              <w:rPr>
                <w:lang w:val="lv-LV"/>
              </w:rPr>
              <w:t>rojekts šo jomu neskar.</w:t>
            </w:r>
          </w:p>
          <w:p w14:paraId="1C973412" w14:textId="77777777" w:rsidR="009E7A9C" w:rsidRPr="00C15646" w:rsidRDefault="009E7A9C" w:rsidP="009E7A9C">
            <w:pPr>
              <w:ind w:firstLine="300"/>
              <w:jc w:val="both"/>
              <w:rPr>
                <w:lang w:val="lv-LV"/>
              </w:rPr>
            </w:pPr>
          </w:p>
        </w:tc>
      </w:tr>
      <w:tr w:rsidR="009E7A9C" w:rsidRPr="00C15646" w14:paraId="33CA9605" w14:textId="77777777" w:rsidTr="00314220">
        <w:trPr>
          <w:trHeight w:val="366"/>
        </w:trPr>
        <w:tc>
          <w:tcPr>
            <w:tcW w:w="673" w:type="dxa"/>
            <w:tcBorders>
              <w:bottom w:val="single" w:sz="4" w:space="0" w:color="auto"/>
            </w:tcBorders>
          </w:tcPr>
          <w:p w14:paraId="1C0FE8A8" w14:textId="77777777" w:rsidR="009E7A9C" w:rsidRPr="00C15646" w:rsidRDefault="009E7A9C" w:rsidP="009E7A9C">
            <w:pPr>
              <w:jc w:val="both"/>
              <w:rPr>
                <w:lang w:val="lv-LV" w:eastAsia="lv-LV"/>
              </w:rPr>
            </w:pPr>
            <w:r w:rsidRPr="00C15646">
              <w:rPr>
                <w:lang w:val="lv-LV" w:eastAsia="lv-LV"/>
              </w:rPr>
              <w:t>5.</w:t>
            </w:r>
          </w:p>
        </w:tc>
        <w:tc>
          <w:tcPr>
            <w:tcW w:w="2431" w:type="dxa"/>
            <w:gridSpan w:val="3"/>
            <w:tcBorders>
              <w:bottom w:val="single" w:sz="4" w:space="0" w:color="auto"/>
            </w:tcBorders>
          </w:tcPr>
          <w:p w14:paraId="295D432F" w14:textId="77777777" w:rsidR="009E7A9C" w:rsidRPr="00C15646" w:rsidRDefault="009E7A9C" w:rsidP="009E7A9C">
            <w:pPr>
              <w:jc w:val="both"/>
              <w:rPr>
                <w:lang w:val="lv-LV" w:eastAsia="lv-LV"/>
              </w:rPr>
            </w:pPr>
            <w:r w:rsidRPr="00C15646">
              <w:rPr>
                <w:lang w:val="lv-LV" w:eastAsia="lv-LV"/>
              </w:rPr>
              <w:t>Cita informācija</w:t>
            </w:r>
          </w:p>
        </w:tc>
        <w:tc>
          <w:tcPr>
            <w:tcW w:w="6021" w:type="dxa"/>
            <w:gridSpan w:val="9"/>
            <w:tcBorders>
              <w:bottom w:val="single" w:sz="4" w:space="0" w:color="auto"/>
            </w:tcBorders>
          </w:tcPr>
          <w:p w14:paraId="79E726DB" w14:textId="77777777" w:rsidR="009E7A9C" w:rsidRPr="00C15646" w:rsidRDefault="009E7A9C" w:rsidP="00A761C8">
            <w:pPr>
              <w:ind w:firstLine="296"/>
              <w:rPr>
                <w:lang w:val="lv-LV" w:eastAsia="lv-LV"/>
              </w:rPr>
            </w:pPr>
            <w:r w:rsidRPr="00C15646">
              <w:rPr>
                <w:lang w:val="lv-LV" w:eastAsia="lv-LV"/>
              </w:rPr>
              <w:t>Nav.</w:t>
            </w:r>
          </w:p>
        </w:tc>
      </w:tr>
      <w:tr w:rsidR="009E7A9C" w:rsidRPr="00C15646" w14:paraId="36872422" w14:textId="77777777" w:rsidTr="00314220">
        <w:trPr>
          <w:trHeight w:val="366"/>
        </w:trPr>
        <w:tc>
          <w:tcPr>
            <w:tcW w:w="673" w:type="dxa"/>
            <w:tcBorders>
              <w:top w:val="single" w:sz="4" w:space="0" w:color="auto"/>
              <w:left w:val="nil"/>
              <w:bottom w:val="nil"/>
              <w:right w:val="nil"/>
            </w:tcBorders>
          </w:tcPr>
          <w:p w14:paraId="7DEA1E65" w14:textId="77777777" w:rsidR="009E7A9C" w:rsidRPr="00C15646" w:rsidRDefault="009E7A9C" w:rsidP="009E7A9C">
            <w:pPr>
              <w:jc w:val="both"/>
              <w:rPr>
                <w:lang w:val="lv-LV" w:eastAsia="lv-LV"/>
              </w:rPr>
            </w:pPr>
          </w:p>
        </w:tc>
        <w:tc>
          <w:tcPr>
            <w:tcW w:w="2431" w:type="dxa"/>
            <w:gridSpan w:val="3"/>
            <w:tcBorders>
              <w:top w:val="single" w:sz="4" w:space="0" w:color="auto"/>
              <w:left w:val="nil"/>
              <w:bottom w:val="nil"/>
              <w:right w:val="nil"/>
            </w:tcBorders>
          </w:tcPr>
          <w:p w14:paraId="199D0E11" w14:textId="77777777" w:rsidR="009E7A9C" w:rsidRPr="00C15646" w:rsidRDefault="009E7A9C" w:rsidP="009E7A9C">
            <w:pPr>
              <w:jc w:val="both"/>
              <w:rPr>
                <w:lang w:val="lv-LV" w:eastAsia="lv-LV"/>
              </w:rPr>
            </w:pPr>
          </w:p>
        </w:tc>
        <w:tc>
          <w:tcPr>
            <w:tcW w:w="6021" w:type="dxa"/>
            <w:gridSpan w:val="9"/>
            <w:tcBorders>
              <w:top w:val="single" w:sz="4" w:space="0" w:color="auto"/>
              <w:left w:val="nil"/>
              <w:bottom w:val="nil"/>
              <w:right w:val="nil"/>
            </w:tcBorders>
          </w:tcPr>
          <w:p w14:paraId="393161F1" w14:textId="77777777" w:rsidR="009E7A9C" w:rsidRPr="00C15646" w:rsidRDefault="009E7A9C" w:rsidP="009E7A9C">
            <w:pPr>
              <w:ind w:firstLine="431"/>
              <w:rPr>
                <w:lang w:val="lv-LV" w:eastAsia="lv-LV"/>
              </w:rPr>
            </w:pPr>
          </w:p>
        </w:tc>
      </w:tr>
      <w:tr w:rsidR="009E7A9C" w:rsidRPr="00C15646" w14:paraId="0896C11F" w14:textId="77777777" w:rsidTr="00314220">
        <w:trPr>
          <w:trHeight w:val="342"/>
        </w:trPr>
        <w:tc>
          <w:tcPr>
            <w:tcW w:w="9125" w:type="dxa"/>
            <w:gridSpan w:val="13"/>
            <w:tcBorders>
              <w:bottom w:val="single" w:sz="4" w:space="0" w:color="auto"/>
            </w:tcBorders>
            <w:vAlign w:val="center"/>
          </w:tcPr>
          <w:p w14:paraId="7981EE0F" w14:textId="77777777" w:rsidR="009E7A9C" w:rsidRPr="00C15646" w:rsidRDefault="009E7A9C" w:rsidP="009E7A9C">
            <w:pPr>
              <w:ind w:firstLine="431"/>
              <w:jc w:val="center"/>
              <w:rPr>
                <w:lang w:val="lv-LV" w:eastAsia="lv-LV"/>
              </w:rPr>
            </w:pPr>
            <w:r w:rsidRPr="00C15646">
              <w:rPr>
                <w:b/>
                <w:bCs/>
                <w:lang w:val="lv-LV" w:eastAsia="lv-LV"/>
              </w:rPr>
              <w:t>III. Tiesību akta projekta ietekme uz valsts budžetu un pašvaldību budžetiem</w:t>
            </w:r>
          </w:p>
        </w:tc>
      </w:tr>
      <w:tr w:rsidR="009E7A9C" w:rsidRPr="00C15646" w14:paraId="21E8C14C" w14:textId="77777777" w:rsidTr="00314220">
        <w:trPr>
          <w:trHeight w:val="351"/>
        </w:trPr>
        <w:tc>
          <w:tcPr>
            <w:tcW w:w="2122" w:type="dxa"/>
            <w:gridSpan w:val="2"/>
            <w:vMerge w:val="restart"/>
            <w:vAlign w:val="center"/>
          </w:tcPr>
          <w:p w14:paraId="1A7B658E" w14:textId="77777777" w:rsidR="009E7A9C" w:rsidRPr="00C15646" w:rsidRDefault="009E7A9C" w:rsidP="009E7A9C">
            <w:pPr>
              <w:rPr>
                <w:bCs/>
                <w:lang w:val="lv-LV" w:eastAsia="lv-LV"/>
              </w:rPr>
            </w:pPr>
            <w:r w:rsidRPr="00C15646">
              <w:rPr>
                <w:bCs/>
                <w:lang w:val="lv-LV" w:eastAsia="lv-LV"/>
              </w:rPr>
              <w:t>Rādītāji</w:t>
            </w:r>
          </w:p>
          <w:p w14:paraId="0AF3C145" w14:textId="77777777" w:rsidR="009E7A9C" w:rsidRPr="00C15646" w:rsidRDefault="009E7A9C" w:rsidP="009E7A9C">
            <w:pPr>
              <w:rPr>
                <w:bCs/>
                <w:lang w:val="lv-LV" w:eastAsia="lv-LV"/>
              </w:rPr>
            </w:pPr>
          </w:p>
        </w:tc>
        <w:tc>
          <w:tcPr>
            <w:tcW w:w="1984" w:type="dxa"/>
            <w:gridSpan w:val="3"/>
            <w:vMerge w:val="restart"/>
            <w:vAlign w:val="center"/>
          </w:tcPr>
          <w:p w14:paraId="444A2EE3" w14:textId="5A169954" w:rsidR="009E7A9C" w:rsidRPr="00C15646" w:rsidRDefault="009E7A9C" w:rsidP="009E7A9C">
            <w:pPr>
              <w:ind w:firstLine="431"/>
              <w:rPr>
                <w:bCs/>
                <w:lang w:val="lv-LV" w:eastAsia="lv-LV"/>
              </w:rPr>
            </w:pPr>
            <w:r w:rsidRPr="00C15646">
              <w:rPr>
                <w:bCs/>
                <w:lang w:val="lv-LV" w:eastAsia="lv-LV"/>
              </w:rPr>
              <w:t>20</w:t>
            </w:r>
            <w:r w:rsidR="00205E4D" w:rsidRPr="00C15646">
              <w:rPr>
                <w:bCs/>
                <w:lang w:val="lv-LV" w:eastAsia="lv-LV"/>
              </w:rPr>
              <w:t>19</w:t>
            </w:r>
            <w:r w:rsidRPr="00C15646">
              <w:rPr>
                <w:bCs/>
                <w:lang w:val="lv-LV" w:eastAsia="lv-LV"/>
              </w:rPr>
              <w:t>. gads</w:t>
            </w:r>
          </w:p>
        </w:tc>
        <w:tc>
          <w:tcPr>
            <w:tcW w:w="5019" w:type="dxa"/>
            <w:gridSpan w:val="8"/>
            <w:vAlign w:val="center"/>
          </w:tcPr>
          <w:p w14:paraId="6CF5847E" w14:textId="77777777" w:rsidR="009E7A9C" w:rsidRPr="00C15646" w:rsidRDefault="009E7A9C" w:rsidP="009E7A9C">
            <w:pPr>
              <w:ind w:firstLine="431"/>
              <w:rPr>
                <w:bCs/>
                <w:lang w:val="lv-LV" w:eastAsia="lv-LV"/>
              </w:rPr>
            </w:pPr>
            <w:r w:rsidRPr="00C15646">
              <w:rPr>
                <w:bCs/>
                <w:lang w:val="lv-LV" w:eastAsia="lv-LV"/>
              </w:rPr>
              <w:t>Turpmākie trīs gadi (</w:t>
            </w:r>
            <w:proofErr w:type="spellStart"/>
            <w:r w:rsidRPr="00C15646">
              <w:rPr>
                <w:bCs/>
                <w:i/>
                <w:lang w:val="lv-LV" w:eastAsia="lv-LV"/>
              </w:rPr>
              <w:t>euro</w:t>
            </w:r>
            <w:proofErr w:type="spellEnd"/>
            <w:r w:rsidRPr="00C15646">
              <w:rPr>
                <w:bCs/>
                <w:lang w:val="lv-LV" w:eastAsia="lv-LV"/>
              </w:rPr>
              <w:t>)</w:t>
            </w:r>
          </w:p>
        </w:tc>
      </w:tr>
      <w:tr w:rsidR="009E7A9C" w:rsidRPr="00C15646" w14:paraId="1733303C" w14:textId="77777777" w:rsidTr="00314220">
        <w:trPr>
          <w:trHeight w:val="348"/>
        </w:trPr>
        <w:tc>
          <w:tcPr>
            <w:tcW w:w="2122" w:type="dxa"/>
            <w:gridSpan w:val="2"/>
            <w:vMerge/>
            <w:vAlign w:val="center"/>
          </w:tcPr>
          <w:p w14:paraId="794C4D42" w14:textId="77777777" w:rsidR="009E7A9C" w:rsidRPr="00C15646" w:rsidRDefault="009E7A9C" w:rsidP="009E7A9C">
            <w:pPr>
              <w:ind w:firstLine="431"/>
              <w:rPr>
                <w:bCs/>
                <w:lang w:val="lv-LV" w:eastAsia="lv-LV"/>
              </w:rPr>
            </w:pPr>
          </w:p>
        </w:tc>
        <w:tc>
          <w:tcPr>
            <w:tcW w:w="1984" w:type="dxa"/>
            <w:gridSpan w:val="3"/>
            <w:vMerge/>
            <w:vAlign w:val="center"/>
          </w:tcPr>
          <w:p w14:paraId="7F3CD635" w14:textId="77777777" w:rsidR="009E7A9C" w:rsidRPr="00C15646" w:rsidRDefault="009E7A9C" w:rsidP="009E7A9C">
            <w:pPr>
              <w:ind w:firstLine="431"/>
              <w:rPr>
                <w:bCs/>
                <w:lang w:val="lv-LV" w:eastAsia="lv-LV"/>
              </w:rPr>
            </w:pPr>
          </w:p>
        </w:tc>
        <w:tc>
          <w:tcPr>
            <w:tcW w:w="1942" w:type="dxa"/>
            <w:gridSpan w:val="2"/>
            <w:vAlign w:val="center"/>
          </w:tcPr>
          <w:p w14:paraId="5BF2AB8F" w14:textId="415BF413" w:rsidR="009E7A9C" w:rsidRPr="00C15646" w:rsidRDefault="009E7A9C" w:rsidP="009E7A9C">
            <w:pPr>
              <w:ind w:firstLine="431"/>
              <w:jc w:val="center"/>
              <w:rPr>
                <w:bCs/>
                <w:lang w:val="lv-LV" w:eastAsia="lv-LV"/>
              </w:rPr>
            </w:pPr>
            <w:r w:rsidRPr="00C15646">
              <w:rPr>
                <w:bCs/>
                <w:lang w:val="lv-LV" w:eastAsia="lv-LV"/>
              </w:rPr>
              <w:t>20</w:t>
            </w:r>
            <w:r w:rsidR="00205E4D" w:rsidRPr="00C15646">
              <w:rPr>
                <w:bCs/>
                <w:lang w:val="lv-LV" w:eastAsia="lv-LV"/>
              </w:rPr>
              <w:t>20</w:t>
            </w:r>
            <w:r w:rsidRPr="00C15646">
              <w:rPr>
                <w:bCs/>
                <w:lang w:val="lv-LV" w:eastAsia="lv-LV"/>
              </w:rPr>
              <w:t>.</w:t>
            </w:r>
          </w:p>
        </w:tc>
        <w:tc>
          <w:tcPr>
            <w:tcW w:w="1928" w:type="dxa"/>
            <w:gridSpan w:val="2"/>
            <w:vAlign w:val="center"/>
          </w:tcPr>
          <w:p w14:paraId="07AC73FB" w14:textId="0388B53E" w:rsidR="009E7A9C" w:rsidRPr="00C15646" w:rsidRDefault="009E7A9C" w:rsidP="009E7A9C">
            <w:pPr>
              <w:ind w:firstLine="431"/>
              <w:jc w:val="center"/>
              <w:rPr>
                <w:bCs/>
                <w:lang w:val="lv-LV" w:eastAsia="lv-LV"/>
              </w:rPr>
            </w:pPr>
            <w:r w:rsidRPr="00C15646">
              <w:rPr>
                <w:bCs/>
                <w:lang w:val="lv-LV" w:eastAsia="lv-LV"/>
              </w:rPr>
              <w:t>202</w:t>
            </w:r>
            <w:r w:rsidR="00205E4D" w:rsidRPr="00C15646">
              <w:rPr>
                <w:bCs/>
                <w:lang w:val="lv-LV" w:eastAsia="lv-LV"/>
              </w:rPr>
              <w:t>1</w:t>
            </w:r>
            <w:r w:rsidRPr="00C15646">
              <w:rPr>
                <w:bCs/>
                <w:lang w:val="lv-LV" w:eastAsia="lv-LV"/>
              </w:rPr>
              <w:t>.</w:t>
            </w:r>
          </w:p>
        </w:tc>
        <w:tc>
          <w:tcPr>
            <w:tcW w:w="1149" w:type="dxa"/>
            <w:gridSpan w:val="4"/>
            <w:vAlign w:val="center"/>
          </w:tcPr>
          <w:p w14:paraId="7DEA0E4A" w14:textId="7710D983" w:rsidR="009E7A9C" w:rsidRPr="00C15646" w:rsidRDefault="009E7A9C" w:rsidP="009E7A9C">
            <w:pPr>
              <w:ind w:firstLine="431"/>
              <w:rPr>
                <w:bCs/>
                <w:lang w:val="lv-LV" w:eastAsia="lv-LV"/>
              </w:rPr>
            </w:pPr>
            <w:r w:rsidRPr="00C15646">
              <w:rPr>
                <w:bCs/>
                <w:lang w:val="lv-LV" w:eastAsia="lv-LV"/>
              </w:rPr>
              <w:t>202</w:t>
            </w:r>
            <w:r w:rsidR="00205E4D" w:rsidRPr="00C15646">
              <w:rPr>
                <w:bCs/>
                <w:lang w:val="lv-LV" w:eastAsia="lv-LV"/>
              </w:rPr>
              <w:t>2</w:t>
            </w:r>
            <w:r w:rsidRPr="00C15646">
              <w:rPr>
                <w:bCs/>
                <w:lang w:val="lv-LV" w:eastAsia="lv-LV"/>
              </w:rPr>
              <w:t>.</w:t>
            </w:r>
          </w:p>
        </w:tc>
      </w:tr>
      <w:tr w:rsidR="009E7A9C" w:rsidRPr="00C15646" w14:paraId="581244A9" w14:textId="77777777" w:rsidTr="00314220">
        <w:trPr>
          <w:trHeight w:val="2225"/>
        </w:trPr>
        <w:tc>
          <w:tcPr>
            <w:tcW w:w="2122" w:type="dxa"/>
            <w:gridSpan w:val="2"/>
            <w:vMerge/>
            <w:vAlign w:val="center"/>
          </w:tcPr>
          <w:p w14:paraId="21CE314F" w14:textId="77777777" w:rsidR="009E7A9C" w:rsidRPr="00C15646" w:rsidRDefault="009E7A9C" w:rsidP="009E7A9C">
            <w:pPr>
              <w:ind w:firstLine="431"/>
              <w:rPr>
                <w:bCs/>
                <w:lang w:val="lv-LV" w:eastAsia="lv-LV"/>
              </w:rPr>
            </w:pPr>
          </w:p>
        </w:tc>
        <w:tc>
          <w:tcPr>
            <w:tcW w:w="850" w:type="dxa"/>
            <w:vAlign w:val="center"/>
          </w:tcPr>
          <w:p w14:paraId="7E46706C" w14:textId="77777777" w:rsidR="009E7A9C" w:rsidRPr="00C15646" w:rsidRDefault="009E7A9C" w:rsidP="009E7A9C">
            <w:pPr>
              <w:jc w:val="center"/>
              <w:rPr>
                <w:bCs/>
                <w:lang w:val="lv-LV" w:eastAsia="lv-LV"/>
              </w:rPr>
            </w:pPr>
            <w:r w:rsidRPr="00C15646">
              <w:rPr>
                <w:lang w:val="lv-LV" w:eastAsia="lv-LV"/>
              </w:rPr>
              <w:t>saskaņā ar valsts budžetu kārtējam gadam</w:t>
            </w:r>
          </w:p>
        </w:tc>
        <w:tc>
          <w:tcPr>
            <w:tcW w:w="1134" w:type="dxa"/>
            <w:gridSpan w:val="2"/>
            <w:vAlign w:val="center"/>
          </w:tcPr>
          <w:p w14:paraId="6F53DF6F" w14:textId="77777777" w:rsidR="009E7A9C" w:rsidRPr="00C15646" w:rsidRDefault="009E7A9C" w:rsidP="009E7A9C">
            <w:pPr>
              <w:jc w:val="center"/>
              <w:rPr>
                <w:bCs/>
                <w:lang w:val="lv-LV" w:eastAsia="lv-LV"/>
              </w:rPr>
            </w:pPr>
            <w:r w:rsidRPr="00C15646">
              <w:rPr>
                <w:lang w:val="lv-LV" w:eastAsia="lv-LV"/>
              </w:rPr>
              <w:t>izmaiņas kārtējā gadā, salīdzinot ar valsts budžetu kārtējam gadam</w:t>
            </w:r>
          </w:p>
        </w:tc>
        <w:tc>
          <w:tcPr>
            <w:tcW w:w="851" w:type="dxa"/>
            <w:vAlign w:val="center"/>
          </w:tcPr>
          <w:p w14:paraId="7FAF9D6E" w14:textId="77777777" w:rsidR="009E7A9C" w:rsidRPr="00C15646" w:rsidRDefault="009E7A9C" w:rsidP="009E7A9C">
            <w:pPr>
              <w:jc w:val="center"/>
              <w:rPr>
                <w:bCs/>
                <w:lang w:val="lv-LV" w:eastAsia="lv-LV"/>
              </w:rPr>
            </w:pPr>
            <w:r w:rsidRPr="00C15646">
              <w:rPr>
                <w:lang w:val="lv-LV" w:eastAsia="lv-LV"/>
              </w:rPr>
              <w:t>saskaņā ar vidēja termiņa budžeta ietvaru</w:t>
            </w:r>
          </w:p>
        </w:tc>
        <w:tc>
          <w:tcPr>
            <w:tcW w:w="1091" w:type="dxa"/>
            <w:vAlign w:val="center"/>
          </w:tcPr>
          <w:p w14:paraId="0F378BC3" w14:textId="77777777" w:rsidR="009E7A9C" w:rsidRPr="00C15646" w:rsidRDefault="009E7A9C" w:rsidP="009E7A9C">
            <w:pPr>
              <w:jc w:val="center"/>
              <w:rPr>
                <w:bCs/>
                <w:lang w:val="lv-LV" w:eastAsia="lv-LV"/>
              </w:rPr>
            </w:pPr>
            <w:r w:rsidRPr="00C15646">
              <w:rPr>
                <w:lang w:val="lv-LV" w:eastAsia="lv-LV"/>
              </w:rPr>
              <w:t>izmaiņas, salīdzinot ar vidēja termiņa budžeta ietvaru 2019. gadam</w:t>
            </w:r>
          </w:p>
        </w:tc>
        <w:tc>
          <w:tcPr>
            <w:tcW w:w="984" w:type="dxa"/>
            <w:vAlign w:val="center"/>
          </w:tcPr>
          <w:p w14:paraId="60F9629F" w14:textId="77777777" w:rsidR="009E7A9C" w:rsidRPr="00C15646" w:rsidRDefault="009E7A9C" w:rsidP="009E7A9C">
            <w:pPr>
              <w:jc w:val="center"/>
              <w:rPr>
                <w:bCs/>
                <w:lang w:val="lv-LV" w:eastAsia="lv-LV"/>
              </w:rPr>
            </w:pPr>
            <w:r w:rsidRPr="00C15646">
              <w:rPr>
                <w:lang w:val="lv-LV" w:eastAsia="lv-LV"/>
              </w:rPr>
              <w:t>saskaņā ar vidēja termiņa budžeta ietvaru</w:t>
            </w:r>
          </w:p>
        </w:tc>
        <w:tc>
          <w:tcPr>
            <w:tcW w:w="944" w:type="dxa"/>
            <w:vAlign w:val="center"/>
          </w:tcPr>
          <w:p w14:paraId="5A496319" w14:textId="77777777" w:rsidR="009E7A9C" w:rsidRPr="00C15646" w:rsidRDefault="009E7A9C" w:rsidP="009E7A9C">
            <w:pPr>
              <w:jc w:val="center"/>
              <w:rPr>
                <w:bCs/>
                <w:lang w:val="lv-LV" w:eastAsia="lv-LV"/>
              </w:rPr>
            </w:pPr>
            <w:r w:rsidRPr="00C15646">
              <w:rPr>
                <w:lang w:val="lv-LV" w:eastAsia="lv-LV"/>
              </w:rPr>
              <w:t>izmaiņas, salīdzinot ar vidēja termiņa budžeta ietvaru 2020. gadam</w:t>
            </w:r>
          </w:p>
        </w:tc>
        <w:tc>
          <w:tcPr>
            <w:tcW w:w="1149" w:type="dxa"/>
            <w:gridSpan w:val="4"/>
            <w:vAlign w:val="center"/>
          </w:tcPr>
          <w:p w14:paraId="4C6BA127" w14:textId="77777777" w:rsidR="009E7A9C" w:rsidRPr="00C15646" w:rsidRDefault="009E7A9C" w:rsidP="009E7A9C">
            <w:pPr>
              <w:jc w:val="center"/>
              <w:rPr>
                <w:bCs/>
                <w:lang w:val="lv-LV" w:eastAsia="lv-LV"/>
              </w:rPr>
            </w:pPr>
            <w:r w:rsidRPr="00C15646">
              <w:rPr>
                <w:lang w:val="lv-LV" w:eastAsia="lv-LV"/>
              </w:rPr>
              <w:t xml:space="preserve">izmaiņas, salīdzinot ar vidēja termiņa budžeta ietvaru </w:t>
            </w:r>
            <w:r w:rsidRPr="00C15646">
              <w:rPr>
                <w:lang w:val="lv-LV" w:eastAsia="lv-LV"/>
              </w:rPr>
              <w:br/>
              <w:t>2020. gadam</w:t>
            </w:r>
          </w:p>
        </w:tc>
      </w:tr>
      <w:tr w:rsidR="009E7A9C" w:rsidRPr="00C15646" w14:paraId="0FC8FE39" w14:textId="77777777" w:rsidTr="00314220">
        <w:trPr>
          <w:trHeight w:val="348"/>
        </w:trPr>
        <w:tc>
          <w:tcPr>
            <w:tcW w:w="2122" w:type="dxa"/>
            <w:gridSpan w:val="2"/>
            <w:vAlign w:val="center"/>
          </w:tcPr>
          <w:p w14:paraId="4FE0EC06" w14:textId="77777777" w:rsidR="009E7A9C" w:rsidRPr="00C15646" w:rsidRDefault="009E7A9C" w:rsidP="009E7A9C">
            <w:pPr>
              <w:ind w:firstLine="431"/>
              <w:jc w:val="center"/>
              <w:rPr>
                <w:bCs/>
                <w:lang w:val="lv-LV" w:eastAsia="lv-LV"/>
              </w:rPr>
            </w:pPr>
            <w:r w:rsidRPr="00C15646">
              <w:rPr>
                <w:bCs/>
                <w:lang w:val="lv-LV" w:eastAsia="lv-LV"/>
              </w:rPr>
              <w:lastRenderedPageBreak/>
              <w:t>1.</w:t>
            </w:r>
          </w:p>
        </w:tc>
        <w:tc>
          <w:tcPr>
            <w:tcW w:w="850" w:type="dxa"/>
            <w:vAlign w:val="center"/>
          </w:tcPr>
          <w:p w14:paraId="02CB79DA" w14:textId="77777777" w:rsidR="009E7A9C" w:rsidRPr="00C15646" w:rsidRDefault="009E7A9C" w:rsidP="009E7A9C">
            <w:pPr>
              <w:ind w:firstLine="431"/>
              <w:rPr>
                <w:bCs/>
                <w:lang w:val="lv-LV" w:eastAsia="lv-LV"/>
              </w:rPr>
            </w:pPr>
            <w:r w:rsidRPr="00C15646">
              <w:rPr>
                <w:bCs/>
                <w:lang w:val="lv-LV" w:eastAsia="lv-LV"/>
              </w:rPr>
              <w:t>2.</w:t>
            </w:r>
          </w:p>
        </w:tc>
        <w:tc>
          <w:tcPr>
            <w:tcW w:w="1134" w:type="dxa"/>
            <w:gridSpan w:val="2"/>
            <w:vAlign w:val="center"/>
          </w:tcPr>
          <w:p w14:paraId="530E413D" w14:textId="77777777" w:rsidR="009E7A9C" w:rsidRPr="00C15646" w:rsidRDefault="009E7A9C" w:rsidP="009E7A9C">
            <w:pPr>
              <w:ind w:firstLine="431"/>
              <w:rPr>
                <w:bCs/>
                <w:lang w:val="lv-LV" w:eastAsia="lv-LV"/>
              </w:rPr>
            </w:pPr>
            <w:r w:rsidRPr="00C15646">
              <w:rPr>
                <w:bCs/>
                <w:lang w:val="lv-LV" w:eastAsia="lv-LV"/>
              </w:rPr>
              <w:t>3.</w:t>
            </w:r>
          </w:p>
        </w:tc>
        <w:tc>
          <w:tcPr>
            <w:tcW w:w="851" w:type="dxa"/>
            <w:vAlign w:val="center"/>
          </w:tcPr>
          <w:p w14:paraId="64E99EF9" w14:textId="77777777" w:rsidR="009E7A9C" w:rsidRPr="00C15646" w:rsidRDefault="009E7A9C" w:rsidP="009E7A9C">
            <w:pPr>
              <w:ind w:firstLine="431"/>
              <w:rPr>
                <w:bCs/>
                <w:lang w:val="lv-LV" w:eastAsia="lv-LV"/>
              </w:rPr>
            </w:pPr>
            <w:r w:rsidRPr="00C15646">
              <w:rPr>
                <w:bCs/>
                <w:lang w:val="lv-LV" w:eastAsia="lv-LV"/>
              </w:rPr>
              <w:t>4.</w:t>
            </w:r>
          </w:p>
        </w:tc>
        <w:tc>
          <w:tcPr>
            <w:tcW w:w="1091" w:type="dxa"/>
            <w:vAlign w:val="center"/>
          </w:tcPr>
          <w:p w14:paraId="718490D1" w14:textId="77777777" w:rsidR="009E7A9C" w:rsidRPr="00C15646" w:rsidRDefault="009E7A9C" w:rsidP="009E7A9C">
            <w:pPr>
              <w:ind w:firstLine="431"/>
              <w:rPr>
                <w:bCs/>
                <w:lang w:val="lv-LV" w:eastAsia="lv-LV"/>
              </w:rPr>
            </w:pPr>
            <w:r w:rsidRPr="00C15646">
              <w:rPr>
                <w:bCs/>
                <w:lang w:val="lv-LV" w:eastAsia="lv-LV"/>
              </w:rPr>
              <w:t>5.</w:t>
            </w:r>
          </w:p>
        </w:tc>
        <w:tc>
          <w:tcPr>
            <w:tcW w:w="984" w:type="dxa"/>
            <w:vAlign w:val="center"/>
          </w:tcPr>
          <w:p w14:paraId="05B4A461" w14:textId="77777777" w:rsidR="009E7A9C" w:rsidRPr="00C15646" w:rsidRDefault="009E7A9C" w:rsidP="009E7A9C">
            <w:pPr>
              <w:ind w:firstLine="431"/>
              <w:rPr>
                <w:bCs/>
                <w:lang w:val="lv-LV" w:eastAsia="lv-LV"/>
              </w:rPr>
            </w:pPr>
            <w:r w:rsidRPr="00C15646">
              <w:rPr>
                <w:bCs/>
                <w:lang w:val="lv-LV" w:eastAsia="lv-LV"/>
              </w:rPr>
              <w:t>6.</w:t>
            </w:r>
          </w:p>
        </w:tc>
        <w:tc>
          <w:tcPr>
            <w:tcW w:w="944" w:type="dxa"/>
            <w:vAlign w:val="center"/>
          </w:tcPr>
          <w:p w14:paraId="7E12D9DA" w14:textId="77777777" w:rsidR="009E7A9C" w:rsidRPr="00C15646" w:rsidRDefault="009E7A9C" w:rsidP="009E7A9C">
            <w:pPr>
              <w:ind w:firstLine="431"/>
              <w:rPr>
                <w:bCs/>
                <w:lang w:val="lv-LV" w:eastAsia="lv-LV"/>
              </w:rPr>
            </w:pPr>
            <w:r w:rsidRPr="00C15646">
              <w:rPr>
                <w:bCs/>
                <w:lang w:val="lv-LV" w:eastAsia="lv-LV"/>
              </w:rPr>
              <w:t>7.</w:t>
            </w:r>
          </w:p>
        </w:tc>
        <w:tc>
          <w:tcPr>
            <w:tcW w:w="1149" w:type="dxa"/>
            <w:gridSpan w:val="4"/>
            <w:vAlign w:val="center"/>
          </w:tcPr>
          <w:p w14:paraId="343C7E60" w14:textId="77777777" w:rsidR="009E7A9C" w:rsidRPr="00C15646" w:rsidRDefault="009E7A9C" w:rsidP="009E7A9C">
            <w:pPr>
              <w:ind w:firstLine="431"/>
              <w:rPr>
                <w:bCs/>
                <w:lang w:val="lv-LV" w:eastAsia="lv-LV"/>
              </w:rPr>
            </w:pPr>
            <w:r w:rsidRPr="00C15646">
              <w:rPr>
                <w:bCs/>
                <w:lang w:val="lv-LV" w:eastAsia="lv-LV"/>
              </w:rPr>
              <w:t>8.</w:t>
            </w:r>
          </w:p>
        </w:tc>
      </w:tr>
      <w:tr w:rsidR="009E7A9C" w:rsidRPr="00C15646" w14:paraId="29C3AD45" w14:textId="77777777" w:rsidTr="002E07AB">
        <w:trPr>
          <w:trHeight w:val="360"/>
        </w:trPr>
        <w:tc>
          <w:tcPr>
            <w:tcW w:w="2122" w:type="dxa"/>
            <w:gridSpan w:val="2"/>
            <w:vAlign w:val="center"/>
          </w:tcPr>
          <w:p w14:paraId="2CCD7FEA" w14:textId="77777777" w:rsidR="009E7A9C" w:rsidRPr="00C15646" w:rsidRDefault="009E7A9C" w:rsidP="009E7A9C">
            <w:pPr>
              <w:rPr>
                <w:bCs/>
                <w:lang w:val="lv-LV" w:eastAsia="lv-LV"/>
              </w:rPr>
            </w:pPr>
            <w:r w:rsidRPr="00C15646">
              <w:rPr>
                <w:bCs/>
                <w:lang w:val="lv-LV" w:eastAsia="lv-LV"/>
              </w:rPr>
              <w:t>1. Budžeta ieņēmumi</w:t>
            </w:r>
          </w:p>
        </w:tc>
        <w:tc>
          <w:tcPr>
            <w:tcW w:w="850" w:type="dxa"/>
            <w:vAlign w:val="center"/>
          </w:tcPr>
          <w:p w14:paraId="62B0F81E"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3A2B7502"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3034ACF6"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6FDC2E09"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6CDEF2D9"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4017581B"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5A9BE597"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7D14F0C6" w14:textId="77777777" w:rsidTr="00C422C9">
        <w:trPr>
          <w:trHeight w:val="351"/>
        </w:trPr>
        <w:tc>
          <w:tcPr>
            <w:tcW w:w="2122" w:type="dxa"/>
            <w:gridSpan w:val="2"/>
            <w:shd w:val="clear" w:color="auto" w:fill="auto"/>
          </w:tcPr>
          <w:p w14:paraId="52DAFA9F" w14:textId="77777777" w:rsidR="009E7A9C" w:rsidRPr="00C15646" w:rsidRDefault="009E7A9C" w:rsidP="009E7A9C">
            <w:pPr>
              <w:rPr>
                <w:lang w:val="lv-LV" w:eastAsia="lv-LV"/>
              </w:rPr>
            </w:pPr>
            <w:r w:rsidRPr="00C15646">
              <w:rPr>
                <w:lang w:val="lv-LV" w:eastAsia="lv-LV"/>
              </w:rPr>
              <w:t>1.1. valsts pamatbudžets, tai skaitā ieņēmumi no maksas pakalpojumiem un citi pašu ieņēmumi</w:t>
            </w:r>
          </w:p>
        </w:tc>
        <w:tc>
          <w:tcPr>
            <w:tcW w:w="850" w:type="dxa"/>
            <w:vAlign w:val="center"/>
          </w:tcPr>
          <w:p w14:paraId="35CD7556"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261B3A56"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7D99C3C3"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0EF81DD5"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5F9D2FF2"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2C454044"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77BF3303"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63774FD7" w14:textId="77777777" w:rsidTr="00C422C9">
        <w:trPr>
          <w:trHeight w:val="351"/>
        </w:trPr>
        <w:tc>
          <w:tcPr>
            <w:tcW w:w="2122" w:type="dxa"/>
            <w:gridSpan w:val="2"/>
            <w:shd w:val="clear" w:color="auto" w:fill="auto"/>
          </w:tcPr>
          <w:p w14:paraId="2765D158" w14:textId="77777777" w:rsidR="009E7A9C" w:rsidRPr="00C15646" w:rsidRDefault="009E7A9C" w:rsidP="009E7A9C">
            <w:pPr>
              <w:rPr>
                <w:lang w:val="lv-LV" w:eastAsia="lv-LV"/>
              </w:rPr>
            </w:pPr>
            <w:r w:rsidRPr="00C15646">
              <w:rPr>
                <w:lang w:val="lv-LV" w:eastAsia="lv-LV"/>
              </w:rPr>
              <w:t>1.2. valsts speciālais budžets</w:t>
            </w:r>
          </w:p>
        </w:tc>
        <w:tc>
          <w:tcPr>
            <w:tcW w:w="850" w:type="dxa"/>
            <w:vAlign w:val="center"/>
          </w:tcPr>
          <w:p w14:paraId="081CE8BA"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5818CD2F"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4A8464F5"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5421DF86"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3288ED53"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4A05543B"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497D356C"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4AB2A8BD" w14:textId="77777777" w:rsidTr="00C422C9">
        <w:trPr>
          <w:trHeight w:val="351"/>
        </w:trPr>
        <w:tc>
          <w:tcPr>
            <w:tcW w:w="2122" w:type="dxa"/>
            <w:gridSpan w:val="2"/>
            <w:shd w:val="clear" w:color="auto" w:fill="auto"/>
          </w:tcPr>
          <w:p w14:paraId="733EE29D" w14:textId="77777777" w:rsidR="009E7A9C" w:rsidRPr="00C15646" w:rsidRDefault="009E7A9C" w:rsidP="009E7A9C">
            <w:pPr>
              <w:rPr>
                <w:lang w:val="lv-LV" w:eastAsia="lv-LV"/>
              </w:rPr>
            </w:pPr>
            <w:r w:rsidRPr="00C15646">
              <w:rPr>
                <w:lang w:val="lv-LV" w:eastAsia="lv-LV"/>
              </w:rPr>
              <w:t>1.3. pašvaldību budžets</w:t>
            </w:r>
          </w:p>
        </w:tc>
        <w:tc>
          <w:tcPr>
            <w:tcW w:w="850" w:type="dxa"/>
            <w:vAlign w:val="center"/>
          </w:tcPr>
          <w:p w14:paraId="4E88965F"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68FDA5BB"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65CBF45D"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5C6A702C"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7A5E2066"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080DCFC9"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14E906B2"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6871EBEE" w14:textId="77777777" w:rsidTr="00C422C9">
        <w:trPr>
          <w:trHeight w:val="351"/>
        </w:trPr>
        <w:tc>
          <w:tcPr>
            <w:tcW w:w="2122" w:type="dxa"/>
            <w:gridSpan w:val="2"/>
            <w:shd w:val="clear" w:color="auto" w:fill="auto"/>
          </w:tcPr>
          <w:p w14:paraId="43003ED7" w14:textId="77777777" w:rsidR="009E7A9C" w:rsidRPr="00C15646" w:rsidRDefault="009E7A9C" w:rsidP="009E7A9C">
            <w:pPr>
              <w:rPr>
                <w:lang w:val="lv-LV" w:eastAsia="lv-LV"/>
              </w:rPr>
            </w:pPr>
            <w:r w:rsidRPr="00C15646">
              <w:rPr>
                <w:lang w:val="lv-LV" w:eastAsia="lv-LV"/>
              </w:rPr>
              <w:t>2. Budžeta izdevumi</w:t>
            </w:r>
          </w:p>
        </w:tc>
        <w:tc>
          <w:tcPr>
            <w:tcW w:w="850" w:type="dxa"/>
            <w:vAlign w:val="center"/>
          </w:tcPr>
          <w:p w14:paraId="7B779252"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35355A49"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5AD57E28"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4B55A3FD"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2F810A7C"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047C0E44"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263C0AAA"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1729EEEE" w14:textId="77777777" w:rsidTr="00C422C9">
        <w:trPr>
          <w:trHeight w:val="351"/>
        </w:trPr>
        <w:tc>
          <w:tcPr>
            <w:tcW w:w="2122" w:type="dxa"/>
            <w:gridSpan w:val="2"/>
            <w:shd w:val="clear" w:color="auto" w:fill="auto"/>
          </w:tcPr>
          <w:p w14:paraId="7574F0EF" w14:textId="77777777" w:rsidR="009E7A9C" w:rsidRPr="00C15646" w:rsidRDefault="009E7A9C" w:rsidP="009E7A9C">
            <w:pPr>
              <w:rPr>
                <w:lang w:val="lv-LV" w:eastAsia="lv-LV"/>
              </w:rPr>
            </w:pPr>
            <w:r w:rsidRPr="00C15646">
              <w:rPr>
                <w:lang w:val="lv-LV" w:eastAsia="lv-LV"/>
              </w:rPr>
              <w:t>2.1. valsts pamatbudžets</w:t>
            </w:r>
          </w:p>
        </w:tc>
        <w:tc>
          <w:tcPr>
            <w:tcW w:w="850" w:type="dxa"/>
            <w:vAlign w:val="center"/>
          </w:tcPr>
          <w:p w14:paraId="224BFB1C"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57ED256E"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3FC1D902"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0AAEF8B9"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75888042"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10AD66E1"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675085CD"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265AF0A2" w14:textId="77777777" w:rsidTr="00C422C9">
        <w:trPr>
          <w:trHeight w:val="351"/>
        </w:trPr>
        <w:tc>
          <w:tcPr>
            <w:tcW w:w="2122" w:type="dxa"/>
            <w:gridSpan w:val="2"/>
            <w:shd w:val="clear" w:color="auto" w:fill="auto"/>
          </w:tcPr>
          <w:p w14:paraId="3EBFD1B0" w14:textId="77777777" w:rsidR="009E7A9C" w:rsidRPr="00C15646" w:rsidRDefault="009E7A9C" w:rsidP="009E7A9C">
            <w:pPr>
              <w:rPr>
                <w:lang w:val="lv-LV" w:eastAsia="lv-LV"/>
              </w:rPr>
            </w:pPr>
            <w:r w:rsidRPr="00C15646">
              <w:rPr>
                <w:lang w:val="lv-LV" w:eastAsia="lv-LV"/>
              </w:rPr>
              <w:t>2.2. valsts speciālais budžets</w:t>
            </w:r>
          </w:p>
        </w:tc>
        <w:tc>
          <w:tcPr>
            <w:tcW w:w="850" w:type="dxa"/>
            <w:vAlign w:val="center"/>
          </w:tcPr>
          <w:p w14:paraId="5FDC33BD"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1DB9BB98"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795E7934"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385CA891"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55BB9313"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180615EC"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3C83C64B"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24A1D2A2" w14:textId="77777777" w:rsidTr="00C422C9">
        <w:trPr>
          <w:trHeight w:val="351"/>
        </w:trPr>
        <w:tc>
          <w:tcPr>
            <w:tcW w:w="2122" w:type="dxa"/>
            <w:gridSpan w:val="2"/>
            <w:shd w:val="clear" w:color="auto" w:fill="auto"/>
          </w:tcPr>
          <w:p w14:paraId="09CE31F9" w14:textId="77777777" w:rsidR="009E7A9C" w:rsidRPr="00C15646" w:rsidRDefault="009E7A9C" w:rsidP="009E7A9C">
            <w:pPr>
              <w:rPr>
                <w:lang w:val="lv-LV" w:eastAsia="lv-LV"/>
              </w:rPr>
            </w:pPr>
            <w:r w:rsidRPr="00C15646">
              <w:rPr>
                <w:lang w:val="lv-LV" w:eastAsia="lv-LV"/>
              </w:rPr>
              <w:t>2.3. pašvaldību budžets</w:t>
            </w:r>
          </w:p>
        </w:tc>
        <w:tc>
          <w:tcPr>
            <w:tcW w:w="850" w:type="dxa"/>
            <w:vAlign w:val="center"/>
          </w:tcPr>
          <w:p w14:paraId="465FDCFF"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66ADFDAC"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3BE9A3EC"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0D4278EB"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4A257D3A"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1B41FA35"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4D287874"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17A93DD6" w14:textId="77777777" w:rsidTr="00C422C9">
        <w:trPr>
          <w:trHeight w:val="351"/>
        </w:trPr>
        <w:tc>
          <w:tcPr>
            <w:tcW w:w="2122" w:type="dxa"/>
            <w:gridSpan w:val="2"/>
            <w:shd w:val="clear" w:color="auto" w:fill="auto"/>
          </w:tcPr>
          <w:p w14:paraId="6F1A582E" w14:textId="77777777" w:rsidR="009E7A9C" w:rsidRPr="00C15646" w:rsidRDefault="009E7A9C" w:rsidP="009E7A9C">
            <w:pPr>
              <w:rPr>
                <w:lang w:val="lv-LV" w:eastAsia="lv-LV"/>
              </w:rPr>
            </w:pPr>
            <w:r w:rsidRPr="00C15646">
              <w:rPr>
                <w:lang w:val="lv-LV" w:eastAsia="lv-LV"/>
              </w:rPr>
              <w:t>3. Finansiālā ietekme</w:t>
            </w:r>
          </w:p>
        </w:tc>
        <w:tc>
          <w:tcPr>
            <w:tcW w:w="850" w:type="dxa"/>
            <w:vAlign w:val="center"/>
          </w:tcPr>
          <w:p w14:paraId="60B5D9EA"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3B75D3EE"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325016D8"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45893DF3"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3D1A792E"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3BA7B4C0"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2BCDF7D4"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69BB428C" w14:textId="77777777" w:rsidTr="00C422C9">
        <w:trPr>
          <w:trHeight w:val="351"/>
        </w:trPr>
        <w:tc>
          <w:tcPr>
            <w:tcW w:w="2122" w:type="dxa"/>
            <w:gridSpan w:val="2"/>
            <w:shd w:val="clear" w:color="auto" w:fill="auto"/>
          </w:tcPr>
          <w:p w14:paraId="52B5E899" w14:textId="77777777" w:rsidR="009E7A9C" w:rsidRPr="00C15646" w:rsidRDefault="009E7A9C" w:rsidP="009E7A9C">
            <w:pPr>
              <w:rPr>
                <w:lang w:val="lv-LV" w:eastAsia="lv-LV"/>
              </w:rPr>
            </w:pPr>
            <w:r w:rsidRPr="00C15646">
              <w:rPr>
                <w:lang w:val="lv-LV" w:eastAsia="lv-LV"/>
              </w:rPr>
              <w:t>3.1. valsts pamatbudžets</w:t>
            </w:r>
          </w:p>
        </w:tc>
        <w:tc>
          <w:tcPr>
            <w:tcW w:w="850" w:type="dxa"/>
            <w:vAlign w:val="center"/>
          </w:tcPr>
          <w:p w14:paraId="27A915B8"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1CB2E90C"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16A3237D"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0B9539BF"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76D504DD"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65288021"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5DC856EA"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16F2D6D3" w14:textId="77777777" w:rsidTr="00C422C9">
        <w:trPr>
          <w:trHeight w:val="351"/>
        </w:trPr>
        <w:tc>
          <w:tcPr>
            <w:tcW w:w="2122" w:type="dxa"/>
            <w:gridSpan w:val="2"/>
            <w:shd w:val="clear" w:color="auto" w:fill="auto"/>
          </w:tcPr>
          <w:p w14:paraId="4FF4D225" w14:textId="77777777" w:rsidR="009E7A9C" w:rsidRPr="00C15646" w:rsidRDefault="009E7A9C" w:rsidP="009E7A9C">
            <w:pPr>
              <w:rPr>
                <w:lang w:val="lv-LV" w:eastAsia="lv-LV"/>
              </w:rPr>
            </w:pPr>
            <w:r w:rsidRPr="00C15646">
              <w:rPr>
                <w:lang w:val="lv-LV" w:eastAsia="lv-LV"/>
              </w:rPr>
              <w:t>3.2. speciālais budžets</w:t>
            </w:r>
          </w:p>
        </w:tc>
        <w:tc>
          <w:tcPr>
            <w:tcW w:w="850" w:type="dxa"/>
            <w:vAlign w:val="center"/>
          </w:tcPr>
          <w:p w14:paraId="7E2EB4BF"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60D90563"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00B08681"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0F24A6AF"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0C1B3450"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0AB28A8A"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7E798511"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459F1457" w14:textId="77777777" w:rsidTr="00C422C9">
        <w:trPr>
          <w:trHeight w:val="351"/>
        </w:trPr>
        <w:tc>
          <w:tcPr>
            <w:tcW w:w="2122" w:type="dxa"/>
            <w:gridSpan w:val="2"/>
            <w:shd w:val="clear" w:color="auto" w:fill="auto"/>
          </w:tcPr>
          <w:p w14:paraId="7D281F43" w14:textId="77777777" w:rsidR="009E7A9C" w:rsidRPr="00C15646" w:rsidRDefault="009E7A9C" w:rsidP="009E7A9C">
            <w:pPr>
              <w:rPr>
                <w:lang w:val="lv-LV" w:eastAsia="lv-LV"/>
              </w:rPr>
            </w:pPr>
            <w:r w:rsidRPr="00C15646">
              <w:rPr>
                <w:lang w:val="lv-LV" w:eastAsia="lv-LV"/>
              </w:rPr>
              <w:t>3.3. pašvaldību budžets</w:t>
            </w:r>
          </w:p>
        </w:tc>
        <w:tc>
          <w:tcPr>
            <w:tcW w:w="850" w:type="dxa"/>
            <w:vAlign w:val="center"/>
          </w:tcPr>
          <w:p w14:paraId="0744398A" w14:textId="77777777" w:rsidR="009E7A9C" w:rsidRPr="00C15646" w:rsidRDefault="009E7A9C" w:rsidP="009E7A9C">
            <w:pPr>
              <w:ind w:firstLine="431"/>
              <w:rPr>
                <w:bCs/>
                <w:lang w:val="lv-LV" w:eastAsia="lv-LV"/>
              </w:rPr>
            </w:pPr>
            <w:r w:rsidRPr="00C15646">
              <w:rPr>
                <w:bCs/>
                <w:lang w:val="lv-LV" w:eastAsia="lv-LV"/>
              </w:rPr>
              <w:t>0</w:t>
            </w:r>
          </w:p>
        </w:tc>
        <w:tc>
          <w:tcPr>
            <w:tcW w:w="1134" w:type="dxa"/>
            <w:gridSpan w:val="2"/>
            <w:vAlign w:val="center"/>
          </w:tcPr>
          <w:p w14:paraId="5F6021B2"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05F99D35"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5410B12D"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1F69EAA9"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3D5C0AAB"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0F122195"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5AE56841" w14:textId="77777777" w:rsidTr="00C422C9">
        <w:trPr>
          <w:trHeight w:val="351"/>
        </w:trPr>
        <w:tc>
          <w:tcPr>
            <w:tcW w:w="2122" w:type="dxa"/>
            <w:gridSpan w:val="2"/>
            <w:shd w:val="clear" w:color="auto" w:fill="auto"/>
          </w:tcPr>
          <w:p w14:paraId="02DC24D3" w14:textId="77777777" w:rsidR="009E7A9C" w:rsidRPr="00C15646" w:rsidRDefault="009E7A9C" w:rsidP="009E7A9C">
            <w:pPr>
              <w:rPr>
                <w:lang w:val="lv-LV" w:eastAsia="lv-LV"/>
              </w:rPr>
            </w:pPr>
            <w:r w:rsidRPr="00C15646">
              <w:rPr>
                <w:lang w:val="lv-LV" w:eastAsia="lv-LV"/>
              </w:rPr>
              <w:t>4. Finanšu līdzekļi papildu izdevumu finansēšanai (kompensējošu izdevumu samazinājumu norāda ar "+" zīmi)</w:t>
            </w:r>
          </w:p>
        </w:tc>
        <w:tc>
          <w:tcPr>
            <w:tcW w:w="850" w:type="dxa"/>
            <w:vAlign w:val="center"/>
          </w:tcPr>
          <w:p w14:paraId="527D769D" w14:textId="77777777" w:rsidR="009E7A9C" w:rsidRPr="00C15646" w:rsidRDefault="009E7A9C" w:rsidP="009E7A9C">
            <w:pPr>
              <w:ind w:firstLine="431"/>
              <w:rPr>
                <w:bCs/>
                <w:lang w:val="lv-LV" w:eastAsia="lv-LV"/>
              </w:rPr>
            </w:pPr>
            <w:r w:rsidRPr="00C15646">
              <w:rPr>
                <w:bCs/>
                <w:lang w:val="lv-LV" w:eastAsia="lv-LV"/>
              </w:rPr>
              <w:t>x</w:t>
            </w:r>
          </w:p>
        </w:tc>
        <w:tc>
          <w:tcPr>
            <w:tcW w:w="1134" w:type="dxa"/>
            <w:gridSpan w:val="2"/>
            <w:vAlign w:val="center"/>
          </w:tcPr>
          <w:p w14:paraId="323C3536" w14:textId="77777777" w:rsidR="009E7A9C" w:rsidRPr="00C15646" w:rsidRDefault="009E7A9C" w:rsidP="009E7A9C">
            <w:pPr>
              <w:ind w:firstLine="431"/>
              <w:rPr>
                <w:bCs/>
                <w:lang w:val="lv-LV" w:eastAsia="lv-LV"/>
              </w:rPr>
            </w:pPr>
            <w:r w:rsidRPr="00C15646">
              <w:rPr>
                <w:bCs/>
                <w:lang w:val="lv-LV" w:eastAsia="lv-LV"/>
              </w:rPr>
              <w:t>0</w:t>
            </w:r>
          </w:p>
        </w:tc>
        <w:tc>
          <w:tcPr>
            <w:tcW w:w="851" w:type="dxa"/>
            <w:vAlign w:val="center"/>
          </w:tcPr>
          <w:p w14:paraId="4AD230BC" w14:textId="77777777" w:rsidR="009E7A9C" w:rsidRPr="00C15646" w:rsidRDefault="009E7A9C" w:rsidP="009E7A9C">
            <w:pPr>
              <w:ind w:firstLine="431"/>
              <w:rPr>
                <w:bCs/>
                <w:lang w:val="lv-LV" w:eastAsia="lv-LV"/>
              </w:rPr>
            </w:pPr>
            <w:r w:rsidRPr="00C15646">
              <w:rPr>
                <w:bCs/>
                <w:lang w:val="lv-LV" w:eastAsia="lv-LV"/>
              </w:rPr>
              <w:t>0</w:t>
            </w:r>
          </w:p>
        </w:tc>
        <w:tc>
          <w:tcPr>
            <w:tcW w:w="1091" w:type="dxa"/>
            <w:vAlign w:val="center"/>
          </w:tcPr>
          <w:p w14:paraId="7CA46726" w14:textId="77777777" w:rsidR="009E7A9C" w:rsidRPr="00C15646" w:rsidRDefault="009E7A9C" w:rsidP="009E7A9C">
            <w:pPr>
              <w:ind w:firstLine="431"/>
              <w:rPr>
                <w:bCs/>
                <w:lang w:val="lv-LV" w:eastAsia="lv-LV"/>
              </w:rPr>
            </w:pPr>
            <w:r w:rsidRPr="00C15646">
              <w:rPr>
                <w:bCs/>
                <w:lang w:val="lv-LV" w:eastAsia="lv-LV"/>
              </w:rPr>
              <w:t>0</w:t>
            </w:r>
          </w:p>
        </w:tc>
        <w:tc>
          <w:tcPr>
            <w:tcW w:w="984" w:type="dxa"/>
            <w:vAlign w:val="center"/>
          </w:tcPr>
          <w:p w14:paraId="4A160840" w14:textId="77777777" w:rsidR="009E7A9C" w:rsidRPr="00C15646" w:rsidRDefault="009E7A9C" w:rsidP="009E7A9C">
            <w:pPr>
              <w:ind w:firstLine="431"/>
              <w:rPr>
                <w:bCs/>
                <w:lang w:val="lv-LV" w:eastAsia="lv-LV"/>
              </w:rPr>
            </w:pPr>
            <w:r w:rsidRPr="00C15646">
              <w:rPr>
                <w:bCs/>
                <w:lang w:val="lv-LV" w:eastAsia="lv-LV"/>
              </w:rPr>
              <w:t>0</w:t>
            </w:r>
          </w:p>
        </w:tc>
        <w:tc>
          <w:tcPr>
            <w:tcW w:w="952" w:type="dxa"/>
            <w:gridSpan w:val="2"/>
            <w:vAlign w:val="center"/>
          </w:tcPr>
          <w:p w14:paraId="4A476B5F"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30EEF979"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37A35175" w14:textId="77777777" w:rsidTr="002E07AB">
        <w:trPr>
          <w:trHeight w:val="351"/>
        </w:trPr>
        <w:tc>
          <w:tcPr>
            <w:tcW w:w="2122" w:type="dxa"/>
            <w:gridSpan w:val="2"/>
            <w:shd w:val="clear" w:color="auto" w:fill="auto"/>
          </w:tcPr>
          <w:p w14:paraId="2DDD6287" w14:textId="77777777" w:rsidR="009E7A9C" w:rsidRPr="00C15646" w:rsidRDefault="009E7A9C" w:rsidP="009E7A9C">
            <w:pPr>
              <w:rPr>
                <w:lang w:val="lv-LV" w:eastAsia="lv-LV"/>
              </w:rPr>
            </w:pPr>
            <w:r w:rsidRPr="00C15646">
              <w:rPr>
                <w:lang w:val="lv-LV" w:eastAsia="lv-LV"/>
              </w:rPr>
              <w:t>5. Precizēta finansiālā ietekme</w:t>
            </w:r>
          </w:p>
        </w:tc>
        <w:tc>
          <w:tcPr>
            <w:tcW w:w="850" w:type="dxa"/>
            <w:vMerge w:val="restart"/>
            <w:vAlign w:val="center"/>
          </w:tcPr>
          <w:p w14:paraId="21199183" w14:textId="77777777" w:rsidR="009E7A9C" w:rsidRPr="00C15646" w:rsidRDefault="009E7A9C" w:rsidP="009E7A9C">
            <w:pPr>
              <w:ind w:firstLine="431"/>
              <w:rPr>
                <w:bCs/>
                <w:lang w:val="lv-LV" w:eastAsia="lv-LV"/>
              </w:rPr>
            </w:pPr>
            <w:r w:rsidRPr="00C15646">
              <w:rPr>
                <w:bCs/>
                <w:lang w:val="lv-LV" w:eastAsia="lv-LV"/>
              </w:rPr>
              <w:t>x</w:t>
            </w:r>
          </w:p>
        </w:tc>
        <w:tc>
          <w:tcPr>
            <w:tcW w:w="1134" w:type="dxa"/>
            <w:gridSpan w:val="2"/>
            <w:vAlign w:val="center"/>
          </w:tcPr>
          <w:p w14:paraId="6CF01877" w14:textId="77777777" w:rsidR="009E7A9C" w:rsidRPr="00C15646" w:rsidRDefault="009E7A9C" w:rsidP="009E7A9C">
            <w:pPr>
              <w:ind w:firstLine="431"/>
              <w:rPr>
                <w:bCs/>
                <w:lang w:val="lv-LV" w:eastAsia="lv-LV"/>
              </w:rPr>
            </w:pPr>
            <w:r w:rsidRPr="00C15646">
              <w:rPr>
                <w:bCs/>
                <w:lang w:val="lv-LV" w:eastAsia="lv-LV"/>
              </w:rPr>
              <w:t>0</w:t>
            </w:r>
          </w:p>
        </w:tc>
        <w:tc>
          <w:tcPr>
            <w:tcW w:w="851" w:type="dxa"/>
            <w:vMerge w:val="restart"/>
            <w:vAlign w:val="center"/>
          </w:tcPr>
          <w:p w14:paraId="51E7912E" w14:textId="77777777" w:rsidR="009E7A9C" w:rsidRPr="00C15646" w:rsidRDefault="009E7A9C" w:rsidP="009E7A9C">
            <w:pPr>
              <w:ind w:firstLine="431"/>
              <w:rPr>
                <w:bCs/>
                <w:lang w:val="lv-LV" w:eastAsia="lv-LV"/>
              </w:rPr>
            </w:pPr>
            <w:r w:rsidRPr="00C15646">
              <w:rPr>
                <w:bCs/>
                <w:lang w:val="lv-LV" w:eastAsia="lv-LV"/>
              </w:rPr>
              <w:t>x</w:t>
            </w:r>
          </w:p>
        </w:tc>
        <w:tc>
          <w:tcPr>
            <w:tcW w:w="1091" w:type="dxa"/>
            <w:vAlign w:val="center"/>
          </w:tcPr>
          <w:p w14:paraId="3BB9669B" w14:textId="77777777" w:rsidR="009E7A9C" w:rsidRPr="00C15646" w:rsidRDefault="009E7A9C" w:rsidP="009E7A9C">
            <w:pPr>
              <w:ind w:firstLine="431"/>
              <w:rPr>
                <w:bCs/>
                <w:lang w:val="lv-LV" w:eastAsia="lv-LV"/>
              </w:rPr>
            </w:pPr>
            <w:r w:rsidRPr="00C15646">
              <w:rPr>
                <w:bCs/>
                <w:lang w:val="lv-LV" w:eastAsia="lv-LV"/>
              </w:rPr>
              <w:t>0</w:t>
            </w:r>
          </w:p>
        </w:tc>
        <w:tc>
          <w:tcPr>
            <w:tcW w:w="984" w:type="dxa"/>
            <w:vMerge w:val="restart"/>
            <w:vAlign w:val="center"/>
          </w:tcPr>
          <w:p w14:paraId="52A21A6E" w14:textId="77777777" w:rsidR="009E7A9C" w:rsidRPr="00C15646" w:rsidRDefault="009E7A9C" w:rsidP="009E7A9C">
            <w:pPr>
              <w:ind w:firstLine="431"/>
              <w:rPr>
                <w:bCs/>
                <w:lang w:val="lv-LV" w:eastAsia="lv-LV"/>
              </w:rPr>
            </w:pPr>
            <w:r w:rsidRPr="00C15646">
              <w:rPr>
                <w:bCs/>
                <w:lang w:val="lv-LV" w:eastAsia="lv-LV"/>
              </w:rPr>
              <w:t>x</w:t>
            </w:r>
          </w:p>
        </w:tc>
        <w:tc>
          <w:tcPr>
            <w:tcW w:w="952" w:type="dxa"/>
            <w:gridSpan w:val="2"/>
            <w:vAlign w:val="center"/>
          </w:tcPr>
          <w:p w14:paraId="2FDCCACC"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445CCFF9"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2484A70B" w14:textId="77777777" w:rsidTr="00C422C9">
        <w:trPr>
          <w:trHeight w:val="351"/>
        </w:trPr>
        <w:tc>
          <w:tcPr>
            <w:tcW w:w="2122" w:type="dxa"/>
            <w:gridSpan w:val="2"/>
            <w:shd w:val="clear" w:color="auto" w:fill="auto"/>
          </w:tcPr>
          <w:p w14:paraId="0F78D2B8" w14:textId="77777777" w:rsidR="009E7A9C" w:rsidRPr="00C15646" w:rsidRDefault="009E7A9C" w:rsidP="009E7A9C">
            <w:pPr>
              <w:rPr>
                <w:lang w:val="lv-LV" w:eastAsia="lv-LV"/>
              </w:rPr>
            </w:pPr>
            <w:r w:rsidRPr="00C15646">
              <w:rPr>
                <w:lang w:val="lv-LV" w:eastAsia="lv-LV"/>
              </w:rPr>
              <w:t>5.1. valsts pamatbudžets</w:t>
            </w:r>
          </w:p>
        </w:tc>
        <w:tc>
          <w:tcPr>
            <w:tcW w:w="850" w:type="dxa"/>
            <w:vMerge/>
            <w:vAlign w:val="center"/>
          </w:tcPr>
          <w:p w14:paraId="29388ED3" w14:textId="77777777" w:rsidR="009E7A9C" w:rsidRPr="00C15646" w:rsidRDefault="009E7A9C" w:rsidP="009E7A9C">
            <w:pPr>
              <w:ind w:firstLine="431"/>
              <w:rPr>
                <w:bCs/>
                <w:lang w:val="lv-LV" w:eastAsia="lv-LV"/>
              </w:rPr>
            </w:pPr>
          </w:p>
        </w:tc>
        <w:tc>
          <w:tcPr>
            <w:tcW w:w="1134" w:type="dxa"/>
            <w:gridSpan w:val="2"/>
            <w:vAlign w:val="center"/>
          </w:tcPr>
          <w:p w14:paraId="79CBEE0B" w14:textId="77777777" w:rsidR="009E7A9C" w:rsidRPr="00C15646" w:rsidRDefault="009E7A9C" w:rsidP="009E7A9C">
            <w:pPr>
              <w:ind w:firstLine="431"/>
              <w:rPr>
                <w:bCs/>
                <w:lang w:val="lv-LV" w:eastAsia="lv-LV"/>
              </w:rPr>
            </w:pPr>
            <w:r w:rsidRPr="00C15646">
              <w:rPr>
                <w:bCs/>
                <w:lang w:val="lv-LV" w:eastAsia="lv-LV"/>
              </w:rPr>
              <w:t>0</w:t>
            </w:r>
          </w:p>
        </w:tc>
        <w:tc>
          <w:tcPr>
            <w:tcW w:w="851" w:type="dxa"/>
            <w:vMerge/>
            <w:vAlign w:val="center"/>
          </w:tcPr>
          <w:p w14:paraId="1F782172" w14:textId="77777777" w:rsidR="009E7A9C" w:rsidRPr="00C15646" w:rsidRDefault="009E7A9C" w:rsidP="009E7A9C">
            <w:pPr>
              <w:ind w:firstLine="431"/>
              <w:rPr>
                <w:bCs/>
                <w:lang w:val="lv-LV" w:eastAsia="lv-LV"/>
              </w:rPr>
            </w:pPr>
          </w:p>
        </w:tc>
        <w:tc>
          <w:tcPr>
            <w:tcW w:w="1091" w:type="dxa"/>
            <w:vAlign w:val="center"/>
          </w:tcPr>
          <w:p w14:paraId="5EA7D938" w14:textId="77777777" w:rsidR="009E7A9C" w:rsidRPr="00C15646" w:rsidRDefault="009E7A9C" w:rsidP="009E7A9C">
            <w:pPr>
              <w:ind w:firstLine="431"/>
              <w:rPr>
                <w:bCs/>
                <w:lang w:val="lv-LV" w:eastAsia="lv-LV"/>
              </w:rPr>
            </w:pPr>
            <w:r w:rsidRPr="00C15646">
              <w:rPr>
                <w:bCs/>
                <w:lang w:val="lv-LV" w:eastAsia="lv-LV"/>
              </w:rPr>
              <w:t>0</w:t>
            </w:r>
          </w:p>
        </w:tc>
        <w:tc>
          <w:tcPr>
            <w:tcW w:w="984" w:type="dxa"/>
            <w:vMerge/>
            <w:vAlign w:val="center"/>
          </w:tcPr>
          <w:p w14:paraId="68452C22" w14:textId="77777777" w:rsidR="009E7A9C" w:rsidRPr="00C15646" w:rsidRDefault="009E7A9C" w:rsidP="009E7A9C">
            <w:pPr>
              <w:ind w:firstLine="431"/>
              <w:rPr>
                <w:bCs/>
                <w:lang w:val="lv-LV" w:eastAsia="lv-LV"/>
              </w:rPr>
            </w:pPr>
          </w:p>
        </w:tc>
        <w:tc>
          <w:tcPr>
            <w:tcW w:w="952" w:type="dxa"/>
            <w:gridSpan w:val="2"/>
            <w:vAlign w:val="center"/>
          </w:tcPr>
          <w:p w14:paraId="40BAF8AE"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5FE30D5E"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0274736D" w14:textId="77777777" w:rsidTr="00C422C9">
        <w:trPr>
          <w:trHeight w:val="351"/>
        </w:trPr>
        <w:tc>
          <w:tcPr>
            <w:tcW w:w="2122" w:type="dxa"/>
            <w:gridSpan w:val="2"/>
            <w:shd w:val="clear" w:color="auto" w:fill="auto"/>
          </w:tcPr>
          <w:p w14:paraId="100906F3" w14:textId="77777777" w:rsidR="009E7A9C" w:rsidRPr="00C15646" w:rsidRDefault="009E7A9C" w:rsidP="009E7A9C">
            <w:pPr>
              <w:rPr>
                <w:lang w:val="lv-LV" w:eastAsia="lv-LV"/>
              </w:rPr>
            </w:pPr>
            <w:r w:rsidRPr="00C15646">
              <w:rPr>
                <w:lang w:val="lv-LV" w:eastAsia="lv-LV"/>
              </w:rPr>
              <w:t>5.2. speciālais budžets</w:t>
            </w:r>
          </w:p>
        </w:tc>
        <w:tc>
          <w:tcPr>
            <w:tcW w:w="850" w:type="dxa"/>
            <w:vMerge/>
            <w:vAlign w:val="center"/>
          </w:tcPr>
          <w:p w14:paraId="455C435C" w14:textId="77777777" w:rsidR="009E7A9C" w:rsidRPr="00C15646" w:rsidRDefault="009E7A9C" w:rsidP="009E7A9C">
            <w:pPr>
              <w:ind w:firstLine="431"/>
              <w:rPr>
                <w:bCs/>
                <w:lang w:val="lv-LV" w:eastAsia="lv-LV"/>
              </w:rPr>
            </w:pPr>
          </w:p>
        </w:tc>
        <w:tc>
          <w:tcPr>
            <w:tcW w:w="1134" w:type="dxa"/>
            <w:gridSpan w:val="2"/>
            <w:vAlign w:val="center"/>
          </w:tcPr>
          <w:p w14:paraId="7F910B44" w14:textId="77777777" w:rsidR="009E7A9C" w:rsidRPr="00C15646" w:rsidRDefault="009E7A9C" w:rsidP="009E7A9C">
            <w:pPr>
              <w:ind w:firstLine="431"/>
              <w:rPr>
                <w:bCs/>
                <w:lang w:val="lv-LV" w:eastAsia="lv-LV"/>
              </w:rPr>
            </w:pPr>
            <w:r w:rsidRPr="00C15646">
              <w:rPr>
                <w:bCs/>
                <w:lang w:val="lv-LV" w:eastAsia="lv-LV"/>
              </w:rPr>
              <w:t>0</w:t>
            </w:r>
          </w:p>
        </w:tc>
        <w:tc>
          <w:tcPr>
            <w:tcW w:w="851" w:type="dxa"/>
            <w:vMerge/>
            <w:vAlign w:val="center"/>
          </w:tcPr>
          <w:p w14:paraId="7A6A30A7" w14:textId="77777777" w:rsidR="009E7A9C" w:rsidRPr="00C15646" w:rsidRDefault="009E7A9C" w:rsidP="009E7A9C">
            <w:pPr>
              <w:ind w:firstLine="431"/>
              <w:rPr>
                <w:bCs/>
                <w:lang w:val="lv-LV" w:eastAsia="lv-LV"/>
              </w:rPr>
            </w:pPr>
          </w:p>
        </w:tc>
        <w:tc>
          <w:tcPr>
            <w:tcW w:w="1091" w:type="dxa"/>
            <w:vAlign w:val="center"/>
          </w:tcPr>
          <w:p w14:paraId="56D967BC" w14:textId="77777777" w:rsidR="009E7A9C" w:rsidRPr="00C15646" w:rsidRDefault="009E7A9C" w:rsidP="009E7A9C">
            <w:pPr>
              <w:ind w:firstLine="431"/>
              <w:rPr>
                <w:bCs/>
                <w:lang w:val="lv-LV" w:eastAsia="lv-LV"/>
              </w:rPr>
            </w:pPr>
            <w:r w:rsidRPr="00C15646">
              <w:rPr>
                <w:bCs/>
                <w:lang w:val="lv-LV" w:eastAsia="lv-LV"/>
              </w:rPr>
              <w:t>0</w:t>
            </w:r>
          </w:p>
        </w:tc>
        <w:tc>
          <w:tcPr>
            <w:tcW w:w="984" w:type="dxa"/>
            <w:vMerge/>
            <w:vAlign w:val="center"/>
          </w:tcPr>
          <w:p w14:paraId="6D6D74E1" w14:textId="77777777" w:rsidR="009E7A9C" w:rsidRPr="00C15646" w:rsidRDefault="009E7A9C" w:rsidP="009E7A9C">
            <w:pPr>
              <w:ind w:firstLine="431"/>
              <w:rPr>
                <w:bCs/>
                <w:lang w:val="lv-LV" w:eastAsia="lv-LV"/>
              </w:rPr>
            </w:pPr>
          </w:p>
        </w:tc>
        <w:tc>
          <w:tcPr>
            <w:tcW w:w="952" w:type="dxa"/>
            <w:gridSpan w:val="2"/>
            <w:vAlign w:val="center"/>
          </w:tcPr>
          <w:p w14:paraId="1B29D6EC"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vAlign w:val="center"/>
          </w:tcPr>
          <w:p w14:paraId="2F26E6E4"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44524478" w14:textId="77777777" w:rsidTr="002E07AB">
        <w:trPr>
          <w:trHeight w:val="342"/>
        </w:trPr>
        <w:tc>
          <w:tcPr>
            <w:tcW w:w="2122" w:type="dxa"/>
            <w:gridSpan w:val="2"/>
            <w:tcBorders>
              <w:bottom w:val="single" w:sz="4" w:space="0" w:color="auto"/>
            </w:tcBorders>
            <w:vAlign w:val="center"/>
          </w:tcPr>
          <w:p w14:paraId="487CD1B9" w14:textId="77777777" w:rsidR="009E7A9C" w:rsidRPr="00C15646" w:rsidRDefault="009E7A9C" w:rsidP="009E7A9C">
            <w:pPr>
              <w:rPr>
                <w:bCs/>
                <w:lang w:val="lv-LV" w:eastAsia="lv-LV"/>
              </w:rPr>
            </w:pPr>
            <w:r w:rsidRPr="00C15646">
              <w:rPr>
                <w:bCs/>
                <w:lang w:val="lv-LV" w:eastAsia="lv-LV"/>
              </w:rPr>
              <w:t>5.3. pašvaldību budžets</w:t>
            </w:r>
          </w:p>
        </w:tc>
        <w:tc>
          <w:tcPr>
            <w:tcW w:w="850" w:type="dxa"/>
            <w:vMerge/>
            <w:tcBorders>
              <w:bottom w:val="single" w:sz="4" w:space="0" w:color="auto"/>
            </w:tcBorders>
            <w:vAlign w:val="center"/>
          </w:tcPr>
          <w:p w14:paraId="778677BA" w14:textId="77777777" w:rsidR="009E7A9C" w:rsidRPr="00C15646" w:rsidRDefault="009E7A9C" w:rsidP="009E7A9C">
            <w:pPr>
              <w:ind w:firstLine="431"/>
              <w:rPr>
                <w:bCs/>
                <w:lang w:val="lv-LV" w:eastAsia="lv-LV"/>
              </w:rPr>
            </w:pPr>
          </w:p>
        </w:tc>
        <w:tc>
          <w:tcPr>
            <w:tcW w:w="1134" w:type="dxa"/>
            <w:gridSpan w:val="2"/>
            <w:tcBorders>
              <w:bottom w:val="single" w:sz="4" w:space="0" w:color="auto"/>
            </w:tcBorders>
            <w:vAlign w:val="center"/>
          </w:tcPr>
          <w:p w14:paraId="7CAC2363" w14:textId="77777777" w:rsidR="009E7A9C" w:rsidRPr="00C15646" w:rsidRDefault="009E7A9C" w:rsidP="009E7A9C">
            <w:pPr>
              <w:ind w:firstLine="431"/>
              <w:rPr>
                <w:bCs/>
                <w:lang w:val="lv-LV" w:eastAsia="lv-LV"/>
              </w:rPr>
            </w:pPr>
            <w:r w:rsidRPr="00C15646">
              <w:rPr>
                <w:bCs/>
                <w:lang w:val="lv-LV" w:eastAsia="lv-LV"/>
              </w:rPr>
              <w:t>0</w:t>
            </w:r>
          </w:p>
        </w:tc>
        <w:tc>
          <w:tcPr>
            <w:tcW w:w="851" w:type="dxa"/>
            <w:vMerge/>
            <w:tcBorders>
              <w:bottom w:val="single" w:sz="4" w:space="0" w:color="auto"/>
            </w:tcBorders>
            <w:vAlign w:val="center"/>
          </w:tcPr>
          <w:p w14:paraId="72D680E0" w14:textId="77777777" w:rsidR="009E7A9C" w:rsidRPr="00C15646" w:rsidRDefault="009E7A9C" w:rsidP="009E7A9C">
            <w:pPr>
              <w:ind w:firstLine="431"/>
              <w:rPr>
                <w:bCs/>
                <w:lang w:val="lv-LV" w:eastAsia="lv-LV"/>
              </w:rPr>
            </w:pPr>
          </w:p>
        </w:tc>
        <w:tc>
          <w:tcPr>
            <w:tcW w:w="1091" w:type="dxa"/>
            <w:tcBorders>
              <w:bottom w:val="single" w:sz="4" w:space="0" w:color="auto"/>
            </w:tcBorders>
            <w:vAlign w:val="center"/>
          </w:tcPr>
          <w:p w14:paraId="2A1B1194" w14:textId="77777777" w:rsidR="009E7A9C" w:rsidRPr="00C15646" w:rsidRDefault="009E7A9C" w:rsidP="009E7A9C">
            <w:pPr>
              <w:ind w:firstLine="431"/>
              <w:rPr>
                <w:bCs/>
                <w:lang w:val="lv-LV" w:eastAsia="lv-LV"/>
              </w:rPr>
            </w:pPr>
            <w:r w:rsidRPr="00C15646">
              <w:rPr>
                <w:bCs/>
                <w:lang w:val="lv-LV" w:eastAsia="lv-LV"/>
              </w:rPr>
              <w:t>0</w:t>
            </w:r>
          </w:p>
        </w:tc>
        <w:tc>
          <w:tcPr>
            <w:tcW w:w="984" w:type="dxa"/>
            <w:vMerge/>
            <w:tcBorders>
              <w:bottom w:val="single" w:sz="4" w:space="0" w:color="auto"/>
            </w:tcBorders>
            <w:vAlign w:val="center"/>
          </w:tcPr>
          <w:p w14:paraId="6B7E2C83" w14:textId="77777777" w:rsidR="009E7A9C" w:rsidRPr="00C15646" w:rsidRDefault="009E7A9C" w:rsidP="009E7A9C">
            <w:pPr>
              <w:ind w:firstLine="431"/>
              <w:rPr>
                <w:bCs/>
                <w:lang w:val="lv-LV" w:eastAsia="lv-LV"/>
              </w:rPr>
            </w:pPr>
          </w:p>
        </w:tc>
        <w:tc>
          <w:tcPr>
            <w:tcW w:w="952" w:type="dxa"/>
            <w:gridSpan w:val="2"/>
            <w:tcBorders>
              <w:bottom w:val="single" w:sz="4" w:space="0" w:color="auto"/>
            </w:tcBorders>
            <w:vAlign w:val="center"/>
          </w:tcPr>
          <w:p w14:paraId="627E7DF2" w14:textId="77777777" w:rsidR="009E7A9C" w:rsidRPr="00C15646" w:rsidRDefault="009E7A9C" w:rsidP="009E7A9C">
            <w:pPr>
              <w:ind w:firstLine="431"/>
              <w:rPr>
                <w:bCs/>
                <w:lang w:val="lv-LV" w:eastAsia="lv-LV"/>
              </w:rPr>
            </w:pPr>
            <w:r w:rsidRPr="00C15646">
              <w:rPr>
                <w:bCs/>
                <w:lang w:val="lv-LV" w:eastAsia="lv-LV"/>
              </w:rPr>
              <w:t>0</w:t>
            </w:r>
          </w:p>
        </w:tc>
        <w:tc>
          <w:tcPr>
            <w:tcW w:w="1141" w:type="dxa"/>
            <w:gridSpan w:val="3"/>
            <w:tcBorders>
              <w:bottom w:val="single" w:sz="4" w:space="0" w:color="auto"/>
            </w:tcBorders>
            <w:vAlign w:val="center"/>
          </w:tcPr>
          <w:p w14:paraId="29B29D88" w14:textId="77777777" w:rsidR="009E7A9C" w:rsidRPr="00C15646" w:rsidRDefault="009E7A9C" w:rsidP="009E7A9C">
            <w:pPr>
              <w:ind w:firstLine="431"/>
              <w:rPr>
                <w:bCs/>
                <w:lang w:val="lv-LV" w:eastAsia="lv-LV"/>
              </w:rPr>
            </w:pPr>
            <w:r w:rsidRPr="00C15646">
              <w:rPr>
                <w:bCs/>
                <w:lang w:val="lv-LV" w:eastAsia="lv-LV"/>
              </w:rPr>
              <w:t>0</w:t>
            </w:r>
          </w:p>
        </w:tc>
      </w:tr>
      <w:tr w:rsidR="009E7A9C" w:rsidRPr="00C15646" w14:paraId="2EEBB971" w14:textId="77777777" w:rsidTr="00C422C9">
        <w:trPr>
          <w:trHeight w:val="351"/>
        </w:trPr>
        <w:tc>
          <w:tcPr>
            <w:tcW w:w="2122" w:type="dxa"/>
            <w:gridSpan w:val="2"/>
            <w:shd w:val="clear" w:color="auto" w:fill="auto"/>
          </w:tcPr>
          <w:p w14:paraId="2319962C" w14:textId="77777777" w:rsidR="009E7A9C" w:rsidRPr="00C15646" w:rsidRDefault="009E7A9C" w:rsidP="009E7A9C">
            <w:pPr>
              <w:rPr>
                <w:lang w:val="lv-LV" w:eastAsia="lv-LV"/>
              </w:rPr>
            </w:pPr>
            <w:r w:rsidRPr="00C15646">
              <w:rPr>
                <w:lang w:val="lv-LV" w:eastAsia="lv-LV"/>
              </w:rPr>
              <w:t xml:space="preserve">6. Detalizēts ieņēmumu un izdevumu aprēķins (ja nepieciešams, detalizētu ieņēmumu un izdevumu aprēķinu var </w:t>
            </w:r>
            <w:r w:rsidRPr="00C15646">
              <w:rPr>
                <w:lang w:val="lv-LV" w:eastAsia="lv-LV"/>
              </w:rPr>
              <w:lastRenderedPageBreak/>
              <w:t>pievienot anotācijas pielikumā)</w:t>
            </w:r>
          </w:p>
        </w:tc>
        <w:tc>
          <w:tcPr>
            <w:tcW w:w="7003" w:type="dxa"/>
            <w:gridSpan w:val="11"/>
            <w:vMerge w:val="restart"/>
            <w:vAlign w:val="center"/>
          </w:tcPr>
          <w:p w14:paraId="27A2E303" w14:textId="76E9C90E" w:rsidR="009E7A9C" w:rsidRPr="00C15646" w:rsidRDefault="00205E4D" w:rsidP="009E7A9C">
            <w:pPr>
              <w:ind w:firstLine="431"/>
              <w:jc w:val="center"/>
              <w:rPr>
                <w:bCs/>
                <w:lang w:val="lv-LV" w:eastAsia="lv-LV"/>
              </w:rPr>
            </w:pPr>
            <w:r w:rsidRPr="00C15646">
              <w:rPr>
                <w:bCs/>
                <w:lang w:val="lv-LV" w:eastAsia="lv-LV"/>
              </w:rPr>
              <w:lastRenderedPageBreak/>
              <w:t>P</w:t>
            </w:r>
            <w:r w:rsidR="009E7A9C" w:rsidRPr="00C15646">
              <w:rPr>
                <w:bCs/>
                <w:lang w:val="lv-LV" w:eastAsia="lv-LV"/>
              </w:rPr>
              <w:t>rojekts šo jomu neskar.</w:t>
            </w:r>
          </w:p>
        </w:tc>
      </w:tr>
      <w:tr w:rsidR="009E7A9C" w:rsidRPr="00C15646" w14:paraId="494822DC" w14:textId="77777777" w:rsidTr="00C422C9">
        <w:trPr>
          <w:trHeight w:val="348"/>
        </w:trPr>
        <w:tc>
          <w:tcPr>
            <w:tcW w:w="2122" w:type="dxa"/>
            <w:gridSpan w:val="2"/>
            <w:shd w:val="clear" w:color="auto" w:fill="auto"/>
          </w:tcPr>
          <w:p w14:paraId="2435E53E" w14:textId="77777777" w:rsidR="009E7A9C" w:rsidRPr="00C15646" w:rsidRDefault="009E7A9C" w:rsidP="009E7A9C">
            <w:pPr>
              <w:rPr>
                <w:lang w:val="lv-LV" w:eastAsia="lv-LV"/>
              </w:rPr>
            </w:pPr>
            <w:r w:rsidRPr="00C15646">
              <w:rPr>
                <w:lang w:val="lv-LV" w:eastAsia="lv-LV"/>
              </w:rPr>
              <w:t>6.1. detalizēts ieņēmumu aprēķins</w:t>
            </w:r>
          </w:p>
        </w:tc>
        <w:tc>
          <w:tcPr>
            <w:tcW w:w="7003" w:type="dxa"/>
            <w:gridSpan w:val="11"/>
            <w:vMerge/>
            <w:vAlign w:val="center"/>
          </w:tcPr>
          <w:p w14:paraId="42A8300C" w14:textId="77777777" w:rsidR="009E7A9C" w:rsidRPr="00C15646" w:rsidRDefault="009E7A9C" w:rsidP="009E7A9C">
            <w:pPr>
              <w:ind w:firstLine="431"/>
              <w:jc w:val="center"/>
              <w:rPr>
                <w:bCs/>
                <w:lang w:val="lv-LV" w:eastAsia="lv-LV"/>
              </w:rPr>
            </w:pPr>
          </w:p>
        </w:tc>
      </w:tr>
      <w:tr w:rsidR="009E7A9C" w:rsidRPr="00C15646" w14:paraId="73577503" w14:textId="77777777" w:rsidTr="00C422C9">
        <w:trPr>
          <w:trHeight w:val="348"/>
        </w:trPr>
        <w:tc>
          <w:tcPr>
            <w:tcW w:w="2122" w:type="dxa"/>
            <w:gridSpan w:val="2"/>
            <w:shd w:val="clear" w:color="auto" w:fill="auto"/>
          </w:tcPr>
          <w:p w14:paraId="6F6E3E57" w14:textId="77777777" w:rsidR="009E7A9C" w:rsidRPr="00C15646" w:rsidRDefault="009E7A9C" w:rsidP="009E7A9C">
            <w:pPr>
              <w:rPr>
                <w:lang w:val="lv-LV" w:eastAsia="lv-LV"/>
              </w:rPr>
            </w:pPr>
            <w:r w:rsidRPr="00C15646">
              <w:rPr>
                <w:lang w:val="lv-LV" w:eastAsia="lv-LV"/>
              </w:rPr>
              <w:t>6.2. detalizēts izdevumu aprēķins</w:t>
            </w:r>
          </w:p>
        </w:tc>
        <w:tc>
          <w:tcPr>
            <w:tcW w:w="7003" w:type="dxa"/>
            <w:gridSpan w:val="11"/>
            <w:vMerge/>
            <w:vAlign w:val="center"/>
          </w:tcPr>
          <w:p w14:paraId="735A8970" w14:textId="77777777" w:rsidR="009E7A9C" w:rsidRPr="00C15646" w:rsidRDefault="009E7A9C" w:rsidP="009E7A9C">
            <w:pPr>
              <w:ind w:firstLine="431"/>
              <w:jc w:val="center"/>
              <w:rPr>
                <w:bCs/>
                <w:lang w:val="lv-LV" w:eastAsia="lv-LV"/>
              </w:rPr>
            </w:pPr>
          </w:p>
        </w:tc>
      </w:tr>
      <w:tr w:rsidR="009E7A9C" w:rsidRPr="00C15646" w14:paraId="47FA6792" w14:textId="77777777" w:rsidTr="00C422C9">
        <w:trPr>
          <w:trHeight w:val="348"/>
        </w:trPr>
        <w:tc>
          <w:tcPr>
            <w:tcW w:w="2122" w:type="dxa"/>
            <w:gridSpan w:val="2"/>
            <w:shd w:val="clear" w:color="auto" w:fill="auto"/>
          </w:tcPr>
          <w:p w14:paraId="7D30E082" w14:textId="77777777" w:rsidR="009E7A9C" w:rsidRPr="00C15646" w:rsidRDefault="009E7A9C" w:rsidP="009E7A9C">
            <w:pPr>
              <w:rPr>
                <w:lang w:val="lv-LV" w:eastAsia="lv-LV"/>
              </w:rPr>
            </w:pPr>
            <w:r w:rsidRPr="00C15646">
              <w:rPr>
                <w:lang w:val="lv-LV" w:eastAsia="lv-LV"/>
              </w:rPr>
              <w:t>7. Amata vietu skaita izmaiņas</w:t>
            </w:r>
          </w:p>
        </w:tc>
        <w:tc>
          <w:tcPr>
            <w:tcW w:w="7003" w:type="dxa"/>
            <w:gridSpan w:val="11"/>
            <w:vAlign w:val="center"/>
          </w:tcPr>
          <w:p w14:paraId="5721D522" w14:textId="7451697F" w:rsidR="009E7A9C" w:rsidRPr="00C15646" w:rsidRDefault="00205E4D" w:rsidP="001A7715">
            <w:pPr>
              <w:ind w:firstLine="431"/>
              <w:rPr>
                <w:bCs/>
                <w:lang w:val="lv-LV" w:eastAsia="lv-LV"/>
              </w:rPr>
            </w:pPr>
            <w:r w:rsidRPr="00C15646">
              <w:rPr>
                <w:bCs/>
                <w:lang w:val="lv-LV" w:eastAsia="lv-LV"/>
              </w:rPr>
              <w:t>P</w:t>
            </w:r>
            <w:r w:rsidR="009E7A9C" w:rsidRPr="00C15646">
              <w:rPr>
                <w:bCs/>
                <w:lang w:val="lv-LV" w:eastAsia="lv-LV"/>
              </w:rPr>
              <w:t xml:space="preserve">rojekts šo jomu neskar. </w:t>
            </w:r>
          </w:p>
        </w:tc>
      </w:tr>
      <w:tr w:rsidR="009E7A9C" w:rsidRPr="00B661F5" w14:paraId="24AA723F" w14:textId="77777777" w:rsidTr="00C422C9">
        <w:trPr>
          <w:trHeight w:val="348"/>
        </w:trPr>
        <w:tc>
          <w:tcPr>
            <w:tcW w:w="2122" w:type="dxa"/>
            <w:gridSpan w:val="2"/>
            <w:shd w:val="clear" w:color="auto" w:fill="auto"/>
          </w:tcPr>
          <w:p w14:paraId="6C642D4B" w14:textId="77777777" w:rsidR="009E7A9C" w:rsidRPr="00C15646" w:rsidRDefault="009E7A9C" w:rsidP="009E7A9C">
            <w:pPr>
              <w:rPr>
                <w:lang w:val="lv-LV" w:eastAsia="lv-LV"/>
              </w:rPr>
            </w:pPr>
            <w:r w:rsidRPr="00C15646">
              <w:rPr>
                <w:lang w:val="lv-LV" w:eastAsia="lv-LV"/>
              </w:rPr>
              <w:t>8. Cita informācija.</w:t>
            </w:r>
          </w:p>
        </w:tc>
        <w:tc>
          <w:tcPr>
            <w:tcW w:w="7003" w:type="dxa"/>
            <w:gridSpan w:val="11"/>
            <w:vAlign w:val="center"/>
          </w:tcPr>
          <w:p w14:paraId="4DF58C98" w14:textId="0901A814" w:rsidR="007266B7" w:rsidRPr="00A05D0F" w:rsidRDefault="00CC4C74" w:rsidP="007266B7">
            <w:pPr>
              <w:ind w:firstLine="431"/>
              <w:jc w:val="both"/>
              <w:rPr>
                <w:color w:val="000000" w:themeColor="text1"/>
                <w:lang w:val="lv-LV"/>
              </w:rPr>
            </w:pPr>
            <w:r>
              <w:rPr>
                <w:color w:val="000000" w:themeColor="text1"/>
                <w:lang w:val="lv-LV"/>
              </w:rPr>
              <w:t xml:space="preserve">Projekta ietekmi uz valsts budžetu un pašvaldību budžetiem nav iespējams </w:t>
            </w:r>
            <w:r w:rsidR="0018758D">
              <w:rPr>
                <w:color w:val="000000" w:themeColor="text1"/>
                <w:lang w:val="lv-LV"/>
              </w:rPr>
              <w:t>precīzi noteikt. Procesuālos izdevumus</w:t>
            </w:r>
            <w:r w:rsidR="004B6D56">
              <w:rPr>
                <w:color w:val="000000" w:themeColor="text1"/>
                <w:lang w:val="lv-LV"/>
              </w:rPr>
              <w:t xml:space="preserve"> </w:t>
            </w:r>
            <w:r w:rsidR="004B6D56" w:rsidRPr="004B6D56">
              <w:rPr>
                <w:color w:val="000000" w:themeColor="text1"/>
                <w:lang w:val="lv-LV"/>
              </w:rPr>
              <w:t>sākotnēji sedz no valsts</w:t>
            </w:r>
            <w:r w:rsidR="004B6D56">
              <w:rPr>
                <w:color w:val="000000" w:themeColor="text1"/>
                <w:lang w:val="lv-LV"/>
              </w:rPr>
              <w:t xml:space="preserve"> vai </w:t>
            </w:r>
            <w:r w:rsidR="004B6D56" w:rsidRPr="004B6D56">
              <w:rPr>
                <w:color w:val="000000" w:themeColor="text1"/>
                <w:lang w:val="lv-LV"/>
              </w:rPr>
              <w:t>pašvaldības</w:t>
            </w:r>
            <w:r w:rsidR="004B6D56">
              <w:rPr>
                <w:color w:val="000000" w:themeColor="text1"/>
                <w:lang w:val="lv-LV"/>
              </w:rPr>
              <w:t xml:space="preserve"> </w:t>
            </w:r>
            <w:r w:rsidR="004B6D56" w:rsidRPr="004B6D56">
              <w:rPr>
                <w:color w:val="000000" w:themeColor="text1"/>
                <w:lang w:val="lv-LV"/>
              </w:rPr>
              <w:t>līdzekļiem, bet vēlāk piedzen no sodītās personas</w:t>
            </w:r>
            <w:r w:rsidR="004B6D56">
              <w:rPr>
                <w:color w:val="000000" w:themeColor="text1"/>
                <w:lang w:val="lv-LV"/>
              </w:rPr>
              <w:t xml:space="preserve">. </w:t>
            </w:r>
            <w:r w:rsidR="00092622">
              <w:rPr>
                <w:color w:val="000000" w:themeColor="text1"/>
                <w:lang w:val="lv-LV"/>
              </w:rPr>
              <w:t xml:space="preserve">Izņēmumi ir paredzēti </w:t>
            </w:r>
            <w:r w:rsidR="007266B7">
              <w:rPr>
                <w:color w:val="000000" w:themeColor="text1"/>
                <w:lang w:val="lv-LV"/>
              </w:rPr>
              <w:t>Administratīvās atbildības likuma 76. panta otrajā daļā, proti, n</w:t>
            </w:r>
            <w:r w:rsidR="007266B7" w:rsidRPr="00A05D0F">
              <w:rPr>
                <w:color w:val="000000" w:themeColor="text1"/>
                <w:lang w:val="lv-LV"/>
              </w:rPr>
              <w:t>o valsts vai pašvaldības līdzekļiem procesuālos izdevumus sedz: 1) ja ar galīgo nolēmumu persona nav sodīta; 2) ja persona, no kuras tie ir piedzenami, ir maznodrošināta vai trūcīga; 3) par tulka darbu.</w:t>
            </w:r>
          </w:p>
          <w:p w14:paraId="2C6E75D0" w14:textId="07F4A6B6" w:rsidR="009E7A9C" w:rsidRPr="00C15646" w:rsidRDefault="00F24D82" w:rsidP="006A7F1D">
            <w:pPr>
              <w:ind w:firstLine="431"/>
              <w:jc w:val="both"/>
              <w:rPr>
                <w:lang w:val="lv-LV" w:eastAsia="lv-LV"/>
              </w:rPr>
            </w:pPr>
            <w:r w:rsidRPr="00A05D0F">
              <w:rPr>
                <w:color w:val="000000" w:themeColor="text1"/>
                <w:lang w:val="lv-LV"/>
              </w:rPr>
              <w:t xml:space="preserve">Arī šobrīd Kodeksa </w:t>
            </w:r>
            <w:r w:rsidR="00FB55FF" w:rsidRPr="00A05D0F">
              <w:rPr>
                <w:color w:val="000000" w:themeColor="text1"/>
                <w:lang w:val="lv-LV"/>
              </w:rPr>
              <w:t>267.</w:t>
            </w:r>
            <w:r w:rsidR="0029410E">
              <w:rPr>
                <w:color w:val="000000" w:themeColor="text1"/>
                <w:lang w:val="lv-LV"/>
              </w:rPr>
              <w:t> </w:t>
            </w:r>
            <w:bookmarkStart w:id="0" w:name="_GoBack"/>
            <w:bookmarkEnd w:id="0"/>
            <w:r w:rsidR="00FB55FF" w:rsidRPr="00A05D0F">
              <w:rPr>
                <w:color w:val="000000" w:themeColor="text1"/>
                <w:lang w:val="lv-LV"/>
              </w:rPr>
              <w:t>pants</w:t>
            </w:r>
            <w:r w:rsidR="00493A4A" w:rsidRPr="00A05D0F">
              <w:rPr>
                <w:color w:val="000000" w:themeColor="text1"/>
                <w:lang w:val="lv-LV"/>
              </w:rPr>
              <w:t xml:space="preserve"> paredz pienākumu segt</w:t>
            </w:r>
            <w:r w:rsidR="00C803CF" w:rsidRPr="00A05D0F">
              <w:rPr>
                <w:color w:val="000000" w:themeColor="text1"/>
                <w:lang w:val="lv-LV"/>
              </w:rPr>
              <w:t xml:space="preserve"> procesuālos izdevumus</w:t>
            </w:r>
            <w:r w:rsidR="005B2978" w:rsidRPr="00A05D0F">
              <w:rPr>
                <w:color w:val="000000" w:themeColor="text1"/>
                <w:lang w:val="lv-LV"/>
              </w:rPr>
              <w:t xml:space="preserve"> </w:t>
            </w:r>
            <w:r w:rsidR="00C803CF" w:rsidRPr="00C803CF">
              <w:rPr>
                <w:color w:val="000000" w:themeColor="text1"/>
                <w:lang w:val="lv-LV"/>
              </w:rPr>
              <w:t>cietušajiem, lieciniekiem, ekspertiem un tulkiem</w:t>
            </w:r>
            <w:r w:rsidR="005B2978">
              <w:rPr>
                <w:color w:val="000000" w:themeColor="text1"/>
                <w:lang w:val="lv-LV"/>
              </w:rPr>
              <w:t>.</w:t>
            </w:r>
            <w:r w:rsidR="0074486C">
              <w:rPr>
                <w:color w:val="000000" w:themeColor="text1"/>
                <w:lang w:val="lv-LV"/>
              </w:rPr>
              <w:t xml:space="preserve"> </w:t>
            </w:r>
            <w:r w:rsidR="005B2978">
              <w:rPr>
                <w:color w:val="000000" w:themeColor="text1"/>
                <w:lang w:val="lv-LV"/>
              </w:rPr>
              <w:t>Administratīvās atbildības likumā un projektā</w:t>
            </w:r>
            <w:r w:rsidR="006A7F1D">
              <w:rPr>
                <w:color w:val="000000" w:themeColor="text1"/>
                <w:lang w:val="lv-LV"/>
              </w:rPr>
              <w:t xml:space="preserve"> nav būtiski paplašināts sedzamo procesuālo izdevumu loks.</w:t>
            </w:r>
          </w:p>
        </w:tc>
      </w:tr>
      <w:tr w:rsidR="009E7A9C" w:rsidRPr="00B661F5" w14:paraId="6ECDDA27" w14:textId="77777777" w:rsidTr="00314220">
        <w:trPr>
          <w:trHeight w:val="345"/>
        </w:trPr>
        <w:tc>
          <w:tcPr>
            <w:tcW w:w="9125" w:type="dxa"/>
            <w:gridSpan w:val="13"/>
            <w:tcBorders>
              <w:top w:val="single" w:sz="4" w:space="0" w:color="auto"/>
              <w:left w:val="nil"/>
              <w:bottom w:val="single" w:sz="4" w:space="0" w:color="auto"/>
              <w:right w:val="nil"/>
            </w:tcBorders>
            <w:vAlign w:val="center"/>
          </w:tcPr>
          <w:p w14:paraId="39EDB1E1" w14:textId="77777777" w:rsidR="009E7A9C" w:rsidRPr="00C15646" w:rsidRDefault="009E7A9C" w:rsidP="009E7A9C">
            <w:pPr>
              <w:ind w:firstLine="431"/>
              <w:jc w:val="center"/>
              <w:rPr>
                <w:lang w:val="lv-LV" w:eastAsia="lv-LV"/>
              </w:rPr>
            </w:pPr>
          </w:p>
        </w:tc>
      </w:tr>
      <w:tr w:rsidR="009E7A9C" w:rsidRPr="00B661F5" w14:paraId="5CFD2B9A" w14:textId="77777777" w:rsidTr="00314220">
        <w:trPr>
          <w:trHeight w:val="408"/>
        </w:trPr>
        <w:tc>
          <w:tcPr>
            <w:tcW w:w="9125" w:type="dxa"/>
            <w:gridSpan w:val="13"/>
            <w:tcBorders>
              <w:top w:val="single" w:sz="4" w:space="0" w:color="auto"/>
              <w:bottom w:val="single" w:sz="4" w:space="0" w:color="auto"/>
            </w:tcBorders>
            <w:vAlign w:val="center"/>
          </w:tcPr>
          <w:p w14:paraId="6A370D11" w14:textId="77777777" w:rsidR="009E7A9C" w:rsidRPr="00C15646" w:rsidRDefault="009E7A9C" w:rsidP="009E7A9C">
            <w:pPr>
              <w:ind w:firstLine="431"/>
              <w:jc w:val="center"/>
              <w:rPr>
                <w:lang w:val="lv-LV" w:eastAsia="lv-LV"/>
              </w:rPr>
            </w:pPr>
            <w:r w:rsidRPr="00C15646">
              <w:rPr>
                <w:b/>
                <w:bCs/>
                <w:lang w:val="lv-LV" w:eastAsia="lv-LV"/>
              </w:rPr>
              <w:t>IV. Tiesību akta projekta ietekme uz spēkā esošo tiesību normu sistēmu</w:t>
            </w:r>
          </w:p>
        </w:tc>
      </w:tr>
      <w:tr w:rsidR="009E7A9C" w:rsidRPr="00C15646" w14:paraId="4EA958A5" w14:textId="77777777" w:rsidTr="00314220">
        <w:trPr>
          <w:trHeight w:val="408"/>
        </w:trPr>
        <w:tc>
          <w:tcPr>
            <w:tcW w:w="9125" w:type="dxa"/>
            <w:gridSpan w:val="13"/>
            <w:tcBorders>
              <w:top w:val="single" w:sz="4" w:space="0" w:color="auto"/>
              <w:bottom w:val="single" w:sz="4" w:space="0" w:color="auto"/>
            </w:tcBorders>
            <w:vAlign w:val="center"/>
          </w:tcPr>
          <w:p w14:paraId="777E9865" w14:textId="613B7746" w:rsidR="009E7A9C" w:rsidRPr="00C15646" w:rsidRDefault="00205E4D" w:rsidP="009E7A9C">
            <w:pPr>
              <w:ind w:firstLine="431"/>
              <w:jc w:val="center"/>
              <w:rPr>
                <w:b/>
                <w:bCs/>
                <w:lang w:val="lv-LV" w:eastAsia="lv-LV"/>
              </w:rPr>
            </w:pPr>
            <w:r w:rsidRPr="00C15646">
              <w:rPr>
                <w:lang w:val="lv-LV" w:eastAsia="lv-LV"/>
              </w:rPr>
              <w:t>Pr</w:t>
            </w:r>
            <w:r w:rsidR="009E7A9C" w:rsidRPr="00C15646">
              <w:rPr>
                <w:lang w:val="lv-LV" w:eastAsia="lv-LV"/>
              </w:rPr>
              <w:t>ojekts šo jomu neskar.</w:t>
            </w:r>
          </w:p>
        </w:tc>
      </w:tr>
      <w:tr w:rsidR="009E7A9C" w:rsidRPr="00C15646" w14:paraId="62F1D998" w14:textId="77777777" w:rsidTr="00314220">
        <w:trPr>
          <w:trHeight w:val="347"/>
        </w:trPr>
        <w:tc>
          <w:tcPr>
            <w:tcW w:w="9125" w:type="dxa"/>
            <w:gridSpan w:val="13"/>
            <w:tcBorders>
              <w:top w:val="single" w:sz="4" w:space="0" w:color="auto"/>
              <w:left w:val="nil"/>
              <w:bottom w:val="nil"/>
              <w:right w:val="nil"/>
            </w:tcBorders>
            <w:vAlign w:val="center"/>
          </w:tcPr>
          <w:p w14:paraId="51BA98D1" w14:textId="77777777" w:rsidR="009E7A9C" w:rsidRPr="00C15646" w:rsidRDefault="009E7A9C" w:rsidP="009E7A9C">
            <w:pPr>
              <w:ind w:firstLine="431"/>
              <w:jc w:val="center"/>
              <w:rPr>
                <w:lang w:val="lv-LV"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9109"/>
            </w:tblGrid>
            <w:tr w:rsidR="009E7A9C" w:rsidRPr="00C15646" w14:paraId="6092EDE1" w14:textId="77777777" w:rsidTr="0040597E">
              <w:tc>
                <w:tcPr>
                  <w:tcW w:w="5000" w:type="pct"/>
                  <w:tcBorders>
                    <w:top w:val="outset" w:sz="6" w:space="0" w:color="414142"/>
                    <w:bottom w:val="outset" w:sz="6" w:space="0" w:color="414142"/>
                  </w:tcBorders>
                  <w:vAlign w:val="center"/>
                </w:tcPr>
                <w:p w14:paraId="7E8572D2" w14:textId="77777777" w:rsidR="009E7A9C" w:rsidRPr="00C15646" w:rsidRDefault="009E7A9C" w:rsidP="00B661F5">
                  <w:pPr>
                    <w:framePr w:hSpace="180" w:wrap="around" w:vAnchor="text" w:hAnchor="margin" w:xAlign="center" w:y="149"/>
                    <w:ind w:firstLine="300"/>
                    <w:jc w:val="center"/>
                    <w:rPr>
                      <w:b/>
                      <w:bCs/>
                      <w:lang w:val="lv-LV" w:eastAsia="lv-LV"/>
                    </w:rPr>
                  </w:pPr>
                  <w:r w:rsidRPr="00C15646">
                    <w:rPr>
                      <w:b/>
                      <w:bCs/>
                      <w:lang w:val="lv-LV" w:eastAsia="lv-LV"/>
                    </w:rPr>
                    <w:t>V. Tiesību akta projekta atbilstība Latvijas Republikas starptautiskajām saistībām</w:t>
                  </w:r>
                </w:p>
              </w:tc>
            </w:tr>
            <w:tr w:rsidR="009E7A9C" w:rsidRPr="00C15646" w14:paraId="0633270F" w14:textId="77777777" w:rsidTr="0040597E">
              <w:tc>
                <w:tcPr>
                  <w:tcW w:w="5000" w:type="pct"/>
                  <w:tcBorders>
                    <w:top w:val="outset" w:sz="6" w:space="0" w:color="414142"/>
                    <w:bottom w:val="outset" w:sz="6" w:space="0" w:color="414142"/>
                  </w:tcBorders>
                </w:tcPr>
                <w:p w14:paraId="7FBCB9DC" w14:textId="5C048B34" w:rsidR="009E7A9C" w:rsidRPr="00C15646" w:rsidRDefault="00035160" w:rsidP="00B661F5">
                  <w:pPr>
                    <w:framePr w:hSpace="180" w:wrap="around" w:vAnchor="text" w:hAnchor="margin" w:xAlign="center" w:y="149"/>
                    <w:jc w:val="center"/>
                    <w:rPr>
                      <w:lang w:val="lv-LV" w:eastAsia="lv-LV"/>
                    </w:rPr>
                  </w:pPr>
                  <w:r>
                    <w:rPr>
                      <w:lang w:val="lv-LV" w:eastAsia="lv-LV"/>
                    </w:rPr>
                    <w:t>P</w:t>
                  </w:r>
                  <w:r w:rsidR="009E7A9C" w:rsidRPr="00C15646">
                    <w:rPr>
                      <w:lang w:val="lv-LV" w:eastAsia="lv-LV"/>
                    </w:rPr>
                    <w:t>rojekts šo jomu neskar.</w:t>
                  </w:r>
                </w:p>
              </w:tc>
            </w:tr>
          </w:tbl>
          <w:p w14:paraId="736E20EB" w14:textId="77777777" w:rsidR="009E7A9C" w:rsidRPr="00C15646" w:rsidRDefault="009E7A9C" w:rsidP="009E7A9C">
            <w:pPr>
              <w:rPr>
                <w:lang w:val="lv-LV" w:eastAsia="lv-LV"/>
              </w:rPr>
            </w:pPr>
          </w:p>
        </w:tc>
      </w:tr>
    </w:tbl>
    <w:p w14:paraId="4F5667B8" w14:textId="0C801E1E" w:rsidR="002B3C65" w:rsidRPr="00C15646" w:rsidRDefault="002B3C65" w:rsidP="002B3C65">
      <w:pPr>
        <w:tabs>
          <w:tab w:val="left" w:pos="5760"/>
        </w:tabs>
        <w:jc w:val="both"/>
        <w:rPr>
          <w:sz w:val="28"/>
          <w:szCs w:val="28"/>
          <w:lang w:val="lv-LV" w:eastAsia="lv-LV"/>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3"/>
        <w:gridCol w:w="2358"/>
        <w:gridCol w:w="531"/>
        <w:gridCol w:w="5793"/>
      </w:tblGrid>
      <w:tr w:rsidR="00AC1FA4" w:rsidRPr="00B661F5" w14:paraId="3DE686E2" w14:textId="77777777" w:rsidTr="00E022D4">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491ECE8B" w14:textId="77777777" w:rsidR="00AC1FA4" w:rsidRPr="00C15646" w:rsidRDefault="00AC1FA4" w:rsidP="00E022D4">
            <w:pPr>
              <w:ind w:left="57" w:right="57"/>
              <w:jc w:val="center"/>
              <w:rPr>
                <w:b/>
                <w:bCs/>
                <w:lang w:val="lv-LV" w:eastAsia="lv-LV"/>
              </w:rPr>
            </w:pPr>
            <w:r w:rsidRPr="00C15646">
              <w:rPr>
                <w:b/>
                <w:bCs/>
                <w:lang w:val="lv-LV" w:eastAsia="lv-LV"/>
              </w:rPr>
              <w:t>VI. Sabiedrības līdzdalība un komunikācijas aktivitātes</w:t>
            </w:r>
          </w:p>
        </w:tc>
      </w:tr>
      <w:tr w:rsidR="00AC1FA4" w:rsidRPr="00B661F5" w14:paraId="5AFC8371" w14:textId="77777777" w:rsidTr="00E022D4">
        <w:trPr>
          <w:trHeight w:val="553"/>
          <w:jc w:val="center"/>
        </w:trPr>
        <w:tc>
          <w:tcPr>
            <w:tcW w:w="258" w:type="pct"/>
          </w:tcPr>
          <w:p w14:paraId="4FD16484" w14:textId="77777777" w:rsidR="00AC1FA4" w:rsidRPr="00C15646" w:rsidRDefault="00AC1FA4" w:rsidP="00E022D4">
            <w:pPr>
              <w:ind w:left="57" w:right="57"/>
              <w:rPr>
                <w:bCs/>
                <w:lang w:val="lv-LV" w:eastAsia="lv-LV"/>
              </w:rPr>
            </w:pPr>
            <w:r w:rsidRPr="00C15646">
              <w:rPr>
                <w:bCs/>
                <w:lang w:val="lv-LV" w:eastAsia="lv-LV"/>
              </w:rPr>
              <w:t>1.</w:t>
            </w:r>
          </w:p>
        </w:tc>
        <w:tc>
          <w:tcPr>
            <w:tcW w:w="1288" w:type="pct"/>
          </w:tcPr>
          <w:p w14:paraId="2F0A02AE" w14:textId="77777777" w:rsidR="00AC1FA4" w:rsidRPr="00C15646" w:rsidRDefault="00AC1FA4" w:rsidP="00E022D4">
            <w:pPr>
              <w:tabs>
                <w:tab w:val="left" w:pos="170"/>
              </w:tabs>
              <w:ind w:left="57" w:right="57"/>
              <w:rPr>
                <w:lang w:val="lv-LV" w:eastAsia="lv-LV"/>
              </w:rPr>
            </w:pPr>
            <w:r w:rsidRPr="00C15646">
              <w:rPr>
                <w:lang w:val="lv-LV" w:eastAsia="lv-LV"/>
              </w:rPr>
              <w:t xml:space="preserve">Plānotās sabiedrības līdzdalības un komunikācijas aktivitātes saistībā ar projektu </w:t>
            </w:r>
          </w:p>
        </w:tc>
        <w:tc>
          <w:tcPr>
            <w:tcW w:w="3454" w:type="pct"/>
            <w:gridSpan w:val="2"/>
          </w:tcPr>
          <w:p w14:paraId="0FE18D75" w14:textId="0AE99455" w:rsidR="00AC1FA4" w:rsidRPr="00C15646" w:rsidRDefault="00AC1FA4" w:rsidP="00E022D4">
            <w:pPr>
              <w:ind w:firstLine="274"/>
              <w:jc w:val="both"/>
              <w:rPr>
                <w:rFonts w:eastAsia="Calibri"/>
                <w:lang w:val="lv-LV"/>
              </w:rPr>
            </w:pPr>
            <w:r w:rsidRPr="00C15646">
              <w:rPr>
                <w:lang w:val="lv-LV"/>
              </w:rPr>
              <w:t xml:space="preserve"> </w:t>
            </w:r>
            <w:r w:rsidR="00CE1624">
              <w:rPr>
                <w:lang w:val="lv-LV"/>
              </w:rPr>
              <w:t>P</w:t>
            </w:r>
            <w:r w:rsidR="00CE1624" w:rsidRPr="00CE1624">
              <w:rPr>
                <w:lang w:val="lv-LV"/>
              </w:rPr>
              <w:t>rojekts publicēts Tieslietu ministrijas un Ministru kabineta tīmekļvietnē, tādējādi dodot iespēju sabiedrībai līdzdarboties tiesību akta izstrādes procesā</w:t>
            </w:r>
          </w:p>
        </w:tc>
      </w:tr>
      <w:tr w:rsidR="00AC1FA4" w:rsidRPr="00B661F5" w14:paraId="1FA32AE9" w14:textId="77777777" w:rsidTr="00E022D4">
        <w:trPr>
          <w:trHeight w:val="339"/>
          <w:jc w:val="center"/>
        </w:trPr>
        <w:tc>
          <w:tcPr>
            <w:tcW w:w="258" w:type="pct"/>
          </w:tcPr>
          <w:p w14:paraId="244B59E6" w14:textId="77777777" w:rsidR="00AC1FA4" w:rsidRPr="00C15646" w:rsidRDefault="00AC1FA4" w:rsidP="00E022D4">
            <w:pPr>
              <w:ind w:left="57" w:right="57"/>
              <w:rPr>
                <w:bCs/>
                <w:lang w:val="lv-LV" w:eastAsia="lv-LV"/>
              </w:rPr>
            </w:pPr>
            <w:r w:rsidRPr="00C15646">
              <w:rPr>
                <w:bCs/>
                <w:lang w:val="lv-LV" w:eastAsia="lv-LV"/>
              </w:rPr>
              <w:t>2.</w:t>
            </w:r>
          </w:p>
        </w:tc>
        <w:tc>
          <w:tcPr>
            <w:tcW w:w="1288" w:type="pct"/>
          </w:tcPr>
          <w:p w14:paraId="79C489D8" w14:textId="77777777" w:rsidR="00AC1FA4" w:rsidRPr="00C15646" w:rsidRDefault="00AC1FA4" w:rsidP="00E022D4">
            <w:pPr>
              <w:ind w:left="57" w:right="57"/>
              <w:rPr>
                <w:lang w:val="lv-LV" w:eastAsia="lv-LV"/>
              </w:rPr>
            </w:pPr>
            <w:r w:rsidRPr="00C15646">
              <w:rPr>
                <w:lang w:val="lv-LV" w:eastAsia="lv-LV"/>
              </w:rPr>
              <w:t xml:space="preserve">Sabiedrības līdzdalība projekta izstrādē </w:t>
            </w:r>
          </w:p>
        </w:tc>
        <w:tc>
          <w:tcPr>
            <w:tcW w:w="3454" w:type="pct"/>
            <w:gridSpan w:val="2"/>
          </w:tcPr>
          <w:p w14:paraId="03E913A4" w14:textId="126D2014" w:rsidR="00AC1FA4" w:rsidRPr="00C15646" w:rsidRDefault="00523A93" w:rsidP="00E022D4">
            <w:pPr>
              <w:ind w:firstLine="284"/>
              <w:jc w:val="both"/>
              <w:rPr>
                <w:lang w:val="lv-LV"/>
              </w:rPr>
            </w:pPr>
            <w:r w:rsidRPr="00523A93">
              <w:rPr>
                <w:lang w:val="lv-LV"/>
              </w:rPr>
              <w:t>Projekts 201</w:t>
            </w:r>
            <w:r>
              <w:rPr>
                <w:lang w:val="lv-LV"/>
              </w:rPr>
              <w:t>9</w:t>
            </w:r>
            <w:r w:rsidRPr="00523A93">
              <w:rPr>
                <w:lang w:val="lv-LV"/>
              </w:rPr>
              <w:t>.</w:t>
            </w:r>
            <w:r>
              <w:rPr>
                <w:lang w:val="lv-LV"/>
              </w:rPr>
              <w:t> </w:t>
            </w:r>
            <w:r w:rsidRPr="00523A93">
              <w:rPr>
                <w:lang w:val="lv-LV"/>
              </w:rPr>
              <w:t xml:space="preserve">gada </w:t>
            </w:r>
            <w:r>
              <w:rPr>
                <w:lang w:val="lv-LV"/>
              </w:rPr>
              <w:t>[..]. </w:t>
            </w:r>
            <w:r w:rsidR="007567C1">
              <w:rPr>
                <w:lang w:val="lv-LV"/>
              </w:rPr>
              <w:t>februārī</w:t>
            </w:r>
            <w:r w:rsidRPr="00523A93">
              <w:rPr>
                <w:lang w:val="lv-LV"/>
              </w:rPr>
              <w:t xml:space="preserve"> tika publicēts Tieslietu ministrijas tīmekļvietnes sadaļā "Sabiedrības līdzdalība" (</w:t>
            </w:r>
            <w:hyperlink r:id="rId9" w:history="1">
              <w:r w:rsidRPr="00523A93">
                <w:rPr>
                  <w:rStyle w:val="Hipersaite"/>
                  <w:lang w:val="lv-LV"/>
                </w:rPr>
                <w:t>https://www.tm.gov.lv/lv/sabiedribas-lidzdaliba/diskusiju-dokumenti/tiesibu-akti</w:t>
              </w:r>
            </w:hyperlink>
            <w:r w:rsidRPr="00523A93">
              <w:rPr>
                <w:lang w:val="lv-LV"/>
              </w:rPr>
              <w:t xml:space="preserve">) un Ministru kabineta tīmekļvietnē </w:t>
            </w:r>
            <w:proofErr w:type="gramStart"/>
            <w:r w:rsidRPr="00523A93">
              <w:rPr>
                <w:lang w:val="lv-LV"/>
              </w:rPr>
              <w:t>(</w:t>
            </w:r>
            <w:proofErr w:type="gramEnd"/>
            <w:r w:rsidRPr="00523A93">
              <w:rPr>
                <w:u w:val="single"/>
                <w:lang w:val="lv-LV"/>
              </w:rPr>
              <w:fldChar w:fldCharType="begin"/>
            </w:r>
            <w:r w:rsidRPr="00523A93">
              <w:rPr>
                <w:u w:val="single"/>
                <w:lang w:val="lv-LV"/>
              </w:rPr>
              <w:instrText xml:space="preserve"> HYPERLINK "https://mk.gov.lv/content/ministru-kabineta-diskusiju-dokumenti" </w:instrText>
            </w:r>
            <w:r w:rsidRPr="00523A93">
              <w:rPr>
                <w:u w:val="single"/>
                <w:lang w:val="lv-LV"/>
              </w:rPr>
              <w:fldChar w:fldCharType="separate"/>
            </w:r>
            <w:r w:rsidRPr="00523A93">
              <w:rPr>
                <w:rStyle w:val="Hipersaite"/>
                <w:lang w:val="lv-LV"/>
              </w:rPr>
              <w:t>https://mk.gov.lv/content/ministru-kabineta-diskusiju-dokumenti</w:t>
            </w:r>
            <w:r w:rsidRPr="00523A93">
              <w:rPr>
                <w:lang w:val="lv-LV"/>
              </w:rPr>
              <w:fldChar w:fldCharType="end"/>
            </w:r>
            <w:r w:rsidRPr="00523A93">
              <w:rPr>
                <w:lang w:val="lv-LV"/>
              </w:rPr>
              <w:t>), aicinot sniegt priekšlikumus par projektu līdz 201</w:t>
            </w:r>
            <w:r w:rsidR="007567C1">
              <w:rPr>
                <w:lang w:val="lv-LV"/>
              </w:rPr>
              <w:t>9</w:t>
            </w:r>
            <w:r w:rsidRPr="00523A93">
              <w:rPr>
                <w:lang w:val="lv-LV"/>
              </w:rPr>
              <w:t xml:space="preserve">. gada </w:t>
            </w:r>
            <w:r w:rsidR="007567C1">
              <w:rPr>
                <w:lang w:val="lv-LV"/>
              </w:rPr>
              <w:t>[..]. februārim</w:t>
            </w:r>
            <w:r w:rsidRPr="00523A93">
              <w:rPr>
                <w:lang w:val="lv-LV"/>
              </w:rPr>
              <w:t>.</w:t>
            </w:r>
          </w:p>
        </w:tc>
      </w:tr>
      <w:tr w:rsidR="00AC1FA4" w:rsidRPr="00C15646" w14:paraId="77FCE5E4" w14:textId="77777777" w:rsidTr="00E022D4">
        <w:trPr>
          <w:trHeight w:val="375"/>
          <w:jc w:val="center"/>
        </w:trPr>
        <w:tc>
          <w:tcPr>
            <w:tcW w:w="258" w:type="pct"/>
            <w:tcBorders>
              <w:bottom w:val="single" w:sz="4" w:space="0" w:color="auto"/>
            </w:tcBorders>
          </w:tcPr>
          <w:p w14:paraId="51B1E630" w14:textId="77777777" w:rsidR="00AC1FA4" w:rsidRPr="00C15646" w:rsidRDefault="00AC1FA4" w:rsidP="00E022D4">
            <w:pPr>
              <w:ind w:left="57" w:right="57"/>
              <w:rPr>
                <w:bCs/>
                <w:lang w:val="lv-LV" w:eastAsia="lv-LV"/>
              </w:rPr>
            </w:pPr>
            <w:r w:rsidRPr="00C15646">
              <w:rPr>
                <w:bCs/>
                <w:lang w:val="lv-LV" w:eastAsia="lv-LV"/>
              </w:rPr>
              <w:t>3.</w:t>
            </w:r>
          </w:p>
        </w:tc>
        <w:tc>
          <w:tcPr>
            <w:tcW w:w="1288" w:type="pct"/>
            <w:tcBorders>
              <w:bottom w:val="single" w:sz="4" w:space="0" w:color="auto"/>
            </w:tcBorders>
          </w:tcPr>
          <w:p w14:paraId="30D8AC76" w14:textId="77777777" w:rsidR="00AC1FA4" w:rsidRPr="00C15646" w:rsidRDefault="00AC1FA4" w:rsidP="00E022D4">
            <w:pPr>
              <w:ind w:left="57" w:right="57"/>
              <w:rPr>
                <w:lang w:val="lv-LV" w:eastAsia="lv-LV"/>
              </w:rPr>
            </w:pPr>
            <w:r w:rsidRPr="00C15646">
              <w:rPr>
                <w:lang w:val="lv-LV" w:eastAsia="lv-LV"/>
              </w:rPr>
              <w:t xml:space="preserve">Sabiedrības līdzdalības rezultāti </w:t>
            </w:r>
          </w:p>
        </w:tc>
        <w:tc>
          <w:tcPr>
            <w:tcW w:w="3454" w:type="pct"/>
            <w:gridSpan w:val="2"/>
            <w:tcBorders>
              <w:bottom w:val="single" w:sz="4" w:space="0" w:color="auto"/>
            </w:tcBorders>
          </w:tcPr>
          <w:p w14:paraId="1E7134A2" w14:textId="77777777" w:rsidR="00AC1FA4" w:rsidRPr="00C15646" w:rsidRDefault="00AC1FA4" w:rsidP="00A761C8">
            <w:pPr>
              <w:ind w:firstLine="311"/>
              <w:jc w:val="both"/>
              <w:rPr>
                <w:lang w:val="lv-LV"/>
              </w:rPr>
            </w:pPr>
          </w:p>
        </w:tc>
      </w:tr>
      <w:tr w:rsidR="00AC1FA4" w:rsidRPr="00C15646" w14:paraId="2A782E86" w14:textId="77777777" w:rsidTr="00E022D4">
        <w:trPr>
          <w:trHeight w:val="476"/>
          <w:jc w:val="center"/>
        </w:trPr>
        <w:tc>
          <w:tcPr>
            <w:tcW w:w="258" w:type="pct"/>
            <w:tcBorders>
              <w:bottom w:val="single" w:sz="4" w:space="0" w:color="auto"/>
            </w:tcBorders>
          </w:tcPr>
          <w:p w14:paraId="3C0C6120" w14:textId="77777777" w:rsidR="00AC1FA4" w:rsidRPr="00C15646" w:rsidRDefault="00AC1FA4" w:rsidP="00E022D4">
            <w:pPr>
              <w:ind w:left="57" w:right="57"/>
              <w:rPr>
                <w:bCs/>
                <w:lang w:val="lv-LV" w:eastAsia="lv-LV"/>
              </w:rPr>
            </w:pPr>
            <w:r w:rsidRPr="00C15646">
              <w:rPr>
                <w:bCs/>
                <w:lang w:val="lv-LV" w:eastAsia="lv-LV"/>
              </w:rPr>
              <w:t>5.</w:t>
            </w:r>
          </w:p>
        </w:tc>
        <w:tc>
          <w:tcPr>
            <w:tcW w:w="1288" w:type="pct"/>
            <w:tcBorders>
              <w:bottom w:val="single" w:sz="4" w:space="0" w:color="auto"/>
            </w:tcBorders>
          </w:tcPr>
          <w:p w14:paraId="41F6E7DC" w14:textId="77777777" w:rsidR="00AC1FA4" w:rsidRPr="00C15646" w:rsidRDefault="00AC1FA4" w:rsidP="00E022D4">
            <w:pPr>
              <w:ind w:left="57" w:right="57"/>
              <w:rPr>
                <w:lang w:val="lv-LV" w:eastAsia="lv-LV"/>
              </w:rPr>
            </w:pPr>
            <w:r w:rsidRPr="00C15646">
              <w:rPr>
                <w:lang w:val="lv-LV" w:eastAsia="lv-LV"/>
              </w:rPr>
              <w:t>Cita informācija</w:t>
            </w:r>
          </w:p>
          <w:p w14:paraId="3829B797" w14:textId="77777777" w:rsidR="00AC1FA4" w:rsidRPr="00C15646" w:rsidRDefault="00AC1FA4" w:rsidP="00E022D4">
            <w:pPr>
              <w:ind w:left="57" w:right="57"/>
              <w:rPr>
                <w:lang w:val="lv-LV" w:eastAsia="lv-LV"/>
              </w:rPr>
            </w:pPr>
          </w:p>
        </w:tc>
        <w:tc>
          <w:tcPr>
            <w:tcW w:w="3454" w:type="pct"/>
            <w:gridSpan w:val="2"/>
            <w:tcBorders>
              <w:bottom w:val="single" w:sz="4" w:space="0" w:color="auto"/>
            </w:tcBorders>
          </w:tcPr>
          <w:p w14:paraId="3374FF70" w14:textId="77777777" w:rsidR="00AC1FA4" w:rsidRPr="00C15646" w:rsidRDefault="00AC1FA4" w:rsidP="00E022D4">
            <w:pPr>
              <w:ind w:firstLine="284"/>
              <w:jc w:val="both"/>
              <w:rPr>
                <w:lang w:val="lv-LV" w:eastAsia="lv-LV"/>
              </w:rPr>
            </w:pPr>
            <w:r w:rsidRPr="00C15646">
              <w:rPr>
                <w:lang w:val="lv-LV" w:eastAsia="lv-LV"/>
              </w:rPr>
              <w:t>Nav.</w:t>
            </w:r>
          </w:p>
        </w:tc>
      </w:tr>
      <w:tr w:rsidR="00AC1FA4" w:rsidRPr="00C15646" w14:paraId="59FC1CA1" w14:textId="77777777" w:rsidTr="00E022D4">
        <w:trPr>
          <w:trHeight w:val="291"/>
          <w:jc w:val="center"/>
        </w:trPr>
        <w:tc>
          <w:tcPr>
            <w:tcW w:w="258" w:type="pct"/>
            <w:tcBorders>
              <w:top w:val="single" w:sz="4" w:space="0" w:color="auto"/>
              <w:left w:val="nil"/>
              <w:bottom w:val="single" w:sz="4" w:space="0" w:color="auto"/>
              <w:right w:val="nil"/>
            </w:tcBorders>
          </w:tcPr>
          <w:p w14:paraId="5F9DA56B" w14:textId="77777777" w:rsidR="00AC1FA4" w:rsidRPr="00C15646" w:rsidRDefault="00AC1FA4" w:rsidP="00E022D4">
            <w:pPr>
              <w:ind w:left="57" w:right="57"/>
              <w:rPr>
                <w:bCs/>
                <w:lang w:val="lv-LV" w:eastAsia="lv-LV"/>
              </w:rPr>
            </w:pPr>
          </w:p>
        </w:tc>
        <w:tc>
          <w:tcPr>
            <w:tcW w:w="1288" w:type="pct"/>
            <w:tcBorders>
              <w:top w:val="single" w:sz="4" w:space="0" w:color="auto"/>
              <w:left w:val="nil"/>
              <w:bottom w:val="single" w:sz="4" w:space="0" w:color="auto"/>
              <w:right w:val="nil"/>
            </w:tcBorders>
          </w:tcPr>
          <w:p w14:paraId="3DDFD270" w14:textId="77777777" w:rsidR="00AC1FA4" w:rsidRPr="00C15646" w:rsidRDefault="00AC1FA4" w:rsidP="00E022D4">
            <w:pPr>
              <w:ind w:left="57" w:right="57"/>
              <w:rPr>
                <w:lang w:val="lv-LV" w:eastAsia="lv-LV"/>
              </w:rPr>
            </w:pPr>
          </w:p>
        </w:tc>
        <w:tc>
          <w:tcPr>
            <w:tcW w:w="3454" w:type="pct"/>
            <w:gridSpan w:val="2"/>
            <w:tcBorders>
              <w:top w:val="single" w:sz="4" w:space="0" w:color="auto"/>
              <w:left w:val="nil"/>
              <w:bottom w:val="single" w:sz="4" w:space="0" w:color="auto"/>
              <w:right w:val="nil"/>
            </w:tcBorders>
          </w:tcPr>
          <w:p w14:paraId="4E98E0FD" w14:textId="77777777" w:rsidR="00AC1FA4" w:rsidRPr="00C15646" w:rsidRDefault="00AC1FA4" w:rsidP="00E022D4">
            <w:pPr>
              <w:ind w:firstLine="284"/>
              <w:jc w:val="both"/>
              <w:rPr>
                <w:lang w:val="lv-LV" w:eastAsia="lv-LV"/>
              </w:rPr>
            </w:pPr>
          </w:p>
        </w:tc>
      </w:tr>
      <w:tr w:rsidR="00AC1FA4" w:rsidRPr="00C15646" w14:paraId="23501303" w14:textId="77777777" w:rsidTr="00E022D4">
        <w:tblPrEx>
          <w:tblCellMar>
            <w:top w:w="28" w:type="dxa"/>
            <w:left w:w="28" w:type="dxa"/>
            <w:bottom w:w="28" w:type="dxa"/>
            <w:right w:w="28" w:type="dxa"/>
          </w:tblCellMar>
        </w:tblPrEx>
        <w:trPr>
          <w:jc w:val="center"/>
        </w:trPr>
        <w:tc>
          <w:tcPr>
            <w:tcW w:w="5000" w:type="pct"/>
            <w:gridSpan w:val="4"/>
            <w:tcBorders>
              <w:top w:val="single" w:sz="4" w:space="0" w:color="auto"/>
            </w:tcBorders>
          </w:tcPr>
          <w:p w14:paraId="37E33AB5" w14:textId="77777777" w:rsidR="00AC1FA4" w:rsidRPr="00C15646" w:rsidRDefault="00AC1FA4" w:rsidP="00E022D4">
            <w:pPr>
              <w:ind w:left="57" w:right="57"/>
              <w:jc w:val="center"/>
              <w:rPr>
                <w:b/>
                <w:bCs/>
                <w:lang w:val="lv-LV" w:eastAsia="lv-LV"/>
              </w:rPr>
            </w:pPr>
            <w:r w:rsidRPr="00C15646">
              <w:rPr>
                <w:b/>
                <w:bCs/>
                <w:lang w:val="lv-LV" w:eastAsia="lv-LV"/>
              </w:rPr>
              <w:t>VII. Tiesību akta projekta izpildes nodrošināšana un tās ietekme uz institūcijām</w:t>
            </w:r>
          </w:p>
        </w:tc>
      </w:tr>
      <w:tr w:rsidR="00AC1FA4" w:rsidRPr="00B661F5" w14:paraId="388B3766" w14:textId="77777777" w:rsidTr="00E022D4">
        <w:tblPrEx>
          <w:jc w:val="left"/>
          <w:tblCellMar>
            <w:top w:w="28" w:type="dxa"/>
            <w:left w:w="28" w:type="dxa"/>
            <w:bottom w:w="28" w:type="dxa"/>
            <w:right w:w="28" w:type="dxa"/>
          </w:tblCellMar>
        </w:tblPrEx>
        <w:trPr>
          <w:trHeight w:val="690"/>
        </w:trPr>
        <w:tc>
          <w:tcPr>
            <w:tcW w:w="258" w:type="pct"/>
          </w:tcPr>
          <w:p w14:paraId="51F62B16" w14:textId="77777777" w:rsidR="00AC1FA4" w:rsidRPr="00C15646" w:rsidRDefault="00AC1FA4" w:rsidP="00E022D4">
            <w:pPr>
              <w:ind w:left="57" w:right="57"/>
              <w:jc w:val="both"/>
              <w:rPr>
                <w:bCs/>
                <w:lang w:val="lv-LV" w:eastAsia="lv-LV"/>
              </w:rPr>
            </w:pPr>
            <w:r w:rsidRPr="00C15646">
              <w:rPr>
                <w:bCs/>
                <w:lang w:val="lv-LV" w:eastAsia="lv-LV"/>
              </w:rPr>
              <w:t>1.</w:t>
            </w:r>
          </w:p>
        </w:tc>
        <w:tc>
          <w:tcPr>
            <w:tcW w:w="1578" w:type="pct"/>
            <w:gridSpan w:val="2"/>
          </w:tcPr>
          <w:p w14:paraId="6BDFD264" w14:textId="77777777" w:rsidR="00AC1FA4" w:rsidRPr="00C15646" w:rsidRDefault="00AC1FA4" w:rsidP="00E022D4">
            <w:pPr>
              <w:ind w:left="57" w:right="57"/>
              <w:jc w:val="both"/>
              <w:rPr>
                <w:lang w:val="lv-LV" w:eastAsia="lv-LV"/>
              </w:rPr>
            </w:pPr>
            <w:r w:rsidRPr="00C15646">
              <w:rPr>
                <w:lang w:val="lv-LV" w:eastAsia="lv-LV"/>
              </w:rPr>
              <w:t xml:space="preserve">Projekta izpildē iesaistītās institūcijas </w:t>
            </w:r>
          </w:p>
        </w:tc>
        <w:tc>
          <w:tcPr>
            <w:tcW w:w="3164" w:type="pct"/>
          </w:tcPr>
          <w:p w14:paraId="049739A6" w14:textId="0F858D89" w:rsidR="00AC1FA4" w:rsidRPr="00A40E6B" w:rsidRDefault="003431E2" w:rsidP="00E022D4">
            <w:pPr>
              <w:ind w:left="-28" w:right="57" w:firstLine="284"/>
              <w:jc w:val="both"/>
              <w:rPr>
                <w:bCs/>
                <w:lang w:val="lv-LV" w:eastAsia="lv-LV"/>
              </w:rPr>
            </w:pPr>
            <w:r>
              <w:rPr>
                <w:bCs/>
                <w:lang w:val="lv-LV" w:eastAsia="lv-LV"/>
              </w:rPr>
              <w:t>Personas, kas veic administratīvā pārkāpuma procesu</w:t>
            </w:r>
            <w:proofErr w:type="gramStart"/>
            <w:r>
              <w:rPr>
                <w:bCs/>
                <w:lang w:val="lv-LV" w:eastAsia="lv-LV"/>
              </w:rPr>
              <w:t xml:space="preserve">, un </w:t>
            </w:r>
            <w:r w:rsidR="0010161F">
              <w:rPr>
                <w:bCs/>
                <w:lang w:val="lv-LV" w:eastAsia="lv-LV"/>
              </w:rPr>
              <w:t>iestādes</w:t>
            </w:r>
            <w:proofErr w:type="gramEnd"/>
            <w:r w:rsidR="0010161F">
              <w:rPr>
                <w:bCs/>
                <w:lang w:val="lv-LV" w:eastAsia="lv-LV"/>
              </w:rPr>
              <w:t xml:space="preserve">, kuras tās pārstāv, kā arī </w:t>
            </w:r>
            <w:r w:rsidR="00A40E6B" w:rsidRPr="00A40E6B">
              <w:rPr>
                <w:bCs/>
                <w:lang w:val="lv-LV" w:eastAsia="lv-LV"/>
              </w:rPr>
              <w:t>iestāde, kas administrē tiesas budžetu</w:t>
            </w:r>
            <w:r w:rsidR="00A40E6B">
              <w:rPr>
                <w:bCs/>
                <w:lang w:val="lv-LV" w:eastAsia="lv-LV"/>
              </w:rPr>
              <w:t>.</w:t>
            </w:r>
          </w:p>
        </w:tc>
      </w:tr>
      <w:tr w:rsidR="00AC1FA4" w:rsidRPr="00B661F5" w14:paraId="01A97FF2" w14:textId="77777777" w:rsidTr="00E022D4">
        <w:tblPrEx>
          <w:jc w:val="left"/>
          <w:tblCellMar>
            <w:top w:w="28" w:type="dxa"/>
            <w:left w:w="28" w:type="dxa"/>
            <w:bottom w:w="28" w:type="dxa"/>
            <w:right w:w="28" w:type="dxa"/>
          </w:tblCellMar>
        </w:tblPrEx>
        <w:trPr>
          <w:trHeight w:val="463"/>
        </w:trPr>
        <w:tc>
          <w:tcPr>
            <w:tcW w:w="258" w:type="pct"/>
          </w:tcPr>
          <w:p w14:paraId="4FD91055" w14:textId="77777777" w:rsidR="00AC1FA4" w:rsidRPr="00C15646" w:rsidRDefault="00AC1FA4" w:rsidP="00E022D4">
            <w:pPr>
              <w:ind w:left="57" w:right="57"/>
              <w:jc w:val="both"/>
              <w:rPr>
                <w:bCs/>
                <w:lang w:val="lv-LV" w:eastAsia="lv-LV"/>
              </w:rPr>
            </w:pPr>
            <w:r w:rsidRPr="00C15646">
              <w:rPr>
                <w:bCs/>
                <w:lang w:val="lv-LV" w:eastAsia="lv-LV"/>
              </w:rPr>
              <w:lastRenderedPageBreak/>
              <w:t>2.</w:t>
            </w:r>
          </w:p>
        </w:tc>
        <w:tc>
          <w:tcPr>
            <w:tcW w:w="1578" w:type="pct"/>
            <w:gridSpan w:val="2"/>
          </w:tcPr>
          <w:p w14:paraId="55546345" w14:textId="77777777" w:rsidR="00AC1FA4" w:rsidRPr="00C15646" w:rsidRDefault="00AC1FA4" w:rsidP="00E022D4">
            <w:pPr>
              <w:ind w:left="57" w:right="57"/>
              <w:jc w:val="both"/>
              <w:rPr>
                <w:lang w:val="lv-LV" w:eastAsia="lv-LV"/>
              </w:rPr>
            </w:pPr>
            <w:r w:rsidRPr="00C15646">
              <w:rPr>
                <w:lang w:val="lv-LV" w:eastAsia="lv-LV"/>
              </w:rPr>
              <w:t>Projekta izpildes ietekme uz pārvaldes funkcijām un institucionālo struktūru.</w:t>
            </w:r>
          </w:p>
          <w:p w14:paraId="21713877" w14:textId="77777777" w:rsidR="00AC1FA4" w:rsidRPr="00C15646" w:rsidRDefault="00AC1FA4" w:rsidP="00E022D4">
            <w:pPr>
              <w:ind w:left="57" w:right="57"/>
              <w:jc w:val="both"/>
              <w:rPr>
                <w:lang w:val="lv-LV" w:eastAsia="lv-LV"/>
              </w:rPr>
            </w:pPr>
          </w:p>
          <w:p w14:paraId="0F900460" w14:textId="77777777" w:rsidR="00AC1FA4" w:rsidRPr="00C15646" w:rsidRDefault="00AC1FA4" w:rsidP="00E022D4">
            <w:pPr>
              <w:ind w:left="57" w:right="57"/>
              <w:jc w:val="both"/>
              <w:rPr>
                <w:lang w:val="lv-LV" w:eastAsia="lv-LV"/>
              </w:rPr>
            </w:pPr>
            <w:r w:rsidRPr="00C15646">
              <w:rPr>
                <w:lang w:val="lv-LV" w:eastAsia="lv-LV"/>
              </w:rPr>
              <w:t xml:space="preserve">Jaunu institūciju izveide, esošu institūciju likvidācija vai reorganizācija, to ietekme uz institūcijas cilvēkresursiem </w:t>
            </w:r>
          </w:p>
        </w:tc>
        <w:tc>
          <w:tcPr>
            <w:tcW w:w="3164" w:type="pct"/>
          </w:tcPr>
          <w:p w14:paraId="5FEB118D" w14:textId="64A285FA" w:rsidR="00AC1FA4" w:rsidRDefault="006D6E19" w:rsidP="00E022D4">
            <w:pPr>
              <w:ind w:firstLine="256"/>
              <w:jc w:val="both"/>
              <w:rPr>
                <w:lang w:val="lv-LV" w:eastAsia="lv-LV"/>
              </w:rPr>
            </w:pPr>
            <w:r>
              <w:rPr>
                <w:lang w:val="lv-LV" w:eastAsia="lv-LV"/>
              </w:rPr>
              <w:t>Projekts konkretizē un papla</w:t>
            </w:r>
            <w:r w:rsidR="00670373">
              <w:rPr>
                <w:lang w:val="lv-LV" w:eastAsia="lv-LV"/>
              </w:rPr>
              <w:t>šina projekta izpildē iesaistīto institūciju uzdevumus</w:t>
            </w:r>
            <w:r w:rsidR="006032E5">
              <w:rPr>
                <w:lang w:val="lv-LV" w:eastAsia="lv-LV"/>
              </w:rPr>
              <w:t>, paredzot personas iesnieguma par procesuālo izdevumu segšanu izskatīšanas kārtību un iestādes, kura izmaksās šo procesuālo izdevumu</w:t>
            </w:r>
            <w:r w:rsidR="001F5DF3">
              <w:rPr>
                <w:lang w:val="lv-LV" w:eastAsia="lv-LV"/>
              </w:rPr>
              <w:t xml:space="preserve"> atlīdzību,</w:t>
            </w:r>
            <w:r w:rsidR="00933C03">
              <w:rPr>
                <w:lang w:val="lv-LV" w:eastAsia="lv-LV"/>
              </w:rPr>
              <w:t xml:space="preserve"> pienākumus (projekta II</w:t>
            </w:r>
            <w:r w:rsidR="00E62091">
              <w:rPr>
                <w:lang w:val="lv-LV" w:eastAsia="lv-LV"/>
              </w:rPr>
              <w:t>, IV un V </w:t>
            </w:r>
            <w:r w:rsidR="00933C03">
              <w:rPr>
                <w:lang w:val="lv-LV" w:eastAsia="lv-LV"/>
              </w:rPr>
              <w:t>nodaļa</w:t>
            </w:r>
            <w:r w:rsidR="00E62091">
              <w:rPr>
                <w:lang w:val="lv-LV" w:eastAsia="lv-LV"/>
              </w:rPr>
              <w:t>).</w:t>
            </w:r>
          </w:p>
          <w:p w14:paraId="230493DE" w14:textId="214703BE" w:rsidR="00A40E6B" w:rsidRPr="00C15646" w:rsidRDefault="00A40E6B" w:rsidP="00E022D4">
            <w:pPr>
              <w:ind w:firstLine="256"/>
              <w:jc w:val="both"/>
              <w:rPr>
                <w:lang w:val="lv-LV" w:eastAsia="lv-LV"/>
              </w:rPr>
            </w:pPr>
            <w:r>
              <w:rPr>
                <w:lang w:val="lv-LV" w:eastAsia="lv-LV"/>
              </w:rPr>
              <w:t>Projekts neietekmē pārvaldes institucionālo struktūru</w:t>
            </w:r>
            <w:r w:rsidR="00D436B9">
              <w:rPr>
                <w:lang w:val="lv-LV" w:eastAsia="lv-LV"/>
              </w:rPr>
              <w:t>. Nav nepieciešama jaunu institūciju izveide vai esošu institūciju likvidācija vai reorganizācija.</w:t>
            </w:r>
          </w:p>
        </w:tc>
      </w:tr>
      <w:tr w:rsidR="00AC1FA4" w:rsidRPr="00C15646" w14:paraId="6DC91FBB" w14:textId="77777777" w:rsidTr="00E022D4">
        <w:tblPrEx>
          <w:jc w:val="left"/>
          <w:tblCellMar>
            <w:top w:w="28" w:type="dxa"/>
            <w:left w:w="28" w:type="dxa"/>
            <w:bottom w:w="28" w:type="dxa"/>
            <w:right w:w="28" w:type="dxa"/>
          </w:tblCellMar>
        </w:tblPrEx>
        <w:trPr>
          <w:trHeight w:val="476"/>
        </w:trPr>
        <w:tc>
          <w:tcPr>
            <w:tcW w:w="258" w:type="pct"/>
          </w:tcPr>
          <w:p w14:paraId="5E9E27A7" w14:textId="77777777" w:rsidR="00AC1FA4" w:rsidRPr="00C15646" w:rsidRDefault="00AC1FA4" w:rsidP="00E022D4">
            <w:pPr>
              <w:ind w:left="57" w:right="57"/>
              <w:jc w:val="both"/>
              <w:rPr>
                <w:lang w:val="lv-LV" w:eastAsia="lv-LV"/>
              </w:rPr>
            </w:pPr>
            <w:r w:rsidRPr="00C15646">
              <w:rPr>
                <w:lang w:val="lv-LV" w:eastAsia="lv-LV"/>
              </w:rPr>
              <w:t>3.</w:t>
            </w:r>
          </w:p>
        </w:tc>
        <w:tc>
          <w:tcPr>
            <w:tcW w:w="1578" w:type="pct"/>
            <w:gridSpan w:val="2"/>
          </w:tcPr>
          <w:p w14:paraId="7464091C" w14:textId="77777777" w:rsidR="00AC1FA4" w:rsidRPr="00C15646" w:rsidRDefault="00AC1FA4" w:rsidP="00E022D4">
            <w:pPr>
              <w:ind w:left="57" w:right="57"/>
              <w:jc w:val="both"/>
              <w:rPr>
                <w:lang w:val="lv-LV" w:eastAsia="lv-LV"/>
              </w:rPr>
            </w:pPr>
            <w:r w:rsidRPr="00C15646">
              <w:rPr>
                <w:lang w:val="lv-LV" w:eastAsia="lv-LV"/>
              </w:rPr>
              <w:t>Cita informācija</w:t>
            </w:r>
          </w:p>
        </w:tc>
        <w:tc>
          <w:tcPr>
            <w:tcW w:w="3164" w:type="pct"/>
          </w:tcPr>
          <w:p w14:paraId="3CBE5B80" w14:textId="77777777" w:rsidR="00AC1FA4" w:rsidRPr="00C15646" w:rsidRDefault="00AC1FA4" w:rsidP="00E022D4">
            <w:pPr>
              <w:ind w:left="57" w:right="57"/>
              <w:rPr>
                <w:lang w:val="lv-LV" w:eastAsia="lv-LV"/>
              </w:rPr>
            </w:pPr>
            <w:r w:rsidRPr="00C15646">
              <w:rPr>
                <w:lang w:val="lv-LV" w:eastAsia="lv-LV"/>
              </w:rPr>
              <w:t>Nav.</w:t>
            </w:r>
          </w:p>
        </w:tc>
      </w:tr>
    </w:tbl>
    <w:p w14:paraId="2A1029C2" w14:textId="77777777" w:rsidR="00AC1FA4" w:rsidRPr="00C15646" w:rsidRDefault="00AC1FA4" w:rsidP="002B3C65">
      <w:pPr>
        <w:tabs>
          <w:tab w:val="left" w:pos="5760"/>
        </w:tabs>
        <w:jc w:val="both"/>
        <w:rPr>
          <w:sz w:val="28"/>
          <w:szCs w:val="28"/>
          <w:lang w:val="lv-LV" w:eastAsia="lv-LV"/>
        </w:rPr>
      </w:pPr>
    </w:p>
    <w:p w14:paraId="40D5ED43" w14:textId="77777777" w:rsidR="002B3C65" w:rsidRPr="00C15646" w:rsidRDefault="002B3C65" w:rsidP="002B3C65">
      <w:pPr>
        <w:tabs>
          <w:tab w:val="left" w:pos="5760"/>
        </w:tabs>
        <w:jc w:val="both"/>
        <w:rPr>
          <w:sz w:val="28"/>
          <w:szCs w:val="28"/>
          <w:lang w:val="lv-LV" w:eastAsia="lv-LV"/>
        </w:rPr>
      </w:pPr>
    </w:p>
    <w:p w14:paraId="69FC00FF" w14:textId="77777777" w:rsidR="002B3C65" w:rsidRPr="00C15646" w:rsidRDefault="002B3C65" w:rsidP="002B3C65">
      <w:pPr>
        <w:jc w:val="both"/>
        <w:rPr>
          <w:bCs/>
          <w:lang w:val="lv-LV" w:eastAsia="lv-LV"/>
        </w:rPr>
      </w:pPr>
      <w:r w:rsidRPr="00C15646">
        <w:rPr>
          <w:bCs/>
          <w:lang w:val="lv-LV" w:eastAsia="lv-LV"/>
        </w:rPr>
        <w:t>Iesniedzējs:</w:t>
      </w:r>
    </w:p>
    <w:p w14:paraId="5BD57AE2" w14:textId="5C6DDCBE" w:rsidR="00BD12F1" w:rsidRPr="00BD12F1" w:rsidRDefault="00BD12F1" w:rsidP="00BD12F1">
      <w:pPr>
        <w:jc w:val="both"/>
        <w:rPr>
          <w:bCs/>
          <w:lang w:val="lv-LV" w:eastAsia="lv-LV"/>
        </w:rPr>
      </w:pPr>
      <w:r w:rsidRPr="00BD12F1">
        <w:rPr>
          <w:bCs/>
          <w:lang w:val="lv-LV" w:eastAsia="lv-LV"/>
        </w:rPr>
        <w:t>Tieslietu ministrijas valsts sekretārs</w:t>
      </w:r>
      <w:r w:rsidRPr="00BD12F1">
        <w:rPr>
          <w:bCs/>
          <w:lang w:val="lv-LV" w:eastAsia="lv-LV"/>
        </w:rPr>
        <w:tab/>
      </w:r>
      <w:r w:rsidRPr="00BD12F1">
        <w:rPr>
          <w:bCs/>
          <w:lang w:val="lv-LV" w:eastAsia="lv-LV"/>
        </w:rPr>
        <w:tab/>
      </w:r>
      <w:r w:rsidRPr="00BD12F1">
        <w:rPr>
          <w:bCs/>
          <w:lang w:val="lv-LV" w:eastAsia="lv-LV"/>
        </w:rPr>
        <w:tab/>
      </w:r>
      <w:r w:rsidRPr="00BD12F1">
        <w:rPr>
          <w:bCs/>
          <w:lang w:val="lv-LV" w:eastAsia="lv-LV"/>
        </w:rPr>
        <w:tab/>
      </w:r>
      <w:proofErr w:type="gramStart"/>
      <w:r w:rsidRPr="00BD12F1">
        <w:rPr>
          <w:bCs/>
          <w:lang w:val="lv-LV" w:eastAsia="lv-LV"/>
        </w:rPr>
        <w:t xml:space="preserve">        </w:t>
      </w:r>
      <w:r>
        <w:rPr>
          <w:bCs/>
          <w:lang w:val="lv-LV" w:eastAsia="lv-LV"/>
        </w:rPr>
        <w:t xml:space="preserve">                   </w:t>
      </w:r>
      <w:proofErr w:type="gramEnd"/>
      <w:r w:rsidRPr="00BD12F1">
        <w:rPr>
          <w:bCs/>
          <w:lang w:val="lv-LV" w:eastAsia="lv-LV"/>
        </w:rPr>
        <w:t>Raivis Kronbergs</w:t>
      </w:r>
    </w:p>
    <w:p w14:paraId="430317D7" w14:textId="77777777" w:rsidR="002B3C65" w:rsidRPr="00C15646" w:rsidRDefault="002B3C65" w:rsidP="002B3C65">
      <w:pPr>
        <w:jc w:val="both"/>
        <w:rPr>
          <w:bCs/>
          <w:lang w:val="lv-LV" w:eastAsia="lv-LV"/>
        </w:rPr>
      </w:pPr>
    </w:p>
    <w:p w14:paraId="68B66B12" w14:textId="10ACDEAB" w:rsidR="002B3C65" w:rsidRPr="00C15646" w:rsidRDefault="00AC1FA4" w:rsidP="002B3C65">
      <w:pPr>
        <w:jc w:val="both"/>
        <w:rPr>
          <w:rFonts w:eastAsia="Calibri"/>
          <w:sz w:val="20"/>
          <w:szCs w:val="20"/>
          <w:shd w:val="clear" w:color="auto" w:fill="FFFFFF"/>
          <w:lang w:val="lv-LV"/>
        </w:rPr>
      </w:pPr>
      <w:r w:rsidRPr="00C15646">
        <w:rPr>
          <w:rFonts w:eastAsia="Calibri"/>
          <w:sz w:val="20"/>
          <w:szCs w:val="20"/>
          <w:shd w:val="clear" w:color="auto" w:fill="FFFFFF"/>
          <w:lang w:val="lv-LV"/>
        </w:rPr>
        <w:t>Vilcāns</w:t>
      </w:r>
      <w:r w:rsidR="002B3C65" w:rsidRPr="00C15646">
        <w:rPr>
          <w:rFonts w:eastAsia="Calibri"/>
          <w:sz w:val="20"/>
          <w:szCs w:val="20"/>
          <w:shd w:val="clear" w:color="auto" w:fill="FFFFFF"/>
          <w:lang w:val="lv-LV"/>
        </w:rPr>
        <w:t xml:space="preserve"> 67036</w:t>
      </w:r>
      <w:r w:rsidR="007F55C5" w:rsidRPr="00C15646">
        <w:rPr>
          <w:rFonts w:eastAsia="Calibri"/>
          <w:sz w:val="20"/>
          <w:szCs w:val="20"/>
          <w:shd w:val="clear" w:color="auto" w:fill="FFFFFF"/>
          <w:lang w:val="lv-LV"/>
        </w:rPr>
        <w:t>901</w:t>
      </w:r>
    </w:p>
    <w:p w14:paraId="792C699D" w14:textId="2AAF8FF2" w:rsidR="00E61948" w:rsidRPr="00C15646" w:rsidRDefault="007F55C5" w:rsidP="00442B58">
      <w:pPr>
        <w:jc w:val="both"/>
        <w:rPr>
          <w:sz w:val="28"/>
          <w:szCs w:val="28"/>
          <w:lang w:val="lv-LV" w:eastAsia="lv-LV"/>
        </w:rPr>
      </w:pPr>
      <w:r w:rsidRPr="00C15646">
        <w:rPr>
          <w:rFonts w:eastAsia="Calibri"/>
          <w:sz w:val="20"/>
          <w:szCs w:val="20"/>
          <w:shd w:val="clear" w:color="auto" w:fill="FFFFFF"/>
          <w:lang w:val="lv-LV"/>
        </w:rPr>
        <w:t>Sandis.Vilcans@tm.gov.lv</w:t>
      </w:r>
    </w:p>
    <w:sectPr w:rsidR="00E61948" w:rsidRPr="00C15646" w:rsidSect="00E35CBC">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401D9" w14:textId="77777777" w:rsidR="001E7286" w:rsidRDefault="001E7286" w:rsidP="0051424D">
      <w:r>
        <w:separator/>
      </w:r>
    </w:p>
  </w:endnote>
  <w:endnote w:type="continuationSeparator" w:id="0">
    <w:p w14:paraId="0D130AF8" w14:textId="77777777" w:rsidR="001E7286" w:rsidRDefault="001E7286" w:rsidP="0051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184B0" w14:textId="77777777" w:rsidR="00382144" w:rsidRDefault="0038214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DD28" w14:textId="500A8D7A" w:rsidR="00C422C9" w:rsidRPr="00ED6562" w:rsidRDefault="00ED6562" w:rsidP="00ED6562">
    <w:r>
      <w:rPr>
        <w:sz w:val="20"/>
        <w:szCs w:val="20"/>
      </w:rPr>
      <w:fldChar w:fldCharType="begin"/>
    </w:r>
    <w:r>
      <w:rPr>
        <w:sz w:val="20"/>
        <w:szCs w:val="20"/>
      </w:rPr>
      <w:instrText xml:space="preserve"> FILENAME   \* MERGEFORMAT </w:instrText>
    </w:r>
    <w:r>
      <w:rPr>
        <w:sz w:val="20"/>
        <w:szCs w:val="20"/>
      </w:rPr>
      <w:fldChar w:fldCharType="separate"/>
    </w:r>
    <w:r w:rsidR="00E8458D">
      <w:rPr>
        <w:noProof/>
        <w:sz w:val="20"/>
        <w:szCs w:val="20"/>
      </w:rPr>
      <w:t>TMAnot_190219_proc_izd</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3186" w14:textId="7D8FBAD1" w:rsidR="00C422C9" w:rsidRPr="00ED6562" w:rsidRDefault="00ED6562" w:rsidP="00ED6562">
    <w:r>
      <w:rPr>
        <w:sz w:val="20"/>
        <w:szCs w:val="20"/>
      </w:rPr>
      <w:fldChar w:fldCharType="begin"/>
    </w:r>
    <w:r>
      <w:rPr>
        <w:sz w:val="20"/>
        <w:szCs w:val="20"/>
      </w:rPr>
      <w:instrText xml:space="preserve"> FILENAME   \* MERGEFORMAT </w:instrText>
    </w:r>
    <w:r>
      <w:rPr>
        <w:sz w:val="20"/>
        <w:szCs w:val="20"/>
      </w:rPr>
      <w:fldChar w:fldCharType="separate"/>
    </w:r>
    <w:r w:rsidR="00B661F5">
      <w:rPr>
        <w:noProof/>
        <w:sz w:val="20"/>
        <w:szCs w:val="20"/>
      </w:rPr>
      <w:t>TMAnot_190219_proc_izd</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C0801" w14:textId="77777777" w:rsidR="001E7286" w:rsidRDefault="001E7286" w:rsidP="0051424D">
      <w:r>
        <w:separator/>
      </w:r>
    </w:p>
  </w:footnote>
  <w:footnote w:type="continuationSeparator" w:id="0">
    <w:p w14:paraId="366BFD82" w14:textId="77777777" w:rsidR="001E7286" w:rsidRDefault="001E7286" w:rsidP="0051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D756" w14:textId="77777777" w:rsidR="00C422C9" w:rsidRDefault="00C422C9" w:rsidP="00E35CB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E13ED23" w14:textId="77777777" w:rsidR="00C422C9" w:rsidRDefault="00C42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F1A3" w14:textId="77777777" w:rsidR="00C422C9" w:rsidRPr="00CC431C" w:rsidRDefault="00C422C9" w:rsidP="00E35CBC">
    <w:pPr>
      <w:pStyle w:val="Galvene"/>
      <w:framePr w:wrap="around" w:vAnchor="text" w:hAnchor="margin" w:xAlign="center" w:y="1"/>
      <w:rPr>
        <w:rStyle w:val="Lappusesnumurs"/>
      </w:rPr>
    </w:pPr>
    <w:r w:rsidRPr="00CC431C">
      <w:rPr>
        <w:rStyle w:val="Lappusesnumurs"/>
      </w:rPr>
      <w:fldChar w:fldCharType="begin"/>
    </w:r>
    <w:r w:rsidRPr="00CC431C">
      <w:rPr>
        <w:rStyle w:val="Lappusesnumurs"/>
      </w:rPr>
      <w:instrText xml:space="preserve">PAGE  </w:instrText>
    </w:r>
    <w:r w:rsidRPr="00CC431C">
      <w:rPr>
        <w:rStyle w:val="Lappusesnumurs"/>
      </w:rPr>
      <w:fldChar w:fldCharType="separate"/>
    </w:r>
    <w:r>
      <w:rPr>
        <w:rStyle w:val="Lappusesnumurs"/>
        <w:noProof/>
      </w:rPr>
      <w:t>8</w:t>
    </w:r>
    <w:r w:rsidRPr="00CC431C">
      <w:rPr>
        <w:rStyle w:val="Lappusesnumurs"/>
      </w:rPr>
      <w:fldChar w:fldCharType="end"/>
    </w:r>
  </w:p>
  <w:p w14:paraId="7173E4FC" w14:textId="77777777" w:rsidR="00C422C9" w:rsidRDefault="00C422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F3A8" w14:textId="77777777" w:rsidR="00382144" w:rsidRDefault="0038214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C597C"/>
    <w:multiLevelType w:val="hybridMultilevel"/>
    <w:tmpl w:val="336AF410"/>
    <w:lvl w:ilvl="0" w:tplc="39AE2ADA">
      <w:start w:val="2018"/>
      <w:numFmt w:val="bullet"/>
      <w:lvlText w:val="-"/>
      <w:lvlJc w:val="left"/>
      <w:pPr>
        <w:ind w:left="768" w:hanging="360"/>
      </w:pPr>
      <w:rPr>
        <w:rFonts w:ascii="Times New Roman" w:eastAsiaTheme="minorHAnsi" w:hAnsi="Times New Roman" w:cs="Times New Roman" w:hint="default"/>
      </w:rPr>
    </w:lvl>
    <w:lvl w:ilvl="1" w:tplc="04260003" w:tentative="1">
      <w:start w:val="1"/>
      <w:numFmt w:val="bullet"/>
      <w:lvlText w:val="o"/>
      <w:lvlJc w:val="left"/>
      <w:pPr>
        <w:ind w:left="1488" w:hanging="360"/>
      </w:pPr>
      <w:rPr>
        <w:rFonts w:ascii="Courier New" w:hAnsi="Courier New" w:cs="Courier New" w:hint="default"/>
      </w:rPr>
    </w:lvl>
    <w:lvl w:ilvl="2" w:tplc="04260005" w:tentative="1">
      <w:start w:val="1"/>
      <w:numFmt w:val="bullet"/>
      <w:lvlText w:val=""/>
      <w:lvlJc w:val="left"/>
      <w:pPr>
        <w:ind w:left="2208" w:hanging="360"/>
      </w:pPr>
      <w:rPr>
        <w:rFonts w:ascii="Wingdings" w:hAnsi="Wingdings" w:hint="default"/>
      </w:rPr>
    </w:lvl>
    <w:lvl w:ilvl="3" w:tplc="04260001" w:tentative="1">
      <w:start w:val="1"/>
      <w:numFmt w:val="bullet"/>
      <w:lvlText w:val=""/>
      <w:lvlJc w:val="left"/>
      <w:pPr>
        <w:ind w:left="2928" w:hanging="360"/>
      </w:pPr>
      <w:rPr>
        <w:rFonts w:ascii="Symbol" w:hAnsi="Symbol" w:hint="default"/>
      </w:rPr>
    </w:lvl>
    <w:lvl w:ilvl="4" w:tplc="04260003" w:tentative="1">
      <w:start w:val="1"/>
      <w:numFmt w:val="bullet"/>
      <w:lvlText w:val="o"/>
      <w:lvlJc w:val="left"/>
      <w:pPr>
        <w:ind w:left="3648" w:hanging="360"/>
      </w:pPr>
      <w:rPr>
        <w:rFonts w:ascii="Courier New" w:hAnsi="Courier New" w:cs="Courier New" w:hint="default"/>
      </w:rPr>
    </w:lvl>
    <w:lvl w:ilvl="5" w:tplc="04260005" w:tentative="1">
      <w:start w:val="1"/>
      <w:numFmt w:val="bullet"/>
      <w:lvlText w:val=""/>
      <w:lvlJc w:val="left"/>
      <w:pPr>
        <w:ind w:left="4368" w:hanging="360"/>
      </w:pPr>
      <w:rPr>
        <w:rFonts w:ascii="Wingdings" w:hAnsi="Wingdings" w:hint="default"/>
      </w:rPr>
    </w:lvl>
    <w:lvl w:ilvl="6" w:tplc="04260001" w:tentative="1">
      <w:start w:val="1"/>
      <w:numFmt w:val="bullet"/>
      <w:lvlText w:val=""/>
      <w:lvlJc w:val="left"/>
      <w:pPr>
        <w:ind w:left="5088" w:hanging="360"/>
      </w:pPr>
      <w:rPr>
        <w:rFonts w:ascii="Symbol" w:hAnsi="Symbol" w:hint="default"/>
      </w:rPr>
    </w:lvl>
    <w:lvl w:ilvl="7" w:tplc="04260003" w:tentative="1">
      <w:start w:val="1"/>
      <w:numFmt w:val="bullet"/>
      <w:lvlText w:val="o"/>
      <w:lvlJc w:val="left"/>
      <w:pPr>
        <w:ind w:left="5808" w:hanging="360"/>
      </w:pPr>
      <w:rPr>
        <w:rFonts w:ascii="Courier New" w:hAnsi="Courier New" w:cs="Courier New" w:hint="default"/>
      </w:rPr>
    </w:lvl>
    <w:lvl w:ilvl="8" w:tplc="0426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65"/>
    <w:rsid w:val="0000384D"/>
    <w:rsid w:val="00003CB5"/>
    <w:rsid w:val="00006530"/>
    <w:rsid w:val="00012C1E"/>
    <w:rsid w:val="000138CD"/>
    <w:rsid w:val="00014583"/>
    <w:rsid w:val="00023D7A"/>
    <w:rsid w:val="00031B76"/>
    <w:rsid w:val="0003251A"/>
    <w:rsid w:val="00035160"/>
    <w:rsid w:val="00047F84"/>
    <w:rsid w:val="000646C0"/>
    <w:rsid w:val="00070FB9"/>
    <w:rsid w:val="00074961"/>
    <w:rsid w:val="00092622"/>
    <w:rsid w:val="000A0DC7"/>
    <w:rsid w:val="000B03AC"/>
    <w:rsid w:val="000B0ED6"/>
    <w:rsid w:val="000C672E"/>
    <w:rsid w:val="000D0423"/>
    <w:rsid w:val="000D5D73"/>
    <w:rsid w:val="000E37DD"/>
    <w:rsid w:val="000E4760"/>
    <w:rsid w:val="000F7FB7"/>
    <w:rsid w:val="00100A46"/>
    <w:rsid w:val="00100E4F"/>
    <w:rsid w:val="0010161F"/>
    <w:rsid w:val="00101BDE"/>
    <w:rsid w:val="00104530"/>
    <w:rsid w:val="00107D44"/>
    <w:rsid w:val="00107FCB"/>
    <w:rsid w:val="00113316"/>
    <w:rsid w:val="0012694B"/>
    <w:rsid w:val="00135BFE"/>
    <w:rsid w:val="001435AE"/>
    <w:rsid w:val="001457E3"/>
    <w:rsid w:val="0014695B"/>
    <w:rsid w:val="00156E15"/>
    <w:rsid w:val="00181246"/>
    <w:rsid w:val="001827BC"/>
    <w:rsid w:val="0018758D"/>
    <w:rsid w:val="00187D04"/>
    <w:rsid w:val="001908D5"/>
    <w:rsid w:val="001910B1"/>
    <w:rsid w:val="001A2109"/>
    <w:rsid w:val="001A261E"/>
    <w:rsid w:val="001A556A"/>
    <w:rsid w:val="001A75E2"/>
    <w:rsid w:val="001A7715"/>
    <w:rsid w:val="001B3299"/>
    <w:rsid w:val="001B3A23"/>
    <w:rsid w:val="001C2732"/>
    <w:rsid w:val="001C7770"/>
    <w:rsid w:val="001E4D93"/>
    <w:rsid w:val="001E6889"/>
    <w:rsid w:val="001E7286"/>
    <w:rsid w:val="001E7ED3"/>
    <w:rsid w:val="001F5DF3"/>
    <w:rsid w:val="00202351"/>
    <w:rsid w:val="00205E4D"/>
    <w:rsid w:val="002148FF"/>
    <w:rsid w:val="00217768"/>
    <w:rsid w:val="002222B8"/>
    <w:rsid w:val="0022726E"/>
    <w:rsid w:val="00233F89"/>
    <w:rsid w:val="00234081"/>
    <w:rsid w:val="00251925"/>
    <w:rsid w:val="00286762"/>
    <w:rsid w:val="0029410E"/>
    <w:rsid w:val="0029683A"/>
    <w:rsid w:val="002A42B4"/>
    <w:rsid w:val="002A7F9B"/>
    <w:rsid w:val="002B3C65"/>
    <w:rsid w:val="002B5ACE"/>
    <w:rsid w:val="002C56F4"/>
    <w:rsid w:val="002D7A0C"/>
    <w:rsid w:val="002E07AB"/>
    <w:rsid w:val="002E08E1"/>
    <w:rsid w:val="002E45A7"/>
    <w:rsid w:val="002F502E"/>
    <w:rsid w:val="0030297C"/>
    <w:rsid w:val="0030633F"/>
    <w:rsid w:val="00314220"/>
    <w:rsid w:val="00314FF7"/>
    <w:rsid w:val="0031724C"/>
    <w:rsid w:val="00320885"/>
    <w:rsid w:val="00325996"/>
    <w:rsid w:val="00340228"/>
    <w:rsid w:val="003431E2"/>
    <w:rsid w:val="00343CBE"/>
    <w:rsid w:val="00355F4D"/>
    <w:rsid w:val="00356BF8"/>
    <w:rsid w:val="003619BF"/>
    <w:rsid w:val="0038120F"/>
    <w:rsid w:val="00382144"/>
    <w:rsid w:val="003916E7"/>
    <w:rsid w:val="00393362"/>
    <w:rsid w:val="00396648"/>
    <w:rsid w:val="003A71B2"/>
    <w:rsid w:val="003A7ED4"/>
    <w:rsid w:val="003B0EC5"/>
    <w:rsid w:val="003B500E"/>
    <w:rsid w:val="003B76B5"/>
    <w:rsid w:val="003C141D"/>
    <w:rsid w:val="003C1DA3"/>
    <w:rsid w:val="003C267C"/>
    <w:rsid w:val="003C30AA"/>
    <w:rsid w:val="003C62D9"/>
    <w:rsid w:val="003D6EC1"/>
    <w:rsid w:val="003E11B1"/>
    <w:rsid w:val="003E195B"/>
    <w:rsid w:val="003E753B"/>
    <w:rsid w:val="003F5752"/>
    <w:rsid w:val="0040597E"/>
    <w:rsid w:val="00415CBA"/>
    <w:rsid w:val="00442B58"/>
    <w:rsid w:val="00451858"/>
    <w:rsid w:val="00451CDE"/>
    <w:rsid w:val="00465B43"/>
    <w:rsid w:val="00474079"/>
    <w:rsid w:val="00477154"/>
    <w:rsid w:val="00480453"/>
    <w:rsid w:val="00483F81"/>
    <w:rsid w:val="00487C76"/>
    <w:rsid w:val="00493A4A"/>
    <w:rsid w:val="00494BDB"/>
    <w:rsid w:val="00494CC4"/>
    <w:rsid w:val="004A0B50"/>
    <w:rsid w:val="004B2740"/>
    <w:rsid w:val="004B6D56"/>
    <w:rsid w:val="004B772D"/>
    <w:rsid w:val="004C62D4"/>
    <w:rsid w:val="004D2B83"/>
    <w:rsid w:val="004D5FB8"/>
    <w:rsid w:val="004E0C82"/>
    <w:rsid w:val="004E26CA"/>
    <w:rsid w:val="004E4CEC"/>
    <w:rsid w:val="004E66E6"/>
    <w:rsid w:val="004F6434"/>
    <w:rsid w:val="00507C51"/>
    <w:rsid w:val="00507FD1"/>
    <w:rsid w:val="0051424D"/>
    <w:rsid w:val="00514660"/>
    <w:rsid w:val="0052212B"/>
    <w:rsid w:val="00523A93"/>
    <w:rsid w:val="0052656A"/>
    <w:rsid w:val="005314E8"/>
    <w:rsid w:val="00541D96"/>
    <w:rsid w:val="005440D6"/>
    <w:rsid w:val="00550B38"/>
    <w:rsid w:val="00550D6F"/>
    <w:rsid w:val="005617E1"/>
    <w:rsid w:val="00572C2B"/>
    <w:rsid w:val="00577094"/>
    <w:rsid w:val="005935CC"/>
    <w:rsid w:val="00593BA4"/>
    <w:rsid w:val="00597A61"/>
    <w:rsid w:val="005A36AA"/>
    <w:rsid w:val="005B2978"/>
    <w:rsid w:val="005C5FA6"/>
    <w:rsid w:val="005D07F3"/>
    <w:rsid w:val="005D639C"/>
    <w:rsid w:val="005E2292"/>
    <w:rsid w:val="005F1CAE"/>
    <w:rsid w:val="006032E5"/>
    <w:rsid w:val="00607DEA"/>
    <w:rsid w:val="00617563"/>
    <w:rsid w:val="00620E71"/>
    <w:rsid w:val="006261D3"/>
    <w:rsid w:val="006262EC"/>
    <w:rsid w:val="00627ABD"/>
    <w:rsid w:val="00627DEC"/>
    <w:rsid w:val="0065439E"/>
    <w:rsid w:val="0065592B"/>
    <w:rsid w:val="00657833"/>
    <w:rsid w:val="00670373"/>
    <w:rsid w:val="00676DF1"/>
    <w:rsid w:val="00677E39"/>
    <w:rsid w:val="006866EA"/>
    <w:rsid w:val="006A39CA"/>
    <w:rsid w:val="006A4F52"/>
    <w:rsid w:val="006A6B72"/>
    <w:rsid w:val="006A7F1D"/>
    <w:rsid w:val="006B2D25"/>
    <w:rsid w:val="006B2F29"/>
    <w:rsid w:val="006B6082"/>
    <w:rsid w:val="006C0920"/>
    <w:rsid w:val="006C1E3F"/>
    <w:rsid w:val="006D1C3B"/>
    <w:rsid w:val="006D6E19"/>
    <w:rsid w:val="006E6394"/>
    <w:rsid w:val="007011E3"/>
    <w:rsid w:val="00706A44"/>
    <w:rsid w:val="0071031E"/>
    <w:rsid w:val="00714F2A"/>
    <w:rsid w:val="00720468"/>
    <w:rsid w:val="007266B7"/>
    <w:rsid w:val="00737877"/>
    <w:rsid w:val="00744053"/>
    <w:rsid w:val="0074486C"/>
    <w:rsid w:val="00751FC1"/>
    <w:rsid w:val="00754671"/>
    <w:rsid w:val="007567C1"/>
    <w:rsid w:val="0076236F"/>
    <w:rsid w:val="0076292B"/>
    <w:rsid w:val="0077070C"/>
    <w:rsid w:val="00776166"/>
    <w:rsid w:val="00794C8F"/>
    <w:rsid w:val="007970F2"/>
    <w:rsid w:val="007B1BC9"/>
    <w:rsid w:val="007B6057"/>
    <w:rsid w:val="007B7C2F"/>
    <w:rsid w:val="007C32D5"/>
    <w:rsid w:val="007C4A73"/>
    <w:rsid w:val="007E7EEA"/>
    <w:rsid w:val="007F55C5"/>
    <w:rsid w:val="00805FF4"/>
    <w:rsid w:val="0081138A"/>
    <w:rsid w:val="00820F85"/>
    <w:rsid w:val="00841F31"/>
    <w:rsid w:val="00844DEE"/>
    <w:rsid w:val="008632A0"/>
    <w:rsid w:val="00874447"/>
    <w:rsid w:val="008808CA"/>
    <w:rsid w:val="00892851"/>
    <w:rsid w:val="008953C4"/>
    <w:rsid w:val="008A2249"/>
    <w:rsid w:val="008A26F0"/>
    <w:rsid w:val="008B076E"/>
    <w:rsid w:val="008C634A"/>
    <w:rsid w:val="008D0893"/>
    <w:rsid w:val="008E1BA7"/>
    <w:rsid w:val="008E7D36"/>
    <w:rsid w:val="008F3B7B"/>
    <w:rsid w:val="008F445C"/>
    <w:rsid w:val="008F72A6"/>
    <w:rsid w:val="00930414"/>
    <w:rsid w:val="00933C03"/>
    <w:rsid w:val="00940A63"/>
    <w:rsid w:val="0094749A"/>
    <w:rsid w:val="00952C6C"/>
    <w:rsid w:val="00953A19"/>
    <w:rsid w:val="00956B99"/>
    <w:rsid w:val="0096423D"/>
    <w:rsid w:val="00971D69"/>
    <w:rsid w:val="009A2239"/>
    <w:rsid w:val="009B3C4A"/>
    <w:rsid w:val="009C5BA4"/>
    <w:rsid w:val="009D59B5"/>
    <w:rsid w:val="009E7A9C"/>
    <w:rsid w:val="009F14C9"/>
    <w:rsid w:val="009F2CB1"/>
    <w:rsid w:val="00A05D0F"/>
    <w:rsid w:val="00A12814"/>
    <w:rsid w:val="00A22E5F"/>
    <w:rsid w:val="00A255EE"/>
    <w:rsid w:val="00A369BD"/>
    <w:rsid w:val="00A40E6B"/>
    <w:rsid w:val="00A4764D"/>
    <w:rsid w:val="00A66421"/>
    <w:rsid w:val="00A761C8"/>
    <w:rsid w:val="00A83182"/>
    <w:rsid w:val="00A960AC"/>
    <w:rsid w:val="00AA2965"/>
    <w:rsid w:val="00AA3079"/>
    <w:rsid w:val="00AA36C8"/>
    <w:rsid w:val="00AA41B6"/>
    <w:rsid w:val="00AC09D1"/>
    <w:rsid w:val="00AC1AF7"/>
    <w:rsid w:val="00AC1FA4"/>
    <w:rsid w:val="00AC3D0D"/>
    <w:rsid w:val="00AD00F9"/>
    <w:rsid w:val="00AD54C2"/>
    <w:rsid w:val="00AD5E28"/>
    <w:rsid w:val="00AD7BEF"/>
    <w:rsid w:val="00AE452D"/>
    <w:rsid w:val="00AF00DA"/>
    <w:rsid w:val="00AF7F78"/>
    <w:rsid w:val="00B1218F"/>
    <w:rsid w:val="00B13CFF"/>
    <w:rsid w:val="00B17567"/>
    <w:rsid w:val="00B22BC0"/>
    <w:rsid w:val="00B24B21"/>
    <w:rsid w:val="00B561C0"/>
    <w:rsid w:val="00B56FD8"/>
    <w:rsid w:val="00B600D2"/>
    <w:rsid w:val="00B6295E"/>
    <w:rsid w:val="00B661F5"/>
    <w:rsid w:val="00B71C03"/>
    <w:rsid w:val="00B7219F"/>
    <w:rsid w:val="00B729CB"/>
    <w:rsid w:val="00B77146"/>
    <w:rsid w:val="00B77FE2"/>
    <w:rsid w:val="00B80593"/>
    <w:rsid w:val="00B849A0"/>
    <w:rsid w:val="00B90691"/>
    <w:rsid w:val="00B92F87"/>
    <w:rsid w:val="00B933FA"/>
    <w:rsid w:val="00B94544"/>
    <w:rsid w:val="00B95D95"/>
    <w:rsid w:val="00B96191"/>
    <w:rsid w:val="00BA14AB"/>
    <w:rsid w:val="00BB0F4C"/>
    <w:rsid w:val="00BB12B7"/>
    <w:rsid w:val="00BC0179"/>
    <w:rsid w:val="00BC77EE"/>
    <w:rsid w:val="00BD12F1"/>
    <w:rsid w:val="00BE3B01"/>
    <w:rsid w:val="00BE776E"/>
    <w:rsid w:val="00BF261A"/>
    <w:rsid w:val="00BF4762"/>
    <w:rsid w:val="00BF59D8"/>
    <w:rsid w:val="00C15646"/>
    <w:rsid w:val="00C23442"/>
    <w:rsid w:val="00C27FEC"/>
    <w:rsid w:val="00C4045D"/>
    <w:rsid w:val="00C422C9"/>
    <w:rsid w:val="00C436A8"/>
    <w:rsid w:val="00C61AC4"/>
    <w:rsid w:val="00C62EAB"/>
    <w:rsid w:val="00C63008"/>
    <w:rsid w:val="00C67578"/>
    <w:rsid w:val="00C70696"/>
    <w:rsid w:val="00C709F2"/>
    <w:rsid w:val="00C803CF"/>
    <w:rsid w:val="00C80DE8"/>
    <w:rsid w:val="00C9159C"/>
    <w:rsid w:val="00CA56EF"/>
    <w:rsid w:val="00CA6267"/>
    <w:rsid w:val="00CB11F0"/>
    <w:rsid w:val="00CC0793"/>
    <w:rsid w:val="00CC271C"/>
    <w:rsid w:val="00CC329B"/>
    <w:rsid w:val="00CC4C74"/>
    <w:rsid w:val="00CC7AA3"/>
    <w:rsid w:val="00CD0554"/>
    <w:rsid w:val="00CD0CCC"/>
    <w:rsid w:val="00CD6CFF"/>
    <w:rsid w:val="00CE0926"/>
    <w:rsid w:val="00CE1624"/>
    <w:rsid w:val="00CF2AF7"/>
    <w:rsid w:val="00D0397A"/>
    <w:rsid w:val="00D04599"/>
    <w:rsid w:val="00D1099F"/>
    <w:rsid w:val="00D17AC6"/>
    <w:rsid w:val="00D25CCB"/>
    <w:rsid w:val="00D436B9"/>
    <w:rsid w:val="00D44991"/>
    <w:rsid w:val="00D50A34"/>
    <w:rsid w:val="00D55DF6"/>
    <w:rsid w:val="00D72A77"/>
    <w:rsid w:val="00D75141"/>
    <w:rsid w:val="00D759D8"/>
    <w:rsid w:val="00D95DBC"/>
    <w:rsid w:val="00D97EF5"/>
    <w:rsid w:val="00DA760E"/>
    <w:rsid w:val="00DA7952"/>
    <w:rsid w:val="00DB53A4"/>
    <w:rsid w:val="00DC0CD2"/>
    <w:rsid w:val="00DC2D64"/>
    <w:rsid w:val="00DC6011"/>
    <w:rsid w:val="00DD166E"/>
    <w:rsid w:val="00DD7445"/>
    <w:rsid w:val="00DE3BC7"/>
    <w:rsid w:val="00DE4178"/>
    <w:rsid w:val="00DE7900"/>
    <w:rsid w:val="00DF3A34"/>
    <w:rsid w:val="00DF5498"/>
    <w:rsid w:val="00E00A11"/>
    <w:rsid w:val="00E052F5"/>
    <w:rsid w:val="00E119DA"/>
    <w:rsid w:val="00E213AC"/>
    <w:rsid w:val="00E31673"/>
    <w:rsid w:val="00E35CBC"/>
    <w:rsid w:val="00E41264"/>
    <w:rsid w:val="00E445B4"/>
    <w:rsid w:val="00E46937"/>
    <w:rsid w:val="00E52A2C"/>
    <w:rsid w:val="00E55461"/>
    <w:rsid w:val="00E61858"/>
    <w:rsid w:val="00E61948"/>
    <w:rsid w:val="00E62091"/>
    <w:rsid w:val="00E752B3"/>
    <w:rsid w:val="00E8458D"/>
    <w:rsid w:val="00E854A0"/>
    <w:rsid w:val="00E85EA1"/>
    <w:rsid w:val="00EA23C9"/>
    <w:rsid w:val="00EA23D3"/>
    <w:rsid w:val="00EA5CD2"/>
    <w:rsid w:val="00EA7220"/>
    <w:rsid w:val="00ED0689"/>
    <w:rsid w:val="00ED42D1"/>
    <w:rsid w:val="00ED6562"/>
    <w:rsid w:val="00EE05E0"/>
    <w:rsid w:val="00F072A0"/>
    <w:rsid w:val="00F1167E"/>
    <w:rsid w:val="00F149AE"/>
    <w:rsid w:val="00F16ACC"/>
    <w:rsid w:val="00F24D82"/>
    <w:rsid w:val="00F306D6"/>
    <w:rsid w:val="00F50179"/>
    <w:rsid w:val="00F50E17"/>
    <w:rsid w:val="00F51751"/>
    <w:rsid w:val="00F51AB2"/>
    <w:rsid w:val="00F5226B"/>
    <w:rsid w:val="00F57329"/>
    <w:rsid w:val="00F635FA"/>
    <w:rsid w:val="00F64381"/>
    <w:rsid w:val="00F65975"/>
    <w:rsid w:val="00F70A62"/>
    <w:rsid w:val="00F80D1C"/>
    <w:rsid w:val="00FA64B0"/>
    <w:rsid w:val="00FB52A1"/>
    <w:rsid w:val="00FB55FF"/>
    <w:rsid w:val="00FB7721"/>
    <w:rsid w:val="00FC21B6"/>
    <w:rsid w:val="00FD2041"/>
    <w:rsid w:val="00FD338B"/>
    <w:rsid w:val="00FD6836"/>
    <w:rsid w:val="00FE4117"/>
    <w:rsid w:val="00FE62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AFCF89"/>
  <w15:chartTrackingRefBased/>
  <w15:docId w15:val="{83BC8BD3-1940-45E7-A820-E688D2DE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C6011"/>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B3C65"/>
    <w:pPr>
      <w:tabs>
        <w:tab w:val="center" w:pos="4153"/>
        <w:tab w:val="right" w:pos="8306"/>
      </w:tabs>
    </w:pPr>
  </w:style>
  <w:style w:type="character" w:customStyle="1" w:styleId="GalveneRakstz">
    <w:name w:val="Galvene Rakstz."/>
    <w:basedOn w:val="Noklusjumarindkopasfonts"/>
    <w:link w:val="Galvene"/>
    <w:uiPriority w:val="99"/>
    <w:rsid w:val="002B3C65"/>
  </w:style>
  <w:style w:type="paragraph" w:styleId="Kjene">
    <w:name w:val="footer"/>
    <w:basedOn w:val="Parasts"/>
    <w:link w:val="KjeneRakstz"/>
    <w:uiPriority w:val="99"/>
    <w:unhideWhenUsed/>
    <w:rsid w:val="002B3C65"/>
    <w:pPr>
      <w:tabs>
        <w:tab w:val="center" w:pos="4153"/>
        <w:tab w:val="right" w:pos="8306"/>
      </w:tabs>
    </w:pPr>
  </w:style>
  <w:style w:type="character" w:customStyle="1" w:styleId="KjeneRakstz">
    <w:name w:val="Kājene Rakstz."/>
    <w:basedOn w:val="Noklusjumarindkopasfonts"/>
    <w:link w:val="Kjene"/>
    <w:uiPriority w:val="99"/>
    <w:rsid w:val="002B3C65"/>
  </w:style>
  <w:style w:type="character" w:styleId="Lappusesnumurs">
    <w:name w:val="page number"/>
    <w:rsid w:val="002B3C65"/>
  </w:style>
  <w:style w:type="character" w:styleId="Hipersaite">
    <w:name w:val="Hyperlink"/>
    <w:basedOn w:val="Noklusjumarindkopasfonts"/>
    <w:uiPriority w:val="99"/>
    <w:unhideWhenUsed/>
    <w:rsid w:val="002B3C65"/>
    <w:rPr>
      <w:color w:val="0563C1" w:themeColor="hyperlink"/>
      <w:u w:val="single"/>
    </w:rPr>
  </w:style>
  <w:style w:type="paragraph" w:customStyle="1" w:styleId="tv2132">
    <w:name w:val="tv2132"/>
    <w:basedOn w:val="Parasts"/>
    <w:rsid w:val="002B3C65"/>
    <w:pPr>
      <w:spacing w:line="360" w:lineRule="auto"/>
      <w:ind w:firstLine="300"/>
    </w:pPr>
    <w:rPr>
      <w:color w:val="414142"/>
      <w:sz w:val="20"/>
      <w:szCs w:val="20"/>
      <w:lang w:eastAsia="lv-LV"/>
    </w:rPr>
  </w:style>
  <w:style w:type="paragraph" w:styleId="Sarakstarindkopa">
    <w:name w:val="List Paragraph"/>
    <w:basedOn w:val="Parasts"/>
    <w:uiPriority w:val="34"/>
    <w:qFormat/>
    <w:rsid w:val="002B3C65"/>
    <w:pPr>
      <w:ind w:left="720"/>
      <w:contextualSpacing/>
    </w:pPr>
  </w:style>
  <w:style w:type="character" w:styleId="Izteiksmgs">
    <w:name w:val="Strong"/>
    <w:basedOn w:val="Noklusjumarindkopasfonts"/>
    <w:uiPriority w:val="22"/>
    <w:qFormat/>
    <w:rsid w:val="00E35CBC"/>
    <w:rPr>
      <w:b/>
      <w:bCs/>
    </w:rPr>
  </w:style>
  <w:style w:type="paragraph" w:customStyle="1" w:styleId="Default">
    <w:name w:val="Default"/>
    <w:rsid w:val="001B3299"/>
    <w:pPr>
      <w:autoSpaceDE w:val="0"/>
      <w:autoSpaceDN w:val="0"/>
      <w:adjustRightInd w:val="0"/>
      <w:spacing w:after="0" w:line="240" w:lineRule="auto"/>
    </w:pPr>
    <w:rPr>
      <w:rFonts w:ascii="Verdana" w:hAnsi="Verdana" w:cs="Verdana"/>
      <w:color w:val="000000"/>
      <w:sz w:val="24"/>
      <w:szCs w:val="24"/>
    </w:rPr>
  </w:style>
  <w:style w:type="paragraph" w:styleId="Balonteksts">
    <w:name w:val="Balloon Text"/>
    <w:basedOn w:val="Parasts"/>
    <w:link w:val="BalontekstsRakstz"/>
    <w:uiPriority w:val="99"/>
    <w:semiHidden/>
    <w:unhideWhenUsed/>
    <w:rsid w:val="00B849A0"/>
    <w:rPr>
      <w:rFonts w:ascii="Arial" w:hAnsi="Arial" w:cs="Arial"/>
      <w:sz w:val="18"/>
      <w:szCs w:val="18"/>
    </w:rPr>
  </w:style>
  <w:style w:type="character" w:customStyle="1" w:styleId="BalontekstsRakstz">
    <w:name w:val="Balonteksts Rakstz."/>
    <w:basedOn w:val="Noklusjumarindkopasfonts"/>
    <w:link w:val="Balonteksts"/>
    <w:uiPriority w:val="99"/>
    <w:semiHidden/>
    <w:rsid w:val="00B849A0"/>
    <w:rPr>
      <w:rFonts w:ascii="Arial" w:hAnsi="Arial" w:cs="Arial"/>
      <w:sz w:val="18"/>
      <w:szCs w:val="18"/>
    </w:rPr>
  </w:style>
  <w:style w:type="character" w:styleId="Izclums">
    <w:name w:val="Emphasis"/>
    <w:basedOn w:val="Noklusjumarindkopasfonts"/>
    <w:uiPriority w:val="20"/>
    <w:qFormat/>
    <w:rsid w:val="00074961"/>
    <w:rPr>
      <w:b/>
      <w:bCs/>
      <w:i w:val="0"/>
      <w:iCs w:val="0"/>
    </w:rPr>
  </w:style>
  <w:style w:type="character" w:customStyle="1" w:styleId="st1">
    <w:name w:val="st1"/>
    <w:basedOn w:val="Noklusjumarindkopasfonts"/>
    <w:rsid w:val="00074961"/>
  </w:style>
  <w:style w:type="character" w:styleId="Komentraatsauce">
    <w:name w:val="annotation reference"/>
    <w:basedOn w:val="Noklusjumarindkopasfonts"/>
    <w:uiPriority w:val="99"/>
    <w:semiHidden/>
    <w:unhideWhenUsed/>
    <w:rsid w:val="00714F2A"/>
    <w:rPr>
      <w:sz w:val="16"/>
      <w:szCs w:val="16"/>
    </w:rPr>
  </w:style>
  <w:style w:type="paragraph" w:styleId="Komentrateksts">
    <w:name w:val="annotation text"/>
    <w:basedOn w:val="Parasts"/>
    <w:link w:val="KomentratekstsRakstz"/>
    <w:uiPriority w:val="99"/>
    <w:semiHidden/>
    <w:unhideWhenUsed/>
    <w:rsid w:val="00714F2A"/>
    <w:rPr>
      <w:sz w:val="20"/>
      <w:szCs w:val="20"/>
    </w:rPr>
  </w:style>
  <w:style w:type="character" w:customStyle="1" w:styleId="KomentratekstsRakstz">
    <w:name w:val="Komentāra teksts Rakstz."/>
    <w:basedOn w:val="Noklusjumarindkopasfonts"/>
    <w:link w:val="Komentrateksts"/>
    <w:uiPriority w:val="99"/>
    <w:semiHidden/>
    <w:rsid w:val="00714F2A"/>
    <w:rPr>
      <w:sz w:val="20"/>
      <w:szCs w:val="20"/>
    </w:rPr>
  </w:style>
  <w:style w:type="paragraph" w:styleId="Komentratma">
    <w:name w:val="annotation subject"/>
    <w:basedOn w:val="Komentrateksts"/>
    <w:next w:val="Komentrateksts"/>
    <w:link w:val="KomentratmaRakstz"/>
    <w:uiPriority w:val="99"/>
    <w:semiHidden/>
    <w:unhideWhenUsed/>
    <w:rsid w:val="00113316"/>
    <w:rPr>
      <w:b/>
      <w:bCs/>
    </w:rPr>
  </w:style>
  <w:style w:type="character" w:customStyle="1" w:styleId="KomentratmaRakstz">
    <w:name w:val="Komentāra tēma Rakstz."/>
    <w:basedOn w:val="KomentratekstsRakstz"/>
    <w:link w:val="Komentratma"/>
    <w:uiPriority w:val="99"/>
    <w:semiHidden/>
    <w:rsid w:val="00113316"/>
    <w:rPr>
      <w:b/>
      <w:bCs/>
      <w:sz w:val="20"/>
      <w:szCs w:val="20"/>
    </w:rPr>
  </w:style>
  <w:style w:type="character" w:styleId="Neatrisintapieminana">
    <w:name w:val="Unresolved Mention"/>
    <w:basedOn w:val="Noklusjumarindkopasfonts"/>
    <w:uiPriority w:val="99"/>
    <w:semiHidden/>
    <w:unhideWhenUsed/>
    <w:rsid w:val="001B3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3655">
      <w:bodyDiv w:val="1"/>
      <w:marLeft w:val="0"/>
      <w:marRight w:val="0"/>
      <w:marTop w:val="0"/>
      <w:marBottom w:val="0"/>
      <w:divBdr>
        <w:top w:val="none" w:sz="0" w:space="0" w:color="auto"/>
        <w:left w:val="none" w:sz="0" w:space="0" w:color="auto"/>
        <w:bottom w:val="none" w:sz="0" w:space="0" w:color="auto"/>
        <w:right w:val="none" w:sz="0" w:space="0" w:color="auto"/>
      </w:divBdr>
    </w:div>
    <w:div w:id="73823013">
      <w:bodyDiv w:val="1"/>
      <w:marLeft w:val="0"/>
      <w:marRight w:val="0"/>
      <w:marTop w:val="0"/>
      <w:marBottom w:val="0"/>
      <w:divBdr>
        <w:top w:val="none" w:sz="0" w:space="0" w:color="auto"/>
        <w:left w:val="none" w:sz="0" w:space="0" w:color="auto"/>
        <w:bottom w:val="none" w:sz="0" w:space="0" w:color="auto"/>
        <w:right w:val="none" w:sz="0" w:space="0" w:color="auto"/>
      </w:divBdr>
    </w:div>
    <w:div w:id="112215124">
      <w:bodyDiv w:val="1"/>
      <w:marLeft w:val="0"/>
      <w:marRight w:val="0"/>
      <w:marTop w:val="0"/>
      <w:marBottom w:val="0"/>
      <w:divBdr>
        <w:top w:val="none" w:sz="0" w:space="0" w:color="auto"/>
        <w:left w:val="none" w:sz="0" w:space="0" w:color="auto"/>
        <w:bottom w:val="none" w:sz="0" w:space="0" w:color="auto"/>
        <w:right w:val="none" w:sz="0" w:space="0" w:color="auto"/>
      </w:divBdr>
    </w:div>
    <w:div w:id="224800949">
      <w:bodyDiv w:val="1"/>
      <w:marLeft w:val="0"/>
      <w:marRight w:val="0"/>
      <w:marTop w:val="0"/>
      <w:marBottom w:val="0"/>
      <w:divBdr>
        <w:top w:val="none" w:sz="0" w:space="0" w:color="auto"/>
        <w:left w:val="none" w:sz="0" w:space="0" w:color="auto"/>
        <w:bottom w:val="none" w:sz="0" w:space="0" w:color="auto"/>
        <w:right w:val="none" w:sz="0" w:space="0" w:color="auto"/>
      </w:divBdr>
    </w:div>
    <w:div w:id="354238160">
      <w:bodyDiv w:val="1"/>
      <w:marLeft w:val="0"/>
      <w:marRight w:val="0"/>
      <w:marTop w:val="0"/>
      <w:marBottom w:val="0"/>
      <w:divBdr>
        <w:top w:val="none" w:sz="0" w:space="0" w:color="auto"/>
        <w:left w:val="none" w:sz="0" w:space="0" w:color="auto"/>
        <w:bottom w:val="none" w:sz="0" w:space="0" w:color="auto"/>
        <w:right w:val="none" w:sz="0" w:space="0" w:color="auto"/>
      </w:divBdr>
    </w:div>
    <w:div w:id="386075109">
      <w:bodyDiv w:val="1"/>
      <w:marLeft w:val="0"/>
      <w:marRight w:val="0"/>
      <w:marTop w:val="0"/>
      <w:marBottom w:val="0"/>
      <w:divBdr>
        <w:top w:val="none" w:sz="0" w:space="0" w:color="auto"/>
        <w:left w:val="none" w:sz="0" w:space="0" w:color="auto"/>
        <w:bottom w:val="none" w:sz="0" w:space="0" w:color="auto"/>
        <w:right w:val="none" w:sz="0" w:space="0" w:color="auto"/>
      </w:divBdr>
    </w:div>
    <w:div w:id="413863675">
      <w:bodyDiv w:val="1"/>
      <w:marLeft w:val="0"/>
      <w:marRight w:val="0"/>
      <w:marTop w:val="0"/>
      <w:marBottom w:val="0"/>
      <w:divBdr>
        <w:top w:val="none" w:sz="0" w:space="0" w:color="auto"/>
        <w:left w:val="none" w:sz="0" w:space="0" w:color="auto"/>
        <w:bottom w:val="none" w:sz="0" w:space="0" w:color="auto"/>
        <w:right w:val="none" w:sz="0" w:space="0" w:color="auto"/>
      </w:divBdr>
    </w:div>
    <w:div w:id="448083431">
      <w:bodyDiv w:val="1"/>
      <w:marLeft w:val="0"/>
      <w:marRight w:val="0"/>
      <w:marTop w:val="0"/>
      <w:marBottom w:val="0"/>
      <w:divBdr>
        <w:top w:val="none" w:sz="0" w:space="0" w:color="auto"/>
        <w:left w:val="none" w:sz="0" w:space="0" w:color="auto"/>
        <w:bottom w:val="none" w:sz="0" w:space="0" w:color="auto"/>
        <w:right w:val="none" w:sz="0" w:space="0" w:color="auto"/>
      </w:divBdr>
      <w:divsChild>
        <w:div w:id="113984196">
          <w:marLeft w:val="0"/>
          <w:marRight w:val="0"/>
          <w:marTop w:val="0"/>
          <w:marBottom w:val="0"/>
          <w:divBdr>
            <w:top w:val="none" w:sz="0" w:space="0" w:color="auto"/>
            <w:left w:val="none" w:sz="0" w:space="0" w:color="auto"/>
            <w:bottom w:val="none" w:sz="0" w:space="0" w:color="auto"/>
            <w:right w:val="none" w:sz="0" w:space="0" w:color="auto"/>
          </w:divBdr>
        </w:div>
        <w:div w:id="1854224238">
          <w:marLeft w:val="0"/>
          <w:marRight w:val="0"/>
          <w:marTop w:val="0"/>
          <w:marBottom w:val="0"/>
          <w:divBdr>
            <w:top w:val="none" w:sz="0" w:space="0" w:color="auto"/>
            <w:left w:val="none" w:sz="0" w:space="0" w:color="auto"/>
            <w:bottom w:val="none" w:sz="0" w:space="0" w:color="auto"/>
            <w:right w:val="none" w:sz="0" w:space="0" w:color="auto"/>
          </w:divBdr>
        </w:div>
      </w:divsChild>
    </w:div>
    <w:div w:id="518586752">
      <w:bodyDiv w:val="1"/>
      <w:marLeft w:val="0"/>
      <w:marRight w:val="0"/>
      <w:marTop w:val="0"/>
      <w:marBottom w:val="0"/>
      <w:divBdr>
        <w:top w:val="none" w:sz="0" w:space="0" w:color="auto"/>
        <w:left w:val="none" w:sz="0" w:space="0" w:color="auto"/>
        <w:bottom w:val="none" w:sz="0" w:space="0" w:color="auto"/>
        <w:right w:val="none" w:sz="0" w:space="0" w:color="auto"/>
      </w:divBdr>
    </w:div>
    <w:div w:id="533883572">
      <w:bodyDiv w:val="1"/>
      <w:marLeft w:val="0"/>
      <w:marRight w:val="0"/>
      <w:marTop w:val="0"/>
      <w:marBottom w:val="0"/>
      <w:divBdr>
        <w:top w:val="none" w:sz="0" w:space="0" w:color="auto"/>
        <w:left w:val="none" w:sz="0" w:space="0" w:color="auto"/>
        <w:bottom w:val="none" w:sz="0" w:space="0" w:color="auto"/>
        <w:right w:val="none" w:sz="0" w:space="0" w:color="auto"/>
      </w:divBdr>
    </w:div>
    <w:div w:id="564997983">
      <w:bodyDiv w:val="1"/>
      <w:marLeft w:val="0"/>
      <w:marRight w:val="0"/>
      <w:marTop w:val="0"/>
      <w:marBottom w:val="0"/>
      <w:divBdr>
        <w:top w:val="none" w:sz="0" w:space="0" w:color="auto"/>
        <w:left w:val="none" w:sz="0" w:space="0" w:color="auto"/>
        <w:bottom w:val="none" w:sz="0" w:space="0" w:color="auto"/>
        <w:right w:val="none" w:sz="0" w:space="0" w:color="auto"/>
      </w:divBdr>
    </w:div>
    <w:div w:id="720322613">
      <w:bodyDiv w:val="1"/>
      <w:marLeft w:val="0"/>
      <w:marRight w:val="0"/>
      <w:marTop w:val="0"/>
      <w:marBottom w:val="0"/>
      <w:divBdr>
        <w:top w:val="none" w:sz="0" w:space="0" w:color="auto"/>
        <w:left w:val="none" w:sz="0" w:space="0" w:color="auto"/>
        <w:bottom w:val="none" w:sz="0" w:space="0" w:color="auto"/>
        <w:right w:val="none" w:sz="0" w:space="0" w:color="auto"/>
      </w:divBdr>
    </w:div>
    <w:div w:id="743068411">
      <w:bodyDiv w:val="1"/>
      <w:marLeft w:val="0"/>
      <w:marRight w:val="0"/>
      <w:marTop w:val="0"/>
      <w:marBottom w:val="0"/>
      <w:divBdr>
        <w:top w:val="none" w:sz="0" w:space="0" w:color="auto"/>
        <w:left w:val="none" w:sz="0" w:space="0" w:color="auto"/>
        <w:bottom w:val="none" w:sz="0" w:space="0" w:color="auto"/>
        <w:right w:val="none" w:sz="0" w:space="0" w:color="auto"/>
      </w:divBdr>
    </w:div>
    <w:div w:id="821584048">
      <w:bodyDiv w:val="1"/>
      <w:marLeft w:val="0"/>
      <w:marRight w:val="0"/>
      <w:marTop w:val="0"/>
      <w:marBottom w:val="0"/>
      <w:divBdr>
        <w:top w:val="none" w:sz="0" w:space="0" w:color="auto"/>
        <w:left w:val="none" w:sz="0" w:space="0" w:color="auto"/>
        <w:bottom w:val="none" w:sz="0" w:space="0" w:color="auto"/>
        <w:right w:val="none" w:sz="0" w:space="0" w:color="auto"/>
      </w:divBdr>
    </w:div>
    <w:div w:id="836533246">
      <w:bodyDiv w:val="1"/>
      <w:marLeft w:val="0"/>
      <w:marRight w:val="0"/>
      <w:marTop w:val="0"/>
      <w:marBottom w:val="0"/>
      <w:divBdr>
        <w:top w:val="none" w:sz="0" w:space="0" w:color="auto"/>
        <w:left w:val="none" w:sz="0" w:space="0" w:color="auto"/>
        <w:bottom w:val="none" w:sz="0" w:space="0" w:color="auto"/>
        <w:right w:val="none" w:sz="0" w:space="0" w:color="auto"/>
      </w:divBdr>
    </w:div>
    <w:div w:id="964507464">
      <w:bodyDiv w:val="1"/>
      <w:marLeft w:val="0"/>
      <w:marRight w:val="0"/>
      <w:marTop w:val="0"/>
      <w:marBottom w:val="0"/>
      <w:divBdr>
        <w:top w:val="none" w:sz="0" w:space="0" w:color="auto"/>
        <w:left w:val="none" w:sz="0" w:space="0" w:color="auto"/>
        <w:bottom w:val="none" w:sz="0" w:space="0" w:color="auto"/>
        <w:right w:val="none" w:sz="0" w:space="0" w:color="auto"/>
      </w:divBdr>
    </w:div>
    <w:div w:id="997533148">
      <w:bodyDiv w:val="1"/>
      <w:marLeft w:val="0"/>
      <w:marRight w:val="0"/>
      <w:marTop w:val="0"/>
      <w:marBottom w:val="0"/>
      <w:divBdr>
        <w:top w:val="none" w:sz="0" w:space="0" w:color="auto"/>
        <w:left w:val="none" w:sz="0" w:space="0" w:color="auto"/>
        <w:bottom w:val="none" w:sz="0" w:space="0" w:color="auto"/>
        <w:right w:val="none" w:sz="0" w:space="0" w:color="auto"/>
      </w:divBdr>
    </w:div>
    <w:div w:id="1112750793">
      <w:bodyDiv w:val="1"/>
      <w:marLeft w:val="0"/>
      <w:marRight w:val="0"/>
      <w:marTop w:val="0"/>
      <w:marBottom w:val="0"/>
      <w:divBdr>
        <w:top w:val="none" w:sz="0" w:space="0" w:color="auto"/>
        <w:left w:val="none" w:sz="0" w:space="0" w:color="auto"/>
        <w:bottom w:val="none" w:sz="0" w:space="0" w:color="auto"/>
        <w:right w:val="none" w:sz="0" w:space="0" w:color="auto"/>
      </w:divBdr>
    </w:div>
    <w:div w:id="1167406105">
      <w:bodyDiv w:val="1"/>
      <w:marLeft w:val="0"/>
      <w:marRight w:val="0"/>
      <w:marTop w:val="0"/>
      <w:marBottom w:val="0"/>
      <w:divBdr>
        <w:top w:val="none" w:sz="0" w:space="0" w:color="auto"/>
        <w:left w:val="none" w:sz="0" w:space="0" w:color="auto"/>
        <w:bottom w:val="none" w:sz="0" w:space="0" w:color="auto"/>
        <w:right w:val="none" w:sz="0" w:space="0" w:color="auto"/>
      </w:divBdr>
    </w:div>
    <w:div w:id="1167944959">
      <w:bodyDiv w:val="1"/>
      <w:marLeft w:val="0"/>
      <w:marRight w:val="0"/>
      <w:marTop w:val="0"/>
      <w:marBottom w:val="0"/>
      <w:divBdr>
        <w:top w:val="none" w:sz="0" w:space="0" w:color="auto"/>
        <w:left w:val="none" w:sz="0" w:space="0" w:color="auto"/>
        <w:bottom w:val="none" w:sz="0" w:space="0" w:color="auto"/>
        <w:right w:val="none" w:sz="0" w:space="0" w:color="auto"/>
      </w:divBdr>
    </w:div>
    <w:div w:id="1180585511">
      <w:bodyDiv w:val="1"/>
      <w:marLeft w:val="0"/>
      <w:marRight w:val="0"/>
      <w:marTop w:val="0"/>
      <w:marBottom w:val="0"/>
      <w:divBdr>
        <w:top w:val="none" w:sz="0" w:space="0" w:color="auto"/>
        <w:left w:val="none" w:sz="0" w:space="0" w:color="auto"/>
        <w:bottom w:val="none" w:sz="0" w:space="0" w:color="auto"/>
        <w:right w:val="none" w:sz="0" w:space="0" w:color="auto"/>
      </w:divBdr>
    </w:div>
    <w:div w:id="1348168351">
      <w:bodyDiv w:val="1"/>
      <w:marLeft w:val="0"/>
      <w:marRight w:val="0"/>
      <w:marTop w:val="0"/>
      <w:marBottom w:val="0"/>
      <w:divBdr>
        <w:top w:val="none" w:sz="0" w:space="0" w:color="auto"/>
        <w:left w:val="none" w:sz="0" w:space="0" w:color="auto"/>
        <w:bottom w:val="none" w:sz="0" w:space="0" w:color="auto"/>
        <w:right w:val="none" w:sz="0" w:space="0" w:color="auto"/>
      </w:divBdr>
    </w:div>
    <w:div w:id="1556042907">
      <w:bodyDiv w:val="1"/>
      <w:marLeft w:val="0"/>
      <w:marRight w:val="0"/>
      <w:marTop w:val="0"/>
      <w:marBottom w:val="0"/>
      <w:divBdr>
        <w:top w:val="none" w:sz="0" w:space="0" w:color="auto"/>
        <w:left w:val="none" w:sz="0" w:space="0" w:color="auto"/>
        <w:bottom w:val="none" w:sz="0" w:space="0" w:color="auto"/>
        <w:right w:val="none" w:sz="0" w:space="0" w:color="auto"/>
      </w:divBdr>
      <w:divsChild>
        <w:div w:id="807825216">
          <w:marLeft w:val="0"/>
          <w:marRight w:val="0"/>
          <w:marTop w:val="0"/>
          <w:marBottom w:val="0"/>
          <w:divBdr>
            <w:top w:val="none" w:sz="0" w:space="0" w:color="auto"/>
            <w:left w:val="none" w:sz="0" w:space="0" w:color="auto"/>
            <w:bottom w:val="none" w:sz="0" w:space="0" w:color="auto"/>
            <w:right w:val="none" w:sz="0" w:space="0" w:color="auto"/>
          </w:divBdr>
        </w:div>
        <w:div w:id="340477789">
          <w:marLeft w:val="0"/>
          <w:marRight w:val="0"/>
          <w:marTop w:val="0"/>
          <w:marBottom w:val="0"/>
          <w:divBdr>
            <w:top w:val="none" w:sz="0" w:space="0" w:color="auto"/>
            <w:left w:val="none" w:sz="0" w:space="0" w:color="auto"/>
            <w:bottom w:val="none" w:sz="0" w:space="0" w:color="auto"/>
            <w:right w:val="none" w:sz="0" w:space="0" w:color="auto"/>
          </w:divBdr>
        </w:div>
      </w:divsChild>
    </w:div>
    <w:div w:id="1665357152">
      <w:bodyDiv w:val="1"/>
      <w:marLeft w:val="0"/>
      <w:marRight w:val="0"/>
      <w:marTop w:val="0"/>
      <w:marBottom w:val="0"/>
      <w:divBdr>
        <w:top w:val="none" w:sz="0" w:space="0" w:color="auto"/>
        <w:left w:val="none" w:sz="0" w:space="0" w:color="auto"/>
        <w:bottom w:val="none" w:sz="0" w:space="0" w:color="auto"/>
        <w:right w:val="none" w:sz="0" w:space="0" w:color="auto"/>
      </w:divBdr>
      <w:divsChild>
        <w:div w:id="781729492">
          <w:marLeft w:val="0"/>
          <w:marRight w:val="0"/>
          <w:marTop w:val="0"/>
          <w:marBottom w:val="0"/>
          <w:divBdr>
            <w:top w:val="none" w:sz="0" w:space="0" w:color="auto"/>
            <w:left w:val="none" w:sz="0" w:space="0" w:color="auto"/>
            <w:bottom w:val="none" w:sz="0" w:space="0" w:color="auto"/>
            <w:right w:val="none" w:sz="0" w:space="0" w:color="auto"/>
          </w:divBdr>
        </w:div>
        <w:div w:id="1951473105">
          <w:marLeft w:val="0"/>
          <w:marRight w:val="0"/>
          <w:marTop w:val="0"/>
          <w:marBottom w:val="0"/>
          <w:divBdr>
            <w:top w:val="none" w:sz="0" w:space="0" w:color="auto"/>
            <w:left w:val="none" w:sz="0" w:space="0" w:color="auto"/>
            <w:bottom w:val="none" w:sz="0" w:space="0" w:color="auto"/>
            <w:right w:val="none" w:sz="0" w:space="0" w:color="auto"/>
          </w:divBdr>
        </w:div>
      </w:divsChild>
    </w:div>
    <w:div w:id="1771505079">
      <w:bodyDiv w:val="1"/>
      <w:marLeft w:val="0"/>
      <w:marRight w:val="0"/>
      <w:marTop w:val="0"/>
      <w:marBottom w:val="0"/>
      <w:divBdr>
        <w:top w:val="none" w:sz="0" w:space="0" w:color="auto"/>
        <w:left w:val="none" w:sz="0" w:space="0" w:color="auto"/>
        <w:bottom w:val="none" w:sz="0" w:space="0" w:color="auto"/>
        <w:right w:val="none" w:sz="0" w:space="0" w:color="auto"/>
      </w:divBdr>
    </w:div>
    <w:div w:id="1817840906">
      <w:bodyDiv w:val="1"/>
      <w:marLeft w:val="0"/>
      <w:marRight w:val="0"/>
      <w:marTop w:val="0"/>
      <w:marBottom w:val="0"/>
      <w:divBdr>
        <w:top w:val="none" w:sz="0" w:space="0" w:color="auto"/>
        <w:left w:val="none" w:sz="0" w:space="0" w:color="auto"/>
        <w:bottom w:val="none" w:sz="0" w:space="0" w:color="auto"/>
        <w:right w:val="none" w:sz="0" w:space="0" w:color="auto"/>
      </w:divBdr>
    </w:div>
    <w:div w:id="1858351146">
      <w:bodyDiv w:val="1"/>
      <w:marLeft w:val="0"/>
      <w:marRight w:val="0"/>
      <w:marTop w:val="0"/>
      <w:marBottom w:val="0"/>
      <w:divBdr>
        <w:top w:val="none" w:sz="0" w:space="0" w:color="auto"/>
        <w:left w:val="none" w:sz="0" w:space="0" w:color="auto"/>
        <w:bottom w:val="none" w:sz="0" w:space="0" w:color="auto"/>
        <w:right w:val="none" w:sz="0" w:space="0" w:color="auto"/>
      </w:divBdr>
    </w:div>
    <w:div w:id="1966543191">
      <w:bodyDiv w:val="1"/>
      <w:marLeft w:val="0"/>
      <w:marRight w:val="0"/>
      <w:marTop w:val="0"/>
      <w:marBottom w:val="0"/>
      <w:divBdr>
        <w:top w:val="none" w:sz="0" w:space="0" w:color="auto"/>
        <w:left w:val="none" w:sz="0" w:space="0" w:color="auto"/>
        <w:bottom w:val="none" w:sz="0" w:space="0" w:color="auto"/>
        <w:right w:val="none" w:sz="0" w:space="0" w:color="auto"/>
      </w:divBdr>
    </w:div>
    <w:div w:id="19866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2/SaeimaLIVS12.nsf/webSasaiste?OpenView&amp;restricttocategory=16/Lp1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itania.saeima.lv/LIVS12/SaeimaLIVS12.nsf/webSasaiste?OpenView&amp;restricttocategory=16/Lp1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m.gov.lv/lv/sabiedribas-lidzdaliba/diskusiju-dokumenti/tiesibu-akti"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12</Pages>
  <Words>17763</Words>
  <Characters>10125</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"Kārtība, kādā no valsts budžeta līdzekļiem sedz sprieduma izpildes izdevumus izpildu lietā par cietušajam nodarītā kaitējuma kompensācijas piedziņu un noziedzīgi iegūtas mantas konfiskāciju" sākotnējās ietekmes novērt</vt:lpstr>
      <vt:lpstr>Ministru kabineta noteikumu projekta "Kārtība, kādā no valsts budžeta līdzekļiem sedz sprieduma izpildes izdevumus izpildu lietā par cietušajam nodarītā kaitējuma kompensācijas piedziņu un noziedzīgi iegūtas mantas konfiskāciju" sākotnējās ietekmes novērt</vt:lpstr>
    </vt:vector>
  </TitlesOfParts>
  <Manager/>
  <Company/>
  <LinksUpToDate>false</LinksUpToDate>
  <CharactersWithSpaces>27833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"Administratīvā pārkāpuma procesā radušos procesuālo izdevumu segšanas noteikumi" projekta sākotnējās ietekmes novērtējuma ziņojums (anotācija)</dc:title>
  <dc:subject/>
  <dc:creator>Sandis Vilcāns</dc:creator>
  <cp:keywords/>
  <dc:description>67036901, sandis.vilcans@tm.gov.lv</dc:description>
  <cp:lastModifiedBy>Sandis Vilcāns</cp:lastModifiedBy>
  <cp:revision>307</cp:revision>
  <cp:lastPrinted>2018-12-12T12:42:00Z</cp:lastPrinted>
  <dcterms:created xsi:type="dcterms:W3CDTF">2019-02-12T19:13:00Z</dcterms:created>
  <dcterms:modified xsi:type="dcterms:W3CDTF">2019-02-19T09:33:00Z</dcterms:modified>
  <cp:category/>
</cp:coreProperties>
</file>