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1F" w:rsidRPr="00BA2928" w:rsidRDefault="008A701F" w:rsidP="008A701F">
      <w:pPr>
        <w:pStyle w:val="Paraststmeklis"/>
        <w:spacing w:before="0" w:beforeAutospacing="0" w:after="0" w:afterAutospacing="0"/>
        <w:jc w:val="center"/>
        <w:rPr>
          <w:rFonts w:ascii="Times New Roman" w:hAnsi="Times New Roman"/>
          <w:b/>
          <w:bCs/>
          <w:sz w:val="24"/>
          <w:szCs w:val="24"/>
          <w:lang w:val="lv-LV" w:eastAsia="lv-LV"/>
        </w:rPr>
      </w:pPr>
      <w:r w:rsidRPr="00BA2928">
        <w:rPr>
          <w:rFonts w:ascii="Times New Roman" w:hAnsi="Times New Roman"/>
          <w:b/>
          <w:sz w:val="24"/>
          <w:szCs w:val="24"/>
          <w:lang w:val="lv-LV"/>
        </w:rPr>
        <w:t xml:space="preserve">Likumprojekta „Grozījumi </w:t>
      </w:r>
      <w:r>
        <w:rPr>
          <w:rFonts w:ascii="Times New Roman" w:hAnsi="Times New Roman"/>
          <w:b/>
          <w:sz w:val="24"/>
          <w:szCs w:val="24"/>
          <w:lang w:val="lv-LV"/>
        </w:rPr>
        <w:t>Apcietinājuma turēšanas kārtības likumā</w:t>
      </w:r>
      <w:r w:rsidRPr="00BA2928">
        <w:rPr>
          <w:rFonts w:ascii="Times New Roman" w:hAnsi="Times New Roman"/>
          <w:b/>
          <w:sz w:val="24"/>
          <w:szCs w:val="24"/>
          <w:lang w:val="lv-LV"/>
        </w:rPr>
        <w:t xml:space="preserve">” </w:t>
      </w:r>
      <w:r w:rsidRPr="00BA2928">
        <w:rPr>
          <w:rFonts w:ascii="Times New Roman" w:hAnsi="Times New Roman"/>
          <w:b/>
          <w:bCs/>
          <w:sz w:val="24"/>
          <w:szCs w:val="24"/>
          <w:lang w:val="lv-LV" w:eastAsia="lv-LV"/>
        </w:rPr>
        <w:t xml:space="preserve">sākotnējās ietekmes novērtējuma </w:t>
      </w:r>
      <w:smartTag w:uri="schemas-tilde-lv/tildestengine" w:element="veidnes">
        <w:smartTagPr>
          <w:attr w:name="text" w:val="ziņojums"/>
          <w:attr w:name="baseform" w:val="ziņojums"/>
          <w:attr w:name="id" w:val="-1"/>
        </w:smartTagPr>
        <w:r w:rsidRPr="00BA2928">
          <w:rPr>
            <w:rFonts w:ascii="Times New Roman" w:hAnsi="Times New Roman"/>
            <w:b/>
            <w:bCs/>
            <w:sz w:val="24"/>
            <w:szCs w:val="24"/>
            <w:lang w:val="lv-LV" w:eastAsia="lv-LV"/>
          </w:rPr>
          <w:t>ziņojums</w:t>
        </w:r>
      </w:smartTag>
      <w:r w:rsidRPr="00BA2928">
        <w:rPr>
          <w:rFonts w:ascii="Times New Roman" w:hAnsi="Times New Roman"/>
          <w:b/>
          <w:bCs/>
          <w:sz w:val="24"/>
          <w:szCs w:val="24"/>
          <w:lang w:val="lv-LV" w:eastAsia="lv-LV"/>
        </w:rPr>
        <w:t xml:space="preserve"> (anotācija)</w:t>
      </w:r>
    </w:p>
    <w:p w:rsidR="008A701F" w:rsidRPr="00BA2928" w:rsidRDefault="008A701F" w:rsidP="008A701F">
      <w:pPr>
        <w:pStyle w:val="Paraststmeklis"/>
        <w:spacing w:before="0" w:beforeAutospacing="0" w:after="0" w:afterAutospacing="0"/>
        <w:jc w:val="center"/>
        <w:rPr>
          <w:rFonts w:ascii="Times New Roman" w:hAnsi="Times New Roman"/>
          <w:b/>
          <w:bCs/>
          <w:sz w:val="24"/>
          <w:szCs w:val="24"/>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A701F" w:rsidRPr="00FA3933" w:rsidTr="00FD1DE4">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t>I. Tiesību akta projekta izstrādes nepieciešamība</w:t>
            </w:r>
          </w:p>
        </w:tc>
      </w:tr>
      <w:tr w:rsidR="008A701F" w:rsidRPr="00FA3933" w:rsidTr="00FD1DE4">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459"/>
              <w:jc w:val="both"/>
              <w:rPr>
                <w:rFonts w:ascii="Times New Roman" w:hAnsi="Times New Roman"/>
                <w:b/>
                <w:sz w:val="24"/>
                <w:szCs w:val="24"/>
              </w:rPr>
            </w:pPr>
            <w:r w:rsidRPr="00FA3933">
              <w:rPr>
                <w:rFonts w:ascii="Times New Roman" w:hAnsi="Times New Roman"/>
                <w:sz w:val="24"/>
                <w:szCs w:val="24"/>
              </w:rPr>
              <w:t>201</w:t>
            </w:r>
            <w:r>
              <w:rPr>
                <w:rFonts w:ascii="Times New Roman" w:hAnsi="Times New Roman"/>
                <w:sz w:val="24"/>
                <w:szCs w:val="24"/>
              </w:rPr>
              <w:t>3</w:t>
            </w:r>
            <w:r w:rsidRPr="00FA3933">
              <w:rPr>
                <w:rFonts w:ascii="Times New Roman" w:hAnsi="Times New Roman"/>
                <w:sz w:val="24"/>
                <w:szCs w:val="24"/>
              </w:rPr>
              <w:t xml:space="preserve">.gada </w:t>
            </w:r>
            <w:r>
              <w:rPr>
                <w:rFonts w:ascii="Times New Roman" w:hAnsi="Times New Roman"/>
                <w:sz w:val="24"/>
                <w:szCs w:val="24"/>
              </w:rPr>
              <w:t>22</w:t>
            </w:r>
            <w:r w:rsidRPr="00FA3933">
              <w:rPr>
                <w:rFonts w:ascii="Times New Roman" w:hAnsi="Times New Roman"/>
                <w:sz w:val="24"/>
                <w:szCs w:val="24"/>
              </w:rPr>
              <w:t>.d</w:t>
            </w:r>
            <w:r>
              <w:rPr>
                <w:rFonts w:ascii="Times New Roman" w:hAnsi="Times New Roman"/>
                <w:sz w:val="24"/>
                <w:szCs w:val="24"/>
              </w:rPr>
              <w:t>oktobrī</w:t>
            </w:r>
            <w:r w:rsidRPr="00FA3933">
              <w:rPr>
                <w:rFonts w:ascii="Times New Roman" w:hAnsi="Times New Roman"/>
                <w:sz w:val="24"/>
                <w:szCs w:val="24"/>
              </w:rPr>
              <w:t xml:space="preserve"> pieņemta Eiropas Parlamenta un Padomes direktīva 201</w:t>
            </w:r>
            <w:r>
              <w:rPr>
                <w:rFonts w:ascii="Times New Roman" w:hAnsi="Times New Roman"/>
                <w:sz w:val="24"/>
                <w:szCs w:val="24"/>
              </w:rPr>
              <w:t>3</w:t>
            </w:r>
            <w:r w:rsidRPr="00FA3933">
              <w:rPr>
                <w:rFonts w:ascii="Times New Roman" w:hAnsi="Times New Roman"/>
                <w:sz w:val="24"/>
                <w:szCs w:val="24"/>
              </w:rPr>
              <w:t>/</w:t>
            </w:r>
            <w:r>
              <w:rPr>
                <w:rFonts w:ascii="Times New Roman" w:hAnsi="Times New Roman"/>
                <w:sz w:val="24"/>
                <w:szCs w:val="24"/>
              </w:rPr>
              <w:t>48</w:t>
            </w:r>
            <w:r w:rsidRPr="00FA3933">
              <w:rPr>
                <w:rFonts w:ascii="Times New Roman" w:hAnsi="Times New Roman"/>
                <w:sz w:val="24"/>
                <w:szCs w:val="24"/>
              </w:rPr>
              <w:t xml:space="preserve">/ES </w:t>
            </w:r>
            <w:r>
              <w:rPr>
                <w:rFonts w:ascii="Times New Roman" w:hAnsi="Times New Roman"/>
                <w:sz w:val="24"/>
                <w:szCs w:val="24"/>
              </w:rPr>
              <w:t xml:space="preserve">par tiesībām uz advokāta palīdzību kriminālprocesā un Eiropas apcietināšanas ordera procesā, par tiesībām uz to, ka pēc brīvības atņemšanas informē trešo personu, un par tiesībām, kamēr atņemta brīvība, sazināties ar </w:t>
            </w:r>
            <w:proofErr w:type="spellStart"/>
            <w:r>
              <w:rPr>
                <w:rFonts w:ascii="Times New Roman" w:hAnsi="Times New Roman"/>
                <w:sz w:val="24"/>
                <w:szCs w:val="24"/>
              </w:rPr>
              <w:t>trešām</w:t>
            </w:r>
            <w:proofErr w:type="spellEnd"/>
            <w:r>
              <w:rPr>
                <w:rFonts w:ascii="Times New Roman" w:hAnsi="Times New Roman"/>
                <w:sz w:val="24"/>
                <w:szCs w:val="24"/>
              </w:rPr>
              <w:t xml:space="preserve"> personām un konsulārajām iestādēm</w:t>
            </w:r>
            <w:r w:rsidRPr="00FA3933">
              <w:rPr>
                <w:rFonts w:ascii="Times New Roman" w:hAnsi="Times New Roman"/>
                <w:sz w:val="24"/>
                <w:szCs w:val="24"/>
              </w:rPr>
              <w:t xml:space="preserve"> (turpmāk – direktīva)</w:t>
            </w:r>
            <w:r>
              <w:rPr>
                <w:rFonts w:ascii="Times New Roman" w:hAnsi="Times New Roman"/>
                <w:sz w:val="24"/>
                <w:szCs w:val="24"/>
              </w:rPr>
              <w:t>.</w:t>
            </w:r>
          </w:p>
          <w:p w:rsidR="008A701F" w:rsidRPr="00FA3933" w:rsidRDefault="008A701F" w:rsidP="00FD1DE4">
            <w:pPr>
              <w:spacing w:after="0" w:line="240" w:lineRule="auto"/>
              <w:ind w:firstLine="541"/>
              <w:jc w:val="both"/>
              <w:rPr>
                <w:rFonts w:ascii="Times New Roman" w:eastAsia="Times New Roman" w:hAnsi="Times New Roman" w:cs="Times New Roman"/>
                <w:sz w:val="24"/>
                <w:szCs w:val="24"/>
                <w:lang w:eastAsia="lv-LV"/>
              </w:rPr>
            </w:pPr>
            <w:r w:rsidRPr="00FA3933">
              <w:rPr>
                <w:rFonts w:ascii="Times New Roman" w:hAnsi="Times New Roman"/>
                <w:sz w:val="24"/>
                <w:szCs w:val="24"/>
              </w:rPr>
              <w:t xml:space="preserve">Saskaņā ar direktīvas </w:t>
            </w:r>
            <w:r>
              <w:rPr>
                <w:rFonts w:ascii="Times New Roman" w:hAnsi="Times New Roman"/>
                <w:sz w:val="24"/>
                <w:szCs w:val="24"/>
              </w:rPr>
              <w:t>15</w:t>
            </w:r>
            <w:r w:rsidRPr="00FA3933">
              <w:rPr>
                <w:rFonts w:ascii="Times New Roman" w:hAnsi="Times New Roman"/>
                <w:sz w:val="24"/>
                <w:szCs w:val="24"/>
              </w:rPr>
              <w:t xml:space="preserve">.pantu tās </w:t>
            </w:r>
            <w:r w:rsidRPr="00FA3933">
              <w:rPr>
                <w:rFonts w:ascii="Times New Roman" w:hAnsi="Times New Roman"/>
                <w:b/>
                <w:sz w:val="24"/>
                <w:szCs w:val="24"/>
              </w:rPr>
              <w:t>pārņemšanas termiņš</w:t>
            </w:r>
            <w:r w:rsidRPr="00FA3933">
              <w:rPr>
                <w:rFonts w:ascii="Times New Roman" w:hAnsi="Times New Roman"/>
                <w:sz w:val="24"/>
                <w:szCs w:val="24"/>
              </w:rPr>
              <w:t xml:space="preserve"> ir </w:t>
            </w:r>
            <w:r w:rsidRPr="00FA3933">
              <w:rPr>
                <w:rFonts w:ascii="Times New Roman" w:hAnsi="Times New Roman"/>
                <w:b/>
                <w:sz w:val="24"/>
                <w:szCs w:val="24"/>
              </w:rPr>
              <w:t>201</w:t>
            </w:r>
            <w:r>
              <w:rPr>
                <w:rFonts w:ascii="Times New Roman" w:hAnsi="Times New Roman"/>
                <w:b/>
                <w:sz w:val="24"/>
                <w:szCs w:val="24"/>
              </w:rPr>
              <w:t>6</w:t>
            </w:r>
            <w:r w:rsidRPr="00FA3933">
              <w:rPr>
                <w:rFonts w:ascii="Times New Roman" w:hAnsi="Times New Roman"/>
                <w:b/>
                <w:sz w:val="24"/>
                <w:szCs w:val="24"/>
              </w:rPr>
              <w:t xml:space="preserve">.gada </w:t>
            </w:r>
            <w:r>
              <w:rPr>
                <w:rFonts w:ascii="Times New Roman" w:hAnsi="Times New Roman"/>
                <w:b/>
                <w:sz w:val="24"/>
                <w:szCs w:val="24"/>
              </w:rPr>
              <w:t>27.novembris</w:t>
            </w:r>
            <w:r w:rsidRPr="00FA3933">
              <w:rPr>
                <w:rFonts w:ascii="Times New Roman" w:hAnsi="Times New Roman"/>
                <w:b/>
                <w:sz w:val="24"/>
                <w:szCs w:val="24"/>
              </w:rPr>
              <w:t>.</w:t>
            </w:r>
          </w:p>
        </w:tc>
      </w:tr>
      <w:tr w:rsidR="008A701F" w:rsidRPr="00FA3933" w:rsidTr="00FD1DE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Default="008A701F" w:rsidP="00FD1DE4">
            <w:pPr>
              <w:pStyle w:val="Default"/>
              <w:ind w:firstLine="459"/>
              <w:jc w:val="both"/>
              <w:rPr>
                <w:rFonts w:ascii="Times New Roman" w:hAnsi="Times New Roman" w:cs="Times New Roman"/>
              </w:rPr>
            </w:pPr>
            <w:r>
              <w:rPr>
                <w:rFonts w:ascii="Times New Roman" w:hAnsi="Times New Roman" w:cs="Times New Roman"/>
              </w:rPr>
              <w:t>Direktīvas apsvērumu 4.punktā ir noteikts, ka priekšnoteikums krimināllietās pieņemtu lēmumu savstarpējās atzīšanas principa īstenošanai ir dalībvalstu savstarpēja uzticēšanās citu dalībvalstu krimināltiesību sistēmām. Savstarpējās atzīšanas apmērs ir ļoti atkarīgs no vairākiem parametriem, kas ietver mehānismus aizdomās turēto vai apsūdzēto tiesību aizsardzībai un kopējus minimālos standartus, kas vajadzīgi, lai atvieglotu savstarpējās atzīšanas principa piemērošanu.</w:t>
            </w:r>
          </w:p>
          <w:p w:rsidR="008A701F" w:rsidRDefault="008A701F" w:rsidP="00FD1DE4">
            <w:pPr>
              <w:pStyle w:val="Default"/>
              <w:ind w:firstLine="459"/>
              <w:jc w:val="both"/>
              <w:rPr>
                <w:rFonts w:ascii="Times New Roman" w:hAnsi="Times New Roman" w:cs="Times New Roman"/>
              </w:rPr>
            </w:pPr>
            <w:r w:rsidRPr="00C451E5">
              <w:rPr>
                <w:rFonts w:ascii="Times New Roman" w:hAnsi="Times New Roman" w:cs="Times New Roman"/>
              </w:rPr>
              <w:t>Šajā direktīvā ir noteikti minimālie noteikumi par tiesībām uz advokāta palīdzību kriminālprocesā un Eiropas apcietināšanas ordera izpildes procesā saskaņā ar Padomes</w:t>
            </w:r>
            <w:r>
              <w:rPr>
                <w:rFonts w:ascii="Times New Roman" w:hAnsi="Times New Roman" w:cs="Times New Roman"/>
              </w:rPr>
              <w:t xml:space="preserve"> Pamatlēmumu 2002/584/TI (2002.gada 13.</w:t>
            </w:r>
            <w:r w:rsidRPr="00C451E5">
              <w:rPr>
                <w:rFonts w:ascii="Times New Roman" w:hAnsi="Times New Roman" w:cs="Times New Roman"/>
              </w:rPr>
              <w:t>jūnijs) par Eiropas apcietināšanas orderi un par nodošanas procedūrām starp dalībvalstīm, tiesībām uz to, ka pēc brīvības atņemšanas informē trešo personu, un tiesībām, kamēr atņemta brīvība, sazināties ar treš</w:t>
            </w:r>
            <w:r>
              <w:rPr>
                <w:rFonts w:ascii="Times New Roman" w:hAnsi="Times New Roman" w:cs="Times New Roman"/>
              </w:rPr>
              <w:t>ajām</w:t>
            </w:r>
            <w:r w:rsidRPr="00C451E5">
              <w:rPr>
                <w:rFonts w:ascii="Times New Roman" w:hAnsi="Times New Roman" w:cs="Times New Roman"/>
              </w:rPr>
              <w:t xml:space="preserve"> personām un konsulārajām iestādēm. Tādējādi ar to veicina </w:t>
            </w:r>
            <w:r>
              <w:rPr>
                <w:rFonts w:ascii="Times New Roman" w:hAnsi="Times New Roman" w:cs="Times New Roman"/>
              </w:rPr>
              <w:t xml:space="preserve">Eiropas Savienības Pamattiesību </w:t>
            </w:r>
            <w:r w:rsidRPr="00C451E5">
              <w:rPr>
                <w:rFonts w:ascii="Times New Roman" w:hAnsi="Times New Roman" w:cs="Times New Roman"/>
              </w:rPr>
              <w:t>hartas, jo īpaši tās 4., 6., 7., 47. un 48. panta, piemērošanu, balstoties uz E</w:t>
            </w:r>
            <w:r>
              <w:rPr>
                <w:rFonts w:ascii="Times New Roman" w:hAnsi="Times New Roman" w:cs="Times New Roman"/>
              </w:rPr>
              <w:t>iropas Cilvēktiesību un pamatbrīvību aizsardzības konvencijas</w:t>
            </w:r>
            <w:r w:rsidRPr="00C451E5">
              <w:rPr>
                <w:rFonts w:ascii="Times New Roman" w:hAnsi="Times New Roman" w:cs="Times New Roman"/>
              </w:rPr>
              <w:t xml:space="preserve"> 3., 5., 6. un 8. pantu, kā tos ir interpretējusi Eiropas Cilvēktiesību tiesa, kura savā judikatūrā nepārtraukti nosaka standartus tiesībām uz advokāta palīdzību. Šī judikatūra </w:t>
            </w:r>
            <w:proofErr w:type="spellStart"/>
            <w:r w:rsidRPr="00B453DF">
              <w:rPr>
                <w:rFonts w:ascii="Times New Roman" w:hAnsi="Times New Roman" w:cs="Times New Roman"/>
                <w:i/>
              </w:rPr>
              <w:t>inter</w:t>
            </w:r>
            <w:proofErr w:type="spellEnd"/>
            <w:r w:rsidRPr="00B453DF">
              <w:rPr>
                <w:rFonts w:ascii="Times New Roman" w:hAnsi="Times New Roman" w:cs="Times New Roman"/>
                <w:i/>
              </w:rPr>
              <w:t xml:space="preserve"> </w:t>
            </w:r>
            <w:proofErr w:type="spellStart"/>
            <w:r w:rsidRPr="00B453DF">
              <w:rPr>
                <w:rFonts w:ascii="Times New Roman" w:hAnsi="Times New Roman" w:cs="Times New Roman"/>
                <w:i/>
              </w:rPr>
              <w:t>alia</w:t>
            </w:r>
            <w:proofErr w:type="spellEnd"/>
            <w:r w:rsidRPr="00C451E5">
              <w:rPr>
                <w:rFonts w:ascii="Times New Roman" w:hAnsi="Times New Roman" w:cs="Times New Roman"/>
              </w:rPr>
              <w:t xml:space="preserve"> paredz, ka taisnīgam procesam ir nepieciešams, lai aizdomās turētais vai apsūdzētais varētu saņemt visu pakalpojumu klāstu, kas ir konkrēti saistīti ar juridisko palīdzību. Šajā ziņā aizdomās turēto vai apsūdzēto advokātiem būtu jāspēj bez ierobežojumiem nodrošināt aizstāvības pamataspektus.</w:t>
            </w:r>
          </w:p>
          <w:p w:rsidR="008A701F" w:rsidRDefault="008A701F" w:rsidP="00FD1DE4">
            <w:pPr>
              <w:pStyle w:val="Default"/>
              <w:ind w:firstLine="459"/>
              <w:jc w:val="both"/>
              <w:rPr>
                <w:rFonts w:ascii="Times New Roman" w:hAnsi="Times New Roman" w:cs="Times New Roman"/>
              </w:rPr>
            </w:pPr>
            <w:r>
              <w:rPr>
                <w:rFonts w:ascii="Times New Roman" w:hAnsi="Times New Roman" w:cs="Times New Roman"/>
              </w:rPr>
              <w:t xml:space="preserve">Lai gan Kriminālprocesa likums (turpmāk KPL) kopumā paredz plašu aizstāvības tiesību noregulējumu, tomēr atsevišķas direktīvas normas paredz plašāku šo tiesību izmantošanas iespēju, līdz ar to ir nepieciešami atsevišķi grozījumi KPL. </w:t>
            </w:r>
            <w:r w:rsidR="005414E9">
              <w:rPr>
                <w:rFonts w:ascii="Times New Roman" w:hAnsi="Times New Roman" w:cs="Times New Roman"/>
              </w:rPr>
              <w:t xml:space="preserve">Arī </w:t>
            </w:r>
            <w:r>
              <w:rPr>
                <w:rFonts w:ascii="Times New Roman" w:hAnsi="Times New Roman" w:cs="Times New Roman"/>
              </w:rPr>
              <w:t xml:space="preserve">Apcietinājuma turēšanas kārtības likums (turpmāk - ATKL) regulē atsevišķas </w:t>
            </w:r>
            <w:r>
              <w:rPr>
                <w:rFonts w:ascii="Times New Roman" w:hAnsi="Times New Roman" w:cs="Times New Roman"/>
              </w:rPr>
              <w:lastRenderedPageBreak/>
              <w:t>normas, kas saistītas ar tiesīb</w:t>
            </w:r>
            <w:r w:rsidR="005414E9">
              <w:rPr>
                <w:rFonts w:ascii="Times New Roman" w:hAnsi="Times New Roman" w:cs="Times New Roman"/>
              </w:rPr>
              <w:t>u</w:t>
            </w:r>
            <w:r>
              <w:rPr>
                <w:rFonts w:ascii="Times New Roman" w:hAnsi="Times New Roman" w:cs="Times New Roman"/>
              </w:rPr>
              <w:t xml:space="preserve"> uz aizstāvību realizāciju. Tomēr, lai nodrošinātu pilnīgu Latvijas tiesību normu atbilstību direktīvai ir nepieciešams ATKL papildināt ar grozījumu.</w:t>
            </w:r>
          </w:p>
          <w:p w:rsidR="008A701F" w:rsidRDefault="008A701F" w:rsidP="008A701F">
            <w:pPr>
              <w:pStyle w:val="Default"/>
              <w:ind w:firstLine="459"/>
              <w:jc w:val="both"/>
              <w:rPr>
                <w:rFonts w:ascii="Times New Roman" w:hAnsi="Times New Roman"/>
              </w:rPr>
            </w:pPr>
            <w:r w:rsidRPr="00A72706">
              <w:rPr>
                <w:rFonts w:ascii="Times New Roman" w:hAnsi="Times New Roman"/>
              </w:rPr>
              <w:t xml:space="preserve">Likumprojekta „Grozījumi </w:t>
            </w:r>
            <w:r>
              <w:rPr>
                <w:rFonts w:ascii="Times New Roman" w:hAnsi="Times New Roman"/>
              </w:rPr>
              <w:t>Apcietinājuma turēšanas kārtības likumā</w:t>
            </w:r>
            <w:r w:rsidRPr="00A72706">
              <w:rPr>
                <w:rFonts w:ascii="Times New Roman" w:hAnsi="Times New Roman"/>
              </w:rPr>
              <w:t>”</w:t>
            </w:r>
            <w:r>
              <w:rPr>
                <w:rFonts w:ascii="Times New Roman" w:hAnsi="Times New Roman"/>
              </w:rPr>
              <w:t xml:space="preserve"> (turpmāk – likumprojekts) 1.pants paredz ATKL 13.panta pirmās daļas 7.punktu izteikt jaunā redakcijā, tādējādi paredzot, ka apcietinātajam ārzemniekam ir tiesības bez ierobežojuma un konfidenciāli tikties ne tikai ar aizstāvi, bet arī tā diplomātiskās vai konsulārās pārstāvniecības pārstāvi.</w:t>
            </w:r>
            <w:r w:rsidR="005414E9">
              <w:rPr>
                <w:rFonts w:ascii="Times New Roman" w:hAnsi="Times New Roman"/>
              </w:rPr>
              <w:t xml:space="preserve"> Līdz šim tiesības tikties ar ārzemnieka diplomātiskās vai konsulārās pārstāvniecības pārstāvi ATKL nebija noteiktas, tomēr šīs tiesības ir b</w:t>
            </w:r>
            <w:r w:rsidR="00F04285">
              <w:rPr>
                <w:rFonts w:ascii="Times New Roman" w:hAnsi="Times New Roman"/>
              </w:rPr>
              <w:t>ūtiskas, lai pēc iespējas plašāk tiktu nodrošinātas personas tiesības uz aizstāvību (īpaši gadījumā, ja ārzemnieks atrodas apcietinājumā).</w:t>
            </w:r>
          </w:p>
          <w:p w:rsidR="008A701F" w:rsidRPr="008C56F6" w:rsidRDefault="008A701F" w:rsidP="00954C73">
            <w:pPr>
              <w:pStyle w:val="Default"/>
              <w:ind w:firstLine="459"/>
              <w:jc w:val="both"/>
              <w:rPr>
                <w:rFonts w:ascii="Times New Roman" w:hAnsi="Times New Roman"/>
              </w:rPr>
            </w:pPr>
            <w:r>
              <w:rPr>
                <w:rFonts w:ascii="Times New Roman" w:hAnsi="Times New Roman"/>
              </w:rPr>
              <w:t xml:space="preserve">Likumprojekta </w:t>
            </w:r>
            <w:r w:rsidR="00954C73">
              <w:rPr>
                <w:rFonts w:ascii="Times New Roman" w:hAnsi="Times New Roman"/>
              </w:rPr>
              <w:t>2.</w:t>
            </w:r>
            <w:r>
              <w:rPr>
                <w:rFonts w:ascii="Times New Roman" w:hAnsi="Times New Roman"/>
              </w:rPr>
              <w:t>pant</w:t>
            </w:r>
            <w:r w:rsidR="00954C73">
              <w:rPr>
                <w:rFonts w:ascii="Times New Roman" w:hAnsi="Times New Roman"/>
              </w:rPr>
              <w:t>s</w:t>
            </w:r>
            <w:r>
              <w:rPr>
                <w:rFonts w:ascii="Times New Roman" w:hAnsi="Times New Roman"/>
              </w:rPr>
              <w:t xml:space="preserve"> paredz papildināt </w:t>
            </w:r>
            <w:r w:rsidR="00954C73">
              <w:rPr>
                <w:rFonts w:ascii="Times New Roman" w:hAnsi="Times New Roman"/>
              </w:rPr>
              <w:t>ATKL</w:t>
            </w:r>
            <w:r>
              <w:rPr>
                <w:rFonts w:ascii="Times New Roman" w:hAnsi="Times New Roman"/>
              </w:rPr>
              <w:t xml:space="preserve"> </w:t>
            </w:r>
            <w:r w:rsidR="00954C73">
              <w:rPr>
                <w:rFonts w:ascii="Times New Roman" w:hAnsi="Times New Roman"/>
              </w:rPr>
              <w:t xml:space="preserve">ar </w:t>
            </w:r>
            <w:r>
              <w:rPr>
                <w:rFonts w:ascii="Times New Roman" w:hAnsi="Times New Roman"/>
              </w:rPr>
              <w:t>informatīvo atsauci u</w:t>
            </w:r>
            <w:r w:rsidR="00954C73">
              <w:rPr>
                <w:rFonts w:ascii="Times New Roman" w:hAnsi="Times New Roman"/>
              </w:rPr>
              <w:t>z Eiropas Savienības direktīvām.</w:t>
            </w:r>
          </w:p>
        </w:tc>
      </w:tr>
      <w:tr w:rsidR="008A701F" w:rsidRPr="00FA3933" w:rsidTr="00FD1DE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Default="008A701F" w:rsidP="00FD1DE4">
            <w:pPr>
              <w:spacing w:after="0" w:line="240" w:lineRule="auto"/>
              <w:jc w:val="both"/>
              <w:rPr>
                <w:rFonts w:ascii="Times New Roman" w:hAnsi="Times New Roman"/>
                <w:sz w:val="24"/>
                <w:szCs w:val="24"/>
              </w:rPr>
            </w:pPr>
            <w:r>
              <w:rPr>
                <w:rFonts w:ascii="Times New Roman" w:hAnsi="Times New Roman"/>
                <w:sz w:val="24"/>
                <w:szCs w:val="24"/>
              </w:rPr>
              <w:t> </w:t>
            </w:r>
            <w:r w:rsidRPr="00FA3933">
              <w:rPr>
                <w:rFonts w:ascii="Times New Roman" w:hAnsi="Times New Roman"/>
                <w:sz w:val="24"/>
                <w:szCs w:val="24"/>
              </w:rPr>
              <w:t>Ar tieslietu ministra 201</w:t>
            </w:r>
            <w:r>
              <w:rPr>
                <w:rFonts w:ascii="Times New Roman" w:hAnsi="Times New Roman"/>
                <w:sz w:val="24"/>
                <w:szCs w:val="24"/>
              </w:rPr>
              <w:t>4</w:t>
            </w:r>
            <w:r w:rsidRPr="00FA3933">
              <w:rPr>
                <w:rFonts w:ascii="Times New Roman" w:hAnsi="Times New Roman"/>
                <w:sz w:val="24"/>
                <w:szCs w:val="24"/>
              </w:rPr>
              <w:t xml:space="preserve">.gada </w:t>
            </w:r>
            <w:r>
              <w:rPr>
                <w:rFonts w:ascii="Times New Roman" w:hAnsi="Times New Roman"/>
                <w:sz w:val="24"/>
                <w:szCs w:val="24"/>
              </w:rPr>
              <w:t>2.janvāra</w:t>
            </w:r>
            <w:r w:rsidRPr="00FA3933">
              <w:rPr>
                <w:rFonts w:ascii="Times New Roman" w:hAnsi="Times New Roman"/>
                <w:sz w:val="24"/>
                <w:szCs w:val="24"/>
              </w:rPr>
              <w:t xml:space="preserve"> rīkojumu Nr.1-1/6 tika izveidota darba grupa, lai izvērtētu KPL atbilstību direktīvai. Darba grupas sastāvā tika iekļauti Ģenerālprokuratūras, Iekšlietu ministrijas, Valsts policijas, </w:t>
            </w:r>
            <w:r>
              <w:rPr>
                <w:rFonts w:ascii="Times New Roman" w:hAnsi="Times New Roman"/>
                <w:sz w:val="24"/>
                <w:szCs w:val="24"/>
              </w:rPr>
              <w:t>Rīgas rajona tiesas</w:t>
            </w:r>
            <w:r w:rsidRPr="00FA3933">
              <w:rPr>
                <w:rFonts w:ascii="Times New Roman" w:hAnsi="Times New Roman"/>
                <w:sz w:val="24"/>
                <w:szCs w:val="24"/>
              </w:rPr>
              <w:t>,</w:t>
            </w:r>
            <w:r>
              <w:rPr>
                <w:rFonts w:ascii="Times New Roman" w:hAnsi="Times New Roman"/>
                <w:sz w:val="24"/>
                <w:szCs w:val="24"/>
              </w:rPr>
              <w:t xml:space="preserve"> Rīgas apgabaltiesas, Zvērinātu advokātu padomes,</w:t>
            </w:r>
            <w:r w:rsidRPr="00FA3933">
              <w:rPr>
                <w:rFonts w:ascii="Times New Roman" w:hAnsi="Times New Roman"/>
                <w:sz w:val="24"/>
                <w:szCs w:val="24"/>
              </w:rPr>
              <w:t xml:space="preserve"> Tieslietu ministrijas</w:t>
            </w:r>
            <w:r>
              <w:rPr>
                <w:rFonts w:ascii="Times New Roman" w:hAnsi="Times New Roman"/>
                <w:sz w:val="24"/>
                <w:szCs w:val="24"/>
              </w:rPr>
              <w:t xml:space="preserve"> un Juridiskās palīdzības administrācijas</w:t>
            </w:r>
            <w:r w:rsidRPr="00FA3933">
              <w:rPr>
                <w:rFonts w:ascii="Times New Roman" w:hAnsi="Times New Roman"/>
                <w:sz w:val="24"/>
                <w:szCs w:val="24"/>
              </w:rPr>
              <w:t xml:space="preserve"> pārstāvji.</w:t>
            </w:r>
          </w:p>
          <w:p w:rsidR="00F04285" w:rsidRPr="00FA3933" w:rsidRDefault="00F04285" w:rsidP="00F04285">
            <w:pPr>
              <w:jc w:val="both"/>
              <w:rPr>
                <w:rFonts w:ascii="Times New Roman" w:eastAsia="Times New Roman" w:hAnsi="Times New Roman" w:cs="Times New Roman"/>
                <w:sz w:val="24"/>
                <w:szCs w:val="24"/>
                <w:lang w:eastAsia="lv-LV"/>
              </w:rPr>
            </w:pPr>
            <w:r>
              <w:rPr>
                <w:rFonts w:ascii="Times New Roman" w:hAnsi="Times New Roman"/>
                <w:sz w:val="24"/>
                <w:szCs w:val="24"/>
              </w:rPr>
              <w:t xml:space="preserve">Likumprojekts izvērtēts arī </w:t>
            </w:r>
            <w:r w:rsidRPr="00A0205E">
              <w:rPr>
                <w:rFonts w:ascii="Times New Roman" w:eastAsia="Times New Roman" w:hAnsi="Times New Roman" w:cs="Times New Roman"/>
                <w:color w:val="000000"/>
                <w:sz w:val="24"/>
                <w:szCs w:val="24"/>
                <w:lang w:eastAsia="lv-LV"/>
              </w:rPr>
              <w:t>darba grupā Kriminālpro</w:t>
            </w:r>
            <w:r>
              <w:rPr>
                <w:rFonts w:ascii="Times New Roman" w:eastAsia="Times New Roman" w:hAnsi="Times New Roman" w:cs="Times New Roman"/>
                <w:color w:val="000000"/>
                <w:sz w:val="24"/>
                <w:szCs w:val="24"/>
                <w:lang w:eastAsia="lv-LV"/>
              </w:rPr>
              <w:t xml:space="preserve">cesa likuma grozījumu izstrādei, kas izveidot ar tieslietu ministra </w:t>
            </w:r>
            <w:r w:rsidRPr="00A0205E">
              <w:rPr>
                <w:rFonts w:ascii="Times New Roman" w:eastAsia="Times New Roman" w:hAnsi="Times New Roman" w:cs="Times New Roman"/>
                <w:color w:val="000000"/>
                <w:sz w:val="24"/>
                <w:szCs w:val="24"/>
                <w:lang w:eastAsia="lv-LV"/>
              </w:rPr>
              <w:t>2010.gada 7.decembra rīkojum</w:t>
            </w:r>
            <w:r>
              <w:rPr>
                <w:rFonts w:ascii="Times New Roman" w:eastAsia="Times New Roman" w:hAnsi="Times New Roman" w:cs="Times New Roman"/>
                <w:color w:val="000000"/>
                <w:sz w:val="24"/>
                <w:szCs w:val="24"/>
                <w:lang w:eastAsia="lv-LV"/>
              </w:rPr>
              <w:t xml:space="preserve">u </w:t>
            </w:r>
            <w:r w:rsidRPr="00A0205E">
              <w:rPr>
                <w:rFonts w:ascii="Times New Roman" w:eastAsia="Times New Roman" w:hAnsi="Times New Roman" w:cs="Times New Roman"/>
                <w:color w:val="000000"/>
                <w:sz w:val="24"/>
                <w:szCs w:val="24"/>
                <w:lang w:eastAsia="lv-LV"/>
              </w:rPr>
              <w:t>Nr.1-1/438</w:t>
            </w:r>
            <w:r>
              <w:rPr>
                <w:rFonts w:ascii="Times New Roman" w:eastAsia="Times New Roman" w:hAnsi="Times New Roman" w:cs="Times New Roman"/>
                <w:color w:val="000000"/>
                <w:sz w:val="24"/>
                <w:szCs w:val="24"/>
                <w:lang w:eastAsia="lv-LV"/>
              </w:rPr>
              <w:t>.</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rPr>
          <w:trHeight w:val="128"/>
        </w:trPr>
        <w:tc>
          <w:tcPr>
            <w:tcW w:w="5000" w:type="pct"/>
            <w:gridSpan w:val="3"/>
            <w:tcBorders>
              <w:top w:val="outset" w:sz="6" w:space="0" w:color="414142"/>
              <w:left w:val="nil"/>
              <w:bottom w:val="outset" w:sz="6" w:space="0" w:color="414142"/>
              <w:right w:val="nil"/>
            </w:tcBorders>
          </w:tcPr>
          <w:p w:rsidR="008A701F" w:rsidRDefault="008A701F" w:rsidP="00FD1DE4">
            <w:pPr>
              <w:tabs>
                <w:tab w:val="left" w:pos="990"/>
              </w:tabs>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ab/>
            </w:r>
          </w:p>
          <w:p w:rsidR="008A701F" w:rsidRPr="00FA3933" w:rsidRDefault="008A701F" w:rsidP="00FD1DE4">
            <w:pPr>
              <w:tabs>
                <w:tab w:val="left" w:pos="990"/>
              </w:tabs>
              <w:spacing w:after="0" w:line="240" w:lineRule="auto"/>
              <w:jc w:val="both"/>
              <w:rPr>
                <w:rFonts w:ascii="Times New Roman" w:eastAsia="Times New Roman" w:hAnsi="Times New Roman" w:cs="Times New Roman"/>
                <w:sz w:val="24"/>
                <w:szCs w:val="24"/>
                <w:lang w:eastAsia="lv-LV"/>
              </w:rPr>
            </w:pPr>
          </w:p>
        </w:tc>
      </w:tr>
    </w:tbl>
    <w:p w:rsidR="008A701F" w:rsidRPr="00FA3933" w:rsidRDefault="008A701F" w:rsidP="008A701F">
      <w:pPr>
        <w:spacing w:after="0" w:line="240" w:lineRule="auto"/>
        <w:jc w:val="both"/>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A701F" w:rsidRPr="00FA3933" w:rsidTr="00FD1DE4">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A701F" w:rsidRPr="00FA3933" w:rsidTr="00FD1DE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Tiks paplašināts personu loks, kam ir tiesības uz aizstāvību. </w:t>
            </w:r>
          </w:p>
        </w:tc>
      </w:tr>
      <w:tr w:rsidR="008A701F" w:rsidRPr="00FA3933" w:rsidTr="00FD1DE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hAnsi="Times New Roman"/>
                <w:sz w:val="24"/>
                <w:szCs w:val="24"/>
                <w:lang w:eastAsia="lv-LV"/>
              </w:rPr>
              <w:t>Nav.</w:t>
            </w:r>
          </w:p>
        </w:tc>
      </w:tr>
    </w:tbl>
    <w:p w:rsidR="00834A00" w:rsidRDefault="00834A00"/>
    <w:p w:rsidR="00834A00" w:rsidRDefault="00834A00"/>
    <w:p w:rsidR="008A701F" w:rsidRPr="00FA3933" w:rsidRDefault="008A701F" w:rsidP="008A701F">
      <w:pPr>
        <w:spacing w:after="0" w:line="240" w:lineRule="auto"/>
        <w:jc w:val="both"/>
        <w:rPr>
          <w:rFonts w:ascii="Times New Roman" w:eastAsia="Times New Roman" w:hAnsi="Times New Roman" w:cs="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131"/>
      </w:tblGrid>
      <w:tr w:rsidR="008A701F" w:rsidRPr="00FA3933" w:rsidTr="00834A00">
        <w:trPr>
          <w:trHeight w:val="360"/>
        </w:trPr>
        <w:tc>
          <w:tcPr>
            <w:tcW w:w="9131" w:type="dxa"/>
            <w:vAlign w:val="center"/>
            <w:hideMark/>
          </w:tcPr>
          <w:p w:rsidR="008A701F" w:rsidRPr="00954C7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954C73">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8A701F" w:rsidRPr="00FA3933" w:rsidTr="00834A00">
        <w:tblPrEx>
          <w:tblLook w:val="0000" w:firstRow="0" w:lastRow="0" w:firstColumn="0" w:lastColumn="0" w:noHBand="0" w:noVBand="0"/>
        </w:tblPrEx>
        <w:tc>
          <w:tcPr>
            <w:tcW w:w="9131" w:type="dxa"/>
          </w:tcPr>
          <w:p w:rsidR="008A701F" w:rsidRPr="00954C73" w:rsidRDefault="008A701F" w:rsidP="00FD1DE4">
            <w:pPr>
              <w:snapToGrid w:val="0"/>
              <w:spacing w:after="0" w:line="240" w:lineRule="auto"/>
              <w:jc w:val="center"/>
              <w:rPr>
                <w:rFonts w:ascii="Times New Roman" w:hAnsi="Times New Roman"/>
                <w:sz w:val="24"/>
                <w:szCs w:val="24"/>
              </w:rPr>
            </w:pPr>
            <w:r w:rsidRPr="00954C73">
              <w:rPr>
                <w:rFonts w:ascii="Times New Roman" w:hAnsi="Times New Roman"/>
                <w:sz w:val="24"/>
                <w:szCs w:val="24"/>
              </w:rPr>
              <w:t>Projekts šo jomu neskar.</w:t>
            </w:r>
          </w:p>
        </w:tc>
      </w:tr>
    </w:tbl>
    <w:p w:rsidR="008A701F" w:rsidRDefault="008A701F" w:rsidP="008A701F">
      <w:pPr>
        <w:spacing w:after="0" w:line="240" w:lineRule="auto"/>
        <w:jc w:val="both"/>
        <w:rPr>
          <w:rFonts w:ascii="Times New Roman" w:eastAsia="Times New Roman" w:hAnsi="Times New Roman" w:cs="Times New Roman"/>
          <w:sz w:val="24"/>
          <w:szCs w:val="24"/>
          <w:lang w:eastAsia="lv-LV"/>
        </w:rPr>
      </w:pPr>
    </w:p>
    <w:p w:rsidR="008A701F" w:rsidRPr="00FA3933" w:rsidRDefault="008A701F" w:rsidP="008A701F">
      <w:pPr>
        <w:spacing w:after="0" w:line="240" w:lineRule="auto"/>
        <w:jc w:val="both"/>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8A701F" w:rsidRPr="00FA3933" w:rsidTr="00FD1DE4">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t>IV. Tiesību akta projekta ietekme uz spēkā esošo tiesību normu sistēmu</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954C7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to, ka </w:t>
            </w:r>
            <w:r w:rsidR="00954C73">
              <w:rPr>
                <w:rFonts w:ascii="Times New Roman" w:eastAsia="Times New Roman" w:hAnsi="Times New Roman" w:cs="Times New Roman"/>
                <w:sz w:val="24"/>
                <w:szCs w:val="24"/>
                <w:lang w:eastAsia="lv-LV"/>
              </w:rPr>
              <w:t>virkne</w:t>
            </w:r>
            <w:r>
              <w:rPr>
                <w:rFonts w:ascii="Times New Roman" w:eastAsia="Times New Roman" w:hAnsi="Times New Roman" w:cs="Times New Roman"/>
                <w:sz w:val="24"/>
                <w:szCs w:val="24"/>
                <w:lang w:eastAsia="lv-LV"/>
              </w:rPr>
              <w:t xml:space="preserve"> direktīvas norm</w:t>
            </w:r>
            <w:r w:rsidR="00954C73">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attiecas uz </w:t>
            </w:r>
            <w:r w:rsidR="00954C73">
              <w:rPr>
                <w:rFonts w:ascii="Times New Roman" w:eastAsia="Times New Roman" w:hAnsi="Times New Roman" w:cs="Times New Roman"/>
                <w:sz w:val="24"/>
                <w:szCs w:val="24"/>
                <w:lang w:eastAsia="lv-LV"/>
              </w:rPr>
              <w:t>kriminālprocesuāliem jautājumiem, likumprojekts</w:t>
            </w:r>
            <w:r>
              <w:rPr>
                <w:rFonts w:ascii="Times New Roman" w:eastAsia="Times New Roman" w:hAnsi="Times New Roman" w:cs="Times New Roman"/>
                <w:sz w:val="24"/>
                <w:szCs w:val="24"/>
                <w:lang w:eastAsia="lv-LV"/>
              </w:rPr>
              <w:t xml:space="preserve"> ir </w:t>
            </w:r>
            <w:r w:rsidR="00954C73">
              <w:rPr>
                <w:rFonts w:ascii="Times New Roman" w:eastAsia="Times New Roman" w:hAnsi="Times New Roman" w:cs="Times New Roman"/>
                <w:sz w:val="24"/>
                <w:szCs w:val="24"/>
                <w:lang w:eastAsia="lv-LV"/>
              </w:rPr>
              <w:t>jāvirza reizē ar likumprojektu</w:t>
            </w:r>
            <w:r>
              <w:rPr>
                <w:rFonts w:ascii="Times New Roman" w:eastAsia="Times New Roman" w:hAnsi="Times New Roman" w:cs="Times New Roman"/>
                <w:sz w:val="24"/>
                <w:szCs w:val="24"/>
                <w:lang w:eastAsia="lv-LV"/>
              </w:rPr>
              <w:t xml:space="preserve"> „Grozījumi </w:t>
            </w:r>
            <w:r w:rsidR="00954C73">
              <w:rPr>
                <w:rFonts w:ascii="Times New Roman" w:eastAsia="Times New Roman" w:hAnsi="Times New Roman" w:cs="Times New Roman"/>
                <w:sz w:val="24"/>
                <w:szCs w:val="24"/>
                <w:lang w:eastAsia="lv-LV"/>
              </w:rPr>
              <w:t>Kriminālprocesa likumā</w:t>
            </w:r>
            <w:r>
              <w:rPr>
                <w:rFonts w:ascii="Times New Roman" w:eastAsia="Times New Roman" w:hAnsi="Times New Roman" w:cs="Times New Roman"/>
                <w:sz w:val="24"/>
                <w:szCs w:val="24"/>
                <w:lang w:eastAsia="lv-LV"/>
              </w:rPr>
              <w:t>”.</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Tieslietu ministrija.</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14"/>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 xml:space="preserve">Nav. </w:t>
            </w:r>
          </w:p>
        </w:tc>
      </w:tr>
    </w:tbl>
    <w:p w:rsidR="008A701F" w:rsidRDefault="008A701F" w:rsidP="008A701F">
      <w:pPr>
        <w:spacing w:after="0" w:line="240" w:lineRule="auto"/>
        <w:jc w:val="both"/>
        <w:rPr>
          <w:rFonts w:ascii="Times New Roman" w:eastAsia="Times New Roman" w:hAnsi="Times New Roman" w:cs="Times New Roman"/>
          <w:sz w:val="24"/>
          <w:szCs w:val="24"/>
          <w:lang w:eastAsia="lv-LV"/>
        </w:rPr>
      </w:pPr>
    </w:p>
    <w:p w:rsidR="008A701F" w:rsidRPr="00FA3933" w:rsidRDefault="008A701F" w:rsidP="008A701F">
      <w:pPr>
        <w:spacing w:after="0" w:line="240" w:lineRule="auto"/>
        <w:jc w:val="both"/>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8A701F" w:rsidRPr="00FA3933" w:rsidTr="00FD1DE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t>V. Tiesību akta projekta atbilstība Latvijas Republikas starptautiskajām saistībām</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459"/>
              <w:jc w:val="both"/>
              <w:rPr>
                <w:rFonts w:ascii="Times New Roman" w:hAnsi="Times New Roman"/>
                <w:b/>
                <w:sz w:val="24"/>
                <w:szCs w:val="24"/>
              </w:rPr>
            </w:pPr>
            <w:r w:rsidRPr="00D26160">
              <w:rPr>
                <w:rFonts w:ascii="Times New Roman" w:hAnsi="Times New Roman"/>
                <w:b/>
                <w:sz w:val="24"/>
                <w:szCs w:val="24"/>
              </w:rPr>
              <w:t>2013.gada 22.</w:t>
            </w:r>
            <w:r w:rsidR="00F04285" w:rsidRPr="00D26160">
              <w:rPr>
                <w:rFonts w:ascii="Times New Roman" w:hAnsi="Times New Roman"/>
                <w:b/>
                <w:sz w:val="24"/>
                <w:szCs w:val="24"/>
              </w:rPr>
              <w:t xml:space="preserve"> </w:t>
            </w:r>
            <w:r w:rsidRPr="00D26160">
              <w:rPr>
                <w:rFonts w:ascii="Times New Roman" w:hAnsi="Times New Roman"/>
                <w:b/>
                <w:sz w:val="24"/>
                <w:szCs w:val="24"/>
              </w:rPr>
              <w:t>oktobrī pieņemta</w:t>
            </w:r>
            <w:r w:rsidRPr="00FA3933">
              <w:rPr>
                <w:rFonts w:ascii="Times New Roman" w:hAnsi="Times New Roman"/>
                <w:sz w:val="24"/>
                <w:szCs w:val="24"/>
              </w:rPr>
              <w:t xml:space="preserve"> Eiropas Parlamenta un Padomes direktīva 201</w:t>
            </w:r>
            <w:r>
              <w:rPr>
                <w:rFonts w:ascii="Times New Roman" w:hAnsi="Times New Roman"/>
                <w:sz w:val="24"/>
                <w:szCs w:val="24"/>
              </w:rPr>
              <w:t>3</w:t>
            </w:r>
            <w:r w:rsidRPr="00FA3933">
              <w:rPr>
                <w:rFonts w:ascii="Times New Roman" w:hAnsi="Times New Roman"/>
                <w:sz w:val="24"/>
                <w:szCs w:val="24"/>
              </w:rPr>
              <w:t>/</w:t>
            </w:r>
            <w:r>
              <w:rPr>
                <w:rFonts w:ascii="Times New Roman" w:hAnsi="Times New Roman"/>
                <w:sz w:val="24"/>
                <w:szCs w:val="24"/>
              </w:rPr>
              <w:t>48</w:t>
            </w:r>
            <w:r w:rsidRPr="00FA3933">
              <w:rPr>
                <w:rFonts w:ascii="Times New Roman" w:hAnsi="Times New Roman"/>
                <w:sz w:val="24"/>
                <w:szCs w:val="24"/>
              </w:rPr>
              <w:t xml:space="preserve">/ES </w:t>
            </w:r>
            <w:r>
              <w:rPr>
                <w:rFonts w:ascii="Times New Roman" w:hAnsi="Times New Roman"/>
                <w:sz w:val="24"/>
                <w:szCs w:val="24"/>
              </w:rPr>
              <w:t xml:space="preserve">par tiesībām uz advokāta palīdzību kriminālprocesā un Eiropas apcietināšanas ordera procesā, par tiesībām uz to, ka pēc brīvības atņemšanas informē trešo personu, un par tiesībām, kamēr atņemta brīvība, sazināties ar </w:t>
            </w:r>
            <w:proofErr w:type="spellStart"/>
            <w:r>
              <w:rPr>
                <w:rFonts w:ascii="Times New Roman" w:hAnsi="Times New Roman"/>
                <w:sz w:val="24"/>
                <w:szCs w:val="24"/>
              </w:rPr>
              <w:t>trešām</w:t>
            </w:r>
            <w:proofErr w:type="spellEnd"/>
            <w:r>
              <w:rPr>
                <w:rFonts w:ascii="Times New Roman" w:hAnsi="Times New Roman"/>
                <w:sz w:val="24"/>
                <w:szCs w:val="24"/>
              </w:rPr>
              <w:t xml:space="preserve"> personām un konsulārajām iestādēm.</w:t>
            </w:r>
          </w:p>
          <w:p w:rsidR="008A701F" w:rsidRPr="00FA3933" w:rsidRDefault="008A701F" w:rsidP="00FD1DE4">
            <w:pPr>
              <w:spacing w:after="0" w:line="240" w:lineRule="auto"/>
              <w:ind w:firstLine="600"/>
              <w:jc w:val="both"/>
              <w:rPr>
                <w:rFonts w:ascii="Times New Roman" w:hAnsi="Times New Roman"/>
                <w:sz w:val="24"/>
                <w:szCs w:val="24"/>
              </w:rPr>
            </w:pPr>
            <w:r w:rsidRPr="00FA3933">
              <w:rPr>
                <w:rFonts w:ascii="Times New Roman" w:hAnsi="Times New Roman"/>
                <w:sz w:val="24"/>
                <w:szCs w:val="24"/>
              </w:rPr>
              <w:t xml:space="preserve">Saskaņā ar direktīvas </w:t>
            </w:r>
            <w:r>
              <w:rPr>
                <w:rFonts w:ascii="Times New Roman" w:hAnsi="Times New Roman"/>
                <w:sz w:val="24"/>
                <w:szCs w:val="24"/>
              </w:rPr>
              <w:t>15</w:t>
            </w:r>
            <w:r w:rsidRPr="00FA3933">
              <w:rPr>
                <w:rFonts w:ascii="Times New Roman" w:hAnsi="Times New Roman"/>
                <w:sz w:val="24"/>
                <w:szCs w:val="24"/>
              </w:rPr>
              <w:t xml:space="preserve">.pantu tās </w:t>
            </w:r>
            <w:r w:rsidRPr="00FA3933">
              <w:rPr>
                <w:rFonts w:ascii="Times New Roman" w:hAnsi="Times New Roman"/>
                <w:b/>
                <w:sz w:val="24"/>
                <w:szCs w:val="24"/>
              </w:rPr>
              <w:t>pārņemšanas termiņš</w:t>
            </w:r>
            <w:r w:rsidRPr="00FA3933">
              <w:rPr>
                <w:rFonts w:ascii="Times New Roman" w:hAnsi="Times New Roman"/>
                <w:sz w:val="24"/>
                <w:szCs w:val="24"/>
              </w:rPr>
              <w:t xml:space="preserve"> ir </w:t>
            </w:r>
            <w:r w:rsidRPr="00FA3933">
              <w:rPr>
                <w:rFonts w:ascii="Times New Roman" w:hAnsi="Times New Roman"/>
                <w:b/>
                <w:sz w:val="24"/>
                <w:szCs w:val="24"/>
              </w:rPr>
              <w:t>201</w:t>
            </w:r>
            <w:r>
              <w:rPr>
                <w:rFonts w:ascii="Times New Roman" w:hAnsi="Times New Roman"/>
                <w:b/>
                <w:sz w:val="24"/>
                <w:szCs w:val="24"/>
              </w:rPr>
              <w:t>6</w:t>
            </w:r>
            <w:r w:rsidRPr="00FA3933">
              <w:rPr>
                <w:rFonts w:ascii="Times New Roman" w:hAnsi="Times New Roman"/>
                <w:b/>
                <w:sz w:val="24"/>
                <w:szCs w:val="24"/>
              </w:rPr>
              <w:t xml:space="preserve">.gada </w:t>
            </w:r>
            <w:r>
              <w:rPr>
                <w:rFonts w:ascii="Times New Roman" w:hAnsi="Times New Roman"/>
                <w:b/>
                <w:sz w:val="24"/>
                <w:szCs w:val="24"/>
              </w:rPr>
              <w:t>27.novembris</w:t>
            </w:r>
            <w:r w:rsidRPr="00FA3933">
              <w:rPr>
                <w:rFonts w:ascii="Times New Roman" w:hAnsi="Times New Roman"/>
                <w:b/>
                <w:sz w:val="24"/>
                <w:szCs w:val="24"/>
              </w:rPr>
              <w:t>.</w:t>
            </w:r>
            <w:r>
              <w:rPr>
                <w:rFonts w:ascii="Times New Roman" w:hAnsi="Times New Roman"/>
                <w:b/>
                <w:sz w:val="24"/>
                <w:szCs w:val="24"/>
              </w:rPr>
              <w:t xml:space="preserve"> </w:t>
            </w:r>
            <w:r w:rsidRPr="00FA3933">
              <w:rPr>
                <w:rFonts w:ascii="Times New Roman" w:hAnsi="Times New Roman"/>
                <w:sz w:val="24"/>
                <w:szCs w:val="24"/>
                <w:lang w:eastAsia="lv-LV"/>
              </w:rPr>
              <w:t>Likumprojektam jāstājas spēkā līdz 201</w:t>
            </w:r>
            <w:r>
              <w:rPr>
                <w:rFonts w:ascii="Times New Roman" w:hAnsi="Times New Roman"/>
                <w:sz w:val="24"/>
                <w:szCs w:val="24"/>
                <w:lang w:eastAsia="lv-LV"/>
              </w:rPr>
              <w:t>6</w:t>
            </w:r>
            <w:r w:rsidRPr="00FA3933">
              <w:rPr>
                <w:rFonts w:ascii="Times New Roman" w:hAnsi="Times New Roman"/>
                <w:sz w:val="24"/>
                <w:szCs w:val="24"/>
                <w:lang w:eastAsia="lv-LV"/>
              </w:rPr>
              <w:t xml:space="preserve">.gada </w:t>
            </w:r>
            <w:r>
              <w:rPr>
                <w:rFonts w:ascii="Times New Roman" w:hAnsi="Times New Roman"/>
                <w:sz w:val="24"/>
                <w:szCs w:val="24"/>
                <w:lang w:eastAsia="lv-LV"/>
              </w:rPr>
              <w:t>27.novembrim</w:t>
            </w:r>
            <w:r w:rsidRPr="00FA3933">
              <w:rPr>
                <w:rFonts w:ascii="Times New Roman" w:hAnsi="Times New Roman"/>
                <w:sz w:val="24"/>
                <w:szCs w:val="24"/>
                <w:lang w:eastAsia="lv-LV"/>
              </w:rPr>
              <w:t>.</w:t>
            </w:r>
            <w:r w:rsidRPr="00FA3933">
              <w:rPr>
                <w:rFonts w:ascii="Times New Roman" w:hAnsi="Times New Roman"/>
                <w:sz w:val="24"/>
                <w:szCs w:val="24"/>
              </w:rPr>
              <w:t xml:space="preserve"> </w:t>
            </w:r>
          </w:p>
          <w:p w:rsidR="008A701F" w:rsidRPr="00FA3933" w:rsidRDefault="008A701F" w:rsidP="00FD1DE4">
            <w:pPr>
              <w:spacing w:after="0" w:line="240" w:lineRule="auto"/>
              <w:ind w:firstLine="600"/>
              <w:jc w:val="both"/>
              <w:rPr>
                <w:rFonts w:ascii="Times New Roman" w:hAnsi="Times New Roman"/>
                <w:sz w:val="24"/>
                <w:szCs w:val="24"/>
              </w:rPr>
            </w:pPr>
          </w:p>
          <w:p w:rsidR="008A701F" w:rsidRPr="00D26160" w:rsidRDefault="008A701F" w:rsidP="00FD1DE4">
            <w:pPr>
              <w:spacing w:after="0" w:line="240" w:lineRule="auto"/>
              <w:ind w:firstLine="600"/>
              <w:jc w:val="both"/>
              <w:rPr>
                <w:rFonts w:ascii="Times New Roman" w:hAnsi="Times New Roman"/>
                <w:bCs/>
                <w:sz w:val="24"/>
                <w:szCs w:val="24"/>
                <w:lang w:eastAsia="lv-LV"/>
              </w:rPr>
            </w:pPr>
            <w:r w:rsidRPr="00FA3933">
              <w:rPr>
                <w:rFonts w:ascii="Times New Roman" w:hAnsi="Times New Roman"/>
                <w:sz w:val="24"/>
                <w:szCs w:val="24"/>
              </w:rPr>
              <w:t xml:space="preserve">Tāpat Latvijai ir saistošas Eiropas Savienības Pamattiesību hartas 47.pantā noteiktās </w:t>
            </w:r>
            <w:r w:rsidRPr="00D26160">
              <w:rPr>
                <w:rFonts w:ascii="Times New Roman" w:hAnsi="Times New Roman"/>
                <w:sz w:val="24"/>
                <w:szCs w:val="24"/>
              </w:rPr>
              <w:t>t</w:t>
            </w:r>
            <w:r w:rsidRPr="00D26160">
              <w:rPr>
                <w:rFonts w:ascii="Times New Roman" w:hAnsi="Times New Roman"/>
                <w:bCs/>
                <w:sz w:val="24"/>
                <w:szCs w:val="24"/>
                <w:lang w:eastAsia="lv-LV"/>
              </w:rPr>
              <w:t>iesības uz efektīvu tiesību aizsardzību un taisnīgu tiesu</w:t>
            </w:r>
            <w:r>
              <w:rPr>
                <w:rFonts w:ascii="Times New Roman" w:hAnsi="Times New Roman"/>
                <w:bCs/>
                <w:sz w:val="24"/>
                <w:szCs w:val="24"/>
                <w:lang w:eastAsia="lv-LV"/>
              </w:rPr>
              <w:t xml:space="preserve"> un 48.panta 2.punktā ir garantētas tiesības uz aizstāvību.</w:t>
            </w:r>
          </w:p>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left="57"/>
              <w:jc w:val="both"/>
              <w:rPr>
                <w:rFonts w:ascii="Times New Roman" w:hAnsi="Times New Roman"/>
                <w:sz w:val="24"/>
                <w:szCs w:val="24"/>
                <w:lang w:eastAsia="lv-LV"/>
              </w:rPr>
            </w:pPr>
            <w:r>
              <w:rPr>
                <w:rFonts w:ascii="Times New Roman" w:hAnsi="Times New Roman"/>
                <w:sz w:val="24"/>
                <w:szCs w:val="24"/>
                <w:lang w:eastAsia="lv-LV"/>
              </w:rPr>
              <w:t>Eiropas Cilvēktiesību un pamatbrīvību aizsardzības konvencijas 6.pantā un Starptautiskā pakta par pilsoniskajām un politiskajām tiesībām 14.pantā ir noteiktas tiesības uz taisnīgu tiesu.</w:t>
            </w:r>
          </w:p>
        </w:tc>
      </w:tr>
      <w:tr w:rsidR="008A701F" w:rsidRPr="00FA3933" w:rsidTr="00FD1DE4">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14"/>
              <w:jc w:val="both"/>
              <w:rPr>
                <w:rFonts w:ascii="Times New Roman" w:eastAsia="Times New Roman" w:hAnsi="Times New Roman" w:cs="Times New Roman"/>
                <w:sz w:val="24"/>
                <w:szCs w:val="24"/>
                <w:lang w:eastAsia="lv-LV"/>
              </w:rPr>
            </w:pPr>
            <w:r w:rsidRPr="00FA3933">
              <w:rPr>
                <w:rFonts w:ascii="Times New Roman" w:hAnsi="Times New Roman"/>
                <w:sz w:val="24"/>
                <w:szCs w:val="24"/>
                <w:lang w:eastAsia="lv-LV"/>
              </w:rPr>
              <w:t>Nav.</w:t>
            </w:r>
          </w:p>
        </w:tc>
      </w:tr>
    </w:tbl>
    <w:p w:rsidR="008A701F" w:rsidRDefault="008A701F" w:rsidP="008A701F">
      <w:pPr>
        <w:spacing w:after="0" w:line="240" w:lineRule="auto"/>
        <w:jc w:val="both"/>
        <w:rPr>
          <w:rFonts w:ascii="Times New Roman" w:eastAsia="Times New Roman" w:hAnsi="Times New Roman" w:cs="Times New Roman"/>
          <w:sz w:val="24"/>
          <w:szCs w:val="24"/>
          <w:lang w:eastAsia="lv-LV"/>
        </w:rPr>
      </w:pPr>
    </w:p>
    <w:p w:rsidR="008A701F" w:rsidRPr="00FA3933" w:rsidRDefault="008A701F" w:rsidP="008A701F">
      <w:pPr>
        <w:spacing w:after="0" w:line="240" w:lineRule="auto"/>
        <w:jc w:val="both"/>
        <w:rPr>
          <w:rFonts w:ascii="Times New Roman" w:eastAsia="Times New Roman" w:hAnsi="Times New Roman" w:cs="Times New Roman"/>
          <w:vanish/>
          <w:sz w:val="24"/>
          <w:szCs w:val="24"/>
          <w:lang w:eastAsia="lv-LV"/>
        </w:rPr>
      </w:pPr>
    </w:p>
    <w:p w:rsidR="008A701F" w:rsidRPr="00FA3933" w:rsidRDefault="008A701F" w:rsidP="008A701F">
      <w:pPr>
        <w:spacing w:after="0" w:line="240" w:lineRule="auto"/>
        <w:jc w:val="both"/>
        <w:rPr>
          <w:rFonts w:ascii="Times New Roman" w:eastAsia="Times New Roman" w:hAnsi="Times New Roman" w:cs="Times New Roman"/>
          <w:sz w:val="24"/>
          <w:szCs w:val="24"/>
          <w:lang w:eastAsia="lv-LV"/>
        </w:rPr>
      </w:pPr>
    </w:p>
    <w:tbl>
      <w:tblPr>
        <w:tblW w:w="9072" w:type="dxa"/>
        <w:tblCellSpacing w:w="20" w:type="dxa"/>
        <w:tblInd w:w="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top w:w="28" w:type="dxa"/>
          <w:left w:w="28" w:type="dxa"/>
          <w:bottom w:w="28" w:type="dxa"/>
          <w:right w:w="28" w:type="dxa"/>
        </w:tblCellMar>
        <w:tblLook w:val="04A0" w:firstRow="1" w:lastRow="0" w:firstColumn="1" w:lastColumn="0" w:noHBand="0" w:noVBand="1"/>
      </w:tblPr>
      <w:tblGrid>
        <w:gridCol w:w="1969"/>
        <w:gridCol w:w="2570"/>
        <w:gridCol w:w="2327"/>
        <w:gridCol w:w="2206"/>
      </w:tblGrid>
      <w:tr w:rsidR="008A701F" w:rsidRPr="00FA3933" w:rsidTr="00FD1DE4">
        <w:trPr>
          <w:cantSplit/>
          <w:trHeight w:val="523"/>
          <w:tblCellSpacing w:w="20" w:type="dxa"/>
        </w:trPr>
        <w:tc>
          <w:tcPr>
            <w:tcW w:w="8992" w:type="dxa"/>
            <w:gridSpan w:val="4"/>
            <w:shd w:val="clear" w:color="auto" w:fill="FFFFFF" w:themeFill="background1"/>
            <w:vAlign w:val="center"/>
          </w:tcPr>
          <w:p w:rsidR="008A701F" w:rsidRPr="00FA3933" w:rsidRDefault="008A701F" w:rsidP="00FD1DE4">
            <w:pPr>
              <w:spacing w:after="0" w:line="240" w:lineRule="auto"/>
              <w:ind w:left="57"/>
              <w:jc w:val="center"/>
              <w:rPr>
                <w:rFonts w:ascii="Times New Roman" w:hAnsi="Times New Roman"/>
                <w:b/>
                <w:sz w:val="24"/>
                <w:szCs w:val="24"/>
                <w:lang w:eastAsia="lv-LV"/>
              </w:rPr>
            </w:pPr>
            <w:r w:rsidRPr="00FA3933">
              <w:rPr>
                <w:rFonts w:ascii="Times New Roman" w:hAnsi="Times New Roman"/>
                <w:b/>
                <w:sz w:val="24"/>
                <w:szCs w:val="24"/>
                <w:lang w:eastAsia="lv-LV"/>
              </w:rPr>
              <w:t>1.tabula</w:t>
            </w:r>
          </w:p>
          <w:p w:rsidR="008A701F" w:rsidRDefault="008A701F" w:rsidP="00FD1DE4">
            <w:pPr>
              <w:spacing w:after="0" w:line="240" w:lineRule="auto"/>
              <w:ind w:left="57"/>
              <w:jc w:val="center"/>
              <w:rPr>
                <w:rFonts w:ascii="Times New Roman" w:hAnsi="Times New Roman"/>
                <w:b/>
                <w:sz w:val="24"/>
                <w:szCs w:val="24"/>
                <w:lang w:eastAsia="lv-LV"/>
              </w:rPr>
            </w:pPr>
            <w:r w:rsidRPr="00FA3933">
              <w:rPr>
                <w:rFonts w:ascii="Times New Roman" w:hAnsi="Times New Roman"/>
                <w:b/>
                <w:sz w:val="24"/>
                <w:szCs w:val="24"/>
                <w:lang w:eastAsia="lv-LV"/>
              </w:rPr>
              <w:t>Tiesību akta projekta atbilstība ES tiesību aktiem</w:t>
            </w:r>
          </w:p>
          <w:p w:rsidR="008A701F" w:rsidRPr="00FA3933" w:rsidRDefault="008A701F" w:rsidP="00FD1DE4">
            <w:pPr>
              <w:spacing w:after="0" w:line="240" w:lineRule="auto"/>
              <w:ind w:left="57"/>
              <w:jc w:val="center"/>
              <w:rPr>
                <w:rFonts w:ascii="Times New Roman" w:hAnsi="Times New Roman"/>
                <w:sz w:val="24"/>
                <w:szCs w:val="24"/>
                <w:lang w:eastAsia="lv-LV"/>
              </w:rPr>
            </w:pPr>
          </w:p>
        </w:tc>
      </w:tr>
      <w:tr w:rsidR="008A701F" w:rsidRPr="00FA3933" w:rsidTr="00FD1DE4">
        <w:trPr>
          <w:cantSplit/>
          <w:tblCellSpacing w:w="20" w:type="dxa"/>
        </w:trPr>
        <w:tc>
          <w:tcPr>
            <w:tcW w:w="1909" w:type="dxa"/>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z w:val="24"/>
                <w:szCs w:val="24"/>
                <w:lang w:eastAsia="lv-LV"/>
              </w:rPr>
              <w:t>Attiecīgā ES tiesību akta datums, numurs un nosaukums</w:t>
            </w:r>
          </w:p>
        </w:tc>
        <w:tc>
          <w:tcPr>
            <w:tcW w:w="7043" w:type="dxa"/>
            <w:gridSpan w:val="3"/>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D26160">
              <w:rPr>
                <w:rFonts w:ascii="Times New Roman" w:hAnsi="Times New Roman"/>
                <w:sz w:val="24"/>
                <w:szCs w:val="24"/>
                <w:lang w:eastAsia="lv-LV"/>
              </w:rPr>
              <w:t>Eiropas Parlamenta un Padomes direktīva 2013/48/ES</w:t>
            </w:r>
            <w:r>
              <w:rPr>
                <w:rFonts w:ascii="Times New Roman" w:hAnsi="Times New Roman"/>
                <w:sz w:val="24"/>
                <w:szCs w:val="24"/>
                <w:lang w:eastAsia="lv-LV"/>
              </w:rPr>
              <w:t xml:space="preserve"> (2013.gada 22.oktobris)</w:t>
            </w:r>
            <w:r w:rsidRPr="00D26160">
              <w:rPr>
                <w:rFonts w:ascii="Times New Roman" w:hAnsi="Times New Roman"/>
                <w:sz w:val="24"/>
                <w:szCs w:val="24"/>
                <w:lang w:eastAsia="lv-LV"/>
              </w:rPr>
              <w:t xml:space="preserve"> par tiesībām uz advokāta palīdzību kriminālprocesā un Eiropas apcietināšanas ordera procesā, par tiesībām uz to, ka pēc brīvības atņemšanas informē trešo personu, un par tiesībām, kamēr atņemta brīvība, sazināties ar </w:t>
            </w:r>
            <w:proofErr w:type="spellStart"/>
            <w:r w:rsidRPr="00D26160">
              <w:rPr>
                <w:rFonts w:ascii="Times New Roman" w:hAnsi="Times New Roman"/>
                <w:sz w:val="24"/>
                <w:szCs w:val="24"/>
                <w:lang w:eastAsia="lv-LV"/>
              </w:rPr>
              <w:t>trešām</w:t>
            </w:r>
            <w:proofErr w:type="spellEnd"/>
            <w:r w:rsidRPr="00D26160">
              <w:rPr>
                <w:rFonts w:ascii="Times New Roman" w:hAnsi="Times New Roman"/>
                <w:sz w:val="24"/>
                <w:szCs w:val="24"/>
                <w:lang w:eastAsia="lv-LV"/>
              </w:rPr>
              <w:t xml:space="preserve"> pe</w:t>
            </w:r>
            <w:r>
              <w:rPr>
                <w:rFonts w:ascii="Times New Roman" w:hAnsi="Times New Roman"/>
                <w:sz w:val="24"/>
                <w:szCs w:val="24"/>
                <w:lang w:eastAsia="lv-LV"/>
              </w:rPr>
              <w:t>rsonām un konsulārajām iestādēm.</w:t>
            </w:r>
          </w:p>
        </w:tc>
      </w:tr>
      <w:tr w:rsidR="008A701F" w:rsidRPr="00FA3933" w:rsidTr="00FD1DE4">
        <w:trPr>
          <w:cantSplit/>
          <w:tblCellSpacing w:w="20" w:type="dxa"/>
        </w:trPr>
        <w:tc>
          <w:tcPr>
            <w:tcW w:w="1909" w:type="dxa"/>
            <w:shd w:val="clear" w:color="auto" w:fill="FFFFFF" w:themeFill="background1"/>
            <w:vAlign w:val="center"/>
          </w:tcPr>
          <w:p w:rsidR="008A701F" w:rsidRPr="00FA3933" w:rsidRDefault="008A701F" w:rsidP="00FD1DE4">
            <w:pPr>
              <w:spacing w:after="0" w:line="240" w:lineRule="auto"/>
              <w:ind w:left="57"/>
              <w:jc w:val="center"/>
              <w:rPr>
                <w:rFonts w:ascii="Times New Roman" w:hAnsi="Times New Roman"/>
                <w:sz w:val="24"/>
                <w:szCs w:val="24"/>
                <w:lang w:eastAsia="lv-LV"/>
              </w:rPr>
            </w:pPr>
            <w:r w:rsidRPr="00FA3933">
              <w:rPr>
                <w:rFonts w:ascii="Times New Roman" w:hAnsi="Times New Roman"/>
                <w:sz w:val="24"/>
                <w:szCs w:val="24"/>
                <w:lang w:eastAsia="lv-LV"/>
              </w:rPr>
              <w:lastRenderedPageBreak/>
              <w:t>A</w:t>
            </w:r>
          </w:p>
        </w:tc>
        <w:tc>
          <w:tcPr>
            <w:tcW w:w="2530" w:type="dxa"/>
            <w:shd w:val="clear" w:color="auto" w:fill="FFFFFF" w:themeFill="background1"/>
            <w:vAlign w:val="center"/>
          </w:tcPr>
          <w:p w:rsidR="008A701F" w:rsidRPr="00FA3933" w:rsidRDefault="008A701F" w:rsidP="00FD1DE4">
            <w:pPr>
              <w:spacing w:after="0" w:line="240" w:lineRule="auto"/>
              <w:ind w:left="57"/>
              <w:jc w:val="center"/>
              <w:rPr>
                <w:rFonts w:ascii="Times New Roman" w:hAnsi="Times New Roman"/>
                <w:sz w:val="24"/>
                <w:szCs w:val="24"/>
                <w:lang w:eastAsia="lv-LV"/>
              </w:rPr>
            </w:pPr>
            <w:r w:rsidRPr="00FA3933">
              <w:rPr>
                <w:rFonts w:ascii="Times New Roman" w:hAnsi="Times New Roman"/>
                <w:sz w:val="24"/>
                <w:szCs w:val="24"/>
                <w:lang w:eastAsia="lv-LV"/>
              </w:rPr>
              <w:t>B</w:t>
            </w:r>
          </w:p>
        </w:tc>
        <w:tc>
          <w:tcPr>
            <w:tcW w:w="2287" w:type="dxa"/>
            <w:shd w:val="clear" w:color="auto" w:fill="FFFFFF" w:themeFill="background1"/>
            <w:vAlign w:val="center"/>
          </w:tcPr>
          <w:p w:rsidR="008A701F" w:rsidRPr="00FA3933" w:rsidRDefault="008A701F" w:rsidP="00FD1DE4">
            <w:pPr>
              <w:spacing w:after="0" w:line="240" w:lineRule="auto"/>
              <w:ind w:left="57"/>
              <w:jc w:val="center"/>
              <w:rPr>
                <w:rFonts w:ascii="Times New Roman" w:hAnsi="Times New Roman"/>
                <w:sz w:val="24"/>
                <w:szCs w:val="24"/>
                <w:lang w:eastAsia="lv-LV"/>
              </w:rPr>
            </w:pPr>
            <w:r w:rsidRPr="00FA3933">
              <w:rPr>
                <w:rFonts w:ascii="Times New Roman" w:hAnsi="Times New Roman"/>
                <w:sz w:val="24"/>
                <w:szCs w:val="24"/>
                <w:lang w:eastAsia="lv-LV"/>
              </w:rPr>
              <w:t>C</w:t>
            </w:r>
          </w:p>
        </w:tc>
        <w:tc>
          <w:tcPr>
            <w:tcW w:w="2146" w:type="dxa"/>
            <w:shd w:val="clear" w:color="auto" w:fill="FFFFFF" w:themeFill="background1"/>
            <w:vAlign w:val="center"/>
          </w:tcPr>
          <w:p w:rsidR="008A701F" w:rsidRPr="00FA3933" w:rsidRDefault="008A701F" w:rsidP="00FD1DE4">
            <w:pPr>
              <w:spacing w:after="0" w:line="240" w:lineRule="auto"/>
              <w:ind w:left="57"/>
              <w:jc w:val="center"/>
              <w:rPr>
                <w:rFonts w:ascii="Times New Roman" w:hAnsi="Times New Roman"/>
                <w:sz w:val="24"/>
                <w:szCs w:val="24"/>
                <w:lang w:eastAsia="lv-LV"/>
              </w:rPr>
            </w:pPr>
            <w:r w:rsidRPr="00FA3933">
              <w:rPr>
                <w:rFonts w:ascii="Times New Roman" w:hAnsi="Times New Roman"/>
                <w:sz w:val="24"/>
                <w:szCs w:val="24"/>
                <w:lang w:eastAsia="lv-LV"/>
              </w:rPr>
              <w:t>D</w:t>
            </w:r>
          </w:p>
        </w:tc>
      </w:tr>
      <w:tr w:rsidR="008A701F" w:rsidRPr="00FA3933" w:rsidTr="00FD1DE4">
        <w:trPr>
          <w:cantSplit/>
          <w:trHeight w:val="7294"/>
          <w:tblCellSpacing w:w="20" w:type="dxa"/>
        </w:trPr>
        <w:tc>
          <w:tcPr>
            <w:tcW w:w="1909" w:type="dxa"/>
            <w:shd w:val="clear" w:color="auto" w:fill="FFFFFF" w:themeFill="background1"/>
          </w:tcPr>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pacing w:val="-3"/>
                <w:sz w:val="24"/>
                <w:szCs w:val="24"/>
                <w:lang w:eastAsia="lv-LV"/>
              </w:rPr>
              <w:t>Attiecīgā ES tiesību akta panta numurs (uzska</w:t>
            </w:r>
            <w:r>
              <w:rPr>
                <w:rFonts w:ascii="Times New Roman" w:hAnsi="Times New Roman"/>
                <w:spacing w:val="-3"/>
                <w:sz w:val="24"/>
                <w:szCs w:val="24"/>
                <w:lang w:eastAsia="lv-LV"/>
              </w:rPr>
              <w:t>itot katru tiesību akta vienību </w:t>
            </w:r>
            <w:r w:rsidRPr="00FA3933">
              <w:rPr>
                <w:rFonts w:ascii="Times New Roman" w:hAnsi="Times New Roman"/>
                <w:spacing w:val="-3"/>
                <w:sz w:val="24"/>
                <w:szCs w:val="24"/>
                <w:lang w:eastAsia="lv-LV"/>
              </w:rPr>
              <w:t>– pantu, daļu, punktu, apakšpunktu)</w:t>
            </w:r>
          </w:p>
        </w:tc>
        <w:tc>
          <w:tcPr>
            <w:tcW w:w="2530" w:type="dxa"/>
            <w:shd w:val="clear" w:color="auto" w:fill="FFFFFF" w:themeFill="background1"/>
          </w:tcPr>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pacing w:val="-3"/>
                <w:sz w:val="24"/>
                <w:szCs w:val="24"/>
                <w:lang w:eastAsia="lv-LV"/>
              </w:rPr>
              <w:t xml:space="preserve">Projekta vienība, kas pārņem vai ievieš katru šīs tabulas A ailē minēto ES tiesību akta vienību, vai tiesību </w:t>
            </w:r>
            <w:smartTag w:uri="schemas-tilde-lv/tildestengine" w:element="veidnes">
              <w:smartTagPr>
                <w:attr w:name="text" w:val="akts"/>
                <w:attr w:name="baseform" w:val="akts"/>
                <w:attr w:name="id" w:val="-1"/>
              </w:smartTagPr>
              <w:r w:rsidRPr="00FA3933">
                <w:rPr>
                  <w:rFonts w:ascii="Times New Roman" w:hAnsi="Times New Roman"/>
                  <w:spacing w:val="-3"/>
                  <w:sz w:val="24"/>
                  <w:szCs w:val="24"/>
                  <w:lang w:eastAsia="lv-LV"/>
                </w:rPr>
                <w:t>akts</w:t>
              </w:r>
            </w:smartTag>
            <w:r w:rsidRPr="00FA3933">
              <w:rPr>
                <w:rFonts w:ascii="Times New Roman" w:hAnsi="Times New Roman"/>
                <w:spacing w:val="-3"/>
                <w:sz w:val="24"/>
                <w:szCs w:val="24"/>
                <w:lang w:eastAsia="lv-LV"/>
              </w:rPr>
              <w:t>, kur attiecīgā ES tiesību akta vienība pārņemta vai ieviesta</w:t>
            </w:r>
          </w:p>
        </w:tc>
        <w:tc>
          <w:tcPr>
            <w:tcW w:w="2287" w:type="dxa"/>
            <w:shd w:val="clear" w:color="auto" w:fill="FFFFFF" w:themeFill="background1"/>
          </w:tcPr>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pacing w:val="-3"/>
                <w:sz w:val="24"/>
                <w:szCs w:val="24"/>
                <w:lang w:eastAsia="lv-LV"/>
              </w:rPr>
              <w:t>Informācija par to, vai šīs tabulas A ailē minētās ES tiesību akta vienības tiek pārņemtas vai ieviestas pilnībā vai daļēji.</w:t>
            </w:r>
          </w:p>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pacing w:val="-3"/>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pacing w:val="-3"/>
                <w:sz w:val="24"/>
                <w:szCs w:val="24"/>
                <w:lang w:eastAsia="lv-LV"/>
              </w:rPr>
              <w:t>Norāda institūciju, kas ir atbildīga par šo saistību izpildi pilnībā</w:t>
            </w:r>
          </w:p>
        </w:tc>
        <w:tc>
          <w:tcPr>
            <w:tcW w:w="2146" w:type="dxa"/>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pacing w:val="-3"/>
                <w:sz w:val="24"/>
                <w:szCs w:val="24"/>
                <w:lang w:eastAsia="lv-LV"/>
              </w:rPr>
              <w:t xml:space="preserve">Informācija par to, vai šīs </w:t>
            </w:r>
            <w:r w:rsidRPr="00FA3933">
              <w:rPr>
                <w:rFonts w:ascii="Times New Roman" w:hAnsi="Times New Roman"/>
                <w:sz w:val="24"/>
                <w:szCs w:val="24"/>
                <w:lang w:eastAsia="lv-LV"/>
              </w:rPr>
              <w:t>tabulas B ailē minētās projekta vienības paredz stingrākas prasības nekā šīs tabulas A ailē minētās ES tiesību akta vienības.</w:t>
            </w:r>
          </w:p>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z w:val="24"/>
                <w:szCs w:val="24"/>
                <w:lang w:eastAsia="lv-LV"/>
              </w:rPr>
              <w:t xml:space="preserve">Ja projekts satur stingrākas prasības nekā attiecīgais ES tiesību </w:t>
            </w:r>
            <w:smartTag w:uri="schemas-tilde-lv/tildestengine" w:element="veidnes">
              <w:smartTagPr>
                <w:attr w:name="text" w:val="akts"/>
                <w:attr w:name="baseform" w:val="akts"/>
                <w:attr w:name="id" w:val="-1"/>
              </w:smartTagPr>
              <w:r w:rsidRPr="00FA3933">
                <w:rPr>
                  <w:rFonts w:ascii="Times New Roman" w:hAnsi="Times New Roman"/>
                  <w:sz w:val="24"/>
                  <w:szCs w:val="24"/>
                  <w:lang w:eastAsia="lv-LV"/>
                </w:rPr>
                <w:t>akts</w:t>
              </w:r>
            </w:smartTag>
            <w:r w:rsidRPr="00FA3933">
              <w:rPr>
                <w:rFonts w:ascii="Times New Roman" w:hAnsi="Times New Roman"/>
                <w:sz w:val="24"/>
                <w:szCs w:val="24"/>
                <w:lang w:eastAsia="lv-LV"/>
              </w:rPr>
              <w:t>, norāda pamatojumu un samērīgumu.</w:t>
            </w:r>
          </w:p>
          <w:p w:rsidR="008A701F" w:rsidRPr="00FA3933" w:rsidRDefault="008A701F" w:rsidP="00FD1DE4">
            <w:pPr>
              <w:spacing w:after="0" w:line="240" w:lineRule="auto"/>
              <w:ind w:left="57"/>
              <w:jc w:val="both"/>
              <w:rPr>
                <w:rFonts w:ascii="Times New Roman" w:hAnsi="Times New Roman"/>
                <w:spacing w:val="-3"/>
                <w:sz w:val="24"/>
                <w:szCs w:val="24"/>
                <w:lang w:eastAsia="lv-LV"/>
              </w:rPr>
            </w:pPr>
            <w:r w:rsidRPr="00FA3933">
              <w:rPr>
                <w:rFonts w:ascii="Times New Roman" w:hAnsi="Times New Roman"/>
                <w:sz w:val="24"/>
                <w:szCs w:val="24"/>
                <w:lang w:eastAsia="lv-LV"/>
              </w:rPr>
              <w:t>Norāda iespējamās alternatīvas (t.sk. alternatīvas, kas nepared</w:t>
            </w:r>
            <w:r>
              <w:rPr>
                <w:rFonts w:ascii="Times New Roman" w:hAnsi="Times New Roman"/>
                <w:sz w:val="24"/>
                <w:szCs w:val="24"/>
                <w:lang w:eastAsia="lv-LV"/>
              </w:rPr>
              <w:t>z tiesiskā regulējuma izstrādi) </w:t>
            </w:r>
            <w:r w:rsidRPr="00FA3933">
              <w:rPr>
                <w:rFonts w:ascii="Times New Roman" w:hAnsi="Times New Roman"/>
                <w:sz w:val="24"/>
                <w:szCs w:val="24"/>
                <w:lang w:eastAsia="lv-LV"/>
              </w:rPr>
              <w:t>– kādos gadījumos būtu iespējams izvairīties no stingrāku prasību</w:t>
            </w:r>
            <w:r w:rsidRPr="00FA3933">
              <w:rPr>
                <w:rFonts w:ascii="Times New Roman" w:hAnsi="Times New Roman"/>
                <w:spacing w:val="-3"/>
                <w:sz w:val="24"/>
                <w:szCs w:val="24"/>
                <w:lang w:eastAsia="lv-LV"/>
              </w:rPr>
              <w:t xml:space="preserve"> noteikšanas, nekā paredzēts attiecīgajos ES tiesību aktos</w:t>
            </w:r>
          </w:p>
        </w:tc>
      </w:tr>
      <w:tr w:rsidR="008A701F" w:rsidRPr="00FA3933" w:rsidTr="00FD1DE4">
        <w:trPr>
          <w:cantSplit/>
          <w:trHeight w:val="360"/>
          <w:tblCellSpacing w:w="20" w:type="dxa"/>
        </w:trPr>
        <w:tc>
          <w:tcPr>
            <w:tcW w:w="1909" w:type="dxa"/>
            <w:shd w:val="clear" w:color="auto" w:fill="FFFFFF" w:themeFill="background1"/>
          </w:tcPr>
          <w:p w:rsidR="008A701F" w:rsidRPr="008F3E0D" w:rsidRDefault="008A701F" w:rsidP="00FD1DE4">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7.pants</w:t>
            </w:r>
          </w:p>
        </w:tc>
        <w:tc>
          <w:tcPr>
            <w:tcW w:w="2530" w:type="dxa"/>
            <w:shd w:val="clear" w:color="auto" w:fill="FFFFFF" w:themeFill="background1"/>
          </w:tcPr>
          <w:p w:rsidR="008A701F" w:rsidRPr="008F3E0D" w:rsidRDefault="00954C73" w:rsidP="00FD1DE4">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Likumprojekta 1.pants</w:t>
            </w:r>
            <w:r w:rsidR="008A701F">
              <w:rPr>
                <w:rFonts w:ascii="Times New Roman" w:hAnsi="Times New Roman" w:cs="Times New Roman"/>
                <w:sz w:val="24"/>
                <w:szCs w:val="24"/>
                <w:lang w:eastAsia="lv-LV"/>
              </w:rPr>
              <w:t>, KPL 60.</w:t>
            </w:r>
            <w:r w:rsidR="008A701F" w:rsidRPr="003B556C">
              <w:rPr>
                <w:rFonts w:ascii="Times New Roman" w:hAnsi="Times New Roman" w:cs="Times New Roman"/>
                <w:sz w:val="24"/>
                <w:szCs w:val="24"/>
                <w:vertAlign w:val="superscript"/>
                <w:lang w:eastAsia="lv-LV"/>
              </w:rPr>
              <w:t>2</w:t>
            </w:r>
            <w:r w:rsidR="008A701F">
              <w:rPr>
                <w:rFonts w:ascii="Times New Roman" w:hAnsi="Times New Roman" w:cs="Times New Roman"/>
                <w:sz w:val="24"/>
                <w:szCs w:val="24"/>
                <w:lang w:eastAsia="lv-LV"/>
              </w:rPr>
              <w:t>panta trešās daļas 2.punkts, KPL 247.panta pirmā un trešā daļa, ATKL 13.panta pirmās daļas  5. un 6.punkts, 13.</w:t>
            </w:r>
            <w:r w:rsidR="008A701F" w:rsidRPr="003B556C">
              <w:rPr>
                <w:rFonts w:ascii="Times New Roman" w:hAnsi="Times New Roman" w:cs="Times New Roman"/>
                <w:sz w:val="24"/>
                <w:szCs w:val="24"/>
                <w:vertAlign w:val="superscript"/>
                <w:lang w:eastAsia="lv-LV"/>
              </w:rPr>
              <w:t>1</w:t>
            </w:r>
            <w:r w:rsidR="008A701F">
              <w:rPr>
                <w:rFonts w:ascii="Times New Roman" w:hAnsi="Times New Roman" w:cs="Times New Roman"/>
                <w:sz w:val="24"/>
                <w:szCs w:val="24"/>
                <w:lang w:eastAsia="lv-LV"/>
              </w:rPr>
              <w:t>panta pirmā daļa</w:t>
            </w:r>
          </w:p>
        </w:tc>
        <w:tc>
          <w:tcPr>
            <w:tcW w:w="2287" w:type="dxa"/>
            <w:shd w:val="clear" w:color="auto" w:fill="FFFFFF" w:themeFill="background1"/>
          </w:tcPr>
          <w:p w:rsidR="00954C73" w:rsidRDefault="008A701F" w:rsidP="00954C7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Daļēji. </w:t>
            </w:r>
          </w:p>
          <w:p w:rsidR="008A701F" w:rsidRPr="00FA3933" w:rsidRDefault="008A701F" w:rsidP="00954C7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Ar likumprojekta „Grozījumi </w:t>
            </w:r>
            <w:r w:rsidR="00954C73">
              <w:rPr>
                <w:rFonts w:ascii="Times New Roman" w:hAnsi="Times New Roman"/>
                <w:sz w:val="24"/>
                <w:szCs w:val="24"/>
                <w:lang w:eastAsia="lv-LV"/>
              </w:rPr>
              <w:t>Kriminālprocesa likumā</w:t>
            </w:r>
            <w:r>
              <w:rPr>
                <w:rFonts w:ascii="Times New Roman" w:hAnsi="Times New Roman"/>
                <w:sz w:val="24"/>
                <w:szCs w:val="24"/>
                <w:lang w:eastAsia="lv-LV"/>
              </w:rPr>
              <w:t>” tiks pārņemts pilnībā.</w:t>
            </w:r>
          </w:p>
        </w:tc>
        <w:tc>
          <w:tcPr>
            <w:tcW w:w="2146" w:type="dxa"/>
            <w:shd w:val="clear" w:color="auto" w:fill="FFFFFF" w:themeFill="background1"/>
          </w:tcPr>
          <w:p w:rsidR="008A701F" w:rsidRPr="00FA3933" w:rsidRDefault="008A701F" w:rsidP="00FD1DE4">
            <w:pPr>
              <w:spacing w:after="0" w:line="240" w:lineRule="auto"/>
              <w:jc w:val="both"/>
              <w:rPr>
                <w:rFonts w:ascii="Times New Roman" w:hAnsi="Times New Roman"/>
                <w:sz w:val="24"/>
                <w:szCs w:val="24"/>
                <w:lang w:eastAsia="lv-LV"/>
              </w:rPr>
            </w:pPr>
            <w:r w:rsidRPr="00FA3933">
              <w:rPr>
                <w:rFonts w:ascii="Times New Roman" w:hAnsi="Times New Roman"/>
                <w:sz w:val="24"/>
                <w:szCs w:val="24"/>
                <w:lang w:eastAsia="lv-LV"/>
              </w:rPr>
              <w:t>Neparedz stingrākas prasības.</w:t>
            </w:r>
          </w:p>
        </w:tc>
      </w:tr>
      <w:tr w:rsidR="008A701F" w:rsidRPr="00FA3933" w:rsidTr="00FD1DE4">
        <w:trPr>
          <w:cantSplit/>
          <w:trHeight w:val="360"/>
          <w:tblCellSpacing w:w="20" w:type="dxa"/>
        </w:trPr>
        <w:tc>
          <w:tcPr>
            <w:tcW w:w="1909" w:type="dxa"/>
            <w:shd w:val="clear" w:color="auto" w:fill="FFFFFF" w:themeFill="background1"/>
          </w:tcPr>
          <w:p w:rsidR="008A701F" w:rsidRPr="00FA3933" w:rsidRDefault="008A701F" w:rsidP="00FD1D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15.pants</w:t>
            </w:r>
          </w:p>
        </w:tc>
        <w:tc>
          <w:tcPr>
            <w:tcW w:w="2530" w:type="dxa"/>
            <w:shd w:val="clear" w:color="auto" w:fill="FFFFFF" w:themeFill="background1"/>
          </w:tcPr>
          <w:p w:rsidR="008A701F" w:rsidRPr="00FA3933" w:rsidRDefault="008A701F" w:rsidP="00954C7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r w:rsidR="00954C73">
              <w:rPr>
                <w:rFonts w:ascii="Times New Roman" w:hAnsi="Times New Roman"/>
                <w:sz w:val="24"/>
                <w:szCs w:val="24"/>
                <w:lang w:eastAsia="lv-LV"/>
              </w:rPr>
              <w:t>2</w:t>
            </w:r>
            <w:r>
              <w:rPr>
                <w:rFonts w:ascii="Times New Roman" w:hAnsi="Times New Roman"/>
                <w:sz w:val="24"/>
                <w:szCs w:val="24"/>
                <w:lang w:eastAsia="lv-LV"/>
              </w:rPr>
              <w:t>.pants</w:t>
            </w:r>
          </w:p>
        </w:tc>
        <w:tc>
          <w:tcPr>
            <w:tcW w:w="2287" w:type="dxa"/>
            <w:shd w:val="clear" w:color="auto" w:fill="FFFFFF" w:themeFill="background1"/>
          </w:tcPr>
          <w:p w:rsidR="008A701F" w:rsidRPr="00FA3933" w:rsidRDefault="008A701F" w:rsidP="00FD1DE4">
            <w:pPr>
              <w:spacing w:after="0" w:line="240" w:lineRule="auto"/>
              <w:jc w:val="both"/>
              <w:rPr>
                <w:rFonts w:ascii="Times New Roman" w:hAnsi="Times New Roman"/>
                <w:sz w:val="24"/>
                <w:szCs w:val="24"/>
                <w:lang w:eastAsia="lv-LV"/>
              </w:rPr>
            </w:pPr>
            <w:r w:rsidRPr="00FA3933">
              <w:rPr>
                <w:rFonts w:ascii="Times New Roman" w:hAnsi="Times New Roman"/>
                <w:sz w:val="24"/>
                <w:szCs w:val="24"/>
                <w:lang w:eastAsia="lv-LV"/>
              </w:rPr>
              <w:t>Pārņemts pilnībā</w:t>
            </w:r>
          </w:p>
        </w:tc>
        <w:tc>
          <w:tcPr>
            <w:tcW w:w="2146" w:type="dxa"/>
            <w:shd w:val="clear" w:color="auto" w:fill="FFFFFF" w:themeFill="background1"/>
          </w:tcPr>
          <w:p w:rsidR="008A701F" w:rsidRPr="00FA3933" w:rsidRDefault="008A701F" w:rsidP="00FD1DE4">
            <w:pPr>
              <w:spacing w:after="0" w:line="240" w:lineRule="auto"/>
              <w:jc w:val="both"/>
              <w:rPr>
                <w:rFonts w:ascii="Times New Roman" w:hAnsi="Times New Roman"/>
                <w:sz w:val="24"/>
                <w:szCs w:val="24"/>
                <w:lang w:eastAsia="lv-LV"/>
              </w:rPr>
            </w:pPr>
            <w:r w:rsidRPr="00FA3933">
              <w:rPr>
                <w:rFonts w:ascii="Times New Roman" w:hAnsi="Times New Roman"/>
                <w:sz w:val="24"/>
                <w:szCs w:val="24"/>
                <w:lang w:eastAsia="lv-LV"/>
              </w:rPr>
              <w:t>Neparedz stingrākas prasības.</w:t>
            </w:r>
          </w:p>
        </w:tc>
      </w:tr>
      <w:tr w:rsidR="008A701F" w:rsidRPr="00FA3933" w:rsidTr="00FD1DE4">
        <w:trPr>
          <w:cantSplit/>
          <w:trHeight w:val="913"/>
          <w:tblCellSpacing w:w="20" w:type="dxa"/>
        </w:trPr>
        <w:tc>
          <w:tcPr>
            <w:tcW w:w="4479" w:type="dxa"/>
            <w:gridSpan w:val="2"/>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473" w:type="dxa"/>
            <w:gridSpan w:val="2"/>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z w:val="24"/>
                <w:szCs w:val="24"/>
                <w:lang w:eastAsia="lv-LV"/>
              </w:rPr>
              <w:t>Nav attiecināms.</w:t>
            </w:r>
          </w:p>
        </w:tc>
      </w:tr>
      <w:tr w:rsidR="008A701F" w:rsidRPr="00FA3933" w:rsidTr="00FD1DE4">
        <w:trPr>
          <w:cantSplit/>
          <w:trHeight w:val="579"/>
          <w:tblCellSpacing w:w="20" w:type="dxa"/>
        </w:trPr>
        <w:tc>
          <w:tcPr>
            <w:tcW w:w="1909" w:type="dxa"/>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z w:val="24"/>
                <w:szCs w:val="24"/>
                <w:lang w:eastAsia="lv-LV"/>
              </w:rPr>
              <w:t>Cita informācija</w:t>
            </w:r>
          </w:p>
        </w:tc>
        <w:tc>
          <w:tcPr>
            <w:tcW w:w="7043" w:type="dxa"/>
            <w:gridSpan w:val="3"/>
            <w:shd w:val="clear" w:color="auto" w:fill="FFFFFF" w:themeFill="background1"/>
          </w:tcPr>
          <w:p w:rsidR="008A701F" w:rsidRPr="00FA3933" w:rsidRDefault="008A701F" w:rsidP="00FD1DE4">
            <w:pPr>
              <w:spacing w:after="0" w:line="240" w:lineRule="auto"/>
              <w:ind w:left="57"/>
              <w:jc w:val="both"/>
              <w:rPr>
                <w:rFonts w:ascii="Times New Roman" w:hAnsi="Times New Roman"/>
                <w:sz w:val="24"/>
                <w:szCs w:val="24"/>
                <w:lang w:eastAsia="lv-LV"/>
              </w:rPr>
            </w:pPr>
            <w:r w:rsidRPr="00FA3933">
              <w:rPr>
                <w:rFonts w:ascii="Times New Roman" w:hAnsi="Times New Roman"/>
                <w:sz w:val="24"/>
                <w:szCs w:val="24"/>
                <w:lang w:eastAsia="lv-LV"/>
              </w:rPr>
              <w:t>Nav.</w:t>
            </w:r>
          </w:p>
        </w:tc>
      </w:tr>
    </w:tbl>
    <w:p w:rsidR="008A701F" w:rsidRDefault="008A701F" w:rsidP="008A701F">
      <w:pPr>
        <w:spacing w:after="0" w:line="240" w:lineRule="auto"/>
        <w:jc w:val="both"/>
        <w:rPr>
          <w:rFonts w:ascii="Times New Roman" w:eastAsia="Times New Roman" w:hAnsi="Times New Roman" w:cs="Times New Roman"/>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5"/>
        <w:gridCol w:w="2740"/>
        <w:gridCol w:w="5907"/>
      </w:tblGrid>
      <w:tr w:rsidR="008A701F" w:rsidRPr="00FA3933" w:rsidTr="00FD1DE4">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lastRenderedPageBreak/>
              <w:t>VI. Sabiedrības līdzdalība un komunikācijas aktivitātes</w:t>
            </w:r>
          </w:p>
        </w:tc>
      </w:tr>
      <w:tr w:rsidR="008A701F" w:rsidRPr="00FA3933" w:rsidTr="00FD1DE4">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50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Plānotās sabiedrības līdzdalības un komunikācijas aktivitātes saistībā ar projektu</w:t>
            </w:r>
          </w:p>
        </w:tc>
        <w:tc>
          <w:tcPr>
            <w:tcW w:w="324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Nav plānotas īpašas sabiedrības līdzdalības un komunikācijas aktivitātes. </w:t>
            </w:r>
          </w:p>
        </w:tc>
      </w:tr>
      <w:tr w:rsidR="008A701F" w:rsidRPr="00FA3933" w:rsidTr="00FD1DE4">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50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Sabiedrības līdzdalība projekta izstrādē</w:t>
            </w:r>
          </w:p>
        </w:tc>
        <w:tc>
          <w:tcPr>
            <w:tcW w:w="3245" w:type="pct"/>
            <w:tcBorders>
              <w:top w:val="outset" w:sz="6" w:space="0" w:color="414142"/>
              <w:left w:val="outset" w:sz="6" w:space="0" w:color="414142"/>
              <w:bottom w:val="outset" w:sz="6" w:space="0" w:color="414142"/>
              <w:right w:val="outset" w:sz="6" w:space="0" w:color="414142"/>
            </w:tcBorders>
            <w:hideMark/>
          </w:tcPr>
          <w:p w:rsidR="008A701F" w:rsidRDefault="008A701F" w:rsidP="00FD1DE4">
            <w:pPr>
              <w:spacing w:after="0" w:line="240" w:lineRule="auto"/>
              <w:jc w:val="both"/>
              <w:rPr>
                <w:rFonts w:ascii="Times New Roman" w:hAnsi="Times New Roman"/>
                <w:sz w:val="24"/>
                <w:szCs w:val="24"/>
                <w:lang w:eastAsia="lv-LV"/>
              </w:rPr>
            </w:pPr>
            <w:r w:rsidRPr="0021709E">
              <w:rPr>
                <w:rFonts w:ascii="Times New Roman" w:hAnsi="Times New Roman"/>
                <w:sz w:val="24"/>
                <w:szCs w:val="24"/>
                <w:lang w:eastAsia="lv-LV"/>
              </w:rPr>
              <w:t>Lai informētu sabiedrību par likumprojektu un dotu iespēju izteikt par to viedokļus, likumprojekts saskaņā ar Ministru kabineta 2009.gada 25.augusta noteikumiem Nr.970 „</w:t>
            </w:r>
            <w:r w:rsidRPr="0021709E">
              <w:rPr>
                <w:rFonts w:ascii="Times New Roman" w:hAnsi="Times New Roman"/>
                <w:bCs/>
                <w:sz w:val="24"/>
                <w:szCs w:val="24"/>
                <w:lang w:eastAsia="lv-LV"/>
              </w:rPr>
              <w:t>Sabiedrības līdzdalības kārtība attīstības plānošanas procesā” tika</w:t>
            </w:r>
            <w:r w:rsidRPr="0021709E">
              <w:rPr>
                <w:rFonts w:ascii="Times New Roman" w:hAnsi="Times New Roman"/>
                <w:sz w:val="24"/>
                <w:szCs w:val="24"/>
                <w:lang w:eastAsia="lv-LV"/>
              </w:rPr>
              <w:t xml:space="preserve"> ievietots Tieslietu ministrijas interneta mājas lapā.</w:t>
            </w:r>
          </w:p>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3.</w:t>
            </w:r>
          </w:p>
        </w:tc>
        <w:tc>
          <w:tcPr>
            <w:tcW w:w="150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Sabiedrības līdzdalības rezultāti</w:t>
            </w:r>
          </w:p>
        </w:tc>
        <w:tc>
          <w:tcPr>
            <w:tcW w:w="3245" w:type="pct"/>
            <w:tcBorders>
              <w:top w:val="outset" w:sz="6" w:space="0" w:color="414142"/>
              <w:left w:val="outset" w:sz="6" w:space="0" w:color="414142"/>
              <w:bottom w:val="outset" w:sz="6" w:space="0" w:color="414142"/>
              <w:right w:val="outset" w:sz="6" w:space="0" w:color="414142"/>
            </w:tcBorders>
            <w:hideMark/>
          </w:tcPr>
          <w:p w:rsidR="008A701F"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Viedokļi no sabiedrības locekļiem par izstrādāto likumprojektu netika saņemti.</w:t>
            </w:r>
          </w:p>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r>
      <w:tr w:rsidR="008A701F" w:rsidRPr="00FA3933" w:rsidTr="00FD1DE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4.</w:t>
            </w:r>
          </w:p>
        </w:tc>
        <w:tc>
          <w:tcPr>
            <w:tcW w:w="150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tc>
        <w:tc>
          <w:tcPr>
            <w:tcW w:w="3245"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 xml:space="preserve">Nav. </w:t>
            </w:r>
          </w:p>
        </w:tc>
      </w:tr>
    </w:tbl>
    <w:p w:rsidR="008A701F" w:rsidRDefault="008A701F" w:rsidP="008A701F">
      <w:pPr>
        <w:spacing w:after="0" w:line="240" w:lineRule="auto"/>
        <w:jc w:val="both"/>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A701F" w:rsidRPr="00FA3933" w:rsidTr="00FD1DE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A701F" w:rsidRPr="00FA3933" w:rsidRDefault="008A701F" w:rsidP="00FD1DE4">
            <w:pPr>
              <w:spacing w:after="0" w:line="240" w:lineRule="auto"/>
              <w:ind w:firstLine="300"/>
              <w:jc w:val="center"/>
              <w:rPr>
                <w:rFonts w:ascii="Times New Roman" w:eastAsia="Times New Roman" w:hAnsi="Times New Roman" w:cs="Times New Roman"/>
                <w:b/>
                <w:bCs/>
                <w:sz w:val="24"/>
                <w:szCs w:val="24"/>
                <w:lang w:eastAsia="lv-LV"/>
              </w:rPr>
            </w:pPr>
            <w:r w:rsidRPr="00FA3933">
              <w:rPr>
                <w:rFonts w:ascii="Times New Roman" w:eastAsia="Times New Roman" w:hAnsi="Times New Roman" w:cs="Times New Roman"/>
                <w:b/>
                <w:bCs/>
                <w:sz w:val="24"/>
                <w:szCs w:val="24"/>
                <w:lang w:eastAsia="lv-LV"/>
              </w:rPr>
              <w:t>VII. Tiesību akta projekta izpildes nodrošināšana un tās ietekme uz institūcijām</w:t>
            </w:r>
          </w:p>
        </w:tc>
      </w:tr>
      <w:tr w:rsidR="008A701F" w:rsidRPr="00FA3933" w:rsidTr="00FD1DE4">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8A701F" w:rsidRPr="00000BB8" w:rsidRDefault="008A701F" w:rsidP="00FD1DE4">
            <w:pPr>
              <w:pStyle w:val="naisf"/>
              <w:spacing w:before="0" w:beforeAutospacing="0" w:after="0" w:afterAutospacing="0"/>
              <w:ind w:firstLine="680"/>
              <w:jc w:val="both"/>
            </w:pPr>
            <w:r w:rsidRPr="00FA3933">
              <w:t xml:space="preserve">Tiesību akta izpilde notiks esošo valsts institūciju ietvaros. </w:t>
            </w:r>
          </w:p>
          <w:p w:rsidR="008A701F" w:rsidRPr="00000BB8" w:rsidRDefault="008A701F" w:rsidP="00FD1DE4">
            <w:pPr>
              <w:spacing w:after="0" w:line="240" w:lineRule="auto"/>
              <w:ind w:firstLine="610"/>
              <w:jc w:val="both"/>
              <w:rPr>
                <w:rFonts w:ascii="Times New Roman" w:hAnsi="Times New Roman" w:cs="Times New Roman"/>
                <w:sz w:val="24"/>
                <w:szCs w:val="24"/>
              </w:rPr>
            </w:pPr>
          </w:p>
        </w:tc>
      </w:tr>
      <w:tr w:rsidR="008A701F" w:rsidRPr="00FA3933" w:rsidTr="00FD1DE4">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 xml:space="preserve">Projekta izpildes ietekme uz pārvaldes funkcijām un institucionālo struktūru. </w:t>
            </w:r>
          </w:p>
          <w:p w:rsidR="008A701F" w:rsidRPr="00FA3933" w:rsidRDefault="008A701F" w:rsidP="00FD1DE4">
            <w:pPr>
              <w:spacing w:after="0" w:line="240" w:lineRule="auto"/>
              <w:ind w:firstLine="300"/>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610"/>
              <w:jc w:val="both"/>
              <w:rPr>
                <w:rFonts w:ascii="Times New Roman" w:eastAsia="Times New Roman" w:hAnsi="Times New Roman" w:cs="Times New Roman"/>
                <w:sz w:val="24"/>
                <w:szCs w:val="24"/>
                <w:lang w:eastAsia="lv-LV"/>
              </w:rPr>
            </w:pPr>
            <w:r w:rsidRPr="00FA3933">
              <w:rPr>
                <w:rFonts w:ascii="Times New Roman" w:hAnsi="Times New Roman" w:cs="Times New Roman"/>
                <w:sz w:val="24"/>
                <w:szCs w:val="24"/>
              </w:rPr>
              <w:t>Jaunas valsts institūcijas netiek radītas, esošās institūcijas netiek likvidētas vai reorganizētas.</w:t>
            </w:r>
          </w:p>
        </w:tc>
      </w:tr>
      <w:tr w:rsidR="008A701F" w:rsidRPr="00FA3933" w:rsidTr="00FD1DE4">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8A701F" w:rsidRDefault="008A701F" w:rsidP="00FD1DE4">
            <w:pPr>
              <w:spacing w:after="0" w:line="240" w:lineRule="auto"/>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Cita informācija</w:t>
            </w:r>
          </w:p>
          <w:p w:rsidR="008A701F" w:rsidRPr="00FA3933" w:rsidRDefault="008A701F" w:rsidP="00FD1DE4">
            <w:pPr>
              <w:spacing w:after="0" w:line="240" w:lineRule="auto"/>
              <w:jc w:val="both"/>
              <w:rPr>
                <w:rFonts w:ascii="Times New Roman" w:eastAsia="Times New Roman" w:hAnsi="Times New Roman" w:cs="Times New Roman"/>
                <w:sz w:val="24"/>
                <w:szCs w:val="24"/>
                <w:lang w:eastAsia="lv-LV"/>
              </w:rPr>
            </w:pPr>
          </w:p>
        </w:tc>
        <w:tc>
          <w:tcPr>
            <w:tcW w:w="2850" w:type="pct"/>
            <w:tcBorders>
              <w:top w:val="outset" w:sz="6" w:space="0" w:color="414142"/>
              <w:left w:val="outset" w:sz="6" w:space="0" w:color="414142"/>
              <w:bottom w:val="outset" w:sz="6" w:space="0" w:color="414142"/>
              <w:right w:val="outset" w:sz="6" w:space="0" w:color="414142"/>
            </w:tcBorders>
            <w:hideMark/>
          </w:tcPr>
          <w:p w:rsidR="008A701F" w:rsidRPr="00FA3933" w:rsidRDefault="008A701F" w:rsidP="00FD1DE4">
            <w:pPr>
              <w:spacing w:after="0" w:line="240" w:lineRule="auto"/>
              <w:ind w:firstLine="43"/>
              <w:jc w:val="both"/>
              <w:rPr>
                <w:rFonts w:ascii="Times New Roman" w:eastAsia="Times New Roman" w:hAnsi="Times New Roman" w:cs="Times New Roman"/>
                <w:sz w:val="24"/>
                <w:szCs w:val="24"/>
                <w:lang w:eastAsia="lv-LV"/>
              </w:rPr>
            </w:pPr>
            <w:r w:rsidRPr="00FA3933">
              <w:rPr>
                <w:rFonts w:ascii="Times New Roman" w:eastAsia="Times New Roman" w:hAnsi="Times New Roman" w:cs="Times New Roman"/>
                <w:sz w:val="24"/>
                <w:szCs w:val="24"/>
                <w:lang w:eastAsia="lv-LV"/>
              </w:rPr>
              <w:t xml:space="preserve">Nav. </w:t>
            </w:r>
          </w:p>
        </w:tc>
      </w:tr>
    </w:tbl>
    <w:p w:rsidR="008A701F" w:rsidRPr="00FA3933" w:rsidRDefault="008A701F" w:rsidP="008A701F">
      <w:pPr>
        <w:spacing w:after="0" w:line="240" w:lineRule="auto"/>
        <w:jc w:val="both"/>
        <w:rPr>
          <w:rFonts w:ascii="Times New Roman" w:hAnsi="Times New Roman" w:cs="Times New Roman"/>
          <w:sz w:val="24"/>
          <w:szCs w:val="24"/>
        </w:rPr>
      </w:pPr>
    </w:p>
    <w:p w:rsidR="008A701F" w:rsidRDefault="008A701F" w:rsidP="008A701F">
      <w:pPr>
        <w:tabs>
          <w:tab w:val="left" w:pos="7230"/>
          <w:tab w:val="right" w:pos="8789"/>
        </w:tabs>
        <w:spacing w:after="0" w:line="240" w:lineRule="auto"/>
        <w:ind w:right="-143"/>
        <w:jc w:val="both"/>
        <w:rPr>
          <w:rFonts w:ascii="Times New Roman" w:hAnsi="Times New Roman"/>
          <w:sz w:val="24"/>
          <w:szCs w:val="24"/>
        </w:rPr>
      </w:pPr>
      <w:r>
        <w:rPr>
          <w:rFonts w:ascii="Times New Roman" w:hAnsi="Times New Roman"/>
          <w:sz w:val="24"/>
          <w:szCs w:val="24"/>
        </w:rPr>
        <w:t>Iesniedzēja:</w:t>
      </w:r>
    </w:p>
    <w:p w:rsidR="008A701F" w:rsidRPr="00FA3933" w:rsidRDefault="008A701F" w:rsidP="008A701F">
      <w:pPr>
        <w:tabs>
          <w:tab w:val="left" w:pos="7230"/>
          <w:tab w:val="right" w:pos="8789"/>
        </w:tabs>
        <w:spacing w:after="0" w:line="240" w:lineRule="auto"/>
        <w:ind w:right="-143"/>
        <w:jc w:val="both"/>
        <w:rPr>
          <w:rFonts w:ascii="Times New Roman" w:hAnsi="Times New Roman"/>
          <w:sz w:val="24"/>
          <w:szCs w:val="24"/>
        </w:rPr>
      </w:pPr>
      <w:r w:rsidRPr="00FA3933">
        <w:rPr>
          <w:rFonts w:ascii="Times New Roman" w:hAnsi="Times New Roman"/>
          <w:sz w:val="24"/>
          <w:szCs w:val="24"/>
        </w:rPr>
        <w:t>Tieslietu ministr</w:t>
      </w:r>
      <w:r>
        <w:rPr>
          <w:rFonts w:ascii="Times New Roman" w:hAnsi="Times New Roman"/>
          <w:sz w:val="24"/>
          <w:szCs w:val="24"/>
        </w:rPr>
        <w:t>s</w:t>
      </w:r>
      <w:r w:rsidRPr="00FA3933">
        <w:rPr>
          <w:rFonts w:ascii="Times New Roman" w:hAnsi="Times New Roman"/>
          <w:sz w:val="24"/>
          <w:szCs w:val="24"/>
        </w:rPr>
        <w:tab/>
      </w:r>
      <w:proofErr w:type="spellStart"/>
      <w:r>
        <w:rPr>
          <w:rFonts w:ascii="Times New Roman" w:hAnsi="Times New Roman"/>
          <w:sz w:val="24"/>
          <w:szCs w:val="24"/>
        </w:rPr>
        <w:t>Dz.Rasnačs</w:t>
      </w:r>
      <w:proofErr w:type="spellEnd"/>
      <w:r w:rsidRPr="00FA3933">
        <w:rPr>
          <w:rFonts w:ascii="Times New Roman" w:hAnsi="Times New Roman"/>
          <w:sz w:val="24"/>
          <w:szCs w:val="24"/>
        </w:rPr>
        <w:t xml:space="preserve"> </w:t>
      </w:r>
    </w:p>
    <w:p w:rsidR="008A701F" w:rsidRDefault="008A701F" w:rsidP="008A701F">
      <w:pPr>
        <w:spacing w:after="0" w:line="240" w:lineRule="auto"/>
        <w:jc w:val="both"/>
        <w:rPr>
          <w:rFonts w:ascii="Times New Roman" w:hAnsi="Times New Roman"/>
          <w:sz w:val="24"/>
          <w:szCs w:val="24"/>
        </w:rPr>
      </w:pPr>
    </w:p>
    <w:p w:rsidR="008A701F" w:rsidRPr="00FA3933" w:rsidRDefault="008A701F" w:rsidP="008A701F">
      <w:pPr>
        <w:spacing w:after="0" w:line="240" w:lineRule="auto"/>
        <w:jc w:val="both"/>
        <w:rPr>
          <w:rFonts w:ascii="Times New Roman" w:hAnsi="Times New Roman"/>
          <w:sz w:val="24"/>
          <w:szCs w:val="24"/>
        </w:rPr>
      </w:pPr>
    </w:p>
    <w:p w:rsidR="008A701F" w:rsidRPr="00FA3933" w:rsidRDefault="008A701F" w:rsidP="008A701F">
      <w:pPr>
        <w:spacing w:after="0" w:line="240" w:lineRule="auto"/>
        <w:jc w:val="both"/>
        <w:rPr>
          <w:rFonts w:ascii="Times New Roman" w:hAnsi="Times New Roman"/>
          <w:sz w:val="24"/>
          <w:szCs w:val="24"/>
        </w:rPr>
      </w:pPr>
    </w:p>
    <w:p w:rsidR="008A701F" w:rsidRPr="00FA3933" w:rsidRDefault="008A701F" w:rsidP="008A701F">
      <w:pPr>
        <w:spacing w:after="0" w:line="240" w:lineRule="auto"/>
        <w:jc w:val="both"/>
        <w:rPr>
          <w:rFonts w:ascii="Times New Roman" w:hAnsi="Times New Roman"/>
          <w:sz w:val="24"/>
          <w:szCs w:val="24"/>
        </w:rPr>
      </w:pPr>
    </w:p>
    <w:p w:rsidR="008A701F" w:rsidRPr="00954C73" w:rsidRDefault="0021709E" w:rsidP="008A701F">
      <w:pPr>
        <w:spacing w:after="0" w:line="240" w:lineRule="auto"/>
        <w:jc w:val="both"/>
        <w:rPr>
          <w:rFonts w:ascii="Times New Roman" w:hAnsi="Times New Roman"/>
          <w:sz w:val="20"/>
          <w:szCs w:val="24"/>
          <w:lang w:eastAsia="lv-LV" w:bidi="lo-LA"/>
        </w:rPr>
      </w:pPr>
      <w:r>
        <w:rPr>
          <w:rFonts w:ascii="Times New Roman" w:hAnsi="Times New Roman"/>
          <w:sz w:val="20"/>
          <w:szCs w:val="24"/>
          <w:lang w:eastAsia="lv-LV" w:bidi="lo-LA"/>
        </w:rPr>
        <w:t>21</w:t>
      </w:r>
      <w:r w:rsidR="00954C73" w:rsidRPr="00954C73">
        <w:rPr>
          <w:rFonts w:ascii="Times New Roman" w:hAnsi="Times New Roman"/>
          <w:sz w:val="20"/>
          <w:szCs w:val="24"/>
          <w:lang w:eastAsia="lv-LV" w:bidi="lo-LA"/>
        </w:rPr>
        <w:t>.11</w:t>
      </w:r>
      <w:r w:rsidR="008A701F" w:rsidRPr="00954C73">
        <w:rPr>
          <w:rFonts w:ascii="Times New Roman" w:hAnsi="Times New Roman"/>
          <w:sz w:val="20"/>
          <w:szCs w:val="24"/>
          <w:lang w:eastAsia="lv-LV" w:bidi="lo-LA"/>
        </w:rPr>
        <w:t>.2014. 1</w:t>
      </w:r>
      <w:r>
        <w:rPr>
          <w:rFonts w:ascii="Times New Roman" w:hAnsi="Times New Roman"/>
          <w:sz w:val="20"/>
          <w:szCs w:val="24"/>
          <w:lang w:eastAsia="lv-LV" w:bidi="lo-LA"/>
        </w:rPr>
        <w:t>6</w:t>
      </w:r>
      <w:r w:rsidR="008A701F" w:rsidRPr="00954C73">
        <w:rPr>
          <w:rFonts w:ascii="Times New Roman" w:hAnsi="Times New Roman"/>
          <w:sz w:val="20"/>
          <w:szCs w:val="24"/>
          <w:lang w:eastAsia="lv-LV" w:bidi="lo-LA"/>
        </w:rPr>
        <w:t>:</w:t>
      </w:r>
      <w:r>
        <w:rPr>
          <w:rFonts w:ascii="Times New Roman" w:hAnsi="Times New Roman"/>
          <w:sz w:val="20"/>
          <w:szCs w:val="24"/>
          <w:lang w:eastAsia="lv-LV" w:bidi="lo-LA"/>
        </w:rPr>
        <w:t>3</w:t>
      </w:r>
      <w:r w:rsidR="008A701F" w:rsidRPr="00954C73">
        <w:rPr>
          <w:rFonts w:ascii="Times New Roman" w:hAnsi="Times New Roman"/>
          <w:sz w:val="20"/>
          <w:szCs w:val="24"/>
          <w:lang w:eastAsia="lv-LV" w:bidi="lo-LA"/>
        </w:rPr>
        <w:t>6</w:t>
      </w:r>
    </w:p>
    <w:p w:rsidR="008A701F" w:rsidRPr="00FA3933" w:rsidRDefault="0021709E" w:rsidP="008A701F">
      <w:pPr>
        <w:spacing w:after="0" w:line="240" w:lineRule="auto"/>
        <w:jc w:val="both"/>
        <w:rPr>
          <w:rFonts w:ascii="Times New Roman" w:hAnsi="Times New Roman"/>
          <w:sz w:val="20"/>
          <w:szCs w:val="24"/>
          <w:lang w:eastAsia="lv-LV" w:bidi="lo-LA"/>
        </w:rPr>
      </w:pPr>
      <w:r>
        <w:rPr>
          <w:rFonts w:ascii="Times New Roman" w:hAnsi="Times New Roman"/>
          <w:sz w:val="20"/>
          <w:szCs w:val="24"/>
          <w:lang w:eastAsia="lv-LV" w:bidi="lo-LA"/>
        </w:rPr>
        <w:t>1211</w:t>
      </w:r>
    </w:p>
    <w:p w:rsidR="008A701F" w:rsidRPr="00FA3933" w:rsidRDefault="0021709E" w:rsidP="008A701F">
      <w:pPr>
        <w:spacing w:after="0" w:line="240" w:lineRule="auto"/>
        <w:jc w:val="both"/>
        <w:rPr>
          <w:rFonts w:ascii="Times New Roman" w:hAnsi="Times New Roman"/>
          <w:sz w:val="20"/>
          <w:szCs w:val="24"/>
          <w:lang w:eastAsia="lv-LV" w:bidi="lo-LA"/>
        </w:rPr>
      </w:pPr>
      <w:proofErr w:type="spellStart"/>
      <w:r>
        <w:rPr>
          <w:rFonts w:ascii="Times New Roman" w:hAnsi="Times New Roman"/>
          <w:sz w:val="20"/>
          <w:szCs w:val="24"/>
          <w:lang w:eastAsia="lv-LV" w:bidi="lo-LA"/>
        </w:rPr>
        <w:t>J.Janums</w:t>
      </w:r>
      <w:proofErr w:type="spellEnd"/>
    </w:p>
    <w:p w:rsidR="008A701F" w:rsidRPr="00FA3933" w:rsidRDefault="0021709E" w:rsidP="008A701F">
      <w:pPr>
        <w:spacing w:after="0" w:line="240" w:lineRule="auto"/>
        <w:jc w:val="both"/>
        <w:rPr>
          <w:rFonts w:ascii="Times New Roman" w:hAnsi="Times New Roman"/>
          <w:sz w:val="20"/>
          <w:szCs w:val="24"/>
          <w:lang w:eastAsia="lv-LV" w:bidi="lo-LA"/>
        </w:rPr>
      </w:pPr>
      <w:r>
        <w:rPr>
          <w:rFonts w:ascii="Times New Roman" w:hAnsi="Times New Roman"/>
          <w:sz w:val="20"/>
          <w:szCs w:val="24"/>
          <w:lang w:eastAsia="lv-LV" w:bidi="lo-LA"/>
        </w:rPr>
        <w:t>67036970</w:t>
      </w:r>
      <w:r w:rsidR="008A701F" w:rsidRPr="00FA3933">
        <w:rPr>
          <w:rFonts w:ascii="Times New Roman" w:hAnsi="Times New Roman"/>
          <w:sz w:val="20"/>
          <w:szCs w:val="24"/>
          <w:lang w:eastAsia="lv-LV" w:bidi="lo-LA"/>
        </w:rPr>
        <w:t xml:space="preserve">, </w:t>
      </w:r>
      <w:r w:rsidRPr="0021709E">
        <w:rPr>
          <w:rFonts w:ascii="Times New Roman" w:hAnsi="Times New Roman" w:cs="Times New Roman"/>
          <w:sz w:val="20"/>
          <w:szCs w:val="24"/>
          <w:lang w:eastAsia="lv-LV" w:bidi="lo-LA"/>
        </w:rPr>
        <w:t>J</w:t>
      </w:r>
      <w:r>
        <w:rPr>
          <w:rFonts w:ascii="Times New Roman" w:hAnsi="Times New Roman" w:cs="Times New Roman"/>
          <w:sz w:val="20"/>
          <w:szCs w:val="24"/>
          <w:lang w:eastAsia="lv-LV" w:bidi="lo-LA"/>
        </w:rPr>
        <w:t>uris.Janums@tm.gov.lv</w:t>
      </w:r>
      <w:r w:rsidR="008A701F" w:rsidRPr="00FA3933">
        <w:rPr>
          <w:rFonts w:ascii="Times New Roman" w:hAnsi="Times New Roman"/>
          <w:sz w:val="20"/>
          <w:szCs w:val="24"/>
          <w:lang w:eastAsia="lv-LV" w:bidi="lo-LA"/>
        </w:rPr>
        <w:t xml:space="preserve"> </w:t>
      </w:r>
    </w:p>
    <w:p w:rsidR="008A701F" w:rsidRPr="00FA3933" w:rsidRDefault="008A701F" w:rsidP="008A701F">
      <w:pPr>
        <w:spacing w:after="0" w:line="240" w:lineRule="auto"/>
        <w:jc w:val="both"/>
        <w:rPr>
          <w:rFonts w:ascii="Times New Roman" w:hAnsi="Times New Roman" w:cs="Times New Roman"/>
          <w:sz w:val="24"/>
          <w:szCs w:val="24"/>
        </w:rPr>
      </w:pPr>
    </w:p>
    <w:p w:rsidR="008A701F" w:rsidRDefault="008A701F" w:rsidP="008A701F"/>
    <w:p w:rsidR="00183344" w:rsidRDefault="00183344"/>
    <w:sectPr w:rsidR="00183344" w:rsidSect="00D3165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73" w:rsidRDefault="00954C73" w:rsidP="00954C73">
      <w:pPr>
        <w:spacing w:after="0" w:line="240" w:lineRule="auto"/>
      </w:pPr>
      <w:r>
        <w:separator/>
      </w:r>
    </w:p>
  </w:endnote>
  <w:endnote w:type="continuationSeparator" w:id="0">
    <w:p w:rsidR="00954C73" w:rsidRDefault="00954C73" w:rsidP="0095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73" w:rsidRDefault="00954C7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5D" w:rsidRPr="00FA3933" w:rsidRDefault="00954C73" w:rsidP="007344D6">
    <w:pPr>
      <w:pStyle w:val="Kjene"/>
      <w:jc w:val="both"/>
      <w:rPr>
        <w:rFonts w:ascii="Times New Roman" w:hAnsi="Times New Roman"/>
      </w:rPr>
    </w:pPr>
    <w:r w:rsidRPr="004A1B2F">
      <w:rPr>
        <w:rFonts w:ascii="Times New Roman" w:hAnsi="Times New Roman"/>
      </w:rPr>
      <w:t>TMAnot_</w:t>
    </w:r>
    <w:r w:rsidR="00EF36F6">
      <w:rPr>
        <w:rFonts w:ascii="Times New Roman" w:hAnsi="Times New Roman"/>
      </w:rPr>
      <w:t>211</w:t>
    </w:r>
    <w:r>
      <w:rPr>
        <w:rFonts w:ascii="Times New Roman" w:hAnsi="Times New Roman"/>
      </w:rPr>
      <w:t>114</w:t>
    </w:r>
    <w:r w:rsidRPr="004A1B2F">
      <w:rPr>
        <w:rFonts w:ascii="Times New Roman" w:hAnsi="Times New Roman"/>
      </w:rPr>
      <w:t>_</w:t>
    </w:r>
    <w:r>
      <w:rPr>
        <w:rFonts w:ascii="Times New Roman" w:hAnsi="Times New Roman"/>
      </w:rPr>
      <w:t>ATKL</w:t>
    </w:r>
    <w:r w:rsidRPr="004A1B2F">
      <w:rPr>
        <w:rFonts w:ascii="Times New Roman" w:hAnsi="Times New Roman"/>
      </w:rPr>
      <w:t xml:space="preserve">; Likumprojekta „Grozījumi </w:t>
    </w:r>
    <w:r>
      <w:rPr>
        <w:rFonts w:ascii="Times New Roman" w:hAnsi="Times New Roman"/>
      </w:rPr>
      <w:t xml:space="preserve">Apcietinājuma turēšanas kārtības </w:t>
    </w:r>
    <w:r w:rsidRPr="004A1B2F">
      <w:rPr>
        <w:rFonts w:ascii="Times New Roman" w:hAnsi="Times New Roman"/>
      </w:rPr>
      <w:t>likumā”</w:t>
    </w:r>
    <w:r>
      <w:rPr>
        <w:rFonts w:ascii="Times New Roman" w:hAnsi="Times New Roman"/>
      </w:rPr>
      <w:t xml:space="preserve"> </w:t>
    </w:r>
    <w:r w:rsidRPr="004A1B2F">
      <w:rPr>
        <w:rFonts w:ascii="Times New Roman" w:hAnsi="Times New Roman"/>
      </w:rPr>
      <w:t xml:space="preserve">sākotnējās ietekmes novērtējuma </w:t>
    </w:r>
    <w:smartTag w:uri="schemas-tilde-lv/tildestengine" w:element="veidnes">
      <w:smartTagPr>
        <w:attr w:name="id" w:val="-1"/>
        <w:attr w:name="baseform" w:val="ziņojums"/>
        <w:attr w:name="text" w:val="ziņojums"/>
      </w:smartTagPr>
      <w:r w:rsidRPr="004A1B2F">
        <w:rPr>
          <w:rFonts w:ascii="Times New Roman" w:hAnsi="Times New Roman"/>
        </w:rPr>
        <w:t>ziņojums</w:t>
      </w:r>
    </w:smartTag>
    <w:r w:rsidRPr="004A1B2F">
      <w:rPr>
        <w:rFonts w:ascii="Times New Roman" w:hAnsi="Times New Roman"/>
      </w:rPr>
      <w:t xml:space="preserve"> </w:t>
    </w:r>
    <w:r w:rsidRPr="004A1B2F">
      <w:rPr>
        <w:rFonts w:ascii="Times New Roman" w:hAnsi="Times New Roman"/>
        <w:bCs/>
        <w:lang w:eastAsia="lv-LV"/>
      </w:rPr>
      <w:t>(anotācija)</w:t>
    </w:r>
  </w:p>
  <w:p w:rsidR="00D3165D" w:rsidRPr="007344D6" w:rsidRDefault="008E4194" w:rsidP="007344D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73" w:rsidRPr="00FA3933" w:rsidRDefault="00954C73" w:rsidP="00954C73">
    <w:pPr>
      <w:pStyle w:val="Kjene"/>
      <w:jc w:val="both"/>
      <w:rPr>
        <w:rFonts w:ascii="Times New Roman" w:hAnsi="Times New Roman"/>
      </w:rPr>
    </w:pPr>
    <w:r w:rsidRPr="004A1B2F">
      <w:rPr>
        <w:rFonts w:ascii="Times New Roman" w:hAnsi="Times New Roman"/>
      </w:rPr>
      <w:t>TMAnot_</w:t>
    </w:r>
    <w:r w:rsidR="008E4194">
      <w:rPr>
        <w:rFonts w:ascii="Times New Roman" w:hAnsi="Times New Roman"/>
      </w:rPr>
      <w:t>21</w:t>
    </w:r>
    <w:bookmarkStart w:id="0" w:name="_GoBack"/>
    <w:bookmarkEnd w:id="0"/>
    <w:r>
      <w:rPr>
        <w:rFonts w:ascii="Times New Roman" w:hAnsi="Times New Roman"/>
      </w:rPr>
      <w:t>1114</w:t>
    </w:r>
    <w:r w:rsidRPr="004A1B2F">
      <w:rPr>
        <w:rFonts w:ascii="Times New Roman" w:hAnsi="Times New Roman"/>
      </w:rPr>
      <w:t>_</w:t>
    </w:r>
    <w:r>
      <w:rPr>
        <w:rFonts w:ascii="Times New Roman" w:hAnsi="Times New Roman"/>
      </w:rPr>
      <w:t>ATKL</w:t>
    </w:r>
    <w:r w:rsidRPr="004A1B2F">
      <w:rPr>
        <w:rFonts w:ascii="Times New Roman" w:hAnsi="Times New Roman"/>
      </w:rPr>
      <w:t xml:space="preserve">; Likumprojekta „Grozījumi </w:t>
    </w:r>
    <w:r>
      <w:rPr>
        <w:rFonts w:ascii="Times New Roman" w:hAnsi="Times New Roman"/>
      </w:rPr>
      <w:t xml:space="preserve">Apcietinājuma turēšanas kārtības </w:t>
    </w:r>
    <w:r w:rsidRPr="004A1B2F">
      <w:rPr>
        <w:rFonts w:ascii="Times New Roman" w:hAnsi="Times New Roman"/>
      </w:rPr>
      <w:t>likumā”</w:t>
    </w:r>
    <w:r>
      <w:rPr>
        <w:rFonts w:ascii="Times New Roman" w:hAnsi="Times New Roman"/>
      </w:rPr>
      <w:t xml:space="preserve"> </w:t>
    </w:r>
    <w:r w:rsidRPr="004A1B2F">
      <w:rPr>
        <w:rFonts w:ascii="Times New Roman" w:hAnsi="Times New Roman"/>
      </w:rPr>
      <w:t xml:space="preserve">sākotnējās ietekmes novērtējuma </w:t>
    </w:r>
    <w:smartTag w:uri="schemas-tilde-lv/tildestengine" w:element="veidnes">
      <w:smartTagPr>
        <w:attr w:name="id" w:val="-1"/>
        <w:attr w:name="baseform" w:val="ziņojums"/>
        <w:attr w:name="text" w:val="ziņojums"/>
      </w:smartTagPr>
      <w:r w:rsidRPr="004A1B2F">
        <w:rPr>
          <w:rFonts w:ascii="Times New Roman" w:hAnsi="Times New Roman"/>
        </w:rPr>
        <w:t>ziņojums</w:t>
      </w:r>
    </w:smartTag>
    <w:r w:rsidRPr="004A1B2F">
      <w:rPr>
        <w:rFonts w:ascii="Times New Roman" w:hAnsi="Times New Roman"/>
      </w:rPr>
      <w:t xml:space="preserve"> </w:t>
    </w:r>
    <w:r w:rsidRPr="004A1B2F">
      <w:rPr>
        <w:rFonts w:ascii="Times New Roman" w:hAnsi="Times New Roman"/>
        <w:bCs/>
        <w:lang w:eastAsia="lv-LV"/>
      </w:rPr>
      <w:t>(anotācija)</w:t>
    </w:r>
  </w:p>
  <w:p w:rsidR="00D3165D" w:rsidRPr="00954C73" w:rsidRDefault="008E4194" w:rsidP="00954C7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73" w:rsidRDefault="00954C73" w:rsidP="00954C73">
      <w:pPr>
        <w:spacing w:after="0" w:line="240" w:lineRule="auto"/>
      </w:pPr>
      <w:r>
        <w:separator/>
      </w:r>
    </w:p>
  </w:footnote>
  <w:footnote w:type="continuationSeparator" w:id="0">
    <w:p w:rsidR="00954C73" w:rsidRDefault="00954C73" w:rsidP="0095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73" w:rsidRDefault="00954C7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D3165D" w:rsidRPr="004D15A9" w:rsidRDefault="00954C73">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E4194">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rsidR="00D3165D" w:rsidRDefault="008E419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73" w:rsidRDefault="00954C73">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1F"/>
    <w:rsid w:val="00023CB8"/>
    <w:rsid w:val="001065CD"/>
    <w:rsid w:val="00120476"/>
    <w:rsid w:val="00183344"/>
    <w:rsid w:val="00216198"/>
    <w:rsid w:val="0021709E"/>
    <w:rsid w:val="00470C96"/>
    <w:rsid w:val="005414E9"/>
    <w:rsid w:val="005A3C48"/>
    <w:rsid w:val="00612CD6"/>
    <w:rsid w:val="00663F44"/>
    <w:rsid w:val="00834A00"/>
    <w:rsid w:val="008A701F"/>
    <w:rsid w:val="008E4194"/>
    <w:rsid w:val="008E4D4B"/>
    <w:rsid w:val="00954C73"/>
    <w:rsid w:val="009562B0"/>
    <w:rsid w:val="00982EA1"/>
    <w:rsid w:val="00994A2B"/>
    <w:rsid w:val="009F3D3B"/>
    <w:rsid w:val="00B15175"/>
    <w:rsid w:val="00B525CA"/>
    <w:rsid w:val="00BD5503"/>
    <w:rsid w:val="00C10C83"/>
    <w:rsid w:val="00C92D36"/>
    <w:rsid w:val="00D95453"/>
    <w:rsid w:val="00DA0C5C"/>
    <w:rsid w:val="00DA20E3"/>
    <w:rsid w:val="00DF5DD9"/>
    <w:rsid w:val="00EF36F6"/>
    <w:rsid w:val="00F021DD"/>
    <w:rsid w:val="00F04285"/>
    <w:rsid w:val="00FA5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701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70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701F"/>
  </w:style>
  <w:style w:type="paragraph" w:styleId="Kjene">
    <w:name w:val="footer"/>
    <w:basedOn w:val="Parasts"/>
    <w:link w:val="KjeneRakstz"/>
    <w:uiPriority w:val="99"/>
    <w:unhideWhenUsed/>
    <w:rsid w:val="008A70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701F"/>
  </w:style>
  <w:style w:type="paragraph" w:styleId="Paraststmeklis">
    <w:name w:val="Normal (Web)"/>
    <w:basedOn w:val="Parasts"/>
    <w:uiPriority w:val="99"/>
    <w:unhideWhenUsed/>
    <w:rsid w:val="008A701F"/>
    <w:pPr>
      <w:spacing w:before="100" w:beforeAutospacing="1" w:after="100" w:afterAutospacing="1" w:line="240" w:lineRule="auto"/>
    </w:pPr>
    <w:rPr>
      <w:rFonts w:ascii="Verdana" w:eastAsia="Times New Roman" w:hAnsi="Verdana" w:cs="Times New Roman"/>
      <w:sz w:val="18"/>
      <w:szCs w:val="18"/>
      <w:lang w:val="en-US"/>
    </w:rPr>
  </w:style>
  <w:style w:type="paragraph" w:customStyle="1" w:styleId="Default">
    <w:name w:val="Default"/>
    <w:rsid w:val="008A701F"/>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character" w:styleId="Hipersaite">
    <w:name w:val="Hyperlink"/>
    <w:uiPriority w:val="99"/>
    <w:unhideWhenUsed/>
    <w:rsid w:val="008A701F"/>
    <w:rPr>
      <w:rFonts w:cs="Times New Roman"/>
      <w:color w:val="0000FF"/>
      <w:u w:val="single"/>
    </w:rPr>
  </w:style>
  <w:style w:type="paragraph" w:styleId="Komentrateksts">
    <w:name w:val="annotation text"/>
    <w:basedOn w:val="Parasts"/>
    <w:link w:val="KomentratekstsRakstz"/>
    <w:uiPriority w:val="99"/>
    <w:unhideWhenUsed/>
    <w:rsid w:val="008A701F"/>
    <w:pPr>
      <w:spacing w:after="0" w:line="240" w:lineRule="auto"/>
    </w:pPr>
    <w:rPr>
      <w:rFonts w:ascii="Times New Roman" w:eastAsia="Times New Roman" w:hAnsi="Times New Roman" w:cs="Arial Unicode MS"/>
      <w:sz w:val="20"/>
      <w:szCs w:val="20"/>
      <w:lang w:bidi="lo-LA"/>
    </w:rPr>
  </w:style>
  <w:style w:type="character" w:customStyle="1" w:styleId="KomentratekstsRakstz">
    <w:name w:val="Komentāra teksts Rakstz."/>
    <w:basedOn w:val="Noklusjumarindkopasfonts"/>
    <w:link w:val="Komentrateksts"/>
    <w:uiPriority w:val="99"/>
    <w:rsid w:val="008A701F"/>
    <w:rPr>
      <w:rFonts w:ascii="Times New Roman" w:eastAsia="Times New Roman" w:hAnsi="Times New Roman" w:cs="Arial Unicode MS"/>
      <w:sz w:val="20"/>
      <w:szCs w:val="20"/>
      <w:lang w:bidi="lo-LA"/>
    </w:rPr>
  </w:style>
  <w:style w:type="paragraph" w:customStyle="1" w:styleId="naisf">
    <w:name w:val="naisf"/>
    <w:basedOn w:val="Parasts"/>
    <w:rsid w:val="008A70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701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70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701F"/>
  </w:style>
  <w:style w:type="paragraph" w:styleId="Kjene">
    <w:name w:val="footer"/>
    <w:basedOn w:val="Parasts"/>
    <w:link w:val="KjeneRakstz"/>
    <w:uiPriority w:val="99"/>
    <w:unhideWhenUsed/>
    <w:rsid w:val="008A70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701F"/>
  </w:style>
  <w:style w:type="paragraph" w:styleId="Paraststmeklis">
    <w:name w:val="Normal (Web)"/>
    <w:basedOn w:val="Parasts"/>
    <w:uiPriority w:val="99"/>
    <w:unhideWhenUsed/>
    <w:rsid w:val="008A701F"/>
    <w:pPr>
      <w:spacing w:before="100" w:beforeAutospacing="1" w:after="100" w:afterAutospacing="1" w:line="240" w:lineRule="auto"/>
    </w:pPr>
    <w:rPr>
      <w:rFonts w:ascii="Verdana" w:eastAsia="Times New Roman" w:hAnsi="Verdana" w:cs="Times New Roman"/>
      <w:sz w:val="18"/>
      <w:szCs w:val="18"/>
      <w:lang w:val="en-US"/>
    </w:rPr>
  </w:style>
  <w:style w:type="paragraph" w:customStyle="1" w:styleId="Default">
    <w:name w:val="Default"/>
    <w:rsid w:val="008A701F"/>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character" w:styleId="Hipersaite">
    <w:name w:val="Hyperlink"/>
    <w:uiPriority w:val="99"/>
    <w:unhideWhenUsed/>
    <w:rsid w:val="008A701F"/>
    <w:rPr>
      <w:rFonts w:cs="Times New Roman"/>
      <w:color w:val="0000FF"/>
      <w:u w:val="single"/>
    </w:rPr>
  </w:style>
  <w:style w:type="paragraph" w:styleId="Komentrateksts">
    <w:name w:val="annotation text"/>
    <w:basedOn w:val="Parasts"/>
    <w:link w:val="KomentratekstsRakstz"/>
    <w:uiPriority w:val="99"/>
    <w:unhideWhenUsed/>
    <w:rsid w:val="008A701F"/>
    <w:pPr>
      <w:spacing w:after="0" w:line="240" w:lineRule="auto"/>
    </w:pPr>
    <w:rPr>
      <w:rFonts w:ascii="Times New Roman" w:eastAsia="Times New Roman" w:hAnsi="Times New Roman" w:cs="Arial Unicode MS"/>
      <w:sz w:val="20"/>
      <w:szCs w:val="20"/>
      <w:lang w:bidi="lo-LA"/>
    </w:rPr>
  </w:style>
  <w:style w:type="character" w:customStyle="1" w:styleId="KomentratekstsRakstz">
    <w:name w:val="Komentāra teksts Rakstz."/>
    <w:basedOn w:val="Noklusjumarindkopasfonts"/>
    <w:link w:val="Komentrateksts"/>
    <w:uiPriority w:val="99"/>
    <w:rsid w:val="008A701F"/>
    <w:rPr>
      <w:rFonts w:ascii="Times New Roman" w:eastAsia="Times New Roman" w:hAnsi="Times New Roman" w:cs="Arial Unicode MS"/>
      <w:sz w:val="20"/>
      <w:szCs w:val="20"/>
      <w:lang w:bidi="lo-LA"/>
    </w:rPr>
  </w:style>
  <w:style w:type="paragraph" w:customStyle="1" w:styleId="naisf">
    <w:name w:val="naisf"/>
    <w:basedOn w:val="Parasts"/>
    <w:rsid w:val="008A70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1240</Words>
  <Characters>8523</Characters>
  <Application>Microsoft Office Word</Application>
  <DocSecurity>0</DocSecurity>
  <Lines>198</Lines>
  <Paragraphs>93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Godmane</dc:creator>
  <cp:lastModifiedBy>Juris Janums</cp:lastModifiedBy>
  <cp:revision>6</cp:revision>
  <dcterms:created xsi:type="dcterms:W3CDTF">2014-11-14T10:00:00Z</dcterms:created>
  <dcterms:modified xsi:type="dcterms:W3CDTF">2014-11-22T13:05:00Z</dcterms:modified>
</cp:coreProperties>
</file>