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B7" w:rsidRPr="009807E5" w:rsidRDefault="00FF4A15" w:rsidP="00753CB7">
      <w:pPr>
        <w:spacing w:after="0" w:line="240" w:lineRule="auto"/>
        <w:jc w:val="center"/>
        <w:rPr>
          <w:rFonts w:ascii="Times New Roman" w:eastAsia="Times New Roman" w:hAnsi="Times New Roman"/>
          <w:b/>
          <w:bCs/>
          <w:sz w:val="26"/>
          <w:szCs w:val="26"/>
          <w:lang w:eastAsia="lv-LV"/>
        </w:rPr>
      </w:pPr>
      <w:r w:rsidRPr="009807E5">
        <w:rPr>
          <w:rFonts w:ascii="Times New Roman" w:eastAsia="Times New Roman" w:hAnsi="Times New Roman"/>
          <w:b/>
          <w:bCs/>
          <w:sz w:val="26"/>
          <w:szCs w:val="26"/>
          <w:lang w:eastAsia="lv-LV"/>
        </w:rPr>
        <w:t>Mini</w:t>
      </w:r>
      <w:r w:rsidR="0018141A" w:rsidRPr="009807E5">
        <w:rPr>
          <w:rFonts w:ascii="Times New Roman" w:eastAsia="Times New Roman" w:hAnsi="Times New Roman"/>
          <w:b/>
          <w:bCs/>
          <w:sz w:val="26"/>
          <w:szCs w:val="26"/>
          <w:lang w:eastAsia="lv-LV"/>
        </w:rPr>
        <w:t>stru kabineta noteikumu projekta</w:t>
      </w:r>
      <w:r w:rsidRPr="009807E5">
        <w:rPr>
          <w:rFonts w:ascii="Times New Roman" w:eastAsia="Times New Roman" w:hAnsi="Times New Roman"/>
          <w:b/>
          <w:bCs/>
          <w:sz w:val="26"/>
          <w:szCs w:val="26"/>
          <w:lang w:eastAsia="lv-LV"/>
        </w:rPr>
        <w:t xml:space="preserve"> </w:t>
      </w:r>
    </w:p>
    <w:p w:rsidR="00FF4A15" w:rsidRPr="009807E5" w:rsidRDefault="00FF4A15" w:rsidP="00753CB7">
      <w:pPr>
        <w:spacing w:after="0" w:line="240" w:lineRule="auto"/>
        <w:jc w:val="center"/>
        <w:rPr>
          <w:rFonts w:ascii="Times New Roman" w:eastAsia="Times New Roman" w:hAnsi="Times New Roman"/>
          <w:b/>
          <w:bCs/>
          <w:sz w:val="26"/>
          <w:szCs w:val="26"/>
          <w:lang w:eastAsia="lv-LV"/>
        </w:rPr>
      </w:pPr>
      <w:r w:rsidRPr="009807E5">
        <w:rPr>
          <w:rFonts w:ascii="Times New Roman" w:eastAsia="Times New Roman" w:hAnsi="Times New Roman"/>
          <w:b/>
          <w:bCs/>
          <w:sz w:val="26"/>
          <w:szCs w:val="26"/>
          <w:lang w:eastAsia="lv-LV"/>
        </w:rPr>
        <w:t>„</w:t>
      </w:r>
      <w:r w:rsidR="003A3C89" w:rsidRPr="009807E5">
        <w:rPr>
          <w:rFonts w:ascii="Times New Roman" w:hAnsi="Times New Roman"/>
          <w:b/>
          <w:bCs/>
          <w:sz w:val="26"/>
          <w:szCs w:val="26"/>
        </w:rPr>
        <w:t>A</w:t>
      </w:r>
      <w:r w:rsidR="00753CB7" w:rsidRPr="009807E5">
        <w:rPr>
          <w:rFonts w:ascii="Times New Roman" w:hAnsi="Times New Roman"/>
          <w:b/>
          <w:bCs/>
          <w:sz w:val="26"/>
          <w:szCs w:val="26"/>
        </w:rPr>
        <w:t xml:space="preserve">pcietināto un notiesāto personu veselības aprūpes īstenošanas </w:t>
      </w:r>
      <w:r w:rsidR="001760A3" w:rsidRPr="009807E5">
        <w:rPr>
          <w:rFonts w:ascii="Times New Roman" w:hAnsi="Times New Roman"/>
          <w:b/>
          <w:bCs/>
          <w:sz w:val="26"/>
          <w:szCs w:val="26"/>
        </w:rPr>
        <w:t>kārtīb</w:t>
      </w:r>
      <w:r w:rsidR="003A3C89" w:rsidRPr="009807E5">
        <w:rPr>
          <w:rFonts w:ascii="Times New Roman" w:hAnsi="Times New Roman"/>
          <w:b/>
          <w:bCs/>
          <w:sz w:val="26"/>
          <w:szCs w:val="26"/>
        </w:rPr>
        <w:t>a</w:t>
      </w:r>
      <w:r w:rsidR="00753CB7" w:rsidRPr="009807E5">
        <w:rPr>
          <w:rFonts w:ascii="Times New Roman" w:hAnsi="Times New Roman"/>
          <w:b/>
          <w:bCs/>
          <w:sz w:val="26"/>
          <w:szCs w:val="26"/>
        </w:rPr>
        <w:t xml:space="preserve">” </w:t>
      </w:r>
      <w:r w:rsidRPr="009807E5">
        <w:rPr>
          <w:rFonts w:ascii="Times New Roman" w:eastAsia="Times New Roman" w:hAnsi="Times New Roman"/>
          <w:b/>
          <w:bCs/>
          <w:sz w:val="26"/>
          <w:szCs w:val="26"/>
          <w:lang w:eastAsia="lv-LV"/>
        </w:rPr>
        <w:t>sākotnējās ietekmes novērtējuma ziņojums (anotācija)</w:t>
      </w:r>
    </w:p>
    <w:p w:rsidR="00753CB7" w:rsidRPr="00753CB7" w:rsidRDefault="00753CB7" w:rsidP="00753CB7">
      <w:pPr>
        <w:spacing w:after="0" w:line="240" w:lineRule="auto"/>
        <w:jc w:val="center"/>
        <w:rPr>
          <w:rFonts w:ascii="Times New Roman" w:eastAsia="Times New Roman" w:hAnsi="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F4A15" w:rsidRPr="009807E5" w:rsidTr="00123DC4">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FF4A15" w:rsidRPr="009807E5" w:rsidRDefault="00FF4A15" w:rsidP="005727E9">
            <w:pPr>
              <w:spacing w:after="0" w:line="240" w:lineRule="auto"/>
              <w:ind w:firstLine="300"/>
              <w:jc w:val="center"/>
              <w:rPr>
                <w:rFonts w:ascii="Times New Roman" w:eastAsia="Times New Roman" w:hAnsi="Times New Roman"/>
                <w:b/>
                <w:bCs/>
                <w:sz w:val="26"/>
                <w:szCs w:val="26"/>
                <w:lang w:eastAsia="lv-LV"/>
              </w:rPr>
            </w:pPr>
            <w:r w:rsidRPr="009807E5">
              <w:rPr>
                <w:rFonts w:ascii="Times New Roman" w:eastAsia="Times New Roman" w:hAnsi="Times New Roman"/>
                <w:b/>
                <w:bCs/>
                <w:sz w:val="26"/>
                <w:szCs w:val="26"/>
                <w:lang w:eastAsia="lv-LV"/>
              </w:rPr>
              <w:t>I. Tiesību akta projekta izstrādes nepieciešamība</w:t>
            </w:r>
          </w:p>
        </w:tc>
      </w:tr>
      <w:tr w:rsidR="00FF4A15" w:rsidRPr="009807E5" w:rsidTr="00123DC4">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FF4A15" w:rsidRPr="009807E5" w:rsidRDefault="00DD2261" w:rsidP="00753CB7">
            <w:pPr>
              <w:spacing w:after="0" w:line="240" w:lineRule="auto"/>
              <w:ind w:firstLine="399"/>
              <w:jc w:val="both"/>
              <w:rPr>
                <w:rFonts w:ascii="Times New Roman" w:eastAsia="Times New Roman" w:hAnsi="Times New Roman"/>
                <w:bCs/>
                <w:sz w:val="26"/>
                <w:szCs w:val="26"/>
                <w:lang w:eastAsia="lv-LV"/>
              </w:rPr>
            </w:pPr>
            <w:r w:rsidRPr="009807E5">
              <w:rPr>
                <w:rFonts w:ascii="Times New Roman" w:eastAsia="Times New Roman" w:hAnsi="Times New Roman"/>
                <w:bCs/>
                <w:sz w:val="26"/>
                <w:szCs w:val="26"/>
                <w:lang w:eastAsia="lv-LV"/>
              </w:rPr>
              <w:t>2014. gada 17. decembrī Saeima</w:t>
            </w:r>
            <w:r w:rsidR="00753CB7" w:rsidRPr="009807E5">
              <w:rPr>
                <w:rFonts w:ascii="Times New Roman" w:eastAsia="Times New Roman" w:hAnsi="Times New Roman"/>
                <w:bCs/>
                <w:sz w:val="26"/>
                <w:szCs w:val="26"/>
                <w:lang w:eastAsia="lv-LV"/>
              </w:rPr>
              <w:t xml:space="preserve"> </w:t>
            </w:r>
            <w:r w:rsidRPr="009807E5">
              <w:rPr>
                <w:rFonts w:ascii="Times New Roman" w:eastAsia="Times New Roman" w:hAnsi="Times New Roman"/>
                <w:bCs/>
                <w:sz w:val="26"/>
                <w:szCs w:val="26"/>
                <w:lang w:eastAsia="lv-LV"/>
              </w:rPr>
              <w:t>pieņēma likumu</w:t>
            </w:r>
            <w:r w:rsidR="00C96DEC" w:rsidRPr="009807E5">
              <w:rPr>
                <w:rFonts w:ascii="Times New Roman" w:eastAsia="Times New Roman" w:hAnsi="Times New Roman"/>
                <w:bCs/>
                <w:sz w:val="26"/>
                <w:szCs w:val="26"/>
                <w:lang w:eastAsia="lv-LV"/>
              </w:rPr>
              <w:t>s</w:t>
            </w:r>
            <w:r w:rsidR="00753CB7" w:rsidRPr="009807E5">
              <w:rPr>
                <w:rFonts w:ascii="Times New Roman" w:eastAsia="Times New Roman" w:hAnsi="Times New Roman"/>
                <w:bCs/>
                <w:sz w:val="26"/>
                <w:szCs w:val="26"/>
                <w:lang w:eastAsia="lv-LV"/>
              </w:rPr>
              <w:t xml:space="preserve"> </w:t>
            </w:r>
            <w:r w:rsidR="00753CB7" w:rsidRPr="009807E5">
              <w:rPr>
                <w:rFonts w:ascii="Times New Roman" w:eastAsia="Times New Roman" w:hAnsi="Times New Roman"/>
                <w:b/>
                <w:bCs/>
                <w:sz w:val="26"/>
                <w:szCs w:val="26"/>
                <w:lang w:eastAsia="lv-LV"/>
              </w:rPr>
              <w:t>„Grozījumi Latvijas Sodu izpildes kodeksā”</w:t>
            </w:r>
            <w:r w:rsidR="004A6FFB" w:rsidRPr="009807E5">
              <w:rPr>
                <w:rFonts w:ascii="Times New Roman" w:eastAsia="Times New Roman" w:hAnsi="Times New Roman"/>
                <w:bCs/>
                <w:sz w:val="26"/>
                <w:szCs w:val="26"/>
                <w:lang w:eastAsia="lv-LV"/>
              </w:rPr>
              <w:t xml:space="preserve"> (Nr. 85/Lp12), </w:t>
            </w:r>
            <w:r w:rsidR="00753CB7" w:rsidRPr="009807E5">
              <w:rPr>
                <w:rFonts w:ascii="Times New Roman" w:eastAsia="Times New Roman" w:hAnsi="Times New Roman"/>
                <w:b/>
                <w:bCs/>
                <w:sz w:val="26"/>
                <w:szCs w:val="26"/>
                <w:lang w:eastAsia="lv-LV"/>
              </w:rPr>
              <w:t>„Grozījumi Apcietinājuma turēšanas kārtības likumā”</w:t>
            </w:r>
            <w:r w:rsidR="00753CB7" w:rsidRPr="009807E5">
              <w:rPr>
                <w:rFonts w:ascii="Times New Roman" w:eastAsia="Times New Roman" w:hAnsi="Times New Roman"/>
                <w:bCs/>
                <w:sz w:val="26"/>
                <w:szCs w:val="26"/>
                <w:lang w:eastAsia="lv-LV"/>
              </w:rPr>
              <w:t xml:space="preserve"> (Nr. 85/Lp12)</w:t>
            </w:r>
            <w:r w:rsidR="004A6FFB" w:rsidRPr="009807E5">
              <w:rPr>
                <w:rFonts w:ascii="Times New Roman" w:eastAsia="Times New Roman" w:hAnsi="Times New Roman"/>
                <w:bCs/>
                <w:sz w:val="26"/>
                <w:szCs w:val="26"/>
                <w:lang w:eastAsia="lv-LV"/>
              </w:rPr>
              <w:t xml:space="preserve"> un „Grozījumi Ieslodzījuma vietu pārvaldes likumā” (Nr. 85/Lp12)</w:t>
            </w:r>
            <w:r w:rsidRPr="009807E5">
              <w:rPr>
                <w:rFonts w:ascii="Times New Roman" w:eastAsia="Times New Roman" w:hAnsi="Times New Roman"/>
                <w:bCs/>
                <w:sz w:val="26"/>
                <w:szCs w:val="26"/>
                <w:lang w:eastAsia="lv-LV"/>
              </w:rPr>
              <w:t xml:space="preserve"> (turpmāk – Likumi</w:t>
            </w:r>
            <w:r w:rsidR="00196A52" w:rsidRPr="009807E5">
              <w:rPr>
                <w:rFonts w:ascii="Times New Roman" w:eastAsia="Times New Roman" w:hAnsi="Times New Roman"/>
                <w:bCs/>
                <w:sz w:val="26"/>
                <w:szCs w:val="26"/>
                <w:lang w:eastAsia="lv-LV"/>
              </w:rPr>
              <w:t>)</w:t>
            </w:r>
            <w:r w:rsidR="00753CB7" w:rsidRPr="009807E5">
              <w:rPr>
                <w:rFonts w:ascii="Times New Roman" w:eastAsia="Times New Roman" w:hAnsi="Times New Roman"/>
                <w:bCs/>
                <w:sz w:val="26"/>
                <w:szCs w:val="26"/>
                <w:lang w:eastAsia="lv-LV"/>
              </w:rPr>
              <w:t>.</w:t>
            </w:r>
            <w:r w:rsidR="009F1CA4" w:rsidRPr="009807E5">
              <w:rPr>
                <w:rFonts w:ascii="Times New Roman" w:eastAsia="Times New Roman" w:hAnsi="Times New Roman"/>
                <w:bCs/>
                <w:sz w:val="26"/>
                <w:szCs w:val="26"/>
                <w:lang w:eastAsia="lv-LV"/>
              </w:rPr>
              <w:t xml:space="preserve"> </w:t>
            </w:r>
          </w:p>
          <w:p w:rsidR="00753CB7" w:rsidRPr="009807E5" w:rsidRDefault="00C96DEC" w:rsidP="00C96DEC">
            <w:pPr>
              <w:spacing w:after="0" w:line="240" w:lineRule="auto"/>
              <w:ind w:firstLine="399"/>
              <w:jc w:val="both"/>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Latvijas Sodu izpildes kodeksa P</w:t>
            </w:r>
            <w:r w:rsidR="00BA1F6D" w:rsidRPr="009807E5">
              <w:rPr>
                <w:rFonts w:ascii="Times New Roman" w:eastAsia="Times New Roman" w:hAnsi="Times New Roman"/>
                <w:sz w:val="26"/>
                <w:szCs w:val="26"/>
                <w:lang w:eastAsia="lv-LV"/>
              </w:rPr>
              <w:t>ārejas noteikumu 26.</w:t>
            </w:r>
            <w:r w:rsidR="00BA1F6D" w:rsidRPr="009807E5">
              <w:rPr>
                <w:rFonts w:ascii="Times New Roman" w:eastAsia="Times New Roman" w:hAnsi="Times New Roman"/>
                <w:sz w:val="26"/>
                <w:szCs w:val="26"/>
                <w:vertAlign w:val="superscript"/>
                <w:lang w:eastAsia="lv-LV"/>
              </w:rPr>
              <w:t>1</w:t>
            </w:r>
            <w:r w:rsidR="00BA1F6D" w:rsidRPr="009807E5">
              <w:rPr>
                <w:rFonts w:ascii="Times New Roman" w:eastAsia="Times New Roman" w:hAnsi="Times New Roman"/>
                <w:sz w:val="26"/>
                <w:szCs w:val="26"/>
                <w:lang w:eastAsia="lv-LV"/>
              </w:rPr>
              <w:t> punktā</w:t>
            </w:r>
            <w:r w:rsidR="00DD2261" w:rsidRPr="009807E5">
              <w:rPr>
                <w:rFonts w:ascii="Times New Roman" w:eastAsia="Times New Roman" w:hAnsi="Times New Roman"/>
                <w:sz w:val="26"/>
                <w:szCs w:val="26"/>
                <w:lang w:eastAsia="lv-LV"/>
              </w:rPr>
              <w:t xml:space="preserve"> </w:t>
            </w:r>
            <w:r w:rsidR="00BA1F6D" w:rsidRPr="009807E5">
              <w:rPr>
                <w:rFonts w:ascii="Times New Roman" w:eastAsia="Times New Roman" w:hAnsi="Times New Roman"/>
                <w:sz w:val="26"/>
                <w:szCs w:val="26"/>
                <w:lang w:eastAsia="lv-LV"/>
              </w:rPr>
              <w:t>un Apcietin</w:t>
            </w:r>
            <w:r w:rsidRPr="009807E5">
              <w:rPr>
                <w:rFonts w:ascii="Times New Roman" w:eastAsia="Times New Roman" w:hAnsi="Times New Roman"/>
                <w:sz w:val="26"/>
                <w:szCs w:val="26"/>
                <w:lang w:eastAsia="lv-LV"/>
              </w:rPr>
              <w:t>ājuma turēšanas kārtības likuma P</w:t>
            </w:r>
            <w:r w:rsidR="00BA1F6D" w:rsidRPr="009807E5">
              <w:rPr>
                <w:rFonts w:ascii="Times New Roman" w:eastAsia="Times New Roman" w:hAnsi="Times New Roman"/>
                <w:sz w:val="26"/>
                <w:szCs w:val="26"/>
                <w:lang w:eastAsia="lv-LV"/>
              </w:rPr>
              <w:t xml:space="preserve">ārejas noteikumu 4. punktā </w:t>
            </w:r>
            <w:r w:rsidR="00DD2261" w:rsidRPr="009807E5">
              <w:rPr>
                <w:rFonts w:ascii="Times New Roman" w:eastAsia="Times New Roman" w:hAnsi="Times New Roman"/>
                <w:sz w:val="26"/>
                <w:szCs w:val="26"/>
                <w:lang w:eastAsia="lv-LV"/>
              </w:rPr>
              <w:t>ietverts deleģējums</w:t>
            </w:r>
            <w:r w:rsidR="00753CB7" w:rsidRPr="009807E5">
              <w:rPr>
                <w:rFonts w:ascii="Times New Roman" w:eastAsia="Times New Roman" w:hAnsi="Times New Roman"/>
                <w:sz w:val="26"/>
                <w:szCs w:val="26"/>
                <w:lang w:eastAsia="lv-LV"/>
              </w:rPr>
              <w:t xml:space="preserve"> Ministru kabinetam līdz 2015. gada 1. jūnijam izdot Ministru kabineta noteikumus par apcietināto un notiesāto personu veselības aprūpes īstenošanas kārtību</w:t>
            </w:r>
            <w:r w:rsidR="00795E3B" w:rsidRPr="009807E5">
              <w:rPr>
                <w:rFonts w:ascii="Times New Roman" w:eastAsia="Times New Roman" w:hAnsi="Times New Roman"/>
                <w:sz w:val="26"/>
                <w:szCs w:val="26"/>
                <w:lang w:eastAsia="lv-LV"/>
              </w:rPr>
              <w:t xml:space="preserve"> (turpmāk - Projekts)</w:t>
            </w:r>
            <w:r w:rsidR="00DD2261" w:rsidRPr="009807E5">
              <w:rPr>
                <w:rFonts w:ascii="Times New Roman" w:eastAsia="Times New Roman" w:hAnsi="Times New Roman"/>
                <w:sz w:val="26"/>
                <w:szCs w:val="26"/>
                <w:lang w:eastAsia="lv-LV"/>
              </w:rPr>
              <w:t>.</w:t>
            </w:r>
            <w:r w:rsidR="004A6FFB" w:rsidRPr="009807E5">
              <w:rPr>
                <w:rFonts w:ascii="Times New Roman" w:eastAsia="Times New Roman" w:hAnsi="Times New Roman"/>
                <w:sz w:val="26"/>
                <w:szCs w:val="26"/>
                <w:lang w:eastAsia="lv-LV"/>
              </w:rPr>
              <w:t xml:space="preserve"> </w:t>
            </w:r>
          </w:p>
        </w:tc>
      </w:tr>
      <w:tr w:rsidR="00FF4A15" w:rsidRPr="009807E5" w:rsidTr="00123DC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AF09E5" w:rsidRPr="009807E5" w:rsidRDefault="00AF09E5" w:rsidP="00AF09E5">
            <w:pPr>
              <w:spacing w:after="0" w:line="240" w:lineRule="auto"/>
              <w:ind w:firstLine="399"/>
              <w:jc w:val="both"/>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 xml:space="preserve">Šobrīd spēkā esošie 2014. gada 14. janvāra Ministru kabineta noteikumi Nr. 25 „Noteikumi par apcietināto un notiesāto personu veselības aprūpi” nosaka apcietinātajam vai notiesātajam sniedzamo veselības aprūpes pakalpojumu apjomu un kārtību, kādā </w:t>
            </w:r>
            <w:r w:rsidRPr="009807E5">
              <w:rPr>
                <w:rFonts w:ascii="Times New Roman" w:eastAsia="Times New Roman" w:hAnsi="Times New Roman"/>
                <w:sz w:val="26"/>
                <w:szCs w:val="26"/>
                <w:u w:val="single"/>
                <w:lang w:eastAsia="lv-LV"/>
              </w:rPr>
              <w:t>ieslodzījuma vietā</w:t>
            </w:r>
            <w:r w:rsidRPr="009807E5">
              <w:rPr>
                <w:rFonts w:ascii="Times New Roman" w:eastAsia="Times New Roman" w:hAnsi="Times New Roman"/>
                <w:sz w:val="26"/>
                <w:szCs w:val="26"/>
                <w:lang w:eastAsia="lv-LV"/>
              </w:rPr>
              <w:t xml:space="preserve"> tiek sniegti šie pakalpojumi. </w:t>
            </w:r>
            <w:r w:rsidR="00DF3C9C" w:rsidRPr="009807E5">
              <w:rPr>
                <w:rFonts w:ascii="Times New Roman" w:eastAsia="Times New Roman" w:hAnsi="Times New Roman"/>
                <w:sz w:val="26"/>
                <w:szCs w:val="26"/>
                <w:lang w:eastAsia="lv-LV"/>
              </w:rPr>
              <w:t xml:space="preserve">Noteikumi nenosaka kārtību, kādā tiek veikta ieslodzīto personu veselības aprūpe ārstniecības iestādēs ārpus ieslodzījuma vietas. </w:t>
            </w:r>
          </w:p>
          <w:p w:rsidR="00AF09E5" w:rsidRPr="009807E5" w:rsidRDefault="00AF09E5" w:rsidP="00AF09E5">
            <w:pPr>
              <w:spacing w:after="0" w:line="240" w:lineRule="auto"/>
              <w:ind w:firstLine="399"/>
              <w:jc w:val="both"/>
              <w:rPr>
                <w:rFonts w:ascii="Times New Roman" w:hAnsi="Times New Roman"/>
                <w:sz w:val="26"/>
                <w:szCs w:val="26"/>
              </w:rPr>
            </w:pPr>
            <w:r w:rsidRPr="009807E5">
              <w:rPr>
                <w:rFonts w:ascii="Times New Roman" w:hAnsi="Times New Roman"/>
                <w:sz w:val="26"/>
                <w:szCs w:val="26"/>
              </w:rPr>
              <w:t>2014. gada 11. februāra Valsts kontroles revīzijas Nr. 5.1-2-8/2013 ieteikumos Tieslietu ministrijai norādīts uz nepieciešamību pilnveidot ieslodzīto veselības aprūpi. Tāpat Eiropas Komiteja Spīdzināšanas un necilvēcīgas vai pazemojošas rīcības vai soda novēršanai (turpmāk - CPT) savā ziņojumā par vizīti Latvijā laika posmā no 2013. gada 12. septembra līdz 17. septembrim ir vērsusi uzmanību uz būtiskiem trūkumiem ieslodzīto veselības aprūpes jautājumos un norādījusi uz nepieciešamību to pilnveidot.</w:t>
            </w:r>
            <w:r w:rsidR="002835BC" w:rsidRPr="009807E5">
              <w:rPr>
                <w:rFonts w:ascii="Times New Roman" w:hAnsi="Times New Roman"/>
                <w:sz w:val="26"/>
                <w:szCs w:val="26"/>
              </w:rPr>
              <w:t xml:space="preserve"> </w:t>
            </w:r>
          </w:p>
          <w:p w:rsidR="002835BC" w:rsidRPr="009807E5" w:rsidRDefault="001F19DE" w:rsidP="001A725C">
            <w:pPr>
              <w:spacing w:after="0" w:line="240" w:lineRule="auto"/>
              <w:ind w:firstLine="399"/>
              <w:jc w:val="both"/>
              <w:rPr>
                <w:rFonts w:ascii="Times New Roman" w:hAnsi="Times New Roman"/>
                <w:sz w:val="26"/>
                <w:szCs w:val="26"/>
              </w:rPr>
            </w:pPr>
            <w:r w:rsidRPr="009807E5">
              <w:rPr>
                <w:rFonts w:ascii="Times New Roman" w:eastAsia="Times New Roman" w:hAnsi="Times New Roman"/>
                <w:sz w:val="26"/>
                <w:szCs w:val="26"/>
                <w:lang w:eastAsia="lv-LV"/>
              </w:rPr>
              <w:t xml:space="preserve">Ņemot vērā minēto, </w:t>
            </w:r>
            <w:r w:rsidR="00795E3B" w:rsidRPr="009807E5">
              <w:rPr>
                <w:rFonts w:ascii="Times New Roman" w:hAnsi="Times New Roman"/>
                <w:sz w:val="26"/>
                <w:szCs w:val="26"/>
              </w:rPr>
              <w:t xml:space="preserve">Tieslietu ministrija </w:t>
            </w:r>
            <w:r w:rsidRPr="009807E5">
              <w:rPr>
                <w:rFonts w:ascii="Times New Roman" w:hAnsi="Times New Roman"/>
                <w:sz w:val="26"/>
                <w:szCs w:val="26"/>
              </w:rPr>
              <w:t>izstrādāja</w:t>
            </w:r>
            <w:r w:rsidR="00795E3B" w:rsidRPr="009807E5">
              <w:rPr>
                <w:rFonts w:ascii="Times New Roman" w:hAnsi="Times New Roman"/>
                <w:sz w:val="26"/>
                <w:szCs w:val="26"/>
              </w:rPr>
              <w:t xml:space="preserve"> Ministru kabineta noteikumu projektu </w:t>
            </w:r>
            <w:r w:rsidR="00362CBF" w:rsidRPr="009807E5">
              <w:rPr>
                <w:rFonts w:ascii="Times New Roman" w:hAnsi="Times New Roman"/>
                <w:sz w:val="26"/>
                <w:szCs w:val="26"/>
              </w:rPr>
              <w:t>ieslodzīto</w:t>
            </w:r>
            <w:r w:rsidR="00795E3B" w:rsidRPr="009807E5">
              <w:rPr>
                <w:rFonts w:ascii="Times New Roman" w:hAnsi="Times New Roman"/>
                <w:sz w:val="26"/>
                <w:szCs w:val="26"/>
              </w:rPr>
              <w:t xml:space="preserve"> vesel</w:t>
            </w:r>
            <w:r w:rsidR="00362CBF" w:rsidRPr="009807E5">
              <w:rPr>
                <w:rFonts w:ascii="Times New Roman" w:hAnsi="Times New Roman"/>
                <w:sz w:val="26"/>
                <w:szCs w:val="26"/>
              </w:rPr>
              <w:t>ības aprūpes īstenošanai, precīzi nosakot ieslodzīto</w:t>
            </w:r>
            <w:r w:rsidR="001A725C" w:rsidRPr="009807E5">
              <w:rPr>
                <w:rFonts w:ascii="Times New Roman" w:hAnsi="Times New Roman"/>
                <w:sz w:val="26"/>
                <w:szCs w:val="26"/>
              </w:rPr>
              <w:t xml:space="preserve"> </w:t>
            </w:r>
            <w:r w:rsidR="00795E3B" w:rsidRPr="009807E5">
              <w:rPr>
                <w:rFonts w:ascii="Times New Roman" w:hAnsi="Times New Roman"/>
                <w:sz w:val="26"/>
                <w:szCs w:val="26"/>
              </w:rPr>
              <w:t>veselības pārbaudes organizācija</w:t>
            </w:r>
            <w:r w:rsidR="001A725C" w:rsidRPr="009807E5">
              <w:rPr>
                <w:rFonts w:ascii="Times New Roman" w:hAnsi="Times New Roman"/>
                <w:sz w:val="26"/>
                <w:szCs w:val="26"/>
              </w:rPr>
              <w:t>s kārtību,</w:t>
            </w:r>
            <w:r w:rsidR="00795E3B" w:rsidRPr="009807E5">
              <w:rPr>
                <w:rFonts w:ascii="Times New Roman" w:hAnsi="Times New Roman"/>
                <w:sz w:val="26"/>
                <w:szCs w:val="26"/>
              </w:rPr>
              <w:t xml:space="preserve"> ierodoties ieslodzījuma vietā, ieslodzīto </w:t>
            </w:r>
            <w:r w:rsidR="001864A4" w:rsidRPr="009807E5">
              <w:rPr>
                <w:rFonts w:ascii="Times New Roman" w:hAnsi="Times New Roman"/>
                <w:sz w:val="26"/>
                <w:szCs w:val="26"/>
              </w:rPr>
              <w:t>primārās</w:t>
            </w:r>
            <w:r w:rsidR="00761B25" w:rsidRPr="009807E5">
              <w:rPr>
                <w:rFonts w:ascii="Times New Roman" w:hAnsi="Times New Roman"/>
                <w:sz w:val="26"/>
                <w:szCs w:val="26"/>
              </w:rPr>
              <w:t xml:space="preserve"> un sekundārās </w:t>
            </w:r>
            <w:r w:rsidR="00795E3B" w:rsidRPr="009807E5">
              <w:rPr>
                <w:rFonts w:ascii="Times New Roman" w:hAnsi="Times New Roman"/>
                <w:sz w:val="26"/>
                <w:szCs w:val="26"/>
              </w:rPr>
              <w:t>veselības aprūpes organiz</w:t>
            </w:r>
            <w:r w:rsidR="001A725C" w:rsidRPr="009807E5">
              <w:rPr>
                <w:rFonts w:ascii="Times New Roman" w:hAnsi="Times New Roman"/>
                <w:sz w:val="26"/>
                <w:szCs w:val="26"/>
              </w:rPr>
              <w:t>āciju</w:t>
            </w:r>
            <w:r w:rsidR="00795E3B" w:rsidRPr="009807E5">
              <w:rPr>
                <w:rFonts w:ascii="Times New Roman" w:hAnsi="Times New Roman"/>
                <w:sz w:val="26"/>
                <w:szCs w:val="26"/>
              </w:rPr>
              <w:t xml:space="preserve"> ieslodzījuma vietā, ieslodzīto </w:t>
            </w:r>
            <w:r w:rsidR="001864A4" w:rsidRPr="009807E5">
              <w:rPr>
                <w:rFonts w:ascii="Times New Roman" w:hAnsi="Times New Roman"/>
                <w:sz w:val="26"/>
                <w:szCs w:val="26"/>
              </w:rPr>
              <w:t xml:space="preserve">primārās un </w:t>
            </w:r>
            <w:r w:rsidR="00761B25" w:rsidRPr="009807E5">
              <w:rPr>
                <w:rFonts w:ascii="Times New Roman" w:hAnsi="Times New Roman"/>
                <w:sz w:val="26"/>
                <w:szCs w:val="26"/>
              </w:rPr>
              <w:t xml:space="preserve">sekundārās </w:t>
            </w:r>
            <w:r w:rsidR="00795E3B" w:rsidRPr="009807E5">
              <w:rPr>
                <w:rFonts w:ascii="Times New Roman" w:hAnsi="Times New Roman"/>
                <w:sz w:val="26"/>
                <w:szCs w:val="26"/>
              </w:rPr>
              <w:t xml:space="preserve">veselības aprūpes pakalpojumu </w:t>
            </w:r>
            <w:r w:rsidR="001A725C" w:rsidRPr="009807E5">
              <w:rPr>
                <w:rFonts w:ascii="Times New Roman" w:hAnsi="Times New Roman"/>
                <w:sz w:val="26"/>
                <w:szCs w:val="26"/>
              </w:rPr>
              <w:t>saņemšanas kārtību</w:t>
            </w:r>
            <w:r w:rsidR="00795E3B" w:rsidRPr="009807E5">
              <w:rPr>
                <w:rFonts w:ascii="Times New Roman" w:hAnsi="Times New Roman"/>
                <w:sz w:val="26"/>
                <w:szCs w:val="26"/>
              </w:rPr>
              <w:t xml:space="preserve"> </w:t>
            </w:r>
            <w:r w:rsidR="00795E3B" w:rsidRPr="009807E5">
              <w:rPr>
                <w:rFonts w:ascii="Times New Roman" w:hAnsi="Times New Roman"/>
                <w:sz w:val="26"/>
                <w:szCs w:val="26"/>
              </w:rPr>
              <w:lastRenderedPageBreak/>
              <w:t>ārstniecības iestādē ārpus ieslodzījuma vietas, ieslodzītajam nepieciešamo zāļu un medicīnisko ierīču iegādes un izsniegšanas kārt</w:t>
            </w:r>
            <w:r w:rsidR="001A725C" w:rsidRPr="009807E5">
              <w:rPr>
                <w:rFonts w:ascii="Times New Roman" w:hAnsi="Times New Roman"/>
                <w:sz w:val="26"/>
                <w:szCs w:val="26"/>
              </w:rPr>
              <w:t>ību</w:t>
            </w:r>
            <w:r w:rsidR="00795E3B" w:rsidRPr="009807E5">
              <w:rPr>
                <w:rFonts w:ascii="Times New Roman" w:hAnsi="Times New Roman"/>
                <w:sz w:val="26"/>
                <w:szCs w:val="26"/>
              </w:rPr>
              <w:t xml:space="preserve">, </w:t>
            </w:r>
            <w:r w:rsidR="006E0652" w:rsidRPr="009807E5">
              <w:rPr>
                <w:rFonts w:ascii="Times New Roman" w:hAnsi="Times New Roman"/>
                <w:sz w:val="26"/>
                <w:szCs w:val="26"/>
              </w:rPr>
              <w:t xml:space="preserve">ieslodzīto veselības aprūpes organizāciju neatliekamas medicīniskās palīdzības sniegšanas gadījumā, </w:t>
            </w:r>
            <w:r w:rsidR="00795E3B" w:rsidRPr="009807E5">
              <w:rPr>
                <w:rFonts w:ascii="Times New Roman" w:hAnsi="Times New Roman"/>
                <w:sz w:val="26"/>
                <w:szCs w:val="26"/>
              </w:rPr>
              <w:t xml:space="preserve">kā arī </w:t>
            </w:r>
            <w:r w:rsidRPr="009807E5">
              <w:rPr>
                <w:rFonts w:ascii="Times New Roman" w:hAnsi="Times New Roman"/>
                <w:sz w:val="26"/>
                <w:szCs w:val="26"/>
              </w:rPr>
              <w:t xml:space="preserve">ieslodzījuma vietu ārstniecības personu rīcību organizējot </w:t>
            </w:r>
            <w:r w:rsidR="00795E3B" w:rsidRPr="009807E5">
              <w:rPr>
                <w:rFonts w:ascii="Times New Roman" w:hAnsi="Times New Roman"/>
                <w:sz w:val="26"/>
                <w:szCs w:val="26"/>
              </w:rPr>
              <w:t>ieslodzīto invali</w:t>
            </w:r>
            <w:r w:rsidR="00362CBF" w:rsidRPr="009807E5">
              <w:rPr>
                <w:rFonts w:ascii="Times New Roman" w:hAnsi="Times New Roman"/>
                <w:sz w:val="26"/>
                <w:szCs w:val="26"/>
              </w:rPr>
              <w:t xml:space="preserve">ditātes ekspertīzes </w:t>
            </w:r>
            <w:r w:rsidRPr="009807E5">
              <w:rPr>
                <w:rFonts w:ascii="Times New Roman" w:hAnsi="Times New Roman"/>
                <w:sz w:val="26"/>
                <w:szCs w:val="26"/>
              </w:rPr>
              <w:t>nodrošināšanu</w:t>
            </w:r>
            <w:r w:rsidR="00795E3B" w:rsidRPr="009807E5">
              <w:rPr>
                <w:rFonts w:ascii="Times New Roman" w:hAnsi="Times New Roman"/>
                <w:sz w:val="26"/>
                <w:szCs w:val="26"/>
              </w:rPr>
              <w:t>.</w:t>
            </w:r>
            <w:r w:rsidR="001A725C" w:rsidRPr="009807E5">
              <w:rPr>
                <w:rFonts w:ascii="Times New Roman" w:hAnsi="Times New Roman"/>
                <w:sz w:val="26"/>
                <w:szCs w:val="26"/>
              </w:rPr>
              <w:t xml:space="preserve"> </w:t>
            </w:r>
          </w:p>
          <w:p w:rsidR="0047006A" w:rsidRPr="009807E5" w:rsidRDefault="0047006A" w:rsidP="0047006A">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Atbilstoši Ārstniecības likuma 55. pantā noteiktajam ar ārstniecību drīkst nodarboties tikai tādas ārstniecības iestādes, kas atbilst ārstniecības iestādēm un to struktūrvienībām noteiktajām obligātajām prasībām. Ņemot vērā minēto, </w:t>
            </w:r>
            <w:r w:rsidRPr="009807E5">
              <w:rPr>
                <w:rFonts w:ascii="Times New Roman" w:hAnsi="Times New Roman"/>
                <w:bCs/>
                <w:sz w:val="26"/>
                <w:szCs w:val="26"/>
              </w:rPr>
              <w:t xml:space="preserve">visas ieslodzījuma vietas Medicīnas daļas </w:t>
            </w:r>
            <w:r w:rsidR="001864A4" w:rsidRPr="009807E5">
              <w:rPr>
                <w:rFonts w:ascii="Times New Roman" w:hAnsi="Times New Roman"/>
                <w:bCs/>
                <w:sz w:val="26"/>
                <w:szCs w:val="26"/>
              </w:rPr>
              <w:t xml:space="preserve">un Latvijas Cietumu slimnīca </w:t>
            </w:r>
            <w:r w:rsidRPr="009807E5">
              <w:rPr>
                <w:rFonts w:ascii="Times New Roman" w:hAnsi="Times New Roman"/>
                <w:bCs/>
                <w:sz w:val="26"/>
                <w:szCs w:val="26"/>
              </w:rPr>
              <w:t xml:space="preserve">ir sertificētas kā ārstniecības iestādes </w:t>
            </w:r>
            <w:r w:rsidRPr="009807E5">
              <w:rPr>
                <w:rFonts w:ascii="Times New Roman" w:hAnsi="Times New Roman"/>
                <w:sz w:val="26"/>
                <w:szCs w:val="26"/>
              </w:rPr>
              <w:t>atbilstoši Ministru kabineta 2009. gada 20. janvāra noteikumos Nr. 60 „</w:t>
            </w:r>
            <w:r w:rsidRPr="009807E5">
              <w:rPr>
                <w:rFonts w:ascii="Times New Roman" w:hAnsi="Times New Roman"/>
                <w:bCs/>
                <w:sz w:val="26"/>
                <w:szCs w:val="26"/>
              </w:rPr>
              <w:t>Noteikumi par obligātajām prasībām ārstniecības iestādēm un to struktūrvienībām” noteiktajam.</w:t>
            </w:r>
          </w:p>
          <w:p w:rsidR="00795E3B" w:rsidRPr="009807E5" w:rsidRDefault="001A725C" w:rsidP="001A725C">
            <w:pPr>
              <w:spacing w:after="0" w:line="240" w:lineRule="auto"/>
              <w:ind w:firstLine="399"/>
              <w:jc w:val="both"/>
              <w:rPr>
                <w:rFonts w:ascii="Times New Roman" w:hAnsi="Times New Roman"/>
                <w:sz w:val="26"/>
                <w:szCs w:val="26"/>
              </w:rPr>
            </w:pPr>
            <w:r w:rsidRPr="009807E5">
              <w:rPr>
                <w:rFonts w:ascii="Times New Roman" w:hAnsi="Times New Roman"/>
                <w:sz w:val="26"/>
                <w:szCs w:val="26"/>
              </w:rPr>
              <w:t xml:space="preserve">Projekts izstrādāts, lai skaidri definētu ieslodzīto veselības aprūpes kārtību un organizāciju, lai </w:t>
            </w:r>
            <w:r w:rsidR="001F19DE" w:rsidRPr="009807E5">
              <w:rPr>
                <w:rFonts w:ascii="Times New Roman" w:hAnsi="Times New Roman"/>
                <w:sz w:val="26"/>
                <w:szCs w:val="26"/>
              </w:rPr>
              <w:t>precīzi</w:t>
            </w:r>
            <w:r w:rsidRPr="009807E5">
              <w:rPr>
                <w:rFonts w:ascii="Times New Roman" w:hAnsi="Times New Roman"/>
                <w:sz w:val="26"/>
                <w:szCs w:val="26"/>
              </w:rPr>
              <w:t xml:space="preserve"> </w:t>
            </w:r>
            <w:r w:rsidR="001F19DE" w:rsidRPr="009807E5">
              <w:rPr>
                <w:rFonts w:ascii="Times New Roman" w:hAnsi="Times New Roman"/>
                <w:sz w:val="26"/>
                <w:szCs w:val="26"/>
              </w:rPr>
              <w:t>noteiktu</w:t>
            </w:r>
            <w:r w:rsidRPr="009807E5">
              <w:rPr>
                <w:rFonts w:ascii="Times New Roman" w:hAnsi="Times New Roman"/>
                <w:sz w:val="26"/>
                <w:szCs w:val="26"/>
              </w:rPr>
              <w:t xml:space="preserve"> veselības aprūpes pakalpojumus</w:t>
            </w:r>
            <w:r w:rsidR="00362CBF" w:rsidRPr="009807E5">
              <w:rPr>
                <w:rFonts w:ascii="Times New Roman" w:hAnsi="Times New Roman"/>
                <w:sz w:val="26"/>
                <w:szCs w:val="26"/>
              </w:rPr>
              <w:t>, tai skaitā ārstniecības iestādē ārpus ieslodzījuma vietas</w:t>
            </w:r>
            <w:r w:rsidR="001F19DE" w:rsidRPr="009807E5">
              <w:rPr>
                <w:rFonts w:ascii="Times New Roman" w:hAnsi="Times New Roman"/>
                <w:sz w:val="26"/>
                <w:szCs w:val="26"/>
              </w:rPr>
              <w:t xml:space="preserve"> saņemšanas kārtību</w:t>
            </w:r>
            <w:r w:rsidR="00362CBF" w:rsidRPr="009807E5">
              <w:rPr>
                <w:rFonts w:ascii="Times New Roman" w:hAnsi="Times New Roman"/>
                <w:sz w:val="26"/>
                <w:szCs w:val="26"/>
              </w:rPr>
              <w:t xml:space="preserve">, </w:t>
            </w:r>
            <w:r w:rsidR="00131981" w:rsidRPr="009807E5">
              <w:rPr>
                <w:rFonts w:ascii="Times New Roman" w:hAnsi="Times New Roman"/>
                <w:sz w:val="26"/>
                <w:szCs w:val="26"/>
              </w:rPr>
              <w:t xml:space="preserve">kā arī </w:t>
            </w:r>
            <w:r w:rsidR="00A83E48" w:rsidRPr="009807E5">
              <w:rPr>
                <w:rFonts w:ascii="Times New Roman" w:hAnsi="Times New Roman"/>
                <w:sz w:val="26"/>
                <w:szCs w:val="26"/>
              </w:rPr>
              <w:t>precīzi noteiktu</w:t>
            </w:r>
            <w:r w:rsidR="00131981" w:rsidRPr="009807E5">
              <w:rPr>
                <w:rFonts w:ascii="Times New Roman" w:hAnsi="Times New Roman"/>
                <w:sz w:val="26"/>
                <w:szCs w:val="26"/>
              </w:rPr>
              <w:t xml:space="preserve"> </w:t>
            </w:r>
            <w:r w:rsidR="001F19DE" w:rsidRPr="009807E5">
              <w:rPr>
                <w:rFonts w:ascii="Times New Roman" w:hAnsi="Times New Roman"/>
                <w:sz w:val="26"/>
                <w:szCs w:val="26"/>
              </w:rPr>
              <w:t>ieslodzījuma vietu amatpersonu un darbinieku rīcību noteiktos gadījumos</w:t>
            </w:r>
            <w:r w:rsidRPr="009807E5">
              <w:rPr>
                <w:rFonts w:ascii="Times New Roman" w:hAnsi="Times New Roman"/>
                <w:sz w:val="26"/>
                <w:szCs w:val="26"/>
              </w:rPr>
              <w:t xml:space="preserve">. </w:t>
            </w:r>
          </w:p>
          <w:p w:rsidR="00FC54B4" w:rsidRPr="009807E5" w:rsidRDefault="00131981" w:rsidP="00FC54B4">
            <w:pPr>
              <w:spacing w:after="0" w:line="240" w:lineRule="auto"/>
              <w:ind w:firstLine="399"/>
              <w:jc w:val="both"/>
              <w:rPr>
                <w:rFonts w:ascii="Times New Roman" w:hAnsi="Times New Roman"/>
                <w:sz w:val="26"/>
                <w:szCs w:val="26"/>
              </w:rPr>
            </w:pPr>
            <w:r w:rsidRPr="009807E5">
              <w:rPr>
                <w:rFonts w:ascii="Times New Roman" w:hAnsi="Times New Roman"/>
                <w:sz w:val="26"/>
                <w:szCs w:val="26"/>
              </w:rPr>
              <w:t xml:space="preserve">Projektā ir </w:t>
            </w:r>
            <w:r w:rsidR="001F19DE" w:rsidRPr="009807E5">
              <w:rPr>
                <w:rFonts w:ascii="Times New Roman" w:hAnsi="Times New Roman"/>
                <w:sz w:val="26"/>
                <w:szCs w:val="26"/>
              </w:rPr>
              <w:t>noteikt</w:t>
            </w:r>
            <w:r w:rsidR="00A83E48" w:rsidRPr="009807E5">
              <w:rPr>
                <w:rFonts w:ascii="Times New Roman" w:hAnsi="Times New Roman"/>
                <w:sz w:val="26"/>
                <w:szCs w:val="26"/>
              </w:rPr>
              <w:t>s</w:t>
            </w:r>
            <w:r w:rsidR="001F19DE" w:rsidRPr="009807E5">
              <w:rPr>
                <w:rFonts w:ascii="Times New Roman" w:hAnsi="Times New Roman"/>
                <w:sz w:val="26"/>
                <w:szCs w:val="26"/>
              </w:rPr>
              <w:t xml:space="preserve"> veselības apr</w:t>
            </w:r>
            <w:r w:rsidR="00A83E48" w:rsidRPr="009807E5">
              <w:rPr>
                <w:rFonts w:ascii="Times New Roman" w:hAnsi="Times New Roman"/>
                <w:sz w:val="26"/>
                <w:szCs w:val="26"/>
              </w:rPr>
              <w:t>ūpes apjoms</w:t>
            </w:r>
            <w:r w:rsidRPr="009807E5">
              <w:rPr>
                <w:rFonts w:ascii="Times New Roman" w:hAnsi="Times New Roman"/>
                <w:sz w:val="26"/>
                <w:szCs w:val="26"/>
              </w:rPr>
              <w:t xml:space="preserve">, </w:t>
            </w:r>
            <w:r w:rsidR="001F19DE" w:rsidRPr="009807E5">
              <w:rPr>
                <w:rFonts w:ascii="Times New Roman" w:hAnsi="Times New Roman"/>
                <w:sz w:val="26"/>
                <w:szCs w:val="26"/>
              </w:rPr>
              <w:t>ko</w:t>
            </w:r>
            <w:r w:rsidRPr="009807E5">
              <w:rPr>
                <w:rFonts w:ascii="Times New Roman" w:hAnsi="Times New Roman"/>
                <w:sz w:val="26"/>
                <w:szCs w:val="26"/>
              </w:rPr>
              <w:t xml:space="preserve"> i</w:t>
            </w:r>
            <w:r w:rsidR="00CE73F2" w:rsidRPr="009807E5">
              <w:rPr>
                <w:rFonts w:ascii="Times New Roman" w:hAnsi="Times New Roman"/>
                <w:sz w:val="26"/>
                <w:szCs w:val="26"/>
              </w:rPr>
              <w:t xml:space="preserve">eslodzītais </w:t>
            </w:r>
            <w:r w:rsidR="001F19DE" w:rsidRPr="009807E5">
              <w:rPr>
                <w:rFonts w:ascii="Times New Roman" w:hAnsi="Times New Roman"/>
                <w:sz w:val="26"/>
                <w:szCs w:val="26"/>
              </w:rPr>
              <w:t xml:space="preserve">saņem </w:t>
            </w:r>
            <w:r w:rsidR="00CE73F2" w:rsidRPr="009807E5">
              <w:rPr>
                <w:rFonts w:ascii="Times New Roman" w:hAnsi="Times New Roman"/>
                <w:sz w:val="26"/>
                <w:szCs w:val="26"/>
              </w:rPr>
              <w:t>bez maksas</w:t>
            </w:r>
            <w:r w:rsidR="00C96DEC" w:rsidRPr="009807E5">
              <w:rPr>
                <w:rFonts w:ascii="Times New Roman" w:hAnsi="Times New Roman"/>
                <w:sz w:val="26"/>
                <w:szCs w:val="26"/>
              </w:rPr>
              <w:t xml:space="preserve"> ieslodzījuma vietā</w:t>
            </w:r>
            <w:r w:rsidR="001F19DE" w:rsidRPr="009807E5">
              <w:rPr>
                <w:rFonts w:ascii="Times New Roman" w:hAnsi="Times New Roman"/>
                <w:sz w:val="26"/>
                <w:szCs w:val="26"/>
              </w:rPr>
              <w:t xml:space="preserve"> vai ārstniecības iestādē ārpus ieslodzījuma vietas.</w:t>
            </w:r>
            <w:r w:rsidR="00CE73F2" w:rsidRPr="009807E5">
              <w:rPr>
                <w:rFonts w:ascii="Times New Roman" w:hAnsi="Times New Roman"/>
                <w:sz w:val="26"/>
                <w:szCs w:val="26"/>
              </w:rPr>
              <w:t xml:space="preserve"> </w:t>
            </w:r>
          </w:p>
          <w:p w:rsidR="00D30030" w:rsidRPr="009807E5" w:rsidRDefault="00857EC7" w:rsidP="00D30030">
            <w:pPr>
              <w:spacing w:after="0" w:line="240" w:lineRule="auto"/>
              <w:ind w:firstLine="399"/>
              <w:jc w:val="both"/>
              <w:rPr>
                <w:rFonts w:ascii="Times New Roman" w:hAnsi="Times New Roman"/>
                <w:sz w:val="26"/>
                <w:szCs w:val="26"/>
              </w:rPr>
            </w:pPr>
            <w:r w:rsidRPr="009807E5">
              <w:rPr>
                <w:rFonts w:ascii="Times New Roman" w:hAnsi="Times New Roman"/>
                <w:sz w:val="26"/>
                <w:szCs w:val="26"/>
              </w:rPr>
              <w:t xml:space="preserve">Projektā ir saglabātas normas no šobrīd spēkā esošajiem Ministru kabineta noteikumiem par apcietināto un notiesāto personu veselības aprūpi ieslodzījuma vietās. Projektā saglabātas normas, kas nosaka ieslodzīto ambulatorās un stacionārās veselības aprūpes nodrošināšanas vietu, termiņu ieslodzīto veselības profilaktiskās pārbaudes veikšanai, rīcību ar ieslodzīto, kam slimība ir akūtā stadijā un, vai nav pabeigts ārstēšanās kurss, kārtība, kādā ieslodzītais lieto zāles, rīcība gadījumos, ja ieslodzītais ir guvis traumu vai saindējies. </w:t>
            </w:r>
          </w:p>
          <w:p w:rsidR="00857EC7" w:rsidRPr="009807E5" w:rsidRDefault="00857EC7" w:rsidP="00D30030">
            <w:pPr>
              <w:spacing w:after="0" w:line="240" w:lineRule="auto"/>
              <w:ind w:firstLine="399"/>
              <w:jc w:val="both"/>
              <w:rPr>
                <w:rFonts w:ascii="Times New Roman" w:hAnsi="Times New Roman"/>
                <w:sz w:val="26"/>
                <w:szCs w:val="26"/>
              </w:rPr>
            </w:pPr>
            <w:r w:rsidRPr="009807E5">
              <w:rPr>
                <w:rFonts w:ascii="Times New Roman" w:hAnsi="Times New Roman"/>
                <w:sz w:val="26"/>
                <w:szCs w:val="26"/>
              </w:rPr>
              <w:t>Projekta tiesiskais regulējums precizē un palielina ieslodzītajiem sniegtās veselības aprūpes pakalpojumu apjomu, un nosaka ieslodzījuma vietu ārstniecības personu un ieslodzījuma vietu amatpersonu un darbinieku rīcību attiecībā uz ieslodzīto veselības aprūpes pakalpojumu sniegšanu un ar to saistītu pakalpojumu organizēšanu.</w:t>
            </w:r>
          </w:p>
          <w:p w:rsidR="00131981" w:rsidRPr="009807E5" w:rsidRDefault="003D2403" w:rsidP="00A51022">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definēts līdz šim </w:t>
            </w:r>
            <w:r w:rsidR="000B0C44" w:rsidRPr="009807E5">
              <w:rPr>
                <w:rFonts w:ascii="Times New Roman" w:hAnsi="Times New Roman"/>
                <w:sz w:val="26"/>
                <w:szCs w:val="26"/>
              </w:rPr>
              <w:t xml:space="preserve">nevienā no normatīvajiem aktiem </w:t>
            </w:r>
            <w:r w:rsidR="009807E5" w:rsidRPr="009807E5">
              <w:rPr>
                <w:rFonts w:ascii="Times New Roman" w:hAnsi="Times New Roman"/>
                <w:sz w:val="26"/>
                <w:szCs w:val="26"/>
              </w:rPr>
              <w:t>ne</w:t>
            </w:r>
            <w:r w:rsidR="000B0C44" w:rsidRPr="009807E5">
              <w:rPr>
                <w:rFonts w:ascii="Times New Roman" w:hAnsi="Times New Roman"/>
                <w:sz w:val="26"/>
                <w:szCs w:val="26"/>
              </w:rPr>
              <w:t xml:space="preserve">regulētais </w:t>
            </w:r>
            <w:r w:rsidRPr="009807E5">
              <w:rPr>
                <w:rFonts w:ascii="Times New Roman" w:hAnsi="Times New Roman"/>
                <w:sz w:val="26"/>
                <w:szCs w:val="26"/>
              </w:rPr>
              <w:t xml:space="preserve">neatliekamās </w:t>
            </w:r>
            <w:r w:rsidRPr="009807E5">
              <w:rPr>
                <w:rFonts w:ascii="Times New Roman" w:hAnsi="Times New Roman"/>
                <w:sz w:val="26"/>
                <w:szCs w:val="26"/>
              </w:rPr>
              <w:lastRenderedPageBreak/>
              <w:t>stomatoloģiskās palīdzības apjoms</w:t>
            </w:r>
            <w:r w:rsidR="00C96DEC" w:rsidRPr="009807E5">
              <w:rPr>
                <w:rFonts w:ascii="Times New Roman" w:hAnsi="Times New Roman"/>
                <w:sz w:val="26"/>
                <w:szCs w:val="26"/>
              </w:rPr>
              <w:t xml:space="preserve"> ieslodzītajiem</w:t>
            </w:r>
            <w:r w:rsidR="000B0C44" w:rsidRPr="009807E5">
              <w:rPr>
                <w:rFonts w:ascii="Times New Roman" w:hAnsi="Times New Roman"/>
                <w:sz w:val="26"/>
                <w:szCs w:val="26"/>
              </w:rPr>
              <w:t>, uz kura ieviešanas nepieciešamību ir norādījusi Valsts kontrole</w:t>
            </w:r>
            <w:r w:rsidRPr="009807E5">
              <w:rPr>
                <w:rFonts w:ascii="Times New Roman" w:hAnsi="Times New Roman"/>
                <w:sz w:val="26"/>
                <w:szCs w:val="26"/>
              </w:rPr>
              <w:t xml:space="preserve">. </w:t>
            </w:r>
            <w:r w:rsidR="000B0C44" w:rsidRPr="009807E5">
              <w:rPr>
                <w:rFonts w:ascii="Times New Roman" w:hAnsi="Times New Roman"/>
                <w:sz w:val="26"/>
                <w:szCs w:val="26"/>
              </w:rPr>
              <w:t xml:space="preserve">Projektā noteikts, ka neatliekamā stomatoloģiskā palīdzība </w:t>
            </w:r>
            <w:r w:rsidR="006A0096" w:rsidRPr="009807E5">
              <w:rPr>
                <w:rFonts w:ascii="Times New Roman" w:hAnsi="Times New Roman"/>
                <w:sz w:val="26"/>
                <w:szCs w:val="26"/>
              </w:rPr>
              <w:t>ir gadījumos, ja ieslodzītā stāvoklim var būt kritiska ietekme uz viņa veselību vai dzīvību un palīdzību nepieciešams sniegt neatliekami.</w:t>
            </w:r>
          </w:p>
          <w:p w:rsidR="00EE77C4" w:rsidRPr="009807E5" w:rsidRDefault="00EE77C4" w:rsidP="00A51022">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precizēta iegādāto zāļu par ieslodzītā personiskajiem </w:t>
            </w:r>
            <w:r w:rsidR="009807E5" w:rsidRPr="009807E5">
              <w:rPr>
                <w:rFonts w:ascii="Times New Roman" w:hAnsi="Times New Roman"/>
                <w:sz w:val="26"/>
                <w:szCs w:val="26"/>
              </w:rPr>
              <w:t xml:space="preserve">finanšu </w:t>
            </w:r>
            <w:r w:rsidRPr="009807E5">
              <w:rPr>
                <w:rFonts w:ascii="Times New Roman" w:hAnsi="Times New Roman"/>
                <w:sz w:val="26"/>
                <w:szCs w:val="26"/>
              </w:rPr>
              <w:t xml:space="preserve">līdzekļiem glabāšanas kārtība, ņemot vērā to, ka zāles, kuras iegādātas par Ieslodzījuma vietu pārvaldes finanšu līdzekļiem tiek glabātas atbilstoši zāļu iegādes, uzglabāšanas un izlietošanas noteiktajai kārtībai ārstniecības iestādēs. </w:t>
            </w:r>
          </w:p>
          <w:p w:rsidR="0085235A" w:rsidRPr="009807E5" w:rsidRDefault="00585A38" w:rsidP="0085235A">
            <w:pPr>
              <w:shd w:val="clear" w:color="auto" w:fill="FFFFFF"/>
              <w:spacing w:after="0" w:line="240" w:lineRule="auto"/>
              <w:ind w:firstLine="399"/>
              <w:jc w:val="both"/>
              <w:rPr>
                <w:rFonts w:ascii="Times New Roman" w:hAnsi="Times New Roman"/>
                <w:sz w:val="26"/>
                <w:szCs w:val="26"/>
              </w:rPr>
            </w:pPr>
            <w:r w:rsidRPr="009807E5">
              <w:rPr>
                <w:rFonts w:ascii="Times New Roman" w:hAnsi="Times New Roman"/>
                <w:sz w:val="26"/>
                <w:szCs w:val="26"/>
              </w:rPr>
              <w:t xml:space="preserve">Projektā noteikta </w:t>
            </w:r>
            <w:r w:rsidR="00421E9C" w:rsidRPr="009807E5">
              <w:rPr>
                <w:rFonts w:ascii="Times New Roman" w:hAnsi="Times New Roman"/>
                <w:sz w:val="26"/>
                <w:szCs w:val="26"/>
              </w:rPr>
              <w:t xml:space="preserve">ieslodzījuma vietas </w:t>
            </w:r>
            <w:r w:rsidR="006A0096" w:rsidRPr="009807E5">
              <w:rPr>
                <w:rFonts w:ascii="Times New Roman" w:hAnsi="Times New Roman"/>
                <w:sz w:val="26"/>
                <w:szCs w:val="26"/>
              </w:rPr>
              <w:t>ārstniecības personas</w:t>
            </w:r>
            <w:r w:rsidRPr="009807E5">
              <w:rPr>
                <w:rFonts w:ascii="Times New Roman" w:hAnsi="Times New Roman"/>
                <w:sz w:val="26"/>
                <w:szCs w:val="26"/>
              </w:rPr>
              <w:t xml:space="preserve"> </w:t>
            </w:r>
            <w:r w:rsidR="00421E9C" w:rsidRPr="009807E5">
              <w:rPr>
                <w:rFonts w:ascii="Times New Roman" w:hAnsi="Times New Roman"/>
                <w:sz w:val="26"/>
                <w:szCs w:val="26"/>
              </w:rPr>
              <w:t>r</w:t>
            </w:r>
            <w:r w:rsidR="006A0096" w:rsidRPr="009807E5">
              <w:rPr>
                <w:rFonts w:ascii="Times New Roman" w:hAnsi="Times New Roman"/>
                <w:sz w:val="26"/>
                <w:szCs w:val="26"/>
              </w:rPr>
              <w:t>īcība pie ieslodzītā uzņemšanas.</w:t>
            </w:r>
            <w:r w:rsidR="00421E9C" w:rsidRPr="009807E5">
              <w:rPr>
                <w:rFonts w:ascii="Times New Roman" w:hAnsi="Times New Roman"/>
                <w:sz w:val="26"/>
                <w:szCs w:val="26"/>
              </w:rPr>
              <w:t xml:space="preserve"> Projektā paredzēts, ka </w:t>
            </w:r>
            <w:r w:rsidR="006A0096" w:rsidRPr="009807E5">
              <w:rPr>
                <w:rFonts w:ascii="Times New Roman" w:hAnsi="Times New Roman"/>
                <w:sz w:val="26"/>
                <w:szCs w:val="26"/>
              </w:rPr>
              <w:t xml:space="preserve">ārstniecības personai </w:t>
            </w:r>
            <w:r w:rsidR="00421E9C" w:rsidRPr="009807E5">
              <w:rPr>
                <w:rFonts w:ascii="Times New Roman" w:hAnsi="Times New Roman"/>
                <w:sz w:val="26"/>
                <w:szCs w:val="26"/>
              </w:rPr>
              <w:t>jāfiksē izmeklējuma rezultāti</w:t>
            </w:r>
            <w:r w:rsidRPr="009807E5">
              <w:rPr>
                <w:rFonts w:ascii="Times New Roman" w:hAnsi="Times New Roman"/>
                <w:sz w:val="26"/>
                <w:szCs w:val="26"/>
              </w:rPr>
              <w:t xml:space="preserve"> un </w:t>
            </w:r>
            <w:r w:rsidR="00421E9C" w:rsidRPr="009807E5">
              <w:rPr>
                <w:rFonts w:ascii="Times New Roman" w:hAnsi="Times New Roman"/>
                <w:sz w:val="26"/>
                <w:szCs w:val="26"/>
              </w:rPr>
              <w:t>jā</w:t>
            </w:r>
            <w:r w:rsidRPr="009807E5">
              <w:rPr>
                <w:rFonts w:ascii="Times New Roman" w:hAnsi="Times New Roman"/>
                <w:sz w:val="26"/>
                <w:szCs w:val="26"/>
              </w:rPr>
              <w:t xml:space="preserve">aizpilda </w:t>
            </w:r>
            <w:r w:rsidR="00433D0E" w:rsidRPr="009807E5">
              <w:rPr>
                <w:rFonts w:ascii="Times New Roman" w:hAnsi="Times New Roman"/>
                <w:sz w:val="26"/>
                <w:szCs w:val="26"/>
              </w:rPr>
              <w:t xml:space="preserve">ieslodzīto </w:t>
            </w:r>
            <w:r w:rsidRPr="009807E5">
              <w:rPr>
                <w:rFonts w:ascii="Times New Roman" w:hAnsi="Times New Roman"/>
                <w:sz w:val="26"/>
                <w:szCs w:val="26"/>
              </w:rPr>
              <w:t xml:space="preserve">apskates </w:t>
            </w:r>
            <w:r w:rsidR="00421E9C" w:rsidRPr="009807E5">
              <w:rPr>
                <w:rFonts w:ascii="Times New Roman" w:hAnsi="Times New Roman"/>
                <w:sz w:val="26"/>
                <w:szCs w:val="26"/>
              </w:rPr>
              <w:t>dokumentācija</w:t>
            </w:r>
            <w:r w:rsidRPr="009807E5">
              <w:rPr>
                <w:rFonts w:ascii="Times New Roman" w:hAnsi="Times New Roman"/>
                <w:sz w:val="26"/>
                <w:szCs w:val="26"/>
              </w:rPr>
              <w:t xml:space="preserve">, kurā detalizēti </w:t>
            </w:r>
            <w:r w:rsidR="00421E9C" w:rsidRPr="009807E5">
              <w:rPr>
                <w:rFonts w:ascii="Times New Roman" w:hAnsi="Times New Roman"/>
                <w:sz w:val="26"/>
                <w:szCs w:val="26"/>
              </w:rPr>
              <w:t>jāatzīmē</w:t>
            </w:r>
            <w:r w:rsidRPr="009807E5">
              <w:rPr>
                <w:rFonts w:ascii="Times New Roman" w:hAnsi="Times New Roman"/>
                <w:sz w:val="26"/>
                <w:szCs w:val="26"/>
              </w:rPr>
              <w:t xml:space="preserve"> ieslodzītā re</w:t>
            </w:r>
            <w:r w:rsidR="00492C2B" w:rsidRPr="009807E5">
              <w:rPr>
                <w:rFonts w:ascii="Times New Roman" w:hAnsi="Times New Roman"/>
                <w:sz w:val="26"/>
                <w:szCs w:val="26"/>
              </w:rPr>
              <w:t>dzamie miesas bojājumi. Minētā</w:t>
            </w:r>
            <w:r w:rsidRPr="009807E5">
              <w:rPr>
                <w:rFonts w:ascii="Times New Roman" w:hAnsi="Times New Roman"/>
                <w:sz w:val="26"/>
                <w:szCs w:val="26"/>
              </w:rPr>
              <w:t xml:space="preserve"> </w:t>
            </w:r>
            <w:r w:rsidR="00492C2B" w:rsidRPr="009807E5">
              <w:rPr>
                <w:rFonts w:ascii="Times New Roman" w:hAnsi="Times New Roman"/>
                <w:sz w:val="26"/>
                <w:szCs w:val="26"/>
              </w:rPr>
              <w:t>kārtība atbilst</w:t>
            </w:r>
            <w:r w:rsidR="00F7604E" w:rsidRPr="009807E5">
              <w:rPr>
                <w:rFonts w:ascii="Times New Roman" w:hAnsi="Times New Roman"/>
                <w:sz w:val="26"/>
                <w:szCs w:val="26"/>
              </w:rPr>
              <w:t xml:space="preserve"> CPT ziņojumā par vizīti Latvijas ieslodzījuma vietās laika posmā no 2011. gada 5. līdz 15. septembrim 89. punktā norādītajam, ka nepieciešams uzlabot ieslodzīto personu miesas bojājumu reģistrēšanu pēc uzņemšanas ieslodzījuma vietā vai jebkādiem vardarbīgiem incidentiem ieslodzījuma vietā. Ņemot vērā minēto, Projekta izstr</w:t>
            </w:r>
            <w:r w:rsidR="00433D0E" w:rsidRPr="009807E5">
              <w:rPr>
                <w:rFonts w:ascii="Times New Roman" w:hAnsi="Times New Roman"/>
                <w:sz w:val="26"/>
                <w:szCs w:val="26"/>
              </w:rPr>
              <w:t>ādē</w:t>
            </w:r>
            <w:r w:rsidR="00F7604E" w:rsidRPr="009807E5">
              <w:rPr>
                <w:rFonts w:ascii="Times New Roman" w:hAnsi="Times New Roman"/>
                <w:sz w:val="26"/>
                <w:szCs w:val="26"/>
              </w:rPr>
              <w:t xml:space="preserve"> </w:t>
            </w:r>
            <w:r w:rsidR="001760A3" w:rsidRPr="009807E5">
              <w:rPr>
                <w:rFonts w:ascii="Times New Roman" w:hAnsi="Times New Roman"/>
                <w:sz w:val="26"/>
                <w:szCs w:val="26"/>
              </w:rPr>
              <w:t xml:space="preserve">ņemts </w:t>
            </w:r>
            <w:r w:rsidR="00F7604E" w:rsidRPr="009807E5">
              <w:rPr>
                <w:rFonts w:ascii="Times New Roman" w:hAnsi="Times New Roman"/>
                <w:sz w:val="26"/>
                <w:szCs w:val="26"/>
              </w:rPr>
              <w:t xml:space="preserve">vērā </w:t>
            </w:r>
            <w:r w:rsidR="00F7604E" w:rsidRPr="009807E5">
              <w:rPr>
                <w:rFonts w:ascii="Times New Roman" w:hAnsi="Times New Roman"/>
                <w:noProof/>
                <w:sz w:val="26"/>
                <w:szCs w:val="26"/>
              </w:rPr>
              <w:t xml:space="preserve">Stambulas protokola jeb Rokasgrāmatas par spīdzināšanas un citu nežēlīgas, necilvēcīgas vai pazemojošas izturēšanās vai sodīšanas veidu efektīvu izmeklēšanu un dokumentēšanu norādītais. </w:t>
            </w:r>
          </w:p>
          <w:p w:rsidR="003F21C5" w:rsidRPr="009807E5" w:rsidRDefault="0085235A" w:rsidP="003F21C5">
            <w:pPr>
              <w:pStyle w:val="Sarakstarindkopa"/>
              <w:tabs>
                <w:tab w:val="left" w:pos="682"/>
              </w:tabs>
              <w:spacing w:after="0" w:line="240" w:lineRule="auto"/>
              <w:ind w:left="0" w:firstLine="399"/>
              <w:jc w:val="both"/>
              <w:rPr>
                <w:rFonts w:ascii="Times New Roman" w:hAnsi="Times New Roman"/>
                <w:noProof/>
                <w:sz w:val="26"/>
                <w:szCs w:val="26"/>
              </w:rPr>
            </w:pPr>
            <w:r w:rsidRPr="009807E5">
              <w:rPr>
                <w:rFonts w:ascii="Times New Roman" w:hAnsi="Times New Roman"/>
                <w:sz w:val="26"/>
                <w:szCs w:val="26"/>
              </w:rPr>
              <w:t xml:space="preserve">Ņemot vērā Stambulas protokolā paredzēto procedūru, </w:t>
            </w:r>
            <w:r w:rsidR="00A0594F" w:rsidRPr="009807E5">
              <w:rPr>
                <w:rFonts w:ascii="Times New Roman" w:hAnsi="Times New Roman"/>
                <w:noProof/>
                <w:sz w:val="26"/>
                <w:szCs w:val="26"/>
              </w:rPr>
              <w:t xml:space="preserve">tiks ievēroti </w:t>
            </w:r>
            <w:r w:rsidR="00421E9C" w:rsidRPr="009807E5">
              <w:rPr>
                <w:rFonts w:ascii="Times New Roman" w:hAnsi="Times New Roman"/>
                <w:noProof/>
                <w:sz w:val="26"/>
                <w:szCs w:val="26"/>
              </w:rPr>
              <w:t>starptautiskie</w:t>
            </w:r>
            <w:r w:rsidR="00A0594F" w:rsidRPr="009807E5">
              <w:rPr>
                <w:rFonts w:ascii="Times New Roman" w:hAnsi="Times New Roman"/>
                <w:noProof/>
                <w:sz w:val="26"/>
                <w:szCs w:val="26"/>
              </w:rPr>
              <w:t xml:space="preserve"> standarti, lai nodrošinātu efektīvu iespējamo spīdzināšanas dokumentēšanu.  Projektā ietverti arī</w:t>
            </w:r>
            <w:r w:rsidR="00136947" w:rsidRPr="009807E5">
              <w:rPr>
                <w:rFonts w:ascii="Times New Roman" w:hAnsi="Times New Roman"/>
                <w:noProof/>
                <w:sz w:val="26"/>
                <w:szCs w:val="26"/>
              </w:rPr>
              <w:t xml:space="preserve"> atbilstoši </w:t>
            </w:r>
            <w:r w:rsidR="00421E9C" w:rsidRPr="009807E5">
              <w:rPr>
                <w:rFonts w:ascii="Times New Roman" w:hAnsi="Times New Roman"/>
                <w:noProof/>
                <w:sz w:val="26"/>
                <w:szCs w:val="26"/>
              </w:rPr>
              <w:t>ārstniecības personu darba dokumenti</w:t>
            </w:r>
            <w:r w:rsidR="00A0594F" w:rsidRPr="009807E5">
              <w:rPr>
                <w:rFonts w:ascii="Times New Roman" w:hAnsi="Times New Roman"/>
                <w:noProof/>
                <w:sz w:val="26"/>
                <w:szCs w:val="26"/>
              </w:rPr>
              <w:t xml:space="preserve">, tai skaitā </w:t>
            </w:r>
            <w:r w:rsidR="004E7CF8" w:rsidRPr="009807E5">
              <w:rPr>
                <w:rFonts w:ascii="Times New Roman" w:hAnsi="Times New Roman"/>
                <w:noProof/>
                <w:sz w:val="26"/>
                <w:szCs w:val="26"/>
              </w:rPr>
              <w:t xml:space="preserve">Ieslodzītā </w:t>
            </w:r>
            <w:r w:rsidRPr="009807E5">
              <w:rPr>
                <w:rFonts w:ascii="Times New Roman" w:hAnsi="Times New Roman"/>
                <w:noProof/>
                <w:sz w:val="26"/>
                <w:szCs w:val="26"/>
              </w:rPr>
              <w:t>traumu apskates lapa</w:t>
            </w:r>
            <w:r w:rsidR="00433D0E" w:rsidRPr="009807E5">
              <w:rPr>
                <w:rFonts w:ascii="Times New Roman" w:hAnsi="Times New Roman"/>
                <w:noProof/>
                <w:sz w:val="26"/>
                <w:szCs w:val="26"/>
              </w:rPr>
              <w:t xml:space="preserve"> (atsevišķa vīriešiem un sievietēm)</w:t>
            </w:r>
            <w:r w:rsidRPr="009807E5">
              <w:rPr>
                <w:rFonts w:ascii="Times New Roman" w:hAnsi="Times New Roman"/>
                <w:noProof/>
                <w:sz w:val="26"/>
                <w:szCs w:val="26"/>
              </w:rPr>
              <w:t xml:space="preserve">. </w:t>
            </w:r>
            <w:r w:rsidR="00AF09E5" w:rsidRPr="009807E5">
              <w:rPr>
                <w:rFonts w:ascii="Times New Roman" w:hAnsi="Times New Roman"/>
                <w:noProof/>
                <w:sz w:val="26"/>
                <w:szCs w:val="26"/>
              </w:rPr>
              <w:t xml:space="preserve">Tāpat </w:t>
            </w:r>
            <w:r w:rsidR="00621FEF" w:rsidRPr="009807E5">
              <w:rPr>
                <w:rFonts w:ascii="Times New Roman" w:hAnsi="Times New Roman"/>
                <w:noProof/>
                <w:sz w:val="26"/>
                <w:szCs w:val="26"/>
              </w:rPr>
              <w:t xml:space="preserve">Projekta pielikumi izstrādāti </w:t>
            </w:r>
            <w:r w:rsidR="00C30762" w:rsidRPr="009807E5">
              <w:rPr>
                <w:rFonts w:ascii="Times New Roman" w:hAnsi="Times New Roman"/>
                <w:noProof/>
                <w:sz w:val="26"/>
                <w:szCs w:val="26"/>
              </w:rPr>
              <w:t>saskaņā ar</w:t>
            </w:r>
            <w:r w:rsidR="00621FEF" w:rsidRPr="009807E5">
              <w:rPr>
                <w:rFonts w:ascii="Times New Roman" w:hAnsi="Times New Roman"/>
                <w:noProof/>
                <w:sz w:val="26"/>
                <w:szCs w:val="26"/>
              </w:rPr>
              <w:t xml:space="preserve"> 2006. gada 4. aprīļa </w:t>
            </w:r>
            <w:r w:rsidR="00A0594F" w:rsidRPr="009807E5">
              <w:rPr>
                <w:rFonts w:ascii="Times New Roman" w:hAnsi="Times New Roman"/>
                <w:noProof/>
                <w:sz w:val="26"/>
                <w:szCs w:val="26"/>
              </w:rPr>
              <w:t>Ministru</w:t>
            </w:r>
            <w:r w:rsidR="00621FEF" w:rsidRPr="009807E5">
              <w:rPr>
                <w:rFonts w:ascii="Times New Roman" w:hAnsi="Times New Roman"/>
                <w:noProof/>
                <w:sz w:val="26"/>
                <w:szCs w:val="26"/>
              </w:rPr>
              <w:t xml:space="preserve"> kabineta</w:t>
            </w:r>
            <w:r w:rsidR="00C30762" w:rsidRPr="009807E5">
              <w:rPr>
                <w:rFonts w:ascii="Times New Roman" w:hAnsi="Times New Roman"/>
                <w:noProof/>
                <w:sz w:val="26"/>
                <w:szCs w:val="26"/>
              </w:rPr>
              <w:t xml:space="preserve"> noteikumos</w:t>
            </w:r>
            <w:r w:rsidR="00621FEF" w:rsidRPr="009807E5">
              <w:rPr>
                <w:rFonts w:ascii="Times New Roman" w:hAnsi="Times New Roman"/>
                <w:noProof/>
                <w:sz w:val="26"/>
                <w:szCs w:val="26"/>
              </w:rPr>
              <w:t xml:space="preserve"> Nr. 265 „</w:t>
            </w:r>
            <w:r w:rsidR="00621FEF" w:rsidRPr="009807E5">
              <w:rPr>
                <w:rFonts w:ascii="Times New Roman" w:hAnsi="Times New Roman"/>
                <w:bCs/>
                <w:sz w:val="26"/>
                <w:szCs w:val="26"/>
              </w:rPr>
              <w:t>Medicīnisko dokumentu lietvedības kārtība</w:t>
            </w:r>
            <w:r w:rsidR="00621FEF" w:rsidRPr="009807E5">
              <w:rPr>
                <w:rFonts w:ascii="Times New Roman" w:hAnsi="Times New Roman"/>
                <w:noProof/>
                <w:sz w:val="26"/>
                <w:szCs w:val="26"/>
              </w:rPr>
              <w:t xml:space="preserve">” </w:t>
            </w:r>
            <w:r w:rsidR="00C30762" w:rsidRPr="009807E5">
              <w:rPr>
                <w:rFonts w:ascii="Times New Roman" w:hAnsi="Times New Roman"/>
                <w:noProof/>
                <w:sz w:val="26"/>
                <w:szCs w:val="26"/>
              </w:rPr>
              <w:t xml:space="preserve">minēto, </w:t>
            </w:r>
            <w:r w:rsidR="00A0594F" w:rsidRPr="009807E5">
              <w:rPr>
                <w:rFonts w:ascii="Times New Roman" w:hAnsi="Times New Roman"/>
                <w:noProof/>
                <w:sz w:val="26"/>
                <w:szCs w:val="26"/>
              </w:rPr>
              <w:t xml:space="preserve">izveidojot jaunus dokumentus atbilstoši ieslodzījuma vietu specifikācijai. Minētais nepieciešams, jo medicīniskās dokumentācijas </w:t>
            </w:r>
            <w:r w:rsidR="00A0594F" w:rsidRPr="009807E5">
              <w:rPr>
                <w:rFonts w:ascii="Times New Roman" w:hAnsi="Times New Roman"/>
                <w:sz w:val="26"/>
                <w:szCs w:val="26"/>
              </w:rPr>
              <w:t xml:space="preserve">lietvedības kārtība ir saistoša visām Latvijas Republikas ārstniecības iestādēm, tai skaitā ieslodzījuma vietu ārstniecības personām. </w:t>
            </w:r>
          </w:p>
          <w:p w:rsidR="00257F24" w:rsidRPr="009807E5" w:rsidRDefault="00257F24" w:rsidP="00257F24">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w:t>
            </w:r>
            <w:r w:rsidR="00915242" w:rsidRPr="009807E5">
              <w:rPr>
                <w:rFonts w:ascii="Times New Roman" w:hAnsi="Times New Roman"/>
                <w:sz w:val="26"/>
                <w:szCs w:val="26"/>
              </w:rPr>
              <w:t>precīzi noteikti izmeklējumi, ko</w:t>
            </w:r>
            <w:r w:rsidRPr="009807E5">
              <w:rPr>
                <w:rFonts w:ascii="Times New Roman" w:hAnsi="Times New Roman"/>
                <w:sz w:val="26"/>
                <w:szCs w:val="26"/>
              </w:rPr>
              <w:t xml:space="preserve"> ieslodzītajam ierodoties ieslodzījuma vietā</w:t>
            </w:r>
            <w:r w:rsidR="00915242" w:rsidRPr="009807E5">
              <w:rPr>
                <w:rFonts w:ascii="Times New Roman" w:hAnsi="Times New Roman"/>
                <w:sz w:val="26"/>
                <w:szCs w:val="26"/>
              </w:rPr>
              <w:t>,</w:t>
            </w:r>
            <w:r w:rsidRPr="009807E5">
              <w:rPr>
                <w:rFonts w:ascii="Times New Roman" w:hAnsi="Times New Roman"/>
                <w:sz w:val="26"/>
                <w:szCs w:val="26"/>
              </w:rPr>
              <w:t xml:space="preserve"> </w:t>
            </w:r>
            <w:r w:rsidR="00915242" w:rsidRPr="009807E5">
              <w:rPr>
                <w:rFonts w:ascii="Times New Roman" w:hAnsi="Times New Roman"/>
                <w:sz w:val="26"/>
                <w:szCs w:val="26"/>
              </w:rPr>
              <w:t xml:space="preserve">nodrošina </w:t>
            </w:r>
            <w:r w:rsidRPr="009807E5">
              <w:rPr>
                <w:rFonts w:ascii="Times New Roman" w:hAnsi="Times New Roman"/>
                <w:sz w:val="26"/>
                <w:szCs w:val="26"/>
              </w:rPr>
              <w:t>pirmreizējās veselības pārbaudes laikā</w:t>
            </w:r>
            <w:r w:rsidR="00915242" w:rsidRPr="009807E5">
              <w:rPr>
                <w:rFonts w:ascii="Times New Roman" w:hAnsi="Times New Roman"/>
                <w:sz w:val="26"/>
                <w:szCs w:val="26"/>
              </w:rPr>
              <w:t xml:space="preserve">, tai skaitā </w:t>
            </w:r>
            <w:r w:rsidR="00915242" w:rsidRPr="009807E5">
              <w:rPr>
                <w:rFonts w:ascii="Times New Roman" w:hAnsi="Times New Roman"/>
                <w:sz w:val="26"/>
                <w:szCs w:val="26"/>
              </w:rPr>
              <w:lastRenderedPageBreak/>
              <w:t>izmeklējumus</w:t>
            </w:r>
            <w:r w:rsidRPr="009807E5">
              <w:rPr>
                <w:rFonts w:ascii="Times New Roman" w:hAnsi="Times New Roman"/>
                <w:sz w:val="26"/>
                <w:szCs w:val="26"/>
              </w:rPr>
              <w:t xml:space="preserve"> aktīvās plaušu tuberkulozes diagnosticēšanai. </w:t>
            </w:r>
            <w:r w:rsidR="00915242" w:rsidRPr="009807E5">
              <w:rPr>
                <w:rFonts w:ascii="Times New Roman" w:hAnsi="Times New Roman"/>
                <w:sz w:val="26"/>
                <w:szCs w:val="26"/>
              </w:rPr>
              <w:t xml:space="preserve">Tas nepieciešams, lai uzlabotu aktīvās tuberkulozes diagnostiku un veicinātu tās agrīnu atklāšanu. </w:t>
            </w:r>
            <w:r w:rsidR="0047006A" w:rsidRPr="009807E5">
              <w:rPr>
                <w:rFonts w:ascii="Times New Roman" w:hAnsi="Times New Roman"/>
                <w:sz w:val="26"/>
                <w:szCs w:val="26"/>
              </w:rPr>
              <w:t xml:space="preserve">Projektā paredzēts, ka izmeklējumus </w:t>
            </w:r>
            <w:r w:rsidR="001864A4" w:rsidRPr="009807E5">
              <w:rPr>
                <w:rFonts w:ascii="Times New Roman" w:hAnsi="Times New Roman"/>
                <w:sz w:val="26"/>
                <w:szCs w:val="26"/>
              </w:rPr>
              <w:t xml:space="preserve">uz cilvēka imūndeficīta vīrusu </w:t>
            </w:r>
            <w:r w:rsidR="0047006A" w:rsidRPr="009807E5">
              <w:rPr>
                <w:rFonts w:ascii="Times New Roman" w:hAnsi="Times New Roman"/>
                <w:sz w:val="26"/>
                <w:szCs w:val="26"/>
              </w:rPr>
              <w:t>un plaušu rentgenoloģiskos izmeklējumus nodrošina</w:t>
            </w:r>
            <w:r w:rsidR="004E7CF8" w:rsidRPr="009807E5">
              <w:rPr>
                <w:rFonts w:ascii="Times New Roman" w:hAnsi="Times New Roman"/>
                <w:sz w:val="26"/>
                <w:szCs w:val="26"/>
              </w:rPr>
              <w:t>, ja ieslodzītajam pēdējo 12 mēnešu laikā minētais izmeklējums nav ticis veikts</w:t>
            </w:r>
            <w:r w:rsidR="0047006A" w:rsidRPr="009807E5">
              <w:rPr>
                <w:rFonts w:ascii="Times New Roman" w:hAnsi="Times New Roman"/>
                <w:sz w:val="26"/>
                <w:szCs w:val="26"/>
              </w:rPr>
              <w:t>, lai netiktu dublēti minētie izmeklējumi ieslodzītajam, kas gada laikā vairākkārt nonāk ieslodzījuma vietās.</w:t>
            </w:r>
            <w:r w:rsidR="004E7CF8" w:rsidRPr="009807E5">
              <w:rPr>
                <w:rFonts w:ascii="Times New Roman" w:hAnsi="Times New Roman"/>
                <w:sz w:val="26"/>
                <w:szCs w:val="26"/>
              </w:rPr>
              <w:t xml:space="preserve"> Projektā tiek precizēts, ka ieslodzītajam, ierodoties ieslodzījuma vietā, tikai pirmreizējās veselības pārbaudes laikā piedāvā iespēju veikt </w:t>
            </w:r>
            <w:proofErr w:type="spellStart"/>
            <w:r w:rsidR="001864A4" w:rsidRPr="009807E5">
              <w:rPr>
                <w:rFonts w:ascii="Times New Roman" w:hAnsi="Times New Roman"/>
                <w:sz w:val="26"/>
                <w:szCs w:val="26"/>
              </w:rPr>
              <w:t>papild</w:t>
            </w:r>
            <w:r w:rsidR="004E7CF8" w:rsidRPr="009807E5">
              <w:rPr>
                <w:rFonts w:ascii="Times New Roman" w:hAnsi="Times New Roman"/>
                <w:sz w:val="26"/>
                <w:szCs w:val="26"/>
              </w:rPr>
              <w:t>izmeklējumu</w:t>
            </w:r>
            <w:r w:rsidR="001864A4" w:rsidRPr="009807E5">
              <w:rPr>
                <w:rFonts w:ascii="Times New Roman" w:hAnsi="Times New Roman"/>
                <w:sz w:val="26"/>
                <w:szCs w:val="26"/>
              </w:rPr>
              <w:t>s</w:t>
            </w:r>
            <w:proofErr w:type="spellEnd"/>
            <w:r w:rsidR="004E7CF8" w:rsidRPr="009807E5">
              <w:rPr>
                <w:rFonts w:ascii="Times New Roman" w:hAnsi="Times New Roman"/>
                <w:sz w:val="26"/>
                <w:szCs w:val="26"/>
              </w:rPr>
              <w:t xml:space="preserve">. </w:t>
            </w:r>
          </w:p>
          <w:p w:rsidR="00257F24" w:rsidRPr="009807E5" w:rsidRDefault="00257F24" w:rsidP="003F21C5">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ir noteiktas tiesības </w:t>
            </w:r>
            <w:r w:rsidR="005727E9" w:rsidRPr="009807E5">
              <w:rPr>
                <w:rFonts w:ascii="Times New Roman" w:hAnsi="Times New Roman"/>
                <w:sz w:val="26"/>
                <w:szCs w:val="26"/>
              </w:rPr>
              <w:t xml:space="preserve">ieslodzītajam </w:t>
            </w:r>
            <w:r w:rsidRPr="009807E5">
              <w:rPr>
                <w:rFonts w:ascii="Times New Roman" w:hAnsi="Times New Roman"/>
                <w:sz w:val="26"/>
                <w:szCs w:val="26"/>
              </w:rPr>
              <w:t xml:space="preserve">atteikties no </w:t>
            </w:r>
            <w:r w:rsidR="004E7CF8" w:rsidRPr="009807E5">
              <w:rPr>
                <w:rFonts w:ascii="Times New Roman" w:hAnsi="Times New Roman"/>
                <w:sz w:val="26"/>
                <w:szCs w:val="26"/>
              </w:rPr>
              <w:t>apskates, izmeklējuma vai ārstēšanas</w:t>
            </w:r>
            <w:r w:rsidRPr="009807E5">
              <w:rPr>
                <w:rFonts w:ascii="Times New Roman" w:hAnsi="Times New Roman"/>
                <w:sz w:val="26"/>
                <w:szCs w:val="26"/>
              </w:rPr>
              <w:t>, ierodoties ieslodzījuma vietā</w:t>
            </w:r>
            <w:r w:rsidR="00E514B7" w:rsidRPr="009807E5">
              <w:rPr>
                <w:rFonts w:ascii="Times New Roman" w:hAnsi="Times New Roman"/>
                <w:sz w:val="26"/>
                <w:szCs w:val="26"/>
              </w:rPr>
              <w:t>, kā arī paredzēts ieslodzījuma vietu ārstniecības personu pienākums šādā gadījumā</w:t>
            </w:r>
            <w:r w:rsidR="00812CA0" w:rsidRPr="009807E5">
              <w:rPr>
                <w:rFonts w:ascii="Times New Roman" w:hAnsi="Times New Roman"/>
                <w:sz w:val="26"/>
                <w:szCs w:val="26"/>
              </w:rPr>
              <w:t xml:space="preserve"> fiksēt redzamos miesas bojājumus vai acīmredzamas traumas ieslodzītā ambulatorajā kartē</w:t>
            </w:r>
            <w:r w:rsidR="005727E9" w:rsidRPr="009807E5">
              <w:rPr>
                <w:rFonts w:ascii="Times New Roman" w:hAnsi="Times New Roman"/>
                <w:sz w:val="26"/>
                <w:szCs w:val="26"/>
              </w:rPr>
              <w:t xml:space="preserve">. </w:t>
            </w:r>
            <w:r w:rsidR="00E514B7" w:rsidRPr="009807E5">
              <w:rPr>
                <w:rFonts w:ascii="Times New Roman" w:hAnsi="Times New Roman"/>
                <w:sz w:val="26"/>
                <w:szCs w:val="26"/>
              </w:rPr>
              <w:t>Tas nepieciešams, lai tiktu ievērotas ieslodzītā cilvēktiesības, tomēr ievērojot ieslodzījuma vietas specifiku, ieslodzījuma vietas ārstniecības personai būtu tiesības acīmredzamas traumas un miesas bojājumus fiksēt medicīniskajā dokumentācijā</w:t>
            </w:r>
            <w:r w:rsidR="00A83E48" w:rsidRPr="009807E5">
              <w:rPr>
                <w:rFonts w:ascii="Times New Roman" w:hAnsi="Times New Roman"/>
                <w:sz w:val="26"/>
                <w:szCs w:val="26"/>
              </w:rPr>
              <w:t xml:space="preserve"> </w:t>
            </w:r>
            <w:r w:rsidR="00FC54B4" w:rsidRPr="009807E5">
              <w:rPr>
                <w:rFonts w:ascii="Times New Roman" w:hAnsi="Times New Roman"/>
                <w:sz w:val="26"/>
                <w:szCs w:val="26"/>
              </w:rPr>
              <w:t xml:space="preserve">bez ieslodzītā piekrišanas </w:t>
            </w:r>
            <w:r w:rsidR="00A83E48" w:rsidRPr="009807E5">
              <w:rPr>
                <w:rFonts w:ascii="Times New Roman" w:hAnsi="Times New Roman"/>
                <w:sz w:val="26"/>
                <w:szCs w:val="26"/>
              </w:rPr>
              <w:t xml:space="preserve">tālākai </w:t>
            </w:r>
            <w:r w:rsidR="004A024D" w:rsidRPr="009807E5">
              <w:rPr>
                <w:rFonts w:ascii="Times New Roman" w:hAnsi="Times New Roman"/>
                <w:sz w:val="26"/>
                <w:szCs w:val="26"/>
              </w:rPr>
              <w:t>rīcībai</w:t>
            </w:r>
            <w:r w:rsidR="00E514B7" w:rsidRPr="009807E5">
              <w:rPr>
                <w:rFonts w:ascii="Times New Roman" w:hAnsi="Times New Roman"/>
                <w:sz w:val="26"/>
                <w:szCs w:val="26"/>
              </w:rPr>
              <w:t>.</w:t>
            </w:r>
          </w:p>
          <w:p w:rsidR="00EE77C4" w:rsidRPr="009807E5" w:rsidRDefault="00EE77C4" w:rsidP="003F21C5">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tiek paredzēta ieslodzījuma vietu ārstniecības personu, amatpersonu un darbinieku rīcībā gadījumos, kad ieslodzītajam nepieciešama neatliekamā medicīniskā palīdzība, </w:t>
            </w:r>
            <w:r w:rsidR="0086182A" w:rsidRPr="009807E5">
              <w:rPr>
                <w:rFonts w:ascii="Times New Roman" w:hAnsi="Times New Roman"/>
                <w:sz w:val="26"/>
                <w:szCs w:val="26"/>
              </w:rPr>
              <w:t xml:space="preserve">vai to nepieciešams steidzami nosūtīt uz Latvijas Cietumu slimnīcu ārpus tās normālā darba laika, vai ganījumos, kad neatliekamās medicīniskās palīdzības brigāde informē par nepieciešamību ieslodzīto pārvest stacionārās aprūpes saņemšanai uz Latvijas cietumu slimnīcu vai ārstniecības iestādi ārpus ieslodzījuma vietas. </w:t>
            </w:r>
          </w:p>
          <w:p w:rsidR="00B1392B" w:rsidRPr="009807E5" w:rsidRDefault="00900781" w:rsidP="003F21C5">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w:t>
            </w:r>
            <w:r w:rsidR="003E5210" w:rsidRPr="009807E5">
              <w:rPr>
                <w:rFonts w:ascii="Times New Roman" w:hAnsi="Times New Roman"/>
                <w:sz w:val="26"/>
                <w:szCs w:val="26"/>
              </w:rPr>
              <w:t xml:space="preserve">noteikts, ka ieslodzītajam nepieciešamās veselības aprūpes pakalpojumu saņemšanu saskaņo ar Ieslodzījuma vietu pārvaldes atbildīgo amatpersonu pirms tiek organizēta ieslodzītās personas pārvešana uz noteikto ārstniecības iestādi. Tas noteikts, jo pastāv iespēja noteiktos gadījumos, kad Ieslodzījuma vietu pārvaldes amatpersonas rīcībā ir operatīva informācija, kas liecina par to, ka drošības nolūkos ieslodzīto nevar vest uz konkrēto norādīto ārstniecības iestādi. Tādā gadījumā, Ieslodzījuma vietu pārvaldes amatpersona norāda citu ārstniecības iestādi, uz kuru ieslodzīto nepieciešams nogādāt, lai tiktu ievēroti nepieciešamie </w:t>
            </w:r>
            <w:r w:rsidR="003E5210" w:rsidRPr="009807E5">
              <w:rPr>
                <w:rFonts w:ascii="Times New Roman" w:hAnsi="Times New Roman"/>
                <w:sz w:val="26"/>
                <w:szCs w:val="26"/>
              </w:rPr>
              <w:lastRenderedPageBreak/>
              <w:t>drošības aspekti.</w:t>
            </w:r>
          </w:p>
          <w:p w:rsidR="00FC54B4" w:rsidRPr="009807E5" w:rsidRDefault="005727E9" w:rsidP="008377CB">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paredzēts, ka slēdzienu par nepieciešamību ieslodzītajam saņemt sekundārās veselības aprūpes vai zobārstniecības pakalpojumu ārstniecības iestādē ārpus ieslodzījuma vietas, dod ieslodzījuma vietas ārsts, Medicīnas daļas vadītājs vai Latvijas Cietumu slimnīcas </w:t>
            </w:r>
            <w:proofErr w:type="spellStart"/>
            <w:r w:rsidRPr="009807E5">
              <w:rPr>
                <w:rFonts w:ascii="Times New Roman" w:hAnsi="Times New Roman"/>
                <w:sz w:val="26"/>
                <w:szCs w:val="26"/>
              </w:rPr>
              <w:t>virsārsts</w:t>
            </w:r>
            <w:proofErr w:type="spellEnd"/>
            <w:r w:rsidRPr="009807E5">
              <w:rPr>
                <w:rFonts w:ascii="Times New Roman" w:hAnsi="Times New Roman"/>
                <w:sz w:val="26"/>
                <w:szCs w:val="26"/>
              </w:rPr>
              <w:t xml:space="preserve">. Šobrīd spēkā esošajos noteikumos noteikts, ka šādu lēmumu ir tiesīgs pieņemt ieslodzījuma vietas ārsts. </w:t>
            </w:r>
            <w:r w:rsidR="00EE77C4" w:rsidRPr="009807E5">
              <w:rPr>
                <w:rFonts w:ascii="Times New Roman" w:hAnsi="Times New Roman"/>
                <w:sz w:val="26"/>
                <w:szCs w:val="26"/>
              </w:rPr>
              <w:t>Projektā</w:t>
            </w:r>
            <w:r w:rsidRPr="009807E5">
              <w:rPr>
                <w:rFonts w:ascii="Times New Roman" w:hAnsi="Times New Roman"/>
                <w:sz w:val="26"/>
                <w:szCs w:val="26"/>
              </w:rPr>
              <w:t xml:space="preserve"> paredzēts noteikt, ka šādu lēmumu noteiks divu neatkarīgu speciālistu viedoklis - ieslodzījuma vietas ārsta slēdziens un Medicīnas daļas vadītājs, lai </w:t>
            </w:r>
            <w:r w:rsidR="006379F0" w:rsidRPr="009807E5">
              <w:rPr>
                <w:rFonts w:ascii="Times New Roman" w:hAnsi="Times New Roman"/>
                <w:sz w:val="26"/>
                <w:szCs w:val="26"/>
              </w:rPr>
              <w:t>pēc iespējas objektīvāk tiktu pieņemts šāds lēmums gadījumos, ja sekundārās veselības aprūpes vai zobārstniecības pakalpojumi nevar tikt nodrošināti ieslodzījuma vietā vai Latvijas Cietumu slimnīcā.</w:t>
            </w:r>
          </w:p>
          <w:p w:rsidR="00B1715D" w:rsidRPr="009807E5" w:rsidRDefault="0086182A" w:rsidP="00B1715D">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tiek noteikts, ka ieslodzītais var saņemt </w:t>
            </w:r>
            <w:r w:rsidR="00B1715D" w:rsidRPr="009807E5">
              <w:rPr>
                <w:rFonts w:ascii="Times New Roman" w:hAnsi="Times New Roman"/>
                <w:sz w:val="26"/>
                <w:szCs w:val="26"/>
              </w:rPr>
              <w:t xml:space="preserve">plānveida stomatoloģisko palīdzību par saviem personīgajiem </w:t>
            </w:r>
            <w:r w:rsidR="009807E5" w:rsidRPr="009807E5">
              <w:rPr>
                <w:rFonts w:ascii="Times New Roman" w:hAnsi="Times New Roman"/>
                <w:sz w:val="26"/>
                <w:szCs w:val="26"/>
              </w:rPr>
              <w:t xml:space="preserve">finanšu </w:t>
            </w:r>
            <w:r w:rsidR="00B1715D" w:rsidRPr="009807E5">
              <w:rPr>
                <w:rFonts w:ascii="Times New Roman" w:hAnsi="Times New Roman"/>
                <w:sz w:val="26"/>
                <w:szCs w:val="26"/>
              </w:rPr>
              <w:t>līdzekļiem, iesniedzot iesniegumu ieslodzījuma vietas priekšniekam.</w:t>
            </w:r>
          </w:p>
          <w:p w:rsidR="00B02661" w:rsidRPr="009807E5" w:rsidRDefault="00B02661" w:rsidP="00B1715D">
            <w:pPr>
              <w:pStyle w:val="Sarakstarindkopa"/>
              <w:tabs>
                <w:tab w:val="left" w:pos="682"/>
              </w:tabs>
              <w:spacing w:after="0" w:line="240" w:lineRule="auto"/>
              <w:ind w:left="0" w:firstLine="399"/>
              <w:jc w:val="both"/>
              <w:rPr>
                <w:rFonts w:ascii="Times New Roman" w:hAnsi="Times New Roman"/>
                <w:sz w:val="26"/>
                <w:szCs w:val="26"/>
              </w:rPr>
            </w:pPr>
            <w:r w:rsidRPr="009807E5">
              <w:rPr>
                <w:rFonts w:ascii="Times New Roman" w:hAnsi="Times New Roman"/>
                <w:sz w:val="26"/>
                <w:szCs w:val="26"/>
              </w:rPr>
              <w:t xml:space="preserve">Projektā noteiktas ieslodzītā tiesības iegādāties zāles vai medicīniskās preces, kuru nepieciešamība tiek saskaņota ar ieslodzījuma vietas ārstu un Medicīnas daļas vadītāju, vai Latvijas Cietumu slimnīcas </w:t>
            </w:r>
            <w:proofErr w:type="spellStart"/>
            <w:r w:rsidRPr="009807E5">
              <w:rPr>
                <w:rFonts w:ascii="Times New Roman" w:hAnsi="Times New Roman"/>
                <w:sz w:val="26"/>
                <w:szCs w:val="26"/>
              </w:rPr>
              <w:t>virsārstu</w:t>
            </w:r>
            <w:proofErr w:type="spellEnd"/>
            <w:r w:rsidRPr="009807E5">
              <w:rPr>
                <w:rFonts w:ascii="Times New Roman" w:hAnsi="Times New Roman"/>
                <w:sz w:val="26"/>
                <w:szCs w:val="26"/>
              </w:rPr>
              <w:t xml:space="preserve">. Projektā noteikts, ja zāļu vai medicīnisko preču iegāde ir medicīniski indicēta, Medicīnas daļas vadītājs vai Latvijas Cietumu slimnīcas </w:t>
            </w:r>
            <w:proofErr w:type="spellStart"/>
            <w:r w:rsidRPr="009807E5">
              <w:rPr>
                <w:rFonts w:ascii="Times New Roman" w:hAnsi="Times New Roman"/>
                <w:sz w:val="26"/>
                <w:szCs w:val="26"/>
              </w:rPr>
              <w:t>virsārsts</w:t>
            </w:r>
            <w:proofErr w:type="spellEnd"/>
            <w:r w:rsidRPr="009807E5">
              <w:rPr>
                <w:rFonts w:ascii="Times New Roman" w:hAnsi="Times New Roman"/>
                <w:sz w:val="26"/>
                <w:szCs w:val="26"/>
              </w:rPr>
              <w:t xml:space="preserve"> iegādājas nepieciešamo </w:t>
            </w:r>
            <w:r w:rsidR="0084181C" w:rsidRPr="009807E5">
              <w:rPr>
                <w:rFonts w:ascii="Times New Roman" w:hAnsi="Times New Roman"/>
                <w:sz w:val="26"/>
                <w:szCs w:val="26"/>
              </w:rPr>
              <w:t>atbilstoši normatīvajos aktos par publisko iepirkumu un elektronisko iepirkumu sistēmu minētajam</w:t>
            </w:r>
            <w:r w:rsidRPr="009807E5">
              <w:rPr>
                <w:rFonts w:ascii="Times New Roman" w:hAnsi="Times New Roman"/>
                <w:sz w:val="26"/>
                <w:szCs w:val="26"/>
              </w:rPr>
              <w:t>.</w:t>
            </w:r>
          </w:p>
        </w:tc>
      </w:tr>
      <w:tr w:rsidR="00FF4A15" w:rsidRPr="009807E5" w:rsidTr="00123DC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123DC4">
            <w:pPr>
              <w:spacing w:after="0" w:line="240" w:lineRule="auto"/>
              <w:jc w:val="both"/>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 xml:space="preserve">Tieslietu ministrija, </w:t>
            </w:r>
            <w:r w:rsidR="00123DC4" w:rsidRPr="009807E5">
              <w:rPr>
                <w:rFonts w:ascii="Times New Roman" w:eastAsia="Times New Roman" w:hAnsi="Times New Roman"/>
                <w:sz w:val="26"/>
                <w:szCs w:val="26"/>
                <w:lang w:eastAsia="lv-LV"/>
              </w:rPr>
              <w:t>Ieslodzījuma vietu pārvalde</w:t>
            </w:r>
            <w:r w:rsidR="004A6FFB" w:rsidRPr="009807E5">
              <w:rPr>
                <w:rFonts w:ascii="Times New Roman" w:eastAsia="Times New Roman" w:hAnsi="Times New Roman"/>
                <w:sz w:val="26"/>
                <w:szCs w:val="26"/>
                <w:lang w:eastAsia="lv-LV"/>
              </w:rPr>
              <w:t>.</w:t>
            </w:r>
          </w:p>
        </w:tc>
      </w:tr>
      <w:tr w:rsidR="00FF4A15" w:rsidRPr="009807E5" w:rsidTr="00123DC4">
        <w:tc>
          <w:tcPr>
            <w:tcW w:w="2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 xml:space="preserve">Nav. </w:t>
            </w:r>
          </w:p>
        </w:tc>
      </w:tr>
    </w:tbl>
    <w:p w:rsidR="00FF4A15" w:rsidRPr="009807E5" w:rsidRDefault="00FF4A15" w:rsidP="00FF4A15">
      <w:pPr>
        <w:spacing w:after="0" w:line="240" w:lineRule="auto"/>
        <w:rPr>
          <w:rFonts w:ascii="Times New Roman" w:eastAsia="Times New Roman" w:hAnsi="Times New Roman"/>
          <w:sz w:val="26"/>
          <w:szCs w:val="26"/>
          <w:lang w:eastAsia="lv-LV"/>
        </w:rPr>
      </w:pPr>
    </w:p>
    <w:p w:rsidR="00FF4A15" w:rsidRPr="009807E5" w:rsidRDefault="00FF4A15" w:rsidP="00FF4A15">
      <w:pPr>
        <w:spacing w:after="0" w:line="240" w:lineRule="auto"/>
        <w:rPr>
          <w:rFonts w:ascii="Times New Roman" w:eastAsia="Times New Roman" w:hAnsi="Times New Roman"/>
          <w:vanish/>
          <w:sz w:val="26"/>
          <w:szCs w:val="26"/>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6"/>
        <w:gridCol w:w="2673"/>
        <w:gridCol w:w="6014"/>
      </w:tblGrid>
      <w:tr w:rsidR="00FF4A15" w:rsidRPr="009807E5" w:rsidTr="006068E5">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F4A15" w:rsidRPr="009807E5" w:rsidRDefault="00FF4A15" w:rsidP="005727E9">
            <w:pPr>
              <w:spacing w:after="0" w:line="240" w:lineRule="auto"/>
              <w:ind w:firstLine="300"/>
              <w:jc w:val="center"/>
              <w:rPr>
                <w:rFonts w:ascii="Times New Roman" w:eastAsia="Times New Roman" w:hAnsi="Times New Roman"/>
                <w:b/>
                <w:bCs/>
                <w:sz w:val="26"/>
                <w:szCs w:val="26"/>
                <w:lang w:eastAsia="lv-LV"/>
              </w:rPr>
            </w:pPr>
            <w:r w:rsidRPr="009807E5">
              <w:rPr>
                <w:rFonts w:ascii="Times New Roman" w:eastAsia="Times New Roman" w:hAnsi="Times New Roman"/>
                <w:b/>
                <w:bCs/>
                <w:sz w:val="26"/>
                <w:szCs w:val="26"/>
                <w:lang w:eastAsia="lv-LV"/>
              </w:rPr>
              <w:t>II. Tiesību akta projekta ietekme uz sabiedrību, tautsaimniecības attīstību un administratīvo slogu</w:t>
            </w:r>
          </w:p>
        </w:tc>
      </w:tr>
      <w:tr w:rsidR="00FF4A15" w:rsidRPr="009807E5" w:rsidTr="006068E5">
        <w:trPr>
          <w:trHeight w:val="465"/>
        </w:trPr>
        <w:tc>
          <w:tcPr>
            <w:tcW w:w="21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1.</w:t>
            </w:r>
          </w:p>
        </w:tc>
        <w:tc>
          <w:tcPr>
            <w:tcW w:w="147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Sabiedrības mērķgrupas, kuras tiesiskais regulējums ietekmē vai varētu ietekmēt</w:t>
            </w:r>
          </w:p>
        </w:tc>
        <w:tc>
          <w:tcPr>
            <w:tcW w:w="3314" w:type="pct"/>
            <w:tcBorders>
              <w:top w:val="single" w:sz="4" w:space="0" w:color="auto"/>
              <w:left w:val="single" w:sz="4" w:space="0" w:color="auto"/>
              <w:bottom w:val="single" w:sz="4" w:space="0" w:color="auto"/>
              <w:right w:val="single" w:sz="4" w:space="0" w:color="auto"/>
            </w:tcBorders>
            <w:hideMark/>
          </w:tcPr>
          <w:p w:rsidR="00123DC4" w:rsidRPr="009807E5" w:rsidRDefault="00D43790" w:rsidP="00AC4666">
            <w:pPr>
              <w:pStyle w:val="naiskr"/>
              <w:spacing w:before="0" w:after="0"/>
              <w:ind w:left="34" w:right="96"/>
              <w:jc w:val="both"/>
              <w:rPr>
                <w:sz w:val="26"/>
                <w:szCs w:val="26"/>
              </w:rPr>
            </w:pPr>
            <w:r w:rsidRPr="009807E5">
              <w:rPr>
                <w:sz w:val="26"/>
                <w:szCs w:val="26"/>
              </w:rPr>
              <w:t>Ar brīvības atņemšanu notiesātie, kas sodu izcieš brīvības atņemšanas iestādēs</w:t>
            </w:r>
            <w:r w:rsidR="00123DC4" w:rsidRPr="009807E5">
              <w:rPr>
                <w:sz w:val="26"/>
                <w:szCs w:val="26"/>
              </w:rPr>
              <w:t xml:space="preserve"> un apcietinātās personas</w:t>
            </w:r>
            <w:r w:rsidRPr="009807E5">
              <w:rPr>
                <w:sz w:val="26"/>
                <w:szCs w:val="26"/>
              </w:rPr>
              <w:t xml:space="preserve">. </w:t>
            </w:r>
          </w:p>
          <w:p w:rsidR="00D43790" w:rsidRPr="009807E5" w:rsidRDefault="00D43790" w:rsidP="00AC4666">
            <w:pPr>
              <w:pStyle w:val="naiskr"/>
              <w:spacing w:before="0" w:after="0"/>
              <w:ind w:left="34" w:right="96"/>
              <w:jc w:val="both"/>
              <w:rPr>
                <w:iCs/>
                <w:sz w:val="26"/>
                <w:szCs w:val="26"/>
              </w:rPr>
            </w:pPr>
            <w:r w:rsidRPr="009807E5">
              <w:rPr>
                <w:sz w:val="26"/>
                <w:szCs w:val="26"/>
              </w:rPr>
              <w:t>2015. </w:t>
            </w:r>
            <w:r w:rsidR="00123DC4" w:rsidRPr="009807E5">
              <w:rPr>
                <w:sz w:val="26"/>
                <w:szCs w:val="26"/>
              </w:rPr>
              <w:t>g</w:t>
            </w:r>
            <w:r w:rsidRPr="009807E5">
              <w:rPr>
                <w:sz w:val="26"/>
                <w:szCs w:val="26"/>
              </w:rPr>
              <w:t>ada</w:t>
            </w:r>
            <w:r w:rsidR="00123DC4" w:rsidRPr="009807E5">
              <w:rPr>
                <w:sz w:val="26"/>
                <w:szCs w:val="26"/>
              </w:rPr>
              <w:t xml:space="preserve"> </w:t>
            </w:r>
            <w:r w:rsidR="001864A4" w:rsidRPr="009807E5">
              <w:rPr>
                <w:sz w:val="26"/>
                <w:szCs w:val="26"/>
              </w:rPr>
              <w:t>23</w:t>
            </w:r>
            <w:r w:rsidR="00123DC4" w:rsidRPr="009807E5">
              <w:rPr>
                <w:sz w:val="26"/>
                <w:szCs w:val="26"/>
              </w:rPr>
              <w:t>. </w:t>
            </w:r>
            <w:r w:rsidR="001864A4" w:rsidRPr="009807E5">
              <w:rPr>
                <w:sz w:val="26"/>
                <w:szCs w:val="26"/>
              </w:rPr>
              <w:t>martā</w:t>
            </w:r>
            <w:r w:rsidR="00123DC4" w:rsidRPr="009807E5">
              <w:rPr>
                <w:sz w:val="26"/>
                <w:szCs w:val="26"/>
              </w:rPr>
              <w:t xml:space="preserve"> </w:t>
            </w:r>
            <w:r w:rsidRPr="009807E5">
              <w:rPr>
                <w:sz w:val="26"/>
                <w:szCs w:val="26"/>
              </w:rPr>
              <w:t xml:space="preserve">Latvijas ieslodzījuma vietās atradās </w:t>
            </w:r>
            <w:r w:rsidR="001864A4" w:rsidRPr="009807E5">
              <w:rPr>
                <w:sz w:val="26"/>
                <w:szCs w:val="26"/>
              </w:rPr>
              <w:t>3240</w:t>
            </w:r>
            <w:r w:rsidR="00123DC4" w:rsidRPr="009807E5">
              <w:rPr>
                <w:sz w:val="26"/>
                <w:szCs w:val="26"/>
              </w:rPr>
              <w:t xml:space="preserve"> notiesātie</w:t>
            </w:r>
            <w:r w:rsidRPr="009807E5">
              <w:rPr>
                <w:sz w:val="26"/>
                <w:szCs w:val="26"/>
              </w:rPr>
              <w:t>.</w:t>
            </w:r>
          </w:p>
          <w:p w:rsidR="00AC4666" w:rsidRPr="009807E5" w:rsidRDefault="00D43790" w:rsidP="00104A25">
            <w:pPr>
              <w:spacing w:after="0" w:line="240" w:lineRule="auto"/>
              <w:jc w:val="both"/>
              <w:rPr>
                <w:rFonts w:ascii="Times New Roman" w:hAnsi="Times New Roman"/>
                <w:sz w:val="26"/>
                <w:szCs w:val="26"/>
              </w:rPr>
            </w:pPr>
            <w:r w:rsidRPr="009807E5">
              <w:rPr>
                <w:rFonts w:ascii="Times New Roman" w:hAnsi="Times New Roman"/>
                <w:sz w:val="26"/>
                <w:szCs w:val="26"/>
              </w:rPr>
              <w:t xml:space="preserve">2015. gada </w:t>
            </w:r>
            <w:r w:rsidR="001864A4" w:rsidRPr="009807E5">
              <w:rPr>
                <w:rFonts w:ascii="Times New Roman" w:hAnsi="Times New Roman"/>
                <w:sz w:val="26"/>
                <w:szCs w:val="26"/>
              </w:rPr>
              <w:t>23</w:t>
            </w:r>
            <w:r w:rsidR="00123DC4" w:rsidRPr="009807E5">
              <w:rPr>
                <w:rFonts w:ascii="Times New Roman" w:hAnsi="Times New Roman"/>
                <w:sz w:val="26"/>
                <w:szCs w:val="26"/>
              </w:rPr>
              <w:t>.</w:t>
            </w:r>
            <w:r w:rsidR="00CF6053" w:rsidRPr="009807E5">
              <w:rPr>
                <w:rFonts w:ascii="Times New Roman" w:hAnsi="Times New Roman"/>
                <w:sz w:val="26"/>
                <w:szCs w:val="26"/>
              </w:rPr>
              <w:t> </w:t>
            </w:r>
            <w:r w:rsidR="001864A4" w:rsidRPr="009807E5">
              <w:rPr>
                <w:rFonts w:ascii="Times New Roman" w:hAnsi="Times New Roman"/>
                <w:sz w:val="26"/>
                <w:szCs w:val="26"/>
              </w:rPr>
              <w:t>martā</w:t>
            </w:r>
            <w:r w:rsidR="00123DC4" w:rsidRPr="009807E5">
              <w:rPr>
                <w:rFonts w:ascii="Times New Roman" w:hAnsi="Times New Roman"/>
                <w:sz w:val="26"/>
                <w:szCs w:val="26"/>
              </w:rPr>
              <w:t xml:space="preserve"> </w:t>
            </w:r>
            <w:r w:rsidRPr="009807E5">
              <w:rPr>
                <w:rFonts w:ascii="Times New Roman" w:hAnsi="Times New Roman"/>
                <w:sz w:val="26"/>
                <w:szCs w:val="26"/>
              </w:rPr>
              <w:t>Latvi</w:t>
            </w:r>
            <w:r w:rsidR="00104A25" w:rsidRPr="009807E5">
              <w:rPr>
                <w:rFonts w:ascii="Times New Roman" w:hAnsi="Times New Roman"/>
                <w:sz w:val="26"/>
                <w:szCs w:val="26"/>
              </w:rPr>
              <w:t xml:space="preserve">jas ieslodzījuma vietās atradās </w:t>
            </w:r>
            <w:r w:rsidR="001864A4" w:rsidRPr="009807E5">
              <w:rPr>
                <w:rFonts w:ascii="Times New Roman" w:hAnsi="Times New Roman"/>
                <w:sz w:val="26"/>
                <w:szCs w:val="26"/>
              </w:rPr>
              <w:t>1398</w:t>
            </w:r>
            <w:r w:rsidR="00123DC4" w:rsidRPr="009807E5">
              <w:rPr>
                <w:rFonts w:ascii="Times New Roman" w:hAnsi="Times New Roman"/>
                <w:sz w:val="26"/>
                <w:szCs w:val="26"/>
              </w:rPr>
              <w:t xml:space="preserve"> </w:t>
            </w:r>
            <w:r w:rsidRPr="009807E5">
              <w:rPr>
                <w:rFonts w:ascii="Times New Roman" w:hAnsi="Times New Roman"/>
                <w:sz w:val="26"/>
                <w:szCs w:val="26"/>
              </w:rPr>
              <w:t>apcietinātie.</w:t>
            </w:r>
          </w:p>
        </w:tc>
      </w:tr>
      <w:tr w:rsidR="00FF4A15" w:rsidRPr="009807E5" w:rsidTr="006068E5">
        <w:trPr>
          <w:trHeight w:val="510"/>
        </w:trPr>
        <w:tc>
          <w:tcPr>
            <w:tcW w:w="21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2.</w:t>
            </w:r>
          </w:p>
        </w:tc>
        <w:tc>
          <w:tcPr>
            <w:tcW w:w="147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Tiesiskā regulējuma ietekme uz tautsaimniecību un administratīvo slogu</w:t>
            </w:r>
          </w:p>
        </w:tc>
        <w:tc>
          <w:tcPr>
            <w:tcW w:w="3314" w:type="pct"/>
            <w:tcBorders>
              <w:top w:val="single" w:sz="4" w:space="0" w:color="auto"/>
              <w:left w:val="single" w:sz="4" w:space="0" w:color="auto"/>
              <w:bottom w:val="single" w:sz="4" w:space="0" w:color="auto"/>
              <w:right w:val="single" w:sz="4" w:space="0" w:color="auto"/>
            </w:tcBorders>
            <w:hideMark/>
          </w:tcPr>
          <w:p w:rsidR="00FF4A15" w:rsidRPr="009807E5" w:rsidRDefault="00630908" w:rsidP="009807E5">
            <w:pPr>
              <w:spacing w:after="0" w:line="240" w:lineRule="auto"/>
              <w:jc w:val="both"/>
              <w:rPr>
                <w:sz w:val="26"/>
                <w:szCs w:val="26"/>
              </w:rPr>
            </w:pPr>
            <w:r w:rsidRPr="009807E5">
              <w:rPr>
                <w:rFonts w:ascii="Times New Roman" w:hAnsi="Times New Roman"/>
                <w:sz w:val="26"/>
                <w:szCs w:val="26"/>
                <w:lang w:eastAsia="lv-LV"/>
              </w:rPr>
              <w:t xml:space="preserve">Administratīvās izmaksas naudas izteiksmē gada laikā mērķgrupai, ko veido fiziskas personas, nepārsniedz 200 </w:t>
            </w:r>
            <w:proofErr w:type="spellStart"/>
            <w:r w:rsidRPr="009807E5">
              <w:rPr>
                <w:rFonts w:ascii="Times New Roman" w:hAnsi="Times New Roman"/>
                <w:i/>
                <w:iCs/>
                <w:sz w:val="26"/>
                <w:szCs w:val="26"/>
                <w:lang w:eastAsia="lv-LV"/>
              </w:rPr>
              <w:t>euro</w:t>
            </w:r>
            <w:proofErr w:type="spellEnd"/>
            <w:r w:rsidRPr="009807E5">
              <w:rPr>
                <w:rFonts w:ascii="Times New Roman" w:hAnsi="Times New Roman"/>
                <w:sz w:val="26"/>
                <w:szCs w:val="26"/>
                <w:lang w:eastAsia="lv-LV"/>
              </w:rPr>
              <w:t xml:space="preserve">, tādēļ šis anotācijas punkts uz projektu nav attiecināms. Projektā ietvertajam tiesiskajam </w:t>
            </w:r>
            <w:r w:rsidRPr="009807E5">
              <w:rPr>
                <w:rFonts w:ascii="Times New Roman" w:hAnsi="Times New Roman"/>
                <w:sz w:val="26"/>
                <w:szCs w:val="26"/>
                <w:lang w:eastAsia="lv-LV"/>
              </w:rPr>
              <w:lastRenderedPageBreak/>
              <w:t>regulējumam nav ietekmes uz administratīvajām izmaksām.</w:t>
            </w:r>
          </w:p>
        </w:tc>
      </w:tr>
      <w:tr w:rsidR="00FF4A15" w:rsidRPr="009807E5" w:rsidTr="006068E5">
        <w:trPr>
          <w:trHeight w:val="510"/>
        </w:trPr>
        <w:tc>
          <w:tcPr>
            <w:tcW w:w="21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lastRenderedPageBreak/>
              <w:t>3.</w:t>
            </w:r>
          </w:p>
        </w:tc>
        <w:tc>
          <w:tcPr>
            <w:tcW w:w="147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Administratīvo izmaksu monetārs novērtējums</w:t>
            </w:r>
          </w:p>
        </w:tc>
        <w:tc>
          <w:tcPr>
            <w:tcW w:w="3314" w:type="pct"/>
            <w:tcBorders>
              <w:top w:val="single" w:sz="4" w:space="0" w:color="auto"/>
              <w:left w:val="single" w:sz="4" w:space="0" w:color="auto"/>
              <w:bottom w:val="single" w:sz="4" w:space="0" w:color="auto"/>
              <w:right w:val="single" w:sz="4" w:space="0" w:color="auto"/>
            </w:tcBorders>
            <w:hideMark/>
          </w:tcPr>
          <w:p w:rsidR="00FF4A15" w:rsidRPr="009807E5" w:rsidRDefault="00D43790" w:rsidP="005727E9">
            <w:pPr>
              <w:spacing w:after="0" w:line="240" w:lineRule="auto"/>
              <w:jc w:val="both"/>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Projekts šo jomu neskar.</w:t>
            </w:r>
            <w:r w:rsidR="00FF4A15" w:rsidRPr="009807E5">
              <w:rPr>
                <w:rFonts w:ascii="Times New Roman" w:eastAsia="Times New Roman" w:hAnsi="Times New Roman"/>
                <w:sz w:val="26"/>
                <w:szCs w:val="26"/>
                <w:lang w:eastAsia="lv-LV"/>
              </w:rPr>
              <w:t xml:space="preserve"> </w:t>
            </w:r>
          </w:p>
        </w:tc>
      </w:tr>
      <w:tr w:rsidR="00FF4A15" w:rsidRPr="009807E5" w:rsidTr="006068E5">
        <w:trPr>
          <w:trHeight w:val="345"/>
        </w:trPr>
        <w:tc>
          <w:tcPr>
            <w:tcW w:w="21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4.</w:t>
            </w:r>
          </w:p>
        </w:tc>
        <w:tc>
          <w:tcPr>
            <w:tcW w:w="1473"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Cita informācija</w:t>
            </w:r>
          </w:p>
        </w:tc>
        <w:tc>
          <w:tcPr>
            <w:tcW w:w="3314" w:type="pct"/>
            <w:tcBorders>
              <w:top w:val="single" w:sz="4" w:space="0" w:color="auto"/>
              <w:left w:val="single" w:sz="4" w:space="0" w:color="auto"/>
              <w:bottom w:val="single" w:sz="4" w:space="0" w:color="auto"/>
              <w:right w:val="single" w:sz="4" w:space="0" w:color="auto"/>
            </w:tcBorders>
            <w:hideMark/>
          </w:tcPr>
          <w:p w:rsidR="00FF4A15" w:rsidRPr="009807E5" w:rsidRDefault="00FF4A15"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Nav.</w:t>
            </w:r>
          </w:p>
        </w:tc>
      </w:tr>
    </w:tbl>
    <w:p w:rsidR="00FF4A15" w:rsidRPr="009807E5" w:rsidRDefault="00FF4A15" w:rsidP="00FF4A15">
      <w:pPr>
        <w:spacing w:after="0" w:line="240" w:lineRule="auto"/>
        <w:rPr>
          <w:rFonts w:ascii="Times New Roman" w:eastAsia="Times New Roman" w:hAnsi="Times New Roman"/>
          <w:sz w:val="26"/>
          <w:szCs w:val="26"/>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8"/>
        <w:gridCol w:w="2740"/>
        <w:gridCol w:w="5905"/>
      </w:tblGrid>
      <w:tr w:rsidR="00D3145C" w:rsidRPr="009807E5" w:rsidTr="00BF09E4">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3145C" w:rsidRPr="009807E5" w:rsidRDefault="00D3145C" w:rsidP="00BF09E4">
            <w:pPr>
              <w:spacing w:after="0" w:line="240" w:lineRule="auto"/>
              <w:jc w:val="center"/>
              <w:rPr>
                <w:rFonts w:ascii="Times New Roman" w:eastAsia="Times New Roman" w:hAnsi="Times New Roman"/>
                <w:b/>
                <w:bCs/>
                <w:sz w:val="26"/>
                <w:szCs w:val="26"/>
                <w:lang w:eastAsia="lv-LV"/>
              </w:rPr>
            </w:pPr>
            <w:r w:rsidRPr="009807E5">
              <w:rPr>
                <w:rFonts w:ascii="Times New Roman" w:eastAsia="Times New Roman" w:hAnsi="Times New Roman"/>
                <w:b/>
                <w:bCs/>
                <w:sz w:val="26"/>
                <w:szCs w:val="26"/>
                <w:lang w:eastAsia="lv-LV"/>
              </w:rPr>
              <w:t>VI. Sabiedrības līdzdalība un komunikācijas aktivitātes</w:t>
            </w:r>
          </w:p>
        </w:tc>
      </w:tr>
      <w:tr w:rsidR="00D3145C" w:rsidRPr="009807E5" w:rsidTr="00D40776">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Plānotās sabiedrības līdzdalības un komunikācijas aktivitātes saistībā ar projektu</w:t>
            </w:r>
          </w:p>
        </w:tc>
        <w:tc>
          <w:tcPr>
            <w:tcW w:w="3254" w:type="pct"/>
            <w:tcBorders>
              <w:top w:val="outset" w:sz="6" w:space="0" w:color="414142"/>
              <w:left w:val="outset" w:sz="6" w:space="0" w:color="414142"/>
              <w:bottom w:val="outset" w:sz="6" w:space="0" w:color="414142"/>
              <w:right w:val="outset" w:sz="6" w:space="0" w:color="414142"/>
            </w:tcBorders>
            <w:hideMark/>
          </w:tcPr>
          <w:p w:rsidR="00D3145C" w:rsidRPr="009807E5" w:rsidRDefault="00934E6A" w:rsidP="0084181C">
            <w:pPr>
              <w:spacing w:after="0" w:line="240" w:lineRule="auto"/>
              <w:jc w:val="both"/>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Ņemot vērā to, ka Projekts skar ierobežotu sabiedrības loku- apcietinātās un notiesātās personas, tad plašas sabiedrības informēšanas aktivitātes nav nepieciešams veikt.</w:t>
            </w:r>
          </w:p>
        </w:tc>
      </w:tr>
      <w:tr w:rsidR="00D3145C" w:rsidRPr="009807E5" w:rsidTr="00D40776">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Sabiedrības līdzdalība projekta izstrādē</w:t>
            </w:r>
          </w:p>
        </w:tc>
        <w:tc>
          <w:tcPr>
            <w:tcW w:w="3254" w:type="pct"/>
            <w:tcBorders>
              <w:top w:val="outset" w:sz="6" w:space="0" w:color="414142"/>
              <w:left w:val="outset" w:sz="6" w:space="0" w:color="414142"/>
              <w:bottom w:val="outset" w:sz="6" w:space="0" w:color="414142"/>
              <w:right w:val="outset" w:sz="6" w:space="0" w:color="414142"/>
            </w:tcBorders>
            <w:hideMark/>
          </w:tcPr>
          <w:p w:rsidR="00D3145C" w:rsidRPr="009807E5" w:rsidRDefault="001760A3" w:rsidP="00D30030">
            <w:pPr>
              <w:spacing w:after="0" w:line="240" w:lineRule="auto"/>
              <w:jc w:val="both"/>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P</w:t>
            </w:r>
            <w:r w:rsidR="00EE77C4" w:rsidRPr="009807E5">
              <w:rPr>
                <w:rFonts w:ascii="Times New Roman" w:eastAsia="Times New Roman" w:hAnsi="Times New Roman"/>
                <w:sz w:val="26"/>
                <w:szCs w:val="26"/>
                <w:lang w:eastAsia="lv-LV"/>
              </w:rPr>
              <w:t xml:space="preserve">rojekts </w:t>
            </w:r>
            <w:r w:rsidR="009807E5" w:rsidRPr="009807E5">
              <w:rPr>
                <w:rFonts w:ascii="Times New Roman" w:eastAsia="Times New Roman" w:hAnsi="Times New Roman"/>
                <w:sz w:val="26"/>
                <w:szCs w:val="26"/>
                <w:lang w:eastAsia="lv-LV"/>
              </w:rPr>
              <w:t xml:space="preserve">2015. gada 23. aprīlī </w:t>
            </w:r>
            <w:r w:rsidR="00EE77C4" w:rsidRPr="009807E5">
              <w:rPr>
                <w:rFonts w:ascii="Times New Roman" w:eastAsia="Times New Roman" w:hAnsi="Times New Roman"/>
                <w:sz w:val="26"/>
                <w:szCs w:val="26"/>
                <w:lang w:eastAsia="lv-LV"/>
              </w:rPr>
              <w:t xml:space="preserve">tika ievietots </w:t>
            </w:r>
            <w:r w:rsidR="003127B0" w:rsidRPr="009807E5">
              <w:rPr>
                <w:rFonts w:ascii="Times New Roman" w:eastAsia="Times New Roman" w:hAnsi="Times New Roman"/>
                <w:sz w:val="26"/>
                <w:szCs w:val="26"/>
                <w:lang w:eastAsia="lv-LV"/>
              </w:rPr>
              <w:t>Tieslietu ministrijas mājas lapā</w:t>
            </w:r>
            <w:r w:rsidR="00EE77C4" w:rsidRPr="009807E5">
              <w:rPr>
                <w:rFonts w:ascii="Times New Roman" w:eastAsia="Times New Roman" w:hAnsi="Times New Roman"/>
                <w:sz w:val="26"/>
                <w:szCs w:val="26"/>
                <w:lang w:eastAsia="lv-LV"/>
              </w:rPr>
              <w:t xml:space="preserve"> sabiedriskai </w:t>
            </w:r>
            <w:r w:rsidR="00D30030" w:rsidRPr="009807E5">
              <w:rPr>
                <w:rFonts w:ascii="Times New Roman" w:eastAsia="Times New Roman" w:hAnsi="Times New Roman"/>
                <w:sz w:val="26"/>
                <w:szCs w:val="26"/>
                <w:lang w:eastAsia="lv-LV"/>
              </w:rPr>
              <w:t>apspriedei</w:t>
            </w:r>
            <w:r w:rsidR="003127B0" w:rsidRPr="009807E5">
              <w:rPr>
                <w:rFonts w:ascii="Times New Roman" w:eastAsia="Times New Roman" w:hAnsi="Times New Roman"/>
                <w:sz w:val="26"/>
                <w:szCs w:val="26"/>
                <w:lang w:eastAsia="lv-LV"/>
              </w:rPr>
              <w:t>.</w:t>
            </w:r>
          </w:p>
        </w:tc>
      </w:tr>
      <w:tr w:rsidR="00D3145C" w:rsidRPr="009807E5" w:rsidTr="00D40776">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Sabiedrības līdzdalības rezultāti</w:t>
            </w:r>
          </w:p>
        </w:tc>
        <w:tc>
          <w:tcPr>
            <w:tcW w:w="3254" w:type="pct"/>
            <w:tcBorders>
              <w:top w:val="outset" w:sz="6" w:space="0" w:color="414142"/>
              <w:left w:val="outset" w:sz="6" w:space="0" w:color="414142"/>
              <w:bottom w:val="outset" w:sz="6" w:space="0" w:color="414142"/>
              <w:right w:val="outset" w:sz="6" w:space="0" w:color="414142"/>
            </w:tcBorders>
            <w:hideMark/>
          </w:tcPr>
          <w:p w:rsidR="00D3145C" w:rsidRPr="009807E5" w:rsidRDefault="003127B0"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Nav.</w:t>
            </w:r>
          </w:p>
        </w:tc>
      </w:tr>
      <w:tr w:rsidR="00D3145C" w:rsidRPr="009807E5" w:rsidTr="00D40776">
        <w:trPr>
          <w:trHeight w:val="233"/>
        </w:trPr>
        <w:tc>
          <w:tcPr>
            <w:tcW w:w="236"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Nav.</w:t>
            </w:r>
          </w:p>
        </w:tc>
      </w:tr>
    </w:tbl>
    <w:p w:rsidR="00FF4A15" w:rsidRPr="009807E5" w:rsidRDefault="00FF4A15" w:rsidP="00FF4A15">
      <w:pPr>
        <w:spacing w:after="0" w:line="240" w:lineRule="auto"/>
        <w:rPr>
          <w:rFonts w:ascii="Times New Roman" w:hAnsi="Times New Roman"/>
          <w:sz w:val="26"/>
          <w:szCs w:val="26"/>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6"/>
        <w:gridCol w:w="2695"/>
        <w:gridCol w:w="5952"/>
      </w:tblGrid>
      <w:tr w:rsidR="00D3145C" w:rsidRPr="009807E5" w:rsidTr="00CA6C4D">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3145C" w:rsidRPr="009807E5" w:rsidRDefault="00D3145C" w:rsidP="005727E9">
            <w:pPr>
              <w:spacing w:after="0" w:line="240" w:lineRule="auto"/>
              <w:ind w:firstLine="300"/>
              <w:jc w:val="center"/>
              <w:rPr>
                <w:rFonts w:ascii="Times New Roman" w:eastAsia="Times New Roman" w:hAnsi="Times New Roman"/>
                <w:b/>
                <w:bCs/>
                <w:sz w:val="26"/>
                <w:szCs w:val="26"/>
                <w:lang w:eastAsia="lv-LV"/>
              </w:rPr>
            </w:pPr>
            <w:r w:rsidRPr="009807E5">
              <w:rPr>
                <w:rFonts w:ascii="Times New Roman" w:eastAsia="Times New Roman" w:hAnsi="Times New Roman"/>
                <w:b/>
                <w:bCs/>
                <w:sz w:val="26"/>
                <w:szCs w:val="26"/>
                <w:lang w:eastAsia="lv-LV"/>
              </w:rPr>
              <w:t>VII. Tiesību akta projekta izpildes nodrošināšana un tās ietekme uz institūcijām</w:t>
            </w:r>
          </w:p>
        </w:tc>
      </w:tr>
      <w:tr w:rsidR="00D3145C" w:rsidRPr="009807E5" w:rsidTr="00CA6C4D">
        <w:trPr>
          <w:trHeight w:val="420"/>
        </w:trPr>
        <w:tc>
          <w:tcPr>
            <w:tcW w:w="235"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1.</w:t>
            </w:r>
          </w:p>
        </w:tc>
        <w:tc>
          <w:tcPr>
            <w:tcW w:w="1485"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Projekta izpildē iesaistītās institūcijas</w:t>
            </w:r>
          </w:p>
        </w:tc>
        <w:tc>
          <w:tcPr>
            <w:tcW w:w="3280"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jc w:val="both"/>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Tieslietu ministrija, Ieslodzījuma vietu pārvalde.</w:t>
            </w:r>
          </w:p>
        </w:tc>
      </w:tr>
      <w:tr w:rsidR="00D3145C" w:rsidRPr="009807E5" w:rsidTr="00CA6C4D">
        <w:trPr>
          <w:trHeight w:val="450"/>
        </w:trPr>
        <w:tc>
          <w:tcPr>
            <w:tcW w:w="235"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2.</w:t>
            </w:r>
          </w:p>
        </w:tc>
        <w:tc>
          <w:tcPr>
            <w:tcW w:w="1485"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 xml:space="preserve">Projekta izpildes ietekme uz pārvaldes funkcijām un institucionālo struktūru. </w:t>
            </w:r>
          </w:p>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Jaunu institūciju izveide, esošu institūciju likvidācija vai reorganizācija, to ietekme uz institūcijas cilvēkresursiem</w:t>
            </w:r>
          </w:p>
        </w:tc>
        <w:tc>
          <w:tcPr>
            <w:tcW w:w="3280" w:type="pct"/>
            <w:tcBorders>
              <w:top w:val="outset" w:sz="6" w:space="0" w:color="414142"/>
              <w:left w:val="outset" w:sz="6" w:space="0" w:color="414142"/>
              <w:bottom w:val="outset" w:sz="6" w:space="0" w:color="414142"/>
              <w:right w:val="outset" w:sz="6" w:space="0" w:color="414142"/>
            </w:tcBorders>
            <w:hideMark/>
          </w:tcPr>
          <w:p w:rsidR="00424CEF" w:rsidRPr="009807E5" w:rsidRDefault="00424CEF" w:rsidP="00424CEF">
            <w:pPr>
              <w:spacing w:after="0" w:line="240" w:lineRule="auto"/>
              <w:jc w:val="both"/>
              <w:rPr>
                <w:rFonts w:ascii="Times New Roman" w:eastAsia="Times New Roman" w:hAnsi="Times New Roman"/>
                <w:sz w:val="26"/>
                <w:szCs w:val="26"/>
                <w:lang w:eastAsia="lv-LV"/>
              </w:rPr>
            </w:pPr>
            <w:r w:rsidRPr="009807E5">
              <w:rPr>
                <w:rFonts w:ascii="Times New Roman" w:hAnsi="Times New Roman"/>
                <w:iCs/>
                <w:sz w:val="26"/>
                <w:szCs w:val="26"/>
              </w:rPr>
              <w:t>Projekta izpilde neietekmēs Ieslodzījuma vietu pārvaldes institucionālo struktūru un tā īstenošanai jaunas institūcijas nav nepieciešams izveidot, reorganizēt vai likvidēt esošās.</w:t>
            </w:r>
          </w:p>
        </w:tc>
      </w:tr>
      <w:tr w:rsidR="00D3145C" w:rsidRPr="009807E5" w:rsidTr="00CA6C4D">
        <w:trPr>
          <w:trHeight w:val="280"/>
        </w:trPr>
        <w:tc>
          <w:tcPr>
            <w:tcW w:w="235"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3.</w:t>
            </w:r>
          </w:p>
        </w:tc>
        <w:tc>
          <w:tcPr>
            <w:tcW w:w="1485"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Cita informācija</w:t>
            </w:r>
          </w:p>
        </w:tc>
        <w:tc>
          <w:tcPr>
            <w:tcW w:w="3280" w:type="pct"/>
            <w:tcBorders>
              <w:top w:val="outset" w:sz="6" w:space="0" w:color="414142"/>
              <w:left w:val="outset" w:sz="6" w:space="0" w:color="414142"/>
              <w:bottom w:val="outset" w:sz="6" w:space="0" w:color="414142"/>
              <w:right w:val="outset" w:sz="6" w:space="0" w:color="414142"/>
            </w:tcBorders>
            <w:hideMark/>
          </w:tcPr>
          <w:p w:rsidR="00D3145C" w:rsidRPr="009807E5" w:rsidRDefault="00D3145C" w:rsidP="005727E9">
            <w:pPr>
              <w:spacing w:after="0" w:line="240" w:lineRule="auto"/>
              <w:rPr>
                <w:rFonts w:ascii="Times New Roman" w:eastAsia="Times New Roman" w:hAnsi="Times New Roman"/>
                <w:sz w:val="26"/>
                <w:szCs w:val="26"/>
                <w:lang w:eastAsia="lv-LV"/>
              </w:rPr>
            </w:pPr>
            <w:r w:rsidRPr="009807E5">
              <w:rPr>
                <w:rFonts w:ascii="Times New Roman" w:eastAsia="Times New Roman" w:hAnsi="Times New Roman"/>
                <w:sz w:val="26"/>
                <w:szCs w:val="26"/>
                <w:lang w:eastAsia="lv-LV"/>
              </w:rPr>
              <w:t>Nav.</w:t>
            </w:r>
          </w:p>
        </w:tc>
      </w:tr>
    </w:tbl>
    <w:p w:rsidR="00D3145C" w:rsidRPr="009807E5" w:rsidRDefault="00D3145C" w:rsidP="00FF4A15">
      <w:pPr>
        <w:spacing w:after="0" w:line="240" w:lineRule="auto"/>
        <w:rPr>
          <w:rFonts w:ascii="Times New Roman" w:hAnsi="Times New Roman"/>
          <w:sz w:val="26"/>
          <w:szCs w:val="26"/>
        </w:rPr>
      </w:pPr>
    </w:p>
    <w:p w:rsidR="00FC1130" w:rsidRPr="009807E5" w:rsidRDefault="00FC1130" w:rsidP="00FC1130">
      <w:pPr>
        <w:spacing w:after="0" w:line="240" w:lineRule="auto"/>
        <w:ind w:firstLine="720"/>
        <w:rPr>
          <w:rFonts w:ascii="Times New Roman" w:hAnsi="Times New Roman"/>
          <w:sz w:val="26"/>
          <w:szCs w:val="26"/>
        </w:rPr>
      </w:pPr>
      <w:r w:rsidRPr="009807E5">
        <w:rPr>
          <w:rFonts w:ascii="Times New Roman" w:hAnsi="Times New Roman"/>
          <w:sz w:val="26"/>
          <w:szCs w:val="26"/>
        </w:rPr>
        <w:t xml:space="preserve">Anotācijas </w:t>
      </w:r>
      <w:r w:rsidR="001864A4" w:rsidRPr="009807E5">
        <w:rPr>
          <w:rFonts w:ascii="Times New Roman" w:hAnsi="Times New Roman"/>
          <w:sz w:val="26"/>
          <w:szCs w:val="26"/>
        </w:rPr>
        <w:t xml:space="preserve">III, </w:t>
      </w:r>
      <w:r w:rsidRPr="009807E5">
        <w:rPr>
          <w:rFonts w:ascii="Times New Roman" w:hAnsi="Times New Roman"/>
          <w:sz w:val="26"/>
          <w:szCs w:val="26"/>
        </w:rPr>
        <w:t>IV </w:t>
      </w:r>
      <w:r w:rsidR="00CA6C4D" w:rsidRPr="009807E5">
        <w:rPr>
          <w:rFonts w:ascii="Times New Roman" w:hAnsi="Times New Roman"/>
          <w:sz w:val="26"/>
          <w:szCs w:val="26"/>
        </w:rPr>
        <w:t>un V </w:t>
      </w:r>
      <w:r w:rsidRPr="009807E5">
        <w:rPr>
          <w:rFonts w:ascii="Times New Roman" w:hAnsi="Times New Roman"/>
          <w:sz w:val="26"/>
          <w:szCs w:val="26"/>
        </w:rPr>
        <w:t>sadaļa – projekts šo jomu neskar.</w:t>
      </w:r>
    </w:p>
    <w:p w:rsidR="00FF4A15" w:rsidRPr="009807E5" w:rsidRDefault="00FF4A15" w:rsidP="00FF4A15">
      <w:pPr>
        <w:pStyle w:val="StyleRight"/>
        <w:spacing w:after="0"/>
        <w:ind w:firstLine="0"/>
        <w:jc w:val="both"/>
        <w:rPr>
          <w:sz w:val="26"/>
          <w:szCs w:val="26"/>
        </w:rPr>
      </w:pPr>
    </w:p>
    <w:p w:rsidR="00FF4A15" w:rsidRPr="009807E5" w:rsidRDefault="00FF4A15" w:rsidP="00FF4A15">
      <w:pPr>
        <w:pStyle w:val="StyleRight"/>
        <w:spacing w:after="0"/>
        <w:ind w:firstLine="0"/>
        <w:jc w:val="both"/>
        <w:rPr>
          <w:sz w:val="26"/>
          <w:szCs w:val="26"/>
        </w:rPr>
      </w:pPr>
      <w:r w:rsidRPr="009807E5">
        <w:rPr>
          <w:sz w:val="26"/>
          <w:szCs w:val="26"/>
        </w:rPr>
        <w:t>Iesniedzējs:</w:t>
      </w:r>
    </w:p>
    <w:p w:rsidR="00FF4A15" w:rsidRPr="009807E5" w:rsidRDefault="001760A3" w:rsidP="00FF4A15">
      <w:pPr>
        <w:pStyle w:val="StyleRight"/>
        <w:spacing w:after="0"/>
        <w:ind w:firstLine="0"/>
        <w:jc w:val="both"/>
        <w:rPr>
          <w:sz w:val="26"/>
          <w:szCs w:val="26"/>
        </w:rPr>
      </w:pPr>
      <w:r w:rsidRPr="009807E5">
        <w:rPr>
          <w:sz w:val="26"/>
          <w:szCs w:val="26"/>
        </w:rPr>
        <w:t>Tieslietu ministrijas valsts sekretārs</w:t>
      </w:r>
      <w:r w:rsidR="00FF4A15" w:rsidRPr="009807E5">
        <w:rPr>
          <w:sz w:val="26"/>
          <w:szCs w:val="26"/>
        </w:rPr>
        <w:tab/>
      </w:r>
      <w:r w:rsidR="00FF4A15" w:rsidRPr="009807E5">
        <w:rPr>
          <w:sz w:val="26"/>
          <w:szCs w:val="26"/>
        </w:rPr>
        <w:tab/>
      </w:r>
      <w:r w:rsidR="00FF4A15" w:rsidRPr="009807E5">
        <w:rPr>
          <w:sz w:val="26"/>
          <w:szCs w:val="26"/>
        </w:rPr>
        <w:tab/>
      </w:r>
      <w:r w:rsidR="00FF4A15" w:rsidRPr="009807E5">
        <w:rPr>
          <w:sz w:val="26"/>
          <w:szCs w:val="26"/>
        </w:rPr>
        <w:tab/>
      </w:r>
      <w:r w:rsidR="00FF4A15" w:rsidRPr="009807E5">
        <w:rPr>
          <w:sz w:val="26"/>
          <w:szCs w:val="26"/>
        </w:rPr>
        <w:tab/>
      </w:r>
      <w:r w:rsidRPr="009807E5">
        <w:rPr>
          <w:sz w:val="26"/>
          <w:szCs w:val="26"/>
        </w:rPr>
        <w:t>Raivis Kronbergs</w:t>
      </w:r>
    </w:p>
    <w:p w:rsidR="00FF4A15" w:rsidRPr="00E82D26" w:rsidRDefault="00FF4A15" w:rsidP="00FF4A15">
      <w:pPr>
        <w:pStyle w:val="StyleRight"/>
        <w:spacing w:after="0"/>
        <w:ind w:firstLine="0"/>
        <w:jc w:val="both"/>
        <w:rPr>
          <w:sz w:val="24"/>
          <w:szCs w:val="24"/>
        </w:rPr>
      </w:pPr>
    </w:p>
    <w:p w:rsidR="00FF4A15" w:rsidRPr="00E82D26" w:rsidRDefault="00FF4A15" w:rsidP="00FF4A15">
      <w:pPr>
        <w:pStyle w:val="StyleRight"/>
        <w:spacing w:after="0"/>
        <w:ind w:firstLine="0"/>
        <w:jc w:val="both"/>
        <w:rPr>
          <w:sz w:val="24"/>
          <w:szCs w:val="24"/>
        </w:rPr>
      </w:pPr>
    </w:p>
    <w:p w:rsidR="00FF4A15" w:rsidRPr="00E82D26" w:rsidRDefault="009807E5" w:rsidP="00FF4A15">
      <w:pPr>
        <w:spacing w:after="0" w:line="240" w:lineRule="auto"/>
        <w:rPr>
          <w:rFonts w:ascii="Times New Roman" w:hAnsi="Times New Roman"/>
          <w:sz w:val="20"/>
          <w:szCs w:val="20"/>
        </w:rPr>
      </w:pPr>
      <w:r>
        <w:rPr>
          <w:rFonts w:ascii="Times New Roman" w:hAnsi="Times New Roman"/>
          <w:sz w:val="20"/>
          <w:szCs w:val="20"/>
        </w:rPr>
        <w:t>23</w:t>
      </w:r>
      <w:r w:rsidR="00FF4A15">
        <w:rPr>
          <w:rFonts w:ascii="Times New Roman" w:hAnsi="Times New Roman"/>
          <w:sz w:val="20"/>
          <w:szCs w:val="20"/>
        </w:rPr>
        <w:t>.</w:t>
      </w:r>
      <w:r w:rsidR="001864A4">
        <w:rPr>
          <w:rFonts w:ascii="Times New Roman" w:hAnsi="Times New Roman"/>
          <w:sz w:val="20"/>
          <w:szCs w:val="20"/>
        </w:rPr>
        <w:t>04</w:t>
      </w:r>
      <w:r w:rsidR="00FF4A15" w:rsidRPr="00E82D26">
        <w:rPr>
          <w:rFonts w:ascii="Times New Roman" w:hAnsi="Times New Roman"/>
          <w:sz w:val="20"/>
          <w:szCs w:val="20"/>
        </w:rPr>
        <w:t>.201</w:t>
      </w:r>
      <w:r w:rsidR="00FF4A15">
        <w:rPr>
          <w:rFonts w:ascii="Times New Roman" w:hAnsi="Times New Roman"/>
          <w:sz w:val="20"/>
          <w:szCs w:val="20"/>
        </w:rPr>
        <w:t>5</w:t>
      </w:r>
      <w:r w:rsidR="00FF4A15" w:rsidRPr="00E82D26">
        <w:rPr>
          <w:rFonts w:ascii="Times New Roman" w:hAnsi="Times New Roman"/>
          <w:sz w:val="20"/>
          <w:szCs w:val="20"/>
        </w:rPr>
        <w:t xml:space="preserve">. </w:t>
      </w:r>
      <w:r>
        <w:rPr>
          <w:rFonts w:ascii="Times New Roman" w:hAnsi="Times New Roman"/>
          <w:sz w:val="20"/>
          <w:szCs w:val="20"/>
        </w:rPr>
        <w:t>9</w:t>
      </w:r>
      <w:r w:rsidR="00FF4A15">
        <w:rPr>
          <w:rFonts w:ascii="Times New Roman" w:hAnsi="Times New Roman"/>
          <w:sz w:val="20"/>
          <w:szCs w:val="20"/>
        </w:rPr>
        <w:t>:</w:t>
      </w:r>
      <w:r w:rsidR="00874D14">
        <w:rPr>
          <w:rFonts w:ascii="Times New Roman" w:hAnsi="Times New Roman"/>
          <w:sz w:val="20"/>
          <w:szCs w:val="20"/>
        </w:rPr>
        <w:t>51</w:t>
      </w:r>
      <w:bookmarkStart w:id="0" w:name="_GoBack"/>
      <w:bookmarkEnd w:id="0"/>
    </w:p>
    <w:p w:rsidR="00FF4A15" w:rsidRPr="00E82D26" w:rsidRDefault="009807E5" w:rsidP="00FF4A15">
      <w:pPr>
        <w:spacing w:after="0" w:line="240" w:lineRule="auto"/>
        <w:rPr>
          <w:rFonts w:ascii="Times New Roman" w:hAnsi="Times New Roman"/>
          <w:sz w:val="20"/>
          <w:szCs w:val="20"/>
        </w:rPr>
      </w:pPr>
      <w:r>
        <w:rPr>
          <w:rFonts w:ascii="Times New Roman" w:hAnsi="Times New Roman"/>
          <w:sz w:val="20"/>
          <w:szCs w:val="20"/>
        </w:rPr>
        <w:t>1527</w:t>
      </w:r>
    </w:p>
    <w:p w:rsidR="00FF4A15" w:rsidRPr="00E82D26" w:rsidRDefault="000570AE" w:rsidP="00FF4A15">
      <w:pPr>
        <w:spacing w:after="0" w:line="240" w:lineRule="auto"/>
        <w:rPr>
          <w:rFonts w:ascii="Times New Roman" w:hAnsi="Times New Roman"/>
          <w:sz w:val="20"/>
          <w:szCs w:val="20"/>
        </w:rPr>
      </w:pPr>
      <w:proofErr w:type="spellStart"/>
      <w:r>
        <w:rPr>
          <w:rFonts w:ascii="Times New Roman" w:hAnsi="Times New Roman"/>
          <w:sz w:val="20"/>
          <w:szCs w:val="20"/>
        </w:rPr>
        <w:t>K.France-Bamblovska</w:t>
      </w:r>
      <w:proofErr w:type="spellEnd"/>
    </w:p>
    <w:p w:rsidR="00FF4A15" w:rsidRPr="00924999" w:rsidRDefault="000570AE" w:rsidP="00FF4A15">
      <w:pPr>
        <w:spacing w:after="0" w:line="240" w:lineRule="auto"/>
        <w:rPr>
          <w:rFonts w:ascii="Times New Roman" w:hAnsi="Times New Roman"/>
          <w:sz w:val="24"/>
          <w:szCs w:val="24"/>
        </w:rPr>
      </w:pPr>
      <w:r>
        <w:rPr>
          <w:rFonts w:ascii="Times New Roman" w:hAnsi="Times New Roman"/>
          <w:sz w:val="20"/>
          <w:szCs w:val="20"/>
        </w:rPr>
        <w:t>67036751</w:t>
      </w:r>
      <w:r w:rsidR="00FF4A15" w:rsidRPr="00E82D26">
        <w:rPr>
          <w:rFonts w:ascii="Times New Roman" w:hAnsi="Times New Roman"/>
          <w:sz w:val="20"/>
          <w:szCs w:val="20"/>
        </w:rPr>
        <w:t xml:space="preserve">; </w:t>
      </w:r>
      <w:r>
        <w:rPr>
          <w:rFonts w:ascii="Times New Roman" w:hAnsi="Times New Roman"/>
          <w:sz w:val="20"/>
          <w:szCs w:val="20"/>
        </w:rPr>
        <w:t>Keta</w:t>
      </w:r>
      <w:r w:rsidR="00FF4A15" w:rsidRPr="00E82D26">
        <w:rPr>
          <w:rFonts w:ascii="Times New Roman" w:hAnsi="Times New Roman"/>
          <w:sz w:val="20"/>
          <w:szCs w:val="20"/>
        </w:rPr>
        <w:t>.</w:t>
      </w:r>
      <w:r>
        <w:rPr>
          <w:rFonts w:ascii="Times New Roman" w:hAnsi="Times New Roman"/>
          <w:sz w:val="20"/>
          <w:szCs w:val="20"/>
        </w:rPr>
        <w:t>France-Bamblovska</w:t>
      </w:r>
      <w:r w:rsidR="00FF4A15" w:rsidRPr="00E82D26">
        <w:rPr>
          <w:rFonts w:ascii="Times New Roman" w:hAnsi="Times New Roman"/>
          <w:sz w:val="20"/>
          <w:szCs w:val="20"/>
        </w:rPr>
        <w:t>@tm.gov.lv</w:t>
      </w:r>
    </w:p>
    <w:p w:rsidR="00825780" w:rsidRDefault="00825780"/>
    <w:sectPr w:rsidR="00825780" w:rsidSect="005727E9">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E9" w:rsidRDefault="005727E9" w:rsidP="00FF4A15">
      <w:pPr>
        <w:spacing w:after="0" w:line="240" w:lineRule="auto"/>
      </w:pPr>
      <w:r>
        <w:separator/>
      </w:r>
    </w:p>
  </w:endnote>
  <w:endnote w:type="continuationSeparator" w:id="0">
    <w:p w:rsidR="005727E9" w:rsidRDefault="005727E9" w:rsidP="00FF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E9" w:rsidRPr="001760A3" w:rsidRDefault="005727E9" w:rsidP="001760A3">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874D14">
      <w:rPr>
        <w:rFonts w:ascii="Times New Roman" w:hAnsi="Times New Roman"/>
        <w:color w:val="000000"/>
        <w:sz w:val="20"/>
        <w:szCs w:val="20"/>
      </w:rPr>
      <w:t>23</w:t>
    </w:r>
    <w:r w:rsidR="001864A4">
      <w:rPr>
        <w:rFonts w:ascii="Times New Roman" w:hAnsi="Times New Roman"/>
        <w:color w:val="000000"/>
        <w:sz w:val="20"/>
        <w:szCs w:val="20"/>
      </w:rPr>
      <w:t>04</w:t>
    </w:r>
    <w:r>
      <w:rPr>
        <w:rFonts w:ascii="Times New Roman" w:hAnsi="Times New Roman"/>
        <w:color w:val="000000"/>
        <w:sz w:val="20"/>
        <w:szCs w:val="20"/>
      </w:rPr>
      <w:t>15</w:t>
    </w:r>
    <w:r w:rsidR="00CF6053">
      <w:rPr>
        <w:rFonts w:ascii="Times New Roman" w:hAnsi="Times New Roman"/>
        <w:color w:val="000000"/>
        <w:sz w:val="20"/>
        <w:szCs w:val="20"/>
      </w:rPr>
      <w:t>_</w:t>
    </w:r>
    <w:r>
      <w:rPr>
        <w:rFonts w:ascii="Times New Roman" w:hAnsi="Times New Roman"/>
        <w:color w:val="000000"/>
        <w:sz w:val="20"/>
        <w:szCs w:val="20"/>
      </w:rPr>
      <w:t>veseliba</w:t>
    </w:r>
    <w:r w:rsidRPr="006C654C">
      <w:rPr>
        <w:rFonts w:ascii="Times New Roman" w:hAnsi="Times New Roman"/>
        <w:color w:val="000000"/>
        <w:sz w:val="20"/>
        <w:szCs w:val="20"/>
      </w:rPr>
      <w:t>; Ministru kabineta noteikumu projekta „</w:t>
    </w:r>
    <w:r w:rsidR="003A3C89">
      <w:rPr>
        <w:rFonts w:ascii="Times New Roman" w:hAnsi="Times New Roman"/>
        <w:bCs/>
        <w:color w:val="000000"/>
        <w:sz w:val="20"/>
        <w:szCs w:val="20"/>
      </w:rPr>
      <w:t>A</w:t>
    </w:r>
    <w:r>
      <w:rPr>
        <w:rFonts w:ascii="Times New Roman" w:hAnsi="Times New Roman"/>
        <w:bCs/>
        <w:color w:val="000000"/>
        <w:sz w:val="20"/>
        <w:szCs w:val="20"/>
      </w:rPr>
      <w:t xml:space="preserve">pcietināto un notiesāto personu veselības aprūpes īstenošanas </w:t>
    </w:r>
    <w:r w:rsidR="003A3C89">
      <w:rPr>
        <w:rFonts w:ascii="Times New Roman" w:hAnsi="Times New Roman"/>
        <w:bCs/>
        <w:color w:val="000000"/>
        <w:sz w:val="20"/>
        <w:szCs w:val="20"/>
      </w:rPr>
      <w:t>kārtība</w:t>
    </w:r>
    <w:r w:rsidRPr="00410E34">
      <w:rPr>
        <w:rFonts w:ascii="Times New Roman" w:hAnsi="Times New Roman"/>
        <w:bCs/>
        <w:color w:val="000000"/>
        <w:sz w:val="20"/>
        <w:szCs w:val="20"/>
      </w:rPr>
      <w:t xml:space="preserve">” </w:t>
    </w:r>
    <w:r w:rsidRPr="006C654C">
      <w:rPr>
        <w:rFonts w:ascii="Times New Roman" w:eastAsia="Times New Roman" w:hAnsi="Times New Roman"/>
        <w:bCs/>
        <w:color w:val="000000"/>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E9" w:rsidRPr="00410E34" w:rsidRDefault="005727E9" w:rsidP="005727E9">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874D14">
      <w:rPr>
        <w:rFonts w:ascii="Times New Roman" w:hAnsi="Times New Roman"/>
        <w:color w:val="000000"/>
        <w:sz w:val="20"/>
        <w:szCs w:val="20"/>
      </w:rPr>
      <w:t>23</w:t>
    </w:r>
    <w:r w:rsidR="001864A4">
      <w:rPr>
        <w:rFonts w:ascii="Times New Roman" w:hAnsi="Times New Roman"/>
        <w:color w:val="000000"/>
        <w:sz w:val="20"/>
        <w:szCs w:val="20"/>
      </w:rPr>
      <w:t>04</w:t>
    </w:r>
    <w:r>
      <w:rPr>
        <w:rFonts w:ascii="Times New Roman" w:hAnsi="Times New Roman"/>
        <w:color w:val="000000"/>
        <w:sz w:val="20"/>
        <w:szCs w:val="20"/>
      </w:rPr>
      <w:t>15</w:t>
    </w:r>
    <w:r w:rsidR="00CF6053">
      <w:rPr>
        <w:rFonts w:ascii="Times New Roman" w:hAnsi="Times New Roman"/>
        <w:color w:val="000000"/>
        <w:sz w:val="20"/>
        <w:szCs w:val="20"/>
      </w:rPr>
      <w:t>_</w:t>
    </w:r>
    <w:r>
      <w:rPr>
        <w:rFonts w:ascii="Times New Roman" w:hAnsi="Times New Roman"/>
        <w:color w:val="000000"/>
        <w:sz w:val="20"/>
        <w:szCs w:val="20"/>
      </w:rPr>
      <w:t>veseliba</w:t>
    </w:r>
    <w:r w:rsidRPr="006C654C">
      <w:rPr>
        <w:rFonts w:ascii="Times New Roman" w:hAnsi="Times New Roman"/>
        <w:color w:val="000000"/>
        <w:sz w:val="20"/>
        <w:szCs w:val="20"/>
      </w:rPr>
      <w:t>; Ministru kabineta noteikumu projekta „</w:t>
    </w:r>
    <w:r w:rsidR="003A3C89">
      <w:rPr>
        <w:rFonts w:ascii="Times New Roman" w:hAnsi="Times New Roman"/>
        <w:bCs/>
        <w:color w:val="000000"/>
        <w:sz w:val="20"/>
        <w:szCs w:val="20"/>
      </w:rPr>
      <w:t>A</w:t>
    </w:r>
    <w:r>
      <w:rPr>
        <w:rFonts w:ascii="Times New Roman" w:hAnsi="Times New Roman"/>
        <w:bCs/>
        <w:color w:val="000000"/>
        <w:sz w:val="20"/>
        <w:szCs w:val="20"/>
      </w:rPr>
      <w:t xml:space="preserve">pcietināto un notiesāto personu veselības aprūpes īstenošanas </w:t>
    </w:r>
    <w:r w:rsidR="003A3C89">
      <w:rPr>
        <w:rFonts w:ascii="Times New Roman" w:hAnsi="Times New Roman"/>
        <w:bCs/>
        <w:color w:val="000000"/>
        <w:sz w:val="20"/>
        <w:szCs w:val="20"/>
      </w:rPr>
      <w:t>kārtība</w:t>
    </w:r>
    <w:r w:rsidRPr="00410E34">
      <w:rPr>
        <w:rFonts w:ascii="Times New Roman" w:hAnsi="Times New Roman"/>
        <w:bCs/>
        <w:color w:val="000000"/>
        <w:sz w:val="20"/>
        <w:szCs w:val="20"/>
      </w:rPr>
      <w:t xml:space="preserve">” </w:t>
    </w:r>
    <w:r w:rsidRPr="006C654C">
      <w:rPr>
        <w:rFonts w:ascii="Times New Roman" w:eastAsia="Times New Roman" w:hAnsi="Times New Roman"/>
        <w:bCs/>
        <w:color w:val="000000"/>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E9" w:rsidRDefault="005727E9" w:rsidP="00FF4A15">
      <w:pPr>
        <w:spacing w:after="0" w:line="240" w:lineRule="auto"/>
      </w:pPr>
      <w:r>
        <w:separator/>
      </w:r>
    </w:p>
  </w:footnote>
  <w:footnote w:type="continuationSeparator" w:id="0">
    <w:p w:rsidR="005727E9" w:rsidRDefault="005727E9" w:rsidP="00FF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E9" w:rsidRPr="004D15A9" w:rsidRDefault="005727E9">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sidR="00874D14">
      <w:rPr>
        <w:rFonts w:ascii="Times New Roman" w:hAnsi="Times New Roman"/>
        <w:noProof/>
        <w:sz w:val="24"/>
        <w:szCs w:val="24"/>
      </w:rPr>
      <w:t>6</w:t>
    </w:r>
    <w:r w:rsidRPr="004D15A9">
      <w:rPr>
        <w:rFonts w:ascii="Times New Roman" w:hAnsi="Times New Roman"/>
        <w:sz w:val="24"/>
        <w:szCs w:val="24"/>
      </w:rPr>
      <w:fldChar w:fldCharType="end"/>
    </w:r>
  </w:p>
  <w:p w:rsidR="005727E9" w:rsidRDefault="005727E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45C"/>
    <w:multiLevelType w:val="multilevel"/>
    <w:tmpl w:val="A43AAD6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06254AC"/>
    <w:multiLevelType w:val="hybridMultilevel"/>
    <w:tmpl w:val="C1A2E698"/>
    <w:lvl w:ilvl="0" w:tplc="36D87DF2">
      <w:start w:val="1"/>
      <w:numFmt w:val="decimal"/>
      <w:lvlText w:val="%1."/>
      <w:lvlJc w:val="left"/>
      <w:pPr>
        <w:ind w:left="759" w:hanging="360"/>
      </w:pPr>
      <w:rPr>
        <w:rFonts w:eastAsia="Calibri" w:hint="default"/>
      </w:rPr>
    </w:lvl>
    <w:lvl w:ilvl="1" w:tplc="EE76D720">
      <w:start w:val="1"/>
      <w:numFmt w:val="decimal"/>
      <w:lvlText w:val="%2."/>
      <w:lvlJc w:val="left"/>
      <w:pPr>
        <w:ind w:left="1479" w:hanging="360"/>
      </w:pPr>
      <w:rPr>
        <w:rFonts w:ascii="Times New Roman" w:eastAsia="Calibri" w:hAnsi="Times New Roman" w:cs="Times New Roman"/>
      </w:r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2">
    <w:nsid w:val="68001BA2"/>
    <w:multiLevelType w:val="multilevel"/>
    <w:tmpl w:val="A43AAD6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D407318"/>
    <w:multiLevelType w:val="hybridMultilevel"/>
    <w:tmpl w:val="BE96F70A"/>
    <w:lvl w:ilvl="0" w:tplc="8AB81A48">
      <w:start w:val="1"/>
      <w:numFmt w:val="decimal"/>
      <w:lvlText w:val="%1."/>
      <w:lvlJc w:val="left"/>
      <w:pPr>
        <w:ind w:left="759" w:hanging="36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15"/>
    <w:rsid w:val="00030D0E"/>
    <w:rsid w:val="0005513E"/>
    <w:rsid w:val="000570AE"/>
    <w:rsid w:val="000B0C44"/>
    <w:rsid w:val="000F2AD1"/>
    <w:rsid w:val="00104A25"/>
    <w:rsid w:val="00123DC4"/>
    <w:rsid w:val="00131981"/>
    <w:rsid w:val="00136947"/>
    <w:rsid w:val="00156C51"/>
    <w:rsid w:val="001618C8"/>
    <w:rsid w:val="001760A3"/>
    <w:rsid w:val="0018141A"/>
    <w:rsid w:val="001864A4"/>
    <w:rsid w:val="00196A52"/>
    <w:rsid w:val="001A725C"/>
    <w:rsid w:val="001C1DAD"/>
    <w:rsid w:val="001F19DE"/>
    <w:rsid w:val="001F2E86"/>
    <w:rsid w:val="00257F24"/>
    <w:rsid w:val="00267C56"/>
    <w:rsid w:val="00271BCA"/>
    <w:rsid w:val="00271CD1"/>
    <w:rsid w:val="002835BC"/>
    <w:rsid w:val="003127B0"/>
    <w:rsid w:val="00360B85"/>
    <w:rsid w:val="00362CBF"/>
    <w:rsid w:val="003A3C89"/>
    <w:rsid w:val="003D2403"/>
    <w:rsid w:val="003E5210"/>
    <w:rsid w:val="003F21C5"/>
    <w:rsid w:val="00411920"/>
    <w:rsid w:val="00421E9C"/>
    <w:rsid w:val="00424CEF"/>
    <w:rsid w:val="00433D0E"/>
    <w:rsid w:val="0047006A"/>
    <w:rsid w:val="004817AF"/>
    <w:rsid w:val="00483B1E"/>
    <w:rsid w:val="00492C2B"/>
    <w:rsid w:val="00497AF3"/>
    <w:rsid w:val="004A024D"/>
    <w:rsid w:val="004A6FFB"/>
    <w:rsid w:val="004E7CF8"/>
    <w:rsid w:val="005727E9"/>
    <w:rsid w:val="00585A38"/>
    <w:rsid w:val="005E6E50"/>
    <w:rsid w:val="006068E5"/>
    <w:rsid w:val="00621FEF"/>
    <w:rsid w:val="00630908"/>
    <w:rsid w:val="006379F0"/>
    <w:rsid w:val="00656602"/>
    <w:rsid w:val="00696406"/>
    <w:rsid w:val="006A0096"/>
    <w:rsid w:val="006E0652"/>
    <w:rsid w:val="00727AEA"/>
    <w:rsid w:val="00731136"/>
    <w:rsid w:val="00753CB7"/>
    <w:rsid w:val="00761B25"/>
    <w:rsid w:val="00795E3B"/>
    <w:rsid w:val="00812CA0"/>
    <w:rsid w:val="00825780"/>
    <w:rsid w:val="008377CB"/>
    <w:rsid w:val="0084181C"/>
    <w:rsid w:val="00845ADC"/>
    <w:rsid w:val="0085235A"/>
    <w:rsid w:val="00857EC7"/>
    <w:rsid w:val="0086182A"/>
    <w:rsid w:val="00874D14"/>
    <w:rsid w:val="00876714"/>
    <w:rsid w:val="00900781"/>
    <w:rsid w:val="00915242"/>
    <w:rsid w:val="00934E6A"/>
    <w:rsid w:val="00941421"/>
    <w:rsid w:val="00960640"/>
    <w:rsid w:val="009807E5"/>
    <w:rsid w:val="009F1CA4"/>
    <w:rsid w:val="00A0594F"/>
    <w:rsid w:val="00A51022"/>
    <w:rsid w:val="00A83E48"/>
    <w:rsid w:val="00AC4666"/>
    <w:rsid w:val="00AD7019"/>
    <w:rsid w:val="00AF09E5"/>
    <w:rsid w:val="00B02661"/>
    <w:rsid w:val="00B1392B"/>
    <w:rsid w:val="00B1715D"/>
    <w:rsid w:val="00BA1F6D"/>
    <w:rsid w:val="00BF09E4"/>
    <w:rsid w:val="00C255D1"/>
    <w:rsid w:val="00C264CD"/>
    <w:rsid w:val="00C3042D"/>
    <w:rsid w:val="00C30762"/>
    <w:rsid w:val="00C96DEC"/>
    <w:rsid w:val="00CA6C4D"/>
    <w:rsid w:val="00CE73F2"/>
    <w:rsid w:val="00CF439E"/>
    <w:rsid w:val="00CF58E2"/>
    <w:rsid w:val="00CF6053"/>
    <w:rsid w:val="00D30030"/>
    <w:rsid w:val="00D3145C"/>
    <w:rsid w:val="00D40776"/>
    <w:rsid w:val="00D43790"/>
    <w:rsid w:val="00D55E97"/>
    <w:rsid w:val="00DC30E0"/>
    <w:rsid w:val="00DD0FED"/>
    <w:rsid w:val="00DD2261"/>
    <w:rsid w:val="00DF3C9C"/>
    <w:rsid w:val="00E06517"/>
    <w:rsid w:val="00E514B7"/>
    <w:rsid w:val="00E871B7"/>
    <w:rsid w:val="00ED4557"/>
    <w:rsid w:val="00EE77C4"/>
    <w:rsid w:val="00F7604E"/>
    <w:rsid w:val="00FB4661"/>
    <w:rsid w:val="00FC1130"/>
    <w:rsid w:val="00FC54B4"/>
    <w:rsid w:val="00FF4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F4A1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FF4A15"/>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FF4A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4A15"/>
    <w:rPr>
      <w:rFonts w:ascii="Calibri" w:eastAsia="Calibri" w:hAnsi="Calibri" w:cs="Times New Roman"/>
    </w:rPr>
  </w:style>
  <w:style w:type="paragraph" w:customStyle="1" w:styleId="tv2131">
    <w:name w:val="tv2131"/>
    <w:basedOn w:val="Parasts"/>
    <w:rsid w:val="00FF4A15"/>
    <w:pPr>
      <w:spacing w:after="0" w:line="360" w:lineRule="auto"/>
      <w:ind w:firstLine="300"/>
    </w:pPr>
    <w:rPr>
      <w:rFonts w:ascii="Times New Roman" w:eastAsia="Times New Roman" w:hAnsi="Times New Roman"/>
      <w:color w:val="414142"/>
      <w:sz w:val="20"/>
      <w:szCs w:val="20"/>
      <w:lang w:eastAsia="lv-LV"/>
    </w:rPr>
  </w:style>
  <w:style w:type="character" w:styleId="Izclums">
    <w:name w:val="Emphasis"/>
    <w:uiPriority w:val="20"/>
    <w:qFormat/>
    <w:rsid w:val="00FF4A15"/>
    <w:rPr>
      <w:b/>
      <w:bCs/>
      <w:i w:val="0"/>
      <w:iCs w:val="0"/>
    </w:rPr>
  </w:style>
  <w:style w:type="paragraph" w:styleId="Kjene">
    <w:name w:val="footer"/>
    <w:basedOn w:val="Parasts"/>
    <w:link w:val="KjeneRakstz"/>
    <w:uiPriority w:val="99"/>
    <w:unhideWhenUsed/>
    <w:rsid w:val="00FF4A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F4A15"/>
    <w:rPr>
      <w:rFonts w:ascii="Calibri" w:eastAsia="Calibri" w:hAnsi="Calibri" w:cs="Times New Roman"/>
    </w:rPr>
  </w:style>
  <w:style w:type="paragraph" w:styleId="Sarakstarindkopa">
    <w:name w:val="List Paragraph"/>
    <w:basedOn w:val="Parasts"/>
    <w:uiPriority w:val="34"/>
    <w:qFormat/>
    <w:rsid w:val="00753CB7"/>
    <w:pPr>
      <w:ind w:left="720"/>
      <w:contextualSpacing/>
    </w:pPr>
  </w:style>
  <w:style w:type="paragraph" w:customStyle="1" w:styleId="naiskr">
    <w:name w:val="naiskr"/>
    <w:basedOn w:val="Parasts"/>
    <w:rsid w:val="00D43790"/>
    <w:pPr>
      <w:spacing w:before="75" w:after="75"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433D0E"/>
    <w:rPr>
      <w:sz w:val="16"/>
      <w:szCs w:val="16"/>
    </w:rPr>
  </w:style>
  <w:style w:type="paragraph" w:styleId="Komentrateksts">
    <w:name w:val="annotation text"/>
    <w:basedOn w:val="Parasts"/>
    <w:link w:val="KomentratekstsRakstz"/>
    <w:uiPriority w:val="99"/>
    <w:semiHidden/>
    <w:unhideWhenUsed/>
    <w:rsid w:val="00433D0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33D0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33D0E"/>
    <w:rPr>
      <w:b/>
      <w:bCs/>
    </w:rPr>
  </w:style>
  <w:style w:type="character" w:customStyle="1" w:styleId="KomentratmaRakstz">
    <w:name w:val="Komentāra tēma Rakstz."/>
    <w:basedOn w:val="KomentratekstsRakstz"/>
    <w:link w:val="Komentratma"/>
    <w:uiPriority w:val="99"/>
    <w:semiHidden/>
    <w:rsid w:val="00433D0E"/>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433D0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D0E"/>
    <w:rPr>
      <w:rFonts w:ascii="Tahoma" w:eastAsia="Calibri" w:hAnsi="Tahoma" w:cs="Tahoma"/>
      <w:sz w:val="16"/>
      <w:szCs w:val="16"/>
    </w:rPr>
  </w:style>
  <w:style w:type="paragraph" w:customStyle="1" w:styleId="naisf">
    <w:name w:val="naisf"/>
    <w:basedOn w:val="Parasts"/>
    <w:rsid w:val="00CF58E2"/>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Parasts"/>
    <w:rsid w:val="00CF58E2"/>
    <w:pPr>
      <w:spacing w:before="150" w:after="150" w:line="240" w:lineRule="auto"/>
      <w:jc w:val="center"/>
    </w:pPr>
    <w:rPr>
      <w:rFonts w:ascii="Times New Roman" w:eastAsia="Times New Roman" w:hAnsi="Times New Roman"/>
      <w:b/>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F4A1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FF4A15"/>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FF4A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4A15"/>
    <w:rPr>
      <w:rFonts w:ascii="Calibri" w:eastAsia="Calibri" w:hAnsi="Calibri" w:cs="Times New Roman"/>
    </w:rPr>
  </w:style>
  <w:style w:type="paragraph" w:customStyle="1" w:styleId="tv2131">
    <w:name w:val="tv2131"/>
    <w:basedOn w:val="Parasts"/>
    <w:rsid w:val="00FF4A15"/>
    <w:pPr>
      <w:spacing w:after="0" w:line="360" w:lineRule="auto"/>
      <w:ind w:firstLine="300"/>
    </w:pPr>
    <w:rPr>
      <w:rFonts w:ascii="Times New Roman" w:eastAsia="Times New Roman" w:hAnsi="Times New Roman"/>
      <w:color w:val="414142"/>
      <w:sz w:val="20"/>
      <w:szCs w:val="20"/>
      <w:lang w:eastAsia="lv-LV"/>
    </w:rPr>
  </w:style>
  <w:style w:type="character" w:styleId="Izclums">
    <w:name w:val="Emphasis"/>
    <w:uiPriority w:val="20"/>
    <w:qFormat/>
    <w:rsid w:val="00FF4A15"/>
    <w:rPr>
      <w:b/>
      <w:bCs/>
      <w:i w:val="0"/>
      <w:iCs w:val="0"/>
    </w:rPr>
  </w:style>
  <w:style w:type="paragraph" w:styleId="Kjene">
    <w:name w:val="footer"/>
    <w:basedOn w:val="Parasts"/>
    <w:link w:val="KjeneRakstz"/>
    <w:uiPriority w:val="99"/>
    <w:unhideWhenUsed/>
    <w:rsid w:val="00FF4A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F4A15"/>
    <w:rPr>
      <w:rFonts w:ascii="Calibri" w:eastAsia="Calibri" w:hAnsi="Calibri" w:cs="Times New Roman"/>
    </w:rPr>
  </w:style>
  <w:style w:type="paragraph" w:styleId="Sarakstarindkopa">
    <w:name w:val="List Paragraph"/>
    <w:basedOn w:val="Parasts"/>
    <w:uiPriority w:val="34"/>
    <w:qFormat/>
    <w:rsid w:val="00753CB7"/>
    <w:pPr>
      <w:ind w:left="720"/>
      <w:contextualSpacing/>
    </w:pPr>
  </w:style>
  <w:style w:type="paragraph" w:customStyle="1" w:styleId="naiskr">
    <w:name w:val="naiskr"/>
    <w:basedOn w:val="Parasts"/>
    <w:rsid w:val="00D43790"/>
    <w:pPr>
      <w:spacing w:before="75" w:after="75"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433D0E"/>
    <w:rPr>
      <w:sz w:val="16"/>
      <w:szCs w:val="16"/>
    </w:rPr>
  </w:style>
  <w:style w:type="paragraph" w:styleId="Komentrateksts">
    <w:name w:val="annotation text"/>
    <w:basedOn w:val="Parasts"/>
    <w:link w:val="KomentratekstsRakstz"/>
    <w:uiPriority w:val="99"/>
    <w:semiHidden/>
    <w:unhideWhenUsed/>
    <w:rsid w:val="00433D0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33D0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33D0E"/>
    <w:rPr>
      <w:b/>
      <w:bCs/>
    </w:rPr>
  </w:style>
  <w:style w:type="character" w:customStyle="1" w:styleId="KomentratmaRakstz">
    <w:name w:val="Komentāra tēma Rakstz."/>
    <w:basedOn w:val="KomentratekstsRakstz"/>
    <w:link w:val="Komentratma"/>
    <w:uiPriority w:val="99"/>
    <w:semiHidden/>
    <w:rsid w:val="00433D0E"/>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433D0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D0E"/>
    <w:rPr>
      <w:rFonts w:ascii="Tahoma" w:eastAsia="Calibri" w:hAnsi="Tahoma" w:cs="Tahoma"/>
      <w:sz w:val="16"/>
      <w:szCs w:val="16"/>
    </w:rPr>
  </w:style>
  <w:style w:type="paragraph" w:customStyle="1" w:styleId="naisf">
    <w:name w:val="naisf"/>
    <w:basedOn w:val="Parasts"/>
    <w:rsid w:val="00CF58E2"/>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Parasts"/>
    <w:rsid w:val="00CF58E2"/>
    <w:pPr>
      <w:spacing w:before="150" w:after="150" w:line="240" w:lineRule="auto"/>
      <w:jc w:val="center"/>
    </w:pPr>
    <w:rPr>
      <w:rFonts w:ascii="Times New Roman" w:eastAsia="Times New Roman" w:hAnsi="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4C99-FC12-42CB-BBFD-3399E9EE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8294</Words>
  <Characters>4728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"Apcietināto un notiesāto personu veselības aprūpes īstenošanas kārtība" sākotnējās ietekmes novērtējuma ziņojums (anotācija)</vt:lpstr>
    </vt:vector>
  </TitlesOfParts>
  <Company>Tieslietu ministrija</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Ministru kabineta noteikumu projekta "Apcietināto un notiesāto personu veselības aprūpes īstenošanas kārtība" sākotnējās ietekmes novērtējuma ziņojums (anotācija)</dc:title>
  <dc:subject>Ministru kabineta noteikumu projekta sākotnējās ietekmes novērtējuma ziņojums ( anotācija)</dc:subject>
  <dc:creator>Keta France Bamblovska</dc:creator>
  <dc:description>K.France-Bamblovska 67036751, Keta.France-Bamblovska@tm.gov.lv</dc:description>
  <cp:lastModifiedBy>Keta France Bamblovska</cp:lastModifiedBy>
  <cp:revision>6</cp:revision>
  <cp:lastPrinted>2015-02-10T13:20:00Z</cp:lastPrinted>
  <dcterms:created xsi:type="dcterms:W3CDTF">2015-04-23T06:33:00Z</dcterms:created>
  <dcterms:modified xsi:type="dcterms:W3CDTF">2015-04-23T06:51:00Z</dcterms:modified>
</cp:coreProperties>
</file>