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2215F" w14:textId="15BE9E6B" w:rsidR="004D15A9" w:rsidRPr="00BC2633" w:rsidRDefault="008F6C20" w:rsidP="00DA596D">
      <w:pPr>
        <w:spacing w:after="0" w:line="240" w:lineRule="auto"/>
        <w:ind w:firstLine="300"/>
        <w:jc w:val="center"/>
        <w:rPr>
          <w:rFonts w:ascii="Times New Roman" w:eastAsia="Times New Roman" w:hAnsi="Times New Roman" w:cs="Times New Roman"/>
          <w:b/>
          <w:bCs/>
          <w:sz w:val="24"/>
          <w:szCs w:val="24"/>
          <w:lang w:eastAsia="lv-LV"/>
        </w:rPr>
      </w:pPr>
      <w:bookmarkStart w:id="0" w:name="_GoBack"/>
      <w:bookmarkEnd w:id="0"/>
      <w:r>
        <w:rPr>
          <w:rFonts w:ascii="Times New Roman" w:eastAsia="Times New Roman" w:hAnsi="Times New Roman" w:cs="Times New Roman"/>
          <w:b/>
          <w:bCs/>
          <w:sz w:val="24"/>
          <w:szCs w:val="24"/>
          <w:lang w:eastAsia="lv-LV"/>
        </w:rPr>
        <w:t xml:space="preserve">Likumprojekta </w:t>
      </w:r>
      <w:bookmarkStart w:id="1" w:name="_Hlk12533880"/>
      <w:r w:rsidRPr="008F6C20">
        <w:rPr>
          <w:rFonts w:ascii="Times New Roman" w:eastAsia="Times New Roman" w:hAnsi="Times New Roman" w:cs="Times New Roman"/>
          <w:b/>
          <w:bCs/>
          <w:sz w:val="24"/>
          <w:szCs w:val="24"/>
          <w:lang w:eastAsia="lv-LV"/>
        </w:rPr>
        <w:t>"</w:t>
      </w:r>
      <w:bookmarkEnd w:id="1"/>
      <w:r>
        <w:rPr>
          <w:rFonts w:ascii="Times New Roman" w:eastAsia="Times New Roman" w:hAnsi="Times New Roman" w:cs="Times New Roman"/>
          <w:b/>
          <w:bCs/>
          <w:sz w:val="24"/>
          <w:szCs w:val="24"/>
          <w:lang w:eastAsia="lv-LV"/>
        </w:rPr>
        <w:t>Grozījumi likumā</w:t>
      </w:r>
      <w:r w:rsidR="00E50B43">
        <w:rPr>
          <w:rFonts w:ascii="Times New Roman" w:eastAsia="Times New Roman" w:hAnsi="Times New Roman" w:cs="Times New Roman"/>
          <w:b/>
          <w:bCs/>
          <w:sz w:val="24"/>
          <w:szCs w:val="24"/>
          <w:lang w:eastAsia="lv-LV"/>
        </w:rPr>
        <w:t xml:space="preserve"> </w:t>
      </w:r>
      <w:r w:rsidR="00E50B43" w:rsidRPr="00E50B43">
        <w:rPr>
          <w:rFonts w:ascii="Times New Roman" w:eastAsia="Times New Roman" w:hAnsi="Times New Roman" w:cs="Times New Roman"/>
          <w:b/>
          <w:bCs/>
          <w:sz w:val="24"/>
          <w:szCs w:val="24"/>
          <w:lang w:eastAsia="lv-LV"/>
        </w:rPr>
        <w:t>"</w:t>
      </w:r>
      <w:r w:rsidR="00E50B43">
        <w:rPr>
          <w:rFonts w:ascii="Times New Roman" w:eastAsia="Times New Roman" w:hAnsi="Times New Roman" w:cs="Times New Roman"/>
          <w:b/>
          <w:bCs/>
          <w:sz w:val="24"/>
          <w:szCs w:val="24"/>
          <w:lang w:eastAsia="lv-LV"/>
        </w:rPr>
        <w:t>Par tiesu varu</w:t>
      </w:r>
      <w:r w:rsidR="00E50B43" w:rsidRPr="00E50B43">
        <w:rPr>
          <w:rFonts w:ascii="Times New Roman" w:eastAsia="Times New Roman" w:hAnsi="Times New Roman" w:cs="Times New Roman"/>
          <w:b/>
          <w:bCs/>
          <w:sz w:val="24"/>
          <w:szCs w:val="24"/>
          <w:lang w:eastAsia="lv-LV"/>
        </w:rPr>
        <w:t>"</w:t>
      </w:r>
      <w:r w:rsidRPr="008F6C20">
        <w:rPr>
          <w:rFonts w:ascii="Times New Roman" w:eastAsia="Times New Roman" w:hAnsi="Times New Roman" w:cs="Times New Roman"/>
          <w:b/>
          <w:bCs/>
          <w:sz w:val="24"/>
          <w:szCs w:val="24"/>
          <w:lang w:eastAsia="lv-LV"/>
        </w:rPr>
        <w:t>"</w:t>
      </w:r>
      <w:r w:rsidR="004D15A9" w:rsidRPr="00BC2633">
        <w:rPr>
          <w:rFonts w:ascii="Times New Roman" w:eastAsia="Times New Roman" w:hAnsi="Times New Roman" w:cs="Times New Roman"/>
          <w:b/>
          <w:bCs/>
          <w:sz w:val="24"/>
          <w:szCs w:val="24"/>
          <w:lang w:eastAsia="lv-LV"/>
        </w:rPr>
        <w:t xml:space="preserve"> sākotnējās ietekmes novērtējuma ziņojums (anotācija)</w:t>
      </w:r>
    </w:p>
    <w:p w14:paraId="1C76E832" w14:textId="0385E507" w:rsidR="00DA596D"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p w14:paraId="42AFF49E" w14:textId="4DBF6201" w:rsidR="00A1552F" w:rsidRDefault="00A1552F"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235"/>
        <w:gridCol w:w="6116"/>
      </w:tblGrid>
      <w:tr w:rsidR="00A1552F" w:rsidRPr="002D7166" w14:paraId="70BDCC6E" w14:textId="77777777" w:rsidTr="002379E2">
        <w:trPr>
          <w:cantSplit/>
        </w:trPr>
        <w:tc>
          <w:tcPr>
            <w:tcW w:w="9351" w:type="dxa"/>
            <w:gridSpan w:val="2"/>
            <w:shd w:val="clear" w:color="auto" w:fill="FFFFFF"/>
            <w:vAlign w:val="center"/>
            <w:hideMark/>
          </w:tcPr>
          <w:p w14:paraId="2E3635E1" w14:textId="77777777" w:rsidR="00A1552F" w:rsidRPr="002D7166" w:rsidRDefault="00A1552F" w:rsidP="00A1552F">
            <w:pPr>
              <w:spacing w:after="0" w:line="240" w:lineRule="auto"/>
              <w:ind w:firstLine="300"/>
              <w:jc w:val="center"/>
              <w:rPr>
                <w:rFonts w:ascii="Cambria" w:hAnsi="Cambria"/>
                <w:b/>
                <w:iCs/>
                <w:sz w:val="19"/>
                <w:szCs w:val="19"/>
              </w:rPr>
            </w:pPr>
            <w:r w:rsidRPr="00A1552F">
              <w:rPr>
                <w:rFonts w:ascii="Times New Roman" w:eastAsia="Times New Roman" w:hAnsi="Times New Roman" w:cs="Times New Roman"/>
                <w:b/>
                <w:bCs/>
                <w:sz w:val="24"/>
                <w:szCs w:val="24"/>
                <w:lang w:eastAsia="lv-LV"/>
              </w:rPr>
              <w:t>Tiesību akta projekta anotācijas kopsavilkums</w:t>
            </w:r>
          </w:p>
        </w:tc>
      </w:tr>
      <w:tr w:rsidR="00A1552F" w:rsidRPr="002D7166" w14:paraId="47F047DD" w14:textId="77777777" w:rsidTr="007D31CC">
        <w:trPr>
          <w:cantSplit/>
          <w:trHeight w:val="1493"/>
        </w:trPr>
        <w:tc>
          <w:tcPr>
            <w:tcW w:w="3235" w:type="dxa"/>
            <w:shd w:val="clear" w:color="auto" w:fill="FFFFFF"/>
            <w:hideMark/>
          </w:tcPr>
          <w:p w14:paraId="3C58940B" w14:textId="77777777" w:rsidR="00A1552F" w:rsidRPr="00A1552F" w:rsidRDefault="00A1552F" w:rsidP="0043541A">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Mērķis, risinājums un projekta spēkā stāšanās laiks (500 zīmes bez atstarpēm)</w:t>
            </w:r>
          </w:p>
        </w:tc>
        <w:tc>
          <w:tcPr>
            <w:tcW w:w="6116" w:type="dxa"/>
            <w:shd w:val="clear" w:color="auto" w:fill="FFFFFF"/>
            <w:hideMark/>
          </w:tcPr>
          <w:p w14:paraId="2D343C0B" w14:textId="5AAC0871" w:rsidR="00E50B43" w:rsidRPr="00A1552F" w:rsidRDefault="008B32AA" w:rsidP="00ED1033">
            <w:pPr>
              <w:spacing w:after="0" w:line="240" w:lineRule="auto"/>
              <w:jc w:val="both"/>
              <w:rPr>
                <w:rFonts w:ascii="Times New Roman" w:eastAsia="Times New Roman" w:hAnsi="Times New Roman" w:cs="Times New Roman"/>
                <w:sz w:val="24"/>
                <w:szCs w:val="24"/>
                <w:lang w:eastAsia="lv-LV"/>
              </w:rPr>
            </w:pPr>
            <w:bookmarkStart w:id="2" w:name="_Hlk20126867"/>
            <w:r w:rsidRPr="008B32AA">
              <w:rPr>
                <w:rFonts w:ascii="Times New Roman" w:eastAsia="Times New Roman" w:hAnsi="Times New Roman" w:cs="Times New Roman"/>
                <w:sz w:val="24"/>
                <w:szCs w:val="24"/>
                <w:lang w:eastAsia="lv-LV"/>
              </w:rPr>
              <w:t xml:space="preserve">Ar Likumprojektā paredzēto regulējumu </w:t>
            </w:r>
            <w:r w:rsidR="00061B56">
              <w:rPr>
                <w:rFonts w:ascii="Times New Roman" w:eastAsia="Times New Roman" w:hAnsi="Times New Roman" w:cs="Times New Roman"/>
                <w:sz w:val="24"/>
                <w:szCs w:val="24"/>
                <w:lang w:eastAsia="lv-LV"/>
              </w:rPr>
              <w:t xml:space="preserve">tiek ieviesta </w:t>
            </w:r>
            <w:r w:rsidR="003A5726" w:rsidRPr="00133E57">
              <w:rPr>
                <w:rFonts w:ascii="Times New Roman" w:eastAsia="Times New Roman" w:hAnsi="Times New Roman" w:cs="Times New Roman"/>
                <w:sz w:val="24"/>
                <w:szCs w:val="24"/>
                <w:lang w:eastAsia="lv-LV"/>
              </w:rPr>
              <w:t xml:space="preserve">Ekonomisko lietu tiesa </w:t>
            </w:r>
            <w:r w:rsidR="00061B56" w:rsidRPr="00133E57">
              <w:rPr>
                <w:rFonts w:ascii="Times New Roman" w:eastAsia="Times New Roman" w:hAnsi="Times New Roman" w:cs="Times New Roman"/>
                <w:sz w:val="24"/>
                <w:szCs w:val="24"/>
                <w:lang w:eastAsia="lv-LV"/>
              </w:rPr>
              <w:t>kā specializēta pirmās instances rajona (pilsētas) tiesa. D</w:t>
            </w:r>
            <w:r w:rsidR="00491357" w:rsidRPr="00133E57">
              <w:rPr>
                <w:rFonts w:ascii="Times New Roman" w:eastAsia="Times New Roman" w:hAnsi="Times New Roman" w:cs="Times New Roman"/>
                <w:sz w:val="24"/>
                <w:szCs w:val="24"/>
                <w:lang w:eastAsia="lv-LV"/>
              </w:rPr>
              <w:t xml:space="preserve">ots </w:t>
            </w:r>
            <w:r w:rsidR="00CE129B" w:rsidRPr="00133E57">
              <w:rPr>
                <w:rFonts w:ascii="Times New Roman" w:eastAsia="Times New Roman" w:hAnsi="Times New Roman" w:cs="Times New Roman"/>
                <w:sz w:val="24"/>
                <w:szCs w:val="24"/>
                <w:lang w:eastAsia="lv-LV"/>
              </w:rPr>
              <w:t xml:space="preserve">uzdevums </w:t>
            </w:r>
            <w:r w:rsidR="00491357" w:rsidRPr="00133E57">
              <w:rPr>
                <w:rFonts w:ascii="Times New Roman" w:eastAsia="Times New Roman" w:hAnsi="Times New Roman" w:cs="Times New Roman"/>
                <w:sz w:val="24"/>
                <w:szCs w:val="24"/>
                <w:lang w:eastAsia="lv-LV"/>
              </w:rPr>
              <w:t xml:space="preserve">Tieslietu padomei noteikt tiesnešu skaitu Ekonomisko lietu </w:t>
            </w:r>
            <w:r w:rsidR="00491357">
              <w:rPr>
                <w:rFonts w:ascii="Times New Roman" w:eastAsia="Times New Roman" w:hAnsi="Times New Roman" w:cs="Times New Roman"/>
                <w:sz w:val="24"/>
                <w:szCs w:val="24"/>
                <w:lang w:eastAsia="lv-LV"/>
              </w:rPr>
              <w:t>tiesā</w:t>
            </w:r>
            <w:r w:rsidR="002B3ADC">
              <w:rPr>
                <w:rFonts w:ascii="Times New Roman" w:eastAsia="Times New Roman" w:hAnsi="Times New Roman" w:cs="Times New Roman"/>
                <w:sz w:val="24"/>
                <w:szCs w:val="24"/>
                <w:lang w:eastAsia="lv-LV"/>
              </w:rPr>
              <w:t xml:space="preserve">, </w:t>
            </w:r>
            <w:r w:rsidR="009A709C">
              <w:rPr>
                <w:rFonts w:ascii="Times New Roman" w:eastAsia="Times New Roman" w:hAnsi="Times New Roman" w:cs="Times New Roman"/>
                <w:sz w:val="24"/>
                <w:szCs w:val="24"/>
                <w:lang w:eastAsia="lv-LV"/>
              </w:rPr>
              <w:t>kā arī tiesas darbības teritoriju un atrašanā</w:t>
            </w:r>
            <w:r w:rsidR="00061B56">
              <w:rPr>
                <w:rFonts w:ascii="Times New Roman" w:eastAsia="Times New Roman" w:hAnsi="Times New Roman" w:cs="Times New Roman"/>
                <w:sz w:val="24"/>
                <w:szCs w:val="24"/>
                <w:lang w:eastAsia="lv-LV"/>
              </w:rPr>
              <w:t>s</w:t>
            </w:r>
            <w:r w:rsidR="009A709C">
              <w:rPr>
                <w:rFonts w:ascii="Times New Roman" w:eastAsia="Times New Roman" w:hAnsi="Times New Roman" w:cs="Times New Roman"/>
                <w:sz w:val="24"/>
                <w:szCs w:val="24"/>
                <w:lang w:eastAsia="lv-LV"/>
              </w:rPr>
              <w:t xml:space="preserve"> vietu.</w:t>
            </w:r>
            <w:bookmarkEnd w:id="2"/>
          </w:p>
        </w:tc>
      </w:tr>
    </w:tbl>
    <w:p w14:paraId="38674108" w14:textId="77777777" w:rsidR="00A1552F" w:rsidRPr="00BC2633" w:rsidRDefault="00A1552F" w:rsidP="006641E1">
      <w:pPr>
        <w:spacing w:after="0" w:line="240" w:lineRule="auto"/>
        <w:jc w:val="center"/>
        <w:rPr>
          <w:rFonts w:ascii="Times New Roman" w:eastAsia="Times New Roman" w:hAnsi="Times New Roman" w:cs="Times New Roman"/>
          <w:b/>
          <w:bCs/>
          <w:sz w:val="24"/>
          <w:szCs w:val="24"/>
          <w:lang w:eastAsia="lv-LV"/>
        </w:rPr>
      </w:pPr>
    </w:p>
    <w:tbl>
      <w:tblPr>
        <w:tblW w:w="5245" w:type="pct"/>
        <w:tblInd w:w="-3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28"/>
        <w:gridCol w:w="365"/>
        <w:gridCol w:w="1788"/>
        <w:gridCol w:w="1115"/>
        <w:gridCol w:w="1128"/>
        <w:gridCol w:w="992"/>
        <w:gridCol w:w="992"/>
        <w:gridCol w:w="992"/>
        <w:gridCol w:w="992"/>
        <w:gridCol w:w="997"/>
        <w:gridCol w:w="97"/>
        <w:gridCol w:w="13"/>
      </w:tblGrid>
      <w:tr w:rsidR="00BC2633" w:rsidRPr="00BC2633" w14:paraId="2C53EF84" w14:textId="77777777" w:rsidTr="00F41EF2">
        <w:trPr>
          <w:gridBefore w:val="1"/>
          <w:gridAfter w:val="2"/>
          <w:wBefore w:w="15" w:type="pct"/>
          <w:wAfter w:w="58" w:type="pct"/>
          <w:trHeight w:val="405"/>
        </w:trPr>
        <w:tc>
          <w:tcPr>
            <w:tcW w:w="4927" w:type="pct"/>
            <w:gridSpan w:val="9"/>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 Tiesību akta projekta izstrādes nepieciešamība</w:t>
            </w:r>
          </w:p>
        </w:tc>
      </w:tr>
      <w:tr w:rsidR="00DA326E" w:rsidRPr="00BC2633" w14:paraId="22687615" w14:textId="77777777" w:rsidTr="00F41EF2">
        <w:trPr>
          <w:gridBefore w:val="1"/>
          <w:gridAfter w:val="2"/>
          <w:wBefore w:w="15" w:type="pct"/>
          <w:wAfter w:w="58" w:type="pct"/>
          <w:trHeight w:val="405"/>
        </w:trPr>
        <w:tc>
          <w:tcPr>
            <w:tcW w:w="192" w:type="pct"/>
            <w:tcBorders>
              <w:top w:val="outset" w:sz="6" w:space="0" w:color="414142"/>
              <w:left w:val="outset" w:sz="6" w:space="0" w:color="414142"/>
              <w:bottom w:val="outset" w:sz="6" w:space="0" w:color="414142"/>
              <w:right w:val="outset" w:sz="6" w:space="0" w:color="414142"/>
            </w:tcBorders>
            <w:hideMark/>
          </w:tcPr>
          <w:p w14:paraId="2B187791"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528" w:type="pct"/>
            <w:gridSpan w:val="2"/>
            <w:tcBorders>
              <w:top w:val="outset" w:sz="6" w:space="0" w:color="414142"/>
              <w:left w:val="outset" w:sz="6" w:space="0" w:color="414142"/>
              <w:bottom w:val="outset" w:sz="6" w:space="0" w:color="414142"/>
              <w:right w:val="outset" w:sz="6" w:space="0" w:color="414142"/>
            </w:tcBorders>
            <w:hideMark/>
          </w:tcPr>
          <w:p w14:paraId="64AFBCA2"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Pamatojums</w:t>
            </w:r>
          </w:p>
        </w:tc>
        <w:tc>
          <w:tcPr>
            <w:tcW w:w="3207" w:type="pct"/>
            <w:gridSpan w:val="6"/>
            <w:tcBorders>
              <w:top w:val="outset" w:sz="6" w:space="0" w:color="414142"/>
              <w:left w:val="outset" w:sz="6" w:space="0" w:color="414142"/>
              <w:bottom w:val="outset" w:sz="6" w:space="0" w:color="414142"/>
              <w:right w:val="outset" w:sz="6" w:space="0" w:color="414142"/>
            </w:tcBorders>
            <w:hideMark/>
          </w:tcPr>
          <w:p w14:paraId="0A3EB312" w14:textId="45419E4D" w:rsidR="002D7BB2" w:rsidRPr="00BC2633" w:rsidRDefault="006A41F4"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Tieslietu ministrijas izstrādātais konceptuālā ziņojuma projekts </w:t>
            </w:r>
            <w:r w:rsidRPr="006A41F4">
              <w:rPr>
                <w:rFonts w:ascii="Times New Roman" w:eastAsia="Times New Roman" w:hAnsi="Times New Roman" w:cs="Times New Roman"/>
                <w:sz w:val="24"/>
                <w:szCs w:val="24"/>
                <w:lang w:eastAsia="lv-LV"/>
              </w:rPr>
              <w:t>"</w:t>
            </w:r>
            <w:r w:rsidRPr="00491357">
              <w:rPr>
                <w:rFonts w:ascii="Times New Roman" w:eastAsia="Times New Roman" w:hAnsi="Times New Roman" w:cs="Times New Roman"/>
                <w:sz w:val="24"/>
                <w:szCs w:val="24"/>
                <w:lang w:eastAsia="lv-LV"/>
              </w:rPr>
              <w:t>Par specializētās tiesas izveidi</w:t>
            </w:r>
            <w:r w:rsidRPr="006A41F4">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(turpmāk – Ziņojums) 2019. gada </w:t>
            </w:r>
            <w:r w:rsidR="00311C5C">
              <w:rPr>
                <w:rFonts w:ascii="Times New Roman" w:eastAsia="Times New Roman" w:hAnsi="Times New Roman" w:cs="Times New Roman"/>
                <w:sz w:val="24"/>
                <w:szCs w:val="24"/>
                <w:lang w:eastAsia="lv-LV"/>
              </w:rPr>
              <w:t>20.</w:t>
            </w:r>
            <w:r w:rsidR="00D864D7">
              <w:rPr>
                <w:rFonts w:ascii="Times New Roman" w:eastAsia="Times New Roman" w:hAnsi="Times New Roman" w:cs="Times New Roman"/>
                <w:sz w:val="24"/>
                <w:szCs w:val="24"/>
                <w:lang w:eastAsia="lv-LV"/>
              </w:rPr>
              <w:t xml:space="preserve"> </w:t>
            </w:r>
            <w:r w:rsidR="008D5E8D">
              <w:rPr>
                <w:rFonts w:ascii="Times New Roman" w:eastAsia="Times New Roman" w:hAnsi="Times New Roman" w:cs="Times New Roman"/>
                <w:sz w:val="24"/>
                <w:szCs w:val="24"/>
                <w:lang w:eastAsia="lv-LV"/>
              </w:rPr>
              <w:t>augustā</w:t>
            </w:r>
            <w:r>
              <w:rPr>
                <w:rFonts w:ascii="Times New Roman" w:eastAsia="Times New Roman" w:hAnsi="Times New Roman" w:cs="Times New Roman"/>
                <w:sz w:val="24"/>
                <w:szCs w:val="24"/>
                <w:lang w:eastAsia="lv-LV"/>
              </w:rPr>
              <w:t xml:space="preserve"> tika izskatīts un atbalstīts </w:t>
            </w:r>
            <w:r w:rsidR="008D5E8D">
              <w:rPr>
                <w:rFonts w:ascii="Times New Roman" w:eastAsia="Times New Roman" w:hAnsi="Times New Roman" w:cs="Times New Roman"/>
                <w:sz w:val="24"/>
                <w:szCs w:val="24"/>
                <w:lang w:eastAsia="lv-LV"/>
              </w:rPr>
              <w:t>M</w:t>
            </w:r>
            <w:r>
              <w:rPr>
                <w:rFonts w:ascii="Times New Roman" w:eastAsia="Times New Roman" w:hAnsi="Times New Roman" w:cs="Times New Roman"/>
                <w:sz w:val="24"/>
                <w:szCs w:val="24"/>
                <w:lang w:eastAsia="lv-LV"/>
              </w:rPr>
              <w:t xml:space="preserve">inistru kabinetā. </w:t>
            </w:r>
            <w:r w:rsidR="007073FE">
              <w:rPr>
                <w:rFonts w:ascii="Times New Roman" w:eastAsia="Times New Roman" w:hAnsi="Times New Roman" w:cs="Times New Roman"/>
                <w:sz w:val="24"/>
                <w:szCs w:val="24"/>
                <w:lang w:eastAsia="lv-LV"/>
              </w:rPr>
              <w:t>Ziņojums tik aizstrādāts, atbilstoši</w:t>
            </w:r>
            <w:r w:rsidR="007073FE" w:rsidRPr="00491357">
              <w:rPr>
                <w:rFonts w:ascii="Times New Roman" w:eastAsia="Times New Roman" w:hAnsi="Times New Roman" w:cs="Times New Roman"/>
                <w:sz w:val="24"/>
                <w:szCs w:val="24"/>
                <w:lang w:eastAsia="lv-LV"/>
              </w:rPr>
              <w:t xml:space="preserve"> Valdības rīcības plāna Deklarācijas par Artura Krišjāņa Kariņa vadītā Ministru kabineta iecerēto darbību īstenošanai 182.1 pasākum</w:t>
            </w:r>
            <w:r w:rsidR="007073FE">
              <w:rPr>
                <w:rFonts w:ascii="Times New Roman" w:eastAsia="Times New Roman" w:hAnsi="Times New Roman" w:cs="Times New Roman"/>
                <w:sz w:val="24"/>
                <w:szCs w:val="24"/>
                <w:lang w:eastAsia="lv-LV"/>
              </w:rPr>
              <w:t>am</w:t>
            </w:r>
            <w:r w:rsidR="007073FE" w:rsidRPr="00491357">
              <w:rPr>
                <w:rFonts w:ascii="Times New Roman" w:eastAsia="Times New Roman" w:hAnsi="Times New Roman" w:cs="Times New Roman"/>
                <w:sz w:val="24"/>
                <w:szCs w:val="24"/>
                <w:lang w:eastAsia="lv-LV"/>
              </w:rPr>
              <w:t xml:space="preserve">.  </w:t>
            </w:r>
          </w:p>
        </w:tc>
      </w:tr>
      <w:tr w:rsidR="00DA326E" w:rsidRPr="00BC2633" w14:paraId="5FF7B6AF" w14:textId="77777777" w:rsidTr="00F41EF2">
        <w:trPr>
          <w:gridBefore w:val="1"/>
          <w:gridAfter w:val="2"/>
          <w:wBefore w:w="15" w:type="pct"/>
          <w:wAfter w:w="58" w:type="pct"/>
          <w:trHeight w:val="465"/>
        </w:trPr>
        <w:tc>
          <w:tcPr>
            <w:tcW w:w="192" w:type="pct"/>
            <w:tcBorders>
              <w:top w:val="outset" w:sz="6" w:space="0" w:color="414142"/>
              <w:left w:val="outset" w:sz="6" w:space="0" w:color="414142"/>
              <w:bottom w:val="outset" w:sz="6" w:space="0" w:color="414142"/>
              <w:right w:val="outset" w:sz="6" w:space="0" w:color="414142"/>
            </w:tcBorders>
            <w:hideMark/>
          </w:tcPr>
          <w:p w14:paraId="1C86D47B"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528" w:type="pct"/>
            <w:gridSpan w:val="2"/>
            <w:tcBorders>
              <w:top w:val="outset" w:sz="6" w:space="0" w:color="414142"/>
              <w:left w:val="outset" w:sz="6" w:space="0" w:color="414142"/>
              <w:bottom w:val="outset" w:sz="6" w:space="0" w:color="414142"/>
              <w:right w:val="outset" w:sz="6" w:space="0" w:color="414142"/>
            </w:tcBorders>
            <w:hideMark/>
          </w:tcPr>
          <w:p w14:paraId="3E4C55BE" w14:textId="77777777" w:rsidR="004D15A9"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5C203FA5" w14:textId="77777777" w:rsidR="00E50B43" w:rsidRDefault="00E50B43" w:rsidP="00E50B43">
            <w:pPr>
              <w:rPr>
                <w:rFonts w:ascii="Times New Roman" w:eastAsia="Times New Roman" w:hAnsi="Times New Roman" w:cs="Times New Roman"/>
                <w:sz w:val="24"/>
                <w:szCs w:val="24"/>
                <w:lang w:eastAsia="lv-LV"/>
              </w:rPr>
            </w:pPr>
          </w:p>
          <w:p w14:paraId="32353449" w14:textId="77777777" w:rsidR="00AF496F" w:rsidRPr="00AF496F" w:rsidRDefault="00AF496F" w:rsidP="00AF496F">
            <w:pPr>
              <w:rPr>
                <w:rFonts w:ascii="Times New Roman" w:eastAsia="Times New Roman" w:hAnsi="Times New Roman" w:cs="Times New Roman"/>
                <w:sz w:val="24"/>
                <w:szCs w:val="24"/>
                <w:lang w:eastAsia="lv-LV"/>
              </w:rPr>
            </w:pPr>
          </w:p>
          <w:p w14:paraId="76165CEF" w14:textId="77777777" w:rsidR="00AF496F" w:rsidRPr="00AF496F" w:rsidRDefault="00AF496F" w:rsidP="00AF496F">
            <w:pPr>
              <w:rPr>
                <w:rFonts w:ascii="Times New Roman" w:eastAsia="Times New Roman" w:hAnsi="Times New Roman" w:cs="Times New Roman"/>
                <w:sz w:val="24"/>
                <w:szCs w:val="24"/>
                <w:lang w:eastAsia="lv-LV"/>
              </w:rPr>
            </w:pPr>
          </w:p>
          <w:p w14:paraId="14DD4ED0" w14:textId="77777777" w:rsidR="00AF496F" w:rsidRPr="00AF496F" w:rsidRDefault="00AF496F" w:rsidP="00AF496F">
            <w:pPr>
              <w:rPr>
                <w:rFonts w:ascii="Times New Roman" w:eastAsia="Times New Roman" w:hAnsi="Times New Roman" w:cs="Times New Roman"/>
                <w:sz w:val="24"/>
                <w:szCs w:val="24"/>
                <w:lang w:eastAsia="lv-LV"/>
              </w:rPr>
            </w:pPr>
          </w:p>
          <w:p w14:paraId="741A2AAC" w14:textId="77777777" w:rsidR="00AF496F" w:rsidRPr="00AF496F" w:rsidRDefault="00AF496F" w:rsidP="00AF496F">
            <w:pPr>
              <w:rPr>
                <w:rFonts w:ascii="Times New Roman" w:eastAsia="Times New Roman" w:hAnsi="Times New Roman" w:cs="Times New Roman"/>
                <w:sz w:val="24"/>
                <w:szCs w:val="24"/>
                <w:lang w:eastAsia="lv-LV"/>
              </w:rPr>
            </w:pPr>
          </w:p>
          <w:p w14:paraId="072B90C3" w14:textId="77777777" w:rsidR="00AF496F" w:rsidRPr="00AF496F" w:rsidRDefault="00AF496F" w:rsidP="00AF496F">
            <w:pPr>
              <w:rPr>
                <w:rFonts w:ascii="Times New Roman" w:eastAsia="Times New Roman" w:hAnsi="Times New Roman" w:cs="Times New Roman"/>
                <w:sz w:val="24"/>
                <w:szCs w:val="24"/>
                <w:lang w:eastAsia="lv-LV"/>
              </w:rPr>
            </w:pPr>
          </w:p>
          <w:p w14:paraId="6E1ED2BD" w14:textId="77777777" w:rsidR="00AF496F" w:rsidRPr="00AF496F" w:rsidRDefault="00AF496F" w:rsidP="00AF496F">
            <w:pPr>
              <w:rPr>
                <w:rFonts w:ascii="Times New Roman" w:eastAsia="Times New Roman" w:hAnsi="Times New Roman" w:cs="Times New Roman"/>
                <w:sz w:val="24"/>
                <w:szCs w:val="24"/>
                <w:lang w:eastAsia="lv-LV"/>
              </w:rPr>
            </w:pPr>
          </w:p>
          <w:p w14:paraId="00F877B2" w14:textId="77777777" w:rsidR="00AF496F" w:rsidRPr="00AF496F" w:rsidRDefault="00AF496F" w:rsidP="00AF496F">
            <w:pPr>
              <w:rPr>
                <w:rFonts w:ascii="Times New Roman" w:eastAsia="Times New Roman" w:hAnsi="Times New Roman" w:cs="Times New Roman"/>
                <w:sz w:val="24"/>
                <w:szCs w:val="24"/>
                <w:lang w:eastAsia="lv-LV"/>
              </w:rPr>
            </w:pPr>
          </w:p>
          <w:p w14:paraId="495D4A9C" w14:textId="77777777" w:rsidR="00AF496F" w:rsidRPr="00AF496F" w:rsidRDefault="00AF496F" w:rsidP="00AF496F">
            <w:pPr>
              <w:rPr>
                <w:rFonts w:ascii="Times New Roman" w:eastAsia="Times New Roman" w:hAnsi="Times New Roman" w:cs="Times New Roman"/>
                <w:sz w:val="24"/>
                <w:szCs w:val="24"/>
                <w:lang w:eastAsia="lv-LV"/>
              </w:rPr>
            </w:pPr>
          </w:p>
          <w:p w14:paraId="0736E5BB" w14:textId="77777777" w:rsidR="00AF496F" w:rsidRPr="00AF496F" w:rsidRDefault="00AF496F" w:rsidP="00AF496F">
            <w:pPr>
              <w:rPr>
                <w:rFonts w:ascii="Times New Roman" w:eastAsia="Times New Roman" w:hAnsi="Times New Roman" w:cs="Times New Roman"/>
                <w:sz w:val="24"/>
                <w:szCs w:val="24"/>
                <w:lang w:eastAsia="lv-LV"/>
              </w:rPr>
            </w:pPr>
          </w:p>
          <w:p w14:paraId="12997806" w14:textId="652B7CF5" w:rsidR="00AF496F" w:rsidRPr="00AF496F" w:rsidRDefault="00AF496F" w:rsidP="00AF496F">
            <w:pPr>
              <w:tabs>
                <w:tab w:val="left" w:pos="900"/>
              </w:tabs>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p>
          <w:p w14:paraId="7B9225C8" w14:textId="249E3A33" w:rsidR="00AF496F" w:rsidRPr="00AF496F" w:rsidRDefault="00AF496F" w:rsidP="00AF496F">
            <w:pPr>
              <w:tabs>
                <w:tab w:val="left" w:pos="900"/>
              </w:tabs>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p>
        </w:tc>
        <w:tc>
          <w:tcPr>
            <w:tcW w:w="3207" w:type="pct"/>
            <w:gridSpan w:val="6"/>
            <w:tcBorders>
              <w:top w:val="outset" w:sz="6" w:space="0" w:color="414142"/>
              <w:left w:val="outset" w:sz="6" w:space="0" w:color="414142"/>
              <w:bottom w:val="outset" w:sz="6" w:space="0" w:color="414142"/>
              <w:right w:val="outset" w:sz="6" w:space="0" w:color="414142"/>
            </w:tcBorders>
            <w:hideMark/>
          </w:tcPr>
          <w:p w14:paraId="6DBC466A" w14:textId="14CCB7B6" w:rsidR="00152FD4" w:rsidRPr="00152FD4" w:rsidRDefault="00152FD4" w:rsidP="00152FD4">
            <w:pPr>
              <w:spacing w:after="0" w:line="240" w:lineRule="auto"/>
              <w:jc w:val="both"/>
              <w:rPr>
                <w:rFonts w:ascii="Times New Roman" w:eastAsia="Times New Roman" w:hAnsi="Times New Roman" w:cs="Times New Roman"/>
                <w:sz w:val="24"/>
                <w:szCs w:val="24"/>
                <w:lang w:eastAsia="lv-LV"/>
              </w:rPr>
            </w:pPr>
            <w:r w:rsidRPr="00152FD4">
              <w:rPr>
                <w:rFonts w:ascii="Times New Roman" w:eastAsia="Times New Roman" w:hAnsi="Times New Roman" w:cs="Times New Roman"/>
                <w:sz w:val="24"/>
                <w:szCs w:val="24"/>
                <w:lang w:eastAsia="lv-LV"/>
              </w:rPr>
              <w:t xml:space="preserve">Kopš 2013. gada tiesu darba efektivitātes uzlabošanai ir īstenoti vairāki pasākumi, kas </w:t>
            </w:r>
            <w:r w:rsidR="00061B56">
              <w:rPr>
                <w:rFonts w:ascii="Times New Roman" w:eastAsia="Times New Roman" w:hAnsi="Times New Roman" w:cs="Times New Roman"/>
                <w:sz w:val="24"/>
                <w:szCs w:val="24"/>
                <w:lang w:eastAsia="lv-LV"/>
              </w:rPr>
              <w:t>vērsti uz tiesu darba efektivitāti</w:t>
            </w:r>
            <w:r w:rsidRPr="00152FD4">
              <w:rPr>
                <w:rFonts w:ascii="Times New Roman" w:eastAsia="Times New Roman" w:hAnsi="Times New Roman" w:cs="Times New Roman"/>
                <w:sz w:val="24"/>
                <w:szCs w:val="24"/>
                <w:lang w:eastAsia="lv-LV"/>
              </w:rPr>
              <w:t xml:space="preserve">. To cita starpā novērtējušas tādas starptautiskas institūcijas kā Ekonomiskās sadarbības un attīstības organizācija, Eiropas Padomes Tieslietu sistēmu efektivitātes komisija un </w:t>
            </w:r>
            <w:proofErr w:type="gramStart"/>
            <w:r w:rsidRPr="00152FD4">
              <w:rPr>
                <w:rFonts w:ascii="Times New Roman" w:eastAsia="Times New Roman" w:hAnsi="Times New Roman" w:cs="Times New Roman"/>
                <w:sz w:val="24"/>
                <w:szCs w:val="24"/>
                <w:lang w:eastAsia="lv-LV"/>
              </w:rPr>
              <w:t>Starptautiskais valūtas fonds</w:t>
            </w:r>
            <w:proofErr w:type="gramEnd"/>
            <w:r w:rsidRPr="00152FD4">
              <w:rPr>
                <w:rFonts w:ascii="Times New Roman" w:eastAsia="Times New Roman" w:hAnsi="Times New Roman" w:cs="Times New Roman"/>
                <w:sz w:val="24"/>
                <w:szCs w:val="24"/>
                <w:lang w:eastAsia="lv-LV"/>
              </w:rPr>
              <w:t xml:space="preserve">.  </w:t>
            </w:r>
          </w:p>
          <w:p w14:paraId="548B3FF0" w14:textId="0CB080BC" w:rsidR="00152FD4" w:rsidRDefault="00152FD4" w:rsidP="00152FD4">
            <w:pPr>
              <w:spacing w:after="0" w:line="240" w:lineRule="auto"/>
              <w:jc w:val="both"/>
              <w:rPr>
                <w:rFonts w:ascii="Times New Roman" w:eastAsia="Times New Roman" w:hAnsi="Times New Roman" w:cs="Times New Roman"/>
                <w:sz w:val="24"/>
                <w:szCs w:val="24"/>
                <w:lang w:eastAsia="lv-LV"/>
              </w:rPr>
            </w:pPr>
            <w:r w:rsidRPr="00152FD4">
              <w:rPr>
                <w:rFonts w:ascii="Times New Roman" w:eastAsia="Times New Roman" w:hAnsi="Times New Roman" w:cs="Times New Roman"/>
                <w:sz w:val="24"/>
                <w:szCs w:val="24"/>
                <w:lang w:eastAsia="lv-LV"/>
              </w:rPr>
              <w:t>Vienlaikus Eiropas Komisija un arī 2018. gadā pieņemtais “</w:t>
            </w:r>
            <w:proofErr w:type="spellStart"/>
            <w:r w:rsidRPr="00152FD4">
              <w:rPr>
                <w:rFonts w:ascii="Times New Roman" w:eastAsia="Times New Roman" w:hAnsi="Times New Roman" w:cs="Times New Roman"/>
                <w:sz w:val="24"/>
                <w:szCs w:val="24"/>
                <w:lang w:eastAsia="lv-LV"/>
              </w:rPr>
              <w:t>Moneyval</w:t>
            </w:r>
            <w:proofErr w:type="spellEnd"/>
            <w:r w:rsidRPr="00152FD4">
              <w:rPr>
                <w:rFonts w:ascii="Times New Roman" w:eastAsia="Times New Roman" w:hAnsi="Times New Roman" w:cs="Times New Roman"/>
                <w:sz w:val="24"/>
                <w:szCs w:val="24"/>
                <w:lang w:eastAsia="lv-LV"/>
              </w:rPr>
              <w:t>” 5. kārtas novērtējuma ziņojums par Latvijas noziedzīgi iegūtu līdzekļu legalizācijas un terorisma finansēšanas novēršanas un apkarošanas sistēmu ir skaidri iezīmējis problēmas ar naudas atmazgāšanu saistīto lietu izskatīšanā. Secināts, ka sarežģīto un specifisko lietu izskatīšana nereti ievelkas</w:t>
            </w:r>
            <w:r w:rsidR="00061B56">
              <w:rPr>
                <w:rFonts w:ascii="Times New Roman" w:eastAsia="Times New Roman" w:hAnsi="Times New Roman" w:cs="Times New Roman"/>
                <w:sz w:val="24"/>
                <w:szCs w:val="24"/>
                <w:lang w:eastAsia="lv-LV"/>
              </w:rPr>
              <w:t>.</w:t>
            </w:r>
          </w:p>
          <w:p w14:paraId="21CF5A91" w14:textId="7C50136A" w:rsidR="003F7D5C" w:rsidRDefault="003F7D5C" w:rsidP="003F7D5C">
            <w:pPr>
              <w:spacing w:after="0" w:line="240" w:lineRule="auto"/>
              <w:jc w:val="both"/>
              <w:rPr>
                <w:rFonts w:ascii="Times New Roman" w:eastAsia="Times New Roman" w:hAnsi="Times New Roman" w:cs="Times New Roman"/>
                <w:sz w:val="24"/>
                <w:szCs w:val="24"/>
                <w:lang w:eastAsia="lv-LV"/>
              </w:rPr>
            </w:pPr>
            <w:r w:rsidRPr="00152FD4">
              <w:rPr>
                <w:rFonts w:ascii="Times New Roman" w:eastAsia="Times New Roman" w:hAnsi="Times New Roman" w:cs="Times New Roman"/>
                <w:sz w:val="24"/>
                <w:szCs w:val="24"/>
                <w:lang w:eastAsia="lv-LV"/>
              </w:rPr>
              <w:t xml:space="preserve">Lietu izskatīšanas ilgums </w:t>
            </w:r>
            <w:r w:rsidR="00061B56">
              <w:rPr>
                <w:rFonts w:ascii="Times New Roman" w:eastAsia="Times New Roman" w:hAnsi="Times New Roman" w:cs="Times New Roman"/>
                <w:sz w:val="24"/>
                <w:szCs w:val="24"/>
                <w:lang w:eastAsia="lv-LV"/>
              </w:rPr>
              <w:t xml:space="preserve">ir būtisks, bet </w:t>
            </w:r>
            <w:r w:rsidRPr="00152FD4">
              <w:rPr>
                <w:rFonts w:ascii="Times New Roman" w:eastAsia="Times New Roman" w:hAnsi="Times New Roman" w:cs="Times New Roman"/>
                <w:sz w:val="24"/>
                <w:szCs w:val="24"/>
                <w:lang w:eastAsia="lv-LV"/>
              </w:rPr>
              <w:t xml:space="preserve">nav vienīgais tiesu sistēmas efektivitātes rādītājs. Otrs jebkuras sistēmas darbības efektivitātes rādītājs ir kvalitāte. Tiesu sistēmā tā ir galīgā spēkā </w:t>
            </w:r>
            <w:r w:rsidR="00061B56">
              <w:rPr>
                <w:rFonts w:ascii="Times New Roman" w:eastAsia="Times New Roman" w:hAnsi="Times New Roman" w:cs="Times New Roman"/>
                <w:sz w:val="24"/>
                <w:szCs w:val="24"/>
                <w:lang w:eastAsia="lv-LV"/>
              </w:rPr>
              <w:t>esoša</w:t>
            </w:r>
            <w:r w:rsidRPr="00152FD4">
              <w:rPr>
                <w:rFonts w:ascii="Times New Roman" w:eastAsia="Times New Roman" w:hAnsi="Times New Roman" w:cs="Times New Roman"/>
                <w:sz w:val="24"/>
                <w:szCs w:val="24"/>
                <w:lang w:eastAsia="lv-LV"/>
              </w:rPr>
              <w:t xml:space="preserve"> tiesas sprieduma kvalitāte</w:t>
            </w:r>
            <w:r w:rsidR="00061B56">
              <w:rPr>
                <w:rFonts w:ascii="Times New Roman" w:eastAsia="Times New Roman" w:hAnsi="Times New Roman" w:cs="Times New Roman"/>
                <w:sz w:val="24"/>
                <w:szCs w:val="24"/>
                <w:lang w:eastAsia="lv-LV"/>
              </w:rPr>
              <w:t>.</w:t>
            </w:r>
          </w:p>
          <w:p w14:paraId="5C16B398" w14:textId="3A85D49C" w:rsidR="003F7D5C" w:rsidRPr="00152FD4" w:rsidRDefault="003F7D5C" w:rsidP="003F7D5C">
            <w:pPr>
              <w:spacing w:after="0" w:line="240" w:lineRule="auto"/>
              <w:jc w:val="both"/>
              <w:rPr>
                <w:rFonts w:ascii="Times New Roman" w:eastAsia="Times New Roman" w:hAnsi="Times New Roman" w:cs="Times New Roman"/>
                <w:sz w:val="24"/>
                <w:szCs w:val="24"/>
                <w:lang w:eastAsia="lv-LV"/>
              </w:rPr>
            </w:pPr>
            <w:r w:rsidRPr="00152FD4">
              <w:rPr>
                <w:rFonts w:ascii="Times New Roman" w:eastAsia="Times New Roman" w:hAnsi="Times New Roman" w:cs="Times New Roman"/>
                <w:sz w:val="24"/>
                <w:szCs w:val="24"/>
                <w:lang w:eastAsia="lv-LV"/>
              </w:rPr>
              <w:t xml:space="preserve">Jo sarežģītākas kļūst tiesiskās attiecības sabiedrībā, jo lielāka ir vajadzība </w:t>
            </w:r>
            <w:r w:rsidR="00061B56">
              <w:rPr>
                <w:rFonts w:ascii="Times New Roman" w:eastAsia="Times New Roman" w:hAnsi="Times New Roman" w:cs="Times New Roman"/>
                <w:sz w:val="24"/>
                <w:szCs w:val="24"/>
                <w:lang w:eastAsia="lv-LV"/>
              </w:rPr>
              <w:t xml:space="preserve">pēc specializācijas tiesu sistēmā, lai nodrošinātu gan ātru, gan kvalitatīvu tiesu darbu. </w:t>
            </w:r>
          </w:p>
          <w:p w14:paraId="7DA49DD6" w14:textId="04A9A489" w:rsidR="0070102C" w:rsidRDefault="00A72462" w:rsidP="0070102C">
            <w:pPr>
              <w:spacing w:after="0" w:line="240" w:lineRule="auto"/>
              <w:jc w:val="both"/>
              <w:rPr>
                <w:rFonts w:ascii="Times New Roman" w:eastAsia="Times New Roman" w:hAnsi="Times New Roman" w:cs="Times New Roman"/>
                <w:sz w:val="24"/>
                <w:szCs w:val="24"/>
                <w:lang w:eastAsia="lv-LV"/>
              </w:rPr>
            </w:pPr>
            <w:r w:rsidRPr="00A72462">
              <w:rPr>
                <w:rFonts w:ascii="Times New Roman" w:eastAsia="Times New Roman" w:hAnsi="Times New Roman" w:cs="Times New Roman"/>
                <w:sz w:val="24"/>
                <w:szCs w:val="24"/>
                <w:lang w:eastAsia="lv-LV"/>
              </w:rPr>
              <w:t xml:space="preserve">Valsts ir atbildīga par efektīva tiesas procesa nodrošināšanu. Konkrētajā gadījumā </w:t>
            </w:r>
            <w:r w:rsidR="00970003">
              <w:rPr>
                <w:rFonts w:ascii="Times New Roman" w:eastAsia="Times New Roman" w:hAnsi="Times New Roman" w:cs="Times New Roman"/>
                <w:sz w:val="24"/>
                <w:szCs w:val="24"/>
                <w:lang w:eastAsia="lv-LV"/>
              </w:rPr>
              <w:t xml:space="preserve">Ziņojumā </w:t>
            </w:r>
            <w:r w:rsidRPr="00A72462">
              <w:rPr>
                <w:rFonts w:ascii="Times New Roman" w:eastAsia="Times New Roman" w:hAnsi="Times New Roman" w:cs="Times New Roman"/>
                <w:sz w:val="24"/>
                <w:szCs w:val="24"/>
                <w:lang w:eastAsia="lv-LV"/>
              </w:rPr>
              <w:t>secināts, ka noteiktu lietu kategoriju efektīvāku izskatīšanas procesu iespējams nodrošināt, koncentrējot lietas, zināšanas un resursus vienuviet</w:t>
            </w:r>
            <w:r w:rsidR="0070102C">
              <w:rPr>
                <w:rFonts w:ascii="Times New Roman" w:eastAsia="Times New Roman" w:hAnsi="Times New Roman" w:cs="Times New Roman"/>
                <w:sz w:val="24"/>
                <w:szCs w:val="24"/>
                <w:lang w:eastAsia="lv-LV"/>
              </w:rPr>
              <w:t xml:space="preserve">. </w:t>
            </w:r>
          </w:p>
          <w:p w14:paraId="7B19DD8E" w14:textId="23679706" w:rsidR="0070102C" w:rsidRPr="0070102C" w:rsidRDefault="00A72462" w:rsidP="0070102C">
            <w:pPr>
              <w:spacing w:after="0" w:line="240" w:lineRule="auto"/>
              <w:jc w:val="both"/>
              <w:rPr>
                <w:rFonts w:ascii="Times New Roman" w:eastAsia="Times New Roman" w:hAnsi="Times New Roman" w:cs="Times New Roman"/>
                <w:sz w:val="24"/>
                <w:szCs w:val="24"/>
                <w:lang w:eastAsia="lv-LV"/>
              </w:rPr>
            </w:pPr>
            <w:bookmarkStart w:id="3" w:name="_Hlk20126926"/>
            <w:r w:rsidRPr="00A72462">
              <w:rPr>
                <w:rFonts w:ascii="Times New Roman" w:eastAsia="Times New Roman" w:hAnsi="Times New Roman" w:cs="Times New Roman"/>
                <w:sz w:val="24"/>
                <w:szCs w:val="24"/>
                <w:lang w:eastAsia="lv-LV"/>
              </w:rPr>
              <w:t>Galvenais mērķis specializētās tiesas izveidei ir procesa efektivitāte un nolēmumu kvalitātes nodrošināšana</w:t>
            </w:r>
            <w:bookmarkEnd w:id="3"/>
            <w:r w:rsidR="003F7D5C">
              <w:rPr>
                <w:rFonts w:ascii="Times New Roman" w:eastAsia="Times New Roman" w:hAnsi="Times New Roman" w:cs="Times New Roman"/>
                <w:sz w:val="24"/>
                <w:szCs w:val="24"/>
                <w:lang w:eastAsia="lv-LV"/>
              </w:rPr>
              <w:t xml:space="preserve">. </w:t>
            </w:r>
            <w:r w:rsidR="0070102C" w:rsidRPr="0070102C">
              <w:rPr>
                <w:rFonts w:ascii="Times New Roman" w:eastAsia="Times New Roman" w:hAnsi="Times New Roman" w:cs="Times New Roman"/>
                <w:sz w:val="24"/>
                <w:szCs w:val="24"/>
                <w:lang w:eastAsia="lv-LV"/>
              </w:rPr>
              <w:t xml:space="preserve">Specifisku neliela skaita lietu izskatīšanai nepieciešamās prasmes nav lietderīgi trenēt katram no Latvijas tiesnešiem, jo varbūtība, ka šādu lietu tiesnesis saņems, ir ļoti maza. Turklāt, lai kvalifikācijas pasākumos iegūtās zināšanas nostiprinātu un attīstītu, tās ir jāpiemēro praksē. Līdz ar to tiesnešu </w:t>
            </w:r>
            <w:r w:rsidR="0070102C" w:rsidRPr="0070102C">
              <w:rPr>
                <w:rFonts w:ascii="Times New Roman" w:eastAsia="Times New Roman" w:hAnsi="Times New Roman" w:cs="Times New Roman"/>
                <w:sz w:val="24"/>
                <w:szCs w:val="24"/>
                <w:lang w:eastAsia="lv-LV"/>
              </w:rPr>
              <w:lastRenderedPageBreak/>
              <w:t>specializācija pati par sevi nav risinājums pie neliela skaita specifiskām lietām.</w:t>
            </w:r>
            <w:r w:rsidR="0070102C">
              <w:rPr>
                <w:rFonts w:ascii="Times New Roman" w:eastAsia="Times New Roman" w:hAnsi="Times New Roman" w:cs="Times New Roman"/>
                <w:sz w:val="24"/>
                <w:szCs w:val="24"/>
                <w:lang w:eastAsia="lv-LV"/>
              </w:rPr>
              <w:t xml:space="preserve"> </w:t>
            </w:r>
            <w:r w:rsidR="0070102C" w:rsidRPr="0070102C">
              <w:rPr>
                <w:rFonts w:ascii="Times New Roman" w:eastAsia="Times New Roman" w:hAnsi="Times New Roman" w:cs="Times New Roman"/>
                <w:sz w:val="24"/>
                <w:szCs w:val="24"/>
                <w:lang w:eastAsia="lv-LV"/>
              </w:rPr>
              <w:t xml:space="preserve">Šādos gadījumos </w:t>
            </w:r>
            <w:bookmarkStart w:id="4" w:name="_Hlk20126954"/>
            <w:r w:rsidR="0070102C" w:rsidRPr="0070102C">
              <w:rPr>
                <w:rFonts w:ascii="Times New Roman" w:eastAsia="Times New Roman" w:hAnsi="Times New Roman" w:cs="Times New Roman"/>
                <w:sz w:val="24"/>
                <w:szCs w:val="24"/>
                <w:lang w:eastAsia="lv-LV"/>
              </w:rPr>
              <w:t xml:space="preserve">jau kopš </w:t>
            </w:r>
            <w:proofErr w:type="gramStart"/>
            <w:r w:rsidR="0070102C" w:rsidRPr="0070102C">
              <w:rPr>
                <w:rFonts w:ascii="Times New Roman" w:eastAsia="Times New Roman" w:hAnsi="Times New Roman" w:cs="Times New Roman"/>
                <w:sz w:val="24"/>
                <w:szCs w:val="24"/>
                <w:lang w:eastAsia="lv-LV"/>
              </w:rPr>
              <w:t>2013.gada</w:t>
            </w:r>
            <w:proofErr w:type="gramEnd"/>
            <w:r w:rsidR="0070102C" w:rsidRPr="0070102C">
              <w:rPr>
                <w:rFonts w:ascii="Times New Roman" w:eastAsia="Times New Roman" w:hAnsi="Times New Roman" w:cs="Times New Roman"/>
                <w:sz w:val="24"/>
                <w:szCs w:val="24"/>
                <w:lang w:eastAsia="lv-LV"/>
              </w:rPr>
              <w:t xml:space="preserve"> tiek praktizēta lietu koncentrēšana vienā no tiesām, attiecīgi ar attiecīgo specializāciju saistītos kvalifikācijas celšanas pasākumus piedāvājot attiecīgās tiesas un specializācijas tiesnešiem.</w:t>
            </w:r>
            <w:r w:rsidR="0070102C">
              <w:rPr>
                <w:rFonts w:ascii="Times New Roman" w:eastAsia="Times New Roman" w:hAnsi="Times New Roman" w:cs="Times New Roman"/>
                <w:sz w:val="24"/>
                <w:szCs w:val="24"/>
                <w:lang w:eastAsia="lv-LV"/>
              </w:rPr>
              <w:t xml:space="preserve"> </w:t>
            </w:r>
            <w:r w:rsidR="0070102C" w:rsidRPr="0070102C">
              <w:rPr>
                <w:rFonts w:ascii="Times New Roman" w:eastAsia="Times New Roman" w:hAnsi="Times New Roman" w:cs="Times New Roman"/>
                <w:sz w:val="24"/>
                <w:szCs w:val="24"/>
                <w:lang w:eastAsia="lv-LV"/>
              </w:rPr>
              <w:t>Vienlaikus atzīstams, ka arī šādam risinājumam ir savi trūkumi. Proti, - lietu koncentrēšanas modeļa ietvaros specializāciju tvēruma attīstīšana (papildināšana) ir visai ierobežota un visbiežāk neiespējama, jo jārēķinās ar katras no tiesām kapacitāti, kas nepieciešama vispārējās jurisdikcijas lietu izskatīšanas nodrošināšanai. Turklāt šādā veidā tiek veidota arī savdabīga paralēla speciālo jurisdikciju sistēma, kas ir visai sadrumstalota.</w:t>
            </w:r>
          </w:p>
          <w:p w14:paraId="2A557CDC" w14:textId="53A6BDA4" w:rsidR="0070102C" w:rsidRDefault="0070102C" w:rsidP="0070102C">
            <w:pPr>
              <w:spacing w:after="0" w:line="240" w:lineRule="auto"/>
              <w:jc w:val="both"/>
              <w:rPr>
                <w:rFonts w:ascii="Times New Roman" w:eastAsia="Times New Roman" w:hAnsi="Times New Roman" w:cs="Times New Roman"/>
                <w:sz w:val="24"/>
                <w:szCs w:val="24"/>
                <w:lang w:eastAsia="lv-LV"/>
              </w:rPr>
            </w:pPr>
            <w:bookmarkStart w:id="5" w:name="_Hlk20126991"/>
            <w:bookmarkEnd w:id="4"/>
            <w:r w:rsidRPr="0070102C">
              <w:rPr>
                <w:rFonts w:ascii="Times New Roman" w:eastAsia="Times New Roman" w:hAnsi="Times New Roman" w:cs="Times New Roman"/>
                <w:sz w:val="24"/>
                <w:szCs w:val="24"/>
                <w:lang w:eastAsia="lv-LV"/>
              </w:rPr>
              <w:t>Speciālas tiesas izveide ir risinājums ar lielāku attīstības potenciālu arī ilgtermiņā, kas nevis rada, bet novērš esošo tiesu kompetenču sistēmas sadrumstalotību.</w:t>
            </w:r>
            <w:r>
              <w:rPr>
                <w:rFonts w:ascii="Times New Roman" w:eastAsia="Times New Roman" w:hAnsi="Times New Roman" w:cs="Times New Roman"/>
                <w:sz w:val="24"/>
                <w:szCs w:val="24"/>
                <w:lang w:eastAsia="lv-LV"/>
              </w:rPr>
              <w:t xml:space="preserve"> </w:t>
            </w:r>
          </w:p>
          <w:bookmarkEnd w:id="5"/>
          <w:p w14:paraId="18B6C2BD" w14:textId="16CD618A" w:rsidR="00A72462" w:rsidRDefault="003F7D5C" w:rsidP="00384ED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w:t>
            </w:r>
            <w:r w:rsidR="00152FD4" w:rsidRPr="00152FD4">
              <w:rPr>
                <w:rFonts w:ascii="Times New Roman" w:eastAsia="Times New Roman" w:hAnsi="Times New Roman" w:cs="Times New Roman"/>
                <w:sz w:val="24"/>
                <w:szCs w:val="24"/>
                <w:lang w:eastAsia="lv-LV"/>
              </w:rPr>
              <w:t xml:space="preserve">ūtisks ieguvums jaunas tiesas izveidei ir tas, ka kļūst iespējams ne tikai attīstīt jau esošās </w:t>
            </w:r>
            <w:proofErr w:type="spellStart"/>
            <w:r w:rsidR="00152FD4" w:rsidRPr="00152FD4">
              <w:rPr>
                <w:rFonts w:ascii="Times New Roman" w:eastAsia="Times New Roman" w:hAnsi="Times New Roman" w:cs="Times New Roman"/>
                <w:sz w:val="24"/>
                <w:szCs w:val="24"/>
                <w:lang w:eastAsia="lv-LV"/>
              </w:rPr>
              <w:t>komercstrīdu</w:t>
            </w:r>
            <w:proofErr w:type="spellEnd"/>
            <w:r w:rsidR="00152FD4" w:rsidRPr="00152FD4">
              <w:rPr>
                <w:rFonts w:ascii="Times New Roman" w:eastAsia="Times New Roman" w:hAnsi="Times New Roman" w:cs="Times New Roman"/>
                <w:sz w:val="24"/>
                <w:szCs w:val="24"/>
                <w:lang w:eastAsia="lv-LV"/>
              </w:rPr>
              <w:t xml:space="preserve"> specializācijas, bet nodrošināt specializāciju arī tādu uzņēmējdarbības vides tiesiskumam būtisku strīdu izskatīšan</w:t>
            </w:r>
            <w:r w:rsidR="007D31CC">
              <w:rPr>
                <w:rFonts w:ascii="Times New Roman" w:eastAsia="Times New Roman" w:hAnsi="Times New Roman" w:cs="Times New Roman"/>
                <w:sz w:val="24"/>
                <w:szCs w:val="24"/>
                <w:lang w:eastAsia="lv-LV"/>
              </w:rPr>
              <w:t>ā</w:t>
            </w:r>
            <w:r w:rsidR="00152FD4" w:rsidRPr="00152FD4">
              <w:rPr>
                <w:rFonts w:ascii="Times New Roman" w:eastAsia="Times New Roman" w:hAnsi="Times New Roman" w:cs="Times New Roman"/>
                <w:sz w:val="24"/>
                <w:szCs w:val="24"/>
                <w:lang w:eastAsia="lv-LV"/>
              </w:rPr>
              <w:t>, kuri līdz šim ir bijuši piekritīgi tiesām vispārējā kārtībā</w:t>
            </w:r>
            <w:r w:rsidR="007D31CC">
              <w:rPr>
                <w:rFonts w:ascii="Times New Roman" w:eastAsia="Times New Roman" w:hAnsi="Times New Roman" w:cs="Times New Roman"/>
                <w:sz w:val="24"/>
                <w:szCs w:val="24"/>
                <w:lang w:eastAsia="lv-LV"/>
              </w:rPr>
              <w:t>. Tāpat līdz ar jaunas tiesas izveidi ir iespējams</w:t>
            </w:r>
            <w:r w:rsidR="00061B56">
              <w:rPr>
                <w:rFonts w:ascii="Times New Roman" w:eastAsia="Times New Roman" w:hAnsi="Times New Roman" w:cs="Times New Roman"/>
                <w:sz w:val="24"/>
                <w:szCs w:val="24"/>
                <w:lang w:eastAsia="lv-LV"/>
              </w:rPr>
              <w:t xml:space="preserve"> risināt jautājumus par tādu noziedzīgu nodarījumu ātru un efektīvu izskatīšanu, kam ir būtiska ietekme uz uzņēmējdarbības vidi un valsts tautsaimniecības attīstību.</w:t>
            </w:r>
          </w:p>
          <w:p w14:paraId="7826668B" w14:textId="11DF6C18" w:rsidR="0070102C" w:rsidRDefault="0070102C" w:rsidP="0070102C">
            <w:pPr>
              <w:spacing w:after="0" w:line="240" w:lineRule="auto"/>
              <w:jc w:val="both"/>
              <w:rPr>
                <w:rFonts w:ascii="Times New Roman" w:eastAsia="Times New Roman" w:hAnsi="Times New Roman" w:cs="Times New Roman"/>
                <w:sz w:val="24"/>
                <w:szCs w:val="24"/>
                <w:lang w:eastAsia="lv-LV"/>
              </w:rPr>
            </w:pPr>
            <w:bookmarkStart w:id="6" w:name="_Hlk20127013"/>
            <w:r>
              <w:rPr>
                <w:rFonts w:ascii="Times New Roman" w:eastAsia="Times New Roman" w:hAnsi="Times New Roman" w:cs="Times New Roman"/>
                <w:sz w:val="24"/>
                <w:szCs w:val="24"/>
                <w:lang w:eastAsia="lv-LV"/>
              </w:rPr>
              <w:t>Jāņem vērā, ka s</w:t>
            </w:r>
            <w:r w:rsidRPr="0070102C">
              <w:rPr>
                <w:rFonts w:ascii="Times New Roman" w:eastAsia="Times New Roman" w:hAnsi="Times New Roman" w:cs="Times New Roman"/>
                <w:sz w:val="24"/>
                <w:szCs w:val="24"/>
                <w:lang w:eastAsia="lv-LV"/>
              </w:rPr>
              <w:t>pecializētas tiesas izveides pamatā ir virkne specifisku apstākļu un nosacījumu, kas izvērtējami katrā atsevišķā gadījumā. Piemēram, ņemams vērā specializējamo lietu skaits, šo lietu izņemšanas no vispārējo tiesu kompetences ietekme uz šo tiesu darbu, nepieciešamā kapacitāte specializēto lietu izskatīšanas nodrošināšanai, u.c.</w:t>
            </w:r>
            <w:r>
              <w:rPr>
                <w:rFonts w:ascii="Times New Roman" w:eastAsia="Times New Roman" w:hAnsi="Times New Roman" w:cs="Times New Roman"/>
                <w:sz w:val="24"/>
                <w:szCs w:val="24"/>
                <w:lang w:eastAsia="lv-LV"/>
              </w:rPr>
              <w:t xml:space="preserve"> </w:t>
            </w:r>
            <w:r w:rsidRPr="0070102C">
              <w:rPr>
                <w:rFonts w:ascii="Times New Roman" w:eastAsia="Times New Roman" w:hAnsi="Times New Roman" w:cs="Times New Roman"/>
                <w:sz w:val="24"/>
                <w:szCs w:val="24"/>
                <w:lang w:eastAsia="lv-LV"/>
              </w:rPr>
              <w:t>Līdz ar to lēmums par Ekonomisko lietu tiesas izveidi, nekādā gadījumā nav pamats automātiskam pieņēmumam par citu speciālu tiesu izveidi bez atsevišķa to izveides pamatojuma un nepieciešamības izvērtējuma.</w:t>
            </w:r>
          </w:p>
          <w:bookmarkEnd w:id="6"/>
          <w:p w14:paraId="6931EAEB" w14:textId="58E94137" w:rsidR="00970003" w:rsidRDefault="00970003" w:rsidP="00384ED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Līdz ar to</w:t>
            </w:r>
            <w:r w:rsidR="002F4EC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ievērojot</w:t>
            </w:r>
            <w:r w:rsidRPr="006A41F4">
              <w:rPr>
                <w:rFonts w:ascii="Times New Roman" w:eastAsia="Times New Roman" w:hAnsi="Times New Roman" w:cs="Times New Roman"/>
                <w:sz w:val="24"/>
                <w:szCs w:val="24"/>
                <w:lang w:eastAsia="lv-LV"/>
              </w:rPr>
              <w:t xml:space="preserve"> </w:t>
            </w:r>
            <w:r w:rsidR="008D5E8D" w:rsidRPr="006A41F4">
              <w:rPr>
                <w:rFonts w:ascii="Times New Roman" w:eastAsia="Times New Roman" w:hAnsi="Times New Roman" w:cs="Times New Roman"/>
                <w:sz w:val="24"/>
                <w:szCs w:val="24"/>
                <w:lang w:eastAsia="lv-LV"/>
              </w:rPr>
              <w:t xml:space="preserve">Ziņojumā atbalstīto </w:t>
            </w:r>
            <w:r w:rsidR="007073FE">
              <w:rPr>
                <w:rFonts w:ascii="Times New Roman" w:eastAsia="Times New Roman" w:hAnsi="Times New Roman" w:cs="Times New Roman"/>
                <w:sz w:val="24"/>
                <w:szCs w:val="24"/>
                <w:lang w:eastAsia="lv-LV"/>
              </w:rPr>
              <w:t>rīcības virzienu,</w:t>
            </w:r>
            <w:r w:rsidR="008D5E8D" w:rsidRPr="006A41F4">
              <w:rPr>
                <w:rFonts w:ascii="Times New Roman" w:eastAsia="Times New Roman" w:hAnsi="Times New Roman" w:cs="Times New Roman"/>
                <w:sz w:val="24"/>
                <w:szCs w:val="24"/>
                <w:lang w:eastAsia="lv-LV"/>
              </w:rPr>
              <w:t xml:space="preserve"> izstrādāts</w:t>
            </w:r>
            <w:r w:rsidR="002F4EC5">
              <w:rPr>
                <w:rFonts w:ascii="Times New Roman" w:eastAsia="Times New Roman" w:hAnsi="Times New Roman" w:cs="Times New Roman"/>
                <w:sz w:val="24"/>
                <w:szCs w:val="24"/>
                <w:lang w:eastAsia="lv-LV"/>
              </w:rPr>
              <w:t xml:space="preserve"> likumprojekts </w:t>
            </w:r>
            <w:r w:rsidR="007D31CC">
              <w:rPr>
                <w:rFonts w:ascii="Times New Roman" w:eastAsia="Times New Roman" w:hAnsi="Times New Roman" w:cs="Times New Roman"/>
                <w:sz w:val="24"/>
                <w:szCs w:val="24"/>
                <w:lang w:eastAsia="lv-LV"/>
              </w:rPr>
              <w:t>"</w:t>
            </w:r>
            <w:r w:rsidR="002F4EC5">
              <w:rPr>
                <w:rFonts w:ascii="Times New Roman" w:eastAsia="Times New Roman" w:hAnsi="Times New Roman" w:cs="Times New Roman"/>
                <w:sz w:val="24"/>
                <w:szCs w:val="24"/>
                <w:lang w:eastAsia="lv-LV"/>
              </w:rPr>
              <w:t>Grozījumi likumā “Par tiesu varu</w:t>
            </w:r>
            <w:r w:rsidR="007D31CC">
              <w:rPr>
                <w:rFonts w:ascii="Times New Roman" w:eastAsia="Times New Roman" w:hAnsi="Times New Roman" w:cs="Times New Roman"/>
                <w:sz w:val="24"/>
                <w:szCs w:val="24"/>
                <w:lang w:eastAsia="lv-LV"/>
              </w:rPr>
              <w:t>""</w:t>
            </w:r>
            <w:r w:rsidR="002F4EC5">
              <w:rPr>
                <w:rFonts w:ascii="Times New Roman" w:eastAsia="Times New Roman" w:hAnsi="Times New Roman" w:cs="Times New Roman"/>
                <w:sz w:val="24"/>
                <w:szCs w:val="24"/>
                <w:lang w:eastAsia="lv-LV"/>
              </w:rPr>
              <w:t xml:space="preserve"> (turpmāk –</w:t>
            </w:r>
            <w:r w:rsidR="008D5E8D" w:rsidRPr="006A41F4">
              <w:rPr>
                <w:rFonts w:ascii="Times New Roman" w:eastAsia="Times New Roman" w:hAnsi="Times New Roman" w:cs="Times New Roman"/>
                <w:sz w:val="24"/>
                <w:szCs w:val="24"/>
                <w:lang w:eastAsia="lv-LV"/>
              </w:rPr>
              <w:t xml:space="preserve"> </w:t>
            </w:r>
            <w:r w:rsidR="002F4EC5">
              <w:rPr>
                <w:rFonts w:ascii="Times New Roman" w:eastAsia="Times New Roman" w:hAnsi="Times New Roman" w:cs="Times New Roman"/>
                <w:sz w:val="24"/>
                <w:szCs w:val="24"/>
                <w:lang w:eastAsia="lv-LV"/>
              </w:rPr>
              <w:t>l</w:t>
            </w:r>
            <w:r w:rsidR="008D5E8D" w:rsidRPr="006A41F4">
              <w:rPr>
                <w:rFonts w:ascii="Times New Roman" w:eastAsia="Times New Roman" w:hAnsi="Times New Roman" w:cs="Times New Roman"/>
                <w:sz w:val="24"/>
                <w:szCs w:val="24"/>
                <w:lang w:eastAsia="lv-LV"/>
              </w:rPr>
              <w:t>ikumprojekts</w:t>
            </w:r>
            <w:r w:rsidR="002F4EC5">
              <w:rPr>
                <w:rFonts w:ascii="Times New Roman" w:eastAsia="Times New Roman" w:hAnsi="Times New Roman" w:cs="Times New Roman"/>
                <w:sz w:val="24"/>
                <w:szCs w:val="24"/>
                <w:lang w:eastAsia="lv-LV"/>
              </w:rPr>
              <w:t>)</w:t>
            </w:r>
            <w:r w:rsidR="007073FE">
              <w:rPr>
                <w:rFonts w:ascii="Times New Roman" w:eastAsia="Times New Roman" w:hAnsi="Times New Roman" w:cs="Times New Roman"/>
                <w:sz w:val="24"/>
                <w:szCs w:val="24"/>
                <w:lang w:eastAsia="lv-LV"/>
              </w:rPr>
              <w:t>, ar kuru</w:t>
            </w:r>
            <w:r w:rsidR="008D5E8D">
              <w:rPr>
                <w:rFonts w:ascii="Times New Roman" w:eastAsia="Times New Roman" w:hAnsi="Times New Roman" w:cs="Times New Roman"/>
                <w:sz w:val="24"/>
                <w:szCs w:val="24"/>
                <w:lang w:eastAsia="lv-LV"/>
              </w:rPr>
              <w:t xml:space="preserve"> institucionāli </w:t>
            </w:r>
            <w:r w:rsidR="002F4EC5">
              <w:rPr>
                <w:rFonts w:ascii="Times New Roman" w:eastAsia="Times New Roman" w:hAnsi="Times New Roman" w:cs="Times New Roman"/>
                <w:sz w:val="24"/>
                <w:szCs w:val="24"/>
                <w:lang w:eastAsia="lv-LV"/>
              </w:rPr>
              <w:t>tiek</w:t>
            </w:r>
            <w:proofErr w:type="gramStart"/>
            <w:r w:rsidR="002F4EC5">
              <w:rPr>
                <w:rFonts w:ascii="Times New Roman" w:eastAsia="Times New Roman" w:hAnsi="Times New Roman" w:cs="Times New Roman"/>
                <w:sz w:val="24"/>
                <w:szCs w:val="24"/>
                <w:lang w:eastAsia="lv-LV"/>
              </w:rPr>
              <w:t xml:space="preserve">  </w:t>
            </w:r>
            <w:proofErr w:type="gramEnd"/>
            <w:r w:rsidR="007073FE">
              <w:rPr>
                <w:rFonts w:ascii="Times New Roman" w:eastAsia="Times New Roman" w:hAnsi="Times New Roman" w:cs="Times New Roman"/>
                <w:sz w:val="24"/>
                <w:szCs w:val="24"/>
                <w:lang w:eastAsia="lv-LV"/>
              </w:rPr>
              <w:t xml:space="preserve">izveidota </w:t>
            </w:r>
            <w:r w:rsidR="002F4EC5">
              <w:rPr>
                <w:rFonts w:ascii="Times New Roman" w:eastAsia="Times New Roman" w:hAnsi="Times New Roman" w:cs="Times New Roman"/>
                <w:sz w:val="24"/>
                <w:szCs w:val="24"/>
                <w:lang w:eastAsia="lv-LV"/>
              </w:rPr>
              <w:t xml:space="preserve">specializēta </w:t>
            </w:r>
            <w:r w:rsidR="007073FE">
              <w:rPr>
                <w:rFonts w:ascii="Times New Roman" w:eastAsia="Times New Roman" w:hAnsi="Times New Roman" w:cs="Times New Roman"/>
                <w:sz w:val="24"/>
                <w:szCs w:val="24"/>
                <w:lang w:eastAsia="lv-LV"/>
              </w:rPr>
              <w:t>pirmā līmeņa tiesa - Ek</w:t>
            </w:r>
            <w:r w:rsidR="008D5E8D">
              <w:rPr>
                <w:rFonts w:ascii="Times New Roman" w:eastAsia="Times New Roman" w:hAnsi="Times New Roman" w:cs="Times New Roman"/>
                <w:sz w:val="24"/>
                <w:szCs w:val="24"/>
                <w:lang w:eastAsia="lv-LV"/>
              </w:rPr>
              <w:t>onomisko lietu ties</w:t>
            </w:r>
            <w:r w:rsidR="002F4EC5">
              <w:rPr>
                <w:rFonts w:ascii="Times New Roman" w:eastAsia="Times New Roman" w:hAnsi="Times New Roman" w:cs="Times New Roman"/>
                <w:sz w:val="24"/>
                <w:szCs w:val="24"/>
                <w:lang w:eastAsia="lv-LV"/>
              </w:rPr>
              <w:t>a -</w:t>
            </w:r>
            <w:r w:rsidR="008D5E8D">
              <w:rPr>
                <w:rFonts w:ascii="Times New Roman" w:eastAsia="Times New Roman" w:hAnsi="Times New Roman" w:cs="Times New Roman"/>
                <w:sz w:val="24"/>
                <w:szCs w:val="24"/>
                <w:lang w:eastAsia="lv-LV"/>
              </w:rPr>
              <w:t xml:space="preserve"> un </w:t>
            </w:r>
            <w:r w:rsidR="002457F7" w:rsidRPr="002457F7">
              <w:rPr>
                <w:rFonts w:ascii="Times New Roman" w:eastAsia="Times New Roman" w:hAnsi="Times New Roman" w:cs="Times New Roman"/>
                <w:sz w:val="24"/>
                <w:szCs w:val="24"/>
                <w:lang w:eastAsia="lv-LV"/>
              </w:rPr>
              <w:t xml:space="preserve">dots </w:t>
            </w:r>
            <w:r w:rsidR="00384EDA">
              <w:rPr>
                <w:rFonts w:ascii="Times New Roman" w:eastAsia="Times New Roman" w:hAnsi="Times New Roman" w:cs="Times New Roman"/>
                <w:sz w:val="24"/>
                <w:szCs w:val="24"/>
                <w:lang w:eastAsia="lv-LV"/>
              </w:rPr>
              <w:t>uzdevums</w:t>
            </w:r>
            <w:r w:rsidR="00384EDA" w:rsidRPr="002457F7">
              <w:rPr>
                <w:rFonts w:ascii="Times New Roman" w:eastAsia="Times New Roman" w:hAnsi="Times New Roman" w:cs="Times New Roman"/>
                <w:sz w:val="24"/>
                <w:szCs w:val="24"/>
                <w:lang w:eastAsia="lv-LV"/>
              </w:rPr>
              <w:t xml:space="preserve"> </w:t>
            </w:r>
            <w:r w:rsidR="002457F7" w:rsidRPr="002457F7">
              <w:rPr>
                <w:rFonts w:ascii="Times New Roman" w:eastAsia="Times New Roman" w:hAnsi="Times New Roman" w:cs="Times New Roman"/>
                <w:sz w:val="24"/>
                <w:szCs w:val="24"/>
                <w:lang w:eastAsia="lv-LV"/>
              </w:rPr>
              <w:t>Tieslietu padomei</w:t>
            </w:r>
            <w:r w:rsidR="00384EDA">
              <w:rPr>
                <w:rFonts w:ascii="Times New Roman" w:eastAsia="Times New Roman" w:hAnsi="Times New Roman" w:cs="Times New Roman"/>
                <w:sz w:val="24"/>
                <w:szCs w:val="24"/>
                <w:lang w:eastAsia="lv-LV"/>
              </w:rPr>
              <w:t>,</w:t>
            </w:r>
            <w:r w:rsidR="002457F7" w:rsidRPr="002457F7">
              <w:rPr>
                <w:rFonts w:ascii="Times New Roman" w:eastAsia="Times New Roman" w:hAnsi="Times New Roman" w:cs="Times New Roman"/>
                <w:sz w:val="24"/>
                <w:szCs w:val="24"/>
                <w:lang w:eastAsia="lv-LV"/>
              </w:rPr>
              <w:t xml:space="preserve"> </w:t>
            </w:r>
            <w:r w:rsidR="00384EDA">
              <w:rPr>
                <w:rFonts w:ascii="Times New Roman" w:eastAsia="Times New Roman" w:hAnsi="Times New Roman" w:cs="Times New Roman"/>
                <w:sz w:val="24"/>
                <w:szCs w:val="24"/>
                <w:lang w:eastAsia="lv-LV"/>
              </w:rPr>
              <w:t>realizējot likuma "Par tiesu varu" 29.</w:t>
            </w:r>
            <w:r w:rsidR="00D864D7">
              <w:rPr>
                <w:rFonts w:ascii="Times New Roman" w:eastAsia="Times New Roman" w:hAnsi="Times New Roman" w:cs="Times New Roman"/>
                <w:sz w:val="24"/>
                <w:szCs w:val="24"/>
                <w:lang w:eastAsia="lv-LV"/>
              </w:rPr>
              <w:t xml:space="preserve"> </w:t>
            </w:r>
            <w:r w:rsidR="00384EDA">
              <w:rPr>
                <w:rFonts w:ascii="Times New Roman" w:eastAsia="Times New Roman" w:hAnsi="Times New Roman" w:cs="Times New Roman"/>
                <w:sz w:val="24"/>
                <w:szCs w:val="24"/>
                <w:lang w:eastAsia="lv-LV"/>
              </w:rPr>
              <w:t>panta trešajā daļā un 32.</w:t>
            </w:r>
            <w:r w:rsidR="00D864D7">
              <w:rPr>
                <w:rFonts w:ascii="Times New Roman" w:eastAsia="Times New Roman" w:hAnsi="Times New Roman" w:cs="Times New Roman"/>
                <w:sz w:val="24"/>
                <w:szCs w:val="24"/>
                <w:lang w:eastAsia="lv-LV"/>
              </w:rPr>
              <w:t xml:space="preserve"> </w:t>
            </w:r>
            <w:r w:rsidR="00384EDA">
              <w:rPr>
                <w:rFonts w:ascii="Times New Roman" w:eastAsia="Times New Roman" w:hAnsi="Times New Roman" w:cs="Times New Roman"/>
                <w:sz w:val="24"/>
                <w:szCs w:val="24"/>
                <w:lang w:eastAsia="lv-LV"/>
              </w:rPr>
              <w:t xml:space="preserve">panta trešajā daļā </w:t>
            </w:r>
            <w:r w:rsidR="002457F7" w:rsidRPr="002457F7">
              <w:rPr>
                <w:rFonts w:ascii="Times New Roman" w:eastAsia="Times New Roman" w:hAnsi="Times New Roman" w:cs="Times New Roman"/>
                <w:sz w:val="24"/>
                <w:szCs w:val="24"/>
                <w:lang w:eastAsia="lv-LV"/>
              </w:rPr>
              <w:t>noteikt</w:t>
            </w:r>
            <w:r w:rsidR="00384EDA">
              <w:rPr>
                <w:rFonts w:ascii="Times New Roman" w:eastAsia="Times New Roman" w:hAnsi="Times New Roman" w:cs="Times New Roman"/>
                <w:sz w:val="24"/>
                <w:szCs w:val="24"/>
                <w:lang w:eastAsia="lv-LV"/>
              </w:rPr>
              <w:t xml:space="preserve">ās tiesības, </w:t>
            </w:r>
            <w:r w:rsidR="002F4EC5">
              <w:rPr>
                <w:rFonts w:ascii="Times New Roman" w:eastAsia="Times New Roman" w:hAnsi="Times New Roman" w:cs="Times New Roman"/>
                <w:sz w:val="24"/>
                <w:szCs w:val="24"/>
                <w:lang w:eastAsia="lv-LV"/>
              </w:rPr>
              <w:t xml:space="preserve">nostiprināt </w:t>
            </w:r>
            <w:r w:rsidR="00384EDA">
              <w:rPr>
                <w:rFonts w:ascii="Times New Roman" w:eastAsia="Times New Roman" w:hAnsi="Times New Roman" w:cs="Times New Roman"/>
                <w:sz w:val="24"/>
                <w:szCs w:val="24"/>
                <w:lang w:eastAsia="lv-LV"/>
              </w:rPr>
              <w:t>Ekonomisko lietu tiesas darbības teritoriju un atrašanās vietu, kā arī</w:t>
            </w:r>
            <w:r w:rsidR="002457F7" w:rsidRPr="002457F7">
              <w:rPr>
                <w:rFonts w:ascii="Times New Roman" w:eastAsia="Times New Roman" w:hAnsi="Times New Roman" w:cs="Times New Roman"/>
                <w:sz w:val="24"/>
                <w:szCs w:val="24"/>
                <w:lang w:eastAsia="lv-LV"/>
              </w:rPr>
              <w:t xml:space="preserve"> tiesnešu skaitu Ekonomisko lietu tiesā</w:t>
            </w:r>
            <w:r w:rsidR="00384EDA">
              <w:rPr>
                <w:rFonts w:ascii="Times New Roman" w:eastAsia="Times New Roman" w:hAnsi="Times New Roman" w:cs="Times New Roman"/>
                <w:sz w:val="24"/>
                <w:szCs w:val="24"/>
                <w:lang w:eastAsia="lv-LV"/>
              </w:rPr>
              <w:t>.</w:t>
            </w:r>
          </w:p>
          <w:p w14:paraId="53110515" w14:textId="77777777" w:rsidR="0070102C" w:rsidRPr="00250C28" w:rsidRDefault="0070102C" w:rsidP="0070102C">
            <w:pPr>
              <w:spacing w:after="0" w:line="240" w:lineRule="auto"/>
              <w:jc w:val="both"/>
              <w:rPr>
                <w:rFonts w:ascii="Times New Roman" w:eastAsia="Times New Roman" w:hAnsi="Times New Roman" w:cs="Times New Roman"/>
                <w:iCs/>
                <w:sz w:val="24"/>
                <w:szCs w:val="24"/>
                <w:lang w:eastAsia="lv-LV"/>
              </w:rPr>
            </w:pPr>
            <w:r w:rsidRPr="00250C28">
              <w:rPr>
                <w:rFonts w:ascii="Times New Roman" w:eastAsia="Times New Roman" w:hAnsi="Times New Roman" w:cs="Times New Roman"/>
                <w:iCs/>
                <w:sz w:val="24"/>
                <w:szCs w:val="24"/>
                <w:lang w:eastAsia="lv-LV"/>
              </w:rPr>
              <w:t>Veidojot speciālu tiesu, tiek radīti visi nepieciešami priekšnosacījumi, lai tiesa varētu uzņemties vadošo lomu attiecībā uz procesa kvalitātes standartu noteikšanu un tādējādi ietekmēt arī izmeklēšanas un apsūdzības procesu kvalitāti.</w:t>
            </w:r>
          </w:p>
          <w:p w14:paraId="2E3AB1A3" w14:textId="581989B6" w:rsidR="00106594" w:rsidRDefault="00970003" w:rsidP="00384EDA">
            <w:pPr>
              <w:spacing w:after="0" w:line="240" w:lineRule="auto"/>
              <w:jc w:val="both"/>
              <w:rPr>
                <w:rFonts w:ascii="Times New Roman" w:eastAsia="Times New Roman" w:hAnsi="Times New Roman" w:cs="Times New Roman"/>
                <w:sz w:val="24"/>
                <w:szCs w:val="24"/>
                <w:lang w:eastAsia="lv-LV"/>
              </w:rPr>
            </w:pPr>
            <w:bookmarkStart w:id="7" w:name="_Hlk20127216"/>
            <w:r>
              <w:rPr>
                <w:rFonts w:ascii="Times New Roman" w:eastAsia="Times New Roman" w:hAnsi="Times New Roman" w:cs="Times New Roman"/>
                <w:sz w:val="24"/>
                <w:szCs w:val="24"/>
                <w:lang w:eastAsia="lv-LV"/>
              </w:rPr>
              <w:t xml:space="preserve">Norādāms, ka </w:t>
            </w:r>
            <w:r w:rsidRPr="00E2784F">
              <w:rPr>
                <w:rFonts w:ascii="Times New Roman" w:eastAsia="Times New Roman" w:hAnsi="Times New Roman" w:cs="Times New Roman"/>
                <w:sz w:val="24"/>
                <w:szCs w:val="24"/>
                <w:lang w:eastAsia="lv-LV"/>
              </w:rPr>
              <w:t xml:space="preserve">attiecībā uz likuma "Par tiesu varu" (ņemot vērā analoģiju saistībā ar Administratīvo rajonu tiesas izveidi) - likumā tikai atsevišķās vietās </w:t>
            </w:r>
            <w:r w:rsidR="007D31CC">
              <w:rPr>
                <w:rFonts w:ascii="Times New Roman" w:eastAsia="Times New Roman" w:hAnsi="Times New Roman" w:cs="Times New Roman"/>
                <w:sz w:val="24"/>
                <w:szCs w:val="24"/>
                <w:lang w:eastAsia="lv-LV"/>
              </w:rPr>
              <w:t>ir ietverta</w:t>
            </w:r>
            <w:r w:rsidRPr="00E2784F">
              <w:rPr>
                <w:rFonts w:ascii="Times New Roman" w:eastAsia="Times New Roman" w:hAnsi="Times New Roman" w:cs="Times New Roman"/>
                <w:sz w:val="24"/>
                <w:szCs w:val="24"/>
                <w:lang w:eastAsia="lv-LV"/>
              </w:rPr>
              <w:t xml:space="preserve"> atsauce uz specializēto </w:t>
            </w:r>
            <w:r w:rsidR="002F4EC5">
              <w:rPr>
                <w:rFonts w:ascii="Times New Roman" w:eastAsia="Times New Roman" w:hAnsi="Times New Roman" w:cs="Times New Roman"/>
                <w:sz w:val="24"/>
                <w:szCs w:val="24"/>
                <w:lang w:eastAsia="lv-LV"/>
              </w:rPr>
              <w:t>Ekonomisko lietu</w:t>
            </w:r>
            <w:r w:rsidR="007D31CC">
              <w:rPr>
                <w:rFonts w:ascii="Times New Roman" w:eastAsia="Times New Roman" w:hAnsi="Times New Roman" w:cs="Times New Roman"/>
                <w:sz w:val="24"/>
                <w:szCs w:val="24"/>
                <w:lang w:eastAsia="lv-LV"/>
              </w:rPr>
              <w:t xml:space="preserve"> </w:t>
            </w:r>
            <w:r w:rsidRPr="00E2784F">
              <w:rPr>
                <w:rFonts w:ascii="Times New Roman" w:eastAsia="Times New Roman" w:hAnsi="Times New Roman" w:cs="Times New Roman"/>
                <w:sz w:val="24"/>
                <w:szCs w:val="24"/>
                <w:lang w:eastAsia="lv-LV"/>
              </w:rPr>
              <w:t>tiesu. Līdz ar to</w:t>
            </w:r>
            <w:r w:rsidR="007D31CC">
              <w:rPr>
                <w:rFonts w:ascii="Times New Roman" w:eastAsia="Times New Roman" w:hAnsi="Times New Roman" w:cs="Times New Roman"/>
                <w:sz w:val="24"/>
                <w:szCs w:val="24"/>
                <w:lang w:eastAsia="lv-LV"/>
              </w:rPr>
              <w:t xml:space="preserve"> </w:t>
            </w:r>
            <w:r w:rsidRPr="00E2784F">
              <w:rPr>
                <w:rFonts w:ascii="Times New Roman" w:eastAsia="Times New Roman" w:hAnsi="Times New Roman" w:cs="Times New Roman"/>
                <w:sz w:val="24"/>
                <w:szCs w:val="24"/>
                <w:lang w:eastAsia="lv-LV"/>
              </w:rPr>
              <w:t xml:space="preserve">grozījumi nepieciešami tikai </w:t>
            </w:r>
            <w:r w:rsidRPr="00E2784F">
              <w:rPr>
                <w:rFonts w:ascii="Times New Roman" w:eastAsia="Times New Roman" w:hAnsi="Times New Roman" w:cs="Times New Roman"/>
                <w:sz w:val="24"/>
                <w:szCs w:val="24"/>
                <w:lang w:eastAsia="lv-LV"/>
              </w:rPr>
              <w:lastRenderedPageBreak/>
              <w:t xml:space="preserve">tajās panta vienībās, kurās ir šī atsauce. Kur šādas atsauces nav, jēdzienā "rajona (pilsētas) tiesa" ietilpst arī </w:t>
            </w:r>
            <w:r w:rsidR="002F4EC5">
              <w:rPr>
                <w:rFonts w:ascii="Times New Roman" w:eastAsia="Times New Roman" w:hAnsi="Times New Roman" w:cs="Times New Roman"/>
                <w:sz w:val="24"/>
                <w:szCs w:val="24"/>
                <w:lang w:eastAsia="lv-LV"/>
              </w:rPr>
              <w:t xml:space="preserve">specializētās tiesas (gan </w:t>
            </w:r>
            <w:r w:rsidRPr="00E2784F">
              <w:rPr>
                <w:rFonts w:ascii="Times New Roman" w:eastAsia="Times New Roman" w:hAnsi="Times New Roman" w:cs="Times New Roman"/>
                <w:sz w:val="24"/>
                <w:szCs w:val="24"/>
                <w:lang w:eastAsia="lv-LV"/>
              </w:rPr>
              <w:t>Administratīvā rajona tiesa</w:t>
            </w:r>
            <w:r w:rsidR="002F4EC5">
              <w:rPr>
                <w:rFonts w:ascii="Times New Roman" w:eastAsia="Times New Roman" w:hAnsi="Times New Roman" w:cs="Times New Roman"/>
                <w:sz w:val="24"/>
                <w:szCs w:val="24"/>
                <w:lang w:eastAsia="lv-LV"/>
              </w:rPr>
              <w:t>, gan</w:t>
            </w:r>
            <w:r w:rsidR="007D31CC">
              <w:rPr>
                <w:rFonts w:ascii="Times New Roman" w:eastAsia="Times New Roman" w:hAnsi="Times New Roman" w:cs="Times New Roman"/>
                <w:sz w:val="24"/>
                <w:szCs w:val="24"/>
                <w:lang w:eastAsia="lv-LV"/>
              </w:rPr>
              <w:t xml:space="preserve"> </w:t>
            </w:r>
            <w:r w:rsidRPr="00E2784F">
              <w:rPr>
                <w:rFonts w:ascii="Times New Roman" w:eastAsia="Times New Roman" w:hAnsi="Times New Roman" w:cs="Times New Roman"/>
                <w:sz w:val="24"/>
                <w:szCs w:val="24"/>
                <w:lang w:eastAsia="lv-LV"/>
              </w:rPr>
              <w:t>Ekonomisko lietu tiesa</w:t>
            </w:r>
            <w:r w:rsidR="002F4EC5">
              <w:rPr>
                <w:rFonts w:ascii="Times New Roman" w:eastAsia="Times New Roman" w:hAnsi="Times New Roman" w:cs="Times New Roman"/>
                <w:sz w:val="24"/>
                <w:szCs w:val="24"/>
                <w:lang w:eastAsia="lv-LV"/>
              </w:rPr>
              <w:t>)</w:t>
            </w:r>
            <w:r w:rsidRPr="00E2784F">
              <w:rPr>
                <w:rFonts w:ascii="Times New Roman" w:eastAsia="Times New Roman" w:hAnsi="Times New Roman" w:cs="Times New Roman"/>
                <w:sz w:val="24"/>
                <w:szCs w:val="24"/>
                <w:lang w:eastAsia="lv-LV"/>
              </w:rPr>
              <w:t xml:space="preserve">. </w:t>
            </w:r>
          </w:p>
          <w:p w14:paraId="3F735F36" w14:textId="2C1D05C0" w:rsidR="00106594" w:rsidRDefault="00106594" w:rsidP="00384EDA">
            <w:pPr>
              <w:spacing w:after="0" w:line="240" w:lineRule="auto"/>
              <w:jc w:val="both"/>
              <w:rPr>
                <w:rFonts w:ascii="Times New Roman" w:eastAsia="Times New Roman" w:hAnsi="Times New Roman" w:cs="Times New Roman"/>
                <w:sz w:val="24"/>
                <w:szCs w:val="24"/>
                <w:lang w:eastAsia="lv-LV"/>
              </w:rPr>
            </w:pPr>
            <w:r w:rsidRPr="00BF2B3F">
              <w:rPr>
                <w:rFonts w:ascii="Times New Roman" w:eastAsia="Times New Roman" w:hAnsi="Times New Roman" w:cs="Times New Roman"/>
                <w:sz w:val="24"/>
                <w:szCs w:val="24"/>
                <w:lang w:eastAsia="lv-LV"/>
              </w:rPr>
              <w:t xml:space="preserve">Likumā jēdziens "administratīvās rajona tiesas tiesnesis" izdalīts tikai saistībā ar šī tiesneša pārcelšanas kārtību uz vispārējās jurisdikcijas tiesas tiesneša amatu. </w:t>
            </w:r>
            <w:r>
              <w:rPr>
                <w:rFonts w:ascii="Times New Roman" w:eastAsia="Times New Roman" w:hAnsi="Times New Roman" w:cs="Times New Roman"/>
                <w:sz w:val="24"/>
                <w:szCs w:val="24"/>
                <w:lang w:eastAsia="lv-LV"/>
              </w:rPr>
              <w:t>Ņemot vērā Ekonomisko lietu tiesas specifisko kompetenci -</w:t>
            </w:r>
            <w:r w:rsidR="007D31C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attiecībā uz tiesneša pārcelšanu vakantajā tiesneša amatā ir izdarīti precizējoši grozījumi -</w:t>
            </w:r>
            <w:r w:rsidR="007D31CC">
              <w:rPr>
                <w:rFonts w:ascii="Times New Roman" w:eastAsia="Times New Roman" w:hAnsi="Times New Roman" w:cs="Times New Roman"/>
                <w:sz w:val="24"/>
                <w:szCs w:val="24"/>
                <w:lang w:eastAsia="lv-LV"/>
              </w:rPr>
              <w:t xml:space="preserve"> </w:t>
            </w:r>
            <w:proofErr w:type="gramStart"/>
            <w:r>
              <w:rPr>
                <w:rFonts w:ascii="Times New Roman" w:eastAsia="Times New Roman" w:hAnsi="Times New Roman" w:cs="Times New Roman"/>
                <w:sz w:val="24"/>
                <w:szCs w:val="24"/>
                <w:lang w:eastAsia="lv-LV"/>
              </w:rPr>
              <w:t>paredzot Tiesnešu kvalifikācijas kolēģijas kompetenci</w:t>
            </w:r>
            <w:proofErr w:type="gramEnd"/>
            <w:r>
              <w:rPr>
                <w:rFonts w:ascii="Times New Roman" w:eastAsia="Times New Roman" w:hAnsi="Times New Roman" w:cs="Times New Roman"/>
                <w:sz w:val="24"/>
                <w:szCs w:val="24"/>
                <w:lang w:eastAsia="lv-LV"/>
              </w:rPr>
              <w:t xml:space="preserve"> veikt </w:t>
            </w:r>
            <w:r w:rsidRPr="00D14A11">
              <w:rPr>
                <w:rFonts w:ascii="Times New Roman" w:eastAsia="Times New Roman" w:hAnsi="Times New Roman" w:cs="Times New Roman"/>
                <w:sz w:val="24"/>
                <w:szCs w:val="24"/>
                <w:lang w:eastAsia="lv-LV"/>
              </w:rPr>
              <w:t xml:space="preserve">tiesneša profesionālās darbības </w:t>
            </w:r>
            <w:r>
              <w:rPr>
                <w:rFonts w:ascii="Times New Roman" w:eastAsia="Times New Roman" w:hAnsi="Times New Roman" w:cs="Times New Roman"/>
                <w:sz w:val="24"/>
                <w:szCs w:val="24"/>
                <w:lang w:eastAsia="lv-LV"/>
              </w:rPr>
              <w:t xml:space="preserve">ārpuskārtas novērtēšanu gadījumos, kad rajona (pilsētas) tiesas tiesnesis vai Administratīvās rajona tiesas tiesnesis pieteicies uz tiesneša amata vakanci Ekonomisko lietu tiesā. Minētais attiecināms arī uz Ekonomisko lietu tiesas tiesnesi, ja tas pieteicies uz tiesneša amata vakanci rajona (pilsētas) tiesā, Administratīvajā rajona tiesā, apgabaltiesā vai Administratīvajā apgabaltiesā.  </w:t>
            </w:r>
          </w:p>
          <w:p w14:paraId="460AC501" w14:textId="212E8AD9" w:rsidR="00106594" w:rsidRDefault="00106594" w:rsidP="00384EDA">
            <w:pPr>
              <w:spacing w:after="0" w:line="240" w:lineRule="auto"/>
              <w:jc w:val="both"/>
              <w:rPr>
                <w:rFonts w:ascii="Times New Roman" w:eastAsia="Times New Roman" w:hAnsi="Times New Roman" w:cs="Times New Roman"/>
                <w:sz w:val="24"/>
                <w:szCs w:val="24"/>
                <w:lang w:eastAsia="lv-LV"/>
              </w:rPr>
            </w:pPr>
            <w:r w:rsidRPr="00676EB0">
              <w:rPr>
                <w:rFonts w:ascii="Times New Roman" w:eastAsia="Times New Roman" w:hAnsi="Times New Roman" w:cs="Times New Roman"/>
                <w:sz w:val="24"/>
                <w:szCs w:val="24"/>
                <w:lang w:eastAsia="lv-LV"/>
              </w:rPr>
              <w:t xml:space="preserve">Uz Ekonomisko lietu tiesu un šīs tiesas tiesnešiem pilnā mērā ir </w:t>
            </w:r>
            <w:proofErr w:type="gramStart"/>
            <w:r w:rsidRPr="00676EB0">
              <w:rPr>
                <w:rFonts w:ascii="Times New Roman" w:eastAsia="Times New Roman" w:hAnsi="Times New Roman" w:cs="Times New Roman"/>
                <w:sz w:val="24"/>
                <w:szCs w:val="24"/>
                <w:lang w:eastAsia="lv-LV"/>
              </w:rPr>
              <w:t>attiecināmas likumā "Par tiesu varu" noteikt</w:t>
            </w:r>
            <w:r>
              <w:rPr>
                <w:rFonts w:ascii="Times New Roman" w:eastAsia="Times New Roman" w:hAnsi="Times New Roman" w:cs="Times New Roman"/>
                <w:sz w:val="24"/>
                <w:szCs w:val="24"/>
                <w:lang w:eastAsia="lv-LV"/>
              </w:rPr>
              <w:t>ai</w:t>
            </w:r>
            <w:r w:rsidRPr="00676EB0">
              <w:rPr>
                <w:rFonts w:ascii="Times New Roman" w:eastAsia="Times New Roman" w:hAnsi="Times New Roman" w:cs="Times New Roman"/>
                <w:sz w:val="24"/>
                <w:szCs w:val="24"/>
                <w:lang w:eastAsia="lv-LV"/>
              </w:rPr>
              <w:t>s</w:t>
            </w:r>
            <w:r w:rsidR="007D31CC">
              <w:rPr>
                <w:rFonts w:ascii="Times New Roman" w:eastAsia="Times New Roman" w:hAnsi="Times New Roman" w:cs="Times New Roman"/>
                <w:sz w:val="24"/>
                <w:szCs w:val="24"/>
                <w:lang w:eastAsia="lv-LV"/>
              </w:rPr>
              <w:t xml:space="preserve"> attiecīgi</w:t>
            </w:r>
            <w:r w:rsidRPr="00676EB0">
              <w:rPr>
                <w:rFonts w:ascii="Times New Roman" w:eastAsia="Times New Roman" w:hAnsi="Times New Roman" w:cs="Times New Roman"/>
                <w:sz w:val="24"/>
                <w:szCs w:val="24"/>
                <w:lang w:eastAsia="lv-LV"/>
              </w:rPr>
              <w:t xml:space="preserve"> rajona (pilsētas) tiesas un rajona (pilsētas) tiesas tiesneša</w:t>
            </w:r>
            <w:r>
              <w:rPr>
                <w:rFonts w:ascii="Times New Roman" w:eastAsia="Times New Roman" w:hAnsi="Times New Roman" w:cs="Times New Roman"/>
                <w:sz w:val="24"/>
                <w:szCs w:val="24"/>
                <w:lang w:eastAsia="lv-LV"/>
              </w:rPr>
              <w:t xml:space="preserve"> tiesiskais ietvars</w:t>
            </w:r>
            <w:proofErr w:type="gramEnd"/>
            <w:r>
              <w:rPr>
                <w:rFonts w:ascii="Times New Roman" w:eastAsia="Times New Roman" w:hAnsi="Times New Roman" w:cs="Times New Roman"/>
                <w:sz w:val="24"/>
                <w:szCs w:val="24"/>
                <w:lang w:eastAsia="lv-LV"/>
              </w:rPr>
              <w:t>, tostarp, tiesības, pienākumi un garantijas.</w:t>
            </w:r>
          </w:p>
          <w:bookmarkEnd w:id="7"/>
          <w:p w14:paraId="44B327DC" w14:textId="77777777" w:rsidR="007D31CC" w:rsidRDefault="00106594" w:rsidP="003A572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Ekonomisko lietu tiesas izveide nerada ietekmi uz pārstāvju skaitu tiesnešu pašpārvaldes institūcijās – Tieslietu padomē, Tiesnešu ētikas komisijā, Tiesnešu konferencē un Tiesnešu kvalifikācijas kolēģijā. </w:t>
            </w:r>
            <w:r w:rsidR="00970003" w:rsidRPr="00BF2B3F">
              <w:rPr>
                <w:rFonts w:ascii="Times New Roman" w:eastAsia="Times New Roman" w:hAnsi="Times New Roman" w:cs="Times New Roman"/>
                <w:sz w:val="24"/>
                <w:szCs w:val="24"/>
                <w:lang w:eastAsia="lv-LV"/>
              </w:rPr>
              <w:t>Administratīvās rajona tiesas "pārstāvniecība" T</w:t>
            </w:r>
            <w:r w:rsidR="00970003">
              <w:rPr>
                <w:rFonts w:ascii="Times New Roman" w:eastAsia="Times New Roman" w:hAnsi="Times New Roman" w:cs="Times New Roman"/>
                <w:sz w:val="24"/>
                <w:szCs w:val="24"/>
                <w:lang w:eastAsia="lv-LV"/>
              </w:rPr>
              <w:t>ieslietu padomē</w:t>
            </w:r>
            <w:r w:rsidR="00970003" w:rsidRPr="00BF2B3F">
              <w:rPr>
                <w:rFonts w:ascii="Times New Roman" w:eastAsia="Times New Roman" w:hAnsi="Times New Roman" w:cs="Times New Roman"/>
                <w:sz w:val="24"/>
                <w:szCs w:val="24"/>
                <w:lang w:eastAsia="lv-LV"/>
              </w:rPr>
              <w:t xml:space="preserve">, Tiesnešu ētikas komisijas un Tiesnešu kvalifikācijas kolēģijā nav </w:t>
            </w:r>
            <w:r w:rsidR="002F4EC5">
              <w:rPr>
                <w:rFonts w:ascii="Times New Roman" w:eastAsia="Times New Roman" w:hAnsi="Times New Roman" w:cs="Times New Roman"/>
                <w:sz w:val="24"/>
                <w:szCs w:val="24"/>
                <w:lang w:eastAsia="lv-LV"/>
              </w:rPr>
              <w:t xml:space="preserve">īpaši </w:t>
            </w:r>
            <w:r w:rsidR="00970003" w:rsidRPr="00BF2B3F">
              <w:rPr>
                <w:rFonts w:ascii="Times New Roman" w:eastAsia="Times New Roman" w:hAnsi="Times New Roman" w:cs="Times New Roman"/>
                <w:sz w:val="24"/>
                <w:szCs w:val="24"/>
                <w:lang w:eastAsia="lv-LV"/>
              </w:rPr>
              <w:t>atrunāta</w:t>
            </w:r>
            <w:r w:rsidR="00970003">
              <w:rPr>
                <w:rFonts w:ascii="Times New Roman" w:eastAsia="Times New Roman" w:hAnsi="Times New Roman" w:cs="Times New Roman"/>
                <w:sz w:val="24"/>
                <w:szCs w:val="24"/>
                <w:lang w:eastAsia="lv-LV"/>
              </w:rPr>
              <w:t>, līdz ar to</w:t>
            </w:r>
            <w:r w:rsidR="00970003" w:rsidRPr="00BF2B3F">
              <w:rPr>
                <w:rFonts w:ascii="Times New Roman" w:eastAsia="Times New Roman" w:hAnsi="Times New Roman" w:cs="Times New Roman"/>
                <w:sz w:val="24"/>
                <w:szCs w:val="24"/>
                <w:lang w:eastAsia="lv-LV"/>
              </w:rPr>
              <w:t xml:space="preserve"> </w:t>
            </w:r>
            <w:r w:rsidR="00970003">
              <w:rPr>
                <w:rFonts w:ascii="Times New Roman" w:eastAsia="Times New Roman" w:hAnsi="Times New Roman" w:cs="Times New Roman"/>
                <w:sz w:val="24"/>
                <w:szCs w:val="24"/>
                <w:lang w:eastAsia="lv-LV"/>
              </w:rPr>
              <w:t>n</w:t>
            </w:r>
            <w:r w:rsidR="00970003" w:rsidRPr="00BF2B3F">
              <w:rPr>
                <w:rFonts w:ascii="Times New Roman" w:eastAsia="Times New Roman" w:hAnsi="Times New Roman" w:cs="Times New Roman"/>
                <w:sz w:val="24"/>
                <w:szCs w:val="24"/>
                <w:lang w:eastAsia="lv-LV"/>
              </w:rPr>
              <w:t>ebūtu atrunājama arī specializētās Ekonomisko lietu</w:t>
            </w:r>
            <w:r w:rsidR="00970003">
              <w:rPr>
                <w:rFonts w:ascii="Times New Roman" w:eastAsia="Times New Roman" w:hAnsi="Times New Roman" w:cs="Times New Roman"/>
                <w:sz w:val="24"/>
                <w:szCs w:val="24"/>
                <w:lang w:eastAsia="lv-LV"/>
              </w:rPr>
              <w:t xml:space="preserve"> tiesas</w:t>
            </w:r>
            <w:r w:rsidR="00970003" w:rsidRPr="00BF2B3F">
              <w:rPr>
                <w:rFonts w:ascii="Times New Roman" w:eastAsia="Times New Roman" w:hAnsi="Times New Roman" w:cs="Times New Roman"/>
                <w:sz w:val="24"/>
                <w:szCs w:val="24"/>
                <w:lang w:eastAsia="lv-LV"/>
              </w:rPr>
              <w:t xml:space="preserve"> pārstāvniecība. </w:t>
            </w:r>
          </w:p>
          <w:p w14:paraId="31BCB83E" w14:textId="702B3592" w:rsidR="003A5726" w:rsidRPr="003A5726" w:rsidRDefault="003A5726" w:rsidP="003A572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Nosakot Ekonomisko lietu tiesas atrašanās vietu</w:t>
            </w:r>
            <w:r w:rsidR="007073FE">
              <w:rPr>
                <w:rFonts w:ascii="Times New Roman" w:eastAsia="Times New Roman" w:hAnsi="Times New Roman" w:cs="Times New Roman"/>
                <w:sz w:val="24"/>
                <w:szCs w:val="24"/>
                <w:lang w:eastAsia="lv-LV"/>
              </w:rPr>
              <w:t xml:space="preserve">, ņemams vērā </w:t>
            </w:r>
            <w:r>
              <w:rPr>
                <w:rFonts w:ascii="Times New Roman" w:eastAsia="Times New Roman" w:hAnsi="Times New Roman" w:cs="Times New Roman"/>
                <w:sz w:val="24"/>
                <w:szCs w:val="24"/>
                <w:lang w:eastAsia="lv-LV"/>
              </w:rPr>
              <w:t>Ziņojumā norādītais, ka</w:t>
            </w:r>
            <w:r w:rsidRPr="003A5726">
              <w:rPr>
                <w:rFonts w:ascii="Times New Roman" w:eastAsia="Times New Roman" w:hAnsi="Times New Roman" w:cs="Times New Roman"/>
                <w:sz w:val="24"/>
                <w:szCs w:val="24"/>
                <w:lang w:eastAsia="lv-LV"/>
              </w:rPr>
              <w:t xml:space="preserve"> Rīgā ir koncentrēta lielākā daļa no visas Latvijas ekonomiskās aktivitātes. Attiecīgi Rīgas tiesu apgabalā tiek saņemta vairāk nekā puse no visām civillietām un nedaudz mazāk nekā puse no visām krimināllietām, kas piekritīgas Latvijas tiesām. Kopumā 51 % no visās Latvijas rajona (pilsētu) tiesās saņemtajām civillietām un krimināllietām ir piekritīgas rajona (pilsētu) tiesām</w:t>
            </w:r>
            <w:r w:rsidR="007D31CC" w:rsidRPr="003A5726">
              <w:rPr>
                <w:rFonts w:ascii="Times New Roman" w:eastAsia="Times New Roman" w:hAnsi="Times New Roman" w:cs="Times New Roman"/>
                <w:sz w:val="24"/>
                <w:szCs w:val="24"/>
                <w:lang w:eastAsia="lv-LV"/>
              </w:rPr>
              <w:t xml:space="preserve"> Rīgas tiesu apgabalā</w:t>
            </w:r>
            <w:r w:rsidRPr="003A5726">
              <w:rPr>
                <w:rFonts w:ascii="Times New Roman" w:eastAsia="Times New Roman" w:hAnsi="Times New Roman" w:cs="Times New Roman"/>
                <w:sz w:val="24"/>
                <w:szCs w:val="24"/>
                <w:lang w:eastAsia="lv-LV"/>
              </w:rPr>
              <w:t xml:space="preserve">. </w:t>
            </w:r>
            <w:r w:rsidR="00970003">
              <w:rPr>
                <w:rFonts w:ascii="Times New Roman" w:eastAsia="Times New Roman" w:hAnsi="Times New Roman" w:cs="Times New Roman"/>
                <w:sz w:val="24"/>
                <w:szCs w:val="24"/>
                <w:lang w:eastAsia="lv-LV"/>
              </w:rPr>
              <w:t>S</w:t>
            </w:r>
            <w:r w:rsidRPr="003A5726">
              <w:rPr>
                <w:rFonts w:ascii="Times New Roman" w:eastAsia="Times New Roman" w:hAnsi="Times New Roman" w:cs="Times New Roman"/>
                <w:sz w:val="24"/>
                <w:szCs w:val="24"/>
                <w:lang w:eastAsia="lv-LV"/>
              </w:rPr>
              <w:t>pecializētā pirmās instances tiesa būtu veidojama tieši galvaspilsētā</w:t>
            </w:r>
            <w:r w:rsidR="00970003">
              <w:rPr>
                <w:rFonts w:ascii="Times New Roman" w:eastAsia="Times New Roman" w:hAnsi="Times New Roman" w:cs="Times New Roman"/>
                <w:sz w:val="24"/>
                <w:szCs w:val="24"/>
                <w:lang w:eastAsia="lv-LV"/>
              </w:rPr>
              <w:t xml:space="preserve"> (</w:t>
            </w:r>
            <w:r w:rsidR="00970003" w:rsidRPr="00970003">
              <w:rPr>
                <w:rFonts w:ascii="Times New Roman" w:eastAsia="Times New Roman" w:hAnsi="Times New Roman" w:cs="Times New Roman"/>
                <w:sz w:val="24"/>
                <w:szCs w:val="24"/>
                <w:lang w:eastAsia="lv-LV"/>
              </w:rPr>
              <w:t>patstāvīga rajona (pilsētas) tiesas instance</w:t>
            </w:r>
            <w:r w:rsidR="00970003">
              <w:rPr>
                <w:rFonts w:ascii="Times New Roman" w:eastAsia="Times New Roman" w:hAnsi="Times New Roman" w:cs="Times New Roman"/>
                <w:sz w:val="24"/>
                <w:szCs w:val="24"/>
                <w:lang w:eastAsia="lv-LV"/>
              </w:rPr>
              <w:t>)</w:t>
            </w:r>
            <w:r w:rsidRPr="003A5726">
              <w:rPr>
                <w:rFonts w:ascii="Times New Roman" w:eastAsia="Times New Roman" w:hAnsi="Times New Roman" w:cs="Times New Roman"/>
                <w:sz w:val="24"/>
                <w:szCs w:val="24"/>
                <w:lang w:eastAsia="lv-LV"/>
              </w:rPr>
              <w:t xml:space="preserve">. Savukārt apelācijas instances funkcijas veiktu specializēta kolēģija Rīgas apgabaltiesas sastāvā. </w:t>
            </w:r>
          </w:p>
          <w:p w14:paraId="73FCC1E9" w14:textId="2BDD51AA" w:rsidR="003A5726" w:rsidRDefault="00AC637A" w:rsidP="00384EDA">
            <w:pPr>
              <w:spacing w:after="0" w:line="240" w:lineRule="auto"/>
              <w:jc w:val="both"/>
              <w:rPr>
                <w:rFonts w:ascii="Times New Roman" w:eastAsia="Times New Roman" w:hAnsi="Times New Roman" w:cs="Times New Roman"/>
                <w:sz w:val="24"/>
                <w:szCs w:val="24"/>
                <w:lang w:eastAsia="lv-LV"/>
              </w:rPr>
            </w:pPr>
            <w:proofErr w:type="gramStart"/>
            <w:r>
              <w:rPr>
                <w:rFonts w:ascii="Times New Roman" w:eastAsia="Times New Roman" w:hAnsi="Times New Roman" w:cs="Times New Roman"/>
                <w:sz w:val="24"/>
                <w:szCs w:val="24"/>
                <w:lang w:eastAsia="lv-LV"/>
              </w:rPr>
              <w:t xml:space="preserve">Savukārt nosakot </w:t>
            </w:r>
            <w:r w:rsidR="007073FE">
              <w:rPr>
                <w:rFonts w:ascii="Times New Roman" w:eastAsia="Times New Roman" w:hAnsi="Times New Roman" w:cs="Times New Roman"/>
                <w:sz w:val="24"/>
                <w:szCs w:val="24"/>
                <w:lang w:eastAsia="lv-LV"/>
              </w:rPr>
              <w:t xml:space="preserve">tiesnešu skaitu </w:t>
            </w:r>
            <w:r>
              <w:rPr>
                <w:rFonts w:ascii="Times New Roman" w:eastAsia="Times New Roman" w:hAnsi="Times New Roman" w:cs="Times New Roman"/>
                <w:sz w:val="24"/>
                <w:szCs w:val="24"/>
                <w:lang w:eastAsia="lv-LV"/>
              </w:rPr>
              <w:t>Ekonomisko</w:t>
            </w:r>
            <w:proofErr w:type="gramEnd"/>
            <w:r>
              <w:rPr>
                <w:rFonts w:ascii="Times New Roman" w:eastAsia="Times New Roman" w:hAnsi="Times New Roman" w:cs="Times New Roman"/>
                <w:sz w:val="24"/>
                <w:szCs w:val="24"/>
                <w:lang w:eastAsia="lv-LV"/>
              </w:rPr>
              <w:t xml:space="preserve"> lietu ties</w:t>
            </w:r>
            <w:r w:rsidR="007073FE">
              <w:rPr>
                <w:rFonts w:ascii="Times New Roman" w:eastAsia="Times New Roman" w:hAnsi="Times New Roman" w:cs="Times New Roman"/>
                <w:sz w:val="24"/>
                <w:szCs w:val="24"/>
                <w:lang w:eastAsia="lv-LV"/>
              </w:rPr>
              <w:t xml:space="preserve">ā, ņemams vērā </w:t>
            </w:r>
            <w:r>
              <w:rPr>
                <w:rFonts w:ascii="Times New Roman" w:eastAsia="Times New Roman" w:hAnsi="Times New Roman" w:cs="Times New Roman"/>
                <w:sz w:val="24"/>
                <w:szCs w:val="24"/>
                <w:lang w:eastAsia="lv-LV"/>
              </w:rPr>
              <w:t>Ziņojumā norādītais, ka, m</w:t>
            </w:r>
            <w:r w:rsidRPr="00AC637A">
              <w:rPr>
                <w:rFonts w:ascii="Times New Roman" w:eastAsia="Times New Roman" w:hAnsi="Times New Roman" w:cs="Times New Roman"/>
                <w:sz w:val="24"/>
                <w:szCs w:val="24"/>
                <w:lang w:eastAsia="lv-LV"/>
              </w:rPr>
              <w:t xml:space="preserve">odelējot noslodzi pēc iegūtajiem datiem, kā arī ņemot vērā specializācijas tvērumā ietverto lietu specifiku secināms, ka provizoriski pirmajā instancē būtu jābūt 10 tiesnešiem, kuru kompetencē būtu specializēto </w:t>
            </w:r>
            <w:r w:rsidRPr="00676EB0">
              <w:rPr>
                <w:rFonts w:ascii="Times New Roman" w:eastAsia="Times New Roman" w:hAnsi="Times New Roman" w:cs="Times New Roman"/>
                <w:sz w:val="24"/>
                <w:szCs w:val="24"/>
                <w:lang w:eastAsia="lv-LV"/>
              </w:rPr>
              <w:t xml:space="preserve">lietu izskatīšana. Savukārt apelācijas instancē papildus būtu nepieciešami 4 tiesneši. </w:t>
            </w:r>
          </w:p>
          <w:p w14:paraId="0BB71A7C" w14:textId="66C4DE5C" w:rsidR="00676EB0" w:rsidRPr="00676EB0" w:rsidRDefault="0070102C" w:rsidP="005E5384">
            <w:pPr>
              <w:spacing w:line="240" w:lineRule="auto"/>
              <w:jc w:val="both"/>
              <w:rPr>
                <w:rFonts w:ascii="Times New Roman" w:hAnsi="Times New Roman" w:cs="Times New Roman"/>
                <w:sz w:val="24"/>
                <w:szCs w:val="24"/>
              </w:rPr>
            </w:pPr>
            <w:r w:rsidRPr="0070102C">
              <w:rPr>
                <w:rFonts w:ascii="Times New Roman" w:hAnsi="Times New Roman" w:cs="Times New Roman"/>
                <w:sz w:val="24"/>
                <w:szCs w:val="24"/>
              </w:rPr>
              <w:t xml:space="preserve">Jānorāda, ka minētais tiesnešu skaits ir pietiekams, lai nodrošinātu lietu sadali pēc nejaušības principa. Turklāt attiecībā uz Ekonomisko lietu tiesu darbosies visi tie paši </w:t>
            </w:r>
            <w:r w:rsidRPr="0070102C">
              <w:rPr>
                <w:rFonts w:ascii="Times New Roman" w:hAnsi="Times New Roman" w:cs="Times New Roman"/>
                <w:sz w:val="24"/>
                <w:szCs w:val="24"/>
              </w:rPr>
              <w:lastRenderedPageBreak/>
              <w:t>tiesneša darba un rīcības uzraudzības mehānismi, kas citās tiesās. Bažas par korupciju tiesā rada nesaprotami un nepamatoti tiesas nolēmumi, tiesas procedūru pārkāpumi, tajā skaitā apieta lietu nejaušās sadales sistēma, nevis tiesnešu skaits pats par sevi.</w:t>
            </w:r>
            <w:r w:rsidR="005E5384">
              <w:rPr>
                <w:rFonts w:ascii="Times New Roman" w:eastAsia="Times New Roman" w:hAnsi="Times New Roman" w:cs="Times New Roman"/>
                <w:sz w:val="24"/>
                <w:szCs w:val="24"/>
                <w:lang w:eastAsia="lv-LV"/>
              </w:rPr>
              <w:t xml:space="preserve"> </w:t>
            </w:r>
            <w:r w:rsidR="008D5E8D" w:rsidRPr="008E54F9">
              <w:rPr>
                <w:rFonts w:ascii="Times New Roman" w:eastAsia="Times New Roman" w:hAnsi="Times New Roman" w:cs="Times New Roman"/>
                <w:sz w:val="24"/>
                <w:szCs w:val="24"/>
                <w:lang w:eastAsia="lv-LV"/>
              </w:rPr>
              <w:t>Ekonomisko lietu tiesa kā</w:t>
            </w:r>
            <w:r w:rsidR="00CC289D" w:rsidRPr="008E54F9">
              <w:rPr>
                <w:rFonts w:ascii="Times New Roman" w:eastAsia="Times New Roman" w:hAnsi="Times New Roman" w:cs="Times New Roman"/>
                <w:sz w:val="24"/>
                <w:szCs w:val="24"/>
                <w:lang w:eastAsia="lv-LV"/>
              </w:rPr>
              <w:t xml:space="preserve"> specializēta</w:t>
            </w:r>
            <w:r w:rsidR="008D5E8D" w:rsidRPr="00B204BD">
              <w:rPr>
                <w:rFonts w:ascii="Times New Roman" w:eastAsia="Times New Roman" w:hAnsi="Times New Roman" w:cs="Times New Roman"/>
                <w:sz w:val="24"/>
                <w:szCs w:val="24"/>
                <w:lang w:eastAsia="lv-LV"/>
              </w:rPr>
              <w:t xml:space="preserve"> rajona </w:t>
            </w:r>
            <w:r w:rsidR="008D5E8D" w:rsidRPr="00251998">
              <w:rPr>
                <w:rFonts w:ascii="Times New Roman" w:eastAsia="Times New Roman" w:hAnsi="Times New Roman" w:cs="Times New Roman"/>
                <w:sz w:val="24"/>
                <w:szCs w:val="24"/>
                <w:lang w:eastAsia="lv-LV"/>
              </w:rPr>
              <w:t xml:space="preserve">(pilsētas) tiesa </w:t>
            </w:r>
            <w:r w:rsidR="008D5E8D" w:rsidRPr="00676EB0">
              <w:rPr>
                <w:rFonts w:ascii="Times New Roman" w:eastAsia="Times New Roman" w:hAnsi="Times New Roman" w:cs="Times New Roman"/>
                <w:sz w:val="24"/>
                <w:szCs w:val="24"/>
                <w:lang w:eastAsia="lv-LV"/>
              </w:rPr>
              <w:t xml:space="preserve">izskatīs noteikta rakstura </w:t>
            </w:r>
            <w:proofErr w:type="spellStart"/>
            <w:r w:rsidR="008D5E8D" w:rsidRPr="00676EB0">
              <w:rPr>
                <w:rFonts w:ascii="Times New Roman" w:eastAsia="Times New Roman" w:hAnsi="Times New Roman" w:cs="Times New Roman"/>
                <w:sz w:val="24"/>
                <w:szCs w:val="24"/>
                <w:lang w:eastAsia="lv-LV"/>
              </w:rPr>
              <w:t>komercstrīdus</w:t>
            </w:r>
            <w:proofErr w:type="spellEnd"/>
            <w:r w:rsidR="008D5E8D" w:rsidRPr="00676EB0">
              <w:rPr>
                <w:rFonts w:ascii="Times New Roman" w:eastAsia="Times New Roman" w:hAnsi="Times New Roman" w:cs="Times New Roman"/>
                <w:sz w:val="24"/>
                <w:szCs w:val="24"/>
                <w:lang w:eastAsia="lv-LV"/>
              </w:rPr>
              <w:t>, ekonomisko un finanšu noziegumus, kā arī korupcijas liet</w:t>
            </w:r>
            <w:r w:rsidR="00CC289D" w:rsidRPr="00676EB0">
              <w:rPr>
                <w:rFonts w:ascii="Times New Roman" w:eastAsia="Times New Roman" w:hAnsi="Times New Roman" w:cs="Times New Roman"/>
                <w:sz w:val="24"/>
                <w:szCs w:val="24"/>
                <w:lang w:eastAsia="lv-LV"/>
              </w:rPr>
              <w:t>as</w:t>
            </w:r>
            <w:r w:rsidR="008D5E8D" w:rsidRPr="00676EB0">
              <w:rPr>
                <w:rFonts w:ascii="Times New Roman" w:eastAsia="Times New Roman" w:hAnsi="Times New Roman" w:cs="Times New Roman"/>
                <w:sz w:val="24"/>
                <w:szCs w:val="24"/>
                <w:lang w:eastAsia="lv-LV"/>
              </w:rPr>
              <w:t>.</w:t>
            </w:r>
            <w:r w:rsidR="0044330D" w:rsidRPr="00676EB0">
              <w:rPr>
                <w:rFonts w:ascii="Times New Roman" w:hAnsi="Times New Roman" w:cs="Times New Roman"/>
                <w:sz w:val="24"/>
                <w:szCs w:val="24"/>
              </w:rPr>
              <w:t xml:space="preserve"> </w:t>
            </w:r>
            <w:r w:rsidR="00676EB0">
              <w:rPr>
                <w:rFonts w:ascii="Times New Roman" w:hAnsi="Times New Roman" w:cs="Times New Roman"/>
                <w:sz w:val="24"/>
                <w:szCs w:val="24"/>
              </w:rPr>
              <w:t xml:space="preserve">Ziņojumā ietvertais Ekonomisko lietu tiesas kompetences </w:t>
            </w:r>
            <w:r w:rsidR="00676EB0" w:rsidRPr="00676EB0">
              <w:rPr>
                <w:rFonts w:ascii="Times New Roman" w:hAnsi="Times New Roman" w:cs="Times New Roman"/>
                <w:sz w:val="24"/>
                <w:szCs w:val="24"/>
              </w:rPr>
              <w:t>uzskaitījums ietverts nolūkā aprakstīt indikatīvu specializētās tiesas kompetences tvērumu, nevis definēt lietu piekritību. Lietu piekritība, tajā skaitā, tās nošķiršanā izmantotie kritēriji (likuma vai likuma regulējuma joma, prasības summas apmērs) tiks definēti risinājuma ieviešanai nepieciešamo</w:t>
            </w:r>
            <w:r w:rsidR="007D31CC">
              <w:rPr>
                <w:rFonts w:ascii="Times New Roman" w:hAnsi="Times New Roman" w:cs="Times New Roman"/>
                <w:sz w:val="24"/>
                <w:szCs w:val="24"/>
              </w:rPr>
              <w:t xml:space="preserve"> procesuālo</w:t>
            </w:r>
            <w:r w:rsidR="00676EB0" w:rsidRPr="00676EB0">
              <w:rPr>
                <w:rFonts w:ascii="Times New Roman" w:hAnsi="Times New Roman" w:cs="Times New Roman"/>
                <w:sz w:val="24"/>
                <w:szCs w:val="24"/>
              </w:rPr>
              <w:t xml:space="preserve"> likumprojektu izstrādes procesā. Jāatzīmē, ka, nosakot specializētās tiesas kompetences tvērumu, tā sākotnēji tiks noteikta tādās jomās, kas prasa tūlītēju risinājumu. </w:t>
            </w:r>
            <w:r>
              <w:rPr>
                <w:rFonts w:ascii="Times New Roman" w:hAnsi="Times New Roman" w:cs="Times New Roman"/>
                <w:sz w:val="24"/>
                <w:szCs w:val="24"/>
              </w:rPr>
              <w:t xml:space="preserve">Proti, tiek paredzēta </w:t>
            </w:r>
            <w:r w:rsidRPr="0070102C">
              <w:rPr>
                <w:rFonts w:ascii="Times New Roman" w:hAnsi="Times New Roman" w:cs="Times New Roman"/>
                <w:sz w:val="24"/>
                <w:szCs w:val="24"/>
              </w:rPr>
              <w:t>pārdomāta, piesardzīga un pakāpeniska pieeja attiecībā uz tiesas kompetences noteikšanu un noslodzes veidošanu, lai izvairītos no lietu sastrēguma pirmajos darbības gados</w:t>
            </w:r>
            <w:r w:rsidRPr="00B00459">
              <w:rPr>
                <w:rFonts w:ascii="Times New Roman" w:hAnsi="Times New Roman" w:cs="Times New Roman"/>
                <w:sz w:val="26"/>
                <w:szCs w:val="26"/>
              </w:rPr>
              <w:t>.</w:t>
            </w:r>
            <w:r>
              <w:rPr>
                <w:rFonts w:ascii="Times New Roman" w:hAnsi="Times New Roman" w:cs="Times New Roman"/>
                <w:sz w:val="26"/>
                <w:szCs w:val="26"/>
              </w:rPr>
              <w:t xml:space="preserve"> </w:t>
            </w:r>
            <w:r w:rsidR="00676EB0" w:rsidRPr="00676EB0">
              <w:rPr>
                <w:rFonts w:ascii="Times New Roman" w:hAnsi="Times New Roman" w:cs="Times New Roman"/>
                <w:sz w:val="24"/>
                <w:szCs w:val="24"/>
              </w:rPr>
              <w:t>Turpmāk</w:t>
            </w:r>
            <w:r w:rsidR="007D31CC">
              <w:rPr>
                <w:rFonts w:ascii="Times New Roman" w:hAnsi="Times New Roman" w:cs="Times New Roman"/>
                <w:sz w:val="24"/>
                <w:szCs w:val="24"/>
              </w:rPr>
              <w:t>as</w:t>
            </w:r>
            <w:r w:rsidR="00676EB0" w:rsidRPr="00676EB0">
              <w:rPr>
                <w:rFonts w:ascii="Times New Roman" w:hAnsi="Times New Roman" w:cs="Times New Roman"/>
                <w:sz w:val="24"/>
                <w:szCs w:val="24"/>
              </w:rPr>
              <w:t xml:space="preserve"> kompetences tvēruma definēšanā būs ņemama vērā gan tiesas kapacitāte, gan lietu atbilstība specializācijas tvērumam. </w:t>
            </w:r>
          </w:p>
          <w:p w14:paraId="3C5CB1F4" w14:textId="4FBFCA0C" w:rsidR="0044330D" w:rsidRPr="00676EB0" w:rsidRDefault="0044330D" w:rsidP="00AC637A">
            <w:pPr>
              <w:spacing w:after="0" w:line="240" w:lineRule="auto"/>
              <w:jc w:val="both"/>
              <w:rPr>
                <w:rFonts w:ascii="Times New Roman" w:eastAsia="Times New Roman" w:hAnsi="Times New Roman" w:cs="Times New Roman"/>
                <w:sz w:val="24"/>
                <w:szCs w:val="24"/>
                <w:lang w:eastAsia="lv-LV"/>
              </w:rPr>
            </w:pPr>
            <w:r w:rsidRPr="00676EB0">
              <w:rPr>
                <w:rFonts w:ascii="Times New Roman" w:hAnsi="Times New Roman" w:cs="Times New Roman"/>
                <w:sz w:val="24"/>
                <w:szCs w:val="24"/>
              </w:rPr>
              <w:t>S</w:t>
            </w:r>
            <w:r w:rsidRPr="00676EB0">
              <w:rPr>
                <w:rFonts w:ascii="Times New Roman" w:eastAsia="Times New Roman" w:hAnsi="Times New Roman" w:cs="Times New Roman"/>
                <w:sz w:val="24"/>
                <w:szCs w:val="24"/>
                <w:lang w:eastAsia="lv-LV"/>
              </w:rPr>
              <w:t>pecializētās tiesas darba uzsākšanai veicamos pasākumus iespējams nodrošināt</w:t>
            </w:r>
            <w:proofErr w:type="gramStart"/>
            <w:r w:rsidRPr="00676EB0">
              <w:rPr>
                <w:rFonts w:ascii="Times New Roman" w:eastAsia="Times New Roman" w:hAnsi="Times New Roman" w:cs="Times New Roman"/>
                <w:sz w:val="24"/>
                <w:szCs w:val="24"/>
                <w:lang w:eastAsia="lv-LV"/>
              </w:rPr>
              <w:t xml:space="preserve"> un</w:t>
            </w:r>
            <w:proofErr w:type="gramEnd"/>
            <w:r w:rsidRPr="00676EB0">
              <w:rPr>
                <w:rFonts w:ascii="Times New Roman" w:eastAsia="Times New Roman" w:hAnsi="Times New Roman" w:cs="Times New Roman"/>
                <w:sz w:val="24"/>
                <w:szCs w:val="24"/>
                <w:lang w:eastAsia="lv-LV"/>
              </w:rPr>
              <w:t xml:space="preserve"> specializētā tiesa darbu uzsāks ar 2021. gada 1. janvāri. Specializētās tiesas izveidē tiks efektīvi izmantoti jau pieejamie tiesu finanšu resursi, no valsts budžeta veicot tikai atsevišķus papildu ieguldījumus tiesas darba nodrošināšanai.</w:t>
            </w:r>
          </w:p>
          <w:p w14:paraId="30C06537" w14:textId="3D73CB74" w:rsidR="00D14A11" w:rsidRPr="00BC2633" w:rsidRDefault="00D14A11" w:rsidP="002379E2">
            <w:pPr>
              <w:spacing w:after="0" w:line="240" w:lineRule="auto"/>
              <w:jc w:val="both"/>
              <w:rPr>
                <w:rFonts w:ascii="Times New Roman" w:eastAsia="Times New Roman" w:hAnsi="Times New Roman" w:cs="Times New Roman"/>
                <w:sz w:val="24"/>
                <w:szCs w:val="24"/>
                <w:lang w:eastAsia="lv-LV"/>
              </w:rPr>
            </w:pPr>
          </w:p>
        </w:tc>
      </w:tr>
      <w:tr w:rsidR="00DA326E" w:rsidRPr="00BC2633" w14:paraId="1AA028D9" w14:textId="77777777" w:rsidTr="00F41EF2">
        <w:trPr>
          <w:gridBefore w:val="1"/>
          <w:gridAfter w:val="2"/>
          <w:wBefore w:w="15" w:type="pct"/>
          <w:wAfter w:w="58" w:type="pct"/>
          <w:trHeight w:val="465"/>
        </w:trPr>
        <w:tc>
          <w:tcPr>
            <w:tcW w:w="192" w:type="pct"/>
            <w:tcBorders>
              <w:top w:val="outset" w:sz="6" w:space="0" w:color="414142"/>
              <w:left w:val="outset" w:sz="6" w:space="0" w:color="414142"/>
              <w:bottom w:val="outset" w:sz="6" w:space="0" w:color="414142"/>
              <w:right w:val="outset" w:sz="6" w:space="0" w:color="414142"/>
            </w:tcBorders>
            <w:hideMark/>
          </w:tcPr>
          <w:p w14:paraId="3D285142"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3.</w:t>
            </w:r>
          </w:p>
        </w:tc>
        <w:tc>
          <w:tcPr>
            <w:tcW w:w="1528" w:type="pct"/>
            <w:gridSpan w:val="2"/>
            <w:tcBorders>
              <w:top w:val="outset" w:sz="6" w:space="0" w:color="414142"/>
              <w:left w:val="outset" w:sz="6" w:space="0" w:color="414142"/>
              <w:bottom w:val="outset" w:sz="6" w:space="0" w:color="414142"/>
              <w:right w:val="outset" w:sz="6" w:space="0" w:color="414142"/>
            </w:tcBorders>
            <w:hideMark/>
          </w:tcPr>
          <w:p w14:paraId="4EC22A37" w14:textId="51CE741F"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izstrādē iesaistītās institūcijas</w:t>
            </w:r>
            <w:r w:rsidR="00A1552F">
              <w:rPr>
                <w:rFonts w:ascii="Times New Roman" w:eastAsia="Times New Roman" w:hAnsi="Times New Roman" w:cs="Times New Roman"/>
                <w:sz w:val="24"/>
                <w:szCs w:val="24"/>
                <w:lang w:eastAsia="lv-LV"/>
              </w:rPr>
              <w:t xml:space="preserve"> </w:t>
            </w:r>
            <w:r w:rsidR="00A1552F" w:rsidRPr="00A1552F">
              <w:rPr>
                <w:rFonts w:ascii="Times New Roman" w:eastAsia="Times New Roman" w:hAnsi="Times New Roman" w:cs="Times New Roman"/>
                <w:sz w:val="24"/>
                <w:szCs w:val="24"/>
                <w:lang w:eastAsia="lv-LV"/>
              </w:rPr>
              <w:t>un publiskas personas kapitālsabiedrības</w:t>
            </w:r>
          </w:p>
        </w:tc>
        <w:tc>
          <w:tcPr>
            <w:tcW w:w="3207" w:type="pct"/>
            <w:gridSpan w:val="6"/>
            <w:tcBorders>
              <w:top w:val="outset" w:sz="6" w:space="0" w:color="414142"/>
              <w:left w:val="outset" w:sz="6" w:space="0" w:color="414142"/>
              <w:bottom w:val="outset" w:sz="6" w:space="0" w:color="414142"/>
              <w:right w:val="outset" w:sz="6" w:space="0" w:color="414142"/>
            </w:tcBorders>
          </w:tcPr>
          <w:p w14:paraId="09DA66A3" w14:textId="50B46673" w:rsidR="009A5E0F" w:rsidRPr="00BC2633" w:rsidRDefault="00305EC9" w:rsidP="0000280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Projekts šo jomu neskar. </w:t>
            </w:r>
          </w:p>
        </w:tc>
      </w:tr>
      <w:tr w:rsidR="00DA326E" w:rsidRPr="00BC2633" w14:paraId="4416C82A" w14:textId="77777777" w:rsidTr="00F41EF2">
        <w:trPr>
          <w:gridBefore w:val="1"/>
          <w:gridAfter w:val="2"/>
          <w:wBefore w:w="15" w:type="pct"/>
          <w:wAfter w:w="58" w:type="pct"/>
        </w:trPr>
        <w:tc>
          <w:tcPr>
            <w:tcW w:w="192" w:type="pct"/>
            <w:tcBorders>
              <w:top w:val="outset" w:sz="6" w:space="0" w:color="414142"/>
              <w:left w:val="outset" w:sz="6" w:space="0" w:color="414142"/>
              <w:bottom w:val="outset" w:sz="6" w:space="0" w:color="414142"/>
              <w:right w:val="outset" w:sz="6" w:space="0" w:color="414142"/>
            </w:tcBorders>
            <w:hideMark/>
          </w:tcPr>
          <w:p w14:paraId="0D4BD81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528" w:type="pct"/>
            <w:gridSpan w:val="2"/>
            <w:tcBorders>
              <w:top w:val="outset" w:sz="6" w:space="0" w:color="414142"/>
              <w:left w:val="outset" w:sz="6" w:space="0" w:color="414142"/>
              <w:bottom w:val="outset" w:sz="6" w:space="0" w:color="414142"/>
              <w:right w:val="outset" w:sz="6" w:space="0" w:color="414142"/>
            </w:tcBorders>
            <w:hideMark/>
          </w:tcPr>
          <w:p w14:paraId="31AC9F6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207" w:type="pct"/>
            <w:gridSpan w:val="6"/>
            <w:tcBorders>
              <w:top w:val="outset" w:sz="6" w:space="0" w:color="414142"/>
              <w:left w:val="outset" w:sz="6" w:space="0" w:color="414142"/>
              <w:bottom w:val="outset" w:sz="6" w:space="0" w:color="414142"/>
              <w:right w:val="outset" w:sz="6" w:space="0" w:color="414142"/>
            </w:tcBorders>
            <w:hideMark/>
          </w:tcPr>
          <w:p w14:paraId="1BE1B69F" w14:textId="77777777" w:rsidR="00633CB1" w:rsidRPr="00523451" w:rsidRDefault="009F138F" w:rsidP="00633CB1">
            <w:pPr>
              <w:spacing w:after="0" w:line="240" w:lineRule="auto"/>
              <w:jc w:val="both"/>
              <w:rPr>
                <w:rFonts w:ascii="Times New Roman" w:eastAsia="Times New Roman" w:hAnsi="Times New Roman" w:cs="Times New Roman"/>
                <w:iCs/>
                <w:sz w:val="24"/>
                <w:szCs w:val="24"/>
                <w:lang w:eastAsia="lv-LV"/>
              </w:rPr>
            </w:pPr>
            <w:r w:rsidRPr="005E5384">
              <w:rPr>
                <w:rFonts w:ascii="Times New Roman" w:eastAsia="Times New Roman" w:hAnsi="Times New Roman" w:cs="Times New Roman"/>
                <w:iCs/>
                <w:sz w:val="24"/>
                <w:szCs w:val="24"/>
                <w:lang w:eastAsia="lv-LV"/>
              </w:rPr>
              <w:t>Ziņojuma izstrādē, kā rezultātā izstrādāts Likumprojekts, ņemti vērā starptautiski</w:t>
            </w:r>
            <w:r w:rsidR="007D31CC" w:rsidRPr="005E5384">
              <w:rPr>
                <w:rFonts w:ascii="Times New Roman" w:eastAsia="Times New Roman" w:hAnsi="Times New Roman" w:cs="Times New Roman"/>
                <w:iCs/>
                <w:sz w:val="24"/>
                <w:szCs w:val="24"/>
                <w:lang w:eastAsia="lv-LV"/>
              </w:rPr>
              <w:t>e</w:t>
            </w:r>
            <w:r w:rsidRPr="005E5384">
              <w:rPr>
                <w:rFonts w:ascii="Times New Roman" w:eastAsia="Times New Roman" w:hAnsi="Times New Roman" w:cs="Times New Roman"/>
                <w:iCs/>
                <w:sz w:val="24"/>
                <w:szCs w:val="24"/>
                <w:lang w:eastAsia="lv-LV"/>
              </w:rPr>
              <w:t xml:space="preserve"> un nacionā</w:t>
            </w:r>
            <w:r w:rsidR="00CC289D" w:rsidRPr="005E5384">
              <w:rPr>
                <w:rFonts w:ascii="Times New Roman" w:eastAsia="Times New Roman" w:hAnsi="Times New Roman" w:cs="Times New Roman"/>
                <w:iCs/>
                <w:sz w:val="24"/>
                <w:szCs w:val="24"/>
                <w:lang w:eastAsia="lv-LV"/>
              </w:rPr>
              <w:t>li</w:t>
            </w:r>
            <w:r w:rsidR="007D31CC" w:rsidRPr="005E5384">
              <w:rPr>
                <w:rFonts w:ascii="Times New Roman" w:eastAsia="Times New Roman" w:hAnsi="Times New Roman" w:cs="Times New Roman"/>
                <w:iCs/>
                <w:sz w:val="24"/>
                <w:szCs w:val="24"/>
                <w:lang w:eastAsia="lv-LV"/>
              </w:rPr>
              <w:t>e</w:t>
            </w:r>
            <w:r w:rsidRPr="005E5384">
              <w:rPr>
                <w:rFonts w:ascii="Times New Roman" w:eastAsia="Times New Roman" w:hAnsi="Times New Roman" w:cs="Times New Roman"/>
                <w:iCs/>
                <w:sz w:val="24"/>
                <w:szCs w:val="24"/>
                <w:lang w:eastAsia="lv-LV"/>
              </w:rPr>
              <w:t xml:space="preserve"> tiesu sistēmas vērtējumi, piemēram, 2018. gada 23. augustā publicēts Eiropas Padomes </w:t>
            </w:r>
            <w:proofErr w:type="spellStart"/>
            <w:r w:rsidRPr="005E5384">
              <w:rPr>
                <w:rFonts w:ascii="Times New Roman" w:eastAsia="Times New Roman" w:hAnsi="Times New Roman" w:cs="Times New Roman"/>
                <w:iCs/>
                <w:sz w:val="24"/>
                <w:szCs w:val="24"/>
                <w:lang w:eastAsia="lv-LV"/>
              </w:rPr>
              <w:t>Moneyval</w:t>
            </w:r>
            <w:proofErr w:type="spellEnd"/>
            <w:r w:rsidRPr="005E5384">
              <w:rPr>
                <w:rFonts w:ascii="Times New Roman" w:eastAsia="Times New Roman" w:hAnsi="Times New Roman" w:cs="Times New Roman"/>
                <w:iCs/>
                <w:sz w:val="24"/>
                <w:szCs w:val="24"/>
                <w:lang w:eastAsia="lv-LV"/>
              </w:rPr>
              <w:t xml:space="preserve"> komitejas savstarpējās novērtēšanas 5. kārtas ziņojums par Latviju, Ekonomiskās sadarbības un attīstības organizācij</w:t>
            </w:r>
            <w:r w:rsidRPr="00250C28">
              <w:rPr>
                <w:rFonts w:ascii="Times New Roman" w:eastAsia="Times New Roman" w:hAnsi="Times New Roman" w:cs="Times New Roman"/>
                <w:iCs/>
                <w:sz w:val="24"/>
                <w:szCs w:val="24"/>
                <w:lang w:eastAsia="lv-LV"/>
              </w:rPr>
              <w:t>as pētījums "Tiesiskums komercdarbībai un iek</w:t>
            </w:r>
            <w:r w:rsidRPr="00133E57">
              <w:rPr>
                <w:rFonts w:ascii="Times New Roman" w:eastAsia="Times New Roman" w:hAnsi="Times New Roman" w:cs="Times New Roman"/>
                <w:iCs/>
                <w:sz w:val="24"/>
                <w:szCs w:val="24"/>
                <w:lang w:eastAsia="lv-LV"/>
              </w:rPr>
              <w:t>ļaujošai izaugsmei Latvijā", Eiropas Padomes Tieslietu sistēmu efektivitātes komisija</w:t>
            </w:r>
            <w:r w:rsidRPr="00523451">
              <w:rPr>
                <w:rFonts w:ascii="Times New Roman" w:eastAsia="Times New Roman" w:hAnsi="Times New Roman" w:cs="Times New Roman"/>
                <w:iCs/>
                <w:sz w:val="24"/>
                <w:szCs w:val="24"/>
                <w:lang w:eastAsia="lv-LV"/>
              </w:rPr>
              <w:t>s ziņojums par Latvijas tieslietu sistēmas novērtējumu, Starptautiskā valūtas fonda novērtējums</w:t>
            </w:r>
            <w:r w:rsidR="00633CB1" w:rsidRPr="00523451">
              <w:rPr>
                <w:rFonts w:ascii="Times New Roman" w:eastAsia="Times New Roman" w:hAnsi="Times New Roman" w:cs="Times New Roman"/>
                <w:iCs/>
                <w:sz w:val="24"/>
                <w:szCs w:val="24"/>
                <w:lang w:eastAsia="lv-LV"/>
              </w:rPr>
              <w:t xml:space="preserve">, kā arī </w:t>
            </w:r>
            <w:r w:rsidRPr="00523451">
              <w:rPr>
                <w:rFonts w:ascii="Times New Roman" w:eastAsia="Times New Roman" w:hAnsi="Times New Roman" w:cs="Times New Roman"/>
                <w:iCs/>
                <w:sz w:val="24"/>
                <w:szCs w:val="24"/>
                <w:lang w:eastAsia="lv-LV"/>
              </w:rPr>
              <w:t xml:space="preserve"> </w:t>
            </w:r>
            <w:r w:rsidR="00633CB1" w:rsidRPr="00523451">
              <w:rPr>
                <w:rFonts w:ascii="Times New Roman" w:eastAsia="Times New Roman" w:hAnsi="Times New Roman" w:cs="Times New Roman"/>
                <w:iCs/>
                <w:sz w:val="24"/>
                <w:szCs w:val="24"/>
                <w:lang w:eastAsia="lv-LV"/>
              </w:rPr>
              <w:t xml:space="preserve">tiesnešu, Latvijas Tirdzniecības un rūpniecības kameras,  </w:t>
            </w:r>
            <w:proofErr w:type="spellStart"/>
            <w:r w:rsidR="00633CB1" w:rsidRPr="00523451">
              <w:rPr>
                <w:rFonts w:ascii="Times New Roman" w:eastAsia="Times New Roman" w:hAnsi="Times New Roman" w:cs="Times New Roman"/>
                <w:iCs/>
                <w:sz w:val="24"/>
                <w:szCs w:val="24"/>
                <w:lang w:eastAsia="lv-LV"/>
              </w:rPr>
              <w:t>Pārresoru</w:t>
            </w:r>
            <w:proofErr w:type="spellEnd"/>
            <w:r w:rsidR="00633CB1" w:rsidRPr="00523451">
              <w:rPr>
                <w:rFonts w:ascii="Times New Roman" w:eastAsia="Times New Roman" w:hAnsi="Times New Roman" w:cs="Times New Roman"/>
                <w:iCs/>
                <w:sz w:val="24"/>
                <w:szCs w:val="24"/>
                <w:lang w:eastAsia="lv-LV"/>
              </w:rPr>
              <w:t xml:space="preserve"> koordinācijas centra un iesaistīto ministriju</w:t>
            </w:r>
            <w:r w:rsidR="00CC289D" w:rsidRPr="00523451">
              <w:rPr>
                <w:rFonts w:ascii="Times New Roman" w:eastAsia="Times New Roman" w:hAnsi="Times New Roman" w:cs="Times New Roman"/>
                <w:iCs/>
                <w:sz w:val="24"/>
                <w:szCs w:val="24"/>
                <w:lang w:eastAsia="lv-LV"/>
              </w:rPr>
              <w:t xml:space="preserve"> un institūciju</w:t>
            </w:r>
            <w:r w:rsidR="00633CB1" w:rsidRPr="00523451">
              <w:rPr>
                <w:rFonts w:ascii="Times New Roman" w:eastAsia="Times New Roman" w:hAnsi="Times New Roman" w:cs="Times New Roman"/>
                <w:iCs/>
                <w:sz w:val="24"/>
                <w:szCs w:val="24"/>
                <w:lang w:eastAsia="lv-LV"/>
              </w:rPr>
              <w:t xml:space="preserve"> (Ekonomikas ministrija, Kultūras ministrija, Finanšu ministrija</w:t>
            </w:r>
            <w:r w:rsidR="00CC289D" w:rsidRPr="00523451">
              <w:rPr>
                <w:rFonts w:ascii="Times New Roman" w:eastAsia="Times New Roman" w:hAnsi="Times New Roman" w:cs="Times New Roman"/>
                <w:iCs/>
                <w:sz w:val="24"/>
                <w:szCs w:val="24"/>
                <w:lang w:eastAsia="lv-LV"/>
              </w:rPr>
              <w:t>, Konkurences padome</w:t>
            </w:r>
            <w:r w:rsidR="00633CB1" w:rsidRPr="00523451">
              <w:rPr>
                <w:rFonts w:ascii="Times New Roman" w:eastAsia="Times New Roman" w:hAnsi="Times New Roman" w:cs="Times New Roman"/>
                <w:iCs/>
                <w:sz w:val="24"/>
                <w:szCs w:val="24"/>
                <w:lang w:eastAsia="lv-LV"/>
              </w:rPr>
              <w:t>) paustie viedokļi.</w:t>
            </w:r>
          </w:p>
          <w:p w14:paraId="1182056C" w14:textId="1AA265B4" w:rsidR="005E5384" w:rsidRPr="005E5384" w:rsidRDefault="005E5384" w:rsidP="005E5384">
            <w:pPr>
              <w:spacing w:after="0" w:line="240" w:lineRule="auto"/>
              <w:jc w:val="both"/>
              <w:rPr>
                <w:rFonts w:ascii="Times New Roman" w:eastAsia="Times New Roman" w:hAnsi="Times New Roman" w:cs="Times New Roman"/>
                <w:iCs/>
                <w:sz w:val="24"/>
                <w:szCs w:val="24"/>
                <w:lang w:eastAsia="lv-LV"/>
              </w:rPr>
            </w:pPr>
            <w:r w:rsidRPr="005E5384">
              <w:rPr>
                <w:rFonts w:ascii="Times New Roman" w:eastAsia="Times New Roman" w:hAnsi="Times New Roman" w:cs="Times New Roman"/>
                <w:iCs/>
                <w:sz w:val="24"/>
                <w:szCs w:val="24"/>
                <w:lang w:eastAsia="lv-LV"/>
              </w:rPr>
              <w:t xml:space="preserve">Veidojot speciālu tiesu, tiek radīti visi nepieciešami priekšnosacījumi, lai tiesa varētu uzņemties vadošo lomu attiecībā uz procesa kvalitātes standartu noteikšanu un tādējādi ietekmēt arī izmeklēšanas un apsūdzības procesu kvalitāti. </w:t>
            </w:r>
            <w:r w:rsidRPr="005E5384">
              <w:rPr>
                <w:rFonts w:ascii="Times New Roman" w:eastAsia="Times New Roman" w:hAnsi="Times New Roman" w:cs="Times New Roman"/>
                <w:iCs/>
                <w:sz w:val="24"/>
                <w:szCs w:val="24"/>
                <w:lang w:eastAsia="lv-LV"/>
              </w:rPr>
              <w:lastRenderedPageBreak/>
              <w:t xml:space="preserve">Tāpat izvirzītā mērķa sasniegšanai paralēli tiek meklēti efektīvi risinājumi izmeklēšanas un apsūdzības kvalitātes celšanai – Ministru kabinets </w:t>
            </w:r>
            <w:proofErr w:type="gramStart"/>
            <w:r w:rsidRPr="005E5384">
              <w:rPr>
                <w:rFonts w:ascii="Times New Roman" w:eastAsia="Times New Roman" w:hAnsi="Times New Roman" w:cs="Times New Roman"/>
                <w:iCs/>
                <w:sz w:val="24"/>
                <w:szCs w:val="24"/>
                <w:lang w:eastAsia="lv-LV"/>
              </w:rPr>
              <w:t>2019.gada</w:t>
            </w:r>
            <w:proofErr w:type="gramEnd"/>
            <w:r w:rsidRPr="005E5384">
              <w:rPr>
                <w:rFonts w:ascii="Times New Roman" w:eastAsia="Times New Roman" w:hAnsi="Times New Roman" w:cs="Times New Roman"/>
                <w:iCs/>
                <w:sz w:val="24"/>
                <w:szCs w:val="24"/>
                <w:lang w:eastAsia="lv-LV"/>
              </w:rPr>
              <w:t xml:space="preserve"> 25.jūnija sēdē, izskatot Tieslietu ministrijas sagatavoto informatīvo ziņojumu "Par nepieciešamību īstenot revīziju par faktoriem, kas ietekmē efektīvu kriminālprocesu par noziedzīgiem nodarījumiem ekonomikas un finanšu jomā izmeklēšanu un iztiesāšanu" (prot.Nr.30, 33.§), pieņēma to zināšanai un atbalstīja tajā ietverto risinājumu, nosakot Tieslietu ministrijai aicināt Valsts kontroli izvērtēt iespēju veikt revīziju par faktoriem, kas ietekmē kriminālprocesu par noziedzīgiem nodarījumiem ekonomikas un finanšu jomā efektīvu izmeklēšanu un iztiesāšanu</w:t>
            </w:r>
            <w:r>
              <w:rPr>
                <w:rFonts w:ascii="Times New Roman" w:eastAsia="Times New Roman" w:hAnsi="Times New Roman" w:cs="Times New Roman"/>
                <w:iCs/>
                <w:sz w:val="24"/>
                <w:szCs w:val="24"/>
                <w:lang w:eastAsia="lv-LV"/>
              </w:rPr>
              <w:t>. Tāpat Tieslietu ministrija sadarbībā ar Amerikas Savienoto Valstu vēstniecību 2019.gada 20.septembrī organizēja paneļdiskusiju "</w:t>
            </w:r>
            <w:r w:rsidRPr="005E5384">
              <w:rPr>
                <w:rFonts w:ascii="Times New Roman" w:eastAsia="Times New Roman" w:hAnsi="Times New Roman" w:cs="Times New Roman"/>
                <w:iCs/>
                <w:sz w:val="24"/>
                <w:szCs w:val="24"/>
                <w:lang w:eastAsia="lv-LV"/>
              </w:rPr>
              <w:t xml:space="preserve">Procesuālā regulējuma efektivitāte </w:t>
            </w:r>
            <w:proofErr w:type="spellStart"/>
            <w:r w:rsidRPr="005E5384">
              <w:rPr>
                <w:rFonts w:ascii="Times New Roman" w:eastAsia="Times New Roman" w:hAnsi="Times New Roman" w:cs="Times New Roman"/>
                <w:iCs/>
                <w:sz w:val="24"/>
                <w:szCs w:val="24"/>
                <w:lang w:eastAsia="lv-LV"/>
              </w:rPr>
              <w:t>komercstrīdu</w:t>
            </w:r>
            <w:proofErr w:type="spellEnd"/>
            <w:r w:rsidRPr="005E5384">
              <w:rPr>
                <w:rFonts w:ascii="Times New Roman" w:eastAsia="Times New Roman" w:hAnsi="Times New Roman" w:cs="Times New Roman"/>
                <w:iCs/>
                <w:sz w:val="24"/>
                <w:szCs w:val="24"/>
                <w:lang w:eastAsia="lv-LV"/>
              </w:rPr>
              <w:t xml:space="preserve"> un ekonomisko noziegumu lietu izskatīšanā"</w:t>
            </w:r>
            <w:r>
              <w:rPr>
                <w:rFonts w:ascii="Times New Roman" w:eastAsia="Times New Roman" w:hAnsi="Times New Roman" w:cs="Times New Roman"/>
                <w:iCs/>
                <w:sz w:val="24"/>
                <w:szCs w:val="24"/>
                <w:lang w:eastAsia="lv-LV"/>
              </w:rPr>
              <w:t xml:space="preserve">. Paneļdiskusijas mērķis </w:t>
            </w:r>
            <w:r w:rsidRPr="005E5384">
              <w:rPr>
                <w:rFonts w:ascii="Times New Roman" w:eastAsia="Times New Roman" w:hAnsi="Times New Roman" w:cs="Times New Roman"/>
                <w:iCs/>
                <w:sz w:val="24"/>
                <w:szCs w:val="24"/>
                <w:lang w:eastAsia="lv-LV"/>
              </w:rPr>
              <w:t>ir starpdisciplinārā formātā, uzklausīt un apkopot pēc iespējas vairāk un pēc iespējas dažādus risinājumu gan attiecībā uz procesu likumu līdz šim neizmantotajām iespējām, gan attiecībā uz jauniem procesuāliem instrumentiem un jauniem procesa vadības rīkiem, gan iespējams arī attiecībā mācību vajadzībām procesā iesaistītajiem profesionāļiem.</w:t>
            </w:r>
            <w:r w:rsidRPr="00E033D9">
              <w:rPr>
                <w:rFonts w:ascii="Times New Roman" w:hAnsi="Times New Roman" w:cs="Times New Roman"/>
                <w:sz w:val="28"/>
                <w:szCs w:val="28"/>
              </w:rPr>
              <w:t xml:space="preserve"> </w:t>
            </w:r>
          </w:p>
        </w:tc>
      </w:tr>
      <w:tr w:rsidR="005D4E8A" w:rsidRPr="00BC2633" w14:paraId="4A35F0EC" w14:textId="77777777" w:rsidTr="00F41EF2">
        <w:trPr>
          <w:gridBefore w:val="1"/>
          <w:gridAfter w:val="2"/>
          <w:wBefore w:w="15" w:type="pct"/>
          <w:wAfter w:w="58" w:type="pct"/>
          <w:trHeight w:val="128"/>
        </w:trPr>
        <w:tc>
          <w:tcPr>
            <w:tcW w:w="4927" w:type="pct"/>
            <w:gridSpan w:val="9"/>
            <w:tcBorders>
              <w:top w:val="outset" w:sz="6" w:space="0" w:color="414142"/>
              <w:left w:val="nil"/>
              <w:bottom w:val="outset" w:sz="6" w:space="0" w:color="414142"/>
              <w:right w:val="nil"/>
            </w:tcBorders>
          </w:tcPr>
          <w:p w14:paraId="3909DB7C" w14:textId="77777777" w:rsidR="00031256" w:rsidRPr="00BC2633"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ab/>
            </w:r>
          </w:p>
        </w:tc>
      </w:tr>
      <w:tr w:rsidR="00BC2633" w:rsidRPr="00BC2633" w14:paraId="231B55F5" w14:textId="77777777" w:rsidTr="00F41EF2">
        <w:trPr>
          <w:gridBefore w:val="1"/>
          <w:gridAfter w:val="2"/>
          <w:wBefore w:w="15" w:type="pct"/>
          <w:wAfter w:w="58" w:type="pct"/>
          <w:trHeight w:val="555"/>
        </w:trPr>
        <w:tc>
          <w:tcPr>
            <w:tcW w:w="4927" w:type="pct"/>
            <w:gridSpan w:val="9"/>
            <w:tcBorders>
              <w:top w:val="nil"/>
              <w:left w:val="outset" w:sz="6" w:space="0" w:color="414142"/>
              <w:bottom w:val="outset" w:sz="6" w:space="0" w:color="414142"/>
              <w:right w:val="outset" w:sz="6" w:space="0" w:color="414142"/>
            </w:tcBorders>
            <w:vAlign w:val="center"/>
            <w:hideMark/>
          </w:tcPr>
          <w:p w14:paraId="4C70EC05"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DA326E" w:rsidRPr="00BC2633" w14:paraId="2C9F3255" w14:textId="77777777" w:rsidTr="00F41EF2">
        <w:trPr>
          <w:gridBefore w:val="1"/>
          <w:gridAfter w:val="2"/>
          <w:wBefore w:w="15" w:type="pct"/>
          <w:wAfter w:w="58" w:type="pct"/>
          <w:trHeight w:val="465"/>
        </w:trPr>
        <w:tc>
          <w:tcPr>
            <w:tcW w:w="192" w:type="pct"/>
            <w:tcBorders>
              <w:top w:val="outset" w:sz="6" w:space="0" w:color="414142"/>
              <w:left w:val="outset" w:sz="6" w:space="0" w:color="414142"/>
              <w:bottom w:val="outset" w:sz="6" w:space="0" w:color="414142"/>
              <w:right w:val="outset" w:sz="6" w:space="0" w:color="414142"/>
            </w:tcBorders>
            <w:hideMark/>
          </w:tcPr>
          <w:p w14:paraId="6ABD5F2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528" w:type="pct"/>
            <w:gridSpan w:val="2"/>
            <w:tcBorders>
              <w:top w:val="outset" w:sz="6" w:space="0" w:color="414142"/>
              <w:left w:val="outset" w:sz="6" w:space="0" w:color="414142"/>
              <w:bottom w:val="outset" w:sz="6" w:space="0" w:color="414142"/>
              <w:right w:val="outset" w:sz="6" w:space="0" w:color="414142"/>
            </w:tcBorders>
            <w:hideMark/>
          </w:tcPr>
          <w:p w14:paraId="7DF97D5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mērķgrupas, kuras tiesiskais regulējums ietekmē</w:t>
            </w:r>
            <w:proofErr w:type="gramStart"/>
            <w:r w:rsidRPr="00BC2633">
              <w:rPr>
                <w:rFonts w:ascii="Times New Roman" w:eastAsia="Times New Roman" w:hAnsi="Times New Roman" w:cs="Times New Roman"/>
                <w:sz w:val="24"/>
                <w:szCs w:val="24"/>
                <w:lang w:eastAsia="lv-LV"/>
              </w:rPr>
              <w:t xml:space="preserve"> vai varētu ietekmēt</w:t>
            </w:r>
            <w:proofErr w:type="gramEnd"/>
          </w:p>
        </w:tc>
        <w:tc>
          <w:tcPr>
            <w:tcW w:w="3207" w:type="pct"/>
            <w:gridSpan w:val="6"/>
            <w:tcBorders>
              <w:top w:val="outset" w:sz="6" w:space="0" w:color="414142"/>
              <w:left w:val="outset" w:sz="6" w:space="0" w:color="414142"/>
              <w:bottom w:val="outset" w:sz="6" w:space="0" w:color="414142"/>
              <w:right w:val="outset" w:sz="6" w:space="0" w:color="414142"/>
            </w:tcBorders>
            <w:hideMark/>
          </w:tcPr>
          <w:p w14:paraId="674A68B1" w14:textId="743B5228" w:rsidR="00CC7C9D" w:rsidRPr="00BC2633" w:rsidRDefault="00ED1033" w:rsidP="004F3A2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Likumprojektā paredzētās tiesas izveide tieši attieksies uz </w:t>
            </w:r>
            <w:r w:rsidR="005232D3">
              <w:rPr>
                <w:rFonts w:ascii="Times New Roman" w:eastAsia="Times New Roman" w:hAnsi="Times New Roman" w:cs="Times New Roman"/>
                <w:sz w:val="24"/>
                <w:szCs w:val="24"/>
                <w:lang w:eastAsia="lv-LV"/>
              </w:rPr>
              <w:t>to personu loku, kas vēlēsies pretendēt uz amatu vai darbu</w:t>
            </w:r>
            <w:proofErr w:type="gramStart"/>
            <w:r w:rsidR="005232D3">
              <w:rPr>
                <w:rFonts w:ascii="Times New Roman" w:eastAsia="Times New Roman" w:hAnsi="Times New Roman" w:cs="Times New Roman"/>
                <w:sz w:val="24"/>
                <w:szCs w:val="24"/>
                <w:lang w:eastAsia="lv-LV"/>
              </w:rPr>
              <w:t xml:space="preserve">  </w:t>
            </w:r>
            <w:proofErr w:type="gramEnd"/>
            <w:r w:rsidR="005232D3">
              <w:rPr>
                <w:rFonts w:ascii="Times New Roman" w:eastAsia="Times New Roman" w:hAnsi="Times New Roman" w:cs="Times New Roman"/>
                <w:sz w:val="24"/>
                <w:szCs w:val="24"/>
                <w:lang w:eastAsia="lv-LV"/>
              </w:rPr>
              <w:t>šajā tiesā, kā arī uz tiesas klientiem, kuru strīdi vai no</w:t>
            </w:r>
            <w:r w:rsidR="007D31CC">
              <w:rPr>
                <w:rFonts w:ascii="Times New Roman" w:eastAsia="Times New Roman" w:hAnsi="Times New Roman" w:cs="Times New Roman"/>
                <w:sz w:val="24"/>
                <w:szCs w:val="24"/>
                <w:lang w:eastAsia="lv-LV"/>
              </w:rPr>
              <w:t>ziedzīgie no</w:t>
            </w:r>
            <w:r w:rsidR="005232D3">
              <w:rPr>
                <w:rFonts w:ascii="Times New Roman" w:eastAsia="Times New Roman" w:hAnsi="Times New Roman" w:cs="Times New Roman"/>
                <w:sz w:val="24"/>
                <w:szCs w:val="24"/>
                <w:lang w:eastAsia="lv-LV"/>
              </w:rPr>
              <w:t>darījumi tiks nodoti specializētās tiesas kompetencē.</w:t>
            </w:r>
            <w:r w:rsidR="00CC7C9D">
              <w:rPr>
                <w:rFonts w:ascii="Times New Roman" w:eastAsia="Times New Roman" w:hAnsi="Times New Roman" w:cs="Times New Roman"/>
                <w:sz w:val="24"/>
                <w:szCs w:val="24"/>
                <w:lang w:eastAsia="lv-LV"/>
              </w:rPr>
              <w:t xml:space="preserve"> </w:t>
            </w:r>
          </w:p>
        </w:tc>
      </w:tr>
      <w:tr w:rsidR="00DA326E" w:rsidRPr="00BC2633" w14:paraId="135FDA25" w14:textId="77777777" w:rsidTr="00F41EF2">
        <w:trPr>
          <w:gridBefore w:val="1"/>
          <w:gridAfter w:val="2"/>
          <w:wBefore w:w="15" w:type="pct"/>
          <w:wAfter w:w="58" w:type="pct"/>
          <w:trHeight w:val="510"/>
        </w:trPr>
        <w:tc>
          <w:tcPr>
            <w:tcW w:w="192" w:type="pct"/>
            <w:tcBorders>
              <w:top w:val="outset" w:sz="6" w:space="0" w:color="414142"/>
              <w:left w:val="outset" w:sz="6" w:space="0" w:color="414142"/>
              <w:bottom w:val="outset" w:sz="6" w:space="0" w:color="414142"/>
              <w:right w:val="outset" w:sz="6" w:space="0" w:color="414142"/>
            </w:tcBorders>
            <w:hideMark/>
          </w:tcPr>
          <w:p w14:paraId="725AAD2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528" w:type="pct"/>
            <w:gridSpan w:val="2"/>
            <w:tcBorders>
              <w:top w:val="outset" w:sz="6" w:space="0" w:color="414142"/>
              <w:left w:val="outset" w:sz="6" w:space="0" w:color="414142"/>
              <w:bottom w:val="outset" w:sz="6" w:space="0" w:color="414142"/>
              <w:right w:val="outset" w:sz="6" w:space="0" w:color="414142"/>
            </w:tcBorders>
            <w:hideMark/>
          </w:tcPr>
          <w:p w14:paraId="3D8DE762" w14:textId="77777777" w:rsidR="004D15A9"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Tiesiskā regulējuma ietekme uz tautsaimniecību un administratīvo slogu</w:t>
            </w:r>
          </w:p>
          <w:p w14:paraId="7B55C5A0" w14:textId="77777777" w:rsidR="00120AC9" w:rsidRDefault="00120AC9" w:rsidP="00120AC9">
            <w:pPr>
              <w:rPr>
                <w:rFonts w:ascii="Times New Roman" w:eastAsia="Times New Roman" w:hAnsi="Times New Roman" w:cs="Times New Roman"/>
                <w:sz w:val="24"/>
                <w:szCs w:val="24"/>
                <w:lang w:eastAsia="lv-LV"/>
              </w:rPr>
            </w:pPr>
          </w:p>
          <w:p w14:paraId="1BB1E646" w14:textId="07F273EB" w:rsidR="00120AC9" w:rsidRPr="00120AC9" w:rsidRDefault="00120AC9" w:rsidP="00120AC9">
            <w:pPr>
              <w:ind w:firstLine="720"/>
              <w:rPr>
                <w:rFonts w:ascii="Times New Roman" w:eastAsia="Times New Roman" w:hAnsi="Times New Roman" w:cs="Times New Roman"/>
                <w:sz w:val="24"/>
                <w:szCs w:val="24"/>
                <w:lang w:eastAsia="lv-LV"/>
              </w:rPr>
            </w:pPr>
          </w:p>
        </w:tc>
        <w:tc>
          <w:tcPr>
            <w:tcW w:w="3207" w:type="pct"/>
            <w:gridSpan w:val="6"/>
            <w:tcBorders>
              <w:top w:val="outset" w:sz="6" w:space="0" w:color="414142"/>
              <w:left w:val="outset" w:sz="6" w:space="0" w:color="414142"/>
              <w:bottom w:val="outset" w:sz="6" w:space="0" w:color="414142"/>
              <w:right w:val="outset" w:sz="6" w:space="0" w:color="414142"/>
            </w:tcBorders>
            <w:hideMark/>
          </w:tcPr>
          <w:p w14:paraId="0F39523F" w14:textId="76FAC507" w:rsidR="000D52B6" w:rsidRDefault="001F5406" w:rsidP="00CC7C9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Likumprojekt</w:t>
            </w:r>
            <w:r w:rsidR="005232D3">
              <w:rPr>
                <w:rFonts w:ascii="Times New Roman" w:eastAsia="Times New Roman" w:hAnsi="Times New Roman" w:cs="Times New Roman"/>
                <w:sz w:val="24"/>
                <w:szCs w:val="24"/>
                <w:lang w:eastAsia="lv-LV"/>
              </w:rPr>
              <w:t>ā paredzētās tiesas izveide</w:t>
            </w:r>
            <w:r>
              <w:rPr>
                <w:rFonts w:ascii="Times New Roman" w:eastAsia="Times New Roman" w:hAnsi="Times New Roman" w:cs="Times New Roman"/>
                <w:sz w:val="24"/>
                <w:szCs w:val="24"/>
                <w:lang w:eastAsia="lv-LV"/>
              </w:rPr>
              <w:t xml:space="preserve"> veicin</w:t>
            </w:r>
            <w:r w:rsidR="005232D3">
              <w:rPr>
                <w:rFonts w:ascii="Times New Roman" w:eastAsia="Times New Roman" w:hAnsi="Times New Roman" w:cs="Times New Roman"/>
                <w:sz w:val="24"/>
                <w:szCs w:val="24"/>
                <w:lang w:eastAsia="lv-LV"/>
              </w:rPr>
              <w:t>ās</w:t>
            </w:r>
            <w:r>
              <w:rPr>
                <w:rFonts w:ascii="Times New Roman" w:eastAsia="Times New Roman" w:hAnsi="Times New Roman" w:cs="Times New Roman"/>
                <w:sz w:val="24"/>
                <w:szCs w:val="24"/>
                <w:lang w:eastAsia="lv-LV"/>
              </w:rPr>
              <w:t xml:space="preserve"> tautsaimniecības attīstību.</w:t>
            </w:r>
            <w:r w:rsidRPr="00CC7C9D">
              <w:rPr>
                <w:rFonts w:ascii="Times New Roman" w:eastAsia="Times New Roman" w:hAnsi="Times New Roman" w:cs="Times New Roman"/>
                <w:sz w:val="24"/>
                <w:szCs w:val="24"/>
                <w:lang w:eastAsia="lv-LV"/>
              </w:rPr>
              <w:t xml:space="preserve"> </w:t>
            </w:r>
            <w:r w:rsidR="00CC7C9D" w:rsidRPr="00CC7C9D">
              <w:rPr>
                <w:rFonts w:ascii="Times New Roman" w:eastAsia="Times New Roman" w:hAnsi="Times New Roman" w:cs="Times New Roman"/>
                <w:sz w:val="24"/>
                <w:szCs w:val="24"/>
                <w:lang w:eastAsia="lv-LV"/>
              </w:rPr>
              <w:t xml:space="preserve">Specializētā tiesa </w:t>
            </w:r>
            <w:r w:rsidR="007D31CC">
              <w:rPr>
                <w:rFonts w:ascii="Times New Roman" w:eastAsia="Times New Roman" w:hAnsi="Times New Roman" w:cs="Times New Roman"/>
                <w:sz w:val="24"/>
                <w:szCs w:val="24"/>
                <w:lang w:eastAsia="lv-LV"/>
              </w:rPr>
              <w:t>būs</w:t>
            </w:r>
            <w:r w:rsidR="00CC7C9D" w:rsidRPr="00CC7C9D">
              <w:rPr>
                <w:rFonts w:ascii="Times New Roman" w:eastAsia="Times New Roman" w:hAnsi="Times New Roman" w:cs="Times New Roman"/>
                <w:sz w:val="24"/>
                <w:szCs w:val="24"/>
                <w:lang w:eastAsia="lv-LV"/>
              </w:rPr>
              <w:t xml:space="preserve"> ilgtermiņa ieguldījums ekonomiski attīstītas un tiesiski sakārtotas valsts izveidē, kas ilgtermiņā atmaksā</w:t>
            </w:r>
            <w:r w:rsidR="00572D69">
              <w:rPr>
                <w:rFonts w:ascii="Times New Roman" w:eastAsia="Times New Roman" w:hAnsi="Times New Roman" w:cs="Times New Roman"/>
                <w:sz w:val="24"/>
                <w:szCs w:val="24"/>
                <w:lang w:eastAsia="lv-LV"/>
              </w:rPr>
              <w:t>sies</w:t>
            </w:r>
            <w:r w:rsidR="00CC7C9D" w:rsidRPr="00CC7C9D">
              <w:rPr>
                <w:rFonts w:ascii="Times New Roman" w:eastAsia="Times New Roman" w:hAnsi="Times New Roman" w:cs="Times New Roman"/>
                <w:sz w:val="24"/>
                <w:szCs w:val="24"/>
                <w:lang w:eastAsia="lv-LV"/>
              </w:rPr>
              <w:t>, padarot Latviju par uzņēmējdarbībai un investīcijām ekonomiski labvēlīgu valsti. Tādējādi minētā risinājuma īstenošanai ilgtermiņā bū</w:t>
            </w:r>
            <w:r w:rsidR="00572D69">
              <w:rPr>
                <w:rFonts w:ascii="Times New Roman" w:eastAsia="Times New Roman" w:hAnsi="Times New Roman" w:cs="Times New Roman"/>
                <w:sz w:val="24"/>
                <w:szCs w:val="24"/>
                <w:lang w:eastAsia="lv-LV"/>
              </w:rPr>
              <w:t>s</w:t>
            </w:r>
            <w:r w:rsidR="00CC7C9D" w:rsidRPr="00CC7C9D">
              <w:rPr>
                <w:rFonts w:ascii="Times New Roman" w:eastAsia="Times New Roman" w:hAnsi="Times New Roman" w:cs="Times New Roman"/>
                <w:sz w:val="24"/>
                <w:szCs w:val="24"/>
                <w:lang w:eastAsia="lv-LV"/>
              </w:rPr>
              <w:t xml:space="preserve"> pozitīva ietekme uz valsts budžeta ieņēmumiem, kas saistīti ar uzņēmējdarbības vides uzlabošanu un investīciju piesaisti.</w:t>
            </w:r>
          </w:p>
          <w:p w14:paraId="05BE04C4" w14:textId="08C870A2" w:rsidR="00CC289D" w:rsidRDefault="00CC289D" w:rsidP="00CC289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Ņemot Rīgas ģeogrāfisko atrašanās vietu, Ekonomisko lietu tiesas izvietošana Rīgā ir atbalstāma no tiesas pieejamības aspekta. Vienlaikus jāatzīmē, ka Ekonomisko lietu tiesas pieejamība tā iemesla dēļ, ka tā atradīsies Rīgā, dažkārt pat palielinās šīs tiesas pieejamību, ja lietas dalībniekiem ir nepieciešams ierasties un klātienē piedalīties tiesas sēdē un ja tam jāizmanto sabiedriskais transports nokļūšanai uz tiesu. Piemēram, no tādām republikas pilsētām kā Daugavpils, Valmiera sabiedriskais transports nekursē uz nevienu no Zemgales rajona tiesas atrašanās vietā, tostarp, Jelgavu. </w:t>
            </w:r>
            <w:r w:rsidR="005232D3">
              <w:rPr>
                <w:rFonts w:ascii="Times New Roman" w:eastAsia="Times New Roman" w:hAnsi="Times New Roman" w:cs="Times New Roman"/>
                <w:sz w:val="24"/>
                <w:szCs w:val="24"/>
                <w:lang w:eastAsia="lv-LV"/>
              </w:rPr>
              <w:t>Līdz ar to vairākuma gadījumu Rīga tāpat tiek izmantota kā satiksmes centrs.</w:t>
            </w:r>
          </w:p>
          <w:p w14:paraId="12DBBFF5" w14:textId="08CE9735" w:rsidR="00FD3830" w:rsidRPr="00BC2633" w:rsidRDefault="000D52B6" w:rsidP="00CC289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Attiecībā uz administratīvo slogu, kas radīsies, lai ierastos uz tiesas sēdēm, jānorāda, ka tas atsevišķos gadījumos palielināsies, ja lietas dalībniek</w:t>
            </w:r>
            <w:r w:rsidR="00572D69">
              <w:rPr>
                <w:rFonts w:ascii="Times New Roman" w:eastAsia="Times New Roman" w:hAnsi="Times New Roman" w:cs="Times New Roman"/>
                <w:sz w:val="24"/>
                <w:szCs w:val="24"/>
                <w:lang w:eastAsia="lv-LV"/>
              </w:rPr>
              <w:t>s ob</w:t>
            </w:r>
            <w:r>
              <w:rPr>
                <w:rFonts w:ascii="Times New Roman" w:eastAsia="Times New Roman" w:hAnsi="Times New Roman" w:cs="Times New Roman"/>
                <w:sz w:val="24"/>
                <w:szCs w:val="24"/>
                <w:lang w:eastAsia="lv-LV"/>
              </w:rPr>
              <w:t xml:space="preserve">jektīvu (no lietas rakstura vai videokonferenču iekārtas noslogotības) iemeslu dēļ </w:t>
            </w:r>
            <w:r w:rsidR="00572D69">
              <w:rPr>
                <w:rFonts w:ascii="Times New Roman" w:eastAsia="Times New Roman" w:hAnsi="Times New Roman" w:cs="Times New Roman"/>
                <w:sz w:val="24"/>
                <w:szCs w:val="24"/>
                <w:lang w:eastAsia="lv-LV"/>
              </w:rPr>
              <w:t>nevarēs</w:t>
            </w:r>
            <w:r>
              <w:rPr>
                <w:rFonts w:ascii="Times New Roman" w:eastAsia="Times New Roman" w:hAnsi="Times New Roman" w:cs="Times New Roman"/>
                <w:sz w:val="24"/>
                <w:szCs w:val="24"/>
                <w:lang w:eastAsia="lv-LV"/>
              </w:rPr>
              <w:t xml:space="preserve"> piedalīties lietas izskatīšanā ar videokonferences starpniecību no tās tiesas atrašanās vietas, kura tam ir vistuvāk.</w:t>
            </w:r>
            <w:r w:rsidR="00BF2B3F">
              <w:rPr>
                <w:rFonts w:ascii="Times New Roman" w:eastAsia="Times New Roman" w:hAnsi="Times New Roman" w:cs="Times New Roman"/>
                <w:sz w:val="24"/>
                <w:szCs w:val="24"/>
                <w:lang w:eastAsia="lv-LV"/>
              </w:rPr>
              <w:t xml:space="preserve"> </w:t>
            </w:r>
            <w:r w:rsidR="005232D3">
              <w:rPr>
                <w:rFonts w:ascii="Times New Roman" w:eastAsia="Times New Roman" w:hAnsi="Times New Roman" w:cs="Times New Roman"/>
                <w:sz w:val="24"/>
                <w:szCs w:val="24"/>
                <w:lang w:eastAsia="lv-LV"/>
              </w:rPr>
              <w:t>Vienlaikus</w:t>
            </w:r>
            <w:r w:rsidR="00BF2B3F">
              <w:rPr>
                <w:rFonts w:ascii="Times New Roman" w:eastAsia="Times New Roman" w:hAnsi="Times New Roman" w:cs="Times New Roman"/>
                <w:sz w:val="24"/>
                <w:szCs w:val="24"/>
                <w:lang w:eastAsia="lv-LV"/>
              </w:rPr>
              <w:t xml:space="preserve"> jānorāda, ka </w:t>
            </w:r>
            <w:r>
              <w:rPr>
                <w:rFonts w:ascii="Times New Roman" w:eastAsia="Times New Roman" w:hAnsi="Times New Roman" w:cs="Times New Roman"/>
                <w:sz w:val="24"/>
                <w:szCs w:val="24"/>
                <w:lang w:eastAsia="lv-LV"/>
              </w:rPr>
              <w:t xml:space="preserve"> </w:t>
            </w:r>
            <w:r w:rsidR="00BF2B3F">
              <w:rPr>
                <w:rFonts w:ascii="Times New Roman" w:eastAsia="Times New Roman" w:hAnsi="Times New Roman" w:cs="Times New Roman"/>
                <w:sz w:val="24"/>
                <w:szCs w:val="24"/>
                <w:lang w:eastAsia="lv-LV"/>
              </w:rPr>
              <w:t>daļa no komerclietām, k</w:t>
            </w:r>
            <w:r w:rsidR="005232D3">
              <w:rPr>
                <w:rFonts w:ascii="Times New Roman" w:eastAsia="Times New Roman" w:hAnsi="Times New Roman" w:cs="Times New Roman"/>
                <w:sz w:val="24"/>
                <w:szCs w:val="24"/>
                <w:lang w:eastAsia="lv-LV"/>
              </w:rPr>
              <w:t>uras</w:t>
            </w:r>
            <w:r w:rsidR="00BF2B3F">
              <w:rPr>
                <w:rFonts w:ascii="Times New Roman" w:eastAsia="Times New Roman" w:hAnsi="Times New Roman" w:cs="Times New Roman"/>
                <w:sz w:val="24"/>
                <w:szCs w:val="24"/>
                <w:lang w:eastAsia="lv-LV"/>
              </w:rPr>
              <w:t xml:space="preserve"> plānots nodot Ekonomisko lietu tiesai, jau šobrīd ir koncentrētas vienā tiesā -  </w:t>
            </w:r>
            <w:r w:rsidR="00BF2B3F" w:rsidRPr="00BF2B3F">
              <w:rPr>
                <w:rFonts w:ascii="Times New Roman" w:eastAsia="Times New Roman" w:hAnsi="Times New Roman" w:cs="Times New Roman"/>
                <w:sz w:val="24"/>
                <w:szCs w:val="24"/>
                <w:lang w:eastAsia="lv-LV"/>
              </w:rPr>
              <w:t>liet</w:t>
            </w:r>
            <w:r w:rsidR="00BF2B3F">
              <w:rPr>
                <w:rFonts w:ascii="Times New Roman" w:eastAsia="Times New Roman" w:hAnsi="Times New Roman" w:cs="Times New Roman"/>
                <w:sz w:val="24"/>
                <w:szCs w:val="24"/>
                <w:lang w:eastAsia="lv-LV"/>
              </w:rPr>
              <w:t>as</w:t>
            </w:r>
            <w:r w:rsidR="00BF2B3F" w:rsidRPr="00BF2B3F">
              <w:rPr>
                <w:rFonts w:ascii="Times New Roman" w:eastAsia="Times New Roman" w:hAnsi="Times New Roman" w:cs="Times New Roman"/>
                <w:sz w:val="24"/>
                <w:szCs w:val="24"/>
                <w:lang w:eastAsia="lv-LV"/>
              </w:rPr>
              <w:t xml:space="preserve"> par kapitālsabiedrību dalībnieku (akcionāru) sapulces lēmumu atzīšanu par spēkā neesošiem </w:t>
            </w:r>
            <w:r w:rsidR="00BF2B3F">
              <w:rPr>
                <w:rFonts w:ascii="Times New Roman" w:eastAsia="Times New Roman" w:hAnsi="Times New Roman" w:cs="Times New Roman"/>
                <w:sz w:val="24"/>
                <w:szCs w:val="24"/>
                <w:lang w:eastAsia="lv-LV"/>
              </w:rPr>
              <w:t>izskata</w:t>
            </w:r>
            <w:r w:rsidR="00BF2B3F" w:rsidRPr="00BF2B3F">
              <w:rPr>
                <w:rFonts w:ascii="Times New Roman" w:eastAsia="Times New Roman" w:hAnsi="Times New Roman" w:cs="Times New Roman"/>
                <w:sz w:val="24"/>
                <w:szCs w:val="24"/>
                <w:lang w:eastAsia="lv-LV"/>
              </w:rPr>
              <w:t xml:space="preserve"> Zemgales rajona tiesa</w:t>
            </w:r>
            <w:r w:rsidR="00BF2B3F">
              <w:rPr>
                <w:rFonts w:ascii="Times New Roman" w:eastAsia="Times New Roman" w:hAnsi="Times New Roman" w:cs="Times New Roman"/>
                <w:sz w:val="24"/>
                <w:szCs w:val="24"/>
                <w:lang w:eastAsia="lv-LV"/>
              </w:rPr>
              <w:t xml:space="preserve"> (Jelgava), </w:t>
            </w:r>
            <w:r w:rsidR="00BF2B3F" w:rsidRPr="00BF2B3F">
              <w:rPr>
                <w:rFonts w:ascii="Times New Roman" w:eastAsia="Times New Roman" w:hAnsi="Times New Roman" w:cs="Times New Roman"/>
                <w:sz w:val="24"/>
                <w:szCs w:val="24"/>
                <w:lang w:eastAsia="lv-LV"/>
              </w:rPr>
              <w:t>liet</w:t>
            </w:r>
            <w:r w:rsidR="00BF2B3F">
              <w:rPr>
                <w:rFonts w:ascii="Times New Roman" w:eastAsia="Times New Roman" w:hAnsi="Times New Roman" w:cs="Times New Roman"/>
                <w:sz w:val="24"/>
                <w:szCs w:val="24"/>
                <w:lang w:eastAsia="lv-LV"/>
              </w:rPr>
              <w:t>as</w:t>
            </w:r>
            <w:r w:rsidR="00BF2B3F" w:rsidRPr="00BF2B3F">
              <w:rPr>
                <w:rFonts w:ascii="Times New Roman" w:eastAsia="Times New Roman" w:hAnsi="Times New Roman" w:cs="Times New Roman"/>
                <w:sz w:val="24"/>
                <w:szCs w:val="24"/>
                <w:lang w:eastAsia="lv-LV"/>
              </w:rPr>
              <w:t xml:space="preserve"> par rūpnieciskā īpašuma tiesībām</w:t>
            </w:r>
            <w:r w:rsidR="00BF2B3F">
              <w:rPr>
                <w:rFonts w:ascii="Times New Roman" w:eastAsia="Times New Roman" w:hAnsi="Times New Roman" w:cs="Times New Roman"/>
                <w:sz w:val="24"/>
                <w:szCs w:val="24"/>
                <w:lang w:eastAsia="lv-LV"/>
              </w:rPr>
              <w:t xml:space="preserve"> un </w:t>
            </w:r>
            <w:r w:rsidR="00BF2B3F" w:rsidRPr="00BF2B3F">
              <w:rPr>
                <w:rFonts w:ascii="Times New Roman" w:eastAsia="Times New Roman" w:hAnsi="Times New Roman" w:cs="Times New Roman"/>
                <w:sz w:val="24"/>
                <w:szCs w:val="24"/>
                <w:lang w:eastAsia="lv-LV"/>
              </w:rPr>
              <w:t xml:space="preserve"> </w:t>
            </w:r>
            <w:r w:rsidR="00BF2B3F">
              <w:rPr>
                <w:rFonts w:ascii="Times New Roman" w:eastAsia="Times New Roman" w:hAnsi="Times New Roman" w:cs="Times New Roman"/>
                <w:sz w:val="24"/>
                <w:szCs w:val="24"/>
                <w:lang w:eastAsia="lv-LV"/>
              </w:rPr>
              <w:t>lietas</w:t>
            </w:r>
            <w:r w:rsidR="00BF2B3F" w:rsidRPr="00BF2B3F">
              <w:rPr>
                <w:rFonts w:ascii="Times New Roman" w:eastAsia="Times New Roman" w:hAnsi="Times New Roman" w:cs="Times New Roman"/>
                <w:sz w:val="24"/>
                <w:szCs w:val="24"/>
                <w:lang w:eastAsia="lv-LV"/>
              </w:rPr>
              <w:t xml:space="preserve"> kuru materiālos ir iekļauts valsts noslēpum</w:t>
            </w:r>
            <w:r w:rsidR="00BF2B3F">
              <w:rPr>
                <w:rFonts w:ascii="Times New Roman" w:eastAsia="Times New Roman" w:hAnsi="Times New Roman" w:cs="Times New Roman"/>
                <w:sz w:val="24"/>
                <w:szCs w:val="24"/>
                <w:lang w:eastAsia="lv-LV"/>
              </w:rPr>
              <w:t>s</w:t>
            </w:r>
            <w:r w:rsidR="00BF2B3F" w:rsidRPr="00BF2B3F">
              <w:rPr>
                <w:rFonts w:ascii="Times New Roman" w:eastAsia="Times New Roman" w:hAnsi="Times New Roman" w:cs="Times New Roman"/>
                <w:sz w:val="24"/>
                <w:szCs w:val="24"/>
                <w:lang w:eastAsia="lv-LV"/>
              </w:rPr>
              <w:t xml:space="preserve"> </w:t>
            </w:r>
            <w:r w:rsidR="00BF2B3F">
              <w:rPr>
                <w:rFonts w:ascii="Times New Roman" w:eastAsia="Times New Roman" w:hAnsi="Times New Roman" w:cs="Times New Roman"/>
                <w:sz w:val="24"/>
                <w:szCs w:val="24"/>
                <w:lang w:eastAsia="lv-LV"/>
              </w:rPr>
              <w:t>izskata</w:t>
            </w:r>
            <w:r w:rsidR="00BF2B3F" w:rsidRPr="00BF2B3F">
              <w:rPr>
                <w:rFonts w:ascii="Times New Roman" w:eastAsia="Times New Roman" w:hAnsi="Times New Roman" w:cs="Times New Roman"/>
                <w:sz w:val="24"/>
                <w:szCs w:val="24"/>
                <w:lang w:eastAsia="lv-LV"/>
              </w:rPr>
              <w:t xml:space="preserve"> Rīgas pilsētas Vidzemes priekšpilsētas tiesa</w:t>
            </w:r>
            <w:r w:rsidR="00BF2B3F">
              <w:rPr>
                <w:rFonts w:ascii="Times New Roman" w:eastAsia="Times New Roman" w:hAnsi="Times New Roman" w:cs="Times New Roman"/>
                <w:sz w:val="24"/>
                <w:szCs w:val="24"/>
                <w:lang w:eastAsia="lv-LV"/>
              </w:rPr>
              <w:t xml:space="preserve">, </w:t>
            </w:r>
            <w:r w:rsidR="00BF2B3F" w:rsidRPr="00BF2B3F">
              <w:rPr>
                <w:rFonts w:ascii="Times New Roman" w:eastAsia="Times New Roman" w:hAnsi="Times New Roman" w:cs="Times New Roman"/>
                <w:sz w:val="24"/>
                <w:szCs w:val="24"/>
                <w:lang w:eastAsia="lv-LV"/>
              </w:rPr>
              <w:t>liet</w:t>
            </w:r>
            <w:r w:rsidR="00BF2B3F">
              <w:rPr>
                <w:rFonts w:ascii="Times New Roman" w:eastAsia="Times New Roman" w:hAnsi="Times New Roman" w:cs="Times New Roman"/>
                <w:sz w:val="24"/>
                <w:szCs w:val="24"/>
                <w:lang w:eastAsia="lv-LV"/>
              </w:rPr>
              <w:t>as</w:t>
            </w:r>
            <w:r w:rsidR="00BF2B3F" w:rsidRPr="00BF2B3F">
              <w:rPr>
                <w:rFonts w:ascii="Times New Roman" w:eastAsia="Times New Roman" w:hAnsi="Times New Roman" w:cs="Times New Roman"/>
                <w:sz w:val="24"/>
                <w:szCs w:val="24"/>
                <w:lang w:eastAsia="lv-LV"/>
              </w:rPr>
              <w:t xml:space="preserve"> par zaudējumu atlīdzināšanu par konkurences tiesību pārkāpumiem </w:t>
            </w:r>
            <w:r w:rsidR="00BF2B3F">
              <w:rPr>
                <w:rFonts w:ascii="Times New Roman" w:eastAsia="Times New Roman" w:hAnsi="Times New Roman" w:cs="Times New Roman"/>
                <w:sz w:val="24"/>
                <w:szCs w:val="24"/>
                <w:lang w:eastAsia="lv-LV"/>
              </w:rPr>
              <w:t xml:space="preserve">izskata </w:t>
            </w:r>
            <w:r w:rsidR="00BF2B3F" w:rsidRPr="00BF2B3F">
              <w:rPr>
                <w:rFonts w:ascii="Times New Roman" w:eastAsia="Times New Roman" w:hAnsi="Times New Roman" w:cs="Times New Roman"/>
                <w:sz w:val="24"/>
                <w:szCs w:val="24"/>
                <w:lang w:eastAsia="lv-LV"/>
              </w:rPr>
              <w:t>Rīgas pilsētas Latgales priekšpilsētas tiesa.</w:t>
            </w:r>
            <w:r w:rsidR="00BF2B3F">
              <w:rPr>
                <w:rFonts w:ascii="Times New Roman" w:eastAsia="Times New Roman" w:hAnsi="Times New Roman" w:cs="Times New Roman"/>
                <w:sz w:val="24"/>
                <w:szCs w:val="24"/>
                <w:lang w:eastAsia="lv-LV"/>
              </w:rPr>
              <w:t xml:space="preserve">  Attiecībā uz šīm lietu kategorijām</w:t>
            </w:r>
            <w:r w:rsidR="00E2784F">
              <w:rPr>
                <w:rFonts w:ascii="Times New Roman" w:eastAsia="Times New Roman" w:hAnsi="Times New Roman" w:cs="Times New Roman"/>
                <w:sz w:val="24"/>
                <w:szCs w:val="24"/>
                <w:lang w:eastAsia="lv-LV"/>
              </w:rPr>
              <w:t xml:space="preserve"> nav konstatētas problēmas ar lietas dalībnieku ierašanos uz tiesas sēdēm.</w:t>
            </w:r>
          </w:p>
        </w:tc>
      </w:tr>
      <w:tr w:rsidR="00DA326E" w:rsidRPr="00BC2633" w14:paraId="5245BA7A" w14:textId="77777777" w:rsidTr="00F41EF2">
        <w:trPr>
          <w:gridBefore w:val="1"/>
          <w:gridAfter w:val="2"/>
          <w:wBefore w:w="15" w:type="pct"/>
          <w:wAfter w:w="58" w:type="pct"/>
          <w:trHeight w:val="510"/>
        </w:trPr>
        <w:tc>
          <w:tcPr>
            <w:tcW w:w="192" w:type="pct"/>
            <w:tcBorders>
              <w:top w:val="outset" w:sz="6" w:space="0" w:color="414142"/>
              <w:left w:val="outset" w:sz="6" w:space="0" w:color="414142"/>
              <w:bottom w:val="outset" w:sz="6" w:space="0" w:color="414142"/>
              <w:right w:val="outset" w:sz="6" w:space="0" w:color="414142"/>
            </w:tcBorders>
            <w:hideMark/>
          </w:tcPr>
          <w:p w14:paraId="5F40837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3.</w:t>
            </w:r>
          </w:p>
        </w:tc>
        <w:tc>
          <w:tcPr>
            <w:tcW w:w="1528" w:type="pct"/>
            <w:gridSpan w:val="2"/>
            <w:tcBorders>
              <w:top w:val="outset" w:sz="6" w:space="0" w:color="414142"/>
              <w:left w:val="outset" w:sz="6" w:space="0" w:color="414142"/>
              <w:bottom w:val="outset" w:sz="6" w:space="0" w:color="414142"/>
              <w:right w:val="outset" w:sz="6" w:space="0" w:color="414142"/>
            </w:tcBorders>
            <w:hideMark/>
          </w:tcPr>
          <w:p w14:paraId="490198F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Administratīvo izmaksu monetārs novērtējums</w:t>
            </w:r>
          </w:p>
        </w:tc>
        <w:tc>
          <w:tcPr>
            <w:tcW w:w="3207" w:type="pct"/>
            <w:gridSpan w:val="6"/>
            <w:tcBorders>
              <w:top w:val="outset" w:sz="6" w:space="0" w:color="414142"/>
              <w:left w:val="outset" w:sz="6" w:space="0" w:color="414142"/>
              <w:bottom w:val="outset" w:sz="6" w:space="0" w:color="414142"/>
              <w:right w:val="outset" w:sz="6" w:space="0" w:color="414142"/>
            </w:tcBorders>
            <w:hideMark/>
          </w:tcPr>
          <w:p w14:paraId="48D29368" w14:textId="5961B780" w:rsidR="00CC7C9D" w:rsidRDefault="00FF3ED4" w:rsidP="00FD383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Nav iespējams precīzi noteikt. </w:t>
            </w:r>
          </w:p>
          <w:p w14:paraId="5D564945" w14:textId="51DB15D5" w:rsidR="00FD3830" w:rsidRPr="00BC2633" w:rsidRDefault="00FD3830" w:rsidP="00FD3830">
            <w:pPr>
              <w:spacing w:after="0" w:line="240" w:lineRule="auto"/>
              <w:jc w:val="both"/>
              <w:rPr>
                <w:rFonts w:ascii="Times New Roman" w:eastAsia="Times New Roman" w:hAnsi="Times New Roman" w:cs="Times New Roman"/>
                <w:sz w:val="24"/>
                <w:szCs w:val="24"/>
                <w:lang w:eastAsia="lv-LV"/>
              </w:rPr>
            </w:pPr>
          </w:p>
        </w:tc>
      </w:tr>
      <w:tr w:rsidR="00DA326E" w:rsidRPr="00BC2633" w14:paraId="2C02878A" w14:textId="77777777" w:rsidTr="00F41EF2">
        <w:trPr>
          <w:gridBefore w:val="1"/>
          <w:gridAfter w:val="2"/>
          <w:wBefore w:w="15" w:type="pct"/>
          <w:wAfter w:w="58" w:type="pct"/>
          <w:trHeight w:val="510"/>
        </w:trPr>
        <w:tc>
          <w:tcPr>
            <w:tcW w:w="192" w:type="pct"/>
            <w:tcBorders>
              <w:top w:val="outset" w:sz="6" w:space="0" w:color="414142"/>
              <w:left w:val="outset" w:sz="6" w:space="0" w:color="414142"/>
              <w:bottom w:val="outset" w:sz="6" w:space="0" w:color="414142"/>
              <w:right w:val="outset" w:sz="6" w:space="0" w:color="414142"/>
            </w:tcBorders>
          </w:tcPr>
          <w:p w14:paraId="5745159C" w14:textId="017EBBC8" w:rsidR="00A1552F" w:rsidRPr="00BC2633" w:rsidRDefault="00A1552F"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528" w:type="pct"/>
            <w:gridSpan w:val="2"/>
            <w:tcBorders>
              <w:top w:val="outset" w:sz="6" w:space="0" w:color="414142"/>
              <w:left w:val="outset" w:sz="6" w:space="0" w:color="414142"/>
              <w:bottom w:val="outset" w:sz="6" w:space="0" w:color="414142"/>
              <w:right w:val="outset" w:sz="6" w:space="0" w:color="414142"/>
            </w:tcBorders>
          </w:tcPr>
          <w:p w14:paraId="105AF451" w14:textId="0BBD8082" w:rsidR="00A1552F" w:rsidRPr="00BC2633" w:rsidRDefault="00A1552F" w:rsidP="00DA596D">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Atbilstības izmaksu monetārs novērtējums</w:t>
            </w:r>
          </w:p>
        </w:tc>
        <w:tc>
          <w:tcPr>
            <w:tcW w:w="3207" w:type="pct"/>
            <w:gridSpan w:val="6"/>
            <w:tcBorders>
              <w:top w:val="outset" w:sz="6" w:space="0" w:color="414142"/>
              <w:left w:val="outset" w:sz="6" w:space="0" w:color="414142"/>
              <w:bottom w:val="outset" w:sz="6" w:space="0" w:color="414142"/>
              <w:right w:val="outset" w:sz="6" w:space="0" w:color="414142"/>
            </w:tcBorders>
          </w:tcPr>
          <w:p w14:paraId="0C5B7775" w14:textId="5CE1749A" w:rsidR="00794B59" w:rsidRPr="00BC2633" w:rsidRDefault="00305EC9"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Projekts šo jomu neskar. </w:t>
            </w:r>
          </w:p>
        </w:tc>
      </w:tr>
      <w:tr w:rsidR="00DA326E" w:rsidRPr="00BC2633" w14:paraId="058C8E07" w14:textId="77777777" w:rsidTr="00F41EF2">
        <w:trPr>
          <w:gridBefore w:val="1"/>
          <w:gridAfter w:val="2"/>
          <w:wBefore w:w="15" w:type="pct"/>
          <w:wAfter w:w="58" w:type="pct"/>
          <w:trHeight w:val="345"/>
        </w:trPr>
        <w:tc>
          <w:tcPr>
            <w:tcW w:w="192" w:type="pct"/>
            <w:tcBorders>
              <w:top w:val="outset" w:sz="6" w:space="0" w:color="414142"/>
              <w:left w:val="outset" w:sz="6" w:space="0" w:color="414142"/>
              <w:bottom w:val="single" w:sz="4" w:space="0" w:color="auto"/>
              <w:right w:val="outset" w:sz="6" w:space="0" w:color="414142"/>
            </w:tcBorders>
            <w:hideMark/>
          </w:tcPr>
          <w:p w14:paraId="580FAF10" w14:textId="4634BFC2" w:rsidR="004D15A9" w:rsidRPr="00BC2633" w:rsidRDefault="00A1552F"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4D15A9" w:rsidRPr="00BC2633">
              <w:rPr>
                <w:rFonts w:ascii="Times New Roman" w:eastAsia="Times New Roman" w:hAnsi="Times New Roman" w:cs="Times New Roman"/>
                <w:sz w:val="24"/>
                <w:szCs w:val="24"/>
                <w:lang w:eastAsia="lv-LV"/>
              </w:rPr>
              <w:t>.</w:t>
            </w:r>
          </w:p>
        </w:tc>
        <w:tc>
          <w:tcPr>
            <w:tcW w:w="1528" w:type="pct"/>
            <w:gridSpan w:val="2"/>
            <w:tcBorders>
              <w:top w:val="outset" w:sz="6" w:space="0" w:color="414142"/>
              <w:left w:val="outset" w:sz="6" w:space="0" w:color="414142"/>
              <w:bottom w:val="single" w:sz="4" w:space="0" w:color="auto"/>
              <w:right w:val="outset" w:sz="6" w:space="0" w:color="414142"/>
            </w:tcBorders>
            <w:hideMark/>
          </w:tcPr>
          <w:p w14:paraId="6CBBE35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207" w:type="pct"/>
            <w:gridSpan w:val="6"/>
            <w:tcBorders>
              <w:top w:val="outset" w:sz="6" w:space="0" w:color="414142"/>
              <w:left w:val="outset" w:sz="6" w:space="0" w:color="414142"/>
              <w:bottom w:val="single" w:sz="4" w:space="0" w:color="auto"/>
              <w:right w:val="outset" w:sz="6" w:space="0" w:color="414142"/>
            </w:tcBorders>
            <w:hideMark/>
          </w:tcPr>
          <w:p w14:paraId="5CC17AB0" w14:textId="242C76FC" w:rsidR="004D15A9" w:rsidRPr="00BC2633" w:rsidRDefault="004D15A9" w:rsidP="001C5969">
            <w:pPr>
              <w:spacing w:after="0" w:line="240" w:lineRule="auto"/>
              <w:jc w:val="both"/>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Nav</w:t>
            </w:r>
            <w:r w:rsidR="000E42FD">
              <w:rPr>
                <w:rFonts w:ascii="Times New Roman" w:eastAsia="Times New Roman" w:hAnsi="Times New Roman" w:cs="Times New Roman"/>
                <w:sz w:val="24"/>
                <w:szCs w:val="24"/>
                <w:lang w:eastAsia="lv-LV"/>
              </w:rPr>
              <w:t>.</w:t>
            </w:r>
          </w:p>
        </w:tc>
      </w:tr>
      <w:tr w:rsidR="0059057E" w:rsidRPr="00BC2633" w14:paraId="347A5AC7" w14:textId="77777777" w:rsidTr="00F41EF2">
        <w:trPr>
          <w:gridBefore w:val="1"/>
          <w:gridAfter w:val="2"/>
          <w:wBefore w:w="15" w:type="pct"/>
          <w:wAfter w:w="58" w:type="pct"/>
          <w:trHeight w:val="360"/>
        </w:trPr>
        <w:tc>
          <w:tcPr>
            <w:tcW w:w="4927" w:type="pct"/>
            <w:gridSpan w:val="9"/>
            <w:tcBorders>
              <w:top w:val="single" w:sz="4" w:space="0" w:color="auto"/>
              <w:left w:val="nil"/>
              <w:bottom w:val="nil"/>
              <w:right w:val="nil"/>
            </w:tcBorders>
            <w:vAlign w:val="center"/>
          </w:tcPr>
          <w:p w14:paraId="541E9657" w14:textId="53E83152" w:rsidR="00504BE1" w:rsidRPr="00504BE1" w:rsidRDefault="00504BE1" w:rsidP="00504BE1">
            <w:pPr>
              <w:rPr>
                <w:rFonts w:ascii="Times New Roman" w:eastAsia="Times New Roman" w:hAnsi="Times New Roman" w:cs="Times New Roman"/>
                <w:sz w:val="24"/>
                <w:szCs w:val="24"/>
                <w:lang w:eastAsia="lv-LV"/>
              </w:rPr>
            </w:pPr>
          </w:p>
        </w:tc>
      </w:tr>
      <w:tr w:rsidR="008E3C68" w:rsidRPr="00FE282F" w14:paraId="507D92B0" w14:textId="77777777" w:rsidTr="00F41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c>
          <w:tcPr>
            <w:tcW w:w="5000" w:type="pct"/>
            <w:gridSpan w:val="12"/>
            <w:tcBorders>
              <w:top w:val="single" w:sz="4" w:space="0" w:color="auto"/>
              <w:left w:val="single" w:sz="4" w:space="0" w:color="auto"/>
              <w:bottom w:val="single" w:sz="4" w:space="0" w:color="auto"/>
              <w:right w:val="single" w:sz="4" w:space="0" w:color="auto"/>
            </w:tcBorders>
            <w:vAlign w:val="center"/>
            <w:hideMark/>
          </w:tcPr>
          <w:p w14:paraId="011CFF5F" w14:textId="77777777" w:rsidR="008E3C68" w:rsidRPr="00FE282F" w:rsidRDefault="008E3C68" w:rsidP="00827A15">
            <w:pPr>
              <w:spacing w:after="0" w:line="240" w:lineRule="auto"/>
              <w:jc w:val="center"/>
              <w:rPr>
                <w:rFonts w:ascii="Times New Roman" w:eastAsia="Times New Roman" w:hAnsi="Times New Roman" w:cs="Times New Roman"/>
                <w:b/>
                <w:bCs/>
                <w:sz w:val="24"/>
                <w:szCs w:val="24"/>
              </w:rPr>
            </w:pPr>
            <w:r w:rsidRPr="00FE282F">
              <w:rPr>
                <w:rFonts w:ascii="Times New Roman" w:eastAsia="Times New Roman" w:hAnsi="Times New Roman" w:cs="Times New Roman"/>
                <w:b/>
                <w:bCs/>
                <w:sz w:val="24"/>
                <w:szCs w:val="24"/>
              </w:rPr>
              <w:t>III. Tiesību akta projekta ietekme uz valsts budžetu un pašvaldību budžetiem</w:t>
            </w:r>
          </w:p>
        </w:tc>
      </w:tr>
      <w:tr w:rsidR="008E3C68" w:rsidRPr="00FE282F" w14:paraId="40B4C5C9" w14:textId="77777777" w:rsidTr="00F41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7" w:type="pct"/>
        </w:trPr>
        <w:tc>
          <w:tcPr>
            <w:tcW w:w="1148" w:type="pct"/>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C714619" w14:textId="77777777" w:rsidR="008E3C68" w:rsidRPr="00FE282F" w:rsidRDefault="008E3C68" w:rsidP="00827A15">
            <w:pPr>
              <w:spacing w:after="0" w:line="240" w:lineRule="auto"/>
              <w:jc w:val="center"/>
              <w:rPr>
                <w:rFonts w:ascii="Times New Roman" w:eastAsia="Times New Roman" w:hAnsi="Times New Roman" w:cs="Times New Roman"/>
                <w:bCs/>
                <w:sz w:val="24"/>
                <w:szCs w:val="24"/>
              </w:rPr>
            </w:pPr>
            <w:r w:rsidRPr="00FE282F">
              <w:rPr>
                <w:rFonts w:ascii="Times New Roman" w:eastAsia="Times New Roman" w:hAnsi="Times New Roman" w:cs="Times New Roman"/>
                <w:bCs/>
                <w:sz w:val="24"/>
                <w:szCs w:val="24"/>
              </w:rPr>
              <w:t>Rādītāji</w:t>
            </w:r>
          </w:p>
        </w:tc>
        <w:tc>
          <w:tcPr>
            <w:tcW w:w="1181"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09B226C" w14:textId="1E08B7BE" w:rsidR="008E3C68" w:rsidRPr="00FE282F" w:rsidRDefault="008E3C68" w:rsidP="00827A15">
            <w:pPr>
              <w:spacing w:after="0" w:line="240" w:lineRule="auto"/>
              <w:jc w:val="center"/>
              <w:rPr>
                <w:rFonts w:ascii="Times New Roman" w:eastAsia="Times New Roman" w:hAnsi="Times New Roman" w:cs="Times New Roman"/>
                <w:bCs/>
                <w:sz w:val="24"/>
                <w:szCs w:val="24"/>
              </w:rPr>
            </w:pPr>
            <w:r w:rsidRPr="00FE282F">
              <w:rPr>
                <w:rFonts w:ascii="Times New Roman" w:eastAsia="Times New Roman" w:hAnsi="Times New Roman" w:cs="Times New Roman"/>
                <w:bCs/>
                <w:sz w:val="24"/>
                <w:szCs w:val="24"/>
              </w:rPr>
              <w:t>201</w:t>
            </w:r>
            <w:r w:rsidR="00F41EF2">
              <w:rPr>
                <w:rFonts w:ascii="Times New Roman" w:eastAsia="Times New Roman" w:hAnsi="Times New Roman" w:cs="Times New Roman"/>
                <w:bCs/>
                <w:sz w:val="24"/>
                <w:szCs w:val="24"/>
              </w:rPr>
              <w:t>9</w:t>
            </w:r>
            <w:r w:rsidRPr="00FE282F">
              <w:rPr>
                <w:rFonts w:ascii="Times New Roman" w:eastAsia="Times New Roman" w:hAnsi="Times New Roman" w:cs="Times New Roman"/>
                <w:bCs/>
                <w:sz w:val="24"/>
                <w:szCs w:val="24"/>
              </w:rPr>
              <w:t>. gads</w:t>
            </w:r>
          </w:p>
        </w:tc>
        <w:tc>
          <w:tcPr>
            <w:tcW w:w="2664"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7A844E17" w14:textId="77777777" w:rsidR="008E3C68" w:rsidRPr="00FE282F" w:rsidRDefault="008E3C68" w:rsidP="00827A15">
            <w:pPr>
              <w:spacing w:after="0" w:line="240" w:lineRule="auto"/>
              <w:jc w:val="center"/>
              <w:rPr>
                <w:rFonts w:ascii="Times New Roman" w:eastAsia="Times New Roman" w:hAnsi="Times New Roman" w:cs="Times New Roman"/>
                <w:sz w:val="24"/>
                <w:szCs w:val="24"/>
              </w:rPr>
            </w:pPr>
            <w:r w:rsidRPr="00FE282F">
              <w:rPr>
                <w:rFonts w:ascii="Times New Roman" w:eastAsia="Times New Roman" w:hAnsi="Times New Roman" w:cs="Times New Roman"/>
                <w:sz w:val="24"/>
                <w:szCs w:val="24"/>
              </w:rPr>
              <w:t>Turpmākie trīs gadi (</w:t>
            </w:r>
            <w:proofErr w:type="spellStart"/>
            <w:r w:rsidRPr="00FE282F">
              <w:rPr>
                <w:rFonts w:ascii="Times New Roman" w:eastAsia="Times New Roman" w:hAnsi="Times New Roman" w:cs="Times New Roman"/>
                <w:i/>
                <w:iCs/>
                <w:sz w:val="24"/>
                <w:szCs w:val="24"/>
              </w:rPr>
              <w:t>euro</w:t>
            </w:r>
            <w:proofErr w:type="spellEnd"/>
            <w:r w:rsidRPr="00FE282F">
              <w:rPr>
                <w:rFonts w:ascii="Times New Roman" w:eastAsia="Times New Roman" w:hAnsi="Times New Roman" w:cs="Times New Roman"/>
                <w:sz w:val="24"/>
                <w:szCs w:val="24"/>
              </w:rPr>
              <w:t>)</w:t>
            </w:r>
          </w:p>
        </w:tc>
      </w:tr>
      <w:tr w:rsidR="008E3C68" w:rsidRPr="00FE282F" w14:paraId="541F2EB7" w14:textId="77777777" w:rsidTr="006E0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7" w:type="pct"/>
        </w:trPr>
        <w:tc>
          <w:tcPr>
            <w:tcW w:w="1148" w:type="pct"/>
            <w:gridSpan w:val="3"/>
            <w:vMerge/>
            <w:tcBorders>
              <w:top w:val="single" w:sz="4" w:space="0" w:color="auto"/>
              <w:left w:val="single" w:sz="4" w:space="0" w:color="auto"/>
              <w:bottom w:val="single" w:sz="4" w:space="0" w:color="auto"/>
              <w:right w:val="single" w:sz="4" w:space="0" w:color="auto"/>
            </w:tcBorders>
            <w:vAlign w:val="center"/>
            <w:hideMark/>
          </w:tcPr>
          <w:p w14:paraId="72148C8E" w14:textId="77777777" w:rsidR="008E3C68" w:rsidRPr="00FE282F" w:rsidRDefault="008E3C68" w:rsidP="00827A15">
            <w:pPr>
              <w:spacing w:after="0" w:line="240" w:lineRule="auto"/>
              <w:rPr>
                <w:rFonts w:ascii="Times New Roman" w:eastAsia="Times New Roman" w:hAnsi="Times New Roman" w:cs="Times New Roman"/>
                <w:bCs/>
                <w:sz w:val="24"/>
                <w:szCs w:val="24"/>
              </w:rPr>
            </w:pPr>
          </w:p>
        </w:tc>
        <w:tc>
          <w:tcPr>
            <w:tcW w:w="1181" w:type="pct"/>
            <w:gridSpan w:val="2"/>
            <w:vMerge/>
            <w:tcBorders>
              <w:top w:val="single" w:sz="4" w:space="0" w:color="auto"/>
              <w:left w:val="single" w:sz="4" w:space="0" w:color="auto"/>
              <w:bottom w:val="single" w:sz="4" w:space="0" w:color="auto"/>
              <w:right w:val="single" w:sz="4" w:space="0" w:color="auto"/>
            </w:tcBorders>
            <w:vAlign w:val="center"/>
            <w:hideMark/>
          </w:tcPr>
          <w:p w14:paraId="196109F1" w14:textId="77777777" w:rsidR="008E3C68" w:rsidRPr="00FE282F" w:rsidRDefault="008E3C68" w:rsidP="00827A15">
            <w:pPr>
              <w:spacing w:after="0" w:line="240" w:lineRule="auto"/>
              <w:rPr>
                <w:rFonts w:ascii="Times New Roman" w:eastAsia="Times New Roman" w:hAnsi="Times New Roman" w:cs="Times New Roman"/>
                <w:bCs/>
                <w:sz w:val="24"/>
                <w:szCs w:val="24"/>
              </w:rPr>
            </w:pPr>
          </w:p>
        </w:tc>
        <w:tc>
          <w:tcPr>
            <w:tcW w:w="1044"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AC71AD3" w14:textId="337C8FB2" w:rsidR="008E3C68" w:rsidRPr="00FE282F" w:rsidRDefault="00F41EF2" w:rsidP="00827A1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2020</w:t>
            </w:r>
          </w:p>
        </w:tc>
        <w:tc>
          <w:tcPr>
            <w:tcW w:w="1044"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5CD3F1" w14:textId="697FDE61" w:rsidR="008E3C68" w:rsidRPr="00FE282F" w:rsidRDefault="008E3C68" w:rsidP="00827A15">
            <w:pPr>
              <w:spacing w:after="0" w:line="240" w:lineRule="auto"/>
              <w:jc w:val="center"/>
              <w:rPr>
                <w:rFonts w:ascii="Times New Roman" w:eastAsia="Times New Roman" w:hAnsi="Times New Roman" w:cs="Times New Roman"/>
                <w:bCs/>
                <w:sz w:val="24"/>
                <w:szCs w:val="24"/>
              </w:rPr>
            </w:pPr>
            <w:r w:rsidRPr="00FE282F">
              <w:rPr>
                <w:rFonts w:ascii="Times New Roman" w:eastAsia="Times New Roman" w:hAnsi="Times New Roman" w:cs="Times New Roman"/>
                <w:bCs/>
                <w:sz w:val="24"/>
                <w:szCs w:val="24"/>
              </w:rPr>
              <w:t>202</w:t>
            </w:r>
            <w:r w:rsidR="00F41EF2">
              <w:rPr>
                <w:rFonts w:ascii="Times New Roman" w:eastAsia="Times New Roman" w:hAnsi="Times New Roman" w:cs="Times New Roman"/>
                <w:bCs/>
                <w:sz w:val="24"/>
                <w:szCs w:val="24"/>
              </w:rPr>
              <w:t>1</w:t>
            </w:r>
          </w:p>
        </w:tc>
        <w:tc>
          <w:tcPr>
            <w:tcW w:w="57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3B7C60" w14:textId="65057EA8" w:rsidR="008E3C68" w:rsidRPr="00FE282F" w:rsidRDefault="008E3C68" w:rsidP="00827A15">
            <w:pPr>
              <w:spacing w:after="0" w:line="240" w:lineRule="auto"/>
              <w:jc w:val="center"/>
              <w:rPr>
                <w:rFonts w:ascii="Times New Roman" w:eastAsia="Times New Roman" w:hAnsi="Times New Roman" w:cs="Times New Roman"/>
                <w:bCs/>
                <w:sz w:val="24"/>
                <w:szCs w:val="24"/>
              </w:rPr>
            </w:pPr>
            <w:r w:rsidRPr="00FE282F">
              <w:rPr>
                <w:rFonts w:ascii="Times New Roman" w:eastAsia="Times New Roman" w:hAnsi="Times New Roman" w:cs="Times New Roman"/>
                <w:bCs/>
                <w:sz w:val="24"/>
                <w:szCs w:val="24"/>
              </w:rPr>
              <w:t>202</w:t>
            </w:r>
            <w:r w:rsidR="00F41EF2">
              <w:rPr>
                <w:rFonts w:ascii="Times New Roman" w:eastAsia="Times New Roman" w:hAnsi="Times New Roman" w:cs="Times New Roman"/>
                <w:bCs/>
                <w:sz w:val="24"/>
                <w:szCs w:val="24"/>
              </w:rPr>
              <w:t>2</w:t>
            </w:r>
          </w:p>
        </w:tc>
      </w:tr>
      <w:tr w:rsidR="008E3C68" w:rsidRPr="00FE282F" w14:paraId="4E77BB63" w14:textId="77777777" w:rsidTr="006E0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7" w:type="pct"/>
        </w:trPr>
        <w:tc>
          <w:tcPr>
            <w:tcW w:w="1148" w:type="pct"/>
            <w:gridSpan w:val="3"/>
            <w:vMerge/>
            <w:tcBorders>
              <w:top w:val="single" w:sz="4" w:space="0" w:color="auto"/>
              <w:left w:val="single" w:sz="4" w:space="0" w:color="auto"/>
              <w:bottom w:val="single" w:sz="4" w:space="0" w:color="auto"/>
              <w:right w:val="single" w:sz="4" w:space="0" w:color="auto"/>
            </w:tcBorders>
            <w:vAlign w:val="center"/>
            <w:hideMark/>
          </w:tcPr>
          <w:p w14:paraId="4B4FF307" w14:textId="77777777" w:rsidR="008E3C68" w:rsidRPr="00FE282F" w:rsidRDefault="008E3C68" w:rsidP="00827A15">
            <w:pPr>
              <w:spacing w:after="0" w:line="240" w:lineRule="auto"/>
              <w:rPr>
                <w:rFonts w:ascii="Times New Roman" w:eastAsia="Times New Roman" w:hAnsi="Times New Roman" w:cs="Times New Roman"/>
                <w:bCs/>
                <w:sz w:val="24"/>
                <w:szCs w:val="24"/>
              </w:rPr>
            </w:pPr>
          </w:p>
        </w:tc>
        <w:tc>
          <w:tcPr>
            <w:tcW w:w="58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2B377F" w14:textId="77777777" w:rsidR="008E3C68" w:rsidRPr="00FE282F" w:rsidRDefault="008E3C68" w:rsidP="00827A15">
            <w:pPr>
              <w:spacing w:after="0" w:line="240" w:lineRule="auto"/>
              <w:jc w:val="center"/>
              <w:rPr>
                <w:rFonts w:ascii="Times New Roman" w:eastAsia="Times New Roman" w:hAnsi="Times New Roman" w:cs="Times New Roman"/>
                <w:sz w:val="24"/>
                <w:szCs w:val="24"/>
              </w:rPr>
            </w:pPr>
            <w:r w:rsidRPr="00FE282F">
              <w:rPr>
                <w:rFonts w:ascii="Times New Roman" w:eastAsia="Times New Roman" w:hAnsi="Times New Roman" w:cs="Times New Roman"/>
                <w:sz w:val="24"/>
                <w:szCs w:val="24"/>
              </w:rPr>
              <w:t>saskaņā ar valsts budžetu kārtējam gadam</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FCE8D0" w14:textId="77777777" w:rsidR="008E3C68" w:rsidRPr="00FE282F" w:rsidRDefault="008E3C68" w:rsidP="00827A15">
            <w:pPr>
              <w:spacing w:after="0" w:line="240" w:lineRule="auto"/>
              <w:jc w:val="center"/>
              <w:rPr>
                <w:rFonts w:ascii="Times New Roman" w:eastAsia="Times New Roman" w:hAnsi="Times New Roman" w:cs="Times New Roman"/>
                <w:sz w:val="24"/>
                <w:szCs w:val="24"/>
              </w:rPr>
            </w:pPr>
            <w:r w:rsidRPr="00FE282F">
              <w:rPr>
                <w:rFonts w:ascii="Times New Roman" w:eastAsia="Times New Roman" w:hAnsi="Times New Roman" w:cs="Times New Roman"/>
                <w:sz w:val="24"/>
                <w:szCs w:val="24"/>
              </w:rPr>
              <w:t>izmaiņas kārtējā gadā, salīdzinot ar valsts budžetu kārtējam gadam</w:t>
            </w:r>
          </w:p>
        </w:tc>
        <w:tc>
          <w:tcPr>
            <w:tcW w:w="5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7C6010" w14:textId="77777777" w:rsidR="008E3C68" w:rsidRPr="00FE282F" w:rsidRDefault="008E3C68" w:rsidP="00827A15">
            <w:pPr>
              <w:spacing w:after="0" w:line="240" w:lineRule="auto"/>
              <w:jc w:val="center"/>
              <w:rPr>
                <w:rFonts w:ascii="Times New Roman" w:eastAsia="Times New Roman" w:hAnsi="Times New Roman" w:cs="Times New Roman"/>
                <w:sz w:val="24"/>
                <w:szCs w:val="24"/>
              </w:rPr>
            </w:pPr>
            <w:r w:rsidRPr="00FE282F">
              <w:rPr>
                <w:rFonts w:ascii="Times New Roman" w:eastAsia="Times New Roman" w:hAnsi="Times New Roman" w:cs="Times New Roman"/>
                <w:sz w:val="24"/>
                <w:szCs w:val="24"/>
              </w:rPr>
              <w:t>saskaņā ar vidēja termiņa budžeta ietvaru</w:t>
            </w:r>
          </w:p>
        </w:tc>
        <w:tc>
          <w:tcPr>
            <w:tcW w:w="5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7DF9E2" w14:textId="614C2A7E" w:rsidR="008E3C68" w:rsidRPr="00FE282F" w:rsidRDefault="008E3C68" w:rsidP="00827A15">
            <w:pPr>
              <w:spacing w:after="0" w:line="240" w:lineRule="auto"/>
              <w:jc w:val="center"/>
              <w:rPr>
                <w:rFonts w:ascii="Times New Roman" w:eastAsia="Times New Roman" w:hAnsi="Times New Roman" w:cs="Times New Roman"/>
                <w:sz w:val="24"/>
                <w:szCs w:val="24"/>
              </w:rPr>
            </w:pPr>
            <w:r w:rsidRPr="00FE282F">
              <w:rPr>
                <w:rFonts w:ascii="Times New Roman" w:eastAsia="Times New Roman" w:hAnsi="Times New Roman" w:cs="Times New Roman"/>
                <w:sz w:val="24"/>
                <w:szCs w:val="24"/>
              </w:rPr>
              <w:t>izmaiņas, salīdzinot ar vidēja termiņa budžeta ietvaru 20</w:t>
            </w:r>
            <w:r w:rsidR="006E07A1">
              <w:rPr>
                <w:rFonts w:ascii="Times New Roman" w:eastAsia="Times New Roman" w:hAnsi="Times New Roman" w:cs="Times New Roman"/>
                <w:sz w:val="24"/>
                <w:szCs w:val="24"/>
              </w:rPr>
              <w:t>20</w:t>
            </w:r>
            <w:r w:rsidRPr="00FE282F">
              <w:rPr>
                <w:rFonts w:ascii="Times New Roman" w:eastAsia="Times New Roman" w:hAnsi="Times New Roman" w:cs="Times New Roman"/>
                <w:sz w:val="24"/>
                <w:szCs w:val="24"/>
              </w:rPr>
              <w:t>. gadam</w:t>
            </w:r>
          </w:p>
        </w:tc>
        <w:tc>
          <w:tcPr>
            <w:tcW w:w="5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E85C87" w14:textId="77777777" w:rsidR="008E3C68" w:rsidRPr="00FE282F" w:rsidRDefault="008E3C68" w:rsidP="00827A15">
            <w:pPr>
              <w:spacing w:after="0" w:line="240" w:lineRule="auto"/>
              <w:jc w:val="center"/>
              <w:rPr>
                <w:rFonts w:ascii="Times New Roman" w:eastAsia="Times New Roman" w:hAnsi="Times New Roman" w:cs="Times New Roman"/>
                <w:sz w:val="24"/>
                <w:szCs w:val="24"/>
              </w:rPr>
            </w:pPr>
            <w:r w:rsidRPr="00FE282F">
              <w:rPr>
                <w:rFonts w:ascii="Times New Roman" w:eastAsia="Times New Roman" w:hAnsi="Times New Roman" w:cs="Times New Roman"/>
                <w:sz w:val="24"/>
                <w:szCs w:val="24"/>
              </w:rPr>
              <w:t>saskaņā ar vidēja termiņa budžeta ietvaru</w:t>
            </w:r>
          </w:p>
        </w:tc>
        <w:tc>
          <w:tcPr>
            <w:tcW w:w="5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32502D" w14:textId="21CBFB3E" w:rsidR="008E3C68" w:rsidRPr="00FE282F" w:rsidRDefault="008E3C68" w:rsidP="00827A15">
            <w:pPr>
              <w:spacing w:after="0" w:line="240" w:lineRule="auto"/>
              <w:jc w:val="center"/>
              <w:rPr>
                <w:rFonts w:ascii="Times New Roman" w:eastAsia="Times New Roman" w:hAnsi="Times New Roman" w:cs="Times New Roman"/>
                <w:sz w:val="24"/>
                <w:szCs w:val="24"/>
              </w:rPr>
            </w:pPr>
            <w:r w:rsidRPr="00FE282F">
              <w:rPr>
                <w:rFonts w:ascii="Times New Roman" w:eastAsia="Times New Roman" w:hAnsi="Times New Roman" w:cs="Times New Roman"/>
                <w:sz w:val="24"/>
                <w:szCs w:val="24"/>
              </w:rPr>
              <w:t>izmaiņas, salīdzinot ar vidēja termiņa budžeta ietvaru 202</w:t>
            </w:r>
            <w:r w:rsidR="006E07A1">
              <w:rPr>
                <w:rFonts w:ascii="Times New Roman" w:eastAsia="Times New Roman" w:hAnsi="Times New Roman" w:cs="Times New Roman"/>
                <w:sz w:val="24"/>
                <w:szCs w:val="24"/>
              </w:rPr>
              <w:t>1</w:t>
            </w:r>
            <w:r w:rsidRPr="00FE282F">
              <w:rPr>
                <w:rFonts w:ascii="Times New Roman" w:eastAsia="Times New Roman" w:hAnsi="Times New Roman" w:cs="Times New Roman"/>
                <w:sz w:val="24"/>
                <w:szCs w:val="24"/>
              </w:rPr>
              <w:t>. gadam</w:t>
            </w:r>
          </w:p>
        </w:tc>
        <w:tc>
          <w:tcPr>
            <w:tcW w:w="57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93AC3D6" w14:textId="1FC181CF" w:rsidR="008E3C68" w:rsidRPr="00FE282F" w:rsidRDefault="008E3C68" w:rsidP="00827A15">
            <w:pPr>
              <w:spacing w:after="0" w:line="240" w:lineRule="auto"/>
              <w:jc w:val="center"/>
              <w:rPr>
                <w:rFonts w:ascii="Times New Roman" w:eastAsia="Times New Roman" w:hAnsi="Times New Roman" w:cs="Times New Roman"/>
                <w:sz w:val="24"/>
                <w:szCs w:val="24"/>
              </w:rPr>
            </w:pPr>
            <w:r w:rsidRPr="00FE282F">
              <w:rPr>
                <w:rFonts w:ascii="Times New Roman" w:eastAsia="Times New Roman" w:hAnsi="Times New Roman" w:cs="Times New Roman"/>
                <w:sz w:val="24"/>
                <w:szCs w:val="24"/>
              </w:rPr>
              <w:t>izmaiņas, salīdzinot ar vidēja termiņa budžeta 202</w:t>
            </w:r>
            <w:r w:rsidR="006E07A1">
              <w:rPr>
                <w:rFonts w:ascii="Times New Roman" w:eastAsia="Times New Roman" w:hAnsi="Times New Roman" w:cs="Times New Roman"/>
                <w:sz w:val="24"/>
                <w:szCs w:val="24"/>
              </w:rPr>
              <w:t>1</w:t>
            </w:r>
            <w:r w:rsidRPr="00FE282F">
              <w:rPr>
                <w:rFonts w:ascii="Times New Roman" w:eastAsia="Times New Roman" w:hAnsi="Times New Roman" w:cs="Times New Roman"/>
                <w:sz w:val="24"/>
                <w:szCs w:val="24"/>
              </w:rPr>
              <w:t>. gadam</w:t>
            </w:r>
          </w:p>
        </w:tc>
      </w:tr>
      <w:tr w:rsidR="008E3C68" w:rsidRPr="00FE282F" w14:paraId="2773C233" w14:textId="77777777" w:rsidTr="006E0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7" w:type="pct"/>
        </w:trPr>
        <w:tc>
          <w:tcPr>
            <w:tcW w:w="114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25CAC37" w14:textId="77777777" w:rsidR="008E3C68" w:rsidRPr="00FE282F" w:rsidRDefault="008E3C68" w:rsidP="00827A15">
            <w:pPr>
              <w:spacing w:after="0" w:line="240" w:lineRule="auto"/>
              <w:jc w:val="center"/>
              <w:rPr>
                <w:rFonts w:ascii="Times New Roman" w:eastAsia="Times New Roman" w:hAnsi="Times New Roman" w:cs="Times New Roman"/>
                <w:sz w:val="24"/>
                <w:szCs w:val="24"/>
              </w:rPr>
            </w:pPr>
            <w:r w:rsidRPr="00FE282F">
              <w:rPr>
                <w:rFonts w:ascii="Times New Roman" w:eastAsia="Times New Roman" w:hAnsi="Times New Roman" w:cs="Times New Roman"/>
                <w:sz w:val="24"/>
                <w:szCs w:val="24"/>
              </w:rPr>
              <w:t>1</w:t>
            </w:r>
          </w:p>
        </w:tc>
        <w:tc>
          <w:tcPr>
            <w:tcW w:w="58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479F5C" w14:textId="77777777" w:rsidR="008E3C68" w:rsidRPr="00FE282F" w:rsidRDefault="008E3C68" w:rsidP="00827A15">
            <w:pPr>
              <w:spacing w:after="0" w:line="240" w:lineRule="auto"/>
              <w:jc w:val="center"/>
              <w:rPr>
                <w:rFonts w:ascii="Times New Roman" w:eastAsia="Times New Roman" w:hAnsi="Times New Roman" w:cs="Times New Roman"/>
                <w:sz w:val="24"/>
                <w:szCs w:val="24"/>
              </w:rPr>
            </w:pPr>
            <w:r w:rsidRPr="00FE282F">
              <w:rPr>
                <w:rFonts w:ascii="Times New Roman" w:eastAsia="Times New Roman" w:hAnsi="Times New Roman" w:cs="Times New Roman"/>
                <w:sz w:val="24"/>
                <w:szCs w:val="24"/>
              </w:rPr>
              <w:t>2</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B95D0C" w14:textId="77777777" w:rsidR="008E3C68" w:rsidRPr="00FE282F" w:rsidRDefault="008E3C68" w:rsidP="00827A15">
            <w:pPr>
              <w:spacing w:after="0" w:line="240" w:lineRule="auto"/>
              <w:jc w:val="center"/>
              <w:rPr>
                <w:rFonts w:ascii="Times New Roman" w:eastAsia="Times New Roman" w:hAnsi="Times New Roman" w:cs="Times New Roman"/>
                <w:sz w:val="24"/>
                <w:szCs w:val="24"/>
              </w:rPr>
            </w:pPr>
            <w:r w:rsidRPr="00FE282F">
              <w:rPr>
                <w:rFonts w:ascii="Times New Roman" w:eastAsia="Times New Roman" w:hAnsi="Times New Roman" w:cs="Times New Roman"/>
                <w:sz w:val="24"/>
                <w:szCs w:val="24"/>
              </w:rPr>
              <w:t>3</w:t>
            </w:r>
          </w:p>
        </w:tc>
        <w:tc>
          <w:tcPr>
            <w:tcW w:w="5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3359EA" w14:textId="77777777" w:rsidR="008E3C68" w:rsidRPr="00FE282F" w:rsidRDefault="008E3C68" w:rsidP="00827A15">
            <w:pPr>
              <w:spacing w:after="0" w:line="240" w:lineRule="auto"/>
              <w:jc w:val="center"/>
              <w:rPr>
                <w:rFonts w:ascii="Times New Roman" w:eastAsia="Times New Roman" w:hAnsi="Times New Roman" w:cs="Times New Roman"/>
                <w:sz w:val="24"/>
                <w:szCs w:val="24"/>
              </w:rPr>
            </w:pPr>
            <w:r w:rsidRPr="00FE282F">
              <w:rPr>
                <w:rFonts w:ascii="Times New Roman" w:eastAsia="Times New Roman" w:hAnsi="Times New Roman" w:cs="Times New Roman"/>
                <w:sz w:val="24"/>
                <w:szCs w:val="24"/>
              </w:rPr>
              <w:t>4</w:t>
            </w:r>
          </w:p>
        </w:tc>
        <w:tc>
          <w:tcPr>
            <w:tcW w:w="5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0D6DED" w14:textId="77777777" w:rsidR="008E3C68" w:rsidRPr="00FE282F" w:rsidRDefault="008E3C68" w:rsidP="00827A15">
            <w:pPr>
              <w:spacing w:after="0" w:line="240" w:lineRule="auto"/>
              <w:jc w:val="center"/>
              <w:rPr>
                <w:rFonts w:ascii="Times New Roman" w:eastAsia="Times New Roman" w:hAnsi="Times New Roman" w:cs="Times New Roman"/>
                <w:sz w:val="24"/>
                <w:szCs w:val="24"/>
              </w:rPr>
            </w:pPr>
            <w:r w:rsidRPr="00FE282F">
              <w:rPr>
                <w:rFonts w:ascii="Times New Roman" w:eastAsia="Times New Roman" w:hAnsi="Times New Roman" w:cs="Times New Roman"/>
                <w:sz w:val="24"/>
                <w:szCs w:val="24"/>
              </w:rPr>
              <w:t>5</w:t>
            </w:r>
          </w:p>
        </w:tc>
        <w:tc>
          <w:tcPr>
            <w:tcW w:w="5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3F0A1E" w14:textId="77777777" w:rsidR="008E3C68" w:rsidRPr="00FE282F" w:rsidRDefault="008E3C68" w:rsidP="00827A15">
            <w:pPr>
              <w:spacing w:after="0" w:line="240" w:lineRule="auto"/>
              <w:jc w:val="center"/>
              <w:rPr>
                <w:rFonts w:ascii="Times New Roman" w:eastAsia="Times New Roman" w:hAnsi="Times New Roman" w:cs="Times New Roman"/>
                <w:sz w:val="24"/>
                <w:szCs w:val="24"/>
              </w:rPr>
            </w:pPr>
            <w:r w:rsidRPr="00FE282F">
              <w:rPr>
                <w:rFonts w:ascii="Times New Roman" w:eastAsia="Times New Roman" w:hAnsi="Times New Roman" w:cs="Times New Roman"/>
                <w:sz w:val="24"/>
                <w:szCs w:val="24"/>
              </w:rPr>
              <w:t>6</w:t>
            </w:r>
          </w:p>
        </w:tc>
        <w:tc>
          <w:tcPr>
            <w:tcW w:w="5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7405C1" w14:textId="77777777" w:rsidR="008E3C68" w:rsidRPr="00FE282F" w:rsidRDefault="008E3C68" w:rsidP="00827A15">
            <w:pPr>
              <w:spacing w:after="0" w:line="240" w:lineRule="auto"/>
              <w:jc w:val="center"/>
              <w:rPr>
                <w:rFonts w:ascii="Times New Roman" w:eastAsia="Times New Roman" w:hAnsi="Times New Roman" w:cs="Times New Roman"/>
                <w:sz w:val="24"/>
                <w:szCs w:val="24"/>
              </w:rPr>
            </w:pPr>
            <w:r w:rsidRPr="00FE282F">
              <w:rPr>
                <w:rFonts w:ascii="Times New Roman" w:eastAsia="Times New Roman" w:hAnsi="Times New Roman" w:cs="Times New Roman"/>
                <w:sz w:val="24"/>
                <w:szCs w:val="24"/>
              </w:rPr>
              <w:t>7</w:t>
            </w:r>
          </w:p>
        </w:tc>
        <w:tc>
          <w:tcPr>
            <w:tcW w:w="57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0D8352" w14:textId="77777777" w:rsidR="008E3C68" w:rsidRPr="00FE282F" w:rsidRDefault="008E3C68" w:rsidP="00827A15">
            <w:pPr>
              <w:spacing w:after="0" w:line="240" w:lineRule="auto"/>
              <w:jc w:val="center"/>
              <w:rPr>
                <w:rFonts w:ascii="Times New Roman" w:eastAsia="Times New Roman" w:hAnsi="Times New Roman" w:cs="Times New Roman"/>
                <w:sz w:val="24"/>
                <w:szCs w:val="24"/>
              </w:rPr>
            </w:pPr>
            <w:r w:rsidRPr="00FE282F">
              <w:rPr>
                <w:rFonts w:ascii="Times New Roman" w:eastAsia="Times New Roman" w:hAnsi="Times New Roman" w:cs="Times New Roman"/>
                <w:sz w:val="24"/>
                <w:szCs w:val="24"/>
              </w:rPr>
              <w:t>8</w:t>
            </w:r>
          </w:p>
        </w:tc>
      </w:tr>
      <w:tr w:rsidR="006E07A1" w:rsidRPr="00FE282F" w14:paraId="24D2B94F" w14:textId="77777777" w:rsidTr="006E0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7" w:type="pct"/>
        </w:trPr>
        <w:tc>
          <w:tcPr>
            <w:tcW w:w="1148"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1EEDD71A" w14:textId="77777777" w:rsidR="006E07A1" w:rsidRPr="00FE282F" w:rsidRDefault="006E07A1" w:rsidP="006E07A1">
            <w:pPr>
              <w:spacing w:after="0" w:line="240" w:lineRule="auto"/>
              <w:rPr>
                <w:rFonts w:ascii="Times New Roman" w:eastAsia="Times New Roman" w:hAnsi="Times New Roman" w:cs="Times New Roman"/>
                <w:sz w:val="24"/>
                <w:szCs w:val="24"/>
              </w:rPr>
            </w:pPr>
            <w:r w:rsidRPr="00FE282F">
              <w:rPr>
                <w:rFonts w:ascii="Times New Roman" w:eastAsia="Times New Roman" w:hAnsi="Times New Roman" w:cs="Times New Roman"/>
                <w:sz w:val="24"/>
                <w:szCs w:val="24"/>
              </w:rPr>
              <w:t>1. Budžeta ieņēmumi</w:t>
            </w:r>
            <w:r>
              <w:rPr>
                <w:rFonts w:ascii="Times New Roman" w:eastAsia="Times New Roman" w:hAnsi="Times New Roman" w:cs="Times New Roman"/>
                <w:sz w:val="24"/>
                <w:szCs w:val="24"/>
              </w:rPr>
              <w:t xml:space="preserve"> </w:t>
            </w:r>
          </w:p>
        </w:tc>
        <w:tc>
          <w:tcPr>
            <w:tcW w:w="587" w:type="pct"/>
            <w:tcBorders>
              <w:top w:val="outset" w:sz="6" w:space="0" w:color="auto"/>
              <w:left w:val="outset" w:sz="6" w:space="0" w:color="auto"/>
              <w:bottom w:val="outset" w:sz="6" w:space="0" w:color="auto"/>
              <w:right w:val="outset" w:sz="6" w:space="0" w:color="auto"/>
            </w:tcBorders>
            <w:vAlign w:val="center"/>
          </w:tcPr>
          <w:p w14:paraId="2561B93E" w14:textId="0CAE6628" w:rsidR="006E07A1" w:rsidRPr="00884BD5"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0</w:t>
            </w:r>
          </w:p>
        </w:tc>
        <w:tc>
          <w:tcPr>
            <w:tcW w:w="594" w:type="pct"/>
            <w:tcBorders>
              <w:top w:val="outset" w:sz="6" w:space="0" w:color="auto"/>
              <w:left w:val="outset" w:sz="6" w:space="0" w:color="auto"/>
              <w:bottom w:val="outset" w:sz="6" w:space="0" w:color="auto"/>
              <w:right w:val="outset" w:sz="6" w:space="0" w:color="auto"/>
            </w:tcBorders>
            <w:vAlign w:val="center"/>
          </w:tcPr>
          <w:p w14:paraId="310C4D3A" w14:textId="1991BB37" w:rsidR="006E07A1" w:rsidRPr="00884BD5"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 0</w:t>
            </w:r>
          </w:p>
        </w:tc>
        <w:tc>
          <w:tcPr>
            <w:tcW w:w="522" w:type="pct"/>
            <w:tcBorders>
              <w:top w:val="outset" w:sz="6" w:space="0" w:color="auto"/>
              <w:left w:val="outset" w:sz="6" w:space="0" w:color="auto"/>
              <w:bottom w:val="outset" w:sz="6" w:space="0" w:color="auto"/>
              <w:right w:val="outset" w:sz="6" w:space="0" w:color="auto"/>
            </w:tcBorders>
            <w:vAlign w:val="center"/>
          </w:tcPr>
          <w:p w14:paraId="3FFB6B68" w14:textId="06C7E6AE" w:rsidR="006E07A1" w:rsidRPr="00884BD5"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 0</w:t>
            </w:r>
          </w:p>
        </w:tc>
        <w:tc>
          <w:tcPr>
            <w:tcW w:w="522" w:type="pct"/>
            <w:tcBorders>
              <w:top w:val="outset" w:sz="6" w:space="0" w:color="auto"/>
              <w:left w:val="outset" w:sz="6" w:space="0" w:color="auto"/>
              <w:bottom w:val="outset" w:sz="6" w:space="0" w:color="auto"/>
              <w:right w:val="outset" w:sz="6" w:space="0" w:color="auto"/>
            </w:tcBorders>
            <w:vAlign w:val="center"/>
          </w:tcPr>
          <w:p w14:paraId="2B545D9C" w14:textId="3DE94F71" w:rsidR="006E07A1" w:rsidRPr="00884BD5" w:rsidRDefault="006E07A1" w:rsidP="006E07A1">
            <w:pPr>
              <w:spacing w:after="0" w:line="240" w:lineRule="auto"/>
              <w:jc w:val="center"/>
              <w:rPr>
                <w:rFonts w:ascii="Times New Roman" w:hAnsi="Times New Roman" w:cs="Times New Roman"/>
                <w:sz w:val="20"/>
                <w:szCs w:val="20"/>
                <w:u w:val="single"/>
              </w:rPr>
            </w:pPr>
            <w:r>
              <w:rPr>
                <w:rFonts w:ascii="Times New Roman" w:eastAsia="Times New Roman" w:hAnsi="Times New Roman" w:cs="Times New Roman"/>
                <w:iCs/>
                <w:sz w:val="24"/>
                <w:szCs w:val="24"/>
                <w:lang w:eastAsia="lv-LV"/>
              </w:rPr>
              <w:t> 0</w:t>
            </w:r>
          </w:p>
        </w:tc>
        <w:tc>
          <w:tcPr>
            <w:tcW w:w="522" w:type="pct"/>
            <w:tcBorders>
              <w:top w:val="outset" w:sz="6" w:space="0" w:color="auto"/>
              <w:left w:val="outset" w:sz="6" w:space="0" w:color="auto"/>
              <w:bottom w:val="outset" w:sz="6" w:space="0" w:color="auto"/>
              <w:right w:val="outset" w:sz="6" w:space="0" w:color="auto"/>
            </w:tcBorders>
            <w:vAlign w:val="center"/>
          </w:tcPr>
          <w:p w14:paraId="5E97E191" w14:textId="3A997EAA" w:rsidR="006E07A1" w:rsidRPr="00884BD5"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 0</w:t>
            </w:r>
          </w:p>
        </w:tc>
        <w:tc>
          <w:tcPr>
            <w:tcW w:w="522" w:type="pct"/>
            <w:tcBorders>
              <w:top w:val="outset" w:sz="6" w:space="0" w:color="auto"/>
              <w:left w:val="outset" w:sz="6" w:space="0" w:color="auto"/>
              <w:bottom w:val="outset" w:sz="6" w:space="0" w:color="auto"/>
              <w:right w:val="outset" w:sz="6" w:space="0" w:color="auto"/>
            </w:tcBorders>
            <w:vAlign w:val="center"/>
          </w:tcPr>
          <w:p w14:paraId="03B564DA" w14:textId="2D9D06B7" w:rsidR="006E07A1" w:rsidRPr="00884BD5" w:rsidRDefault="006E07A1" w:rsidP="006E07A1">
            <w:pPr>
              <w:spacing w:after="0" w:line="240" w:lineRule="auto"/>
              <w:jc w:val="center"/>
              <w:rPr>
                <w:rFonts w:ascii="Times New Roman" w:hAnsi="Times New Roman" w:cs="Times New Roman"/>
                <w:sz w:val="20"/>
                <w:szCs w:val="20"/>
                <w:u w:val="single"/>
              </w:rPr>
            </w:pPr>
            <w:r>
              <w:rPr>
                <w:rFonts w:ascii="Times New Roman" w:eastAsia="Times New Roman" w:hAnsi="Times New Roman" w:cs="Times New Roman"/>
                <w:iCs/>
                <w:sz w:val="24"/>
                <w:szCs w:val="24"/>
                <w:lang w:eastAsia="lv-LV"/>
              </w:rPr>
              <w:t> 0</w:t>
            </w:r>
          </w:p>
        </w:tc>
        <w:tc>
          <w:tcPr>
            <w:tcW w:w="576" w:type="pct"/>
            <w:gridSpan w:val="2"/>
            <w:tcBorders>
              <w:top w:val="outset" w:sz="6" w:space="0" w:color="auto"/>
              <w:left w:val="outset" w:sz="6" w:space="0" w:color="auto"/>
              <w:bottom w:val="outset" w:sz="6" w:space="0" w:color="auto"/>
              <w:right w:val="outset" w:sz="6" w:space="0" w:color="auto"/>
            </w:tcBorders>
            <w:vAlign w:val="center"/>
          </w:tcPr>
          <w:p w14:paraId="60EAA542" w14:textId="7C1774D7" w:rsidR="006E07A1" w:rsidRPr="00884BD5" w:rsidRDefault="006E07A1" w:rsidP="006E07A1">
            <w:pPr>
              <w:spacing w:after="0" w:line="240" w:lineRule="auto"/>
              <w:jc w:val="center"/>
              <w:rPr>
                <w:rFonts w:ascii="Times New Roman" w:hAnsi="Times New Roman" w:cs="Times New Roman"/>
                <w:sz w:val="20"/>
                <w:szCs w:val="20"/>
                <w:u w:val="single"/>
              </w:rPr>
            </w:pPr>
            <w:r>
              <w:rPr>
                <w:rFonts w:ascii="Times New Roman" w:eastAsia="Times New Roman" w:hAnsi="Times New Roman" w:cs="Times New Roman"/>
                <w:iCs/>
                <w:sz w:val="24"/>
                <w:szCs w:val="24"/>
                <w:lang w:eastAsia="lv-LV"/>
              </w:rPr>
              <w:t> 0</w:t>
            </w:r>
          </w:p>
        </w:tc>
      </w:tr>
      <w:tr w:rsidR="006E07A1" w:rsidRPr="00FE282F" w14:paraId="0C513BB1" w14:textId="77777777" w:rsidTr="006E0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7" w:type="pct"/>
        </w:trPr>
        <w:tc>
          <w:tcPr>
            <w:tcW w:w="1148" w:type="pct"/>
            <w:gridSpan w:val="3"/>
            <w:tcBorders>
              <w:top w:val="single" w:sz="4" w:space="0" w:color="auto"/>
              <w:left w:val="single" w:sz="4" w:space="0" w:color="auto"/>
              <w:bottom w:val="single" w:sz="4" w:space="0" w:color="auto"/>
              <w:right w:val="single" w:sz="4" w:space="0" w:color="auto"/>
            </w:tcBorders>
            <w:hideMark/>
          </w:tcPr>
          <w:p w14:paraId="431BC77E" w14:textId="77777777" w:rsidR="006E07A1" w:rsidRPr="00FE282F" w:rsidRDefault="006E07A1" w:rsidP="006E07A1">
            <w:pPr>
              <w:spacing w:after="0" w:line="240" w:lineRule="auto"/>
              <w:rPr>
                <w:rFonts w:ascii="Times New Roman" w:eastAsia="Times New Roman" w:hAnsi="Times New Roman" w:cs="Times New Roman"/>
                <w:sz w:val="24"/>
                <w:szCs w:val="24"/>
              </w:rPr>
            </w:pPr>
            <w:r w:rsidRPr="00FE282F">
              <w:rPr>
                <w:rFonts w:ascii="Times New Roman" w:eastAsia="Times New Roman" w:hAnsi="Times New Roman" w:cs="Times New Roman"/>
                <w:sz w:val="24"/>
                <w:szCs w:val="24"/>
              </w:rPr>
              <w:t>1.1. valsts pamatbudžets, tai skaitā ieņēmumi no maksas pakalpojumiem un citi pašu ieņēmumi</w:t>
            </w:r>
            <w:r>
              <w:rPr>
                <w:rFonts w:ascii="Times New Roman" w:eastAsia="Times New Roman" w:hAnsi="Times New Roman" w:cs="Times New Roman"/>
                <w:sz w:val="24"/>
                <w:szCs w:val="24"/>
              </w:rPr>
              <w:t xml:space="preserve"> </w:t>
            </w:r>
          </w:p>
        </w:tc>
        <w:tc>
          <w:tcPr>
            <w:tcW w:w="587" w:type="pct"/>
            <w:tcBorders>
              <w:top w:val="outset" w:sz="6" w:space="0" w:color="auto"/>
              <w:left w:val="outset" w:sz="6" w:space="0" w:color="auto"/>
              <w:bottom w:val="outset" w:sz="6" w:space="0" w:color="auto"/>
              <w:right w:val="outset" w:sz="6" w:space="0" w:color="auto"/>
            </w:tcBorders>
            <w:vAlign w:val="center"/>
          </w:tcPr>
          <w:p w14:paraId="1BC104AB" w14:textId="2AEA5E8F" w:rsidR="006E07A1" w:rsidRPr="00884BD5"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 0</w:t>
            </w:r>
          </w:p>
        </w:tc>
        <w:tc>
          <w:tcPr>
            <w:tcW w:w="594" w:type="pct"/>
            <w:tcBorders>
              <w:top w:val="outset" w:sz="6" w:space="0" w:color="auto"/>
              <w:left w:val="outset" w:sz="6" w:space="0" w:color="auto"/>
              <w:bottom w:val="outset" w:sz="6" w:space="0" w:color="auto"/>
              <w:right w:val="outset" w:sz="6" w:space="0" w:color="auto"/>
            </w:tcBorders>
            <w:vAlign w:val="center"/>
          </w:tcPr>
          <w:p w14:paraId="56DCCA12" w14:textId="7C3A5090" w:rsidR="006E07A1" w:rsidRPr="00884BD5"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 0</w:t>
            </w:r>
          </w:p>
        </w:tc>
        <w:tc>
          <w:tcPr>
            <w:tcW w:w="522" w:type="pct"/>
            <w:tcBorders>
              <w:top w:val="outset" w:sz="6" w:space="0" w:color="auto"/>
              <w:left w:val="outset" w:sz="6" w:space="0" w:color="auto"/>
              <w:bottom w:val="outset" w:sz="6" w:space="0" w:color="auto"/>
              <w:right w:val="outset" w:sz="6" w:space="0" w:color="auto"/>
            </w:tcBorders>
            <w:vAlign w:val="center"/>
          </w:tcPr>
          <w:p w14:paraId="6F40E5FC" w14:textId="6431A27D" w:rsidR="006E07A1" w:rsidRPr="00884BD5"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0 </w:t>
            </w:r>
          </w:p>
        </w:tc>
        <w:tc>
          <w:tcPr>
            <w:tcW w:w="522" w:type="pct"/>
            <w:tcBorders>
              <w:top w:val="outset" w:sz="6" w:space="0" w:color="auto"/>
              <w:left w:val="outset" w:sz="6" w:space="0" w:color="auto"/>
              <w:bottom w:val="outset" w:sz="6" w:space="0" w:color="auto"/>
              <w:right w:val="outset" w:sz="6" w:space="0" w:color="auto"/>
            </w:tcBorders>
            <w:vAlign w:val="center"/>
          </w:tcPr>
          <w:p w14:paraId="27C3DF65" w14:textId="5F33911D" w:rsidR="006E07A1" w:rsidRPr="00884BD5" w:rsidRDefault="006E07A1" w:rsidP="006E07A1">
            <w:pPr>
              <w:spacing w:after="0" w:line="240" w:lineRule="auto"/>
              <w:jc w:val="center"/>
              <w:rPr>
                <w:rFonts w:ascii="Times New Roman" w:hAnsi="Times New Roman" w:cs="Times New Roman"/>
                <w:sz w:val="20"/>
                <w:szCs w:val="20"/>
                <w:u w:val="single"/>
              </w:rPr>
            </w:pPr>
            <w:r>
              <w:rPr>
                <w:rFonts w:ascii="Times New Roman" w:eastAsia="Times New Roman" w:hAnsi="Times New Roman" w:cs="Times New Roman"/>
                <w:iCs/>
                <w:sz w:val="24"/>
                <w:szCs w:val="24"/>
                <w:lang w:eastAsia="lv-LV"/>
              </w:rPr>
              <w:t> 0</w:t>
            </w:r>
          </w:p>
        </w:tc>
        <w:tc>
          <w:tcPr>
            <w:tcW w:w="522" w:type="pct"/>
            <w:tcBorders>
              <w:top w:val="outset" w:sz="6" w:space="0" w:color="auto"/>
              <w:left w:val="outset" w:sz="6" w:space="0" w:color="auto"/>
              <w:bottom w:val="outset" w:sz="6" w:space="0" w:color="auto"/>
              <w:right w:val="outset" w:sz="6" w:space="0" w:color="auto"/>
            </w:tcBorders>
            <w:vAlign w:val="center"/>
          </w:tcPr>
          <w:p w14:paraId="205E006F" w14:textId="58530177" w:rsidR="006E07A1" w:rsidRPr="00884BD5"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 0</w:t>
            </w:r>
          </w:p>
        </w:tc>
        <w:tc>
          <w:tcPr>
            <w:tcW w:w="522" w:type="pct"/>
            <w:tcBorders>
              <w:top w:val="outset" w:sz="6" w:space="0" w:color="auto"/>
              <w:left w:val="outset" w:sz="6" w:space="0" w:color="auto"/>
              <w:bottom w:val="outset" w:sz="6" w:space="0" w:color="auto"/>
              <w:right w:val="outset" w:sz="6" w:space="0" w:color="auto"/>
            </w:tcBorders>
            <w:vAlign w:val="center"/>
          </w:tcPr>
          <w:p w14:paraId="51435487" w14:textId="036C1CB5" w:rsidR="006E07A1" w:rsidRPr="00884BD5" w:rsidRDefault="006E07A1" w:rsidP="006E07A1">
            <w:pPr>
              <w:spacing w:after="0" w:line="240" w:lineRule="auto"/>
              <w:jc w:val="center"/>
              <w:rPr>
                <w:rFonts w:ascii="Times New Roman" w:hAnsi="Times New Roman" w:cs="Times New Roman"/>
                <w:sz w:val="20"/>
                <w:szCs w:val="20"/>
                <w:u w:val="single"/>
              </w:rPr>
            </w:pPr>
            <w:r>
              <w:rPr>
                <w:rFonts w:ascii="Times New Roman" w:eastAsia="Times New Roman" w:hAnsi="Times New Roman" w:cs="Times New Roman"/>
                <w:iCs/>
                <w:sz w:val="24"/>
                <w:szCs w:val="24"/>
                <w:lang w:eastAsia="lv-LV"/>
              </w:rPr>
              <w:t> 0</w:t>
            </w:r>
          </w:p>
        </w:tc>
        <w:tc>
          <w:tcPr>
            <w:tcW w:w="576" w:type="pct"/>
            <w:gridSpan w:val="2"/>
            <w:tcBorders>
              <w:top w:val="outset" w:sz="6" w:space="0" w:color="auto"/>
              <w:left w:val="outset" w:sz="6" w:space="0" w:color="auto"/>
              <w:bottom w:val="outset" w:sz="6" w:space="0" w:color="auto"/>
              <w:right w:val="outset" w:sz="6" w:space="0" w:color="auto"/>
            </w:tcBorders>
            <w:vAlign w:val="center"/>
          </w:tcPr>
          <w:p w14:paraId="1F0E8D58" w14:textId="65960380" w:rsidR="006E07A1" w:rsidRPr="00884BD5" w:rsidRDefault="006E07A1" w:rsidP="006E07A1">
            <w:pPr>
              <w:spacing w:after="0" w:line="240" w:lineRule="auto"/>
              <w:jc w:val="center"/>
              <w:rPr>
                <w:rFonts w:ascii="Times New Roman" w:hAnsi="Times New Roman" w:cs="Times New Roman"/>
                <w:sz w:val="20"/>
                <w:szCs w:val="20"/>
                <w:u w:val="single"/>
              </w:rPr>
            </w:pPr>
            <w:r>
              <w:rPr>
                <w:rFonts w:ascii="Times New Roman" w:eastAsia="Times New Roman" w:hAnsi="Times New Roman" w:cs="Times New Roman"/>
                <w:iCs/>
                <w:sz w:val="24"/>
                <w:szCs w:val="24"/>
                <w:lang w:eastAsia="lv-LV"/>
              </w:rPr>
              <w:t> 0</w:t>
            </w:r>
          </w:p>
        </w:tc>
      </w:tr>
      <w:tr w:rsidR="006E07A1" w:rsidRPr="00FE282F" w14:paraId="7C713D7D" w14:textId="77777777" w:rsidTr="006E0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7" w:type="pct"/>
        </w:trPr>
        <w:tc>
          <w:tcPr>
            <w:tcW w:w="1148" w:type="pct"/>
            <w:gridSpan w:val="3"/>
            <w:tcBorders>
              <w:top w:val="single" w:sz="4" w:space="0" w:color="auto"/>
              <w:left w:val="single" w:sz="4" w:space="0" w:color="auto"/>
              <w:bottom w:val="single" w:sz="4" w:space="0" w:color="auto"/>
              <w:right w:val="single" w:sz="4" w:space="0" w:color="auto"/>
            </w:tcBorders>
            <w:hideMark/>
          </w:tcPr>
          <w:p w14:paraId="236BBD29" w14:textId="77777777" w:rsidR="006E07A1" w:rsidRPr="00FE282F" w:rsidRDefault="006E07A1" w:rsidP="006E07A1">
            <w:pPr>
              <w:spacing w:after="0" w:line="240" w:lineRule="auto"/>
              <w:rPr>
                <w:rFonts w:ascii="Times New Roman" w:eastAsia="Times New Roman" w:hAnsi="Times New Roman" w:cs="Times New Roman"/>
                <w:sz w:val="24"/>
                <w:szCs w:val="24"/>
              </w:rPr>
            </w:pPr>
            <w:r w:rsidRPr="00FE282F">
              <w:rPr>
                <w:rFonts w:ascii="Times New Roman" w:eastAsia="Times New Roman" w:hAnsi="Times New Roman" w:cs="Times New Roman"/>
                <w:sz w:val="24"/>
                <w:szCs w:val="24"/>
              </w:rPr>
              <w:t>1.2. valsts speciālais budžets</w:t>
            </w:r>
          </w:p>
        </w:tc>
        <w:tc>
          <w:tcPr>
            <w:tcW w:w="587" w:type="pct"/>
            <w:tcBorders>
              <w:top w:val="single" w:sz="4" w:space="0" w:color="auto"/>
              <w:left w:val="single" w:sz="4" w:space="0" w:color="auto"/>
              <w:bottom w:val="single" w:sz="4" w:space="0" w:color="auto"/>
              <w:right w:val="single" w:sz="4" w:space="0" w:color="auto"/>
            </w:tcBorders>
            <w:vAlign w:val="center"/>
          </w:tcPr>
          <w:p w14:paraId="774488C9" w14:textId="561EDEFC" w:rsidR="006E07A1" w:rsidRPr="00884BD5" w:rsidRDefault="006E07A1" w:rsidP="006E07A1">
            <w:pPr>
              <w:spacing w:after="0" w:line="240" w:lineRule="auto"/>
              <w:jc w:val="center"/>
              <w:rPr>
                <w:rFonts w:ascii="Times New Roman" w:hAnsi="Times New Roman" w:cs="Times New Roman"/>
                <w:sz w:val="20"/>
                <w:szCs w:val="20"/>
              </w:rPr>
            </w:pPr>
          </w:p>
        </w:tc>
        <w:tc>
          <w:tcPr>
            <w:tcW w:w="594" w:type="pct"/>
            <w:tcBorders>
              <w:top w:val="single" w:sz="4" w:space="0" w:color="auto"/>
              <w:left w:val="single" w:sz="4" w:space="0" w:color="auto"/>
              <w:bottom w:val="single" w:sz="4" w:space="0" w:color="auto"/>
              <w:right w:val="single" w:sz="4" w:space="0" w:color="auto"/>
            </w:tcBorders>
            <w:vAlign w:val="center"/>
          </w:tcPr>
          <w:p w14:paraId="1B407E62" w14:textId="49658151" w:rsidR="006E07A1" w:rsidRPr="00884BD5" w:rsidRDefault="006E07A1" w:rsidP="006E07A1">
            <w:pPr>
              <w:spacing w:after="0" w:line="240" w:lineRule="auto"/>
              <w:jc w:val="center"/>
              <w:rPr>
                <w:rFonts w:ascii="Times New Roman" w:hAnsi="Times New Roman" w:cs="Times New Roman"/>
                <w:sz w:val="20"/>
                <w:szCs w:val="20"/>
              </w:rPr>
            </w:pPr>
          </w:p>
        </w:tc>
        <w:tc>
          <w:tcPr>
            <w:tcW w:w="522" w:type="pct"/>
            <w:tcBorders>
              <w:top w:val="single" w:sz="4" w:space="0" w:color="auto"/>
              <w:left w:val="single" w:sz="4" w:space="0" w:color="auto"/>
              <w:bottom w:val="single" w:sz="4" w:space="0" w:color="auto"/>
              <w:right w:val="single" w:sz="4" w:space="0" w:color="auto"/>
            </w:tcBorders>
            <w:vAlign w:val="center"/>
          </w:tcPr>
          <w:p w14:paraId="143D36B8" w14:textId="43D47A52" w:rsidR="006E07A1" w:rsidRPr="00884BD5" w:rsidRDefault="006E07A1" w:rsidP="006E07A1">
            <w:pPr>
              <w:spacing w:after="0" w:line="240" w:lineRule="auto"/>
              <w:jc w:val="center"/>
              <w:rPr>
                <w:rFonts w:ascii="Times New Roman" w:hAnsi="Times New Roman" w:cs="Times New Roman"/>
                <w:sz w:val="20"/>
                <w:szCs w:val="20"/>
              </w:rPr>
            </w:pPr>
          </w:p>
        </w:tc>
        <w:tc>
          <w:tcPr>
            <w:tcW w:w="522" w:type="pct"/>
            <w:tcBorders>
              <w:top w:val="single" w:sz="4" w:space="0" w:color="auto"/>
              <w:left w:val="single" w:sz="4" w:space="0" w:color="auto"/>
              <w:bottom w:val="single" w:sz="4" w:space="0" w:color="auto"/>
              <w:right w:val="single" w:sz="4" w:space="0" w:color="auto"/>
            </w:tcBorders>
            <w:vAlign w:val="center"/>
          </w:tcPr>
          <w:p w14:paraId="0B68DE67" w14:textId="301C2C19" w:rsidR="006E07A1" w:rsidRPr="00884BD5" w:rsidRDefault="006E07A1" w:rsidP="006E07A1">
            <w:pPr>
              <w:spacing w:after="0" w:line="240" w:lineRule="auto"/>
              <w:jc w:val="center"/>
              <w:rPr>
                <w:rFonts w:ascii="Times New Roman" w:hAnsi="Times New Roman" w:cs="Times New Roman"/>
                <w:sz w:val="20"/>
                <w:szCs w:val="20"/>
              </w:rPr>
            </w:pPr>
          </w:p>
        </w:tc>
        <w:tc>
          <w:tcPr>
            <w:tcW w:w="522" w:type="pct"/>
            <w:tcBorders>
              <w:top w:val="single" w:sz="4" w:space="0" w:color="auto"/>
              <w:left w:val="single" w:sz="4" w:space="0" w:color="auto"/>
              <w:bottom w:val="single" w:sz="4" w:space="0" w:color="auto"/>
              <w:right w:val="single" w:sz="4" w:space="0" w:color="auto"/>
            </w:tcBorders>
            <w:vAlign w:val="center"/>
          </w:tcPr>
          <w:p w14:paraId="5128D9AD" w14:textId="49612D85" w:rsidR="006E07A1" w:rsidRPr="00884BD5" w:rsidRDefault="006E07A1" w:rsidP="006E07A1">
            <w:pPr>
              <w:spacing w:after="0" w:line="240" w:lineRule="auto"/>
              <w:jc w:val="center"/>
              <w:rPr>
                <w:rFonts w:ascii="Times New Roman" w:hAnsi="Times New Roman" w:cs="Times New Roman"/>
                <w:sz w:val="20"/>
                <w:szCs w:val="20"/>
              </w:rPr>
            </w:pPr>
          </w:p>
        </w:tc>
        <w:tc>
          <w:tcPr>
            <w:tcW w:w="522" w:type="pct"/>
            <w:tcBorders>
              <w:top w:val="single" w:sz="4" w:space="0" w:color="auto"/>
              <w:left w:val="single" w:sz="4" w:space="0" w:color="auto"/>
              <w:bottom w:val="single" w:sz="4" w:space="0" w:color="auto"/>
              <w:right w:val="single" w:sz="4" w:space="0" w:color="auto"/>
            </w:tcBorders>
            <w:vAlign w:val="center"/>
          </w:tcPr>
          <w:p w14:paraId="2733ADE5" w14:textId="7C7C58A2" w:rsidR="006E07A1" w:rsidRPr="00884BD5" w:rsidRDefault="006E07A1" w:rsidP="006E07A1">
            <w:pPr>
              <w:spacing w:after="0" w:line="240" w:lineRule="auto"/>
              <w:jc w:val="center"/>
              <w:rPr>
                <w:rFonts w:ascii="Times New Roman" w:hAnsi="Times New Roman" w:cs="Times New Roman"/>
                <w:sz w:val="20"/>
                <w:szCs w:val="20"/>
              </w:rPr>
            </w:pPr>
          </w:p>
        </w:tc>
        <w:tc>
          <w:tcPr>
            <w:tcW w:w="576" w:type="pct"/>
            <w:gridSpan w:val="2"/>
            <w:tcBorders>
              <w:top w:val="single" w:sz="4" w:space="0" w:color="auto"/>
              <w:left w:val="single" w:sz="4" w:space="0" w:color="auto"/>
              <w:bottom w:val="single" w:sz="4" w:space="0" w:color="auto"/>
              <w:right w:val="single" w:sz="4" w:space="0" w:color="auto"/>
            </w:tcBorders>
            <w:vAlign w:val="center"/>
          </w:tcPr>
          <w:p w14:paraId="04A30130" w14:textId="69FBD08B" w:rsidR="006E07A1" w:rsidRPr="00884BD5" w:rsidRDefault="006E07A1" w:rsidP="006E07A1">
            <w:pPr>
              <w:spacing w:after="0" w:line="240" w:lineRule="auto"/>
              <w:jc w:val="center"/>
              <w:rPr>
                <w:rFonts w:ascii="Times New Roman" w:hAnsi="Times New Roman" w:cs="Times New Roman"/>
                <w:sz w:val="20"/>
                <w:szCs w:val="20"/>
              </w:rPr>
            </w:pPr>
          </w:p>
        </w:tc>
      </w:tr>
      <w:tr w:rsidR="006E07A1" w:rsidRPr="00FE282F" w14:paraId="275086B2" w14:textId="77777777" w:rsidTr="006E0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7" w:type="pct"/>
        </w:trPr>
        <w:tc>
          <w:tcPr>
            <w:tcW w:w="1148" w:type="pct"/>
            <w:gridSpan w:val="3"/>
            <w:tcBorders>
              <w:top w:val="single" w:sz="4" w:space="0" w:color="auto"/>
              <w:left w:val="single" w:sz="4" w:space="0" w:color="auto"/>
              <w:bottom w:val="single" w:sz="4" w:space="0" w:color="auto"/>
              <w:right w:val="single" w:sz="4" w:space="0" w:color="auto"/>
            </w:tcBorders>
            <w:hideMark/>
          </w:tcPr>
          <w:p w14:paraId="1F50E750" w14:textId="77777777" w:rsidR="006E07A1" w:rsidRPr="00FE282F" w:rsidRDefault="006E07A1" w:rsidP="006E07A1">
            <w:pPr>
              <w:spacing w:after="0" w:line="240" w:lineRule="auto"/>
              <w:rPr>
                <w:rFonts w:ascii="Times New Roman" w:eastAsia="Times New Roman" w:hAnsi="Times New Roman" w:cs="Times New Roman"/>
                <w:sz w:val="24"/>
                <w:szCs w:val="24"/>
              </w:rPr>
            </w:pPr>
            <w:r w:rsidRPr="00FE282F">
              <w:rPr>
                <w:rFonts w:ascii="Times New Roman" w:eastAsia="Times New Roman" w:hAnsi="Times New Roman" w:cs="Times New Roman"/>
                <w:sz w:val="24"/>
                <w:szCs w:val="24"/>
              </w:rPr>
              <w:t>1.3. pašvaldību budžets</w:t>
            </w:r>
          </w:p>
        </w:tc>
        <w:tc>
          <w:tcPr>
            <w:tcW w:w="587" w:type="pct"/>
            <w:tcBorders>
              <w:top w:val="single" w:sz="4" w:space="0" w:color="auto"/>
              <w:left w:val="single" w:sz="4" w:space="0" w:color="auto"/>
              <w:bottom w:val="single" w:sz="4" w:space="0" w:color="auto"/>
              <w:right w:val="single" w:sz="4" w:space="0" w:color="auto"/>
            </w:tcBorders>
            <w:vAlign w:val="center"/>
          </w:tcPr>
          <w:p w14:paraId="7DC6A81F" w14:textId="6EAE9F23" w:rsidR="006E07A1" w:rsidRPr="00884BD5" w:rsidRDefault="006E07A1" w:rsidP="006E07A1">
            <w:pPr>
              <w:spacing w:after="0" w:line="240" w:lineRule="auto"/>
              <w:jc w:val="center"/>
              <w:rPr>
                <w:rFonts w:ascii="Times New Roman" w:hAnsi="Times New Roman" w:cs="Times New Roman"/>
                <w:sz w:val="20"/>
                <w:szCs w:val="20"/>
              </w:rPr>
            </w:pPr>
          </w:p>
        </w:tc>
        <w:tc>
          <w:tcPr>
            <w:tcW w:w="594" w:type="pct"/>
            <w:tcBorders>
              <w:top w:val="single" w:sz="4" w:space="0" w:color="auto"/>
              <w:left w:val="single" w:sz="4" w:space="0" w:color="auto"/>
              <w:bottom w:val="single" w:sz="4" w:space="0" w:color="auto"/>
              <w:right w:val="single" w:sz="4" w:space="0" w:color="auto"/>
            </w:tcBorders>
            <w:vAlign w:val="center"/>
          </w:tcPr>
          <w:p w14:paraId="492CB914" w14:textId="059CE29F" w:rsidR="006E07A1" w:rsidRPr="00884BD5" w:rsidRDefault="006E07A1" w:rsidP="006E07A1">
            <w:pPr>
              <w:spacing w:after="0" w:line="240" w:lineRule="auto"/>
              <w:jc w:val="center"/>
              <w:rPr>
                <w:rFonts w:ascii="Times New Roman" w:hAnsi="Times New Roman" w:cs="Times New Roman"/>
                <w:sz w:val="20"/>
                <w:szCs w:val="20"/>
              </w:rPr>
            </w:pPr>
          </w:p>
        </w:tc>
        <w:tc>
          <w:tcPr>
            <w:tcW w:w="522" w:type="pct"/>
            <w:tcBorders>
              <w:top w:val="single" w:sz="4" w:space="0" w:color="auto"/>
              <w:left w:val="single" w:sz="4" w:space="0" w:color="auto"/>
              <w:bottom w:val="single" w:sz="4" w:space="0" w:color="auto"/>
              <w:right w:val="single" w:sz="4" w:space="0" w:color="auto"/>
            </w:tcBorders>
            <w:vAlign w:val="center"/>
          </w:tcPr>
          <w:p w14:paraId="53C50C01" w14:textId="2F986D11" w:rsidR="006E07A1" w:rsidRPr="00884BD5" w:rsidRDefault="006E07A1" w:rsidP="006E07A1">
            <w:pPr>
              <w:spacing w:after="0" w:line="240" w:lineRule="auto"/>
              <w:jc w:val="center"/>
              <w:rPr>
                <w:rFonts w:ascii="Times New Roman" w:hAnsi="Times New Roman" w:cs="Times New Roman"/>
                <w:sz w:val="20"/>
                <w:szCs w:val="20"/>
              </w:rPr>
            </w:pPr>
          </w:p>
        </w:tc>
        <w:tc>
          <w:tcPr>
            <w:tcW w:w="522" w:type="pct"/>
            <w:tcBorders>
              <w:top w:val="single" w:sz="4" w:space="0" w:color="auto"/>
              <w:left w:val="single" w:sz="4" w:space="0" w:color="auto"/>
              <w:bottom w:val="single" w:sz="4" w:space="0" w:color="auto"/>
              <w:right w:val="single" w:sz="4" w:space="0" w:color="auto"/>
            </w:tcBorders>
            <w:vAlign w:val="center"/>
          </w:tcPr>
          <w:p w14:paraId="496A771A" w14:textId="456ADC76" w:rsidR="006E07A1" w:rsidRPr="00884BD5" w:rsidRDefault="006E07A1" w:rsidP="006E07A1">
            <w:pPr>
              <w:spacing w:after="0" w:line="240" w:lineRule="auto"/>
              <w:jc w:val="center"/>
              <w:rPr>
                <w:rFonts w:ascii="Times New Roman" w:hAnsi="Times New Roman" w:cs="Times New Roman"/>
                <w:sz w:val="20"/>
                <w:szCs w:val="20"/>
              </w:rPr>
            </w:pPr>
          </w:p>
        </w:tc>
        <w:tc>
          <w:tcPr>
            <w:tcW w:w="522" w:type="pct"/>
            <w:tcBorders>
              <w:top w:val="single" w:sz="4" w:space="0" w:color="auto"/>
              <w:left w:val="single" w:sz="4" w:space="0" w:color="auto"/>
              <w:bottom w:val="single" w:sz="4" w:space="0" w:color="auto"/>
              <w:right w:val="single" w:sz="4" w:space="0" w:color="auto"/>
            </w:tcBorders>
            <w:vAlign w:val="center"/>
          </w:tcPr>
          <w:p w14:paraId="1467FA23" w14:textId="05205BB5" w:rsidR="006E07A1" w:rsidRPr="00884BD5" w:rsidRDefault="006E07A1" w:rsidP="006E07A1">
            <w:pPr>
              <w:spacing w:after="0" w:line="240" w:lineRule="auto"/>
              <w:jc w:val="center"/>
              <w:rPr>
                <w:rFonts w:ascii="Times New Roman" w:hAnsi="Times New Roman" w:cs="Times New Roman"/>
                <w:sz w:val="20"/>
                <w:szCs w:val="20"/>
              </w:rPr>
            </w:pPr>
          </w:p>
        </w:tc>
        <w:tc>
          <w:tcPr>
            <w:tcW w:w="522" w:type="pct"/>
            <w:tcBorders>
              <w:top w:val="single" w:sz="4" w:space="0" w:color="auto"/>
              <w:left w:val="single" w:sz="4" w:space="0" w:color="auto"/>
              <w:bottom w:val="single" w:sz="4" w:space="0" w:color="auto"/>
              <w:right w:val="single" w:sz="4" w:space="0" w:color="auto"/>
            </w:tcBorders>
            <w:vAlign w:val="center"/>
          </w:tcPr>
          <w:p w14:paraId="73F3D472" w14:textId="0B422F61" w:rsidR="006E07A1" w:rsidRPr="00884BD5" w:rsidRDefault="006E07A1" w:rsidP="006E07A1">
            <w:pPr>
              <w:spacing w:after="0" w:line="240" w:lineRule="auto"/>
              <w:jc w:val="center"/>
              <w:rPr>
                <w:rFonts w:ascii="Times New Roman" w:hAnsi="Times New Roman" w:cs="Times New Roman"/>
                <w:sz w:val="20"/>
                <w:szCs w:val="20"/>
              </w:rPr>
            </w:pPr>
          </w:p>
        </w:tc>
        <w:tc>
          <w:tcPr>
            <w:tcW w:w="576" w:type="pct"/>
            <w:gridSpan w:val="2"/>
            <w:tcBorders>
              <w:top w:val="single" w:sz="4" w:space="0" w:color="auto"/>
              <w:left w:val="single" w:sz="4" w:space="0" w:color="auto"/>
              <w:bottom w:val="single" w:sz="4" w:space="0" w:color="auto"/>
              <w:right w:val="single" w:sz="4" w:space="0" w:color="auto"/>
            </w:tcBorders>
            <w:vAlign w:val="center"/>
          </w:tcPr>
          <w:p w14:paraId="6C2A2168" w14:textId="795D4C39" w:rsidR="006E07A1" w:rsidRPr="00884BD5" w:rsidRDefault="006E07A1" w:rsidP="006E07A1">
            <w:pPr>
              <w:spacing w:after="0" w:line="240" w:lineRule="auto"/>
              <w:jc w:val="center"/>
              <w:rPr>
                <w:rFonts w:ascii="Times New Roman" w:hAnsi="Times New Roman" w:cs="Times New Roman"/>
                <w:sz w:val="20"/>
                <w:szCs w:val="20"/>
              </w:rPr>
            </w:pPr>
          </w:p>
        </w:tc>
      </w:tr>
      <w:tr w:rsidR="006E07A1" w:rsidRPr="00FE282F" w14:paraId="5DAA7555" w14:textId="77777777" w:rsidTr="006E0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7" w:type="pct"/>
        </w:trPr>
        <w:tc>
          <w:tcPr>
            <w:tcW w:w="1148" w:type="pct"/>
            <w:gridSpan w:val="3"/>
            <w:tcBorders>
              <w:top w:val="single" w:sz="4" w:space="0" w:color="auto"/>
              <w:left w:val="single" w:sz="4" w:space="0" w:color="auto"/>
              <w:bottom w:val="single" w:sz="4" w:space="0" w:color="auto"/>
              <w:right w:val="single" w:sz="4" w:space="0" w:color="auto"/>
            </w:tcBorders>
            <w:hideMark/>
          </w:tcPr>
          <w:p w14:paraId="574C3481" w14:textId="77777777" w:rsidR="006E07A1" w:rsidRPr="00FE282F" w:rsidRDefault="006E07A1" w:rsidP="006E07A1">
            <w:pPr>
              <w:spacing w:after="0" w:line="240" w:lineRule="auto"/>
              <w:rPr>
                <w:rFonts w:ascii="Times New Roman" w:eastAsia="Times New Roman" w:hAnsi="Times New Roman" w:cs="Times New Roman"/>
                <w:sz w:val="24"/>
                <w:szCs w:val="24"/>
              </w:rPr>
            </w:pPr>
            <w:r w:rsidRPr="00FE282F">
              <w:rPr>
                <w:rFonts w:ascii="Times New Roman" w:eastAsia="Times New Roman" w:hAnsi="Times New Roman" w:cs="Times New Roman"/>
                <w:sz w:val="24"/>
                <w:szCs w:val="24"/>
              </w:rPr>
              <w:lastRenderedPageBreak/>
              <w:t>2. Budžeta izdevumi</w:t>
            </w:r>
          </w:p>
        </w:tc>
        <w:tc>
          <w:tcPr>
            <w:tcW w:w="587" w:type="pct"/>
            <w:tcBorders>
              <w:top w:val="single" w:sz="4" w:space="0" w:color="auto"/>
              <w:left w:val="single" w:sz="4" w:space="0" w:color="auto"/>
              <w:bottom w:val="single" w:sz="4" w:space="0" w:color="auto"/>
              <w:right w:val="single" w:sz="4" w:space="0" w:color="auto"/>
            </w:tcBorders>
            <w:vAlign w:val="center"/>
          </w:tcPr>
          <w:p w14:paraId="21870A8A" w14:textId="6284B788" w:rsidR="006E07A1" w:rsidRPr="002D5516"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0</w:t>
            </w:r>
          </w:p>
        </w:tc>
        <w:tc>
          <w:tcPr>
            <w:tcW w:w="594" w:type="pct"/>
            <w:tcBorders>
              <w:top w:val="single" w:sz="4" w:space="0" w:color="auto"/>
              <w:left w:val="single" w:sz="4" w:space="0" w:color="auto"/>
              <w:bottom w:val="single" w:sz="4" w:space="0" w:color="auto"/>
              <w:right w:val="single" w:sz="4" w:space="0" w:color="auto"/>
            </w:tcBorders>
            <w:vAlign w:val="center"/>
          </w:tcPr>
          <w:p w14:paraId="54AC0328" w14:textId="1881D81E" w:rsidR="006E07A1" w:rsidRPr="000B4E57"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 0</w:t>
            </w:r>
          </w:p>
        </w:tc>
        <w:tc>
          <w:tcPr>
            <w:tcW w:w="522" w:type="pct"/>
            <w:tcBorders>
              <w:top w:val="single" w:sz="4" w:space="0" w:color="auto"/>
              <w:left w:val="single" w:sz="4" w:space="0" w:color="auto"/>
              <w:bottom w:val="single" w:sz="4" w:space="0" w:color="auto"/>
              <w:right w:val="single" w:sz="4" w:space="0" w:color="auto"/>
            </w:tcBorders>
            <w:vAlign w:val="center"/>
          </w:tcPr>
          <w:p w14:paraId="66020A1E" w14:textId="484CA61A" w:rsidR="006E07A1" w:rsidRPr="002D5516"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 0</w:t>
            </w:r>
          </w:p>
        </w:tc>
        <w:tc>
          <w:tcPr>
            <w:tcW w:w="522" w:type="pct"/>
            <w:tcBorders>
              <w:top w:val="single" w:sz="4" w:space="0" w:color="auto"/>
              <w:left w:val="single" w:sz="4" w:space="0" w:color="auto"/>
              <w:bottom w:val="single" w:sz="4" w:space="0" w:color="auto"/>
              <w:right w:val="single" w:sz="4" w:space="0" w:color="auto"/>
            </w:tcBorders>
            <w:vAlign w:val="center"/>
          </w:tcPr>
          <w:p w14:paraId="774B1303" w14:textId="23C19E7C" w:rsidR="006E07A1" w:rsidRPr="00F41EF2"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 0</w:t>
            </w:r>
          </w:p>
        </w:tc>
        <w:tc>
          <w:tcPr>
            <w:tcW w:w="522" w:type="pct"/>
            <w:tcBorders>
              <w:top w:val="single" w:sz="4" w:space="0" w:color="auto"/>
              <w:left w:val="single" w:sz="4" w:space="0" w:color="auto"/>
              <w:bottom w:val="single" w:sz="4" w:space="0" w:color="auto"/>
              <w:right w:val="single" w:sz="4" w:space="0" w:color="auto"/>
            </w:tcBorders>
            <w:vAlign w:val="center"/>
          </w:tcPr>
          <w:p w14:paraId="16254C6F" w14:textId="55E9B3EB" w:rsidR="006E07A1" w:rsidRPr="002D5516"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 0</w:t>
            </w:r>
          </w:p>
        </w:tc>
        <w:tc>
          <w:tcPr>
            <w:tcW w:w="522" w:type="pct"/>
            <w:tcBorders>
              <w:top w:val="single" w:sz="4" w:space="0" w:color="auto"/>
              <w:left w:val="single" w:sz="4" w:space="0" w:color="auto"/>
              <w:bottom w:val="single" w:sz="4" w:space="0" w:color="auto"/>
              <w:right w:val="single" w:sz="4" w:space="0" w:color="auto"/>
            </w:tcBorders>
            <w:vAlign w:val="center"/>
          </w:tcPr>
          <w:p w14:paraId="2FF1F8FF" w14:textId="01A8130B" w:rsidR="006E07A1" w:rsidRPr="002D5516" w:rsidRDefault="006E07A1" w:rsidP="006E07A1">
            <w:pPr>
              <w:spacing w:after="0" w:line="240" w:lineRule="auto"/>
              <w:jc w:val="center"/>
              <w:rPr>
                <w:rFonts w:ascii="Times New Roman" w:hAnsi="Times New Roman" w:cs="Times New Roman"/>
                <w:sz w:val="20"/>
                <w:szCs w:val="20"/>
                <w:u w:val="single"/>
              </w:rPr>
            </w:pPr>
            <w:r>
              <w:rPr>
                <w:rFonts w:ascii="Times New Roman" w:eastAsia="Times New Roman" w:hAnsi="Times New Roman" w:cs="Times New Roman"/>
                <w:iCs/>
                <w:sz w:val="24"/>
                <w:szCs w:val="24"/>
                <w:lang w:eastAsia="lv-LV"/>
              </w:rPr>
              <w:t> 0</w:t>
            </w:r>
          </w:p>
        </w:tc>
        <w:tc>
          <w:tcPr>
            <w:tcW w:w="576" w:type="pct"/>
            <w:gridSpan w:val="2"/>
            <w:tcBorders>
              <w:top w:val="single" w:sz="4" w:space="0" w:color="auto"/>
              <w:left w:val="single" w:sz="4" w:space="0" w:color="auto"/>
              <w:bottom w:val="single" w:sz="4" w:space="0" w:color="auto"/>
              <w:right w:val="single" w:sz="4" w:space="0" w:color="auto"/>
            </w:tcBorders>
            <w:vAlign w:val="center"/>
          </w:tcPr>
          <w:p w14:paraId="70EA0ABA" w14:textId="27EF4A37" w:rsidR="006E07A1" w:rsidRPr="002D5516" w:rsidRDefault="006E07A1" w:rsidP="006E07A1">
            <w:pPr>
              <w:spacing w:after="0" w:line="240" w:lineRule="auto"/>
              <w:jc w:val="center"/>
              <w:rPr>
                <w:rFonts w:ascii="Times New Roman" w:hAnsi="Times New Roman" w:cs="Times New Roman"/>
                <w:sz w:val="20"/>
                <w:szCs w:val="20"/>
                <w:u w:val="single"/>
              </w:rPr>
            </w:pPr>
            <w:r>
              <w:rPr>
                <w:rFonts w:ascii="Times New Roman" w:eastAsia="Times New Roman" w:hAnsi="Times New Roman" w:cs="Times New Roman"/>
                <w:iCs/>
                <w:sz w:val="24"/>
                <w:szCs w:val="24"/>
                <w:lang w:eastAsia="lv-LV"/>
              </w:rPr>
              <w:t> 0</w:t>
            </w:r>
          </w:p>
        </w:tc>
      </w:tr>
      <w:tr w:rsidR="006E07A1" w:rsidRPr="00FE282F" w14:paraId="45ABD424" w14:textId="77777777" w:rsidTr="006E0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7" w:type="pct"/>
        </w:trPr>
        <w:tc>
          <w:tcPr>
            <w:tcW w:w="1148" w:type="pct"/>
            <w:gridSpan w:val="3"/>
            <w:tcBorders>
              <w:top w:val="single" w:sz="4" w:space="0" w:color="auto"/>
              <w:left w:val="single" w:sz="4" w:space="0" w:color="auto"/>
              <w:bottom w:val="single" w:sz="4" w:space="0" w:color="auto"/>
              <w:right w:val="single" w:sz="4" w:space="0" w:color="auto"/>
            </w:tcBorders>
            <w:hideMark/>
          </w:tcPr>
          <w:p w14:paraId="6F643024" w14:textId="77777777" w:rsidR="006E07A1" w:rsidRPr="00FE282F" w:rsidRDefault="006E07A1" w:rsidP="006E07A1">
            <w:pPr>
              <w:spacing w:after="0" w:line="240" w:lineRule="auto"/>
              <w:rPr>
                <w:rFonts w:ascii="Times New Roman" w:eastAsia="Times New Roman" w:hAnsi="Times New Roman" w:cs="Times New Roman"/>
                <w:sz w:val="24"/>
                <w:szCs w:val="24"/>
              </w:rPr>
            </w:pPr>
            <w:r w:rsidRPr="00FE282F">
              <w:rPr>
                <w:rFonts w:ascii="Times New Roman" w:eastAsia="Times New Roman" w:hAnsi="Times New Roman" w:cs="Times New Roman"/>
                <w:sz w:val="24"/>
                <w:szCs w:val="24"/>
              </w:rPr>
              <w:t>2.1. valsts pamatbudžets</w:t>
            </w:r>
            <w:r>
              <w:rPr>
                <w:rFonts w:ascii="Times New Roman" w:eastAsia="Times New Roman" w:hAnsi="Times New Roman" w:cs="Times New Roman"/>
                <w:sz w:val="24"/>
                <w:szCs w:val="24"/>
              </w:rPr>
              <w:t>, t.sk.</w:t>
            </w:r>
          </w:p>
        </w:tc>
        <w:tc>
          <w:tcPr>
            <w:tcW w:w="587" w:type="pct"/>
            <w:tcBorders>
              <w:top w:val="single" w:sz="4" w:space="0" w:color="auto"/>
              <w:left w:val="single" w:sz="4" w:space="0" w:color="auto"/>
              <w:bottom w:val="single" w:sz="4" w:space="0" w:color="auto"/>
              <w:right w:val="single" w:sz="4" w:space="0" w:color="auto"/>
            </w:tcBorders>
            <w:vAlign w:val="center"/>
          </w:tcPr>
          <w:p w14:paraId="7197D55A" w14:textId="21FEE2D2" w:rsidR="006E07A1" w:rsidRPr="002D5516"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 0</w:t>
            </w:r>
          </w:p>
        </w:tc>
        <w:tc>
          <w:tcPr>
            <w:tcW w:w="594" w:type="pct"/>
            <w:tcBorders>
              <w:top w:val="single" w:sz="4" w:space="0" w:color="auto"/>
              <w:left w:val="single" w:sz="4" w:space="0" w:color="auto"/>
              <w:bottom w:val="single" w:sz="4" w:space="0" w:color="auto"/>
              <w:right w:val="single" w:sz="4" w:space="0" w:color="auto"/>
            </w:tcBorders>
            <w:vAlign w:val="center"/>
          </w:tcPr>
          <w:p w14:paraId="68E0DCB2" w14:textId="4A50522A" w:rsidR="006E07A1" w:rsidRPr="000B4E57"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 0</w:t>
            </w:r>
          </w:p>
        </w:tc>
        <w:tc>
          <w:tcPr>
            <w:tcW w:w="522" w:type="pct"/>
            <w:tcBorders>
              <w:top w:val="single" w:sz="4" w:space="0" w:color="auto"/>
              <w:left w:val="single" w:sz="4" w:space="0" w:color="auto"/>
              <w:bottom w:val="single" w:sz="4" w:space="0" w:color="auto"/>
              <w:right w:val="single" w:sz="4" w:space="0" w:color="auto"/>
            </w:tcBorders>
            <w:vAlign w:val="center"/>
          </w:tcPr>
          <w:p w14:paraId="157F9460" w14:textId="066CFC7A" w:rsidR="006E07A1" w:rsidRPr="002D5516"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0 </w:t>
            </w:r>
          </w:p>
        </w:tc>
        <w:tc>
          <w:tcPr>
            <w:tcW w:w="522" w:type="pct"/>
            <w:tcBorders>
              <w:top w:val="single" w:sz="4" w:space="0" w:color="auto"/>
              <w:left w:val="single" w:sz="4" w:space="0" w:color="auto"/>
              <w:bottom w:val="single" w:sz="4" w:space="0" w:color="auto"/>
              <w:right w:val="single" w:sz="4" w:space="0" w:color="auto"/>
            </w:tcBorders>
            <w:vAlign w:val="center"/>
          </w:tcPr>
          <w:p w14:paraId="5A6BD614" w14:textId="12A0220E" w:rsidR="006E07A1" w:rsidRPr="00F41EF2"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 0</w:t>
            </w:r>
          </w:p>
        </w:tc>
        <w:tc>
          <w:tcPr>
            <w:tcW w:w="522" w:type="pct"/>
            <w:tcBorders>
              <w:top w:val="single" w:sz="4" w:space="0" w:color="auto"/>
              <w:left w:val="single" w:sz="4" w:space="0" w:color="auto"/>
              <w:bottom w:val="single" w:sz="4" w:space="0" w:color="auto"/>
              <w:right w:val="single" w:sz="4" w:space="0" w:color="auto"/>
            </w:tcBorders>
            <w:vAlign w:val="center"/>
          </w:tcPr>
          <w:p w14:paraId="7600A7BC" w14:textId="24472657" w:rsidR="006E07A1" w:rsidRPr="002D5516"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 0</w:t>
            </w:r>
          </w:p>
        </w:tc>
        <w:tc>
          <w:tcPr>
            <w:tcW w:w="522" w:type="pct"/>
            <w:tcBorders>
              <w:top w:val="single" w:sz="4" w:space="0" w:color="auto"/>
              <w:left w:val="single" w:sz="4" w:space="0" w:color="auto"/>
              <w:bottom w:val="single" w:sz="4" w:space="0" w:color="auto"/>
              <w:right w:val="single" w:sz="4" w:space="0" w:color="auto"/>
            </w:tcBorders>
            <w:vAlign w:val="center"/>
          </w:tcPr>
          <w:p w14:paraId="122FDBC6" w14:textId="5896945F" w:rsidR="006E07A1" w:rsidRPr="002D5516" w:rsidRDefault="006E07A1" w:rsidP="006E07A1">
            <w:pPr>
              <w:spacing w:after="0" w:line="240" w:lineRule="auto"/>
              <w:jc w:val="center"/>
              <w:rPr>
                <w:rFonts w:ascii="Times New Roman" w:hAnsi="Times New Roman" w:cs="Times New Roman"/>
                <w:sz w:val="20"/>
                <w:szCs w:val="20"/>
                <w:u w:val="single"/>
              </w:rPr>
            </w:pPr>
            <w:r>
              <w:rPr>
                <w:rFonts w:ascii="Times New Roman" w:eastAsia="Times New Roman" w:hAnsi="Times New Roman" w:cs="Times New Roman"/>
                <w:iCs/>
                <w:sz w:val="24"/>
                <w:szCs w:val="24"/>
                <w:lang w:eastAsia="lv-LV"/>
              </w:rPr>
              <w:t> 0</w:t>
            </w:r>
          </w:p>
        </w:tc>
        <w:tc>
          <w:tcPr>
            <w:tcW w:w="576" w:type="pct"/>
            <w:gridSpan w:val="2"/>
            <w:tcBorders>
              <w:top w:val="single" w:sz="4" w:space="0" w:color="auto"/>
              <w:left w:val="single" w:sz="4" w:space="0" w:color="auto"/>
              <w:bottom w:val="single" w:sz="4" w:space="0" w:color="auto"/>
              <w:right w:val="single" w:sz="4" w:space="0" w:color="auto"/>
            </w:tcBorders>
            <w:vAlign w:val="center"/>
          </w:tcPr>
          <w:p w14:paraId="510EF3CD" w14:textId="23C6E644" w:rsidR="006E07A1" w:rsidRPr="002D5516" w:rsidRDefault="006E07A1" w:rsidP="006E07A1">
            <w:pPr>
              <w:spacing w:after="0" w:line="240" w:lineRule="auto"/>
              <w:jc w:val="center"/>
              <w:rPr>
                <w:rFonts w:ascii="Times New Roman" w:hAnsi="Times New Roman" w:cs="Times New Roman"/>
                <w:sz w:val="20"/>
                <w:szCs w:val="20"/>
                <w:u w:val="single"/>
              </w:rPr>
            </w:pPr>
            <w:r>
              <w:rPr>
                <w:rFonts w:ascii="Times New Roman" w:eastAsia="Times New Roman" w:hAnsi="Times New Roman" w:cs="Times New Roman"/>
                <w:iCs/>
                <w:sz w:val="24"/>
                <w:szCs w:val="24"/>
                <w:lang w:eastAsia="lv-LV"/>
              </w:rPr>
              <w:t> 0</w:t>
            </w:r>
          </w:p>
        </w:tc>
      </w:tr>
      <w:tr w:rsidR="006E07A1" w:rsidRPr="00FE282F" w14:paraId="418282AC" w14:textId="77777777" w:rsidTr="006E0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7" w:type="pct"/>
        </w:trPr>
        <w:tc>
          <w:tcPr>
            <w:tcW w:w="1148" w:type="pct"/>
            <w:gridSpan w:val="3"/>
            <w:tcBorders>
              <w:top w:val="single" w:sz="4" w:space="0" w:color="auto"/>
              <w:left w:val="single" w:sz="4" w:space="0" w:color="auto"/>
              <w:bottom w:val="single" w:sz="4" w:space="0" w:color="auto"/>
              <w:right w:val="single" w:sz="4" w:space="0" w:color="auto"/>
            </w:tcBorders>
            <w:hideMark/>
          </w:tcPr>
          <w:p w14:paraId="6BF64CA8" w14:textId="77777777" w:rsidR="006E07A1" w:rsidRPr="00FE282F" w:rsidRDefault="006E07A1" w:rsidP="006E07A1">
            <w:pPr>
              <w:spacing w:after="0" w:line="240" w:lineRule="auto"/>
              <w:rPr>
                <w:rFonts w:ascii="Times New Roman" w:eastAsia="Times New Roman" w:hAnsi="Times New Roman" w:cs="Times New Roman"/>
                <w:sz w:val="24"/>
                <w:szCs w:val="24"/>
              </w:rPr>
            </w:pPr>
            <w:r w:rsidRPr="00FE282F">
              <w:rPr>
                <w:rFonts w:ascii="Times New Roman" w:eastAsia="Times New Roman" w:hAnsi="Times New Roman" w:cs="Times New Roman"/>
                <w:sz w:val="24"/>
                <w:szCs w:val="24"/>
              </w:rPr>
              <w:t>2.2. valsts speciālais budžets</w:t>
            </w:r>
          </w:p>
        </w:tc>
        <w:tc>
          <w:tcPr>
            <w:tcW w:w="587" w:type="pct"/>
            <w:tcBorders>
              <w:top w:val="single" w:sz="4" w:space="0" w:color="auto"/>
              <w:left w:val="single" w:sz="4" w:space="0" w:color="auto"/>
              <w:bottom w:val="single" w:sz="4" w:space="0" w:color="auto"/>
              <w:right w:val="single" w:sz="4" w:space="0" w:color="auto"/>
            </w:tcBorders>
            <w:vAlign w:val="center"/>
          </w:tcPr>
          <w:p w14:paraId="62E7B23B" w14:textId="6016D61B" w:rsidR="006E07A1" w:rsidRPr="002D5516" w:rsidRDefault="006E07A1" w:rsidP="006E07A1">
            <w:pPr>
              <w:spacing w:after="0" w:line="240" w:lineRule="auto"/>
              <w:jc w:val="center"/>
              <w:rPr>
                <w:rFonts w:ascii="Times New Roman" w:hAnsi="Times New Roman" w:cs="Times New Roman"/>
                <w:sz w:val="20"/>
                <w:szCs w:val="20"/>
              </w:rPr>
            </w:pPr>
          </w:p>
        </w:tc>
        <w:tc>
          <w:tcPr>
            <w:tcW w:w="594" w:type="pct"/>
            <w:tcBorders>
              <w:top w:val="single" w:sz="4" w:space="0" w:color="auto"/>
              <w:left w:val="single" w:sz="4" w:space="0" w:color="auto"/>
              <w:bottom w:val="single" w:sz="4" w:space="0" w:color="auto"/>
              <w:right w:val="single" w:sz="4" w:space="0" w:color="auto"/>
            </w:tcBorders>
            <w:vAlign w:val="center"/>
          </w:tcPr>
          <w:p w14:paraId="6DAD5C2B" w14:textId="3C81F167" w:rsidR="006E07A1" w:rsidRPr="002D5516" w:rsidRDefault="006E07A1" w:rsidP="006E07A1">
            <w:pPr>
              <w:spacing w:after="0" w:line="240" w:lineRule="auto"/>
              <w:jc w:val="center"/>
              <w:rPr>
                <w:rFonts w:ascii="Times New Roman" w:hAnsi="Times New Roman" w:cs="Times New Roman"/>
                <w:sz w:val="20"/>
                <w:szCs w:val="20"/>
              </w:rPr>
            </w:pPr>
          </w:p>
        </w:tc>
        <w:tc>
          <w:tcPr>
            <w:tcW w:w="522" w:type="pct"/>
            <w:tcBorders>
              <w:top w:val="single" w:sz="4" w:space="0" w:color="auto"/>
              <w:left w:val="single" w:sz="4" w:space="0" w:color="auto"/>
              <w:bottom w:val="single" w:sz="4" w:space="0" w:color="auto"/>
              <w:right w:val="single" w:sz="4" w:space="0" w:color="auto"/>
            </w:tcBorders>
            <w:vAlign w:val="center"/>
          </w:tcPr>
          <w:p w14:paraId="2EB5DC8D" w14:textId="327E90B3" w:rsidR="006E07A1" w:rsidRPr="002D5516" w:rsidRDefault="006E07A1" w:rsidP="006E07A1">
            <w:pPr>
              <w:spacing w:after="0" w:line="240" w:lineRule="auto"/>
              <w:jc w:val="center"/>
              <w:rPr>
                <w:rFonts w:ascii="Times New Roman" w:hAnsi="Times New Roman" w:cs="Times New Roman"/>
                <w:sz w:val="20"/>
                <w:szCs w:val="20"/>
              </w:rPr>
            </w:pPr>
          </w:p>
        </w:tc>
        <w:tc>
          <w:tcPr>
            <w:tcW w:w="522" w:type="pct"/>
            <w:tcBorders>
              <w:top w:val="single" w:sz="4" w:space="0" w:color="auto"/>
              <w:left w:val="single" w:sz="4" w:space="0" w:color="auto"/>
              <w:bottom w:val="single" w:sz="4" w:space="0" w:color="auto"/>
              <w:right w:val="single" w:sz="4" w:space="0" w:color="auto"/>
            </w:tcBorders>
            <w:vAlign w:val="center"/>
          </w:tcPr>
          <w:p w14:paraId="11DADBAD" w14:textId="1AD6837A" w:rsidR="006E07A1" w:rsidRPr="002D5516" w:rsidRDefault="006E07A1" w:rsidP="006E07A1">
            <w:pPr>
              <w:spacing w:after="0" w:line="240" w:lineRule="auto"/>
              <w:jc w:val="center"/>
              <w:rPr>
                <w:rFonts w:ascii="Times New Roman" w:hAnsi="Times New Roman" w:cs="Times New Roman"/>
                <w:sz w:val="20"/>
                <w:szCs w:val="20"/>
              </w:rPr>
            </w:pPr>
          </w:p>
        </w:tc>
        <w:tc>
          <w:tcPr>
            <w:tcW w:w="522" w:type="pct"/>
            <w:tcBorders>
              <w:top w:val="single" w:sz="4" w:space="0" w:color="auto"/>
              <w:left w:val="single" w:sz="4" w:space="0" w:color="auto"/>
              <w:bottom w:val="single" w:sz="4" w:space="0" w:color="auto"/>
              <w:right w:val="single" w:sz="4" w:space="0" w:color="auto"/>
            </w:tcBorders>
            <w:vAlign w:val="center"/>
          </w:tcPr>
          <w:p w14:paraId="142A3625" w14:textId="7DED7CB7" w:rsidR="006E07A1" w:rsidRPr="002D5516" w:rsidRDefault="006E07A1" w:rsidP="006E07A1">
            <w:pPr>
              <w:spacing w:after="0" w:line="240" w:lineRule="auto"/>
              <w:jc w:val="center"/>
              <w:rPr>
                <w:rFonts w:ascii="Times New Roman" w:hAnsi="Times New Roman" w:cs="Times New Roman"/>
                <w:sz w:val="20"/>
                <w:szCs w:val="20"/>
              </w:rPr>
            </w:pPr>
          </w:p>
        </w:tc>
        <w:tc>
          <w:tcPr>
            <w:tcW w:w="522" w:type="pct"/>
            <w:tcBorders>
              <w:top w:val="single" w:sz="4" w:space="0" w:color="auto"/>
              <w:left w:val="single" w:sz="4" w:space="0" w:color="auto"/>
              <w:bottom w:val="single" w:sz="4" w:space="0" w:color="auto"/>
              <w:right w:val="single" w:sz="4" w:space="0" w:color="auto"/>
            </w:tcBorders>
            <w:vAlign w:val="center"/>
          </w:tcPr>
          <w:p w14:paraId="326BE90F" w14:textId="68CC3A82" w:rsidR="006E07A1" w:rsidRPr="002D5516" w:rsidRDefault="006E07A1" w:rsidP="006E07A1">
            <w:pPr>
              <w:spacing w:after="0" w:line="240" w:lineRule="auto"/>
              <w:jc w:val="center"/>
              <w:rPr>
                <w:rFonts w:ascii="Times New Roman" w:hAnsi="Times New Roman" w:cs="Times New Roman"/>
                <w:sz w:val="20"/>
                <w:szCs w:val="20"/>
              </w:rPr>
            </w:pPr>
          </w:p>
        </w:tc>
        <w:tc>
          <w:tcPr>
            <w:tcW w:w="576" w:type="pct"/>
            <w:gridSpan w:val="2"/>
            <w:tcBorders>
              <w:top w:val="single" w:sz="4" w:space="0" w:color="auto"/>
              <w:left w:val="single" w:sz="4" w:space="0" w:color="auto"/>
              <w:bottom w:val="single" w:sz="4" w:space="0" w:color="auto"/>
              <w:right w:val="single" w:sz="4" w:space="0" w:color="auto"/>
            </w:tcBorders>
            <w:vAlign w:val="center"/>
          </w:tcPr>
          <w:p w14:paraId="70D8A017" w14:textId="311AB631" w:rsidR="006E07A1" w:rsidRPr="002D5516" w:rsidRDefault="006E07A1" w:rsidP="006E07A1">
            <w:pPr>
              <w:spacing w:after="0" w:line="240" w:lineRule="auto"/>
              <w:jc w:val="center"/>
              <w:rPr>
                <w:rFonts w:ascii="Times New Roman" w:hAnsi="Times New Roman" w:cs="Times New Roman"/>
                <w:sz w:val="20"/>
                <w:szCs w:val="20"/>
              </w:rPr>
            </w:pPr>
          </w:p>
        </w:tc>
      </w:tr>
      <w:tr w:rsidR="006E07A1" w:rsidRPr="00FE282F" w14:paraId="6F07A06A" w14:textId="77777777" w:rsidTr="006E0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7" w:type="pct"/>
        </w:trPr>
        <w:tc>
          <w:tcPr>
            <w:tcW w:w="1148" w:type="pct"/>
            <w:gridSpan w:val="3"/>
            <w:tcBorders>
              <w:top w:val="single" w:sz="4" w:space="0" w:color="auto"/>
              <w:left w:val="single" w:sz="4" w:space="0" w:color="auto"/>
              <w:bottom w:val="single" w:sz="4" w:space="0" w:color="auto"/>
              <w:right w:val="single" w:sz="4" w:space="0" w:color="auto"/>
            </w:tcBorders>
            <w:hideMark/>
          </w:tcPr>
          <w:p w14:paraId="46DBE51D" w14:textId="77777777" w:rsidR="006E07A1" w:rsidRPr="00FE282F" w:rsidRDefault="006E07A1" w:rsidP="006E07A1">
            <w:pPr>
              <w:spacing w:after="0" w:line="240" w:lineRule="auto"/>
              <w:rPr>
                <w:rFonts w:ascii="Times New Roman" w:eastAsia="Times New Roman" w:hAnsi="Times New Roman" w:cs="Times New Roman"/>
                <w:sz w:val="24"/>
                <w:szCs w:val="24"/>
              </w:rPr>
            </w:pPr>
            <w:r w:rsidRPr="00FE282F">
              <w:rPr>
                <w:rFonts w:ascii="Times New Roman" w:eastAsia="Times New Roman" w:hAnsi="Times New Roman" w:cs="Times New Roman"/>
                <w:sz w:val="24"/>
                <w:szCs w:val="24"/>
              </w:rPr>
              <w:t>2.3. pašvaldību budžets</w:t>
            </w:r>
          </w:p>
        </w:tc>
        <w:tc>
          <w:tcPr>
            <w:tcW w:w="587" w:type="pct"/>
            <w:tcBorders>
              <w:top w:val="single" w:sz="4" w:space="0" w:color="auto"/>
              <w:left w:val="single" w:sz="4" w:space="0" w:color="auto"/>
              <w:bottom w:val="single" w:sz="4" w:space="0" w:color="auto"/>
              <w:right w:val="single" w:sz="4" w:space="0" w:color="auto"/>
            </w:tcBorders>
            <w:vAlign w:val="center"/>
          </w:tcPr>
          <w:p w14:paraId="7CF16133" w14:textId="6B676560" w:rsidR="006E07A1" w:rsidRPr="002D5516" w:rsidRDefault="006E07A1" w:rsidP="006E07A1">
            <w:pPr>
              <w:spacing w:after="0" w:line="240" w:lineRule="auto"/>
              <w:jc w:val="center"/>
              <w:rPr>
                <w:rFonts w:ascii="Times New Roman" w:hAnsi="Times New Roman" w:cs="Times New Roman"/>
                <w:sz w:val="20"/>
                <w:szCs w:val="20"/>
              </w:rPr>
            </w:pPr>
          </w:p>
        </w:tc>
        <w:tc>
          <w:tcPr>
            <w:tcW w:w="594" w:type="pct"/>
            <w:tcBorders>
              <w:top w:val="single" w:sz="4" w:space="0" w:color="auto"/>
              <w:left w:val="single" w:sz="4" w:space="0" w:color="auto"/>
              <w:bottom w:val="single" w:sz="4" w:space="0" w:color="auto"/>
              <w:right w:val="single" w:sz="4" w:space="0" w:color="auto"/>
            </w:tcBorders>
            <w:vAlign w:val="center"/>
          </w:tcPr>
          <w:p w14:paraId="532ACF4C" w14:textId="6AD0E829" w:rsidR="006E07A1" w:rsidRPr="002D5516" w:rsidRDefault="006E07A1" w:rsidP="006E07A1">
            <w:pPr>
              <w:spacing w:after="0" w:line="240" w:lineRule="auto"/>
              <w:jc w:val="center"/>
              <w:rPr>
                <w:rFonts w:ascii="Times New Roman" w:hAnsi="Times New Roman" w:cs="Times New Roman"/>
                <w:sz w:val="20"/>
                <w:szCs w:val="20"/>
              </w:rPr>
            </w:pPr>
          </w:p>
        </w:tc>
        <w:tc>
          <w:tcPr>
            <w:tcW w:w="522" w:type="pct"/>
            <w:tcBorders>
              <w:top w:val="single" w:sz="4" w:space="0" w:color="auto"/>
              <w:left w:val="single" w:sz="4" w:space="0" w:color="auto"/>
              <w:bottom w:val="single" w:sz="4" w:space="0" w:color="auto"/>
              <w:right w:val="single" w:sz="4" w:space="0" w:color="auto"/>
            </w:tcBorders>
            <w:vAlign w:val="center"/>
          </w:tcPr>
          <w:p w14:paraId="2C5F747F" w14:textId="69EE0208" w:rsidR="006E07A1" w:rsidRPr="002D5516" w:rsidRDefault="006E07A1" w:rsidP="006E07A1">
            <w:pPr>
              <w:spacing w:after="0" w:line="240" w:lineRule="auto"/>
              <w:jc w:val="center"/>
              <w:rPr>
                <w:rFonts w:ascii="Times New Roman" w:hAnsi="Times New Roman" w:cs="Times New Roman"/>
                <w:sz w:val="20"/>
                <w:szCs w:val="20"/>
              </w:rPr>
            </w:pPr>
          </w:p>
        </w:tc>
        <w:tc>
          <w:tcPr>
            <w:tcW w:w="522" w:type="pct"/>
            <w:tcBorders>
              <w:top w:val="single" w:sz="4" w:space="0" w:color="auto"/>
              <w:left w:val="single" w:sz="4" w:space="0" w:color="auto"/>
              <w:bottom w:val="single" w:sz="4" w:space="0" w:color="auto"/>
              <w:right w:val="single" w:sz="4" w:space="0" w:color="auto"/>
            </w:tcBorders>
            <w:vAlign w:val="center"/>
          </w:tcPr>
          <w:p w14:paraId="6504F677" w14:textId="4F2C19FE" w:rsidR="006E07A1" w:rsidRPr="002D5516" w:rsidRDefault="006E07A1" w:rsidP="006E07A1">
            <w:pPr>
              <w:spacing w:after="0" w:line="240" w:lineRule="auto"/>
              <w:jc w:val="center"/>
              <w:rPr>
                <w:rFonts w:ascii="Times New Roman" w:hAnsi="Times New Roman" w:cs="Times New Roman"/>
                <w:sz w:val="20"/>
                <w:szCs w:val="20"/>
              </w:rPr>
            </w:pPr>
          </w:p>
        </w:tc>
        <w:tc>
          <w:tcPr>
            <w:tcW w:w="522" w:type="pct"/>
            <w:tcBorders>
              <w:top w:val="single" w:sz="4" w:space="0" w:color="auto"/>
              <w:left w:val="single" w:sz="4" w:space="0" w:color="auto"/>
              <w:bottom w:val="single" w:sz="4" w:space="0" w:color="auto"/>
              <w:right w:val="single" w:sz="4" w:space="0" w:color="auto"/>
            </w:tcBorders>
            <w:vAlign w:val="center"/>
          </w:tcPr>
          <w:p w14:paraId="0A701444" w14:textId="37D05A7C" w:rsidR="006E07A1" w:rsidRPr="002D5516" w:rsidRDefault="006E07A1" w:rsidP="006E07A1">
            <w:pPr>
              <w:spacing w:after="0" w:line="240" w:lineRule="auto"/>
              <w:jc w:val="center"/>
              <w:rPr>
                <w:rFonts w:ascii="Times New Roman" w:hAnsi="Times New Roman" w:cs="Times New Roman"/>
                <w:sz w:val="20"/>
                <w:szCs w:val="20"/>
              </w:rPr>
            </w:pPr>
          </w:p>
        </w:tc>
        <w:tc>
          <w:tcPr>
            <w:tcW w:w="522" w:type="pct"/>
            <w:tcBorders>
              <w:top w:val="single" w:sz="4" w:space="0" w:color="auto"/>
              <w:left w:val="single" w:sz="4" w:space="0" w:color="auto"/>
              <w:bottom w:val="single" w:sz="4" w:space="0" w:color="auto"/>
              <w:right w:val="single" w:sz="4" w:space="0" w:color="auto"/>
            </w:tcBorders>
            <w:vAlign w:val="center"/>
          </w:tcPr>
          <w:p w14:paraId="08C630CD" w14:textId="6CA2ACE9" w:rsidR="006E07A1" w:rsidRPr="002D5516" w:rsidRDefault="006E07A1" w:rsidP="006E07A1">
            <w:pPr>
              <w:spacing w:after="0" w:line="240" w:lineRule="auto"/>
              <w:jc w:val="center"/>
              <w:rPr>
                <w:rFonts w:ascii="Times New Roman" w:hAnsi="Times New Roman" w:cs="Times New Roman"/>
                <w:sz w:val="20"/>
                <w:szCs w:val="20"/>
              </w:rPr>
            </w:pPr>
          </w:p>
        </w:tc>
        <w:tc>
          <w:tcPr>
            <w:tcW w:w="576" w:type="pct"/>
            <w:gridSpan w:val="2"/>
            <w:tcBorders>
              <w:top w:val="single" w:sz="4" w:space="0" w:color="auto"/>
              <w:left w:val="single" w:sz="4" w:space="0" w:color="auto"/>
              <w:bottom w:val="single" w:sz="4" w:space="0" w:color="auto"/>
              <w:right w:val="single" w:sz="4" w:space="0" w:color="auto"/>
            </w:tcBorders>
            <w:vAlign w:val="center"/>
          </w:tcPr>
          <w:p w14:paraId="364ACF83" w14:textId="6720B3E8" w:rsidR="006E07A1" w:rsidRPr="002D5516" w:rsidRDefault="006E07A1" w:rsidP="006E07A1">
            <w:pPr>
              <w:spacing w:after="0" w:line="240" w:lineRule="auto"/>
              <w:jc w:val="center"/>
              <w:rPr>
                <w:rFonts w:ascii="Times New Roman" w:hAnsi="Times New Roman" w:cs="Times New Roman"/>
                <w:sz w:val="20"/>
                <w:szCs w:val="20"/>
              </w:rPr>
            </w:pPr>
          </w:p>
        </w:tc>
      </w:tr>
      <w:tr w:rsidR="006E07A1" w:rsidRPr="00FE282F" w14:paraId="6DF7A638" w14:textId="77777777" w:rsidTr="006E0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7" w:type="pct"/>
        </w:trPr>
        <w:tc>
          <w:tcPr>
            <w:tcW w:w="1148" w:type="pct"/>
            <w:gridSpan w:val="3"/>
            <w:tcBorders>
              <w:top w:val="single" w:sz="4" w:space="0" w:color="auto"/>
              <w:left w:val="single" w:sz="4" w:space="0" w:color="auto"/>
              <w:bottom w:val="single" w:sz="4" w:space="0" w:color="auto"/>
              <w:right w:val="single" w:sz="4" w:space="0" w:color="auto"/>
            </w:tcBorders>
            <w:hideMark/>
          </w:tcPr>
          <w:p w14:paraId="12A1FBD2" w14:textId="77777777" w:rsidR="006E07A1" w:rsidRPr="00FE282F" w:rsidRDefault="006E07A1" w:rsidP="006E07A1">
            <w:pPr>
              <w:spacing w:after="0" w:line="240" w:lineRule="auto"/>
              <w:rPr>
                <w:rFonts w:ascii="Times New Roman" w:eastAsia="Times New Roman" w:hAnsi="Times New Roman" w:cs="Times New Roman"/>
                <w:sz w:val="24"/>
                <w:szCs w:val="24"/>
              </w:rPr>
            </w:pPr>
            <w:r w:rsidRPr="00FE282F">
              <w:rPr>
                <w:rFonts w:ascii="Times New Roman" w:eastAsia="Times New Roman" w:hAnsi="Times New Roman" w:cs="Times New Roman"/>
                <w:sz w:val="24"/>
                <w:szCs w:val="24"/>
              </w:rPr>
              <w:t>3. Finansiālā ietekme</w:t>
            </w:r>
            <w:r>
              <w:rPr>
                <w:rFonts w:ascii="Times New Roman" w:eastAsia="Times New Roman" w:hAnsi="Times New Roman" w:cs="Times New Roman"/>
                <w:sz w:val="24"/>
                <w:szCs w:val="24"/>
              </w:rPr>
              <w:t xml:space="preserve"> </w:t>
            </w:r>
          </w:p>
        </w:tc>
        <w:tc>
          <w:tcPr>
            <w:tcW w:w="587" w:type="pct"/>
            <w:tcBorders>
              <w:top w:val="single" w:sz="4" w:space="0" w:color="auto"/>
              <w:left w:val="single" w:sz="4" w:space="0" w:color="auto"/>
              <w:bottom w:val="single" w:sz="4" w:space="0" w:color="auto"/>
              <w:right w:val="single" w:sz="4" w:space="0" w:color="auto"/>
            </w:tcBorders>
            <w:vAlign w:val="center"/>
          </w:tcPr>
          <w:p w14:paraId="6B465DC2" w14:textId="3F7DC073" w:rsidR="006E07A1" w:rsidRPr="002D5516"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0</w:t>
            </w:r>
          </w:p>
        </w:tc>
        <w:tc>
          <w:tcPr>
            <w:tcW w:w="594" w:type="pct"/>
            <w:tcBorders>
              <w:top w:val="single" w:sz="4" w:space="0" w:color="auto"/>
              <w:left w:val="single" w:sz="4" w:space="0" w:color="auto"/>
              <w:bottom w:val="single" w:sz="4" w:space="0" w:color="auto"/>
              <w:right w:val="single" w:sz="4" w:space="0" w:color="auto"/>
            </w:tcBorders>
            <w:vAlign w:val="center"/>
          </w:tcPr>
          <w:p w14:paraId="0587DDB5" w14:textId="564CD398" w:rsidR="006E07A1" w:rsidRPr="002D5516"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 0</w:t>
            </w:r>
          </w:p>
        </w:tc>
        <w:tc>
          <w:tcPr>
            <w:tcW w:w="522" w:type="pct"/>
            <w:tcBorders>
              <w:top w:val="single" w:sz="4" w:space="0" w:color="auto"/>
              <w:left w:val="single" w:sz="4" w:space="0" w:color="auto"/>
              <w:bottom w:val="single" w:sz="4" w:space="0" w:color="auto"/>
              <w:right w:val="single" w:sz="4" w:space="0" w:color="auto"/>
            </w:tcBorders>
            <w:vAlign w:val="center"/>
          </w:tcPr>
          <w:p w14:paraId="4851108A" w14:textId="5C5E4390" w:rsidR="006E07A1" w:rsidRPr="002D5516"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 0</w:t>
            </w:r>
          </w:p>
        </w:tc>
        <w:tc>
          <w:tcPr>
            <w:tcW w:w="522" w:type="pct"/>
            <w:tcBorders>
              <w:top w:val="single" w:sz="4" w:space="0" w:color="auto"/>
              <w:left w:val="single" w:sz="4" w:space="0" w:color="auto"/>
              <w:bottom w:val="single" w:sz="4" w:space="0" w:color="auto"/>
              <w:right w:val="single" w:sz="4" w:space="0" w:color="auto"/>
            </w:tcBorders>
            <w:vAlign w:val="center"/>
          </w:tcPr>
          <w:p w14:paraId="68F46947" w14:textId="2CBE6236" w:rsidR="006E07A1" w:rsidRPr="002D5516"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 0</w:t>
            </w:r>
          </w:p>
        </w:tc>
        <w:tc>
          <w:tcPr>
            <w:tcW w:w="522" w:type="pct"/>
            <w:tcBorders>
              <w:top w:val="single" w:sz="4" w:space="0" w:color="auto"/>
              <w:left w:val="single" w:sz="4" w:space="0" w:color="auto"/>
              <w:bottom w:val="single" w:sz="4" w:space="0" w:color="auto"/>
              <w:right w:val="single" w:sz="4" w:space="0" w:color="auto"/>
            </w:tcBorders>
            <w:vAlign w:val="center"/>
          </w:tcPr>
          <w:p w14:paraId="0377BF42" w14:textId="1ECA8FBB" w:rsidR="006E07A1" w:rsidRPr="002D5516"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 0</w:t>
            </w:r>
          </w:p>
        </w:tc>
        <w:tc>
          <w:tcPr>
            <w:tcW w:w="522" w:type="pct"/>
            <w:tcBorders>
              <w:top w:val="single" w:sz="4" w:space="0" w:color="auto"/>
              <w:left w:val="single" w:sz="4" w:space="0" w:color="auto"/>
              <w:bottom w:val="single" w:sz="4" w:space="0" w:color="auto"/>
              <w:right w:val="single" w:sz="4" w:space="0" w:color="auto"/>
            </w:tcBorders>
            <w:vAlign w:val="center"/>
          </w:tcPr>
          <w:p w14:paraId="23F1011F" w14:textId="5BF8B1CE" w:rsidR="006E07A1" w:rsidRPr="002D5516"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 0</w:t>
            </w:r>
          </w:p>
        </w:tc>
        <w:tc>
          <w:tcPr>
            <w:tcW w:w="576" w:type="pct"/>
            <w:gridSpan w:val="2"/>
            <w:tcBorders>
              <w:top w:val="single" w:sz="4" w:space="0" w:color="auto"/>
              <w:left w:val="single" w:sz="4" w:space="0" w:color="auto"/>
              <w:bottom w:val="single" w:sz="4" w:space="0" w:color="auto"/>
              <w:right w:val="single" w:sz="4" w:space="0" w:color="auto"/>
            </w:tcBorders>
            <w:vAlign w:val="center"/>
          </w:tcPr>
          <w:p w14:paraId="6FC4DA4D" w14:textId="6ECA0081" w:rsidR="006E07A1" w:rsidRPr="002D5516" w:rsidRDefault="006E07A1" w:rsidP="006E07A1">
            <w:pPr>
              <w:spacing w:after="0" w:line="240" w:lineRule="auto"/>
              <w:jc w:val="center"/>
              <w:rPr>
                <w:rFonts w:ascii="Times New Roman" w:hAnsi="Times New Roman" w:cs="Times New Roman"/>
                <w:sz w:val="20"/>
                <w:szCs w:val="20"/>
                <w:u w:val="single"/>
              </w:rPr>
            </w:pPr>
            <w:r>
              <w:rPr>
                <w:rFonts w:ascii="Times New Roman" w:eastAsia="Times New Roman" w:hAnsi="Times New Roman" w:cs="Times New Roman"/>
                <w:iCs/>
                <w:sz w:val="24"/>
                <w:szCs w:val="24"/>
                <w:lang w:eastAsia="lv-LV"/>
              </w:rPr>
              <w:t> 0</w:t>
            </w:r>
          </w:p>
        </w:tc>
      </w:tr>
      <w:tr w:rsidR="006E07A1" w:rsidRPr="00FE282F" w14:paraId="25B75FF3" w14:textId="77777777" w:rsidTr="006E0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7" w:type="pct"/>
        </w:trPr>
        <w:tc>
          <w:tcPr>
            <w:tcW w:w="1148" w:type="pct"/>
            <w:gridSpan w:val="3"/>
            <w:tcBorders>
              <w:top w:val="single" w:sz="4" w:space="0" w:color="auto"/>
              <w:left w:val="single" w:sz="4" w:space="0" w:color="auto"/>
              <w:bottom w:val="single" w:sz="4" w:space="0" w:color="auto"/>
              <w:right w:val="single" w:sz="4" w:space="0" w:color="auto"/>
            </w:tcBorders>
            <w:hideMark/>
          </w:tcPr>
          <w:p w14:paraId="50B0A210" w14:textId="77777777" w:rsidR="006E07A1" w:rsidRPr="00FE282F" w:rsidRDefault="006E07A1" w:rsidP="006E07A1">
            <w:pPr>
              <w:spacing w:after="0" w:line="240" w:lineRule="auto"/>
              <w:rPr>
                <w:rFonts w:ascii="Times New Roman" w:eastAsia="Times New Roman" w:hAnsi="Times New Roman" w:cs="Times New Roman"/>
                <w:sz w:val="24"/>
                <w:szCs w:val="24"/>
              </w:rPr>
            </w:pPr>
            <w:r w:rsidRPr="00FE282F">
              <w:rPr>
                <w:rFonts w:ascii="Times New Roman" w:eastAsia="Times New Roman" w:hAnsi="Times New Roman" w:cs="Times New Roman"/>
                <w:sz w:val="24"/>
                <w:szCs w:val="24"/>
              </w:rPr>
              <w:t>3.1. valsts pamatbudžets</w:t>
            </w:r>
            <w:r>
              <w:rPr>
                <w:rFonts w:ascii="Times New Roman" w:eastAsia="Times New Roman" w:hAnsi="Times New Roman" w:cs="Times New Roman"/>
                <w:sz w:val="24"/>
                <w:szCs w:val="24"/>
              </w:rPr>
              <w:t xml:space="preserve"> </w:t>
            </w:r>
          </w:p>
        </w:tc>
        <w:tc>
          <w:tcPr>
            <w:tcW w:w="587" w:type="pct"/>
            <w:tcBorders>
              <w:top w:val="single" w:sz="4" w:space="0" w:color="auto"/>
              <w:left w:val="single" w:sz="4" w:space="0" w:color="auto"/>
              <w:bottom w:val="single" w:sz="4" w:space="0" w:color="auto"/>
              <w:right w:val="single" w:sz="4" w:space="0" w:color="auto"/>
            </w:tcBorders>
            <w:vAlign w:val="center"/>
          </w:tcPr>
          <w:p w14:paraId="2346130F" w14:textId="56823871" w:rsidR="006E07A1" w:rsidRPr="002D5516"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 0</w:t>
            </w:r>
          </w:p>
        </w:tc>
        <w:tc>
          <w:tcPr>
            <w:tcW w:w="594" w:type="pct"/>
            <w:tcBorders>
              <w:top w:val="single" w:sz="4" w:space="0" w:color="auto"/>
              <w:left w:val="single" w:sz="4" w:space="0" w:color="auto"/>
              <w:bottom w:val="single" w:sz="4" w:space="0" w:color="auto"/>
              <w:right w:val="single" w:sz="4" w:space="0" w:color="auto"/>
            </w:tcBorders>
            <w:vAlign w:val="center"/>
          </w:tcPr>
          <w:p w14:paraId="5255F8B8" w14:textId="5CBC3053" w:rsidR="006E07A1" w:rsidRPr="002D5516"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 0</w:t>
            </w:r>
          </w:p>
        </w:tc>
        <w:tc>
          <w:tcPr>
            <w:tcW w:w="522" w:type="pct"/>
            <w:tcBorders>
              <w:top w:val="single" w:sz="4" w:space="0" w:color="auto"/>
              <w:left w:val="single" w:sz="4" w:space="0" w:color="auto"/>
              <w:bottom w:val="single" w:sz="4" w:space="0" w:color="auto"/>
              <w:right w:val="single" w:sz="4" w:space="0" w:color="auto"/>
            </w:tcBorders>
            <w:vAlign w:val="center"/>
          </w:tcPr>
          <w:p w14:paraId="4733959E" w14:textId="3A96C1DC" w:rsidR="006E07A1" w:rsidRPr="002D5516"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0 </w:t>
            </w:r>
          </w:p>
        </w:tc>
        <w:tc>
          <w:tcPr>
            <w:tcW w:w="522" w:type="pct"/>
            <w:tcBorders>
              <w:top w:val="single" w:sz="4" w:space="0" w:color="auto"/>
              <w:left w:val="single" w:sz="4" w:space="0" w:color="auto"/>
              <w:bottom w:val="single" w:sz="4" w:space="0" w:color="auto"/>
              <w:right w:val="single" w:sz="4" w:space="0" w:color="auto"/>
            </w:tcBorders>
            <w:vAlign w:val="center"/>
          </w:tcPr>
          <w:p w14:paraId="20FFA205" w14:textId="12E089D4" w:rsidR="006E07A1" w:rsidRPr="002D5516"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 0</w:t>
            </w:r>
          </w:p>
        </w:tc>
        <w:tc>
          <w:tcPr>
            <w:tcW w:w="522" w:type="pct"/>
            <w:tcBorders>
              <w:top w:val="single" w:sz="4" w:space="0" w:color="auto"/>
              <w:left w:val="single" w:sz="4" w:space="0" w:color="auto"/>
              <w:bottom w:val="single" w:sz="4" w:space="0" w:color="auto"/>
              <w:right w:val="single" w:sz="4" w:space="0" w:color="auto"/>
            </w:tcBorders>
            <w:vAlign w:val="center"/>
          </w:tcPr>
          <w:p w14:paraId="09F76892" w14:textId="4B1432DA" w:rsidR="006E07A1" w:rsidRPr="002D5516"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 0</w:t>
            </w:r>
          </w:p>
        </w:tc>
        <w:tc>
          <w:tcPr>
            <w:tcW w:w="522" w:type="pct"/>
            <w:tcBorders>
              <w:top w:val="single" w:sz="4" w:space="0" w:color="auto"/>
              <w:left w:val="single" w:sz="4" w:space="0" w:color="auto"/>
              <w:bottom w:val="single" w:sz="4" w:space="0" w:color="auto"/>
              <w:right w:val="single" w:sz="4" w:space="0" w:color="auto"/>
            </w:tcBorders>
            <w:vAlign w:val="center"/>
          </w:tcPr>
          <w:p w14:paraId="737358D7" w14:textId="60EFAECF" w:rsidR="006E07A1" w:rsidRPr="002D5516"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 0</w:t>
            </w:r>
          </w:p>
        </w:tc>
        <w:tc>
          <w:tcPr>
            <w:tcW w:w="576" w:type="pct"/>
            <w:gridSpan w:val="2"/>
            <w:tcBorders>
              <w:top w:val="single" w:sz="4" w:space="0" w:color="auto"/>
              <w:left w:val="single" w:sz="4" w:space="0" w:color="auto"/>
              <w:bottom w:val="single" w:sz="4" w:space="0" w:color="auto"/>
              <w:right w:val="single" w:sz="4" w:space="0" w:color="auto"/>
            </w:tcBorders>
            <w:vAlign w:val="center"/>
          </w:tcPr>
          <w:p w14:paraId="2B242BF7" w14:textId="66121E54" w:rsidR="006E07A1" w:rsidRPr="002D5516" w:rsidRDefault="006E07A1" w:rsidP="006E07A1">
            <w:pPr>
              <w:spacing w:after="0" w:line="240" w:lineRule="auto"/>
              <w:jc w:val="center"/>
              <w:rPr>
                <w:rFonts w:ascii="Times New Roman" w:hAnsi="Times New Roman" w:cs="Times New Roman"/>
                <w:sz w:val="20"/>
                <w:szCs w:val="20"/>
                <w:u w:val="single"/>
              </w:rPr>
            </w:pPr>
            <w:r>
              <w:rPr>
                <w:rFonts w:ascii="Times New Roman" w:eastAsia="Times New Roman" w:hAnsi="Times New Roman" w:cs="Times New Roman"/>
                <w:iCs/>
                <w:sz w:val="24"/>
                <w:szCs w:val="24"/>
                <w:lang w:eastAsia="lv-LV"/>
              </w:rPr>
              <w:t> 0</w:t>
            </w:r>
          </w:p>
        </w:tc>
      </w:tr>
      <w:tr w:rsidR="006E07A1" w:rsidRPr="00FE282F" w14:paraId="5277BA5B" w14:textId="77777777" w:rsidTr="006E0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7" w:type="pct"/>
        </w:trPr>
        <w:tc>
          <w:tcPr>
            <w:tcW w:w="1148" w:type="pct"/>
            <w:gridSpan w:val="3"/>
            <w:tcBorders>
              <w:top w:val="single" w:sz="4" w:space="0" w:color="auto"/>
              <w:left w:val="single" w:sz="4" w:space="0" w:color="auto"/>
              <w:bottom w:val="single" w:sz="4" w:space="0" w:color="auto"/>
              <w:right w:val="single" w:sz="4" w:space="0" w:color="auto"/>
            </w:tcBorders>
            <w:hideMark/>
          </w:tcPr>
          <w:p w14:paraId="06E8B01E" w14:textId="77777777" w:rsidR="006E07A1" w:rsidRPr="00FE282F" w:rsidRDefault="006E07A1" w:rsidP="006E07A1">
            <w:pPr>
              <w:spacing w:after="0" w:line="240" w:lineRule="auto"/>
              <w:rPr>
                <w:rFonts w:ascii="Times New Roman" w:eastAsia="Times New Roman" w:hAnsi="Times New Roman" w:cs="Times New Roman"/>
                <w:sz w:val="24"/>
                <w:szCs w:val="24"/>
              </w:rPr>
            </w:pPr>
            <w:r w:rsidRPr="00FE282F">
              <w:rPr>
                <w:rFonts w:ascii="Times New Roman" w:eastAsia="Times New Roman" w:hAnsi="Times New Roman" w:cs="Times New Roman"/>
                <w:sz w:val="24"/>
                <w:szCs w:val="24"/>
              </w:rPr>
              <w:t>3.2. speciālais budžets</w:t>
            </w:r>
          </w:p>
        </w:tc>
        <w:tc>
          <w:tcPr>
            <w:tcW w:w="587" w:type="pct"/>
            <w:tcBorders>
              <w:top w:val="single" w:sz="4" w:space="0" w:color="auto"/>
              <w:left w:val="single" w:sz="4" w:space="0" w:color="auto"/>
              <w:bottom w:val="single" w:sz="4" w:space="0" w:color="auto"/>
              <w:right w:val="single" w:sz="4" w:space="0" w:color="auto"/>
            </w:tcBorders>
            <w:vAlign w:val="center"/>
          </w:tcPr>
          <w:p w14:paraId="27B92346" w14:textId="6986B33A" w:rsidR="006E07A1" w:rsidRPr="002D5516" w:rsidRDefault="006E07A1" w:rsidP="006E07A1">
            <w:pPr>
              <w:spacing w:after="0" w:line="240" w:lineRule="auto"/>
              <w:jc w:val="center"/>
              <w:rPr>
                <w:rFonts w:ascii="Times New Roman" w:eastAsia="Calibri" w:hAnsi="Times New Roman" w:cs="Times New Roman"/>
                <w:sz w:val="20"/>
                <w:szCs w:val="20"/>
              </w:rPr>
            </w:pPr>
          </w:p>
        </w:tc>
        <w:tc>
          <w:tcPr>
            <w:tcW w:w="594" w:type="pct"/>
            <w:tcBorders>
              <w:top w:val="single" w:sz="4" w:space="0" w:color="auto"/>
              <w:left w:val="single" w:sz="4" w:space="0" w:color="auto"/>
              <w:bottom w:val="single" w:sz="4" w:space="0" w:color="auto"/>
              <w:right w:val="single" w:sz="4" w:space="0" w:color="auto"/>
            </w:tcBorders>
            <w:vAlign w:val="center"/>
          </w:tcPr>
          <w:p w14:paraId="048B0D00" w14:textId="2A85C942" w:rsidR="006E07A1" w:rsidRPr="002D5516" w:rsidRDefault="006E07A1" w:rsidP="006E07A1">
            <w:pPr>
              <w:spacing w:after="0" w:line="240" w:lineRule="auto"/>
              <w:jc w:val="center"/>
              <w:rPr>
                <w:rFonts w:ascii="Times New Roman" w:eastAsia="Calibri" w:hAnsi="Times New Roman" w:cs="Times New Roman"/>
                <w:sz w:val="20"/>
                <w:szCs w:val="20"/>
              </w:rPr>
            </w:pPr>
          </w:p>
        </w:tc>
        <w:tc>
          <w:tcPr>
            <w:tcW w:w="522" w:type="pct"/>
            <w:tcBorders>
              <w:top w:val="single" w:sz="4" w:space="0" w:color="auto"/>
              <w:left w:val="single" w:sz="4" w:space="0" w:color="auto"/>
              <w:bottom w:val="single" w:sz="4" w:space="0" w:color="auto"/>
              <w:right w:val="single" w:sz="4" w:space="0" w:color="auto"/>
            </w:tcBorders>
            <w:vAlign w:val="center"/>
          </w:tcPr>
          <w:p w14:paraId="657E60EF" w14:textId="3A3F53FC" w:rsidR="006E07A1" w:rsidRPr="002D5516" w:rsidRDefault="006E07A1" w:rsidP="006E07A1">
            <w:pPr>
              <w:spacing w:after="0" w:line="240" w:lineRule="auto"/>
              <w:jc w:val="center"/>
              <w:rPr>
                <w:rFonts w:ascii="Times New Roman" w:eastAsia="Calibri" w:hAnsi="Times New Roman" w:cs="Times New Roman"/>
                <w:sz w:val="20"/>
                <w:szCs w:val="20"/>
              </w:rPr>
            </w:pPr>
          </w:p>
        </w:tc>
        <w:tc>
          <w:tcPr>
            <w:tcW w:w="522" w:type="pct"/>
            <w:tcBorders>
              <w:top w:val="single" w:sz="4" w:space="0" w:color="auto"/>
              <w:left w:val="single" w:sz="4" w:space="0" w:color="auto"/>
              <w:bottom w:val="single" w:sz="4" w:space="0" w:color="auto"/>
              <w:right w:val="single" w:sz="4" w:space="0" w:color="auto"/>
            </w:tcBorders>
            <w:vAlign w:val="center"/>
          </w:tcPr>
          <w:p w14:paraId="3C59A9E9" w14:textId="2EC798D8" w:rsidR="006E07A1" w:rsidRPr="002D5516" w:rsidRDefault="006E07A1" w:rsidP="006E07A1">
            <w:pPr>
              <w:spacing w:after="0" w:line="240" w:lineRule="auto"/>
              <w:jc w:val="center"/>
              <w:rPr>
                <w:rFonts w:ascii="Times New Roman" w:eastAsia="Calibri" w:hAnsi="Times New Roman" w:cs="Times New Roman"/>
                <w:sz w:val="20"/>
                <w:szCs w:val="20"/>
              </w:rPr>
            </w:pPr>
          </w:p>
        </w:tc>
        <w:tc>
          <w:tcPr>
            <w:tcW w:w="522" w:type="pct"/>
            <w:tcBorders>
              <w:top w:val="single" w:sz="4" w:space="0" w:color="auto"/>
              <w:left w:val="single" w:sz="4" w:space="0" w:color="auto"/>
              <w:bottom w:val="single" w:sz="4" w:space="0" w:color="auto"/>
              <w:right w:val="single" w:sz="4" w:space="0" w:color="auto"/>
            </w:tcBorders>
            <w:vAlign w:val="center"/>
          </w:tcPr>
          <w:p w14:paraId="56D81780" w14:textId="586B7DD7" w:rsidR="006E07A1" w:rsidRPr="002D5516" w:rsidRDefault="006E07A1" w:rsidP="006E07A1">
            <w:pPr>
              <w:spacing w:after="0" w:line="240" w:lineRule="auto"/>
              <w:jc w:val="center"/>
              <w:rPr>
                <w:rFonts w:ascii="Times New Roman" w:eastAsia="Calibri" w:hAnsi="Times New Roman" w:cs="Times New Roman"/>
                <w:sz w:val="20"/>
                <w:szCs w:val="20"/>
              </w:rPr>
            </w:pPr>
          </w:p>
        </w:tc>
        <w:tc>
          <w:tcPr>
            <w:tcW w:w="522" w:type="pct"/>
            <w:tcBorders>
              <w:top w:val="single" w:sz="4" w:space="0" w:color="auto"/>
              <w:left w:val="single" w:sz="4" w:space="0" w:color="auto"/>
              <w:bottom w:val="single" w:sz="4" w:space="0" w:color="auto"/>
              <w:right w:val="single" w:sz="4" w:space="0" w:color="auto"/>
            </w:tcBorders>
            <w:vAlign w:val="center"/>
          </w:tcPr>
          <w:p w14:paraId="3B0A6AC2" w14:textId="5A610E39" w:rsidR="006E07A1" w:rsidRPr="002D5516" w:rsidRDefault="006E07A1" w:rsidP="006E07A1">
            <w:pPr>
              <w:spacing w:after="0" w:line="240" w:lineRule="auto"/>
              <w:jc w:val="center"/>
              <w:rPr>
                <w:rFonts w:ascii="Times New Roman" w:eastAsia="Calibri" w:hAnsi="Times New Roman" w:cs="Times New Roman"/>
                <w:sz w:val="20"/>
                <w:szCs w:val="20"/>
              </w:rPr>
            </w:pPr>
          </w:p>
        </w:tc>
        <w:tc>
          <w:tcPr>
            <w:tcW w:w="576" w:type="pct"/>
            <w:gridSpan w:val="2"/>
            <w:tcBorders>
              <w:top w:val="single" w:sz="4" w:space="0" w:color="auto"/>
              <w:left w:val="single" w:sz="4" w:space="0" w:color="auto"/>
              <w:bottom w:val="single" w:sz="4" w:space="0" w:color="auto"/>
              <w:right w:val="single" w:sz="4" w:space="0" w:color="auto"/>
            </w:tcBorders>
            <w:vAlign w:val="center"/>
          </w:tcPr>
          <w:p w14:paraId="19AE657A" w14:textId="7DD7C9AE" w:rsidR="006E07A1" w:rsidRPr="002D5516" w:rsidRDefault="006E07A1" w:rsidP="006E07A1">
            <w:pPr>
              <w:spacing w:after="0" w:line="240" w:lineRule="auto"/>
              <w:jc w:val="center"/>
              <w:rPr>
                <w:rFonts w:ascii="Times New Roman" w:eastAsia="Calibri" w:hAnsi="Times New Roman" w:cs="Times New Roman"/>
                <w:sz w:val="20"/>
                <w:szCs w:val="20"/>
              </w:rPr>
            </w:pPr>
          </w:p>
        </w:tc>
      </w:tr>
      <w:tr w:rsidR="006E07A1" w:rsidRPr="00FE282F" w14:paraId="4D526656" w14:textId="77777777" w:rsidTr="006E0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7" w:type="pct"/>
        </w:trPr>
        <w:tc>
          <w:tcPr>
            <w:tcW w:w="1148" w:type="pct"/>
            <w:gridSpan w:val="3"/>
            <w:tcBorders>
              <w:top w:val="single" w:sz="4" w:space="0" w:color="auto"/>
              <w:left w:val="single" w:sz="4" w:space="0" w:color="auto"/>
              <w:bottom w:val="single" w:sz="4" w:space="0" w:color="auto"/>
              <w:right w:val="single" w:sz="4" w:space="0" w:color="auto"/>
            </w:tcBorders>
            <w:hideMark/>
          </w:tcPr>
          <w:p w14:paraId="5635285F" w14:textId="77777777" w:rsidR="006E07A1" w:rsidRPr="00FE282F" w:rsidRDefault="006E07A1" w:rsidP="006E07A1">
            <w:pPr>
              <w:spacing w:after="0" w:line="240" w:lineRule="auto"/>
              <w:rPr>
                <w:rFonts w:ascii="Times New Roman" w:eastAsia="Times New Roman" w:hAnsi="Times New Roman" w:cs="Times New Roman"/>
                <w:sz w:val="24"/>
                <w:szCs w:val="24"/>
              </w:rPr>
            </w:pPr>
            <w:r w:rsidRPr="00FE282F">
              <w:rPr>
                <w:rFonts w:ascii="Times New Roman" w:eastAsia="Times New Roman" w:hAnsi="Times New Roman" w:cs="Times New Roman"/>
                <w:sz w:val="24"/>
                <w:szCs w:val="24"/>
              </w:rPr>
              <w:t>3.3. pašvaldību budžets</w:t>
            </w:r>
          </w:p>
        </w:tc>
        <w:tc>
          <w:tcPr>
            <w:tcW w:w="587" w:type="pct"/>
            <w:tcBorders>
              <w:top w:val="single" w:sz="4" w:space="0" w:color="auto"/>
              <w:left w:val="single" w:sz="4" w:space="0" w:color="auto"/>
              <w:bottom w:val="single" w:sz="4" w:space="0" w:color="auto"/>
              <w:right w:val="single" w:sz="4" w:space="0" w:color="auto"/>
            </w:tcBorders>
            <w:vAlign w:val="center"/>
          </w:tcPr>
          <w:p w14:paraId="505AB341" w14:textId="0383DECA" w:rsidR="006E07A1" w:rsidRPr="002D5516" w:rsidRDefault="006E07A1" w:rsidP="006E07A1">
            <w:pPr>
              <w:spacing w:after="0" w:line="240" w:lineRule="auto"/>
              <w:jc w:val="center"/>
              <w:rPr>
                <w:rFonts w:ascii="Times New Roman" w:eastAsia="Calibri" w:hAnsi="Times New Roman" w:cs="Times New Roman"/>
                <w:sz w:val="20"/>
                <w:szCs w:val="20"/>
              </w:rPr>
            </w:pPr>
          </w:p>
        </w:tc>
        <w:tc>
          <w:tcPr>
            <w:tcW w:w="594" w:type="pct"/>
            <w:tcBorders>
              <w:top w:val="single" w:sz="4" w:space="0" w:color="auto"/>
              <w:left w:val="single" w:sz="4" w:space="0" w:color="auto"/>
              <w:bottom w:val="single" w:sz="4" w:space="0" w:color="auto"/>
              <w:right w:val="single" w:sz="4" w:space="0" w:color="auto"/>
            </w:tcBorders>
            <w:vAlign w:val="center"/>
          </w:tcPr>
          <w:p w14:paraId="429BB049" w14:textId="3D4B0ECF" w:rsidR="006E07A1" w:rsidRPr="002D5516" w:rsidRDefault="006E07A1" w:rsidP="006E07A1">
            <w:pPr>
              <w:spacing w:after="0" w:line="240" w:lineRule="auto"/>
              <w:jc w:val="center"/>
              <w:rPr>
                <w:rFonts w:ascii="Times New Roman" w:eastAsia="Calibri" w:hAnsi="Times New Roman" w:cs="Times New Roman"/>
                <w:sz w:val="20"/>
                <w:szCs w:val="20"/>
              </w:rPr>
            </w:pPr>
          </w:p>
        </w:tc>
        <w:tc>
          <w:tcPr>
            <w:tcW w:w="522" w:type="pct"/>
            <w:tcBorders>
              <w:top w:val="single" w:sz="4" w:space="0" w:color="auto"/>
              <w:left w:val="single" w:sz="4" w:space="0" w:color="auto"/>
              <w:bottom w:val="single" w:sz="4" w:space="0" w:color="auto"/>
              <w:right w:val="single" w:sz="4" w:space="0" w:color="auto"/>
            </w:tcBorders>
            <w:vAlign w:val="center"/>
          </w:tcPr>
          <w:p w14:paraId="69C6BB08" w14:textId="1C6DD9D9" w:rsidR="006E07A1" w:rsidRPr="002D5516" w:rsidRDefault="006E07A1" w:rsidP="006E07A1">
            <w:pPr>
              <w:spacing w:after="0" w:line="240" w:lineRule="auto"/>
              <w:jc w:val="center"/>
              <w:rPr>
                <w:rFonts w:ascii="Times New Roman" w:eastAsia="Calibri" w:hAnsi="Times New Roman" w:cs="Times New Roman"/>
                <w:sz w:val="20"/>
                <w:szCs w:val="20"/>
              </w:rPr>
            </w:pPr>
          </w:p>
        </w:tc>
        <w:tc>
          <w:tcPr>
            <w:tcW w:w="522" w:type="pct"/>
            <w:tcBorders>
              <w:top w:val="single" w:sz="4" w:space="0" w:color="auto"/>
              <w:left w:val="single" w:sz="4" w:space="0" w:color="auto"/>
              <w:bottom w:val="single" w:sz="4" w:space="0" w:color="auto"/>
              <w:right w:val="single" w:sz="4" w:space="0" w:color="auto"/>
            </w:tcBorders>
            <w:vAlign w:val="center"/>
          </w:tcPr>
          <w:p w14:paraId="08020BEF" w14:textId="77AF5571" w:rsidR="006E07A1" w:rsidRPr="002D5516" w:rsidRDefault="006E07A1" w:rsidP="006E07A1">
            <w:pPr>
              <w:spacing w:after="0" w:line="240" w:lineRule="auto"/>
              <w:jc w:val="center"/>
              <w:rPr>
                <w:rFonts w:ascii="Times New Roman" w:eastAsia="Calibri" w:hAnsi="Times New Roman" w:cs="Times New Roman"/>
                <w:sz w:val="20"/>
                <w:szCs w:val="20"/>
              </w:rPr>
            </w:pPr>
          </w:p>
        </w:tc>
        <w:tc>
          <w:tcPr>
            <w:tcW w:w="522" w:type="pct"/>
            <w:tcBorders>
              <w:top w:val="single" w:sz="4" w:space="0" w:color="auto"/>
              <w:left w:val="single" w:sz="4" w:space="0" w:color="auto"/>
              <w:bottom w:val="single" w:sz="4" w:space="0" w:color="auto"/>
              <w:right w:val="single" w:sz="4" w:space="0" w:color="auto"/>
            </w:tcBorders>
            <w:vAlign w:val="center"/>
          </w:tcPr>
          <w:p w14:paraId="51908420" w14:textId="5E442795" w:rsidR="006E07A1" w:rsidRPr="002D5516" w:rsidRDefault="006E07A1" w:rsidP="006E07A1">
            <w:pPr>
              <w:spacing w:after="0" w:line="240" w:lineRule="auto"/>
              <w:jc w:val="center"/>
              <w:rPr>
                <w:rFonts w:ascii="Times New Roman" w:eastAsia="Calibri" w:hAnsi="Times New Roman" w:cs="Times New Roman"/>
                <w:sz w:val="20"/>
                <w:szCs w:val="20"/>
              </w:rPr>
            </w:pPr>
          </w:p>
        </w:tc>
        <w:tc>
          <w:tcPr>
            <w:tcW w:w="522" w:type="pct"/>
            <w:tcBorders>
              <w:top w:val="single" w:sz="4" w:space="0" w:color="auto"/>
              <w:left w:val="single" w:sz="4" w:space="0" w:color="auto"/>
              <w:bottom w:val="single" w:sz="4" w:space="0" w:color="auto"/>
              <w:right w:val="single" w:sz="4" w:space="0" w:color="auto"/>
            </w:tcBorders>
            <w:vAlign w:val="center"/>
          </w:tcPr>
          <w:p w14:paraId="30299139" w14:textId="0430C6B8" w:rsidR="006E07A1" w:rsidRPr="002D5516" w:rsidRDefault="006E07A1" w:rsidP="006E07A1">
            <w:pPr>
              <w:spacing w:after="0" w:line="240" w:lineRule="auto"/>
              <w:jc w:val="center"/>
              <w:rPr>
                <w:rFonts w:ascii="Times New Roman" w:eastAsia="Calibri" w:hAnsi="Times New Roman" w:cs="Times New Roman"/>
                <w:sz w:val="20"/>
                <w:szCs w:val="20"/>
              </w:rPr>
            </w:pPr>
          </w:p>
        </w:tc>
        <w:tc>
          <w:tcPr>
            <w:tcW w:w="576" w:type="pct"/>
            <w:gridSpan w:val="2"/>
            <w:tcBorders>
              <w:top w:val="single" w:sz="4" w:space="0" w:color="auto"/>
              <w:left w:val="single" w:sz="4" w:space="0" w:color="auto"/>
              <w:bottom w:val="single" w:sz="4" w:space="0" w:color="auto"/>
              <w:right w:val="single" w:sz="4" w:space="0" w:color="auto"/>
            </w:tcBorders>
            <w:vAlign w:val="center"/>
          </w:tcPr>
          <w:p w14:paraId="45B50A21" w14:textId="6F96B87F" w:rsidR="006E07A1" w:rsidRPr="002D5516" w:rsidRDefault="006E07A1" w:rsidP="006E07A1">
            <w:pPr>
              <w:spacing w:after="0" w:line="240" w:lineRule="auto"/>
              <w:jc w:val="center"/>
              <w:rPr>
                <w:rFonts w:ascii="Times New Roman" w:eastAsia="Calibri" w:hAnsi="Times New Roman" w:cs="Times New Roman"/>
                <w:sz w:val="20"/>
                <w:szCs w:val="20"/>
              </w:rPr>
            </w:pPr>
          </w:p>
        </w:tc>
      </w:tr>
      <w:tr w:rsidR="006E07A1" w:rsidRPr="00FE282F" w14:paraId="24E8B5CF" w14:textId="77777777" w:rsidTr="00236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7" w:type="pct"/>
        </w:trPr>
        <w:tc>
          <w:tcPr>
            <w:tcW w:w="1148" w:type="pct"/>
            <w:gridSpan w:val="3"/>
            <w:tcBorders>
              <w:top w:val="single" w:sz="4" w:space="0" w:color="auto"/>
              <w:left w:val="single" w:sz="4" w:space="0" w:color="auto"/>
              <w:bottom w:val="single" w:sz="4" w:space="0" w:color="auto"/>
              <w:right w:val="single" w:sz="4" w:space="0" w:color="auto"/>
            </w:tcBorders>
            <w:hideMark/>
          </w:tcPr>
          <w:p w14:paraId="6D2CBC9E" w14:textId="77777777" w:rsidR="006E07A1" w:rsidRPr="00FE282F" w:rsidRDefault="006E07A1" w:rsidP="006E07A1">
            <w:pPr>
              <w:spacing w:after="0" w:line="240" w:lineRule="auto"/>
              <w:rPr>
                <w:rFonts w:ascii="Times New Roman" w:eastAsia="Times New Roman" w:hAnsi="Times New Roman" w:cs="Times New Roman"/>
                <w:sz w:val="24"/>
                <w:szCs w:val="24"/>
              </w:rPr>
            </w:pPr>
            <w:r w:rsidRPr="00FE282F">
              <w:rPr>
                <w:rFonts w:ascii="Times New Roman" w:eastAsia="Times New Roman" w:hAnsi="Times New Roman" w:cs="Times New Roman"/>
                <w:sz w:val="24"/>
                <w:szCs w:val="24"/>
              </w:rPr>
              <w:t>4. Finanšu līdzekļi papildu izdevumu finansēšanai (kompensējošu izdevumu samazinājumu norāda ar "+" zīmi)</w:t>
            </w:r>
          </w:p>
        </w:tc>
        <w:tc>
          <w:tcPr>
            <w:tcW w:w="587" w:type="pct"/>
            <w:tcBorders>
              <w:top w:val="outset" w:sz="6" w:space="0" w:color="auto"/>
              <w:left w:val="outset" w:sz="6" w:space="0" w:color="auto"/>
              <w:bottom w:val="outset" w:sz="6" w:space="0" w:color="auto"/>
              <w:right w:val="outset" w:sz="6" w:space="0" w:color="auto"/>
            </w:tcBorders>
            <w:vAlign w:val="center"/>
          </w:tcPr>
          <w:p w14:paraId="684CEF42" w14:textId="201A5E14" w:rsidR="006E07A1" w:rsidRPr="002D5516" w:rsidRDefault="006E07A1" w:rsidP="006E07A1">
            <w:pPr>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iCs/>
                <w:sz w:val="24"/>
                <w:szCs w:val="24"/>
                <w:lang w:eastAsia="lv-LV"/>
              </w:rPr>
              <w:t>X</w:t>
            </w:r>
          </w:p>
        </w:tc>
        <w:tc>
          <w:tcPr>
            <w:tcW w:w="594" w:type="pct"/>
            <w:tcBorders>
              <w:top w:val="outset" w:sz="6" w:space="0" w:color="auto"/>
              <w:left w:val="outset" w:sz="6" w:space="0" w:color="auto"/>
              <w:bottom w:val="outset" w:sz="6" w:space="0" w:color="auto"/>
              <w:right w:val="outset" w:sz="6" w:space="0" w:color="auto"/>
            </w:tcBorders>
            <w:vAlign w:val="center"/>
          </w:tcPr>
          <w:p w14:paraId="6A83AC89" w14:textId="2E97E76E" w:rsidR="006E07A1" w:rsidRPr="002D5516" w:rsidRDefault="006E07A1" w:rsidP="006E07A1">
            <w:pPr>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iCs/>
                <w:sz w:val="24"/>
                <w:szCs w:val="24"/>
                <w:lang w:eastAsia="lv-LV"/>
              </w:rPr>
              <w:t>0</w:t>
            </w:r>
          </w:p>
        </w:tc>
        <w:tc>
          <w:tcPr>
            <w:tcW w:w="522" w:type="pct"/>
            <w:tcBorders>
              <w:top w:val="outset" w:sz="6" w:space="0" w:color="auto"/>
              <w:left w:val="outset" w:sz="6" w:space="0" w:color="auto"/>
              <w:bottom w:val="outset" w:sz="6" w:space="0" w:color="auto"/>
              <w:right w:val="outset" w:sz="6" w:space="0" w:color="auto"/>
            </w:tcBorders>
            <w:vAlign w:val="center"/>
          </w:tcPr>
          <w:p w14:paraId="587F03BF" w14:textId="1496295A" w:rsidR="006E07A1" w:rsidRPr="002D5516" w:rsidRDefault="006E07A1" w:rsidP="006E07A1">
            <w:pPr>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iCs/>
                <w:sz w:val="24"/>
                <w:szCs w:val="24"/>
                <w:lang w:eastAsia="lv-LV"/>
              </w:rPr>
              <w:t>X</w:t>
            </w:r>
          </w:p>
        </w:tc>
        <w:tc>
          <w:tcPr>
            <w:tcW w:w="522" w:type="pct"/>
            <w:tcBorders>
              <w:top w:val="outset" w:sz="6" w:space="0" w:color="auto"/>
              <w:left w:val="outset" w:sz="6" w:space="0" w:color="auto"/>
              <w:bottom w:val="outset" w:sz="6" w:space="0" w:color="auto"/>
              <w:right w:val="outset" w:sz="6" w:space="0" w:color="auto"/>
            </w:tcBorders>
            <w:vAlign w:val="center"/>
          </w:tcPr>
          <w:p w14:paraId="1BBF9985" w14:textId="5FBD129F" w:rsidR="006E07A1" w:rsidRPr="002D5516" w:rsidRDefault="006E07A1" w:rsidP="006E07A1">
            <w:pPr>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iCs/>
                <w:sz w:val="24"/>
                <w:szCs w:val="24"/>
                <w:lang w:eastAsia="lv-LV"/>
              </w:rPr>
              <w:t>0</w:t>
            </w:r>
          </w:p>
        </w:tc>
        <w:tc>
          <w:tcPr>
            <w:tcW w:w="522" w:type="pct"/>
            <w:tcBorders>
              <w:top w:val="outset" w:sz="6" w:space="0" w:color="auto"/>
              <w:left w:val="outset" w:sz="6" w:space="0" w:color="auto"/>
              <w:bottom w:val="outset" w:sz="6" w:space="0" w:color="auto"/>
              <w:right w:val="outset" w:sz="6" w:space="0" w:color="auto"/>
            </w:tcBorders>
            <w:vAlign w:val="center"/>
          </w:tcPr>
          <w:p w14:paraId="207142B5" w14:textId="73804F0D" w:rsidR="006E07A1" w:rsidRPr="002D5516" w:rsidRDefault="006E07A1" w:rsidP="006E07A1">
            <w:pPr>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iCs/>
                <w:sz w:val="24"/>
                <w:szCs w:val="24"/>
                <w:lang w:eastAsia="lv-LV"/>
              </w:rPr>
              <w:t>X</w:t>
            </w:r>
          </w:p>
        </w:tc>
        <w:tc>
          <w:tcPr>
            <w:tcW w:w="522" w:type="pct"/>
            <w:tcBorders>
              <w:top w:val="outset" w:sz="6" w:space="0" w:color="auto"/>
              <w:left w:val="outset" w:sz="6" w:space="0" w:color="auto"/>
              <w:bottom w:val="outset" w:sz="6" w:space="0" w:color="auto"/>
              <w:right w:val="outset" w:sz="6" w:space="0" w:color="auto"/>
            </w:tcBorders>
            <w:vAlign w:val="center"/>
          </w:tcPr>
          <w:p w14:paraId="3418E6DB" w14:textId="1C659824" w:rsidR="006E07A1" w:rsidRPr="002D5516" w:rsidRDefault="006E07A1" w:rsidP="006E07A1">
            <w:pPr>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iCs/>
                <w:sz w:val="24"/>
                <w:szCs w:val="24"/>
                <w:lang w:eastAsia="lv-LV"/>
              </w:rPr>
              <w:t> 0</w:t>
            </w:r>
          </w:p>
        </w:tc>
        <w:tc>
          <w:tcPr>
            <w:tcW w:w="576" w:type="pct"/>
            <w:gridSpan w:val="2"/>
            <w:tcBorders>
              <w:top w:val="outset" w:sz="6" w:space="0" w:color="auto"/>
              <w:left w:val="outset" w:sz="6" w:space="0" w:color="auto"/>
              <w:bottom w:val="outset" w:sz="6" w:space="0" w:color="auto"/>
              <w:right w:val="outset" w:sz="6" w:space="0" w:color="auto"/>
            </w:tcBorders>
            <w:vAlign w:val="center"/>
          </w:tcPr>
          <w:p w14:paraId="3A5D35E0" w14:textId="008A5EA5" w:rsidR="006E07A1" w:rsidRPr="002D5516" w:rsidRDefault="006E07A1" w:rsidP="006E07A1">
            <w:pPr>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iCs/>
                <w:sz w:val="24"/>
                <w:szCs w:val="24"/>
                <w:lang w:eastAsia="lv-LV"/>
              </w:rPr>
              <w:t> 0</w:t>
            </w:r>
          </w:p>
        </w:tc>
      </w:tr>
      <w:tr w:rsidR="006E07A1" w:rsidRPr="00FE282F" w14:paraId="12668F9D" w14:textId="77777777" w:rsidTr="00380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7" w:type="pct"/>
        </w:trPr>
        <w:tc>
          <w:tcPr>
            <w:tcW w:w="1148" w:type="pct"/>
            <w:gridSpan w:val="3"/>
            <w:tcBorders>
              <w:top w:val="single" w:sz="4" w:space="0" w:color="auto"/>
              <w:left w:val="single" w:sz="4" w:space="0" w:color="auto"/>
              <w:bottom w:val="single" w:sz="4" w:space="0" w:color="auto"/>
              <w:right w:val="single" w:sz="4" w:space="0" w:color="auto"/>
            </w:tcBorders>
            <w:hideMark/>
          </w:tcPr>
          <w:p w14:paraId="0E937B1A" w14:textId="77777777" w:rsidR="006E07A1" w:rsidRPr="00FE282F" w:rsidRDefault="006E07A1" w:rsidP="006E07A1">
            <w:pPr>
              <w:spacing w:after="0" w:line="240" w:lineRule="auto"/>
              <w:rPr>
                <w:rFonts w:ascii="Times New Roman" w:eastAsia="Times New Roman" w:hAnsi="Times New Roman" w:cs="Times New Roman"/>
                <w:sz w:val="24"/>
                <w:szCs w:val="24"/>
              </w:rPr>
            </w:pPr>
            <w:r w:rsidRPr="00FE282F">
              <w:rPr>
                <w:rFonts w:ascii="Times New Roman" w:eastAsia="Times New Roman" w:hAnsi="Times New Roman" w:cs="Times New Roman"/>
                <w:sz w:val="24"/>
                <w:szCs w:val="24"/>
              </w:rPr>
              <w:t>5. Precizēta finansiālā ietekme</w:t>
            </w:r>
          </w:p>
        </w:tc>
        <w:tc>
          <w:tcPr>
            <w:tcW w:w="587" w:type="pct"/>
            <w:vMerge w:val="restart"/>
            <w:tcBorders>
              <w:top w:val="single" w:sz="4" w:space="0" w:color="auto"/>
              <w:left w:val="single" w:sz="4" w:space="0" w:color="auto"/>
              <w:bottom w:val="single" w:sz="4" w:space="0" w:color="auto"/>
              <w:right w:val="single" w:sz="4" w:space="0" w:color="auto"/>
            </w:tcBorders>
            <w:vAlign w:val="center"/>
          </w:tcPr>
          <w:p w14:paraId="4AE65110" w14:textId="3B8E65D0" w:rsidR="006E07A1" w:rsidRPr="00276271"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X</w:t>
            </w:r>
          </w:p>
        </w:tc>
        <w:tc>
          <w:tcPr>
            <w:tcW w:w="594" w:type="pct"/>
            <w:tcBorders>
              <w:top w:val="outset" w:sz="6" w:space="0" w:color="auto"/>
              <w:left w:val="outset" w:sz="6" w:space="0" w:color="auto"/>
              <w:bottom w:val="outset" w:sz="6" w:space="0" w:color="auto"/>
              <w:right w:val="outset" w:sz="6" w:space="0" w:color="auto"/>
            </w:tcBorders>
            <w:vAlign w:val="center"/>
          </w:tcPr>
          <w:p w14:paraId="00C0AAA2" w14:textId="05F0BCA4" w:rsidR="006E07A1" w:rsidRPr="00276271"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0</w:t>
            </w:r>
          </w:p>
        </w:tc>
        <w:tc>
          <w:tcPr>
            <w:tcW w:w="522" w:type="pct"/>
            <w:vMerge w:val="restart"/>
            <w:tcBorders>
              <w:top w:val="single" w:sz="4" w:space="0" w:color="auto"/>
              <w:left w:val="single" w:sz="4" w:space="0" w:color="auto"/>
              <w:bottom w:val="single" w:sz="4" w:space="0" w:color="auto"/>
              <w:right w:val="single" w:sz="4" w:space="0" w:color="auto"/>
            </w:tcBorders>
            <w:vAlign w:val="center"/>
          </w:tcPr>
          <w:p w14:paraId="7A5EB7D4" w14:textId="60E4AFF5" w:rsidR="006E07A1" w:rsidRPr="00276271"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X</w:t>
            </w:r>
          </w:p>
        </w:tc>
        <w:tc>
          <w:tcPr>
            <w:tcW w:w="522" w:type="pct"/>
            <w:tcBorders>
              <w:top w:val="outset" w:sz="6" w:space="0" w:color="auto"/>
              <w:left w:val="outset" w:sz="6" w:space="0" w:color="auto"/>
              <w:bottom w:val="outset" w:sz="6" w:space="0" w:color="auto"/>
              <w:right w:val="outset" w:sz="6" w:space="0" w:color="auto"/>
            </w:tcBorders>
            <w:vAlign w:val="center"/>
          </w:tcPr>
          <w:p w14:paraId="1EBF3BF3" w14:textId="46D58998" w:rsidR="006E07A1" w:rsidRPr="00276271"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0</w:t>
            </w:r>
          </w:p>
        </w:tc>
        <w:tc>
          <w:tcPr>
            <w:tcW w:w="522" w:type="pct"/>
            <w:vMerge w:val="restart"/>
            <w:tcBorders>
              <w:top w:val="single" w:sz="4" w:space="0" w:color="auto"/>
              <w:left w:val="single" w:sz="4" w:space="0" w:color="auto"/>
              <w:bottom w:val="single" w:sz="4" w:space="0" w:color="auto"/>
              <w:right w:val="single" w:sz="4" w:space="0" w:color="auto"/>
            </w:tcBorders>
            <w:vAlign w:val="center"/>
          </w:tcPr>
          <w:p w14:paraId="296BA8EE" w14:textId="403F2A36" w:rsidR="006E07A1" w:rsidRPr="00276271"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X</w:t>
            </w:r>
          </w:p>
        </w:tc>
        <w:tc>
          <w:tcPr>
            <w:tcW w:w="522" w:type="pct"/>
            <w:tcBorders>
              <w:top w:val="outset" w:sz="6" w:space="0" w:color="auto"/>
              <w:left w:val="outset" w:sz="6" w:space="0" w:color="auto"/>
              <w:bottom w:val="outset" w:sz="6" w:space="0" w:color="auto"/>
              <w:right w:val="outset" w:sz="6" w:space="0" w:color="auto"/>
            </w:tcBorders>
            <w:vAlign w:val="center"/>
          </w:tcPr>
          <w:p w14:paraId="223C6929" w14:textId="0FEE7EF2" w:rsidR="006E07A1" w:rsidRPr="00276271"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0</w:t>
            </w:r>
          </w:p>
        </w:tc>
        <w:tc>
          <w:tcPr>
            <w:tcW w:w="576" w:type="pct"/>
            <w:gridSpan w:val="2"/>
            <w:tcBorders>
              <w:top w:val="outset" w:sz="6" w:space="0" w:color="auto"/>
              <w:left w:val="outset" w:sz="6" w:space="0" w:color="auto"/>
              <w:bottom w:val="outset" w:sz="6" w:space="0" w:color="auto"/>
              <w:right w:val="outset" w:sz="6" w:space="0" w:color="auto"/>
            </w:tcBorders>
            <w:vAlign w:val="center"/>
          </w:tcPr>
          <w:p w14:paraId="029B144D" w14:textId="615A725A" w:rsidR="006E07A1" w:rsidRPr="00276271"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0</w:t>
            </w:r>
          </w:p>
        </w:tc>
      </w:tr>
      <w:tr w:rsidR="006E07A1" w:rsidRPr="00FE282F" w14:paraId="454B2713" w14:textId="77777777" w:rsidTr="00380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7" w:type="pct"/>
        </w:trPr>
        <w:tc>
          <w:tcPr>
            <w:tcW w:w="1148" w:type="pct"/>
            <w:gridSpan w:val="3"/>
            <w:tcBorders>
              <w:top w:val="single" w:sz="4" w:space="0" w:color="auto"/>
              <w:left w:val="single" w:sz="4" w:space="0" w:color="auto"/>
              <w:bottom w:val="single" w:sz="4" w:space="0" w:color="auto"/>
              <w:right w:val="single" w:sz="4" w:space="0" w:color="auto"/>
            </w:tcBorders>
            <w:hideMark/>
          </w:tcPr>
          <w:p w14:paraId="03A03203" w14:textId="77777777" w:rsidR="006E07A1" w:rsidRPr="00FE282F" w:rsidRDefault="006E07A1" w:rsidP="006E07A1">
            <w:pPr>
              <w:spacing w:after="0" w:line="240" w:lineRule="auto"/>
              <w:rPr>
                <w:rFonts w:ascii="Times New Roman" w:eastAsia="Times New Roman" w:hAnsi="Times New Roman" w:cs="Times New Roman"/>
                <w:sz w:val="24"/>
                <w:szCs w:val="24"/>
              </w:rPr>
            </w:pPr>
            <w:r w:rsidRPr="00FE282F">
              <w:rPr>
                <w:rFonts w:ascii="Times New Roman" w:eastAsia="Times New Roman" w:hAnsi="Times New Roman" w:cs="Times New Roman"/>
                <w:sz w:val="24"/>
                <w:szCs w:val="24"/>
              </w:rPr>
              <w:t>5.1. valsts pamatbudžets</w:t>
            </w:r>
          </w:p>
        </w:tc>
        <w:tc>
          <w:tcPr>
            <w:tcW w:w="587" w:type="pct"/>
            <w:vMerge/>
            <w:tcBorders>
              <w:top w:val="single" w:sz="4" w:space="0" w:color="auto"/>
              <w:left w:val="single" w:sz="4" w:space="0" w:color="auto"/>
              <w:bottom w:val="single" w:sz="4" w:space="0" w:color="auto"/>
              <w:right w:val="single" w:sz="4" w:space="0" w:color="auto"/>
            </w:tcBorders>
            <w:vAlign w:val="center"/>
          </w:tcPr>
          <w:p w14:paraId="33AB5B82" w14:textId="77777777" w:rsidR="006E07A1" w:rsidRPr="00276271" w:rsidRDefault="006E07A1" w:rsidP="006E07A1">
            <w:pPr>
              <w:spacing w:after="0" w:line="240" w:lineRule="auto"/>
              <w:jc w:val="center"/>
              <w:rPr>
                <w:rFonts w:ascii="Times New Roman" w:hAnsi="Times New Roman" w:cs="Times New Roman"/>
                <w:sz w:val="20"/>
                <w:szCs w:val="20"/>
              </w:rPr>
            </w:pPr>
          </w:p>
        </w:tc>
        <w:tc>
          <w:tcPr>
            <w:tcW w:w="594" w:type="pct"/>
            <w:tcBorders>
              <w:top w:val="outset" w:sz="6" w:space="0" w:color="auto"/>
              <w:left w:val="outset" w:sz="6" w:space="0" w:color="auto"/>
              <w:bottom w:val="outset" w:sz="6" w:space="0" w:color="auto"/>
              <w:right w:val="outset" w:sz="6" w:space="0" w:color="auto"/>
            </w:tcBorders>
            <w:vAlign w:val="center"/>
          </w:tcPr>
          <w:p w14:paraId="4FE24977" w14:textId="7F819872" w:rsidR="006E07A1" w:rsidRPr="00276271"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0</w:t>
            </w:r>
          </w:p>
        </w:tc>
        <w:tc>
          <w:tcPr>
            <w:tcW w:w="522" w:type="pct"/>
            <w:vMerge/>
            <w:tcBorders>
              <w:top w:val="single" w:sz="4" w:space="0" w:color="auto"/>
              <w:left w:val="single" w:sz="4" w:space="0" w:color="auto"/>
              <w:bottom w:val="single" w:sz="4" w:space="0" w:color="auto"/>
              <w:right w:val="single" w:sz="4" w:space="0" w:color="auto"/>
            </w:tcBorders>
            <w:vAlign w:val="center"/>
          </w:tcPr>
          <w:p w14:paraId="37293FC2" w14:textId="77777777" w:rsidR="006E07A1" w:rsidRPr="00276271" w:rsidRDefault="006E07A1" w:rsidP="006E07A1">
            <w:pPr>
              <w:spacing w:after="0" w:line="240" w:lineRule="auto"/>
              <w:jc w:val="center"/>
              <w:rPr>
                <w:rFonts w:ascii="Times New Roman" w:hAnsi="Times New Roman" w:cs="Times New Roman"/>
                <w:sz w:val="20"/>
                <w:szCs w:val="20"/>
              </w:rPr>
            </w:pPr>
          </w:p>
        </w:tc>
        <w:tc>
          <w:tcPr>
            <w:tcW w:w="522" w:type="pct"/>
            <w:tcBorders>
              <w:top w:val="outset" w:sz="6" w:space="0" w:color="auto"/>
              <w:left w:val="outset" w:sz="6" w:space="0" w:color="auto"/>
              <w:bottom w:val="outset" w:sz="6" w:space="0" w:color="auto"/>
              <w:right w:val="outset" w:sz="6" w:space="0" w:color="auto"/>
            </w:tcBorders>
            <w:vAlign w:val="center"/>
          </w:tcPr>
          <w:p w14:paraId="447FD409" w14:textId="090C66A9" w:rsidR="006E07A1" w:rsidRPr="00276271"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0</w:t>
            </w:r>
          </w:p>
        </w:tc>
        <w:tc>
          <w:tcPr>
            <w:tcW w:w="522" w:type="pct"/>
            <w:vMerge/>
            <w:tcBorders>
              <w:top w:val="single" w:sz="4" w:space="0" w:color="auto"/>
              <w:left w:val="single" w:sz="4" w:space="0" w:color="auto"/>
              <w:bottom w:val="single" w:sz="4" w:space="0" w:color="auto"/>
              <w:right w:val="single" w:sz="4" w:space="0" w:color="auto"/>
            </w:tcBorders>
            <w:vAlign w:val="center"/>
          </w:tcPr>
          <w:p w14:paraId="76F63FF2" w14:textId="77777777" w:rsidR="006E07A1" w:rsidRPr="00276271" w:rsidRDefault="006E07A1" w:rsidP="006E07A1">
            <w:pPr>
              <w:spacing w:after="0" w:line="240" w:lineRule="auto"/>
              <w:jc w:val="center"/>
              <w:rPr>
                <w:rFonts w:ascii="Times New Roman" w:hAnsi="Times New Roman" w:cs="Times New Roman"/>
                <w:sz w:val="20"/>
                <w:szCs w:val="20"/>
              </w:rPr>
            </w:pPr>
          </w:p>
        </w:tc>
        <w:tc>
          <w:tcPr>
            <w:tcW w:w="522" w:type="pct"/>
            <w:tcBorders>
              <w:top w:val="outset" w:sz="6" w:space="0" w:color="auto"/>
              <w:left w:val="outset" w:sz="6" w:space="0" w:color="auto"/>
              <w:bottom w:val="outset" w:sz="6" w:space="0" w:color="auto"/>
              <w:right w:val="outset" w:sz="6" w:space="0" w:color="auto"/>
            </w:tcBorders>
            <w:vAlign w:val="center"/>
          </w:tcPr>
          <w:p w14:paraId="60002F95" w14:textId="4B88B885" w:rsidR="006E07A1" w:rsidRPr="00276271"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0</w:t>
            </w:r>
          </w:p>
        </w:tc>
        <w:tc>
          <w:tcPr>
            <w:tcW w:w="576" w:type="pct"/>
            <w:gridSpan w:val="2"/>
            <w:tcBorders>
              <w:top w:val="outset" w:sz="6" w:space="0" w:color="auto"/>
              <w:left w:val="outset" w:sz="6" w:space="0" w:color="auto"/>
              <w:bottom w:val="outset" w:sz="6" w:space="0" w:color="auto"/>
              <w:right w:val="outset" w:sz="6" w:space="0" w:color="auto"/>
            </w:tcBorders>
            <w:vAlign w:val="center"/>
          </w:tcPr>
          <w:p w14:paraId="022E4CF6" w14:textId="65E1C926" w:rsidR="006E07A1" w:rsidRPr="00276271"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0</w:t>
            </w:r>
          </w:p>
        </w:tc>
      </w:tr>
      <w:tr w:rsidR="006E07A1" w:rsidRPr="00FE282F" w14:paraId="06CC694B" w14:textId="77777777" w:rsidTr="00380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7" w:type="pct"/>
        </w:trPr>
        <w:tc>
          <w:tcPr>
            <w:tcW w:w="1148" w:type="pct"/>
            <w:gridSpan w:val="3"/>
            <w:tcBorders>
              <w:top w:val="single" w:sz="4" w:space="0" w:color="auto"/>
              <w:left w:val="single" w:sz="4" w:space="0" w:color="auto"/>
              <w:bottom w:val="single" w:sz="4" w:space="0" w:color="auto"/>
              <w:right w:val="single" w:sz="4" w:space="0" w:color="auto"/>
            </w:tcBorders>
            <w:hideMark/>
          </w:tcPr>
          <w:p w14:paraId="6F26D619" w14:textId="77777777" w:rsidR="006E07A1" w:rsidRPr="00FE282F" w:rsidRDefault="006E07A1" w:rsidP="006E07A1">
            <w:pPr>
              <w:spacing w:after="0" w:line="240" w:lineRule="auto"/>
              <w:rPr>
                <w:rFonts w:ascii="Times New Roman" w:eastAsia="Times New Roman" w:hAnsi="Times New Roman" w:cs="Times New Roman"/>
                <w:sz w:val="24"/>
                <w:szCs w:val="24"/>
              </w:rPr>
            </w:pPr>
            <w:r w:rsidRPr="00FE282F">
              <w:rPr>
                <w:rFonts w:ascii="Times New Roman" w:eastAsia="Times New Roman" w:hAnsi="Times New Roman" w:cs="Times New Roman"/>
                <w:sz w:val="24"/>
                <w:szCs w:val="24"/>
              </w:rPr>
              <w:t>5.2. speciālais budžets</w:t>
            </w:r>
          </w:p>
        </w:tc>
        <w:tc>
          <w:tcPr>
            <w:tcW w:w="587" w:type="pct"/>
            <w:vMerge/>
            <w:tcBorders>
              <w:top w:val="single" w:sz="4" w:space="0" w:color="auto"/>
              <w:left w:val="single" w:sz="4" w:space="0" w:color="auto"/>
              <w:bottom w:val="single" w:sz="4" w:space="0" w:color="auto"/>
              <w:right w:val="single" w:sz="4" w:space="0" w:color="auto"/>
            </w:tcBorders>
            <w:vAlign w:val="center"/>
          </w:tcPr>
          <w:p w14:paraId="3FF077E4" w14:textId="77777777" w:rsidR="006E07A1" w:rsidRPr="00276271" w:rsidRDefault="006E07A1" w:rsidP="006E07A1">
            <w:pPr>
              <w:spacing w:after="0" w:line="240" w:lineRule="auto"/>
              <w:jc w:val="center"/>
              <w:rPr>
                <w:rFonts w:ascii="Times New Roman" w:hAnsi="Times New Roman" w:cs="Times New Roman"/>
                <w:sz w:val="20"/>
                <w:szCs w:val="20"/>
              </w:rPr>
            </w:pPr>
          </w:p>
        </w:tc>
        <w:tc>
          <w:tcPr>
            <w:tcW w:w="594" w:type="pct"/>
            <w:tcBorders>
              <w:top w:val="outset" w:sz="6" w:space="0" w:color="auto"/>
              <w:left w:val="outset" w:sz="6" w:space="0" w:color="auto"/>
              <w:bottom w:val="outset" w:sz="6" w:space="0" w:color="auto"/>
              <w:right w:val="outset" w:sz="6" w:space="0" w:color="auto"/>
            </w:tcBorders>
            <w:vAlign w:val="center"/>
          </w:tcPr>
          <w:p w14:paraId="07343495" w14:textId="29C24873" w:rsidR="006E07A1" w:rsidRPr="00276271"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0</w:t>
            </w:r>
          </w:p>
        </w:tc>
        <w:tc>
          <w:tcPr>
            <w:tcW w:w="522" w:type="pct"/>
            <w:vMerge/>
            <w:tcBorders>
              <w:top w:val="single" w:sz="4" w:space="0" w:color="auto"/>
              <w:left w:val="single" w:sz="4" w:space="0" w:color="auto"/>
              <w:bottom w:val="single" w:sz="4" w:space="0" w:color="auto"/>
              <w:right w:val="single" w:sz="4" w:space="0" w:color="auto"/>
            </w:tcBorders>
            <w:vAlign w:val="center"/>
          </w:tcPr>
          <w:p w14:paraId="78D1E7EE" w14:textId="77777777" w:rsidR="006E07A1" w:rsidRPr="00276271" w:rsidRDefault="006E07A1" w:rsidP="006E07A1">
            <w:pPr>
              <w:spacing w:after="0" w:line="240" w:lineRule="auto"/>
              <w:jc w:val="center"/>
              <w:rPr>
                <w:rFonts w:ascii="Times New Roman" w:hAnsi="Times New Roman" w:cs="Times New Roman"/>
                <w:sz w:val="20"/>
                <w:szCs w:val="20"/>
              </w:rPr>
            </w:pPr>
          </w:p>
        </w:tc>
        <w:tc>
          <w:tcPr>
            <w:tcW w:w="522" w:type="pct"/>
            <w:tcBorders>
              <w:top w:val="outset" w:sz="6" w:space="0" w:color="auto"/>
              <w:left w:val="outset" w:sz="6" w:space="0" w:color="auto"/>
              <w:bottom w:val="outset" w:sz="6" w:space="0" w:color="auto"/>
              <w:right w:val="outset" w:sz="6" w:space="0" w:color="auto"/>
            </w:tcBorders>
            <w:vAlign w:val="center"/>
          </w:tcPr>
          <w:p w14:paraId="27BB9152" w14:textId="3BCB1E16" w:rsidR="006E07A1" w:rsidRPr="00276271"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0</w:t>
            </w:r>
          </w:p>
        </w:tc>
        <w:tc>
          <w:tcPr>
            <w:tcW w:w="522" w:type="pct"/>
            <w:vMerge/>
            <w:tcBorders>
              <w:top w:val="single" w:sz="4" w:space="0" w:color="auto"/>
              <w:left w:val="single" w:sz="4" w:space="0" w:color="auto"/>
              <w:bottom w:val="single" w:sz="4" w:space="0" w:color="auto"/>
              <w:right w:val="single" w:sz="4" w:space="0" w:color="auto"/>
            </w:tcBorders>
            <w:vAlign w:val="center"/>
          </w:tcPr>
          <w:p w14:paraId="61C2B401" w14:textId="77777777" w:rsidR="006E07A1" w:rsidRPr="00276271" w:rsidRDefault="006E07A1" w:rsidP="006E07A1">
            <w:pPr>
              <w:spacing w:after="0" w:line="240" w:lineRule="auto"/>
              <w:jc w:val="center"/>
              <w:rPr>
                <w:rFonts w:ascii="Times New Roman" w:hAnsi="Times New Roman" w:cs="Times New Roman"/>
                <w:sz w:val="20"/>
                <w:szCs w:val="20"/>
              </w:rPr>
            </w:pPr>
          </w:p>
        </w:tc>
        <w:tc>
          <w:tcPr>
            <w:tcW w:w="522" w:type="pct"/>
            <w:tcBorders>
              <w:top w:val="outset" w:sz="6" w:space="0" w:color="auto"/>
              <w:left w:val="outset" w:sz="6" w:space="0" w:color="auto"/>
              <w:bottom w:val="outset" w:sz="6" w:space="0" w:color="auto"/>
              <w:right w:val="outset" w:sz="6" w:space="0" w:color="auto"/>
            </w:tcBorders>
            <w:vAlign w:val="center"/>
          </w:tcPr>
          <w:p w14:paraId="05807391" w14:textId="571B9F68" w:rsidR="006E07A1" w:rsidRPr="00276271"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0</w:t>
            </w:r>
          </w:p>
        </w:tc>
        <w:tc>
          <w:tcPr>
            <w:tcW w:w="576" w:type="pct"/>
            <w:gridSpan w:val="2"/>
            <w:tcBorders>
              <w:top w:val="outset" w:sz="6" w:space="0" w:color="auto"/>
              <w:left w:val="outset" w:sz="6" w:space="0" w:color="auto"/>
              <w:bottom w:val="outset" w:sz="6" w:space="0" w:color="auto"/>
              <w:right w:val="outset" w:sz="6" w:space="0" w:color="auto"/>
            </w:tcBorders>
            <w:vAlign w:val="center"/>
          </w:tcPr>
          <w:p w14:paraId="2BDE360D" w14:textId="21EEAA92" w:rsidR="006E07A1" w:rsidRPr="00276271"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0</w:t>
            </w:r>
          </w:p>
        </w:tc>
      </w:tr>
      <w:tr w:rsidR="006E07A1" w:rsidRPr="00FE282F" w14:paraId="0DCB48E9" w14:textId="77777777" w:rsidTr="00380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gridAfter w:val="1"/>
          <w:wAfter w:w="7" w:type="pct"/>
        </w:trPr>
        <w:tc>
          <w:tcPr>
            <w:tcW w:w="1148" w:type="pct"/>
            <w:gridSpan w:val="3"/>
            <w:tcBorders>
              <w:top w:val="single" w:sz="4" w:space="0" w:color="auto"/>
              <w:left w:val="single" w:sz="4" w:space="0" w:color="auto"/>
              <w:bottom w:val="single" w:sz="4" w:space="0" w:color="auto"/>
              <w:right w:val="single" w:sz="4" w:space="0" w:color="auto"/>
            </w:tcBorders>
            <w:hideMark/>
          </w:tcPr>
          <w:p w14:paraId="6AF00A2E" w14:textId="77777777" w:rsidR="006E07A1" w:rsidRPr="00FE282F" w:rsidRDefault="006E07A1" w:rsidP="006E07A1">
            <w:pPr>
              <w:spacing w:after="0" w:line="240" w:lineRule="auto"/>
              <w:rPr>
                <w:rFonts w:ascii="Times New Roman" w:eastAsia="Times New Roman" w:hAnsi="Times New Roman" w:cs="Times New Roman"/>
                <w:sz w:val="24"/>
                <w:szCs w:val="24"/>
              </w:rPr>
            </w:pPr>
            <w:r w:rsidRPr="00FE282F">
              <w:rPr>
                <w:rFonts w:ascii="Times New Roman" w:eastAsia="Times New Roman" w:hAnsi="Times New Roman" w:cs="Times New Roman"/>
                <w:sz w:val="24"/>
                <w:szCs w:val="24"/>
              </w:rPr>
              <w:t>5.3. pašvaldību budžets</w:t>
            </w:r>
          </w:p>
        </w:tc>
        <w:tc>
          <w:tcPr>
            <w:tcW w:w="587" w:type="pct"/>
            <w:vMerge/>
            <w:tcBorders>
              <w:top w:val="single" w:sz="4" w:space="0" w:color="auto"/>
              <w:left w:val="single" w:sz="4" w:space="0" w:color="auto"/>
              <w:bottom w:val="single" w:sz="4" w:space="0" w:color="auto"/>
              <w:right w:val="single" w:sz="4" w:space="0" w:color="auto"/>
            </w:tcBorders>
            <w:vAlign w:val="center"/>
          </w:tcPr>
          <w:p w14:paraId="15C37FCC" w14:textId="77777777" w:rsidR="006E07A1" w:rsidRPr="00276271" w:rsidRDefault="006E07A1" w:rsidP="006E07A1">
            <w:pPr>
              <w:spacing w:after="0" w:line="240" w:lineRule="auto"/>
              <w:jc w:val="center"/>
              <w:rPr>
                <w:rFonts w:ascii="Times New Roman" w:hAnsi="Times New Roman" w:cs="Times New Roman"/>
                <w:sz w:val="20"/>
                <w:szCs w:val="20"/>
              </w:rPr>
            </w:pPr>
          </w:p>
        </w:tc>
        <w:tc>
          <w:tcPr>
            <w:tcW w:w="594" w:type="pct"/>
            <w:tcBorders>
              <w:top w:val="outset" w:sz="6" w:space="0" w:color="auto"/>
              <w:left w:val="outset" w:sz="6" w:space="0" w:color="auto"/>
              <w:bottom w:val="outset" w:sz="6" w:space="0" w:color="auto"/>
              <w:right w:val="outset" w:sz="6" w:space="0" w:color="auto"/>
            </w:tcBorders>
            <w:vAlign w:val="center"/>
          </w:tcPr>
          <w:p w14:paraId="080A7CF8" w14:textId="1D622125" w:rsidR="006E07A1" w:rsidRPr="00276271"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0</w:t>
            </w:r>
          </w:p>
        </w:tc>
        <w:tc>
          <w:tcPr>
            <w:tcW w:w="522" w:type="pct"/>
            <w:vMerge/>
            <w:tcBorders>
              <w:top w:val="single" w:sz="4" w:space="0" w:color="auto"/>
              <w:left w:val="single" w:sz="4" w:space="0" w:color="auto"/>
              <w:bottom w:val="single" w:sz="4" w:space="0" w:color="auto"/>
              <w:right w:val="single" w:sz="4" w:space="0" w:color="auto"/>
            </w:tcBorders>
            <w:vAlign w:val="center"/>
          </w:tcPr>
          <w:p w14:paraId="1568F0FE" w14:textId="77777777" w:rsidR="006E07A1" w:rsidRPr="00276271" w:rsidRDefault="006E07A1" w:rsidP="006E07A1">
            <w:pPr>
              <w:spacing w:after="0" w:line="240" w:lineRule="auto"/>
              <w:jc w:val="center"/>
              <w:rPr>
                <w:rFonts w:ascii="Times New Roman" w:hAnsi="Times New Roman" w:cs="Times New Roman"/>
                <w:sz w:val="20"/>
                <w:szCs w:val="20"/>
              </w:rPr>
            </w:pPr>
          </w:p>
        </w:tc>
        <w:tc>
          <w:tcPr>
            <w:tcW w:w="522" w:type="pct"/>
            <w:tcBorders>
              <w:top w:val="outset" w:sz="6" w:space="0" w:color="auto"/>
              <w:left w:val="outset" w:sz="6" w:space="0" w:color="auto"/>
              <w:bottom w:val="outset" w:sz="6" w:space="0" w:color="auto"/>
              <w:right w:val="outset" w:sz="6" w:space="0" w:color="auto"/>
            </w:tcBorders>
            <w:vAlign w:val="center"/>
          </w:tcPr>
          <w:p w14:paraId="75F1EAE8" w14:textId="7A4E10C6" w:rsidR="006E07A1" w:rsidRPr="00276271"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0</w:t>
            </w:r>
          </w:p>
        </w:tc>
        <w:tc>
          <w:tcPr>
            <w:tcW w:w="522" w:type="pct"/>
            <w:vMerge/>
            <w:tcBorders>
              <w:top w:val="single" w:sz="4" w:space="0" w:color="auto"/>
              <w:left w:val="single" w:sz="4" w:space="0" w:color="auto"/>
              <w:bottom w:val="single" w:sz="4" w:space="0" w:color="auto"/>
              <w:right w:val="single" w:sz="4" w:space="0" w:color="auto"/>
            </w:tcBorders>
            <w:vAlign w:val="center"/>
          </w:tcPr>
          <w:p w14:paraId="5CCDADAE" w14:textId="77777777" w:rsidR="006E07A1" w:rsidRPr="00276271" w:rsidRDefault="006E07A1" w:rsidP="006E07A1">
            <w:pPr>
              <w:spacing w:after="0" w:line="240" w:lineRule="auto"/>
              <w:jc w:val="center"/>
              <w:rPr>
                <w:rFonts w:ascii="Times New Roman" w:hAnsi="Times New Roman" w:cs="Times New Roman"/>
                <w:sz w:val="20"/>
                <w:szCs w:val="20"/>
              </w:rPr>
            </w:pPr>
          </w:p>
        </w:tc>
        <w:tc>
          <w:tcPr>
            <w:tcW w:w="522" w:type="pct"/>
            <w:tcBorders>
              <w:top w:val="outset" w:sz="6" w:space="0" w:color="auto"/>
              <w:left w:val="outset" w:sz="6" w:space="0" w:color="auto"/>
              <w:bottom w:val="outset" w:sz="6" w:space="0" w:color="auto"/>
              <w:right w:val="outset" w:sz="6" w:space="0" w:color="auto"/>
            </w:tcBorders>
            <w:vAlign w:val="center"/>
          </w:tcPr>
          <w:p w14:paraId="598CDF86" w14:textId="59BF317F" w:rsidR="006E07A1" w:rsidRPr="00276271"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0</w:t>
            </w:r>
          </w:p>
        </w:tc>
        <w:tc>
          <w:tcPr>
            <w:tcW w:w="576" w:type="pct"/>
            <w:gridSpan w:val="2"/>
            <w:tcBorders>
              <w:top w:val="outset" w:sz="6" w:space="0" w:color="auto"/>
              <w:left w:val="outset" w:sz="6" w:space="0" w:color="auto"/>
              <w:bottom w:val="outset" w:sz="6" w:space="0" w:color="auto"/>
              <w:right w:val="outset" w:sz="6" w:space="0" w:color="auto"/>
            </w:tcBorders>
            <w:vAlign w:val="center"/>
          </w:tcPr>
          <w:p w14:paraId="0C68066D" w14:textId="5C126EDD" w:rsidR="006E07A1" w:rsidRPr="00276271" w:rsidRDefault="006E07A1" w:rsidP="006E07A1">
            <w:pPr>
              <w:spacing w:after="0" w:line="240" w:lineRule="auto"/>
              <w:jc w:val="center"/>
              <w:rPr>
                <w:rFonts w:ascii="Times New Roman" w:hAnsi="Times New Roman" w:cs="Times New Roman"/>
                <w:sz w:val="20"/>
                <w:szCs w:val="20"/>
              </w:rPr>
            </w:pPr>
            <w:r>
              <w:rPr>
                <w:rFonts w:ascii="Times New Roman" w:eastAsia="Times New Roman" w:hAnsi="Times New Roman" w:cs="Times New Roman"/>
                <w:iCs/>
                <w:sz w:val="24"/>
                <w:szCs w:val="24"/>
                <w:lang w:eastAsia="lv-LV"/>
              </w:rPr>
              <w:t>0</w:t>
            </w:r>
          </w:p>
        </w:tc>
      </w:tr>
      <w:tr w:rsidR="006E07A1" w:rsidRPr="00FE282F" w14:paraId="736053CB" w14:textId="77777777" w:rsidTr="00F41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trHeight w:val="4209"/>
        </w:trPr>
        <w:tc>
          <w:tcPr>
            <w:tcW w:w="1148" w:type="pct"/>
            <w:gridSpan w:val="3"/>
            <w:tcBorders>
              <w:top w:val="single" w:sz="4" w:space="0" w:color="auto"/>
              <w:left w:val="single" w:sz="4" w:space="0" w:color="auto"/>
              <w:bottom w:val="single" w:sz="4" w:space="0" w:color="auto"/>
              <w:right w:val="single" w:sz="4" w:space="0" w:color="auto"/>
            </w:tcBorders>
            <w:hideMark/>
          </w:tcPr>
          <w:p w14:paraId="4AB8C6CB" w14:textId="77777777" w:rsidR="006E07A1" w:rsidRPr="00FE282F" w:rsidRDefault="006E07A1" w:rsidP="006E07A1">
            <w:pPr>
              <w:spacing w:after="0" w:line="240" w:lineRule="auto"/>
              <w:rPr>
                <w:rFonts w:ascii="Times New Roman" w:eastAsia="Times New Roman" w:hAnsi="Times New Roman" w:cs="Times New Roman"/>
                <w:sz w:val="24"/>
                <w:szCs w:val="24"/>
              </w:rPr>
            </w:pPr>
            <w:r w:rsidRPr="00FE282F">
              <w:rPr>
                <w:rFonts w:ascii="Times New Roman" w:eastAsia="Times New Roman" w:hAnsi="Times New Roman" w:cs="Times New Roman"/>
                <w:sz w:val="24"/>
                <w:szCs w:val="24"/>
              </w:rPr>
              <w:t>6. Detalizēts ieņēmumu un izdevumu aprēķins (ja nepieciešams, detalizētu ieņēmumu un izdevumu aprēķinu var pievienot anotācijas pielikumā)</w:t>
            </w:r>
          </w:p>
        </w:tc>
        <w:tc>
          <w:tcPr>
            <w:tcW w:w="3852" w:type="pct"/>
            <w:gridSpan w:val="9"/>
            <w:vMerge w:val="restart"/>
            <w:tcBorders>
              <w:top w:val="single" w:sz="4" w:space="0" w:color="auto"/>
              <w:left w:val="single" w:sz="4" w:space="0" w:color="auto"/>
              <w:bottom w:val="single" w:sz="4" w:space="0" w:color="auto"/>
              <w:right w:val="single" w:sz="4" w:space="0" w:color="auto"/>
            </w:tcBorders>
            <w:vAlign w:val="center"/>
          </w:tcPr>
          <w:p w14:paraId="1FBB66B8" w14:textId="03E6E155" w:rsidR="006E07A1" w:rsidRPr="0049344E" w:rsidRDefault="000A4C65" w:rsidP="006E07A1">
            <w:pPr>
              <w:spacing w:after="0" w:line="240" w:lineRule="auto"/>
              <w:ind w:firstLine="236"/>
              <w:jc w:val="both"/>
              <w:rPr>
                <w:rFonts w:ascii="Times New Roman" w:hAnsi="Times New Roman" w:cs="Times New Roman"/>
                <w:sz w:val="24"/>
                <w:szCs w:val="24"/>
              </w:rPr>
            </w:pPr>
            <w:r>
              <w:rPr>
                <w:rFonts w:ascii="Times New Roman" w:hAnsi="Times New Roman" w:cs="Times New Roman"/>
                <w:sz w:val="24"/>
                <w:szCs w:val="24"/>
              </w:rPr>
              <w:t>Projekts šo jomu neskar</w:t>
            </w:r>
          </w:p>
        </w:tc>
      </w:tr>
      <w:tr w:rsidR="006E07A1" w:rsidRPr="00FE282F" w14:paraId="19719FA8" w14:textId="77777777" w:rsidTr="00F41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c>
          <w:tcPr>
            <w:tcW w:w="1148" w:type="pct"/>
            <w:gridSpan w:val="3"/>
            <w:tcBorders>
              <w:top w:val="single" w:sz="4" w:space="0" w:color="auto"/>
              <w:left w:val="single" w:sz="4" w:space="0" w:color="auto"/>
              <w:bottom w:val="single" w:sz="4" w:space="0" w:color="auto"/>
              <w:right w:val="single" w:sz="4" w:space="0" w:color="auto"/>
            </w:tcBorders>
            <w:hideMark/>
          </w:tcPr>
          <w:p w14:paraId="517B805E" w14:textId="77777777" w:rsidR="006E07A1" w:rsidRPr="00FE282F" w:rsidRDefault="006E07A1" w:rsidP="006E07A1">
            <w:pPr>
              <w:spacing w:after="0" w:line="240" w:lineRule="auto"/>
              <w:rPr>
                <w:rFonts w:ascii="Times New Roman" w:eastAsia="Times New Roman" w:hAnsi="Times New Roman" w:cs="Times New Roman"/>
                <w:sz w:val="24"/>
                <w:szCs w:val="24"/>
              </w:rPr>
            </w:pPr>
            <w:r w:rsidRPr="00FE282F">
              <w:rPr>
                <w:rFonts w:ascii="Times New Roman" w:eastAsia="Times New Roman" w:hAnsi="Times New Roman" w:cs="Times New Roman"/>
                <w:sz w:val="24"/>
                <w:szCs w:val="24"/>
              </w:rPr>
              <w:t>6.1. detalizēts ieņēmumu aprēķins</w:t>
            </w:r>
          </w:p>
        </w:tc>
        <w:tc>
          <w:tcPr>
            <w:tcW w:w="3852" w:type="pct"/>
            <w:gridSpan w:val="9"/>
            <w:vMerge/>
            <w:tcBorders>
              <w:top w:val="single" w:sz="4" w:space="0" w:color="auto"/>
              <w:left w:val="single" w:sz="4" w:space="0" w:color="auto"/>
              <w:bottom w:val="single" w:sz="4" w:space="0" w:color="auto"/>
              <w:right w:val="single" w:sz="4" w:space="0" w:color="auto"/>
            </w:tcBorders>
            <w:vAlign w:val="center"/>
          </w:tcPr>
          <w:p w14:paraId="09F8661A" w14:textId="77777777" w:rsidR="006E07A1" w:rsidRPr="00FE282F" w:rsidRDefault="006E07A1" w:rsidP="006E07A1">
            <w:pPr>
              <w:spacing w:after="0" w:line="240" w:lineRule="auto"/>
              <w:ind w:firstLine="232"/>
              <w:jc w:val="both"/>
              <w:rPr>
                <w:rFonts w:ascii="Times New Roman" w:eastAsia="Calibri" w:hAnsi="Times New Roman" w:cs="Times New Roman"/>
                <w:sz w:val="24"/>
                <w:szCs w:val="24"/>
              </w:rPr>
            </w:pPr>
          </w:p>
        </w:tc>
      </w:tr>
      <w:tr w:rsidR="006E07A1" w:rsidRPr="00FE282F" w14:paraId="04677A8C" w14:textId="77777777" w:rsidTr="00F41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trHeight w:val="1868"/>
        </w:trPr>
        <w:tc>
          <w:tcPr>
            <w:tcW w:w="1148" w:type="pct"/>
            <w:gridSpan w:val="3"/>
            <w:tcBorders>
              <w:top w:val="single" w:sz="4" w:space="0" w:color="auto"/>
              <w:left w:val="single" w:sz="4" w:space="0" w:color="auto"/>
              <w:bottom w:val="single" w:sz="4" w:space="0" w:color="auto"/>
              <w:right w:val="single" w:sz="4" w:space="0" w:color="auto"/>
            </w:tcBorders>
            <w:hideMark/>
          </w:tcPr>
          <w:p w14:paraId="3706A9F4" w14:textId="77777777" w:rsidR="006E07A1" w:rsidRPr="00FE282F" w:rsidRDefault="006E07A1" w:rsidP="006E07A1">
            <w:pPr>
              <w:spacing w:after="0" w:line="240" w:lineRule="auto"/>
              <w:rPr>
                <w:rFonts w:ascii="Times New Roman" w:eastAsia="Times New Roman" w:hAnsi="Times New Roman" w:cs="Times New Roman"/>
                <w:sz w:val="24"/>
                <w:szCs w:val="24"/>
              </w:rPr>
            </w:pPr>
            <w:r w:rsidRPr="00FE282F">
              <w:rPr>
                <w:rFonts w:ascii="Times New Roman" w:eastAsia="Times New Roman" w:hAnsi="Times New Roman" w:cs="Times New Roman"/>
                <w:sz w:val="24"/>
                <w:szCs w:val="24"/>
              </w:rPr>
              <w:lastRenderedPageBreak/>
              <w:t>6.2. detalizēts izdevumu aprēķins</w:t>
            </w:r>
          </w:p>
        </w:tc>
        <w:tc>
          <w:tcPr>
            <w:tcW w:w="3852" w:type="pct"/>
            <w:gridSpan w:val="9"/>
            <w:vMerge/>
            <w:tcBorders>
              <w:top w:val="single" w:sz="4" w:space="0" w:color="auto"/>
              <w:left w:val="single" w:sz="4" w:space="0" w:color="auto"/>
              <w:bottom w:val="single" w:sz="4" w:space="0" w:color="auto"/>
              <w:right w:val="single" w:sz="4" w:space="0" w:color="auto"/>
            </w:tcBorders>
            <w:vAlign w:val="center"/>
          </w:tcPr>
          <w:p w14:paraId="15B2B8C7" w14:textId="77777777" w:rsidR="006E07A1" w:rsidRPr="00FE282F" w:rsidRDefault="006E07A1" w:rsidP="006E07A1">
            <w:pPr>
              <w:spacing w:after="0" w:line="240" w:lineRule="auto"/>
              <w:ind w:firstLine="232"/>
              <w:jc w:val="both"/>
              <w:rPr>
                <w:rFonts w:ascii="Times New Roman" w:eastAsia="Calibri" w:hAnsi="Times New Roman" w:cs="Times New Roman"/>
                <w:sz w:val="24"/>
                <w:szCs w:val="24"/>
              </w:rPr>
            </w:pPr>
          </w:p>
        </w:tc>
      </w:tr>
      <w:tr w:rsidR="006E07A1" w:rsidRPr="00FE282F" w14:paraId="254B4650" w14:textId="77777777" w:rsidTr="00F41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c>
          <w:tcPr>
            <w:tcW w:w="1148" w:type="pct"/>
            <w:gridSpan w:val="3"/>
            <w:tcBorders>
              <w:top w:val="single" w:sz="4" w:space="0" w:color="auto"/>
              <w:left w:val="single" w:sz="4" w:space="0" w:color="auto"/>
              <w:bottom w:val="single" w:sz="4" w:space="0" w:color="auto"/>
              <w:right w:val="single" w:sz="4" w:space="0" w:color="auto"/>
            </w:tcBorders>
            <w:hideMark/>
          </w:tcPr>
          <w:p w14:paraId="10D4EE95" w14:textId="77777777" w:rsidR="006E07A1" w:rsidRPr="00FE282F" w:rsidRDefault="006E07A1" w:rsidP="006E07A1">
            <w:pPr>
              <w:spacing w:after="0" w:line="240" w:lineRule="auto"/>
              <w:rPr>
                <w:rFonts w:ascii="Times New Roman" w:eastAsia="Times New Roman" w:hAnsi="Times New Roman" w:cs="Times New Roman"/>
                <w:sz w:val="24"/>
                <w:szCs w:val="24"/>
              </w:rPr>
            </w:pPr>
            <w:r w:rsidRPr="00FE282F">
              <w:rPr>
                <w:rFonts w:ascii="Times New Roman" w:eastAsia="Times New Roman" w:hAnsi="Times New Roman" w:cs="Times New Roman"/>
                <w:sz w:val="24"/>
                <w:szCs w:val="24"/>
              </w:rPr>
              <w:t>7. Amata vietu skaita izmaiņas</w:t>
            </w:r>
          </w:p>
        </w:tc>
        <w:tc>
          <w:tcPr>
            <w:tcW w:w="3852" w:type="pct"/>
            <w:gridSpan w:val="9"/>
            <w:tcBorders>
              <w:top w:val="single" w:sz="4" w:space="0" w:color="auto"/>
              <w:left w:val="single" w:sz="4" w:space="0" w:color="auto"/>
              <w:bottom w:val="single" w:sz="4" w:space="0" w:color="auto"/>
              <w:right w:val="single" w:sz="4" w:space="0" w:color="auto"/>
            </w:tcBorders>
          </w:tcPr>
          <w:p w14:paraId="53D17390" w14:textId="31C3F94D" w:rsidR="006E07A1" w:rsidRPr="00FE282F" w:rsidRDefault="006E07A1" w:rsidP="006E07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Projekts tiks nodrošināts esošo amata vietu skaita ietvaros. </w:t>
            </w:r>
          </w:p>
        </w:tc>
      </w:tr>
      <w:tr w:rsidR="006E07A1" w:rsidRPr="00FE282F" w14:paraId="68947BCB" w14:textId="77777777" w:rsidTr="00F41E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c>
          <w:tcPr>
            <w:tcW w:w="1148" w:type="pct"/>
            <w:gridSpan w:val="3"/>
            <w:tcBorders>
              <w:top w:val="single" w:sz="4" w:space="0" w:color="auto"/>
              <w:left w:val="single" w:sz="4" w:space="0" w:color="auto"/>
              <w:bottom w:val="single" w:sz="4" w:space="0" w:color="auto"/>
              <w:right w:val="single" w:sz="4" w:space="0" w:color="auto"/>
            </w:tcBorders>
            <w:hideMark/>
          </w:tcPr>
          <w:p w14:paraId="53D52D39" w14:textId="77777777" w:rsidR="006E07A1" w:rsidRPr="00FE282F" w:rsidRDefault="006E07A1" w:rsidP="006E07A1">
            <w:pPr>
              <w:spacing w:after="0" w:line="240" w:lineRule="auto"/>
              <w:rPr>
                <w:rFonts w:ascii="Times New Roman" w:eastAsia="Times New Roman" w:hAnsi="Times New Roman" w:cs="Times New Roman"/>
                <w:sz w:val="24"/>
                <w:szCs w:val="24"/>
              </w:rPr>
            </w:pPr>
            <w:r w:rsidRPr="00FE282F">
              <w:rPr>
                <w:rFonts w:ascii="Times New Roman" w:eastAsia="Times New Roman" w:hAnsi="Times New Roman" w:cs="Times New Roman"/>
                <w:sz w:val="24"/>
                <w:szCs w:val="24"/>
              </w:rPr>
              <w:t>8. Cita informācija</w:t>
            </w:r>
          </w:p>
        </w:tc>
        <w:tc>
          <w:tcPr>
            <w:tcW w:w="3852" w:type="pct"/>
            <w:gridSpan w:val="9"/>
            <w:tcBorders>
              <w:top w:val="single" w:sz="4" w:space="0" w:color="auto"/>
              <w:left w:val="single" w:sz="4" w:space="0" w:color="auto"/>
              <w:bottom w:val="single" w:sz="4" w:space="0" w:color="auto"/>
              <w:right w:val="single" w:sz="4" w:space="0" w:color="auto"/>
            </w:tcBorders>
          </w:tcPr>
          <w:p w14:paraId="48D1B6C6" w14:textId="4A340D98" w:rsidR="006E07A1" w:rsidRDefault="006E07A1" w:rsidP="006E07A1">
            <w:pPr>
              <w:spacing w:after="0" w:line="240" w:lineRule="auto"/>
              <w:ind w:firstLine="275"/>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Atbilstoši Ministru kabineta </w:t>
            </w:r>
            <w:proofErr w:type="gramStart"/>
            <w:r>
              <w:rPr>
                <w:rFonts w:ascii="Times New Roman" w:eastAsia="Times New Roman" w:hAnsi="Times New Roman" w:cs="Times New Roman"/>
                <w:sz w:val="24"/>
                <w:szCs w:val="24"/>
              </w:rPr>
              <w:t>2019.gada</w:t>
            </w:r>
            <w:proofErr w:type="gramEnd"/>
            <w:r>
              <w:rPr>
                <w:rFonts w:ascii="Times New Roman" w:eastAsia="Times New Roman" w:hAnsi="Times New Roman" w:cs="Times New Roman"/>
                <w:sz w:val="24"/>
                <w:szCs w:val="24"/>
              </w:rPr>
              <w:t xml:space="preserve"> 20.augusta sēdē apstiprinātajam k</w:t>
            </w:r>
            <w:r w:rsidRPr="00B33973">
              <w:rPr>
                <w:rFonts w:ascii="Times New Roman" w:eastAsia="Times New Roman" w:hAnsi="Times New Roman" w:cs="Times New Roman"/>
                <w:bCs/>
                <w:sz w:val="24"/>
                <w:szCs w:val="24"/>
              </w:rPr>
              <w:t>onceptuāla</w:t>
            </w:r>
            <w:r>
              <w:rPr>
                <w:rFonts w:ascii="Times New Roman" w:eastAsia="Times New Roman" w:hAnsi="Times New Roman" w:cs="Times New Roman"/>
                <w:bCs/>
                <w:sz w:val="24"/>
                <w:szCs w:val="24"/>
              </w:rPr>
              <w:t>jam</w:t>
            </w:r>
            <w:r w:rsidRPr="00B33973">
              <w:rPr>
                <w:rFonts w:ascii="Times New Roman" w:eastAsia="Times New Roman" w:hAnsi="Times New Roman" w:cs="Times New Roman"/>
                <w:bCs/>
                <w:sz w:val="24"/>
                <w:szCs w:val="24"/>
              </w:rPr>
              <w:t xml:space="preserve"> ziņojum</w:t>
            </w:r>
            <w:r>
              <w:rPr>
                <w:rFonts w:ascii="Times New Roman" w:eastAsia="Times New Roman" w:hAnsi="Times New Roman" w:cs="Times New Roman"/>
                <w:bCs/>
                <w:sz w:val="24"/>
                <w:szCs w:val="24"/>
              </w:rPr>
              <w:t>am</w:t>
            </w:r>
            <w:r w:rsidRPr="00B33973">
              <w:rPr>
                <w:rFonts w:ascii="Times New Roman" w:eastAsia="Times New Roman" w:hAnsi="Times New Roman" w:cs="Times New Roman"/>
                <w:bCs/>
                <w:sz w:val="24"/>
                <w:szCs w:val="24"/>
              </w:rPr>
              <w:t xml:space="preserve"> "Par </w:t>
            </w:r>
            <w:r w:rsidRPr="00B33973">
              <w:rPr>
                <w:rFonts w:ascii="Times New Roman" w:eastAsia="Times New Roman" w:hAnsi="Times New Roman" w:cs="Times New Roman"/>
                <w:bCs/>
                <w:iCs/>
                <w:sz w:val="24"/>
                <w:szCs w:val="24"/>
              </w:rPr>
              <w:t>ekonomisko lietu tiesas izveidi</w:t>
            </w:r>
            <w:r w:rsidRPr="00B33973">
              <w:rPr>
                <w:rFonts w:ascii="Times New Roman" w:eastAsia="Times New Roman" w:hAnsi="Times New Roman" w:cs="Times New Roman"/>
                <w:bCs/>
                <w:sz w:val="24"/>
                <w:szCs w:val="24"/>
              </w:rPr>
              <w:t>"</w:t>
            </w:r>
            <w:r w:rsidRPr="00B33973">
              <w:rPr>
                <w:rFonts w:ascii="Times New Roman" w:eastAsia="Times New Roman" w:hAnsi="Times New Roman" w:cs="Times New Roman"/>
                <w:b/>
                <w:sz w:val="24"/>
                <w:szCs w:val="24"/>
              </w:rPr>
              <w:t xml:space="preserve"> </w:t>
            </w:r>
            <w:r w:rsidRPr="00B33973">
              <w:rPr>
                <w:rFonts w:ascii="Times New Roman" w:eastAsia="Times New Roman" w:hAnsi="Times New Roman" w:cs="Times New Roman"/>
                <w:bCs/>
                <w:sz w:val="24"/>
                <w:szCs w:val="24"/>
              </w:rPr>
              <w:t>(</w:t>
            </w:r>
            <w:proofErr w:type="spellStart"/>
            <w:r w:rsidRPr="00B33973">
              <w:rPr>
                <w:rFonts w:ascii="Times New Roman" w:eastAsia="Times New Roman" w:hAnsi="Times New Roman" w:cs="Times New Roman"/>
                <w:bCs/>
                <w:sz w:val="24"/>
                <w:szCs w:val="24"/>
              </w:rPr>
              <w:t>prot.Nr</w:t>
            </w:r>
            <w:proofErr w:type="spellEnd"/>
            <w:r w:rsidRPr="00B3397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35,17.</w:t>
            </w:r>
            <w:bookmarkStart w:id="8" w:name="18"/>
            <w:r w:rsidRPr="002047A9">
              <w:rPr>
                <w:rFonts w:ascii="Times New Roman" w:eastAsia="Times New Roman" w:hAnsi="Times New Roman" w:cs="Times New Roman"/>
                <w:bCs/>
                <w:sz w:val="24"/>
                <w:szCs w:val="24"/>
              </w:rPr>
              <w:t xml:space="preserve"> §</w:t>
            </w:r>
            <w:bookmarkEnd w:id="8"/>
            <w:r w:rsidRPr="00B33973">
              <w:rPr>
                <w:rFonts w:ascii="Times New Roman" w:eastAsia="Times New Roman" w:hAnsi="Times New Roman" w:cs="Times New Roman"/>
                <w:sz w:val="28"/>
                <w:szCs w:val="28"/>
                <w:lang w:eastAsia="lv-LV"/>
              </w:rPr>
              <w:t xml:space="preserve"> </w:t>
            </w:r>
            <w:r w:rsidRPr="00B33973">
              <w:rPr>
                <w:rFonts w:ascii="Times New Roman" w:eastAsia="Times New Roman" w:hAnsi="Times New Roman" w:cs="Times New Roman"/>
                <w:bCs/>
                <w:sz w:val="24"/>
                <w:szCs w:val="24"/>
              </w:rPr>
              <w:t>specializētās tiesas izveid</w:t>
            </w:r>
            <w:r>
              <w:rPr>
                <w:rFonts w:ascii="Times New Roman" w:eastAsia="Times New Roman" w:hAnsi="Times New Roman" w:cs="Times New Roman"/>
                <w:bCs/>
                <w:sz w:val="24"/>
                <w:szCs w:val="24"/>
              </w:rPr>
              <w:t xml:space="preserve">ei nepieciešams finansējums 2020.gadam 136 245 </w:t>
            </w:r>
            <w:proofErr w:type="spellStart"/>
            <w:r w:rsidRPr="0030382F">
              <w:rPr>
                <w:rFonts w:ascii="Times New Roman" w:eastAsia="Times New Roman" w:hAnsi="Times New Roman" w:cs="Times New Roman"/>
                <w:bCs/>
                <w:i/>
                <w:iCs/>
                <w:sz w:val="24"/>
                <w:szCs w:val="24"/>
              </w:rPr>
              <w:t>euro</w:t>
            </w:r>
            <w:proofErr w:type="spellEnd"/>
            <w:r>
              <w:rPr>
                <w:rFonts w:ascii="Times New Roman" w:eastAsia="Times New Roman" w:hAnsi="Times New Roman" w:cs="Times New Roman"/>
                <w:bCs/>
                <w:sz w:val="24"/>
                <w:szCs w:val="24"/>
              </w:rPr>
              <w:t xml:space="preserve"> apmērā, 2021.gadam un turpmāk  </w:t>
            </w:r>
            <w:r w:rsidRPr="0030382F">
              <w:rPr>
                <w:rFonts w:ascii="Times New Roman" w:eastAsia="Times New Roman" w:hAnsi="Times New Roman" w:cs="Times New Roman"/>
                <w:bCs/>
                <w:sz w:val="24"/>
                <w:szCs w:val="24"/>
              </w:rPr>
              <w:t>1 252 472</w:t>
            </w:r>
            <w:r>
              <w:rPr>
                <w:rFonts w:ascii="Times New Roman" w:eastAsia="Times New Roman" w:hAnsi="Times New Roman" w:cs="Times New Roman"/>
                <w:bCs/>
                <w:sz w:val="24"/>
                <w:szCs w:val="24"/>
              </w:rPr>
              <w:t xml:space="preserve"> </w:t>
            </w:r>
            <w:proofErr w:type="spellStart"/>
            <w:r w:rsidRPr="0030382F">
              <w:rPr>
                <w:rFonts w:ascii="Times New Roman" w:eastAsia="Times New Roman" w:hAnsi="Times New Roman" w:cs="Times New Roman"/>
                <w:bCs/>
                <w:i/>
                <w:iCs/>
                <w:sz w:val="24"/>
                <w:szCs w:val="24"/>
              </w:rPr>
              <w:t>euro</w:t>
            </w:r>
            <w:proofErr w:type="spellEnd"/>
            <w:r>
              <w:rPr>
                <w:rFonts w:ascii="Times New Roman" w:eastAsia="Times New Roman" w:hAnsi="Times New Roman" w:cs="Times New Roman"/>
                <w:bCs/>
                <w:sz w:val="24"/>
                <w:szCs w:val="24"/>
              </w:rPr>
              <w:t xml:space="preserve"> apmērā.  </w:t>
            </w:r>
          </w:p>
          <w:p w14:paraId="3434CC75" w14:textId="08CD7764" w:rsidR="006E07A1" w:rsidRPr="00B33973" w:rsidRDefault="006E07A1" w:rsidP="006E07A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2020. gadam nepieciešamais finansējums ir pārdalīts tieslietu resora ietvaros (Ministru kabineta 2019. gada </w:t>
            </w:r>
            <w:proofErr w:type="gramStart"/>
            <w:r>
              <w:rPr>
                <w:rFonts w:ascii="Times New Roman" w:eastAsia="Times New Roman" w:hAnsi="Times New Roman" w:cs="Times New Roman"/>
                <w:bCs/>
                <w:sz w:val="24"/>
                <w:szCs w:val="24"/>
              </w:rPr>
              <w:t>17.septembra</w:t>
            </w:r>
            <w:proofErr w:type="gramEnd"/>
            <w:r>
              <w:rPr>
                <w:rFonts w:ascii="Times New Roman" w:eastAsia="Times New Roman" w:hAnsi="Times New Roman" w:cs="Times New Roman"/>
                <w:bCs/>
                <w:sz w:val="24"/>
                <w:szCs w:val="24"/>
              </w:rPr>
              <w:t xml:space="preserve"> sēde, prot.Nr.42, 34.</w:t>
            </w:r>
            <w:r w:rsidRPr="002047A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21.2.p.), bet 2021.gadā un turpmāk nepieciešamais finansējums tiks nodrošināts</w:t>
            </w:r>
            <w:r w:rsidRPr="002047A9">
              <w:rPr>
                <w:rFonts w:ascii="Times New Roman" w:hAnsi="Times New Roman" w:cs="Times New Roman"/>
                <w:sz w:val="24"/>
                <w:szCs w:val="24"/>
              </w:rPr>
              <w:t xml:space="preserve"> </w:t>
            </w:r>
            <w:r w:rsidRPr="002047A9">
              <w:rPr>
                <w:rFonts w:ascii="Times New Roman" w:eastAsia="Times New Roman" w:hAnsi="Times New Roman" w:cs="Times New Roman"/>
                <w:bCs/>
                <w:sz w:val="24"/>
                <w:szCs w:val="24"/>
              </w:rPr>
              <w:t>Tieslietu ministrijas budžeta apakšprogramm</w:t>
            </w:r>
            <w:r>
              <w:rPr>
                <w:rFonts w:ascii="Times New Roman" w:eastAsia="Times New Roman" w:hAnsi="Times New Roman" w:cs="Times New Roman"/>
                <w:bCs/>
                <w:sz w:val="24"/>
                <w:szCs w:val="24"/>
              </w:rPr>
              <w:t>ā</w:t>
            </w:r>
            <w:r w:rsidRPr="002047A9">
              <w:rPr>
                <w:rFonts w:ascii="Times New Roman" w:eastAsia="Times New Roman" w:hAnsi="Times New Roman" w:cs="Times New Roman"/>
                <w:bCs/>
                <w:sz w:val="24"/>
                <w:szCs w:val="24"/>
              </w:rPr>
              <w:t xml:space="preserve"> 03.02.00 "Apgabaltiesas un rajonu (pilsētu) tiesas" </w:t>
            </w:r>
            <w:r>
              <w:rPr>
                <w:rFonts w:ascii="Times New Roman" w:eastAsia="Times New Roman" w:hAnsi="Times New Roman" w:cs="Times New Roman"/>
                <w:bCs/>
                <w:sz w:val="24"/>
                <w:szCs w:val="24"/>
              </w:rPr>
              <w:t xml:space="preserve">piešķirtā budžeta </w:t>
            </w:r>
            <w:r w:rsidRPr="002047A9">
              <w:rPr>
                <w:rFonts w:ascii="Times New Roman" w:eastAsia="Times New Roman" w:hAnsi="Times New Roman" w:cs="Times New Roman"/>
                <w:bCs/>
                <w:sz w:val="24"/>
                <w:szCs w:val="24"/>
              </w:rPr>
              <w:t xml:space="preserve">ietvaros. </w:t>
            </w:r>
          </w:p>
        </w:tc>
      </w:tr>
    </w:tbl>
    <w:p w14:paraId="717F7F2B" w14:textId="553CEE65" w:rsidR="004D15A9"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389"/>
        <w:gridCol w:w="6214"/>
      </w:tblGrid>
      <w:tr w:rsidR="00BC2633" w:rsidRPr="00BC2633" w14:paraId="4F0360E3" w14:textId="77777777" w:rsidTr="004D15A9">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433E7B0C"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IV. Tiesību akta projekta ietekme uz spēkā esošo tiesību normu sistēmu</w:t>
            </w:r>
          </w:p>
        </w:tc>
      </w:tr>
      <w:tr w:rsidR="00BC2633" w:rsidRPr="00BC2633" w14:paraId="0B379FE7"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4FA8C306"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184E9FDD" w14:textId="6D154F0C" w:rsidR="004D15A9" w:rsidRPr="00BC2633" w:rsidRDefault="00A1552F"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4D15A9" w:rsidRPr="00BC2633">
              <w:rPr>
                <w:rFonts w:ascii="Times New Roman" w:eastAsia="Times New Roman" w:hAnsi="Times New Roman" w:cs="Times New Roman"/>
                <w:sz w:val="24"/>
                <w:szCs w:val="24"/>
                <w:lang w:eastAsia="lv-LV"/>
              </w:rPr>
              <w:t>aistītie tiesību aktu projekti</w:t>
            </w:r>
          </w:p>
        </w:tc>
        <w:tc>
          <w:tcPr>
            <w:tcW w:w="3431" w:type="pct"/>
            <w:tcBorders>
              <w:top w:val="outset" w:sz="6" w:space="0" w:color="414142"/>
              <w:left w:val="outset" w:sz="6" w:space="0" w:color="414142"/>
              <w:bottom w:val="outset" w:sz="6" w:space="0" w:color="414142"/>
              <w:right w:val="outset" w:sz="6" w:space="0" w:color="414142"/>
            </w:tcBorders>
            <w:hideMark/>
          </w:tcPr>
          <w:p w14:paraId="1B579D3B" w14:textId="72167E40" w:rsidR="00AC637A" w:rsidRPr="00BC2633" w:rsidRDefault="00EF5863" w:rsidP="00AC637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Likumprojekts </w:t>
            </w:r>
            <w:r w:rsidRPr="00EF5863">
              <w:rPr>
                <w:rFonts w:ascii="Times New Roman" w:eastAsia="Times New Roman" w:hAnsi="Times New Roman" w:cs="Times New Roman"/>
                <w:sz w:val="24"/>
                <w:szCs w:val="24"/>
                <w:lang w:eastAsia="lv-LV"/>
              </w:rPr>
              <w:t>"</w:t>
            </w:r>
            <w:r w:rsidR="000F0436">
              <w:rPr>
                <w:rFonts w:ascii="Times New Roman" w:eastAsia="Times New Roman" w:hAnsi="Times New Roman" w:cs="Times New Roman"/>
                <w:sz w:val="24"/>
                <w:szCs w:val="24"/>
                <w:lang w:eastAsia="lv-LV"/>
              </w:rPr>
              <w:t>Grozījumi Civilprocesa likumā</w:t>
            </w:r>
            <w:r w:rsidRPr="00EF5863">
              <w:rPr>
                <w:rFonts w:ascii="Times New Roman" w:eastAsia="Times New Roman" w:hAnsi="Times New Roman" w:cs="Times New Roman"/>
                <w:sz w:val="24"/>
                <w:szCs w:val="24"/>
                <w:lang w:eastAsia="lv-LV"/>
              </w:rPr>
              <w:t>"</w:t>
            </w:r>
            <w:r w:rsidR="000F0436">
              <w:rPr>
                <w:rFonts w:ascii="Times New Roman" w:eastAsia="Times New Roman" w:hAnsi="Times New Roman" w:cs="Times New Roman"/>
                <w:sz w:val="24"/>
                <w:szCs w:val="24"/>
                <w:lang w:eastAsia="lv-LV"/>
              </w:rPr>
              <w:t xml:space="preserve"> un l</w:t>
            </w:r>
            <w:r w:rsidR="000F0436" w:rsidRPr="000F0436">
              <w:rPr>
                <w:rFonts w:ascii="Times New Roman" w:eastAsia="Times New Roman" w:hAnsi="Times New Roman" w:cs="Times New Roman"/>
                <w:sz w:val="24"/>
                <w:szCs w:val="24"/>
                <w:lang w:eastAsia="lv-LV"/>
              </w:rPr>
              <w:t xml:space="preserve">ikumprojekts "Grozījumi </w:t>
            </w:r>
            <w:r w:rsidR="000F0436">
              <w:rPr>
                <w:rFonts w:ascii="Times New Roman" w:eastAsia="Times New Roman" w:hAnsi="Times New Roman" w:cs="Times New Roman"/>
                <w:sz w:val="24"/>
                <w:szCs w:val="24"/>
                <w:lang w:eastAsia="lv-LV"/>
              </w:rPr>
              <w:t>Krimināl</w:t>
            </w:r>
            <w:r w:rsidR="000F0436" w:rsidRPr="000F0436">
              <w:rPr>
                <w:rFonts w:ascii="Times New Roman" w:eastAsia="Times New Roman" w:hAnsi="Times New Roman" w:cs="Times New Roman"/>
                <w:sz w:val="24"/>
                <w:szCs w:val="24"/>
                <w:lang w:eastAsia="lv-LV"/>
              </w:rPr>
              <w:t>procesa likumā"</w:t>
            </w:r>
            <w:r w:rsidR="000F0436">
              <w:rPr>
                <w:rFonts w:ascii="Times New Roman" w:eastAsia="Times New Roman" w:hAnsi="Times New Roman" w:cs="Times New Roman"/>
                <w:sz w:val="24"/>
                <w:szCs w:val="24"/>
                <w:lang w:eastAsia="lv-LV"/>
              </w:rPr>
              <w:t>, nosakot</w:t>
            </w:r>
            <w:r w:rsidR="00A96C4D">
              <w:rPr>
                <w:rFonts w:ascii="Times New Roman" w:eastAsia="Times New Roman" w:hAnsi="Times New Roman" w:cs="Times New Roman"/>
                <w:sz w:val="24"/>
                <w:szCs w:val="24"/>
                <w:lang w:eastAsia="lv-LV"/>
              </w:rPr>
              <w:t xml:space="preserve"> konkrēt</w:t>
            </w:r>
            <w:r w:rsidR="00C736C8">
              <w:rPr>
                <w:rFonts w:ascii="Times New Roman" w:eastAsia="Times New Roman" w:hAnsi="Times New Roman" w:cs="Times New Roman"/>
                <w:sz w:val="24"/>
                <w:szCs w:val="24"/>
                <w:lang w:eastAsia="lv-LV"/>
              </w:rPr>
              <w:t>u</w:t>
            </w:r>
            <w:r w:rsidR="00A96C4D">
              <w:rPr>
                <w:rFonts w:ascii="Times New Roman" w:eastAsia="Times New Roman" w:hAnsi="Times New Roman" w:cs="Times New Roman"/>
                <w:sz w:val="24"/>
                <w:szCs w:val="24"/>
                <w:lang w:eastAsia="lv-LV"/>
              </w:rPr>
              <w:t xml:space="preserve"> liet</w:t>
            </w:r>
            <w:r w:rsidR="00C736C8">
              <w:rPr>
                <w:rFonts w:ascii="Times New Roman" w:eastAsia="Times New Roman" w:hAnsi="Times New Roman" w:cs="Times New Roman"/>
                <w:sz w:val="24"/>
                <w:szCs w:val="24"/>
                <w:lang w:eastAsia="lv-LV"/>
              </w:rPr>
              <w:t>u piekritību</w:t>
            </w:r>
            <w:r w:rsidR="000F0436">
              <w:rPr>
                <w:rFonts w:ascii="Times New Roman" w:eastAsia="Times New Roman" w:hAnsi="Times New Roman" w:cs="Times New Roman"/>
                <w:sz w:val="24"/>
                <w:szCs w:val="24"/>
                <w:lang w:eastAsia="lv-LV"/>
              </w:rPr>
              <w:t xml:space="preserve"> Ekonomisko lietu tiesa</w:t>
            </w:r>
            <w:r w:rsidR="00C736C8">
              <w:rPr>
                <w:rFonts w:ascii="Times New Roman" w:eastAsia="Times New Roman" w:hAnsi="Times New Roman" w:cs="Times New Roman"/>
                <w:sz w:val="24"/>
                <w:szCs w:val="24"/>
                <w:lang w:eastAsia="lv-LV"/>
              </w:rPr>
              <w:t>i</w:t>
            </w:r>
            <w:r w:rsidR="00AC637A" w:rsidRPr="00AC637A">
              <w:rPr>
                <w:rFonts w:ascii="Times New Roman" w:eastAsia="Times New Roman" w:hAnsi="Times New Roman" w:cs="Times New Roman"/>
                <w:sz w:val="24"/>
                <w:szCs w:val="24"/>
                <w:lang w:eastAsia="lv-LV"/>
              </w:rPr>
              <w:t>, tostarp,</w:t>
            </w:r>
            <w:proofErr w:type="gramStart"/>
            <w:r w:rsidR="00AC637A" w:rsidRPr="00AC637A">
              <w:rPr>
                <w:rFonts w:ascii="Times New Roman" w:eastAsia="Times New Roman" w:hAnsi="Times New Roman" w:cs="Times New Roman"/>
                <w:sz w:val="24"/>
                <w:szCs w:val="24"/>
                <w:lang w:eastAsia="lv-LV"/>
              </w:rPr>
              <w:t xml:space="preserve">  </w:t>
            </w:r>
            <w:proofErr w:type="gramEnd"/>
            <w:r w:rsidR="00AC637A" w:rsidRPr="00AC637A">
              <w:rPr>
                <w:rFonts w:ascii="Times New Roman" w:eastAsia="Times New Roman" w:hAnsi="Times New Roman" w:cs="Times New Roman"/>
                <w:sz w:val="24"/>
                <w:szCs w:val="24"/>
                <w:lang w:eastAsia="lv-LV"/>
              </w:rPr>
              <w:t>gadījumos, kad apsūdzība uzrādīta pēc vairākiem Krimināllikuma pantiem, no kuriem ne visi ir noteikti speciālās tiesas kompetencē.</w:t>
            </w:r>
            <w:r w:rsidR="000F0436">
              <w:rPr>
                <w:rFonts w:ascii="Times New Roman" w:eastAsia="Times New Roman" w:hAnsi="Times New Roman" w:cs="Times New Roman"/>
                <w:sz w:val="24"/>
                <w:szCs w:val="24"/>
                <w:lang w:eastAsia="lv-LV"/>
              </w:rPr>
              <w:t xml:space="preserve"> </w:t>
            </w:r>
            <w:r w:rsidR="00AC637A" w:rsidRPr="00AC637A">
              <w:rPr>
                <w:rFonts w:ascii="Times New Roman" w:eastAsia="Times New Roman" w:hAnsi="Times New Roman" w:cs="Times New Roman"/>
                <w:sz w:val="24"/>
                <w:szCs w:val="24"/>
                <w:lang w:eastAsia="lv-LV"/>
              </w:rPr>
              <w:t xml:space="preserve">Veicami grozījumi Tieslietu padomes apstiprinātajā kārtībā par tiesu teritorijām, kārtībā par lietu sadales kārtību un </w:t>
            </w:r>
            <w:proofErr w:type="spellStart"/>
            <w:r w:rsidR="00AC637A" w:rsidRPr="00AC637A">
              <w:rPr>
                <w:rFonts w:ascii="Times New Roman" w:eastAsia="Times New Roman" w:hAnsi="Times New Roman" w:cs="Times New Roman"/>
                <w:sz w:val="24"/>
                <w:szCs w:val="24"/>
                <w:lang w:eastAsia="lv-LV"/>
              </w:rPr>
              <w:t>specializācijām</w:t>
            </w:r>
            <w:proofErr w:type="spellEnd"/>
            <w:r w:rsidR="00AC637A" w:rsidRPr="00AC637A">
              <w:rPr>
                <w:rFonts w:ascii="Times New Roman" w:eastAsia="Times New Roman" w:hAnsi="Times New Roman" w:cs="Times New Roman"/>
                <w:sz w:val="24"/>
                <w:szCs w:val="24"/>
                <w:lang w:eastAsia="lv-LV"/>
              </w:rPr>
              <w:t xml:space="preserve"> un Tiesneša amata kandidāta atlases, stažēšanās un kvalifikācijas eksāmena kārtošanas kārtībā, </w:t>
            </w:r>
            <w:r w:rsidR="0013140B">
              <w:rPr>
                <w:rFonts w:ascii="Times New Roman" w:eastAsia="Times New Roman" w:hAnsi="Times New Roman" w:cs="Times New Roman"/>
                <w:sz w:val="24"/>
                <w:szCs w:val="24"/>
                <w:lang w:eastAsia="lv-LV"/>
              </w:rPr>
              <w:t>paredzot, ka</w:t>
            </w:r>
            <w:r w:rsidR="00AC637A" w:rsidRPr="00AC637A">
              <w:rPr>
                <w:rFonts w:ascii="Times New Roman" w:eastAsia="Times New Roman" w:hAnsi="Times New Roman" w:cs="Times New Roman"/>
                <w:sz w:val="24"/>
                <w:szCs w:val="24"/>
                <w:lang w:eastAsia="lv-LV"/>
              </w:rPr>
              <w:t xml:space="preserve"> būtu nepieciešama atsevišķa tiesnešu amata kandidātu atlases kārtība, atbilstoši specializācijas prasībām.</w:t>
            </w:r>
            <w:r w:rsidR="00AC637A">
              <w:rPr>
                <w:rFonts w:ascii="Times New Roman" w:eastAsia="Times New Roman" w:hAnsi="Times New Roman" w:cs="Times New Roman"/>
                <w:sz w:val="24"/>
                <w:szCs w:val="24"/>
                <w:lang w:eastAsia="lv-LV"/>
              </w:rPr>
              <w:t xml:space="preserve"> </w:t>
            </w:r>
          </w:p>
        </w:tc>
      </w:tr>
      <w:tr w:rsidR="00BC2633" w:rsidRPr="00BC2633" w14:paraId="136049D6"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6FFE0E9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14:paraId="0083E253"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Atbildīgā institūcija</w:t>
            </w:r>
          </w:p>
        </w:tc>
        <w:tc>
          <w:tcPr>
            <w:tcW w:w="3431" w:type="pct"/>
            <w:tcBorders>
              <w:top w:val="outset" w:sz="6" w:space="0" w:color="414142"/>
              <w:left w:val="outset" w:sz="6" w:space="0" w:color="414142"/>
              <w:bottom w:val="outset" w:sz="6" w:space="0" w:color="414142"/>
              <w:right w:val="outset" w:sz="6" w:space="0" w:color="414142"/>
            </w:tcBorders>
            <w:hideMark/>
          </w:tcPr>
          <w:p w14:paraId="5E8E47AB" w14:textId="3C980797" w:rsidR="004D15A9" w:rsidRPr="00BC2633" w:rsidRDefault="00633CB1"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Tieslietu</w:t>
            </w:r>
            <w:r w:rsidR="00EF5863">
              <w:rPr>
                <w:rFonts w:ascii="Times New Roman" w:eastAsia="Times New Roman" w:hAnsi="Times New Roman" w:cs="Times New Roman"/>
                <w:sz w:val="24"/>
                <w:szCs w:val="24"/>
                <w:lang w:eastAsia="lv-LV"/>
              </w:rPr>
              <w:t xml:space="preserve"> ministrija</w:t>
            </w:r>
          </w:p>
        </w:tc>
      </w:tr>
      <w:tr w:rsidR="004D15A9" w:rsidRPr="00BC2633" w14:paraId="1BB29304"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6FFD461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hideMark/>
          </w:tcPr>
          <w:p w14:paraId="6276FF2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7EE11369" w14:textId="0260792B" w:rsidR="000B7282" w:rsidRPr="00BC2633" w:rsidRDefault="000F0436" w:rsidP="000F043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2CBEBB46"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C2633" w:rsidRPr="00BC2633" w14:paraId="5DED1206" w14:textId="77777777" w:rsidTr="001C5969">
        <w:tc>
          <w:tcPr>
            <w:tcW w:w="5000" w:type="pct"/>
            <w:tcBorders>
              <w:top w:val="outset" w:sz="6" w:space="0" w:color="414142"/>
              <w:left w:val="outset" w:sz="6" w:space="0" w:color="414142"/>
              <w:bottom w:val="outset" w:sz="6" w:space="0" w:color="414142"/>
              <w:right w:val="outset" w:sz="6" w:space="0" w:color="414142"/>
            </w:tcBorders>
            <w:vAlign w:val="center"/>
            <w:hideMark/>
          </w:tcPr>
          <w:p w14:paraId="2C233676"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 Tiesību akta projekta atbilstība Latvijas Republikas starptautiskajām saistībām</w:t>
            </w:r>
          </w:p>
        </w:tc>
      </w:tr>
      <w:tr w:rsidR="00E45ECD" w:rsidRPr="00BC2633" w14:paraId="3D3E697F" w14:textId="77777777" w:rsidTr="00E45ECD">
        <w:tc>
          <w:tcPr>
            <w:tcW w:w="5000" w:type="pct"/>
            <w:tcBorders>
              <w:top w:val="outset" w:sz="6" w:space="0" w:color="414142"/>
              <w:left w:val="outset" w:sz="6" w:space="0" w:color="414142"/>
              <w:bottom w:val="outset" w:sz="6" w:space="0" w:color="414142"/>
              <w:right w:val="outset" w:sz="6" w:space="0" w:color="414142"/>
            </w:tcBorders>
            <w:hideMark/>
          </w:tcPr>
          <w:p w14:paraId="46F4ED3F" w14:textId="44675A9B" w:rsidR="00E45ECD" w:rsidRPr="00BC2633" w:rsidRDefault="00676236" w:rsidP="00E45ECD">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bl>
    <w:p w14:paraId="31665CF8" w14:textId="77777777" w:rsidR="004D15A9" w:rsidRPr="00BC2633" w:rsidRDefault="004D15A9" w:rsidP="00DA596D">
      <w:pPr>
        <w:spacing w:after="0" w:line="240" w:lineRule="auto"/>
        <w:rPr>
          <w:rFonts w:ascii="Times New Roman" w:eastAsia="Times New Roman" w:hAnsi="Times New Roman" w:cs="Times New Roman"/>
          <w:vanish/>
          <w:sz w:val="24"/>
          <w:szCs w:val="24"/>
          <w:lang w:eastAsia="lv-LV"/>
        </w:rPr>
      </w:pPr>
    </w:p>
    <w:p w14:paraId="63E4FCA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BC2633" w:rsidRPr="00BC2633"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 Sabiedrības līdzdalība un komunikācijas aktivitātes</w:t>
            </w:r>
          </w:p>
        </w:tc>
      </w:tr>
      <w:tr w:rsidR="00BC2633" w:rsidRPr="00BC2633" w14:paraId="7B1FA7B2" w14:textId="77777777" w:rsidTr="004C3B12">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298F5795" w14:textId="27330299" w:rsidR="00091FFD" w:rsidRPr="008220AE" w:rsidRDefault="00091FFD" w:rsidP="008220AE">
            <w:pPr>
              <w:widowControl w:val="0"/>
              <w:spacing w:after="0" w:line="240" w:lineRule="auto"/>
              <w:ind w:firstLine="720"/>
              <w:jc w:val="both"/>
              <w:rPr>
                <w:rFonts w:ascii="Times New Roman" w:eastAsia="Times New Roman" w:hAnsi="Times New Roman"/>
                <w:sz w:val="24"/>
                <w:szCs w:val="24"/>
                <w:lang w:eastAsia="lv-LV"/>
              </w:rPr>
            </w:pPr>
            <w:r w:rsidRPr="00131B2A">
              <w:rPr>
                <w:rFonts w:ascii="Times New Roman" w:eastAsia="Times New Roman" w:hAnsi="Times New Roman"/>
                <w:sz w:val="24"/>
                <w:szCs w:val="24"/>
                <w:lang w:eastAsia="lv-LV"/>
              </w:rPr>
              <w:t xml:space="preserve">Atbilstoši Ministru kabineta 2009. gada 25. augusta noteikumiem Nr. 970 "Sabiedrības līdzdalības kārtība attīstības plānošanas procesā", lai informētu sabiedrību par projektu un dotu iespēju izteikt </w:t>
            </w:r>
            <w:r w:rsidRPr="00E97C76">
              <w:rPr>
                <w:rFonts w:ascii="Times New Roman" w:eastAsia="Times New Roman" w:hAnsi="Times New Roman"/>
                <w:sz w:val="24"/>
                <w:szCs w:val="24"/>
                <w:lang w:eastAsia="lv-LV"/>
              </w:rPr>
              <w:t xml:space="preserve">viedokli, </w:t>
            </w:r>
            <w:r w:rsidR="00BD03A6" w:rsidRPr="00E97C76">
              <w:rPr>
                <w:rFonts w:ascii="Times New Roman" w:eastAsia="Times New Roman" w:hAnsi="Times New Roman"/>
                <w:sz w:val="24"/>
                <w:szCs w:val="24"/>
                <w:lang w:eastAsia="lv-LV"/>
              </w:rPr>
              <w:t xml:space="preserve">informācija par Likumprojektu ievietota </w:t>
            </w:r>
            <w:r w:rsidRPr="00E97C76">
              <w:rPr>
                <w:rFonts w:ascii="Times New Roman" w:eastAsia="Times New Roman" w:hAnsi="Times New Roman"/>
                <w:sz w:val="24"/>
                <w:szCs w:val="24"/>
                <w:lang w:eastAsia="lv-LV"/>
              </w:rPr>
              <w:t>Tieslietu ministrijas un Valsts kancelejas mājaslapā.</w:t>
            </w:r>
            <w:r w:rsidR="00264A5A" w:rsidRPr="00E97C76">
              <w:rPr>
                <w:rFonts w:ascii="Times New Roman" w:eastAsia="Times New Roman" w:hAnsi="Times New Roman" w:cs="Times New Roman"/>
                <w:sz w:val="24"/>
                <w:szCs w:val="24"/>
                <w:lang w:eastAsia="lv-LV"/>
              </w:rPr>
              <w:t xml:space="preserve"> </w:t>
            </w:r>
          </w:p>
        </w:tc>
      </w:tr>
      <w:tr w:rsidR="00BC2633" w:rsidRPr="00BC2633" w14:paraId="27BA751E" w14:textId="77777777" w:rsidTr="004C3B12">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2EF4A4EB" w14:textId="10BDF3AD" w:rsidR="00305EC9" w:rsidRDefault="00305EC9" w:rsidP="00AF496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305EC9">
              <w:rPr>
                <w:rFonts w:ascii="Times New Roman" w:eastAsia="Times New Roman" w:hAnsi="Times New Roman" w:cs="Times New Roman"/>
                <w:sz w:val="24"/>
                <w:szCs w:val="24"/>
                <w:lang w:eastAsia="lv-LV"/>
              </w:rPr>
              <w:t xml:space="preserve">adarbībā ar </w:t>
            </w:r>
            <w:proofErr w:type="gramStart"/>
            <w:r w:rsidRPr="00305EC9">
              <w:rPr>
                <w:rFonts w:ascii="Times New Roman" w:eastAsia="Times New Roman" w:hAnsi="Times New Roman" w:cs="Times New Roman"/>
                <w:sz w:val="24"/>
                <w:szCs w:val="24"/>
                <w:lang w:eastAsia="lv-LV"/>
              </w:rPr>
              <w:t>Rīgas juridisko augstskolu</w:t>
            </w:r>
            <w:proofErr w:type="gramEnd"/>
            <w:r w:rsidRPr="00305EC9">
              <w:rPr>
                <w:rFonts w:ascii="Times New Roman" w:eastAsia="Times New Roman" w:hAnsi="Times New Roman" w:cs="Times New Roman"/>
                <w:sz w:val="24"/>
                <w:szCs w:val="24"/>
                <w:lang w:eastAsia="lv-LV"/>
              </w:rPr>
              <w:t xml:space="preserve"> Tieslietu ministrija 2019.</w:t>
            </w:r>
            <w:r w:rsidR="001663F1">
              <w:rPr>
                <w:rFonts w:ascii="Times New Roman" w:eastAsia="Times New Roman" w:hAnsi="Times New Roman" w:cs="Times New Roman"/>
                <w:sz w:val="24"/>
                <w:szCs w:val="24"/>
                <w:lang w:eastAsia="lv-LV"/>
              </w:rPr>
              <w:t xml:space="preserve"> </w:t>
            </w:r>
            <w:r w:rsidRPr="00305EC9">
              <w:rPr>
                <w:rFonts w:ascii="Times New Roman" w:eastAsia="Times New Roman" w:hAnsi="Times New Roman" w:cs="Times New Roman"/>
                <w:sz w:val="24"/>
                <w:szCs w:val="24"/>
                <w:lang w:eastAsia="lv-LV"/>
              </w:rPr>
              <w:t>gada 17.</w:t>
            </w:r>
            <w:r w:rsidR="001663F1">
              <w:rPr>
                <w:rFonts w:ascii="Times New Roman" w:eastAsia="Times New Roman" w:hAnsi="Times New Roman" w:cs="Times New Roman"/>
                <w:sz w:val="24"/>
                <w:szCs w:val="24"/>
                <w:lang w:eastAsia="lv-LV"/>
              </w:rPr>
              <w:t xml:space="preserve"> </w:t>
            </w:r>
            <w:r w:rsidRPr="00305EC9">
              <w:rPr>
                <w:rFonts w:ascii="Times New Roman" w:eastAsia="Times New Roman" w:hAnsi="Times New Roman" w:cs="Times New Roman"/>
                <w:sz w:val="24"/>
                <w:szCs w:val="24"/>
                <w:lang w:eastAsia="lv-LV"/>
              </w:rPr>
              <w:t xml:space="preserve">jūlijā organizēja publisku diskusiju "Vai pienācis laiks specializētai tiesai?". Diskusiju panelī piedalījās uzņēmēju organizāciju pārstāvji (Latvijas Tirdzniecības un </w:t>
            </w:r>
            <w:r w:rsidRPr="00305EC9">
              <w:rPr>
                <w:rFonts w:ascii="Times New Roman" w:eastAsia="Times New Roman" w:hAnsi="Times New Roman" w:cs="Times New Roman"/>
                <w:sz w:val="24"/>
                <w:szCs w:val="24"/>
                <w:lang w:eastAsia="lv-LV"/>
              </w:rPr>
              <w:lastRenderedPageBreak/>
              <w:t xml:space="preserve">rūpniecības kameras priekšsēdētājs J.Endziņš, Ārvalstu investoru padomes Latvijā Investīciju aizsardzības un tiesu efektivitātes darba grupas vadītājs </w:t>
            </w:r>
            <w:proofErr w:type="spellStart"/>
            <w:r w:rsidRPr="00305EC9">
              <w:rPr>
                <w:rFonts w:ascii="Times New Roman" w:eastAsia="Times New Roman" w:hAnsi="Times New Roman" w:cs="Times New Roman"/>
                <w:sz w:val="24"/>
                <w:szCs w:val="24"/>
                <w:lang w:eastAsia="lv-LV"/>
              </w:rPr>
              <w:t>M.Vainovskis</w:t>
            </w:r>
            <w:proofErr w:type="spellEnd"/>
            <w:r w:rsidRPr="00305EC9">
              <w:rPr>
                <w:rFonts w:ascii="Times New Roman" w:eastAsia="Times New Roman" w:hAnsi="Times New Roman" w:cs="Times New Roman"/>
                <w:sz w:val="24"/>
                <w:szCs w:val="24"/>
                <w:lang w:eastAsia="lv-LV"/>
              </w:rPr>
              <w:t>, kā arī</w:t>
            </w:r>
            <w:proofErr w:type="gramStart"/>
            <w:r w:rsidRPr="00305EC9">
              <w:rPr>
                <w:rFonts w:ascii="Times New Roman" w:eastAsia="Times New Roman" w:hAnsi="Times New Roman" w:cs="Times New Roman"/>
                <w:sz w:val="24"/>
                <w:szCs w:val="24"/>
                <w:lang w:eastAsia="lv-LV"/>
              </w:rPr>
              <w:t xml:space="preserve">  </w:t>
            </w:r>
            <w:proofErr w:type="gramEnd"/>
            <w:r w:rsidRPr="00305EC9">
              <w:rPr>
                <w:rFonts w:ascii="Times New Roman" w:eastAsia="Times New Roman" w:hAnsi="Times New Roman" w:cs="Times New Roman"/>
                <w:sz w:val="24"/>
                <w:szCs w:val="24"/>
                <w:lang w:eastAsia="lv-LV"/>
              </w:rPr>
              <w:t xml:space="preserve">Finanšu nozares asociācijas juridiskais padomnieks E.Pastars), kā arī tiesu varas un ar to saistīto institūciju pārstāvji (Korupcijas novēršanas un apkarošanas biroja priekšnieks J.Straume, Ģenerālprokurors Ē.Kalnmeiers, Rīgas apgabaltiesas priekšsēdētāja D.Vilsone un Satversmes tiesas priekšsēdētāja </w:t>
            </w:r>
            <w:proofErr w:type="spellStart"/>
            <w:r w:rsidRPr="00305EC9">
              <w:rPr>
                <w:rFonts w:ascii="Times New Roman" w:eastAsia="Times New Roman" w:hAnsi="Times New Roman" w:cs="Times New Roman"/>
                <w:sz w:val="24"/>
                <w:szCs w:val="24"/>
                <w:lang w:eastAsia="lv-LV"/>
              </w:rPr>
              <w:t>I.Ziemele</w:t>
            </w:r>
            <w:proofErr w:type="spellEnd"/>
            <w:r w:rsidRPr="00305EC9">
              <w:rPr>
                <w:rFonts w:ascii="Times New Roman" w:eastAsia="Times New Roman" w:hAnsi="Times New Roman" w:cs="Times New Roman"/>
                <w:sz w:val="24"/>
                <w:szCs w:val="24"/>
                <w:lang w:eastAsia="lv-LV"/>
              </w:rPr>
              <w:t xml:space="preserve">). Paneļa dalībnieki, kas pārstāv uzņēmēju vajadzības, pauda viennozīmīgu atbalstu specializētas tiesas izveidei, uzsverot, ka šis jautājums ir risināms nekavējoties. Arī paneļa dalībnieki, kas pārstāvēja tiesu varu un ar to saistītās institūcijas, pauda atbalstošu pozīciju specializētas tiesas – ekonomisko lietu tiesas izveidei, vienlaikus daži no viņiem norādīja uz aspektiem, kuriem būtu pievēršama īpaša uzmanība specializētas tiesas izveides procesā. </w:t>
            </w:r>
          </w:p>
          <w:p w14:paraId="0D0AA4E1" w14:textId="63CDBCEA" w:rsidR="007951F9" w:rsidRDefault="008220AE" w:rsidP="007951F9">
            <w:pPr>
              <w:spacing w:after="0" w:line="240" w:lineRule="auto"/>
              <w:ind w:firstLine="685"/>
              <w:jc w:val="both"/>
            </w:pPr>
            <w:r>
              <w:rPr>
                <w:rFonts w:ascii="Times New Roman" w:eastAsia="Times New Roman" w:hAnsi="Times New Roman" w:cs="Times New Roman"/>
                <w:sz w:val="24"/>
                <w:szCs w:val="24"/>
                <w:lang w:eastAsia="lv-LV"/>
              </w:rPr>
              <w:t>201</w:t>
            </w:r>
            <w:r w:rsidR="000F0436">
              <w:rPr>
                <w:rFonts w:ascii="Times New Roman" w:eastAsia="Times New Roman" w:hAnsi="Times New Roman" w:cs="Times New Roman"/>
                <w:sz w:val="24"/>
                <w:szCs w:val="24"/>
                <w:lang w:eastAsia="lv-LV"/>
              </w:rPr>
              <w:t>9</w:t>
            </w:r>
            <w:r>
              <w:rPr>
                <w:rFonts w:ascii="Times New Roman" w:eastAsia="Times New Roman" w:hAnsi="Times New Roman" w:cs="Times New Roman"/>
                <w:sz w:val="24"/>
                <w:szCs w:val="24"/>
                <w:lang w:eastAsia="lv-LV"/>
              </w:rPr>
              <w:t xml:space="preserve">. </w:t>
            </w:r>
            <w:r w:rsidRPr="00ED50F3">
              <w:rPr>
                <w:rFonts w:ascii="Times New Roman" w:eastAsia="Times New Roman" w:hAnsi="Times New Roman" w:cs="Times New Roman"/>
                <w:sz w:val="24"/>
                <w:szCs w:val="24"/>
                <w:lang w:eastAsia="lv-LV"/>
              </w:rPr>
              <w:t xml:space="preserve">gada </w:t>
            </w:r>
            <w:proofErr w:type="gramStart"/>
            <w:r w:rsidR="00311C5C">
              <w:rPr>
                <w:rFonts w:ascii="Times New Roman" w:eastAsia="Times New Roman" w:hAnsi="Times New Roman" w:cs="Times New Roman"/>
                <w:sz w:val="24"/>
                <w:szCs w:val="24"/>
                <w:lang w:eastAsia="lv-LV"/>
              </w:rPr>
              <w:t>20.</w:t>
            </w:r>
            <w:r w:rsidR="00F7059C">
              <w:rPr>
                <w:rFonts w:ascii="Times New Roman" w:eastAsia="Times New Roman" w:hAnsi="Times New Roman" w:cs="Times New Roman"/>
                <w:sz w:val="24"/>
                <w:szCs w:val="24"/>
                <w:lang w:eastAsia="lv-LV"/>
              </w:rPr>
              <w:t>augustā</w:t>
            </w:r>
            <w:proofErr w:type="gramEnd"/>
            <w:r w:rsidRPr="00ED50F3">
              <w:rPr>
                <w:rFonts w:ascii="Times New Roman" w:eastAsia="Times New Roman" w:hAnsi="Times New Roman" w:cs="Times New Roman"/>
                <w:sz w:val="24"/>
                <w:szCs w:val="24"/>
                <w:lang w:eastAsia="lv-LV"/>
              </w:rPr>
              <w:t xml:space="preserve">, izskatot </w:t>
            </w:r>
            <w:r>
              <w:rPr>
                <w:rFonts w:ascii="Times New Roman" w:eastAsia="Times New Roman" w:hAnsi="Times New Roman" w:cs="Times New Roman"/>
                <w:sz w:val="24"/>
                <w:szCs w:val="24"/>
                <w:lang w:eastAsia="lv-LV"/>
              </w:rPr>
              <w:t>Z</w:t>
            </w:r>
            <w:r w:rsidRPr="00ED50F3">
              <w:rPr>
                <w:rFonts w:ascii="Times New Roman" w:eastAsia="Times New Roman" w:hAnsi="Times New Roman" w:cs="Times New Roman"/>
                <w:sz w:val="24"/>
                <w:szCs w:val="24"/>
                <w:lang w:eastAsia="lv-LV"/>
              </w:rPr>
              <w:t>iņojum</w:t>
            </w:r>
            <w:r>
              <w:rPr>
                <w:rFonts w:ascii="Times New Roman" w:eastAsia="Times New Roman" w:hAnsi="Times New Roman" w:cs="Times New Roman"/>
                <w:sz w:val="24"/>
                <w:szCs w:val="24"/>
                <w:lang w:eastAsia="lv-LV"/>
              </w:rPr>
              <w:t xml:space="preserve">u, </w:t>
            </w:r>
            <w:r w:rsidRPr="00ED50F3">
              <w:rPr>
                <w:rFonts w:ascii="Times New Roman" w:eastAsia="Times New Roman" w:hAnsi="Times New Roman" w:cs="Times New Roman"/>
                <w:sz w:val="24"/>
                <w:szCs w:val="24"/>
                <w:lang w:eastAsia="lv-LV"/>
              </w:rPr>
              <w:t>Ministru kabinets atbalstīja tajā ietvertos pasākumus</w:t>
            </w:r>
            <w:r>
              <w:rPr>
                <w:rFonts w:ascii="Times New Roman" w:eastAsia="Times New Roman" w:hAnsi="Times New Roman" w:cs="Times New Roman"/>
                <w:sz w:val="24"/>
                <w:szCs w:val="24"/>
                <w:lang w:eastAsia="lv-LV"/>
              </w:rPr>
              <w:t>, līdz ar ko tika izstrādāts</w:t>
            </w:r>
            <w:r w:rsidR="00CC02B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Likumprojekts. Minētais ziņojums ir publiski pieejams interneta vietnē:</w:t>
            </w:r>
            <w:r w:rsidR="000F0436">
              <w:rPr>
                <w:rFonts w:ascii="Times New Roman" w:eastAsia="Times New Roman" w:hAnsi="Times New Roman" w:cs="Times New Roman"/>
                <w:sz w:val="24"/>
                <w:szCs w:val="24"/>
                <w:lang w:eastAsia="lv-LV"/>
              </w:rPr>
              <w:t xml:space="preserve"> </w:t>
            </w:r>
            <w:r w:rsidR="00311C5C" w:rsidRPr="00311C5C">
              <w:rPr>
                <w:rFonts w:ascii="Times New Roman" w:eastAsia="Times New Roman" w:hAnsi="Times New Roman" w:cs="Times New Roman"/>
                <w:sz w:val="24"/>
                <w:szCs w:val="24"/>
                <w:lang w:eastAsia="lv-LV"/>
              </w:rPr>
              <w:t>https://likumi.lv/ta/id/308908-par-konceptualo-zinojumu-par-ekonomisko-lietu-tiesas-izveidi</w:t>
            </w:r>
            <w:proofErr w:type="gramStart"/>
            <w:r w:rsidR="00311C5C" w:rsidRPr="00311C5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proofErr w:type="gramEnd"/>
          </w:p>
          <w:p w14:paraId="1EE08E29" w14:textId="4EFAD750" w:rsidR="008220AE" w:rsidRPr="00F82B77" w:rsidRDefault="008220AE" w:rsidP="00F82B77">
            <w:pPr>
              <w:spacing w:after="0" w:line="240" w:lineRule="auto"/>
              <w:ind w:firstLine="775"/>
              <w:jc w:val="both"/>
              <w:rPr>
                <w:rFonts w:ascii="Times New Roman" w:eastAsia="Times New Roman" w:hAnsi="Times New Roman"/>
                <w:sz w:val="24"/>
                <w:szCs w:val="24"/>
                <w:lang w:eastAsia="lv-LV"/>
              </w:rPr>
            </w:pPr>
            <w:r w:rsidRPr="00131B2A">
              <w:rPr>
                <w:rFonts w:ascii="Times New Roman" w:eastAsia="Times New Roman" w:hAnsi="Times New Roman"/>
                <w:sz w:val="24"/>
                <w:szCs w:val="24"/>
                <w:lang w:eastAsia="lv-LV"/>
              </w:rPr>
              <w:t xml:space="preserve">Lai informētu sabiedrību par </w:t>
            </w:r>
            <w:r w:rsidR="00F82B77">
              <w:rPr>
                <w:rFonts w:ascii="Times New Roman" w:eastAsia="Times New Roman" w:hAnsi="Times New Roman"/>
                <w:sz w:val="24"/>
                <w:szCs w:val="24"/>
                <w:lang w:eastAsia="lv-LV"/>
              </w:rPr>
              <w:t xml:space="preserve">Likumprojektu </w:t>
            </w:r>
            <w:r w:rsidRPr="00131B2A">
              <w:rPr>
                <w:rFonts w:ascii="Times New Roman" w:eastAsia="Times New Roman" w:hAnsi="Times New Roman"/>
                <w:sz w:val="24"/>
                <w:szCs w:val="24"/>
                <w:lang w:eastAsia="lv-LV"/>
              </w:rPr>
              <w:t xml:space="preserve">un dotu iespēju izteikt viedokli, </w:t>
            </w:r>
            <w:r>
              <w:rPr>
                <w:rFonts w:ascii="Times New Roman" w:eastAsia="Times New Roman" w:hAnsi="Times New Roman"/>
                <w:sz w:val="24"/>
                <w:szCs w:val="24"/>
                <w:lang w:eastAsia="lv-LV"/>
              </w:rPr>
              <w:t>201</w:t>
            </w:r>
            <w:r w:rsidR="00941557">
              <w:rPr>
                <w:rFonts w:ascii="Times New Roman" w:eastAsia="Times New Roman" w:hAnsi="Times New Roman"/>
                <w:sz w:val="24"/>
                <w:szCs w:val="24"/>
                <w:lang w:eastAsia="lv-LV"/>
              </w:rPr>
              <w:t>9</w:t>
            </w:r>
            <w:r>
              <w:rPr>
                <w:rFonts w:ascii="Times New Roman" w:eastAsia="Times New Roman" w:hAnsi="Times New Roman"/>
                <w:sz w:val="24"/>
                <w:szCs w:val="24"/>
                <w:lang w:eastAsia="lv-LV"/>
              </w:rPr>
              <w:t xml:space="preserve">. gada </w:t>
            </w:r>
            <w:proofErr w:type="gramStart"/>
            <w:r w:rsidR="00E97C76">
              <w:rPr>
                <w:rFonts w:ascii="Times New Roman" w:eastAsia="Times New Roman" w:hAnsi="Times New Roman"/>
                <w:sz w:val="24"/>
                <w:szCs w:val="24"/>
                <w:lang w:eastAsia="lv-LV"/>
              </w:rPr>
              <w:t>23</w:t>
            </w:r>
            <w:r w:rsidR="00941557">
              <w:rPr>
                <w:rFonts w:ascii="Times New Roman" w:eastAsia="Times New Roman" w:hAnsi="Times New Roman"/>
                <w:sz w:val="24"/>
                <w:szCs w:val="24"/>
                <w:lang w:eastAsia="lv-LV"/>
              </w:rPr>
              <w:t>.</w:t>
            </w:r>
            <w:r w:rsidR="001663F1">
              <w:rPr>
                <w:rFonts w:ascii="Times New Roman" w:eastAsia="Times New Roman" w:hAnsi="Times New Roman"/>
                <w:sz w:val="24"/>
                <w:szCs w:val="24"/>
                <w:lang w:eastAsia="lv-LV"/>
              </w:rPr>
              <w:t>septembrī</w:t>
            </w:r>
            <w:proofErr w:type="gramEnd"/>
            <w:r w:rsidR="00F7059C">
              <w:rPr>
                <w:rFonts w:ascii="Times New Roman" w:eastAsia="Times New Roman" w:hAnsi="Times New Roman"/>
                <w:sz w:val="24"/>
                <w:szCs w:val="24"/>
                <w:lang w:eastAsia="lv-LV"/>
              </w:rPr>
              <w:t xml:space="preserve"> </w:t>
            </w:r>
            <w:r w:rsidR="00BD03A6">
              <w:rPr>
                <w:rFonts w:ascii="Times New Roman" w:eastAsia="Times New Roman" w:hAnsi="Times New Roman"/>
                <w:sz w:val="24"/>
                <w:szCs w:val="24"/>
                <w:lang w:eastAsia="lv-LV"/>
              </w:rPr>
              <w:t xml:space="preserve">informācija par Likumprojektu </w:t>
            </w:r>
            <w:r w:rsidR="00BD03A6" w:rsidRPr="00131B2A">
              <w:rPr>
                <w:rFonts w:ascii="Times New Roman" w:eastAsia="Times New Roman" w:hAnsi="Times New Roman"/>
                <w:sz w:val="24"/>
                <w:szCs w:val="24"/>
                <w:lang w:eastAsia="lv-LV"/>
              </w:rPr>
              <w:t>ievietot</w:t>
            </w:r>
            <w:r w:rsidR="00BD03A6">
              <w:rPr>
                <w:rFonts w:ascii="Times New Roman" w:eastAsia="Times New Roman" w:hAnsi="Times New Roman"/>
                <w:sz w:val="24"/>
                <w:szCs w:val="24"/>
                <w:lang w:eastAsia="lv-LV"/>
              </w:rPr>
              <w:t>a</w:t>
            </w:r>
            <w:r w:rsidR="00BD03A6" w:rsidRPr="00131B2A">
              <w:rPr>
                <w:rFonts w:ascii="Times New Roman" w:eastAsia="Times New Roman" w:hAnsi="Times New Roman"/>
                <w:sz w:val="24"/>
                <w:szCs w:val="24"/>
                <w:lang w:eastAsia="lv-LV"/>
              </w:rPr>
              <w:t xml:space="preserve"> </w:t>
            </w:r>
            <w:r w:rsidRPr="00131B2A">
              <w:rPr>
                <w:rFonts w:ascii="Times New Roman" w:eastAsia="Times New Roman" w:hAnsi="Times New Roman"/>
                <w:sz w:val="24"/>
                <w:szCs w:val="24"/>
                <w:lang w:eastAsia="lv-LV"/>
              </w:rPr>
              <w:t>Tieslietu ministrijas</w:t>
            </w:r>
            <w:r>
              <w:rPr>
                <w:rFonts w:ascii="Times New Roman" w:eastAsia="Times New Roman" w:hAnsi="Times New Roman"/>
                <w:sz w:val="24"/>
                <w:szCs w:val="24"/>
                <w:lang w:eastAsia="lv-LV"/>
              </w:rPr>
              <w:t xml:space="preserve"> </w:t>
            </w:r>
            <w:r w:rsidR="00F82B77">
              <w:rPr>
                <w:rFonts w:ascii="Times New Roman" w:eastAsia="Times New Roman" w:hAnsi="Times New Roman"/>
                <w:sz w:val="24"/>
                <w:szCs w:val="24"/>
                <w:lang w:eastAsia="lv-LV"/>
              </w:rPr>
              <w:t xml:space="preserve">tīmekļa vietnē </w:t>
            </w:r>
            <w:r>
              <w:rPr>
                <w:rFonts w:ascii="Times New Roman" w:eastAsia="Times New Roman" w:hAnsi="Times New Roman"/>
                <w:sz w:val="24"/>
                <w:szCs w:val="24"/>
                <w:lang w:eastAsia="lv-LV"/>
              </w:rPr>
              <w:t>(</w:t>
            </w:r>
            <w:proofErr w:type="spellStart"/>
            <w:r w:rsidR="00486210">
              <w:fldChar w:fldCharType="begin"/>
            </w:r>
            <w:r w:rsidR="00486210">
              <w:instrText xml:space="preserve"> HYPERLINK "https://www.tm.gov.lv/lv/sabiedribas-lidzdaliba/diskusiju-dokumenti/tiesibu-akti" </w:instrText>
            </w:r>
            <w:r w:rsidR="00486210">
              <w:fldChar w:fldCharType="separate"/>
            </w:r>
            <w:r w:rsidR="00941557">
              <w:rPr>
                <w:rStyle w:val="Hipersaite"/>
                <w:rFonts w:ascii="Times New Roman" w:eastAsia="Times New Roman" w:hAnsi="Times New Roman"/>
                <w:sz w:val="24"/>
                <w:szCs w:val="24"/>
                <w:lang w:eastAsia="lv-LV"/>
              </w:rPr>
              <w:t>www</w:t>
            </w:r>
            <w:proofErr w:type="spellEnd"/>
            <w:r w:rsidR="00941557">
              <w:rPr>
                <w:rStyle w:val="Hipersaite"/>
                <w:rFonts w:ascii="Times New Roman" w:eastAsia="Times New Roman" w:hAnsi="Times New Roman"/>
                <w:sz w:val="24"/>
                <w:szCs w:val="24"/>
                <w:lang w:eastAsia="lv-LV"/>
              </w:rPr>
              <w:t>…..</w:t>
            </w:r>
            <w:r w:rsidR="00486210">
              <w:rPr>
                <w:rStyle w:val="Hipersaite"/>
                <w:rFonts w:ascii="Times New Roman" w:eastAsia="Times New Roman" w:hAnsi="Times New Roman"/>
                <w:sz w:val="24"/>
                <w:szCs w:val="24"/>
                <w:lang w:eastAsia="lv-LV"/>
              </w:rPr>
              <w:fldChar w:fldCharType="end"/>
            </w:r>
            <w:r>
              <w:rPr>
                <w:rFonts w:ascii="Times New Roman" w:eastAsia="Times New Roman" w:hAnsi="Times New Roman"/>
                <w:sz w:val="24"/>
                <w:szCs w:val="24"/>
                <w:lang w:eastAsia="lv-LV"/>
              </w:rPr>
              <w:t>)</w:t>
            </w:r>
            <w:r w:rsidR="007951F9">
              <w:rPr>
                <w:rFonts w:ascii="Times New Roman" w:eastAsia="Times New Roman" w:hAnsi="Times New Roman"/>
                <w:sz w:val="24"/>
                <w:szCs w:val="24"/>
                <w:lang w:eastAsia="lv-LV"/>
              </w:rPr>
              <w:t xml:space="preserve"> un </w:t>
            </w:r>
            <w:r w:rsidR="007951F9" w:rsidRPr="00131B2A">
              <w:rPr>
                <w:rFonts w:ascii="Times New Roman" w:eastAsia="Times New Roman" w:hAnsi="Times New Roman"/>
                <w:sz w:val="24"/>
                <w:szCs w:val="24"/>
                <w:lang w:eastAsia="lv-LV"/>
              </w:rPr>
              <w:t>Valsts kancelejas</w:t>
            </w:r>
            <w:r w:rsidR="007951F9">
              <w:rPr>
                <w:rFonts w:ascii="Times New Roman" w:eastAsia="Times New Roman" w:hAnsi="Times New Roman"/>
                <w:sz w:val="24"/>
                <w:szCs w:val="24"/>
                <w:lang w:eastAsia="lv-LV"/>
              </w:rPr>
              <w:t xml:space="preserve"> tīmekļa vietnē</w:t>
            </w:r>
            <w:r w:rsidR="00941557">
              <w:rPr>
                <w:rFonts w:ascii="Times New Roman" w:eastAsia="Times New Roman" w:hAnsi="Times New Roman"/>
                <w:sz w:val="24"/>
                <w:szCs w:val="24"/>
                <w:lang w:eastAsia="lv-LV"/>
              </w:rPr>
              <w:t xml:space="preserve"> (</w:t>
            </w:r>
            <w:proofErr w:type="spellStart"/>
            <w:r w:rsidR="00941557">
              <w:rPr>
                <w:rFonts w:ascii="Times New Roman" w:eastAsia="Times New Roman" w:hAnsi="Times New Roman"/>
                <w:sz w:val="24"/>
                <w:szCs w:val="24"/>
                <w:lang w:eastAsia="lv-LV"/>
              </w:rPr>
              <w:t>www</w:t>
            </w:r>
            <w:proofErr w:type="spellEnd"/>
            <w:r w:rsidR="00941557">
              <w:rPr>
                <w:rFonts w:ascii="Times New Roman" w:eastAsia="Times New Roman" w:hAnsi="Times New Roman"/>
                <w:sz w:val="24"/>
                <w:szCs w:val="24"/>
                <w:lang w:eastAsia="lv-LV"/>
              </w:rPr>
              <w:t>….)</w:t>
            </w:r>
            <w:r w:rsidR="00F82B77">
              <w:rPr>
                <w:rFonts w:ascii="Times New Roman" w:eastAsia="Times New Roman" w:hAnsi="Times New Roman"/>
                <w:sz w:val="24"/>
                <w:szCs w:val="24"/>
                <w:lang w:eastAsia="lv-LV"/>
              </w:rPr>
              <w:t xml:space="preserve">, </w:t>
            </w:r>
            <w:r w:rsidR="00F82B77" w:rsidRPr="00131B2A">
              <w:rPr>
                <w:rFonts w:ascii="Times New Roman" w:eastAsia="Times New Roman" w:hAnsi="Times New Roman"/>
                <w:sz w:val="24"/>
                <w:szCs w:val="24"/>
                <w:lang w:eastAsia="lv-LV"/>
              </w:rPr>
              <w:t>aicinot viedokļus par projektu ministrijai sniegt līdz 201</w:t>
            </w:r>
            <w:r w:rsidR="00941557">
              <w:rPr>
                <w:rFonts w:ascii="Times New Roman" w:eastAsia="Times New Roman" w:hAnsi="Times New Roman"/>
                <w:sz w:val="24"/>
                <w:szCs w:val="24"/>
                <w:lang w:eastAsia="lv-LV"/>
              </w:rPr>
              <w:t>9.</w:t>
            </w:r>
            <w:r w:rsidR="00F82B77" w:rsidRPr="00131B2A">
              <w:rPr>
                <w:rFonts w:ascii="Times New Roman" w:eastAsia="Times New Roman" w:hAnsi="Times New Roman"/>
                <w:sz w:val="24"/>
                <w:szCs w:val="24"/>
                <w:lang w:eastAsia="lv-LV"/>
              </w:rPr>
              <w:t xml:space="preserve"> gada </w:t>
            </w:r>
            <w:r w:rsidR="00E97C76">
              <w:rPr>
                <w:rFonts w:ascii="Times New Roman" w:eastAsia="Times New Roman" w:hAnsi="Times New Roman"/>
                <w:sz w:val="24"/>
                <w:szCs w:val="24"/>
                <w:lang w:eastAsia="lv-LV"/>
              </w:rPr>
              <w:t>4</w:t>
            </w:r>
            <w:r w:rsidR="00941557">
              <w:rPr>
                <w:rFonts w:ascii="Times New Roman" w:eastAsia="Times New Roman" w:hAnsi="Times New Roman"/>
                <w:sz w:val="24"/>
                <w:szCs w:val="24"/>
                <w:lang w:eastAsia="lv-LV"/>
              </w:rPr>
              <w:t>.</w:t>
            </w:r>
            <w:r w:rsidR="00E97C76">
              <w:rPr>
                <w:rFonts w:ascii="Times New Roman" w:eastAsia="Times New Roman" w:hAnsi="Times New Roman"/>
                <w:sz w:val="24"/>
                <w:szCs w:val="24"/>
                <w:lang w:eastAsia="lv-LV"/>
              </w:rPr>
              <w:t>oktobrim</w:t>
            </w:r>
            <w:r w:rsidR="00F82B77">
              <w:rPr>
                <w:rFonts w:ascii="Times New Roman" w:eastAsia="Times New Roman" w:hAnsi="Times New Roman"/>
                <w:sz w:val="24"/>
                <w:szCs w:val="24"/>
                <w:lang w:eastAsia="lv-LV"/>
              </w:rPr>
              <w:t xml:space="preserve">. </w:t>
            </w:r>
          </w:p>
        </w:tc>
      </w:tr>
      <w:tr w:rsidR="00BC2633" w:rsidRPr="00BC2633" w14:paraId="221D5F5F"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hideMark/>
          </w:tcPr>
          <w:p w14:paraId="3E3C15CE" w14:textId="0048B4AA" w:rsidR="004D15A9" w:rsidRPr="00BC2633" w:rsidRDefault="008220AE" w:rsidP="008220AE">
            <w:pPr>
              <w:spacing w:after="0" w:line="240" w:lineRule="auto"/>
              <w:jc w:val="both"/>
              <w:rPr>
                <w:rFonts w:ascii="Times New Roman" w:eastAsia="Times New Roman" w:hAnsi="Times New Roman" w:cs="Times New Roman"/>
                <w:sz w:val="24"/>
                <w:szCs w:val="24"/>
                <w:lang w:eastAsia="lv-LV"/>
              </w:rPr>
            </w:pPr>
            <w:r w:rsidRPr="00131B2A">
              <w:rPr>
                <w:rFonts w:ascii="Times New Roman" w:eastAsia="Times New Roman" w:hAnsi="Times New Roman"/>
                <w:sz w:val="24"/>
                <w:szCs w:val="24"/>
                <w:lang w:eastAsia="lv-LV"/>
              </w:rPr>
              <w:t>Pēc projekta ievietošanas Tieslietu ministrijas un Valsts kancelejas mājaslapā sabiedrības līdzdalības nodrošināšanai komentāri vai priekšlikumi par projektu nav saņemti.</w:t>
            </w:r>
          </w:p>
        </w:tc>
      </w:tr>
      <w:tr w:rsidR="004D15A9" w:rsidRPr="00BC2633" w14:paraId="5F54E321"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11ADA017" w:rsidR="004D15A9" w:rsidRPr="00BC2633" w:rsidRDefault="004D15A9" w:rsidP="001C5969">
            <w:pPr>
              <w:spacing w:after="0" w:line="240" w:lineRule="auto"/>
              <w:jc w:val="both"/>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Nav</w:t>
            </w:r>
            <w:r w:rsidR="007047F3">
              <w:rPr>
                <w:rFonts w:ascii="Times New Roman" w:eastAsia="Times New Roman" w:hAnsi="Times New Roman" w:cs="Times New Roman"/>
                <w:sz w:val="24"/>
                <w:szCs w:val="24"/>
                <w:lang w:eastAsia="lv-LV"/>
              </w:rPr>
              <w:t>.</w:t>
            </w:r>
          </w:p>
        </w:tc>
      </w:tr>
    </w:tbl>
    <w:p w14:paraId="569A45C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BC2633" w:rsidRPr="00BC2633" w14:paraId="052FAB11"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VII. Tiesību akta projekta izpildes nodrošināšana un tās ietekme uz institūcijām</w:t>
            </w:r>
          </w:p>
        </w:tc>
      </w:tr>
      <w:tr w:rsidR="00BC2633" w:rsidRPr="00BC2633" w14:paraId="5F7D14F9" w14:textId="77777777" w:rsidTr="003803BC">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0C261A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0C28F92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1AEBB4A0" w14:textId="08230619" w:rsidR="004D15A9" w:rsidRPr="00BC2633" w:rsidRDefault="000F0436" w:rsidP="0073730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Tieslietu padome, Tiesu administrācija, </w:t>
            </w:r>
            <w:r w:rsidR="001F5406">
              <w:rPr>
                <w:rFonts w:ascii="Times New Roman" w:eastAsia="Times New Roman" w:hAnsi="Times New Roman" w:cs="Times New Roman"/>
                <w:sz w:val="24"/>
                <w:szCs w:val="24"/>
                <w:lang w:eastAsia="lv-LV"/>
              </w:rPr>
              <w:t>Tieslietu ministrija, Saeima.</w:t>
            </w:r>
          </w:p>
        </w:tc>
      </w:tr>
      <w:tr w:rsidR="00BC2633" w:rsidRPr="00BC2633" w14:paraId="67B81B5D" w14:textId="77777777" w:rsidTr="003803BC">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C9A6CC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hideMark/>
          </w:tcPr>
          <w:p w14:paraId="2B4CADD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Projekta izpildes ietekme uz pārvaldes funkcijām un institucionālo struktūru. </w:t>
            </w:r>
          </w:p>
          <w:p w14:paraId="37B6FCBC" w14:textId="77777777" w:rsidR="004D15A9" w:rsidRPr="00BC2633" w:rsidRDefault="004D15A9" w:rsidP="0042645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6D5EAC4F" w14:textId="1B56EFB7" w:rsidR="0099242F" w:rsidRDefault="001F5406" w:rsidP="0073730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Jaunas pirmās instances tiesas – Ekonomisko lietu tiesas </w:t>
            </w:r>
            <w:r w:rsidR="00E97C76">
              <w:rPr>
                <w:rFonts w:ascii="Times New Roman" w:eastAsia="Times New Roman" w:hAnsi="Times New Roman" w:cs="Times New Roman"/>
                <w:sz w:val="24"/>
                <w:szCs w:val="24"/>
                <w:lang w:eastAsia="lv-LV"/>
              </w:rPr>
              <w:t>iz</w:t>
            </w:r>
            <w:r>
              <w:rPr>
                <w:rFonts w:ascii="Times New Roman" w:eastAsia="Times New Roman" w:hAnsi="Times New Roman" w:cs="Times New Roman"/>
                <w:sz w:val="24"/>
                <w:szCs w:val="24"/>
                <w:lang w:eastAsia="lv-LV"/>
              </w:rPr>
              <w:t>veidošana.</w:t>
            </w:r>
          </w:p>
          <w:p w14:paraId="020A7F09" w14:textId="483C1072" w:rsidR="0099242F" w:rsidRPr="00BC2633" w:rsidRDefault="0099242F" w:rsidP="0073730D">
            <w:pPr>
              <w:spacing w:after="0" w:line="240" w:lineRule="auto"/>
              <w:jc w:val="both"/>
              <w:rPr>
                <w:rFonts w:ascii="Times New Roman" w:eastAsia="Times New Roman" w:hAnsi="Times New Roman" w:cs="Times New Roman"/>
                <w:sz w:val="24"/>
                <w:szCs w:val="24"/>
                <w:lang w:eastAsia="lv-LV"/>
              </w:rPr>
            </w:pPr>
          </w:p>
        </w:tc>
      </w:tr>
      <w:tr w:rsidR="004D15A9" w:rsidRPr="00BC2633" w14:paraId="20A26466" w14:textId="77777777" w:rsidTr="003803BC">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5BD54AC6" w14:textId="1AFBB80E" w:rsidR="004D15A9" w:rsidRPr="00BC2633" w:rsidRDefault="004D15A9" w:rsidP="0073730D">
            <w:pPr>
              <w:spacing w:after="0" w:line="240" w:lineRule="auto"/>
              <w:jc w:val="both"/>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Nav</w:t>
            </w:r>
            <w:r w:rsidR="007047F3">
              <w:rPr>
                <w:rFonts w:ascii="Times New Roman" w:eastAsia="Times New Roman" w:hAnsi="Times New Roman" w:cs="Times New Roman"/>
                <w:sz w:val="24"/>
                <w:szCs w:val="24"/>
                <w:lang w:eastAsia="lv-LV"/>
              </w:rPr>
              <w:t>.</w:t>
            </w:r>
          </w:p>
        </w:tc>
      </w:tr>
    </w:tbl>
    <w:p w14:paraId="235E8DB6" w14:textId="77777777" w:rsidR="00B424A5" w:rsidRDefault="00B424A5" w:rsidP="00DA596D">
      <w:pPr>
        <w:spacing w:after="0" w:line="240" w:lineRule="auto"/>
        <w:rPr>
          <w:rFonts w:ascii="Times New Roman" w:hAnsi="Times New Roman" w:cs="Times New Roman"/>
          <w:sz w:val="24"/>
          <w:szCs w:val="24"/>
        </w:rPr>
      </w:pPr>
    </w:p>
    <w:p w14:paraId="6C15C433" w14:textId="77777777" w:rsidR="005719DE" w:rsidRPr="005719DE" w:rsidRDefault="005719DE" w:rsidP="005719DE">
      <w:pPr>
        <w:pStyle w:val="StyleRight"/>
        <w:spacing w:after="0"/>
        <w:jc w:val="both"/>
        <w:rPr>
          <w:rFonts w:eastAsiaTheme="minorHAnsi"/>
          <w:sz w:val="24"/>
          <w:szCs w:val="24"/>
        </w:rPr>
      </w:pPr>
      <w:r w:rsidRPr="005719DE">
        <w:rPr>
          <w:rFonts w:eastAsiaTheme="minorHAnsi"/>
          <w:sz w:val="24"/>
          <w:szCs w:val="24"/>
        </w:rPr>
        <w:t xml:space="preserve"> </w:t>
      </w:r>
    </w:p>
    <w:p w14:paraId="1A14CC98" w14:textId="77777777" w:rsidR="005719DE" w:rsidRPr="005719DE" w:rsidRDefault="005719DE" w:rsidP="005719DE">
      <w:pPr>
        <w:pStyle w:val="StyleRight"/>
        <w:spacing w:after="0"/>
        <w:jc w:val="both"/>
        <w:rPr>
          <w:rFonts w:eastAsiaTheme="minorHAnsi"/>
          <w:sz w:val="24"/>
          <w:szCs w:val="24"/>
        </w:rPr>
      </w:pPr>
    </w:p>
    <w:p w14:paraId="0D5DB2B5" w14:textId="77777777" w:rsidR="00610B49" w:rsidRPr="00610B49" w:rsidRDefault="00610B49" w:rsidP="00610B49">
      <w:pPr>
        <w:pStyle w:val="StyleRight"/>
        <w:spacing w:after="0"/>
        <w:ind w:firstLine="0"/>
        <w:jc w:val="both"/>
        <w:rPr>
          <w:sz w:val="24"/>
          <w:szCs w:val="24"/>
        </w:rPr>
      </w:pPr>
      <w:r w:rsidRPr="00610B49">
        <w:rPr>
          <w:sz w:val="24"/>
          <w:szCs w:val="24"/>
        </w:rPr>
        <w:t>Iesniedzējs:</w:t>
      </w:r>
    </w:p>
    <w:p w14:paraId="2AD6EF98" w14:textId="5DF5C616" w:rsidR="004D15A9" w:rsidRDefault="00610B49" w:rsidP="00610B49">
      <w:pPr>
        <w:pStyle w:val="StyleRight"/>
        <w:spacing w:after="0"/>
        <w:ind w:firstLine="0"/>
        <w:jc w:val="both"/>
        <w:rPr>
          <w:sz w:val="24"/>
          <w:szCs w:val="24"/>
        </w:rPr>
      </w:pPr>
      <w:r w:rsidRPr="00610B49">
        <w:rPr>
          <w:sz w:val="24"/>
          <w:szCs w:val="24"/>
        </w:rPr>
        <w:t>tieslietu ministrs</w:t>
      </w:r>
      <w:r w:rsidRPr="00610B49">
        <w:rPr>
          <w:sz w:val="24"/>
          <w:szCs w:val="24"/>
        </w:rPr>
        <w:tab/>
      </w:r>
      <w:r w:rsidRPr="00610B49">
        <w:rPr>
          <w:sz w:val="24"/>
          <w:szCs w:val="24"/>
        </w:rPr>
        <w:tab/>
      </w:r>
      <w:r w:rsidRPr="00610B49">
        <w:rPr>
          <w:sz w:val="24"/>
          <w:szCs w:val="24"/>
        </w:rPr>
        <w:tab/>
      </w:r>
      <w:r w:rsidRPr="00610B49">
        <w:rPr>
          <w:sz w:val="24"/>
          <w:szCs w:val="24"/>
        </w:rPr>
        <w:tab/>
      </w:r>
      <w:r w:rsidRPr="00610B49">
        <w:rPr>
          <w:sz w:val="24"/>
          <w:szCs w:val="24"/>
        </w:rPr>
        <w:tab/>
      </w:r>
      <w:r w:rsidRPr="00610B49">
        <w:rPr>
          <w:sz w:val="24"/>
          <w:szCs w:val="24"/>
        </w:rPr>
        <w:tab/>
      </w:r>
      <w:r w:rsidRPr="00610B49">
        <w:rPr>
          <w:sz w:val="24"/>
          <w:szCs w:val="24"/>
        </w:rPr>
        <w:tab/>
      </w:r>
      <w:r w:rsidRPr="00610B49">
        <w:rPr>
          <w:sz w:val="24"/>
          <w:szCs w:val="24"/>
        </w:rPr>
        <w:tab/>
      </w:r>
      <w:r w:rsidR="002A5B2A">
        <w:rPr>
          <w:sz w:val="24"/>
          <w:szCs w:val="24"/>
        </w:rPr>
        <w:t xml:space="preserve">J. </w:t>
      </w:r>
      <w:proofErr w:type="spellStart"/>
      <w:r w:rsidR="00E50B43">
        <w:rPr>
          <w:sz w:val="24"/>
          <w:szCs w:val="24"/>
        </w:rPr>
        <w:t>Bordāns</w:t>
      </w:r>
      <w:proofErr w:type="spellEnd"/>
    </w:p>
    <w:p w14:paraId="63071606" w14:textId="77777777" w:rsidR="004D15A9" w:rsidRPr="00220682" w:rsidRDefault="004D15A9" w:rsidP="00DA596D">
      <w:pPr>
        <w:pStyle w:val="StyleRight"/>
        <w:spacing w:after="0"/>
        <w:ind w:firstLine="0"/>
        <w:jc w:val="both"/>
        <w:rPr>
          <w:sz w:val="22"/>
          <w:szCs w:val="22"/>
        </w:rPr>
      </w:pPr>
    </w:p>
    <w:p w14:paraId="21E4DA6B" w14:textId="77777777" w:rsidR="003A2A0B" w:rsidRPr="00220682" w:rsidRDefault="003A2A0B" w:rsidP="00DA596D">
      <w:pPr>
        <w:pStyle w:val="StyleRight"/>
        <w:spacing w:after="0"/>
        <w:ind w:firstLine="0"/>
        <w:jc w:val="both"/>
        <w:rPr>
          <w:sz w:val="22"/>
          <w:szCs w:val="22"/>
        </w:rPr>
      </w:pPr>
    </w:p>
    <w:p w14:paraId="639C0679" w14:textId="214A6ACE" w:rsidR="00BC2633" w:rsidRPr="00220682" w:rsidRDefault="00142C6D" w:rsidP="00BC2633">
      <w:pPr>
        <w:spacing w:after="0" w:line="240" w:lineRule="auto"/>
        <w:rPr>
          <w:rFonts w:ascii="Times New Roman" w:hAnsi="Times New Roman" w:cs="Times New Roman"/>
        </w:rPr>
      </w:pPr>
      <w:r>
        <w:rPr>
          <w:rFonts w:ascii="Times New Roman" w:hAnsi="Times New Roman" w:cs="Times New Roman"/>
        </w:rPr>
        <w:t>Š</w:t>
      </w:r>
      <w:r w:rsidR="00E50B43">
        <w:rPr>
          <w:rFonts w:ascii="Times New Roman" w:hAnsi="Times New Roman" w:cs="Times New Roman"/>
        </w:rPr>
        <w:t>lisere</w:t>
      </w:r>
      <w:r w:rsidR="00BC2633" w:rsidRPr="00220682">
        <w:rPr>
          <w:rFonts w:ascii="Times New Roman" w:hAnsi="Times New Roman" w:cs="Times New Roman"/>
        </w:rPr>
        <w:t xml:space="preserve"> 670368</w:t>
      </w:r>
      <w:r w:rsidR="00610B49">
        <w:rPr>
          <w:rFonts w:ascii="Times New Roman" w:hAnsi="Times New Roman" w:cs="Times New Roman"/>
        </w:rPr>
        <w:t>3</w:t>
      </w:r>
      <w:r w:rsidR="00E50B43">
        <w:rPr>
          <w:rFonts w:ascii="Times New Roman" w:hAnsi="Times New Roman" w:cs="Times New Roman"/>
        </w:rPr>
        <w:t>9</w:t>
      </w:r>
    </w:p>
    <w:p w14:paraId="73B1345C" w14:textId="5F0CAC49" w:rsidR="00BC2633" w:rsidRDefault="00486210" w:rsidP="00BC2633">
      <w:pPr>
        <w:spacing w:after="0" w:line="240" w:lineRule="auto"/>
        <w:rPr>
          <w:rFonts w:ascii="Times New Roman" w:hAnsi="Times New Roman" w:cs="Times New Roman"/>
        </w:rPr>
      </w:pPr>
      <w:hyperlink r:id="rId8" w:history="1">
        <w:r w:rsidR="00E50B43" w:rsidRPr="003025CE">
          <w:rPr>
            <w:rStyle w:val="Hipersaite"/>
            <w:rFonts w:ascii="Times New Roman" w:hAnsi="Times New Roman" w:cs="Times New Roman"/>
          </w:rPr>
          <w:t>Lelde.Slisere@tm.gov.lv</w:t>
        </w:r>
      </w:hyperlink>
    </w:p>
    <w:p w14:paraId="1E822777" w14:textId="043A4384" w:rsidR="00E50B43" w:rsidRDefault="00E50B43" w:rsidP="00BC2633">
      <w:pPr>
        <w:spacing w:after="0" w:line="240" w:lineRule="auto"/>
        <w:rPr>
          <w:rFonts w:ascii="Times New Roman" w:hAnsi="Times New Roman" w:cs="Times New Roman"/>
        </w:rPr>
      </w:pPr>
    </w:p>
    <w:p w14:paraId="4A3CCE02" w14:textId="7AAAEE1C" w:rsidR="00E50B43" w:rsidRDefault="00E50B43" w:rsidP="00BC2633">
      <w:pPr>
        <w:spacing w:after="0" w:line="240" w:lineRule="auto"/>
        <w:rPr>
          <w:rFonts w:ascii="Times New Roman" w:hAnsi="Times New Roman" w:cs="Times New Roman"/>
        </w:rPr>
      </w:pPr>
      <w:r>
        <w:rPr>
          <w:rFonts w:ascii="Times New Roman" w:hAnsi="Times New Roman" w:cs="Times New Roman"/>
        </w:rPr>
        <w:t>Miļevska 67036813</w:t>
      </w:r>
    </w:p>
    <w:p w14:paraId="0A7D9F03" w14:textId="58DE5307" w:rsidR="00E50B43" w:rsidRDefault="00486210" w:rsidP="00BC2633">
      <w:pPr>
        <w:spacing w:after="0" w:line="240" w:lineRule="auto"/>
        <w:rPr>
          <w:rFonts w:ascii="Times New Roman" w:hAnsi="Times New Roman" w:cs="Times New Roman"/>
        </w:rPr>
      </w:pPr>
      <w:hyperlink r:id="rId9" w:history="1">
        <w:r w:rsidR="00E50B43" w:rsidRPr="003025CE">
          <w:rPr>
            <w:rStyle w:val="Hipersaite"/>
            <w:rFonts w:ascii="Times New Roman" w:hAnsi="Times New Roman" w:cs="Times New Roman"/>
          </w:rPr>
          <w:t>Kristine.Milevska@tm.gov.lv</w:t>
        </w:r>
      </w:hyperlink>
    </w:p>
    <w:p w14:paraId="6D203476" w14:textId="77777777" w:rsidR="00E50B43" w:rsidRPr="00220682" w:rsidRDefault="00E50B43" w:rsidP="00BC2633">
      <w:pPr>
        <w:spacing w:after="0" w:line="240" w:lineRule="auto"/>
        <w:rPr>
          <w:rFonts w:ascii="Times New Roman" w:hAnsi="Times New Roman" w:cs="Times New Roman"/>
        </w:rPr>
      </w:pPr>
    </w:p>
    <w:p w14:paraId="5FC64CB4" w14:textId="103BC9AC" w:rsidR="004D15A9" w:rsidRDefault="004D15A9" w:rsidP="00610B49">
      <w:pPr>
        <w:spacing w:after="0" w:line="240" w:lineRule="auto"/>
        <w:rPr>
          <w:rFonts w:ascii="Times New Roman" w:hAnsi="Times New Roman" w:cs="Times New Roman"/>
          <w:color w:val="404040" w:themeColor="text1" w:themeTint="BF"/>
        </w:rPr>
      </w:pPr>
    </w:p>
    <w:p w14:paraId="24827D7D" w14:textId="77777777" w:rsidR="007C66CC" w:rsidRPr="00220682" w:rsidRDefault="007C66CC" w:rsidP="00DA596D">
      <w:pPr>
        <w:spacing w:after="0" w:line="240" w:lineRule="auto"/>
        <w:rPr>
          <w:rFonts w:ascii="Times New Roman" w:hAnsi="Times New Roman" w:cs="Times New Roman"/>
          <w:color w:val="404040" w:themeColor="text1" w:themeTint="BF"/>
        </w:rPr>
      </w:pPr>
    </w:p>
    <w:sectPr w:rsidR="007C66CC" w:rsidRPr="00220682" w:rsidSect="004D15A9">
      <w:headerReference w:type="default" r:id="rId10"/>
      <w:footerReference w:type="default" r:id="rId11"/>
      <w:footerReference w:type="first" r:id="rId12"/>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8A62A" w14:textId="77777777" w:rsidR="00C443A4" w:rsidRDefault="00C443A4" w:rsidP="004D15A9">
      <w:pPr>
        <w:spacing w:after="0" w:line="240" w:lineRule="auto"/>
      </w:pPr>
      <w:r>
        <w:separator/>
      </w:r>
    </w:p>
  </w:endnote>
  <w:endnote w:type="continuationSeparator" w:id="0">
    <w:p w14:paraId="2A82E3A7" w14:textId="77777777" w:rsidR="00C443A4" w:rsidRDefault="00C443A4"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089F3" w14:textId="77777777" w:rsidR="00A13CE6" w:rsidRDefault="00A13CE6" w:rsidP="0042645D">
    <w:pPr>
      <w:pStyle w:val="Kjene"/>
      <w:rPr>
        <w:rFonts w:ascii="Times New Roman" w:hAnsi="Times New Roman" w:cs="Times New Roman"/>
        <w:sz w:val="20"/>
        <w:szCs w:val="20"/>
      </w:rPr>
    </w:pPr>
  </w:p>
  <w:p w14:paraId="6A190106" w14:textId="74DB1F44" w:rsidR="00A13CE6" w:rsidRPr="0042645D" w:rsidRDefault="00A13CE6" w:rsidP="006C3827">
    <w:pPr>
      <w:pStyle w:val="Kjene"/>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Pr="00E50B43">
      <w:rPr>
        <w:rFonts w:ascii="Times New Roman" w:hAnsi="Times New Roman" w:cs="Times New Roman"/>
        <w:noProof/>
        <w:sz w:val="20"/>
        <w:szCs w:val="20"/>
      </w:rPr>
      <w:t>TMAnot_</w:t>
    </w:r>
    <w:r w:rsidR="005E5384">
      <w:rPr>
        <w:rFonts w:ascii="Times New Roman" w:hAnsi="Times New Roman" w:cs="Times New Roman"/>
        <w:noProof/>
        <w:sz w:val="20"/>
        <w:szCs w:val="20"/>
      </w:rPr>
      <w:t>23</w:t>
    </w:r>
    <w:r w:rsidR="003674FB">
      <w:rPr>
        <w:rFonts w:ascii="Times New Roman" w:hAnsi="Times New Roman" w:cs="Times New Roman"/>
        <w:noProof/>
        <w:sz w:val="20"/>
        <w:szCs w:val="20"/>
      </w:rPr>
      <w:t>09</w:t>
    </w:r>
    <w:r w:rsidR="003674FB" w:rsidRPr="00E50B43">
      <w:rPr>
        <w:rFonts w:ascii="Times New Roman" w:hAnsi="Times New Roman" w:cs="Times New Roman"/>
        <w:noProof/>
        <w:sz w:val="20"/>
        <w:szCs w:val="20"/>
      </w:rPr>
      <w:t>19</w:t>
    </w:r>
    <w:r w:rsidRPr="00E50B43">
      <w:rPr>
        <w:rFonts w:ascii="Times New Roman" w:hAnsi="Times New Roman" w:cs="Times New Roman"/>
        <w:noProof/>
        <w:sz w:val="20"/>
        <w:szCs w:val="20"/>
      </w:rPr>
      <w:t>_G_PTV</w:t>
    </w:r>
    <w:r w:rsidRPr="0042645D">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9" w:name="_Hlk524962404"/>
  <w:bookmarkStart w:id="10" w:name="_Hlk524962405"/>
  <w:bookmarkStart w:id="11" w:name="_Hlk524962423"/>
  <w:bookmarkStart w:id="12" w:name="_Hlk524962424"/>
  <w:p w14:paraId="0854F658" w14:textId="793AD0A2" w:rsidR="00A13CE6" w:rsidRPr="0042645D" w:rsidRDefault="00A13CE6" w:rsidP="0042645D">
    <w:pPr>
      <w:pStyle w:val="Kjene"/>
      <w:rPr>
        <w:rFonts w:ascii="Times New Roman" w:hAnsi="Times New Roman" w:cs="Times New Roman"/>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Pr>
        <w:rFonts w:ascii="Times New Roman" w:hAnsi="Times New Roman" w:cs="Times New Roman"/>
        <w:noProof/>
        <w:sz w:val="20"/>
        <w:szCs w:val="20"/>
      </w:rPr>
      <w:t>TMAnot_</w:t>
    </w:r>
    <w:r w:rsidR="005E5384">
      <w:rPr>
        <w:rFonts w:ascii="Times New Roman" w:hAnsi="Times New Roman" w:cs="Times New Roman"/>
        <w:noProof/>
        <w:sz w:val="20"/>
        <w:szCs w:val="20"/>
      </w:rPr>
      <w:t>23</w:t>
    </w:r>
    <w:r w:rsidR="003674FB">
      <w:rPr>
        <w:rFonts w:ascii="Times New Roman" w:hAnsi="Times New Roman" w:cs="Times New Roman"/>
        <w:noProof/>
        <w:sz w:val="20"/>
        <w:szCs w:val="20"/>
      </w:rPr>
      <w:t>0919</w:t>
    </w:r>
    <w:r>
      <w:rPr>
        <w:rFonts w:ascii="Times New Roman" w:hAnsi="Times New Roman" w:cs="Times New Roman"/>
        <w:noProof/>
        <w:sz w:val="20"/>
        <w:szCs w:val="20"/>
      </w:rPr>
      <w:t>_G_PTV</w:t>
    </w:r>
    <w:r w:rsidRPr="0042645D">
      <w:rPr>
        <w:rFonts w:ascii="Times New Roman" w:hAnsi="Times New Roman" w:cs="Times New Roman"/>
        <w:sz w:val="20"/>
        <w:szCs w:val="20"/>
      </w:rPr>
      <w:fldChar w:fldCharType="end"/>
    </w:r>
    <w:bookmarkEnd w:id="9"/>
    <w:bookmarkEnd w:id="10"/>
    <w:bookmarkEnd w:id="11"/>
    <w:bookmarkEnd w:id="12"/>
    <w:r w:rsidRPr="0042645D">
      <w:rPr>
        <w:rFonts w:ascii="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57F07" w14:textId="77777777" w:rsidR="00C443A4" w:rsidRDefault="00C443A4" w:rsidP="004D15A9">
      <w:pPr>
        <w:spacing w:after="0" w:line="240" w:lineRule="auto"/>
      </w:pPr>
      <w:r>
        <w:separator/>
      </w:r>
    </w:p>
  </w:footnote>
  <w:footnote w:type="continuationSeparator" w:id="0">
    <w:p w14:paraId="52A3FC12" w14:textId="77777777" w:rsidR="00C443A4" w:rsidRDefault="00C443A4"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rFonts w:ascii="Times New Roman" w:hAnsi="Times New Roman" w:cs="Times New Roman"/>
        <w:sz w:val="24"/>
        <w:szCs w:val="24"/>
      </w:rPr>
    </w:sdtEndPr>
    <w:sdtContent>
      <w:p w14:paraId="3D63889F" w14:textId="7964063A" w:rsidR="00A13CE6" w:rsidRPr="004D15A9" w:rsidRDefault="00A13CE6">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Pr>
            <w:rFonts w:ascii="Times New Roman" w:hAnsi="Times New Roman" w:cs="Times New Roman"/>
            <w:noProof/>
            <w:sz w:val="24"/>
            <w:szCs w:val="24"/>
          </w:rPr>
          <w:t>7</w:t>
        </w:r>
        <w:r w:rsidRPr="004D15A9">
          <w:rPr>
            <w:rFonts w:ascii="Times New Roman" w:hAnsi="Times New Roman" w:cs="Times New Roman"/>
            <w:sz w:val="24"/>
            <w:szCs w:val="24"/>
          </w:rPr>
          <w:fldChar w:fldCharType="end"/>
        </w:r>
      </w:p>
    </w:sdtContent>
  </w:sdt>
  <w:p w14:paraId="2E7D154D" w14:textId="77777777" w:rsidR="00A13CE6" w:rsidRDefault="00A13CE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6FF"/>
    <w:multiLevelType w:val="hybridMultilevel"/>
    <w:tmpl w:val="2C2AC9F8"/>
    <w:lvl w:ilvl="0" w:tplc="0BBA40D2">
      <w:start w:val="1"/>
      <w:numFmt w:val="decimal"/>
      <w:lvlText w:val="%1."/>
      <w:lvlJc w:val="left"/>
      <w:pPr>
        <w:ind w:left="635" w:hanging="360"/>
      </w:pPr>
      <w:rPr>
        <w:rFonts w:hint="default"/>
        <w:color w:val="000000" w:themeColor="text1"/>
      </w:rPr>
    </w:lvl>
    <w:lvl w:ilvl="1" w:tplc="04260019" w:tentative="1">
      <w:start w:val="1"/>
      <w:numFmt w:val="lowerLetter"/>
      <w:lvlText w:val="%2."/>
      <w:lvlJc w:val="left"/>
      <w:pPr>
        <w:ind w:left="1355" w:hanging="360"/>
      </w:pPr>
    </w:lvl>
    <w:lvl w:ilvl="2" w:tplc="0426001B" w:tentative="1">
      <w:start w:val="1"/>
      <w:numFmt w:val="lowerRoman"/>
      <w:lvlText w:val="%3."/>
      <w:lvlJc w:val="right"/>
      <w:pPr>
        <w:ind w:left="2075" w:hanging="180"/>
      </w:pPr>
    </w:lvl>
    <w:lvl w:ilvl="3" w:tplc="0426000F" w:tentative="1">
      <w:start w:val="1"/>
      <w:numFmt w:val="decimal"/>
      <w:lvlText w:val="%4."/>
      <w:lvlJc w:val="left"/>
      <w:pPr>
        <w:ind w:left="2795" w:hanging="360"/>
      </w:pPr>
    </w:lvl>
    <w:lvl w:ilvl="4" w:tplc="04260019" w:tentative="1">
      <w:start w:val="1"/>
      <w:numFmt w:val="lowerLetter"/>
      <w:lvlText w:val="%5."/>
      <w:lvlJc w:val="left"/>
      <w:pPr>
        <w:ind w:left="3515" w:hanging="360"/>
      </w:pPr>
    </w:lvl>
    <w:lvl w:ilvl="5" w:tplc="0426001B" w:tentative="1">
      <w:start w:val="1"/>
      <w:numFmt w:val="lowerRoman"/>
      <w:lvlText w:val="%6."/>
      <w:lvlJc w:val="right"/>
      <w:pPr>
        <w:ind w:left="4235" w:hanging="180"/>
      </w:pPr>
    </w:lvl>
    <w:lvl w:ilvl="6" w:tplc="0426000F" w:tentative="1">
      <w:start w:val="1"/>
      <w:numFmt w:val="decimal"/>
      <w:lvlText w:val="%7."/>
      <w:lvlJc w:val="left"/>
      <w:pPr>
        <w:ind w:left="4955" w:hanging="360"/>
      </w:pPr>
    </w:lvl>
    <w:lvl w:ilvl="7" w:tplc="04260019" w:tentative="1">
      <w:start w:val="1"/>
      <w:numFmt w:val="lowerLetter"/>
      <w:lvlText w:val="%8."/>
      <w:lvlJc w:val="left"/>
      <w:pPr>
        <w:ind w:left="5675" w:hanging="360"/>
      </w:pPr>
    </w:lvl>
    <w:lvl w:ilvl="8" w:tplc="0426001B" w:tentative="1">
      <w:start w:val="1"/>
      <w:numFmt w:val="lowerRoman"/>
      <w:lvlText w:val="%9."/>
      <w:lvlJc w:val="right"/>
      <w:pPr>
        <w:ind w:left="6395" w:hanging="180"/>
      </w:pPr>
    </w:lvl>
  </w:abstractNum>
  <w:abstractNum w:abstractNumId="1" w15:restartNumberingAfterBreak="0">
    <w:nsid w:val="450D3787"/>
    <w:multiLevelType w:val="hybridMultilevel"/>
    <w:tmpl w:val="B08EC6D8"/>
    <w:lvl w:ilvl="0" w:tplc="2C621644">
      <w:start w:val="1"/>
      <w:numFmt w:val="decimal"/>
      <w:lvlText w:val="%1."/>
      <w:lvlJc w:val="left"/>
      <w:pPr>
        <w:ind w:left="720" w:hanging="360"/>
      </w:pPr>
      <w:rPr>
        <w:rFonts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6CE19CE"/>
    <w:multiLevelType w:val="hybridMultilevel"/>
    <w:tmpl w:val="4F747002"/>
    <w:lvl w:ilvl="0" w:tplc="87E8653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0131FE8"/>
    <w:multiLevelType w:val="hybridMultilevel"/>
    <w:tmpl w:val="BC0485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AFC193A"/>
    <w:multiLevelType w:val="hybridMultilevel"/>
    <w:tmpl w:val="9B2A1814"/>
    <w:lvl w:ilvl="0" w:tplc="CDD8855C">
      <w:start w:val="1"/>
      <w:numFmt w:val="decimal"/>
      <w:lvlText w:val="%1."/>
      <w:lvlJc w:val="left"/>
      <w:pPr>
        <w:ind w:left="1069" w:hanging="360"/>
      </w:pPr>
      <w:rPr>
        <w:rFonts w:eastAsia="Times New Roman"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71075836"/>
    <w:multiLevelType w:val="hybridMultilevel"/>
    <w:tmpl w:val="C6625328"/>
    <w:lvl w:ilvl="0" w:tplc="6CBABD7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20D2012"/>
    <w:multiLevelType w:val="hybridMultilevel"/>
    <w:tmpl w:val="E8BE76A4"/>
    <w:lvl w:ilvl="0" w:tplc="2E863D66">
      <w:start w:val="1"/>
      <w:numFmt w:val="decimal"/>
      <w:lvlText w:val="%1."/>
      <w:lvlJc w:val="left"/>
      <w:pPr>
        <w:ind w:left="635" w:hanging="360"/>
      </w:pPr>
      <w:rPr>
        <w:rFonts w:eastAsia="Times New Roman" w:hint="default"/>
        <w:color w:val="000000" w:themeColor="text1"/>
      </w:rPr>
    </w:lvl>
    <w:lvl w:ilvl="1" w:tplc="04260019" w:tentative="1">
      <w:start w:val="1"/>
      <w:numFmt w:val="lowerLetter"/>
      <w:lvlText w:val="%2."/>
      <w:lvlJc w:val="left"/>
      <w:pPr>
        <w:ind w:left="1355" w:hanging="360"/>
      </w:pPr>
    </w:lvl>
    <w:lvl w:ilvl="2" w:tplc="0426001B" w:tentative="1">
      <w:start w:val="1"/>
      <w:numFmt w:val="lowerRoman"/>
      <w:lvlText w:val="%3."/>
      <w:lvlJc w:val="right"/>
      <w:pPr>
        <w:ind w:left="2075" w:hanging="180"/>
      </w:pPr>
    </w:lvl>
    <w:lvl w:ilvl="3" w:tplc="0426000F" w:tentative="1">
      <w:start w:val="1"/>
      <w:numFmt w:val="decimal"/>
      <w:lvlText w:val="%4."/>
      <w:lvlJc w:val="left"/>
      <w:pPr>
        <w:ind w:left="2795" w:hanging="360"/>
      </w:pPr>
    </w:lvl>
    <w:lvl w:ilvl="4" w:tplc="04260019" w:tentative="1">
      <w:start w:val="1"/>
      <w:numFmt w:val="lowerLetter"/>
      <w:lvlText w:val="%5."/>
      <w:lvlJc w:val="left"/>
      <w:pPr>
        <w:ind w:left="3515" w:hanging="360"/>
      </w:pPr>
    </w:lvl>
    <w:lvl w:ilvl="5" w:tplc="0426001B" w:tentative="1">
      <w:start w:val="1"/>
      <w:numFmt w:val="lowerRoman"/>
      <w:lvlText w:val="%6."/>
      <w:lvlJc w:val="right"/>
      <w:pPr>
        <w:ind w:left="4235" w:hanging="180"/>
      </w:pPr>
    </w:lvl>
    <w:lvl w:ilvl="6" w:tplc="0426000F" w:tentative="1">
      <w:start w:val="1"/>
      <w:numFmt w:val="decimal"/>
      <w:lvlText w:val="%7."/>
      <w:lvlJc w:val="left"/>
      <w:pPr>
        <w:ind w:left="4955" w:hanging="360"/>
      </w:pPr>
    </w:lvl>
    <w:lvl w:ilvl="7" w:tplc="04260019" w:tentative="1">
      <w:start w:val="1"/>
      <w:numFmt w:val="lowerLetter"/>
      <w:lvlText w:val="%8."/>
      <w:lvlJc w:val="left"/>
      <w:pPr>
        <w:ind w:left="5675" w:hanging="360"/>
      </w:pPr>
    </w:lvl>
    <w:lvl w:ilvl="8" w:tplc="0426001B" w:tentative="1">
      <w:start w:val="1"/>
      <w:numFmt w:val="lowerRoman"/>
      <w:lvlText w:val="%9."/>
      <w:lvlJc w:val="right"/>
      <w:pPr>
        <w:ind w:left="6395" w:hanging="180"/>
      </w:pPr>
    </w:lvl>
  </w:abstractNum>
  <w:num w:numId="1">
    <w:abstractNumId w:val="4"/>
  </w:num>
  <w:num w:numId="2">
    <w:abstractNumId w:val="3"/>
  </w:num>
  <w:num w:numId="3">
    <w:abstractNumId w:val="6"/>
  </w:num>
  <w:num w:numId="4">
    <w:abstractNumId w:val="7"/>
  </w:num>
  <w:num w:numId="5">
    <w:abstractNumId w:val="1"/>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lv-LV" w:vendorID="71" w:dllVersion="512" w:checkStyle="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2806"/>
    <w:rsid w:val="00005F1C"/>
    <w:rsid w:val="000229C7"/>
    <w:rsid w:val="00026CD8"/>
    <w:rsid w:val="0003106A"/>
    <w:rsid w:val="00031256"/>
    <w:rsid w:val="0006053F"/>
    <w:rsid w:val="00061B56"/>
    <w:rsid w:val="00071FA0"/>
    <w:rsid w:val="00075813"/>
    <w:rsid w:val="00084207"/>
    <w:rsid w:val="000853CF"/>
    <w:rsid w:val="00085EDC"/>
    <w:rsid w:val="00091FFD"/>
    <w:rsid w:val="000A4C65"/>
    <w:rsid w:val="000B2CB7"/>
    <w:rsid w:val="000B7282"/>
    <w:rsid w:val="000D52B6"/>
    <w:rsid w:val="000E3461"/>
    <w:rsid w:val="000E42FD"/>
    <w:rsid w:val="000F0436"/>
    <w:rsid w:val="000F665D"/>
    <w:rsid w:val="00101CD5"/>
    <w:rsid w:val="00106594"/>
    <w:rsid w:val="00120AC9"/>
    <w:rsid w:val="0013140B"/>
    <w:rsid w:val="00131BCD"/>
    <w:rsid w:val="00133773"/>
    <w:rsid w:val="00133E57"/>
    <w:rsid w:val="00136AC0"/>
    <w:rsid w:val="00142C6D"/>
    <w:rsid w:val="00152FD4"/>
    <w:rsid w:val="001663F1"/>
    <w:rsid w:val="0016658D"/>
    <w:rsid w:val="001C5969"/>
    <w:rsid w:val="001E7877"/>
    <w:rsid w:val="001F5406"/>
    <w:rsid w:val="001F68D7"/>
    <w:rsid w:val="002047A9"/>
    <w:rsid w:val="00220682"/>
    <w:rsid w:val="002342F0"/>
    <w:rsid w:val="002379E2"/>
    <w:rsid w:val="00242964"/>
    <w:rsid w:val="002457F7"/>
    <w:rsid w:val="00250C28"/>
    <w:rsid w:val="00251998"/>
    <w:rsid w:val="00264A5A"/>
    <w:rsid w:val="0027477F"/>
    <w:rsid w:val="00281515"/>
    <w:rsid w:val="00296C72"/>
    <w:rsid w:val="002A5B2A"/>
    <w:rsid w:val="002B3ADC"/>
    <w:rsid w:val="002D43A1"/>
    <w:rsid w:val="002D7BB2"/>
    <w:rsid w:val="002F2C80"/>
    <w:rsid w:val="002F3504"/>
    <w:rsid w:val="002F4EC5"/>
    <w:rsid w:val="0030382F"/>
    <w:rsid w:val="00305EC9"/>
    <w:rsid w:val="00311C5C"/>
    <w:rsid w:val="00312E51"/>
    <w:rsid w:val="0031637D"/>
    <w:rsid w:val="00320185"/>
    <w:rsid w:val="00356F63"/>
    <w:rsid w:val="003674FB"/>
    <w:rsid w:val="0036751A"/>
    <w:rsid w:val="00367C63"/>
    <w:rsid w:val="003803BC"/>
    <w:rsid w:val="00384EDA"/>
    <w:rsid w:val="003922B0"/>
    <w:rsid w:val="003A2A0B"/>
    <w:rsid w:val="003A5726"/>
    <w:rsid w:val="003A6338"/>
    <w:rsid w:val="003E1648"/>
    <w:rsid w:val="003F3244"/>
    <w:rsid w:val="003F7D5C"/>
    <w:rsid w:val="004022D2"/>
    <w:rsid w:val="00424163"/>
    <w:rsid w:val="0042645D"/>
    <w:rsid w:val="0043541A"/>
    <w:rsid w:val="0044330D"/>
    <w:rsid w:val="00453CCC"/>
    <w:rsid w:val="00461275"/>
    <w:rsid w:val="00463769"/>
    <w:rsid w:val="00483493"/>
    <w:rsid w:val="00484760"/>
    <w:rsid w:val="00486210"/>
    <w:rsid w:val="00491357"/>
    <w:rsid w:val="00492985"/>
    <w:rsid w:val="0049344E"/>
    <w:rsid w:val="00494D84"/>
    <w:rsid w:val="004A21B4"/>
    <w:rsid w:val="004C0D3E"/>
    <w:rsid w:val="004C3B12"/>
    <w:rsid w:val="004C4875"/>
    <w:rsid w:val="004D15A9"/>
    <w:rsid w:val="004D6115"/>
    <w:rsid w:val="004D6838"/>
    <w:rsid w:val="004F3A25"/>
    <w:rsid w:val="00504BE1"/>
    <w:rsid w:val="00515CEE"/>
    <w:rsid w:val="0052033D"/>
    <w:rsid w:val="005232D3"/>
    <w:rsid w:val="00523451"/>
    <w:rsid w:val="00545A23"/>
    <w:rsid w:val="00555F45"/>
    <w:rsid w:val="0056459F"/>
    <w:rsid w:val="005719DE"/>
    <w:rsid w:val="00571F4C"/>
    <w:rsid w:val="00572D69"/>
    <w:rsid w:val="00587A72"/>
    <w:rsid w:val="0059057E"/>
    <w:rsid w:val="005C0266"/>
    <w:rsid w:val="005C2DDA"/>
    <w:rsid w:val="005C6B7F"/>
    <w:rsid w:val="005C7139"/>
    <w:rsid w:val="005D46F2"/>
    <w:rsid w:val="005D4E8A"/>
    <w:rsid w:val="005E3C32"/>
    <w:rsid w:val="005E5384"/>
    <w:rsid w:val="00610B49"/>
    <w:rsid w:val="00612A92"/>
    <w:rsid w:val="0061337F"/>
    <w:rsid w:val="00623574"/>
    <w:rsid w:val="00633CB1"/>
    <w:rsid w:val="006436A1"/>
    <w:rsid w:val="00654C98"/>
    <w:rsid w:val="0066248F"/>
    <w:rsid w:val="006641E1"/>
    <w:rsid w:val="00676236"/>
    <w:rsid w:val="00676EB0"/>
    <w:rsid w:val="00684208"/>
    <w:rsid w:val="00696656"/>
    <w:rsid w:val="006A41F4"/>
    <w:rsid w:val="006C3827"/>
    <w:rsid w:val="006C4297"/>
    <w:rsid w:val="006E07A1"/>
    <w:rsid w:val="0070102C"/>
    <w:rsid w:val="007047F3"/>
    <w:rsid w:val="007073FE"/>
    <w:rsid w:val="0071597B"/>
    <w:rsid w:val="0073730D"/>
    <w:rsid w:val="007411FA"/>
    <w:rsid w:val="0074572A"/>
    <w:rsid w:val="0077589F"/>
    <w:rsid w:val="00794B59"/>
    <w:rsid w:val="007951F9"/>
    <w:rsid w:val="00795375"/>
    <w:rsid w:val="007A6DF5"/>
    <w:rsid w:val="007C66CC"/>
    <w:rsid w:val="007C76FD"/>
    <w:rsid w:val="007D31CC"/>
    <w:rsid w:val="007D44EF"/>
    <w:rsid w:val="007E2C43"/>
    <w:rsid w:val="007E3924"/>
    <w:rsid w:val="00810E09"/>
    <w:rsid w:val="0081203F"/>
    <w:rsid w:val="008220AE"/>
    <w:rsid w:val="00827A15"/>
    <w:rsid w:val="00841836"/>
    <w:rsid w:val="0084558F"/>
    <w:rsid w:val="00863EA6"/>
    <w:rsid w:val="0086545E"/>
    <w:rsid w:val="008711B8"/>
    <w:rsid w:val="008826E9"/>
    <w:rsid w:val="008B32AA"/>
    <w:rsid w:val="008B67E4"/>
    <w:rsid w:val="008C4C08"/>
    <w:rsid w:val="008D5E8D"/>
    <w:rsid w:val="008E3C68"/>
    <w:rsid w:val="008E4E93"/>
    <w:rsid w:val="008E54F9"/>
    <w:rsid w:val="008E78B2"/>
    <w:rsid w:val="008E7B14"/>
    <w:rsid w:val="008F1335"/>
    <w:rsid w:val="008F6C20"/>
    <w:rsid w:val="009160CE"/>
    <w:rsid w:val="00926383"/>
    <w:rsid w:val="00941557"/>
    <w:rsid w:val="009520C9"/>
    <w:rsid w:val="00964EA7"/>
    <w:rsid w:val="00967CC8"/>
    <w:rsid w:val="00970003"/>
    <w:rsid w:val="0097690A"/>
    <w:rsid w:val="0099242F"/>
    <w:rsid w:val="00997954"/>
    <w:rsid w:val="009A5E0F"/>
    <w:rsid w:val="009A709C"/>
    <w:rsid w:val="009A7FE1"/>
    <w:rsid w:val="009E4BF8"/>
    <w:rsid w:val="009F138F"/>
    <w:rsid w:val="00A005F6"/>
    <w:rsid w:val="00A011EC"/>
    <w:rsid w:val="00A13CE6"/>
    <w:rsid w:val="00A1552F"/>
    <w:rsid w:val="00A16001"/>
    <w:rsid w:val="00A17BF7"/>
    <w:rsid w:val="00A33F72"/>
    <w:rsid w:val="00A34B99"/>
    <w:rsid w:val="00A5099B"/>
    <w:rsid w:val="00A668D6"/>
    <w:rsid w:val="00A72462"/>
    <w:rsid w:val="00A740E1"/>
    <w:rsid w:val="00A848F1"/>
    <w:rsid w:val="00A96C4D"/>
    <w:rsid w:val="00AB6562"/>
    <w:rsid w:val="00AB6D5A"/>
    <w:rsid w:val="00AC637A"/>
    <w:rsid w:val="00AF496F"/>
    <w:rsid w:val="00AF63A8"/>
    <w:rsid w:val="00B171D9"/>
    <w:rsid w:val="00B204BD"/>
    <w:rsid w:val="00B33973"/>
    <w:rsid w:val="00B424A5"/>
    <w:rsid w:val="00B74889"/>
    <w:rsid w:val="00B81C6E"/>
    <w:rsid w:val="00B83C87"/>
    <w:rsid w:val="00BB1F46"/>
    <w:rsid w:val="00BB65A5"/>
    <w:rsid w:val="00BC2633"/>
    <w:rsid w:val="00BC658A"/>
    <w:rsid w:val="00BC7948"/>
    <w:rsid w:val="00BD03A6"/>
    <w:rsid w:val="00BF2B3F"/>
    <w:rsid w:val="00BF327D"/>
    <w:rsid w:val="00BF3A34"/>
    <w:rsid w:val="00C11A96"/>
    <w:rsid w:val="00C443A4"/>
    <w:rsid w:val="00C47EAB"/>
    <w:rsid w:val="00C505FE"/>
    <w:rsid w:val="00C5221B"/>
    <w:rsid w:val="00C6273E"/>
    <w:rsid w:val="00C736C8"/>
    <w:rsid w:val="00CC02BE"/>
    <w:rsid w:val="00CC289D"/>
    <w:rsid w:val="00CC7C9D"/>
    <w:rsid w:val="00CE129B"/>
    <w:rsid w:val="00D01B06"/>
    <w:rsid w:val="00D1107A"/>
    <w:rsid w:val="00D14A11"/>
    <w:rsid w:val="00D313D5"/>
    <w:rsid w:val="00D34BCC"/>
    <w:rsid w:val="00D36918"/>
    <w:rsid w:val="00D77571"/>
    <w:rsid w:val="00D864D7"/>
    <w:rsid w:val="00D873AF"/>
    <w:rsid w:val="00DA1E44"/>
    <w:rsid w:val="00DA326E"/>
    <w:rsid w:val="00DA52AC"/>
    <w:rsid w:val="00DA596D"/>
    <w:rsid w:val="00DE2714"/>
    <w:rsid w:val="00DE78C6"/>
    <w:rsid w:val="00DF2149"/>
    <w:rsid w:val="00E003C6"/>
    <w:rsid w:val="00E2784F"/>
    <w:rsid w:val="00E32863"/>
    <w:rsid w:val="00E34FCE"/>
    <w:rsid w:val="00E43CBE"/>
    <w:rsid w:val="00E44C94"/>
    <w:rsid w:val="00E45ECD"/>
    <w:rsid w:val="00E50B43"/>
    <w:rsid w:val="00E557CC"/>
    <w:rsid w:val="00E5586E"/>
    <w:rsid w:val="00E55CB2"/>
    <w:rsid w:val="00E56878"/>
    <w:rsid w:val="00E81661"/>
    <w:rsid w:val="00E846FC"/>
    <w:rsid w:val="00E9181C"/>
    <w:rsid w:val="00E963A2"/>
    <w:rsid w:val="00E97C76"/>
    <w:rsid w:val="00EB4830"/>
    <w:rsid w:val="00ED1033"/>
    <w:rsid w:val="00ED50F3"/>
    <w:rsid w:val="00ED573E"/>
    <w:rsid w:val="00EE3E7C"/>
    <w:rsid w:val="00EE7ED9"/>
    <w:rsid w:val="00EF3D0A"/>
    <w:rsid w:val="00EF5863"/>
    <w:rsid w:val="00F41EF2"/>
    <w:rsid w:val="00F44CDA"/>
    <w:rsid w:val="00F7059C"/>
    <w:rsid w:val="00F752B6"/>
    <w:rsid w:val="00F82B77"/>
    <w:rsid w:val="00F878DE"/>
    <w:rsid w:val="00F91583"/>
    <w:rsid w:val="00F9616A"/>
    <w:rsid w:val="00FA377F"/>
    <w:rsid w:val="00FB2959"/>
    <w:rsid w:val="00FB5FA4"/>
    <w:rsid w:val="00FC27FD"/>
    <w:rsid w:val="00FD26F9"/>
    <w:rsid w:val="00FD3830"/>
    <w:rsid w:val="00FE0A1F"/>
    <w:rsid w:val="00FE15DD"/>
    <w:rsid w:val="00FF3ED4"/>
    <w:rsid w:val="00FF4A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042E54"/>
  <w15:docId w15:val="{787610A6-9714-43C3-A9A8-8E6F8315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semiHidden/>
    <w:unhideWhenUsed/>
    <w:rsid w:val="008E78B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paragraph" w:styleId="Vresteksts">
    <w:name w:val="footnote text"/>
    <w:basedOn w:val="Parasts"/>
    <w:link w:val="VrestekstsRakstz"/>
    <w:uiPriority w:val="99"/>
    <w:semiHidden/>
    <w:unhideWhenUsed/>
    <w:rsid w:val="00FF4A4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F4A43"/>
    <w:rPr>
      <w:sz w:val="20"/>
      <w:szCs w:val="20"/>
    </w:rPr>
  </w:style>
  <w:style w:type="character" w:styleId="Vresatsauce">
    <w:name w:val="footnote reference"/>
    <w:aliases w:val="Footnotes refss,Fussnota,Footnote symbol,Footnote reference number,Times 10 Point,Exposant 3 Point,EN Footnote Reference,note TESI,Footnote,Footnote Reference Superscript"/>
    <w:basedOn w:val="Noklusjumarindkopasfonts"/>
    <w:uiPriority w:val="99"/>
    <w:unhideWhenUsed/>
    <w:rsid w:val="00FF4A43"/>
    <w:rPr>
      <w:vertAlign w:val="superscript"/>
    </w:rPr>
  </w:style>
  <w:style w:type="character" w:styleId="Neatrisintapieminana">
    <w:name w:val="Unresolved Mention"/>
    <w:basedOn w:val="Noklusjumarindkopasfonts"/>
    <w:uiPriority w:val="99"/>
    <w:semiHidden/>
    <w:unhideWhenUsed/>
    <w:rsid w:val="00C52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71106">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136923053">
      <w:bodyDiv w:val="1"/>
      <w:marLeft w:val="0"/>
      <w:marRight w:val="0"/>
      <w:marTop w:val="0"/>
      <w:marBottom w:val="0"/>
      <w:divBdr>
        <w:top w:val="none" w:sz="0" w:space="0" w:color="auto"/>
        <w:left w:val="none" w:sz="0" w:space="0" w:color="auto"/>
        <w:bottom w:val="none" w:sz="0" w:space="0" w:color="auto"/>
        <w:right w:val="none" w:sz="0" w:space="0" w:color="auto"/>
      </w:divBdr>
    </w:div>
    <w:div w:id="228735995">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585113666">
                      <w:marLeft w:val="0"/>
                      <w:marRight w:val="0"/>
                      <w:marTop w:val="240"/>
                      <w:marBottom w:val="0"/>
                      <w:divBdr>
                        <w:top w:val="none" w:sz="0" w:space="0" w:color="auto"/>
                        <w:left w:val="none" w:sz="0" w:space="0" w:color="auto"/>
                        <w:bottom w:val="none" w:sz="0" w:space="0" w:color="auto"/>
                        <w:right w:val="none" w:sz="0" w:space="0" w:color="auto"/>
                      </w:divBdr>
                    </w:div>
                    <w:div w:id="1071998771">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 w:id="406615472">
      <w:bodyDiv w:val="1"/>
      <w:marLeft w:val="0"/>
      <w:marRight w:val="0"/>
      <w:marTop w:val="0"/>
      <w:marBottom w:val="0"/>
      <w:divBdr>
        <w:top w:val="none" w:sz="0" w:space="0" w:color="auto"/>
        <w:left w:val="none" w:sz="0" w:space="0" w:color="auto"/>
        <w:bottom w:val="none" w:sz="0" w:space="0" w:color="auto"/>
        <w:right w:val="none" w:sz="0" w:space="0" w:color="auto"/>
      </w:divBdr>
    </w:div>
    <w:div w:id="887496359">
      <w:bodyDiv w:val="1"/>
      <w:marLeft w:val="0"/>
      <w:marRight w:val="0"/>
      <w:marTop w:val="0"/>
      <w:marBottom w:val="0"/>
      <w:divBdr>
        <w:top w:val="none" w:sz="0" w:space="0" w:color="auto"/>
        <w:left w:val="none" w:sz="0" w:space="0" w:color="auto"/>
        <w:bottom w:val="none" w:sz="0" w:space="0" w:color="auto"/>
        <w:right w:val="none" w:sz="0" w:space="0" w:color="auto"/>
      </w:divBdr>
    </w:div>
    <w:div w:id="1257053291">
      <w:bodyDiv w:val="1"/>
      <w:marLeft w:val="0"/>
      <w:marRight w:val="0"/>
      <w:marTop w:val="0"/>
      <w:marBottom w:val="0"/>
      <w:divBdr>
        <w:top w:val="none" w:sz="0" w:space="0" w:color="auto"/>
        <w:left w:val="none" w:sz="0" w:space="0" w:color="auto"/>
        <w:bottom w:val="none" w:sz="0" w:space="0" w:color="auto"/>
        <w:right w:val="none" w:sz="0" w:space="0" w:color="auto"/>
      </w:divBdr>
    </w:div>
    <w:div w:id="1990285051">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lde.Slisere@t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istine.Milevska@tm.gov.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6D096-6978-4FBB-84AB-67EBA3C97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14221</Words>
  <Characters>8107</Characters>
  <Application>Microsoft Office Word</Application>
  <DocSecurity>4</DocSecurity>
  <Lines>67</Lines>
  <Paragraphs>44</Paragraphs>
  <ScaleCrop>false</ScaleCrop>
  <HeadingPairs>
    <vt:vector size="2" baseType="variant">
      <vt:variant>
        <vt:lpstr>Nosaukums</vt:lpstr>
      </vt:variant>
      <vt:variant>
        <vt:i4>1</vt:i4>
      </vt:variant>
    </vt:vector>
  </HeadingPairs>
  <TitlesOfParts>
    <vt:vector size="1" baseType="lpstr">
      <vt:lpstr>Likumprojekta "Grozījumi likumā "Par tiesu varu"" sākotnējās ietekmes novērtējuma ziņojums (anotācija)</vt:lpstr>
    </vt:vector>
  </TitlesOfParts>
  <Company>Tieslietu ministrija</Company>
  <LinksUpToDate>false</LinksUpToDate>
  <CharactersWithSpaces>22284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likumā "Par tiesu varu"" sākotnējās ietekmes novērtējuma ziņojums (anotācija)</dc:title>
  <dc:subject>Anotācija</dc:subject>
  <dc:creator>Lelde Šlisere;Kristine.Milevska@TM.GOV.LV</dc:creator>
  <cp:keywords/>
  <dc:description/>
  <cp:lastModifiedBy>Kristīne Miļevska</cp:lastModifiedBy>
  <cp:revision>2</cp:revision>
  <cp:lastPrinted>2018-10-17T09:16:00Z</cp:lastPrinted>
  <dcterms:created xsi:type="dcterms:W3CDTF">2019-09-24T05:54:00Z</dcterms:created>
  <dcterms:modified xsi:type="dcterms:W3CDTF">2019-09-24T05:54:00Z</dcterms:modified>
</cp:coreProperties>
</file>