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66112" w14:textId="35FA96FF" w:rsidR="00BD5588" w:rsidRPr="00C971CE" w:rsidRDefault="002C540B" w:rsidP="00BD5588">
      <w:pPr>
        <w:shd w:val="clear" w:color="auto" w:fill="FFFFFF"/>
        <w:spacing w:before="130" w:line="260" w:lineRule="exact"/>
        <w:jc w:val="center"/>
        <w:rPr>
          <w:b/>
          <w:bCs/>
          <w:sz w:val="22"/>
          <w:szCs w:val="22"/>
        </w:rPr>
      </w:pPr>
      <w:r w:rsidRPr="00C971CE">
        <w:rPr>
          <w:b/>
          <w:bCs/>
          <w:sz w:val="22"/>
          <w:szCs w:val="22"/>
        </w:rPr>
        <w:t xml:space="preserve">Likumprojekta </w:t>
      </w:r>
      <w:r w:rsidR="00AB74D0">
        <w:rPr>
          <w:b/>
          <w:bCs/>
          <w:sz w:val="22"/>
          <w:szCs w:val="22"/>
        </w:rPr>
        <w:t>“G</w:t>
      </w:r>
      <w:r w:rsidRPr="00C971CE">
        <w:rPr>
          <w:b/>
          <w:bCs/>
          <w:sz w:val="22"/>
          <w:szCs w:val="22"/>
        </w:rPr>
        <w:t>rozījumi likumā "Par svētku, atceres un atzīmējamām dienām"</w:t>
      </w:r>
      <w:r w:rsidR="00AB74D0">
        <w:rPr>
          <w:b/>
          <w:bCs/>
          <w:sz w:val="22"/>
          <w:szCs w:val="22"/>
        </w:rPr>
        <w:t>”</w:t>
      </w:r>
      <w:r w:rsidR="006A02D0">
        <w:rPr>
          <w:b/>
          <w:bCs/>
          <w:sz w:val="22"/>
          <w:szCs w:val="22"/>
        </w:rPr>
        <w:t xml:space="preserve"> </w:t>
      </w:r>
      <w:r w:rsidR="00BD5588" w:rsidRPr="00C971CE">
        <w:rPr>
          <w:b/>
          <w:bCs/>
          <w:sz w:val="22"/>
          <w:szCs w:val="22"/>
        </w:rPr>
        <w:t>sākotnējās ietekmes novērtējuma ziņojums (anotācija)</w:t>
      </w:r>
    </w:p>
    <w:p w14:paraId="3526C6D5" w14:textId="77777777" w:rsidR="00BD5588" w:rsidRPr="00C971CE" w:rsidRDefault="00BD5588" w:rsidP="00BD5588">
      <w:pPr>
        <w:pStyle w:val="Nosaukums"/>
        <w:spacing w:before="130" w:line="260" w:lineRule="exact"/>
        <w:ind w:firstLine="53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013"/>
        <w:gridCol w:w="5349"/>
      </w:tblGrid>
      <w:tr w:rsidR="00BD5588" w:rsidRPr="00C971CE" w14:paraId="32FA36C1" w14:textId="77777777" w:rsidTr="009E0502">
        <w:trPr>
          <w:cantSplit/>
        </w:trPr>
        <w:tc>
          <w:tcPr>
            <w:tcW w:w="9581" w:type="dxa"/>
            <w:gridSpan w:val="2"/>
            <w:shd w:val="clear" w:color="auto" w:fill="FFFFFF"/>
            <w:vAlign w:val="center"/>
            <w:hideMark/>
          </w:tcPr>
          <w:p w14:paraId="2BA6A44F" w14:textId="77777777" w:rsidR="00BD5588" w:rsidRPr="00C971CE" w:rsidRDefault="00BD5588" w:rsidP="009E0502">
            <w:pPr>
              <w:jc w:val="center"/>
              <w:rPr>
                <w:b/>
                <w:iCs/>
                <w:sz w:val="22"/>
                <w:szCs w:val="22"/>
                <w:lang w:eastAsia="en-US"/>
              </w:rPr>
            </w:pPr>
            <w:r w:rsidRPr="00C971CE">
              <w:rPr>
                <w:b/>
                <w:iCs/>
                <w:sz w:val="22"/>
                <w:szCs w:val="22"/>
                <w:lang w:eastAsia="en-US"/>
              </w:rPr>
              <w:t>Tiesību akta projekta anotācijas kopsavilkums</w:t>
            </w:r>
          </w:p>
        </w:tc>
      </w:tr>
      <w:tr w:rsidR="00BD5588" w:rsidRPr="00C971CE" w14:paraId="72DEFD77" w14:textId="77777777" w:rsidTr="00D77CED">
        <w:trPr>
          <w:cantSplit/>
          <w:trHeight w:val="1158"/>
        </w:trPr>
        <w:tc>
          <w:tcPr>
            <w:tcW w:w="3430" w:type="dxa"/>
            <w:shd w:val="clear" w:color="auto" w:fill="FFFFFF"/>
            <w:hideMark/>
          </w:tcPr>
          <w:p w14:paraId="44134B9A" w14:textId="77777777" w:rsidR="00BD5588" w:rsidRPr="00C971CE" w:rsidRDefault="00BD5588" w:rsidP="009E0502">
            <w:pPr>
              <w:rPr>
                <w:iCs/>
                <w:sz w:val="22"/>
                <w:szCs w:val="22"/>
                <w:lang w:eastAsia="en-US"/>
              </w:rPr>
            </w:pPr>
            <w:r w:rsidRPr="00C971CE">
              <w:rPr>
                <w:iCs/>
                <w:sz w:val="22"/>
                <w:szCs w:val="22"/>
                <w:lang w:eastAsia="en-US"/>
              </w:rPr>
              <w:t>Mērķis, risinājums un projekta spēkā stāšanās laiks (500 zīmes bez atstarpēm)</w:t>
            </w:r>
          </w:p>
        </w:tc>
        <w:tc>
          <w:tcPr>
            <w:tcW w:w="6151" w:type="dxa"/>
            <w:shd w:val="clear" w:color="auto" w:fill="FFFFFF"/>
            <w:hideMark/>
          </w:tcPr>
          <w:p w14:paraId="33482358" w14:textId="77777777" w:rsidR="00986C18" w:rsidRDefault="00986C18" w:rsidP="00D77CED">
            <w:pPr>
              <w:jc w:val="both"/>
              <w:rPr>
                <w:i/>
                <w:iCs/>
                <w:sz w:val="22"/>
                <w:szCs w:val="22"/>
                <w:lang w:eastAsia="en-US"/>
              </w:rPr>
            </w:pPr>
            <w:r w:rsidRPr="00416813">
              <w:rPr>
                <w:iCs/>
              </w:rPr>
              <w:t xml:space="preserve">Kopsavilkums nav aizpildāms saskaņā ar </w:t>
            </w:r>
            <w:r w:rsidRPr="00416813">
              <w:rPr>
                <w:bCs/>
              </w:rPr>
              <w:t>Ministru kabineta 2009.</w:t>
            </w:r>
            <w:r>
              <w:rPr>
                <w:bCs/>
              </w:rPr>
              <w:t> </w:t>
            </w:r>
            <w:r w:rsidRPr="00416813">
              <w:rPr>
                <w:bCs/>
              </w:rPr>
              <w:t>gada 15.</w:t>
            </w:r>
            <w:r>
              <w:rPr>
                <w:bCs/>
              </w:rPr>
              <w:t> </w:t>
            </w:r>
            <w:r w:rsidRPr="00416813">
              <w:rPr>
                <w:bCs/>
              </w:rPr>
              <w:t>decembra instrukcijas Nr.</w:t>
            </w:r>
            <w:r>
              <w:rPr>
                <w:bCs/>
              </w:rPr>
              <w:t> </w:t>
            </w:r>
            <w:r w:rsidRPr="00416813">
              <w:rPr>
                <w:bCs/>
              </w:rPr>
              <w:t>19</w:t>
            </w:r>
            <w:r w:rsidRPr="00416813">
              <w:t xml:space="preserve"> “Tiesību akta projekta sākotnējās ietekmes izvērtēšanas kārtība” 5.</w:t>
            </w:r>
            <w:r w:rsidRPr="00416813">
              <w:rPr>
                <w:vertAlign w:val="superscript"/>
              </w:rPr>
              <w:t>1</w:t>
            </w:r>
            <w:r>
              <w:rPr>
                <w:vertAlign w:val="superscript"/>
              </w:rPr>
              <w:t> </w:t>
            </w:r>
            <w:r w:rsidRPr="00416813">
              <w:t>punktu</w:t>
            </w:r>
            <w:r>
              <w:t xml:space="preserve"> </w:t>
            </w:r>
            <w:r w:rsidRPr="00986C18">
              <w:t>(</w:t>
            </w:r>
            <w:r w:rsidR="00873DB6" w:rsidRPr="00986C18">
              <w:rPr>
                <w:sz w:val="22"/>
                <w:szCs w:val="22"/>
                <w:lang w:eastAsia="en-US"/>
              </w:rPr>
              <w:t>projektiem, kuru anotācijas I sadaļas 2. punkts nepārsniedz divas lapaspuses</w:t>
            </w:r>
            <w:r w:rsidRPr="00986C18">
              <w:rPr>
                <w:sz w:val="22"/>
                <w:szCs w:val="22"/>
                <w:lang w:eastAsia="en-US"/>
              </w:rPr>
              <w:t>)</w:t>
            </w:r>
            <w:r w:rsidR="00873DB6" w:rsidRPr="00986C18">
              <w:rPr>
                <w:sz w:val="22"/>
                <w:szCs w:val="22"/>
                <w:lang w:eastAsia="en-US"/>
              </w:rPr>
              <w:t>.</w:t>
            </w:r>
          </w:p>
          <w:p w14:paraId="7180BCFC" w14:textId="77777777" w:rsidR="00986C18" w:rsidRPr="00C971CE" w:rsidRDefault="00986C18" w:rsidP="00986C18">
            <w:pPr>
              <w:jc w:val="both"/>
              <w:rPr>
                <w:i/>
                <w:iCs/>
                <w:sz w:val="22"/>
                <w:szCs w:val="22"/>
                <w:lang w:eastAsia="en-US"/>
              </w:rPr>
            </w:pPr>
          </w:p>
        </w:tc>
      </w:tr>
    </w:tbl>
    <w:p w14:paraId="6FAEAA0D" w14:textId="77777777" w:rsidR="00BD5588" w:rsidRPr="00C971CE" w:rsidRDefault="00BD5588" w:rsidP="00BD5588">
      <w:pPr>
        <w:pStyle w:val="Nosaukums"/>
        <w:spacing w:before="130" w:line="260" w:lineRule="exact"/>
        <w:ind w:firstLine="53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0"/>
        <w:gridCol w:w="2475"/>
        <w:gridCol w:w="5371"/>
      </w:tblGrid>
      <w:tr w:rsidR="00BD5588" w:rsidRPr="00C971CE" w14:paraId="1DA362B7" w14:textId="77777777" w:rsidTr="009E0502">
        <w:trPr>
          <w:cantSplit/>
        </w:trPr>
        <w:tc>
          <w:tcPr>
            <w:tcW w:w="5000" w:type="pct"/>
            <w:gridSpan w:val="3"/>
            <w:vAlign w:val="center"/>
            <w:hideMark/>
          </w:tcPr>
          <w:p w14:paraId="1ABE9D40" w14:textId="77777777" w:rsidR="00BD5588" w:rsidRPr="00C971CE" w:rsidRDefault="00BD5588" w:rsidP="009E0502">
            <w:pPr>
              <w:jc w:val="center"/>
              <w:rPr>
                <w:b/>
                <w:bCs/>
                <w:sz w:val="22"/>
                <w:szCs w:val="22"/>
              </w:rPr>
            </w:pPr>
            <w:r w:rsidRPr="00C971CE">
              <w:rPr>
                <w:b/>
                <w:bCs/>
                <w:sz w:val="22"/>
                <w:szCs w:val="22"/>
              </w:rPr>
              <w:t>I. Tiesību akta projekta izstrādes nepieciešamība</w:t>
            </w:r>
          </w:p>
        </w:tc>
      </w:tr>
      <w:tr w:rsidR="00BD5588" w:rsidRPr="00C971CE" w14:paraId="715D557C" w14:textId="77777777" w:rsidTr="009E0502">
        <w:trPr>
          <w:cantSplit/>
        </w:trPr>
        <w:tc>
          <w:tcPr>
            <w:tcW w:w="311" w:type="pct"/>
            <w:hideMark/>
          </w:tcPr>
          <w:p w14:paraId="200EBE61" w14:textId="77777777" w:rsidR="00BD5588" w:rsidRPr="00C971CE" w:rsidRDefault="00BD5588" w:rsidP="009E0502">
            <w:pPr>
              <w:jc w:val="center"/>
              <w:rPr>
                <w:sz w:val="22"/>
                <w:szCs w:val="22"/>
              </w:rPr>
            </w:pPr>
            <w:r w:rsidRPr="00C971CE">
              <w:rPr>
                <w:sz w:val="22"/>
                <w:szCs w:val="22"/>
              </w:rPr>
              <w:t>1.</w:t>
            </w:r>
          </w:p>
        </w:tc>
        <w:tc>
          <w:tcPr>
            <w:tcW w:w="1479" w:type="pct"/>
            <w:hideMark/>
          </w:tcPr>
          <w:p w14:paraId="70AA560B" w14:textId="77777777" w:rsidR="00BD5588" w:rsidRPr="00C971CE" w:rsidRDefault="00BD5588" w:rsidP="009E0502">
            <w:pPr>
              <w:rPr>
                <w:sz w:val="22"/>
                <w:szCs w:val="22"/>
              </w:rPr>
            </w:pPr>
            <w:r w:rsidRPr="00C971CE">
              <w:rPr>
                <w:sz w:val="22"/>
                <w:szCs w:val="22"/>
              </w:rPr>
              <w:t>Pamatojums</w:t>
            </w:r>
          </w:p>
        </w:tc>
        <w:tc>
          <w:tcPr>
            <w:tcW w:w="3210" w:type="pct"/>
            <w:hideMark/>
          </w:tcPr>
          <w:p w14:paraId="51B3D6C9" w14:textId="77777777" w:rsidR="00986C18" w:rsidRDefault="00986C18" w:rsidP="00986C18">
            <w:pPr>
              <w:jc w:val="both"/>
              <w:rPr>
                <w:sz w:val="22"/>
                <w:szCs w:val="22"/>
              </w:rPr>
            </w:pPr>
            <w:r w:rsidRPr="00C971CE">
              <w:rPr>
                <w:sz w:val="22"/>
                <w:szCs w:val="22"/>
              </w:rPr>
              <w:t>2018. gada 20. jūnijā Saeima pieņēma grozījumu</w:t>
            </w:r>
            <w:r>
              <w:rPr>
                <w:sz w:val="22"/>
                <w:szCs w:val="22"/>
              </w:rPr>
              <w:t>s</w:t>
            </w:r>
            <w:r>
              <w:t xml:space="preserve"> l</w:t>
            </w:r>
            <w:r w:rsidRPr="00F10D8A">
              <w:rPr>
                <w:sz w:val="22"/>
                <w:szCs w:val="22"/>
              </w:rPr>
              <w:t>ikumā “Par svētku, atceres un atzīmējamām dienām” (turpmāk – Likums)</w:t>
            </w:r>
            <w:r w:rsidRPr="00C971CE">
              <w:rPr>
                <w:sz w:val="22"/>
                <w:szCs w:val="22"/>
              </w:rPr>
              <w:t>, papildinot pārejas noteikumus ar uzdevumu “Ministru kabinetam līdz 2018. gada 31. decembrim izvērtēt spēkā esošo regulējumu par svētku, atceres, atzīmējamajām dienām un izstrādāt priekšlikumus par to, kā turpmāk būtu nosakāmas un kādos normatīvajos aktos iekļaujamas svētku, atceres, atzīmējamās un citas svinamās dienas.”</w:t>
            </w:r>
            <w:r>
              <w:rPr>
                <w:rStyle w:val="Vresatsauce"/>
                <w:sz w:val="22"/>
                <w:szCs w:val="22"/>
              </w:rPr>
              <w:footnoteReference w:id="1"/>
            </w:r>
          </w:p>
          <w:p w14:paraId="7B43C158" w14:textId="77777777" w:rsidR="00EF70D4" w:rsidRPr="00C971CE" w:rsidRDefault="00EF70D4" w:rsidP="00D500B1">
            <w:pPr>
              <w:jc w:val="both"/>
              <w:rPr>
                <w:sz w:val="22"/>
                <w:szCs w:val="22"/>
              </w:rPr>
            </w:pPr>
          </w:p>
        </w:tc>
      </w:tr>
      <w:tr w:rsidR="00BD5588" w:rsidRPr="00C971CE" w14:paraId="0678D3A7" w14:textId="77777777" w:rsidTr="004D7E56">
        <w:tc>
          <w:tcPr>
            <w:tcW w:w="311" w:type="pct"/>
            <w:hideMark/>
          </w:tcPr>
          <w:p w14:paraId="24A57474" w14:textId="77777777" w:rsidR="00BD5588" w:rsidRPr="00C971CE" w:rsidRDefault="00BD5588" w:rsidP="009E0502">
            <w:pPr>
              <w:jc w:val="center"/>
              <w:rPr>
                <w:sz w:val="22"/>
                <w:szCs w:val="22"/>
              </w:rPr>
            </w:pPr>
            <w:r w:rsidRPr="00C971CE">
              <w:rPr>
                <w:sz w:val="22"/>
                <w:szCs w:val="22"/>
              </w:rPr>
              <w:t>2.</w:t>
            </w:r>
          </w:p>
        </w:tc>
        <w:tc>
          <w:tcPr>
            <w:tcW w:w="1479" w:type="pct"/>
            <w:hideMark/>
          </w:tcPr>
          <w:p w14:paraId="7A714A19" w14:textId="77777777" w:rsidR="00BD5588" w:rsidRPr="00C971CE" w:rsidRDefault="00BD5588" w:rsidP="009E0502">
            <w:pPr>
              <w:rPr>
                <w:sz w:val="22"/>
                <w:szCs w:val="22"/>
              </w:rPr>
            </w:pPr>
            <w:r w:rsidRPr="00C971CE">
              <w:rPr>
                <w:sz w:val="22"/>
                <w:szCs w:val="22"/>
              </w:rPr>
              <w:t>Pašreizējā situācija un problēmas, kuru risināšanai tiesību akta projekts izstrādāts, tiesiskā regulējuma mērķis un būtība</w:t>
            </w:r>
          </w:p>
        </w:tc>
        <w:tc>
          <w:tcPr>
            <w:tcW w:w="3210" w:type="pct"/>
            <w:hideMark/>
          </w:tcPr>
          <w:p w14:paraId="53367C18" w14:textId="580C914C" w:rsidR="009C1C79" w:rsidRPr="009C1C79" w:rsidRDefault="00F10D8A" w:rsidP="006A02D0">
            <w:pPr>
              <w:jc w:val="both"/>
              <w:rPr>
                <w:sz w:val="22"/>
              </w:rPr>
            </w:pPr>
            <w:r>
              <w:rPr>
                <w:sz w:val="22"/>
                <w:szCs w:val="22"/>
              </w:rPr>
              <w:t>Likumā</w:t>
            </w:r>
            <w:r w:rsidR="007D4DDB" w:rsidRPr="00C971CE">
              <w:rPr>
                <w:sz w:val="22"/>
                <w:szCs w:val="22"/>
              </w:rPr>
              <w:t xml:space="preserve"> pēdējā laikā tika iesniegti ārkārtīgi </w:t>
            </w:r>
            <w:r w:rsidR="006A02D0" w:rsidRPr="00C971CE">
              <w:rPr>
                <w:sz w:val="22"/>
                <w:szCs w:val="22"/>
              </w:rPr>
              <w:t>daudz priekšlikumu ar lūgumu</w:t>
            </w:r>
            <w:r w:rsidR="007D4DDB" w:rsidRPr="00C971CE">
              <w:rPr>
                <w:sz w:val="22"/>
                <w:szCs w:val="22"/>
              </w:rPr>
              <w:t xml:space="preserve"> noteikt kādas profesijas vai nozares atzīmējamo dienu (t. sk. </w:t>
            </w:r>
            <w:r w:rsidR="00951DBB">
              <w:rPr>
                <w:sz w:val="22"/>
                <w:szCs w:val="22"/>
              </w:rPr>
              <w:t>autotransporta</w:t>
            </w:r>
            <w:r w:rsidR="007D4DDB" w:rsidRPr="00C971CE">
              <w:rPr>
                <w:sz w:val="22"/>
                <w:szCs w:val="22"/>
              </w:rPr>
              <w:t xml:space="preserve"> darbinieku diena, sociālo darbinieku diena, utt.). Lai gan šobrīd </w:t>
            </w:r>
            <w:r w:rsidR="00432807">
              <w:rPr>
                <w:sz w:val="22"/>
                <w:szCs w:val="22"/>
              </w:rPr>
              <w:t>L</w:t>
            </w:r>
            <w:r w:rsidR="007D4DDB" w:rsidRPr="00C971CE">
              <w:rPr>
                <w:sz w:val="22"/>
                <w:szCs w:val="22"/>
              </w:rPr>
              <w:t xml:space="preserve">ikumā jau dažas profesiju atzīmējamās dienas ir noteiktas (piemēram, skolotāju diena, policijas darbinieku diena, robežsargu diena, medicīnas darbinieku diena), tomēr profesiju (nozaru) atzīmējamās dienas racionālāk būtu noteikt Ministru kabineta noteikumos </w:t>
            </w:r>
            <w:proofErr w:type="gramStart"/>
            <w:r w:rsidR="006A02D0">
              <w:rPr>
                <w:sz w:val="22"/>
                <w:szCs w:val="22"/>
              </w:rPr>
              <w:t>(</w:t>
            </w:r>
            <w:proofErr w:type="gramEnd"/>
            <w:r w:rsidR="007D4DDB" w:rsidRPr="00C971CE">
              <w:rPr>
                <w:sz w:val="22"/>
                <w:szCs w:val="22"/>
              </w:rPr>
              <w:t xml:space="preserve">pretējā gadījumā šis likums taps līdzīgs </w:t>
            </w:r>
            <w:r w:rsidR="009E0313">
              <w:rPr>
                <w:sz w:val="22"/>
                <w:szCs w:val="22"/>
              </w:rPr>
              <w:t xml:space="preserve">otram </w:t>
            </w:r>
            <w:r w:rsidR="007D4DDB" w:rsidRPr="00C971CE">
              <w:rPr>
                <w:sz w:val="22"/>
                <w:szCs w:val="22"/>
              </w:rPr>
              <w:t xml:space="preserve">profesiju klasifikatoram, kas nebūs pārskatāms, un šis </w:t>
            </w:r>
            <w:r w:rsidR="009E0313">
              <w:rPr>
                <w:sz w:val="22"/>
                <w:szCs w:val="22"/>
              </w:rPr>
              <w:t xml:space="preserve">var kļūt par </w:t>
            </w:r>
            <w:r w:rsidR="007D4DDB" w:rsidRPr="00C971CE">
              <w:rPr>
                <w:sz w:val="22"/>
                <w:szCs w:val="22"/>
              </w:rPr>
              <w:t>“vienmēr atvērt</w:t>
            </w:r>
            <w:r w:rsidR="009E0313">
              <w:rPr>
                <w:sz w:val="22"/>
                <w:szCs w:val="22"/>
              </w:rPr>
              <w:t>o</w:t>
            </w:r>
            <w:r w:rsidR="007D4DDB" w:rsidRPr="00C971CE">
              <w:rPr>
                <w:sz w:val="22"/>
                <w:szCs w:val="22"/>
              </w:rPr>
              <w:t>” likum</w:t>
            </w:r>
            <w:r w:rsidR="009E0313">
              <w:rPr>
                <w:sz w:val="22"/>
                <w:szCs w:val="22"/>
              </w:rPr>
              <w:t>u</w:t>
            </w:r>
            <w:r w:rsidR="007D4DDB" w:rsidRPr="00C971CE">
              <w:rPr>
                <w:sz w:val="22"/>
                <w:szCs w:val="22"/>
              </w:rPr>
              <w:t xml:space="preserve"> ar neskaitāmiem grozījumiem</w:t>
            </w:r>
            <w:r w:rsidR="009E0313">
              <w:rPr>
                <w:sz w:val="22"/>
                <w:szCs w:val="22"/>
              </w:rPr>
              <w:t>, kas nav atbalstām no juridiskās tehnikas viedokļa</w:t>
            </w:r>
            <w:r w:rsidR="007D4DDB" w:rsidRPr="00C971CE">
              <w:rPr>
                <w:sz w:val="22"/>
                <w:szCs w:val="22"/>
              </w:rPr>
              <w:t xml:space="preserve">). </w:t>
            </w:r>
            <w:r w:rsidR="009C1C79">
              <w:t>Jāsecina, ka profesijas ir daudzas un visas cienījamas, tāpēc paredzams, ka var turpināties “lavīnveidīgi” priekšlikumi par jaunu profesiju atzīmējamo dienu iekļaušanu</w:t>
            </w:r>
            <w:r w:rsidR="00E879D0">
              <w:t xml:space="preserve"> šajā</w:t>
            </w:r>
            <w:r w:rsidR="009C1C79">
              <w:t xml:space="preserve"> likumā. </w:t>
            </w:r>
          </w:p>
          <w:p w14:paraId="33494D36" w14:textId="77777777" w:rsidR="009E0313" w:rsidRDefault="00074146" w:rsidP="007D4DDB">
            <w:pPr>
              <w:jc w:val="both"/>
              <w:rPr>
                <w:sz w:val="22"/>
                <w:szCs w:val="22"/>
              </w:rPr>
            </w:pPr>
            <w:r>
              <w:rPr>
                <w:sz w:val="22"/>
                <w:szCs w:val="22"/>
              </w:rPr>
              <w:t>G</w:t>
            </w:r>
            <w:r w:rsidR="00C971CE">
              <w:rPr>
                <w:sz w:val="22"/>
                <w:szCs w:val="22"/>
              </w:rPr>
              <w:t>rozījumi likumā “</w:t>
            </w:r>
            <w:r w:rsidR="00C971CE" w:rsidRPr="00C971CE">
              <w:rPr>
                <w:sz w:val="22"/>
                <w:szCs w:val="22"/>
              </w:rPr>
              <w:t>Par svētku, atceres un atzīmējamām dienām</w:t>
            </w:r>
            <w:r w:rsidR="00C971CE">
              <w:rPr>
                <w:sz w:val="22"/>
                <w:szCs w:val="22"/>
              </w:rPr>
              <w:t>” paredz deleģējumu Ministru kabinetam izstrādāt un noteikt profesiju un profesionālo nozaru atzīmējamo dienu datumus. Uz šī deleģējuma pamata Ministru kabinets izstrādās Ministru kabineta noteikumus “</w:t>
            </w:r>
            <w:r w:rsidR="00C971CE" w:rsidRPr="00C971CE">
              <w:rPr>
                <w:sz w:val="22"/>
                <w:szCs w:val="22"/>
              </w:rPr>
              <w:t xml:space="preserve">Par profesiju un </w:t>
            </w:r>
            <w:r w:rsidR="00C971CE" w:rsidRPr="00C971CE">
              <w:rPr>
                <w:sz w:val="22"/>
                <w:szCs w:val="22"/>
              </w:rPr>
              <w:lastRenderedPageBreak/>
              <w:t>profesionālo nozaru atzīmējamām dienām</w:t>
            </w:r>
            <w:r w:rsidR="00C971CE">
              <w:rPr>
                <w:sz w:val="22"/>
                <w:szCs w:val="22"/>
              </w:rPr>
              <w:t xml:space="preserve">”. </w:t>
            </w:r>
          </w:p>
          <w:p w14:paraId="6A3B7809" w14:textId="6E9A6BD3" w:rsidR="00E879D0" w:rsidRPr="00C971CE" w:rsidRDefault="00C971CE" w:rsidP="00E879D0">
            <w:pPr>
              <w:jc w:val="both"/>
              <w:rPr>
                <w:sz w:val="22"/>
                <w:szCs w:val="22"/>
              </w:rPr>
            </w:pPr>
            <w:r>
              <w:rPr>
                <w:sz w:val="22"/>
                <w:szCs w:val="22"/>
              </w:rPr>
              <w:t xml:space="preserve">Ņemot vērā, ka vairākas profesiju un profesionālo nozaru atzīmējamās dienas jau ir iekļautas </w:t>
            </w:r>
            <w:r w:rsidRPr="00C971CE">
              <w:rPr>
                <w:sz w:val="22"/>
                <w:szCs w:val="22"/>
              </w:rPr>
              <w:t>likumā “Par svētku, atceres un atzīmējamām dienām”</w:t>
            </w:r>
            <w:r>
              <w:rPr>
                <w:sz w:val="22"/>
                <w:szCs w:val="22"/>
              </w:rPr>
              <w:t xml:space="preserve">, ir nepieciešams pārcelt </w:t>
            </w:r>
            <w:r w:rsidR="00E65D66">
              <w:rPr>
                <w:sz w:val="22"/>
                <w:szCs w:val="22"/>
              </w:rPr>
              <w:t>šīs normas no Likuma uz jaunajiem Ministru kabineta noteikumiem. Rezultātā Likumā tiktu atstāts tikai “tīrs” regulējums par valstiskām svētku, atceres un atzīmējamām dienām</w:t>
            </w:r>
            <w:r w:rsidR="00F36C7B">
              <w:rPr>
                <w:sz w:val="22"/>
                <w:szCs w:val="22"/>
              </w:rPr>
              <w:t xml:space="preserve">. Šāds deleģējums </w:t>
            </w:r>
            <w:r w:rsidR="00F36C7B" w:rsidRPr="00F36C7B">
              <w:rPr>
                <w:sz w:val="22"/>
                <w:szCs w:val="22"/>
              </w:rPr>
              <w:t>atvieglo</w:t>
            </w:r>
            <w:r w:rsidR="00F36C7B">
              <w:rPr>
                <w:sz w:val="22"/>
                <w:szCs w:val="22"/>
              </w:rPr>
              <w:t xml:space="preserve">tu </w:t>
            </w:r>
            <w:r w:rsidR="009E0313">
              <w:rPr>
                <w:sz w:val="22"/>
                <w:szCs w:val="22"/>
              </w:rPr>
              <w:t>Saeimas</w:t>
            </w:r>
            <w:r w:rsidR="009E0313" w:rsidRPr="00F36C7B">
              <w:rPr>
                <w:sz w:val="22"/>
                <w:szCs w:val="22"/>
              </w:rPr>
              <w:t xml:space="preserve"> </w:t>
            </w:r>
            <w:r w:rsidR="00F36C7B" w:rsidRPr="00F36C7B">
              <w:rPr>
                <w:sz w:val="22"/>
                <w:szCs w:val="22"/>
              </w:rPr>
              <w:t>darbu</w:t>
            </w:r>
            <w:r w:rsidR="00F36C7B">
              <w:rPr>
                <w:sz w:val="22"/>
                <w:szCs w:val="22"/>
              </w:rPr>
              <w:t xml:space="preserve">, </w:t>
            </w:r>
            <w:r w:rsidR="00074146">
              <w:rPr>
                <w:sz w:val="22"/>
                <w:szCs w:val="22"/>
              </w:rPr>
              <w:t>ja izp</w:t>
            </w:r>
            <w:r w:rsidR="00074146" w:rsidRPr="00074146">
              <w:rPr>
                <w:sz w:val="22"/>
                <w:szCs w:val="22"/>
              </w:rPr>
              <w:t xml:space="preserve">ildvara </w:t>
            </w:r>
            <w:r w:rsidR="00074146">
              <w:rPr>
                <w:sz w:val="22"/>
                <w:szCs w:val="22"/>
              </w:rPr>
              <w:t xml:space="preserve">tiktu </w:t>
            </w:r>
            <w:r w:rsidR="00074146" w:rsidRPr="00074146">
              <w:rPr>
                <w:sz w:val="22"/>
                <w:szCs w:val="22"/>
              </w:rPr>
              <w:t>iesaistīta likumdošanas procesā</w:t>
            </w:r>
            <w:r w:rsidR="00074146">
              <w:rPr>
                <w:sz w:val="22"/>
                <w:szCs w:val="22"/>
              </w:rPr>
              <w:t>.</w:t>
            </w:r>
            <w:r w:rsidR="009E0313">
              <w:rPr>
                <w:sz w:val="22"/>
                <w:szCs w:val="22"/>
              </w:rPr>
              <w:t xml:space="preserve"> Tieslietu ministrijas ieskatā, šāda satura regulējums (par nozaru un profesiju atzīmējamām dienām) nav ar tik </w:t>
            </w:r>
            <w:r w:rsidR="00E879D0">
              <w:rPr>
                <w:sz w:val="22"/>
                <w:szCs w:val="22"/>
              </w:rPr>
              <w:t>konceptuālu</w:t>
            </w:r>
            <w:r w:rsidR="009E0313">
              <w:rPr>
                <w:sz w:val="22"/>
                <w:szCs w:val="22"/>
              </w:rPr>
              <w:t xml:space="preserve"> ietekmi</w:t>
            </w:r>
            <w:r w:rsidR="00E879D0">
              <w:rPr>
                <w:sz w:val="22"/>
                <w:szCs w:val="22"/>
              </w:rPr>
              <w:t xml:space="preserve">, tāpēc </w:t>
            </w:r>
            <w:r w:rsidR="00E879D0">
              <w:t>vairāk būtu piekritīgs Ministru kabineta</w:t>
            </w:r>
            <w:r w:rsidR="00995707">
              <w:t xml:space="preserve"> lemšanai</w:t>
            </w:r>
            <w:r w:rsidR="00E879D0">
              <w:t xml:space="preserve">.    </w:t>
            </w:r>
          </w:p>
        </w:tc>
      </w:tr>
      <w:tr w:rsidR="00BD5588" w:rsidRPr="00C971CE" w14:paraId="07CA4CA0" w14:textId="77777777" w:rsidTr="009E0502">
        <w:trPr>
          <w:cantSplit/>
        </w:trPr>
        <w:tc>
          <w:tcPr>
            <w:tcW w:w="311" w:type="pct"/>
            <w:hideMark/>
          </w:tcPr>
          <w:p w14:paraId="645C7419" w14:textId="77777777" w:rsidR="00BD5588" w:rsidRPr="00C971CE" w:rsidRDefault="00BD5588" w:rsidP="009E0502">
            <w:pPr>
              <w:jc w:val="center"/>
              <w:rPr>
                <w:sz w:val="22"/>
                <w:szCs w:val="22"/>
              </w:rPr>
            </w:pPr>
            <w:r w:rsidRPr="00C971CE">
              <w:rPr>
                <w:sz w:val="22"/>
                <w:szCs w:val="22"/>
              </w:rPr>
              <w:lastRenderedPageBreak/>
              <w:t>3.</w:t>
            </w:r>
          </w:p>
        </w:tc>
        <w:tc>
          <w:tcPr>
            <w:tcW w:w="1479" w:type="pct"/>
            <w:hideMark/>
          </w:tcPr>
          <w:p w14:paraId="49DED965" w14:textId="77777777" w:rsidR="00BD5588" w:rsidRPr="00C971CE" w:rsidRDefault="00BD5588" w:rsidP="009E0502">
            <w:pPr>
              <w:rPr>
                <w:sz w:val="22"/>
                <w:szCs w:val="22"/>
              </w:rPr>
            </w:pPr>
            <w:r w:rsidRPr="00C971CE">
              <w:rPr>
                <w:sz w:val="22"/>
                <w:szCs w:val="22"/>
              </w:rPr>
              <w:t>Projekta izstrādē iesaistītās institūcijas un publiskas personas kapitālsabiedrības</w:t>
            </w:r>
          </w:p>
        </w:tc>
        <w:tc>
          <w:tcPr>
            <w:tcW w:w="3210" w:type="pct"/>
            <w:hideMark/>
          </w:tcPr>
          <w:p w14:paraId="0546CA44" w14:textId="66A8C258" w:rsidR="007D4DDB" w:rsidRPr="00C971CE" w:rsidRDefault="00D500B1" w:rsidP="009E0502">
            <w:pPr>
              <w:rPr>
                <w:sz w:val="22"/>
                <w:szCs w:val="22"/>
              </w:rPr>
            </w:pPr>
            <w:r w:rsidRPr="00C971CE">
              <w:rPr>
                <w:sz w:val="22"/>
                <w:szCs w:val="22"/>
              </w:rPr>
              <w:t>Tieslietu ministrija</w:t>
            </w:r>
          </w:p>
        </w:tc>
      </w:tr>
      <w:tr w:rsidR="00BD5588" w:rsidRPr="00C971CE" w14:paraId="457F55DB" w14:textId="77777777" w:rsidTr="009E0502">
        <w:trPr>
          <w:cantSplit/>
        </w:trPr>
        <w:tc>
          <w:tcPr>
            <w:tcW w:w="311" w:type="pct"/>
            <w:hideMark/>
          </w:tcPr>
          <w:p w14:paraId="76EA5942" w14:textId="77777777" w:rsidR="00BD5588" w:rsidRPr="00C971CE" w:rsidRDefault="00BD5588" w:rsidP="009E0502">
            <w:pPr>
              <w:jc w:val="center"/>
              <w:rPr>
                <w:sz w:val="22"/>
                <w:szCs w:val="22"/>
              </w:rPr>
            </w:pPr>
            <w:r w:rsidRPr="00C971CE">
              <w:rPr>
                <w:sz w:val="22"/>
                <w:szCs w:val="22"/>
              </w:rPr>
              <w:t>4.</w:t>
            </w:r>
          </w:p>
        </w:tc>
        <w:tc>
          <w:tcPr>
            <w:tcW w:w="1479" w:type="pct"/>
            <w:hideMark/>
          </w:tcPr>
          <w:p w14:paraId="176F2F97" w14:textId="77777777" w:rsidR="00BD5588" w:rsidRPr="00C971CE" w:rsidRDefault="00BD5588" w:rsidP="009E0502">
            <w:pPr>
              <w:rPr>
                <w:sz w:val="22"/>
                <w:szCs w:val="22"/>
              </w:rPr>
            </w:pPr>
            <w:r w:rsidRPr="00C971CE">
              <w:rPr>
                <w:sz w:val="22"/>
                <w:szCs w:val="22"/>
              </w:rPr>
              <w:t>Cita informācija</w:t>
            </w:r>
          </w:p>
        </w:tc>
        <w:tc>
          <w:tcPr>
            <w:tcW w:w="3210" w:type="pct"/>
            <w:hideMark/>
          </w:tcPr>
          <w:p w14:paraId="1F817C04" w14:textId="77777777" w:rsidR="00BD5588" w:rsidRPr="00E65D66" w:rsidRDefault="00E87053" w:rsidP="00857B7D">
            <w:pPr>
              <w:jc w:val="both"/>
              <w:rPr>
                <w:sz w:val="22"/>
                <w:szCs w:val="22"/>
                <w:highlight w:val="yellow"/>
              </w:rPr>
            </w:pPr>
            <w:r w:rsidRPr="00E87053">
              <w:rPr>
                <w:sz w:val="22"/>
                <w:szCs w:val="22"/>
              </w:rPr>
              <w:t>Nav</w:t>
            </w:r>
          </w:p>
        </w:tc>
      </w:tr>
    </w:tbl>
    <w:p w14:paraId="410D996F" w14:textId="77777777" w:rsidR="00BD5588" w:rsidRPr="00C971CE" w:rsidRDefault="00BD5588" w:rsidP="00BD5588">
      <w:pPr>
        <w:pStyle w:val="Nosaukums"/>
        <w:spacing w:before="130" w:line="260" w:lineRule="exact"/>
        <w:ind w:firstLine="53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0"/>
        <w:gridCol w:w="2475"/>
        <w:gridCol w:w="5371"/>
      </w:tblGrid>
      <w:tr w:rsidR="00BD5588" w:rsidRPr="00C971CE" w14:paraId="1C150FF0" w14:textId="77777777" w:rsidTr="009E0502">
        <w:trPr>
          <w:cantSplit/>
        </w:trPr>
        <w:tc>
          <w:tcPr>
            <w:tcW w:w="5000" w:type="pct"/>
            <w:gridSpan w:val="3"/>
            <w:vAlign w:val="center"/>
            <w:hideMark/>
          </w:tcPr>
          <w:p w14:paraId="41C42039" w14:textId="77777777" w:rsidR="00BD5588" w:rsidRPr="00C971CE" w:rsidRDefault="00BD5588" w:rsidP="009E0502">
            <w:pPr>
              <w:jc w:val="center"/>
              <w:rPr>
                <w:b/>
                <w:bCs/>
                <w:sz w:val="22"/>
                <w:szCs w:val="22"/>
              </w:rPr>
            </w:pPr>
            <w:r w:rsidRPr="00C971CE">
              <w:rPr>
                <w:b/>
                <w:bCs/>
                <w:sz w:val="22"/>
                <w:szCs w:val="22"/>
              </w:rPr>
              <w:t>II. Tiesību akta projekta ietekme uz sabiedrību, tautsaimniecības attīstību un administratīvo slogu</w:t>
            </w:r>
          </w:p>
        </w:tc>
      </w:tr>
      <w:tr w:rsidR="00BD5588" w:rsidRPr="00C971CE" w14:paraId="695418F4" w14:textId="77777777" w:rsidTr="00D77CED">
        <w:trPr>
          <w:cantSplit/>
          <w:trHeight w:val="666"/>
        </w:trPr>
        <w:tc>
          <w:tcPr>
            <w:tcW w:w="311" w:type="pct"/>
            <w:hideMark/>
          </w:tcPr>
          <w:p w14:paraId="6F112CDF" w14:textId="77777777" w:rsidR="00BD5588" w:rsidRPr="00C971CE" w:rsidRDefault="00BD5588" w:rsidP="009E0502">
            <w:pPr>
              <w:jc w:val="center"/>
              <w:rPr>
                <w:sz w:val="22"/>
                <w:szCs w:val="22"/>
              </w:rPr>
            </w:pPr>
            <w:r w:rsidRPr="00C971CE">
              <w:rPr>
                <w:sz w:val="22"/>
                <w:szCs w:val="22"/>
              </w:rPr>
              <w:t>1.</w:t>
            </w:r>
          </w:p>
        </w:tc>
        <w:tc>
          <w:tcPr>
            <w:tcW w:w="1479" w:type="pct"/>
            <w:hideMark/>
          </w:tcPr>
          <w:p w14:paraId="00F35A2E" w14:textId="77777777" w:rsidR="00BD5588" w:rsidRPr="00C971CE" w:rsidRDefault="00BD5588" w:rsidP="009E0502">
            <w:pPr>
              <w:rPr>
                <w:sz w:val="22"/>
                <w:szCs w:val="22"/>
              </w:rPr>
            </w:pPr>
            <w:r w:rsidRPr="00C971CE">
              <w:rPr>
                <w:sz w:val="22"/>
                <w:szCs w:val="22"/>
              </w:rPr>
              <w:t>Sabiedrības mērķgrupas, kuras tiesiskais regulējums ietekmē</w:t>
            </w:r>
            <w:proofErr w:type="gramStart"/>
            <w:r w:rsidRPr="00C971CE">
              <w:rPr>
                <w:sz w:val="22"/>
                <w:szCs w:val="22"/>
              </w:rPr>
              <w:t xml:space="preserve"> vai varētu ietekmēt</w:t>
            </w:r>
            <w:proofErr w:type="gramEnd"/>
          </w:p>
        </w:tc>
        <w:tc>
          <w:tcPr>
            <w:tcW w:w="3210" w:type="pct"/>
            <w:hideMark/>
          </w:tcPr>
          <w:p w14:paraId="12D7513C" w14:textId="7D18E98A" w:rsidR="00BD5588" w:rsidRPr="00C971CE" w:rsidRDefault="00E65D66" w:rsidP="009E0502">
            <w:pPr>
              <w:rPr>
                <w:sz w:val="22"/>
                <w:szCs w:val="22"/>
              </w:rPr>
            </w:pPr>
            <w:r>
              <w:rPr>
                <w:sz w:val="22"/>
                <w:szCs w:val="22"/>
              </w:rPr>
              <w:t xml:space="preserve">Dažādu profesiju un profesionālo nozaru </w:t>
            </w:r>
            <w:r w:rsidR="009E0313">
              <w:rPr>
                <w:sz w:val="22"/>
                <w:szCs w:val="22"/>
              </w:rPr>
              <w:t>pārstāvji</w:t>
            </w:r>
            <w:r>
              <w:rPr>
                <w:sz w:val="22"/>
                <w:szCs w:val="22"/>
              </w:rPr>
              <w:t>.</w:t>
            </w:r>
          </w:p>
        </w:tc>
      </w:tr>
      <w:tr w:rsidR="00BD5588" w:rsidRPr="00C971CE" w14:paraId="0CB8C0B9" w14:textId="77777777" w:rsidTr="009E0502">
        <w:trPr>
          <w:cantSplit/>
        </w:trPr>
        <w:tc>
          <w:tcPr>
            <w:tcW w:w="311" w:type="pct"/>
            <w:hideMark/>
          </w:tcPr>
          <w:p w14:paraId="5A4E29C9" w14:textId="77777777" w:rsidR="00BD5588" w:rsidRPr="00C971CE" w:rsidRDefault="00BD5588" w:rsidP="009E0502">
            <w:pPr>
              <w:jc w:val="center"/>
              <w:rPr>
                <w:sz w:val="22"/>
                <w:szCs w:val="22"/>
              </w:rPr>
            </w:pPr>
            <w:r w:rsidRPr="00C971CE">
              <w:rPr>
                <w:sz w:val="22"/>
                <w:szCs w:val="22"/>
              </w:rPr>
              <w:t>2.</w:t>
            </w:r>
          </w:p>
        </w:tc>
        <w:tc>
          <w:tcPr>
            <w:tcW w:w="1479" w:type="pct"/>
            <w:hideMark/>
          </w:tcPr>
          <w:p w14:paraId="03A5DDCA" w14:textId="77777777" w:rsidR="00BD5588" w:rsidRPr="00C971CE" w:rsidRDefault="00BD5588" w:rsidP="009E0502">
            <w:pPr>
              <w:rPr>
                <w:sz w:val="22"/>
                <w:szCs w:val="22"/>
              </w:rPr>
            </w:pPr>
            <w:r w:rsidRPr="00C971CE">
              <w:rPr>
                <w:sz w:val="22"/>
                <w:szCs w:val="22"/>
              </w:rPr>
              <w:t>Tiesiskā regulējuma ietekme uz tautsaimniecību un administratīvo slogu</w:t>
            </w:r>
          </w:p>
        </w:tc>
        <w:tc>
          <w:tcPr>
            <w:tcW w:w="3210" w:type="pct"/>
            <w:hideMark/>
          </w:tcPr>
          <w:p w14:paraId="0D3A32BA" w14:textId="77777777" w:rsidR="00BD5588" w:rsidRPr="00C971CE" w:rsidRDefault="00E65D66" w:rsidP="009E0502">
            <w:pPr>
              <w:rPr>
                <w:sz w:val="22"/>
                <w:szCs w:val="22"/>
              </w:rPr>
            </w:pPr>
            <w:r>
              <w:rPr>
                <w:sz w:val="22"/>
                <w:szCs w:val="22"/>
              </w:rPr>
              <w:t>S</w:t>
            </w:r>
            <w:r w:rsidRPr="00E65D66">
              <w:rPr>
                <w:sz w:val="22"/>
                <w:szCs w:val="22"/>
              </w:rPr>
              <w:t>abiedrības grupām un institūcijām projekta tiesiskais regulējums nemaina tiesības un pienākumus, kā arī veicamās darbības</w:t>
            </w:r>
            <w:r>
              <w:rPr>
                <w:sz w:val="22"/>
                <w:szCs w:val="22"/>
              </w:rPr>
              <w:t>.</w:t>
            </w:r>
          </w:p>
        </w:tc>
      </w:tr>
      <w:tr w:rsidR="00BD5588" w:rsidRPr="00C971CE" w14:paraId="637FB293" w14:textId="77777777" w:rsidTr="009E0502">
        <w:trPr>
          <w:cantSplit/>
        </w:trPr>
        <w:tc>
          <w:tcPr>
            <w:tcW w:w="311" w:type="pct"/>
            <w:hideMark/>
          </w:tcPr>
          <w:p w14:paraId="26C620B2" w14:textId="77777777" w:rsidR="00BD5588" w:rsidRPr="00C971CE" w:rsidRDefault="00BD5588" w:rsidP="009E0502">
            <w:pPr>
              <w:jc w:val="center"/>
              <w:rPr>
                <w:sz w:val="22"/>
                <w:szCs w:val="22"/>
              </w:rPr>
            </w:pPr>
            <w:r w:rsidRPr="00C971CE">
              <w:rPr>
                <w:sz w:val="22"/>
                <w:szCs w:val="22"/>
              </w:rPr>
              <w:t>3.</w:t>
            </w:r>
          </w:p>
        </w:tc>
        <w:tc>
          <w:tcPr>
            <w:tcW w:w="1479" w:type="pct"/>
            <w:hideMark/>
          </w:tcPr>
          <w:p w14:paraId="19E11BF1" w14:textId="77777777" w:rsidR="00BD5588" w:rsidRPr="00C971CE" w:rsidRDefault="00BD5588" w:rsidP="009E0502">
            <w:pPr>
              <w:rPr>
                <w:sz w:val="22"/>
                <w:szCs w:val="22"/>
              </w:rPr>
            </w:pPr>
            <w:r w:rsidRPr="00C971CE">
              <w:rPr>
                <w:sz w:val="22"/>
                <w:szCs w:val="22"/>
              </w:rPr>
              <w:t>Administratīvo izmaksu monetārs novērtējums</w:t>
            </w:r>
          </w:p>
        </w:tc>
        <w:tc>
          <w:tcPr>
            <w:tcW w:w="3210" w:type="pct"/>
            <w:hideMark/>
          </w:tcPr>
          <w:p w14:paraId="6BF9A6C5" w14:textId="77777777" w:rsidR="00BD5588" w:rsidRPr="00CA6D87" w:rsidRDefault="00EF70D4" w:rsidP="009E0502">
            <w:pPr>
              <w:rPr>
                <w:sz w:val="22"/>
                <w:szCs w:val="22"/>
                <w:highlight w:val="yellow"/>
              </w:rPr>
            </w:pPr>
            <w:r w:rsidRPr="00EF70D4">
              <w:rPr>
                <w:sz w:val="22"/>
                <w:szCs w:val="22"/>
              </w:rPr>
              <w:t>Projekts šo jomu neskar</w:t>
            </w:r>
          </w:p>
        </w:tc>
      </w:tr>
      <w:tr w:rsidR="00BD5588" w:rsidRPr="00C971CE" w14:paraId="24AFC511" w14:textId="77777777" w:rsidTr="009E0502">
        <w:trPr>
          <w:cantSplit/>
        </w:trPr>
        <w:tc>
          <w:tcPr>
            <w:tcW w:w="311" w:type="pct"/>
            <w:hideMark/>
          </w:tcPr>
          <w:p w14:paraId="34F29788" w14:textId="77777777" w:rsidR="00BD5588" w:rsidRPr="00C971CE" w:rsidRDefault="00BD5588" w:rsidP="009E0502">
            <w:pPr>
              <w:jc w:val="center"/>
              <w:rPr>
                <w:sz w:val="22"/>
                <w:szCs w:val="22"/>
              </w:rPr>
            </w:pPr>
            <w:r w:rsidRPr="00C971CE">
              <w:rPr>
                <w:sz w:val="22"/>
                <w:szCs w:val="22"/>
              </w:rPr>
              <w:t>4.</w:t>
            </w:r>
          </w:p>
        </w:tc>
        <w:tc>
          <w:tcPr>
            <w:tcW w:w="1479" w:type="pct"/>
            <w:hideMark/>
          </w:tcPr>
          <w:p w14:paraId="59AC05FC" w14:textId="77777777" w:rsidR="00BD5588" w:rsidRPr="00C971CE" w:rsidRDefault="00BD5588" w:rsidP="009E0502">
            <w:pPr>
              <w:rPr>
                <w:sz w:val="22"/>
                <w:szCs w:val="22"/>
              </w:rPr>
            </w:pPr>
            <w:r w:rsidRPr="00C971CE">
              <w:rPr>
                <w:sz w:val="22"/>
                <w:szCs w:val="22"/>
              </w:rPr>
              <w:t>Atbilstības izmaksu monetārs novērtējums</w:t>
            </w:r>
          </w:p>
        </w:tc>
        <w:tc>
          <w:tcPr>
            <w:tcW w:w="3210" w:type="pct"/>
            <w:hideMark/>
          </w:tcPr>
          <w:p w14:paraId="376E7CA0" w14:textId="77777777" w:rsidR="00BD5588" w:rsidRPr="00CA6D87" w:rsidRDefault="00EF70D4" w:rsidP="009E0502">
            <w:pPr>
              <w:rPr>
                <w:sz w:val="22"/>
                <w:szCs w:val="22"/>
                <w:highlight w:val="yellow"/>
              </w:rPr>
            </w:pPr>
            <w:r w:rsidRPr="00EF70D4">
              <w:rPr>
                <w:sz w:val="22"/>
                <w:szCs w:val="22"/>
              </w:rPr>
              <w:t>Projekts šo jomu neskar</w:t>
            </w:r>
          </w:p>
        </w:tc>
      </w:tr>
      <w:tr w:rsidR="00BD5588" w:rsidRPr="00C971CE" w14:paraId="2DD882E2" w14:textId="77777777" w:rsidTr="009E0502">
        <w:trPr>
          <w:cantSplit/>
        </w:trPr>
        <w:tc>
          <w:tcPr>
            <w:tcW w:w="311" w:type="pct"/>
            <w:hideMark/>
          </w:tcPr>
          <w:p w14:paraId="0627E6D6" w14:textId="77777777" w:rsidR="00BD5588" w:rsidRPr="00C971CE" w:rsidRDefault="00BD5588" w:rsidP="009E0502">
            <w:pPr>
              <w:jc w:val="center"/>
              <w:rPr>
                <w:sz w:val="22"/>
                <w:szCs w:val="22"/>
              </w:rPr>
            </w:pPr>
            <w:r w:rsidRPr="00C971CE">
              <w:rPr>
                <w:sz w:val="22"/>
                <w:szCs w:val="22"/>
              </w:rPr>
              <w:t>5.</w:t>
            </w:r>
          </w:p>
        </w:tc>
        <w:tc>
          <w:tcPr>
            <w:tcW w:w="1479" w:type="pct"/>
            <w:hideMark/>
          </w:tcPr>
          <w:p w14:paraId="43CF420F" w14:textId="77777777" w:rsidR="00BD5588" w:rsidRPr="00C971CE" w:rsidRDefault="00BD5588" w:rsidP="009E0502">
            <w:pPr>
              <w:rPr>
                <w:sz w:val="22"/>
                <w:szCs w:val="22"/>
              </w:rPr>
            </w:pPr>
            <w:r w:rsidRPr="00C971CE">
              <w:rPr>
                <w:sz w:val="22"/>
                <w:szCs w:val="22"/>
              </w:rPr>
              <w:t>Cita informācija</w:t>
            </w:r>
          </w:p>
        </w:tc>
        <w:tc>
          <w:tcPr>
            <w:tcW w:w="3210" w:type="pct"/>
            <w:hideMark/>
          </w:tcPr>
          <w:p w14:paraId="01261AA3" w14:textId="77777777" w:rsidR="00BD5588" w:rsidRPr="00CA6D87" w:rsidRDefault="008A6D73" w:rsidP="009E0502">
            <w:pPr>
              <w:rPr>
                <w:sz w:val="22"/>
                <w:szCs w:val="22"/>
                <w:highlight w:val="yellow"/>
              </w:rPr>
            </w:pPr>
            <w:r w:rsidRPr="009E0313">
              <w:rPr>
                <w:sz w:val="22"/>
                <w:szCs w:val="22"/>
              </w:rPr>
              <w:t>Nav</w:t>
            </w:r>
          </w:p>
        </w:tc>
      </w:tr>
    </w:tbl>
    <w:p w14:paraId="3C322B6B" w14:textId="77777777" w:rsidR="00074146" w:rsidRPr="00C971CE" w:rsidRDefault="00074146" w:rsidP="00BD5588">
      <w:pPr>
        <w:pStyle w:val="Nosaukums"/>
        <w:spacing w:before="130" w:line="260" w:lineRule="exact"/>
        <w:ind w:firstLine="539"/>
        <w:jc w:val="both"/>
        <w:rPr>
          <w:sz w:val="22"/>
          <w:szCs w:val="22"/>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65"/>
      </w:tblGrid>
      <w:tr w:rsidR="00CA6D87" w:rsidRPr="00CA6D87" w14:paraId="206ED3A1" w14:textId="77777777" w:rsidTr="005D66A1">
        <w:trPr>
          <w:cantSplit/>
        </w:trPr>
        <w:tc>
          <w:tcPr>
            <w:tcW w:w="8365" w:type="dxa"/>
            <w:shd w:val="clear" w:color="auto" w:fill="auto"/>
            <w:vAlign w:val="center"/>
            <w:hideMark/>
          </w:tcPr>
          <w:p w14:paraId="6BB88262" w14:textId="77777777" w:rsidR="00CA6D87" w:rsidRPr="00CA6D87" w:rsidRDefault="00CA6D87" w:rsidP="00CA6D87">
            <w:pPr>
              <w:pStyle w:val="Nosaukums"/>
              <w:spacing w:before="130" w:line="260" w:lineRule="exact"/>
              <w:ind w:firstLine="539"/>
              <w:jc w:val="both"/>
              <w:rPr>
                <w:b/>
                <w:bCs/>
                <w:sz w:val="22"/>
                <w:szCs w:val="22"/>
              </w:rPr>
            </w:pPr>
            <w:r w:rsidRPr="00CA6D87">
              <w:rPr>
                <w:b/>
                <w:bCs/>
                <w:sz w:val="22"/>
                <w:szCs w:val="22"/>
              </w:rPr>
              <w:t>III. Tiesību akta projekta ietekme uz valsts budžetu un pašvaldību budžetiem</w:t>
            </w:r>
          </w:p>
        </w:tc>
      </w:tr>
      <w:tr w:rsidR="00CA6D87" w:rsidRPr="00CA6D87" w14:paraId="24D1A5DA" w14:textId="77777777" w:rsidTr="005D66A1">
        <w:trPr>
          <w:cantSplit/>
        </w:trPr>
        <w:tc>
          <w:tcPr>
            <w:tcW w:w="8365" w:type="dxa"/>
            <w:shd w:val="clear" w:color="auto" w:fill="auto"/>
            <w:vAlign w:val="center"/>
          </w:tcPr>
          <w:p w14:paraId="56B97BDD" w14:textId="77777777" w:rsidR="00CA6D87" w:rsidRPr="00CA6D87" w:rsidRDefault="00CA6D87" w:rsidP="00CA6D87">
            <w:pPr>
              <w:pStyle w:val="Nosaukums"/>
              <w:spacing w:before="130" w:line="260" w:lineRule="exact"/>
              <w:ind w:firstLine="539"/>
              <w:rPr>
                <w:bCs/>
                <w:sz w:val="22"/>
                <w:szCs w:val="22"/>
              </w:rPr>
            </w:pPr>
            <w:r w:rsidRPr="00CA6D87">
              <w:rPr>
                <w:bCs/>
                <w:sz w:val="22"/>
                <w:szCs w:val="22"/>
              </w:rPr>
              <w:t>Projekts šo jomu neskar</w:t>
            </w:r>
          </w:p>
        </w:tc>
      </w:tr>
    </w:tbl>
    <w:p w14:paraId="0D0D528E" w14:textId="77777777" w:rsidR="00B32E7B" w:rsidRPr="00C971CE" w:rsidRDefault="00B32E7B">
      <w:pPr>
        <w:rPr>
          <w:sz w:val="22"/>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7"/>
        <w:gridCol w:w="2461"/>
        <w:gridCol w:w="5376"/>
      </w:tblGrid>
      <w:tr w:rsidR="00BD5588" w:rsidRPr="00C971CE" w14:paraId="435597BF" w14:textId="77777777" w:rsidTr="00CA6D87">
        <w:trPr>
          <w:cantSplit/>
        </w:trPr>
        <w:tc>
          <w:tcPr>
            <w:tcW w:w="8365" w:type="dxa"/>
            <w:gridSpan w:val="3"/>
            <w:vAlign w:val="center"/>
            <w:hideMark/>
          </w:tcPr>
          <w:p w14:paraId="5324BC38" w14:textId="77777777" w:rsidR="00BD5588" w:rsidRPr="00C971CE" w:rsidRDefault="00BD5588" w:rsidP="009E0502">
            <w:pPr>
              <w:jc w:val="center"/>
              <w:rPr>
                <w:b/>
                <w:bCs/>
                <w:sz w:val="22"/>
                <w:szCs w:val="22"/>
              </w:rPr>
            </w:pPr>
            <w:r w:rsidRPr="00C971CE">
              <w:rPr>
                <w:b/>
                <w:bCs/>
                <w:sz w:val="22"/>
                <w:szCs w:val="22"/>
              </w:rPr>
              <w:t>IV. Tiesību akta projekta ietekme uz spēkā esošo tiesību normu sistēmu</w:t>
            </w:r>
          </w:p>
        </w:tc>
      </w:tr>
      <w:tr w:rsidR="00BD5588" w:rsidRPr="00C971CE" w14:paraId="78DB4DDB" w14:textId="77777777" w:rsidTr="00CA6D87">
        <w:trPr>
          <w:cantSplit/>
        </w:trPr>
        <w:tc>
          <w:tcPr>
            <w:tcW w:w="527" w:type="dxa"/>
            <w:hideMark/>
          </w:tcPr>
          <w:p w14:paraId="45AB4757" w14:textId="77777777" w:rsidR="00BD5588" w:rsidRPr="00C971CE" w:rsidRDefault="00BD5588" w:rsidP="009E0502">
            <w:pPr>
              <w:jc w:val="center"/>
              <w:rPr>
                <w:sz w:val="22"/>
                <w:szCs w:val="22"/>
              </w:rPr>
            </w:pPr>
            <w:r w:rsidRPr="00C971CE">
              <w:rPr>
                <w:sz w:val="22"/>
                <w:szCs w:val="22"/>
              </w:rPr>
              <w:t>1.</w:t>
            </w:r>
          </w:p>
        </w:tc>
        <w:tc>
          <w:tcPr>
            <w:tcW w:w="2461" w:type="dxa"/>
            <w:hideMark/>
          </w:tcPr>
          <w:p w14:paraId="56DC9CFC" w14:textId="77777777" w:rsidR="00BD5588" w:rsidRPr="00C971CE" w:rsidRDefault="00BD5588" w:rsidP="009E0502">
            <w:pPr>
              <w:rPr>
                <w:sz w:val="22"/>
                <w:szCs w:val="22"/>
              </w:rPr>
            </w:pPr>
            <w:r w:rsidRPr="00C971CE">
              <w:rPr>
                <w:sz w:val="22"/>
                <w:szCs w:val="22"/>
              </w:rPr>
              <w:t>Saistītie tiesību aktu projekti</w:t>
            </w:r>
          </w:p>
        </w:tc>
        <w:tc>
          <w:tcPr>
            <w:tcW w:w="5377" w:type="dxa"/>
            <w:hideMark/>
          </w:tcPr>
          <w:p w14:paraId="687F5B37" w14:textId="77777777" w:rsidR="00BD5588" w:rsidRPr="00C971CE" w:rsidRDefault="00CA6D87" w:rsidP="00857B7D">
            <w:pPr>
              <w:jc w:val="both"/>
              <w:rPr>
                <w:sz w:val="22"/>
                <w:szCs w:val="22"/>
              </w:rPr>
            </w:pPr>
            <w:r>
              <w:rPr>
                <w:sz w:val="22"/>
                <w:szCs w:val="22"/>
              </w:rPr>
              <w:t>Ar g</w:t>
            </w:r>
            <w:r w:rsidRPr="00CA6D87">
              <w:rPr>
                <w:sz w:val="22"/>
                <w:szCs w:val="22"/>
              </w:rPr>
              <w:t>rozījumi</w:t>
            </w:r>
            <w:r>
              <w:rPr>
                <w:sz w:val="22"/>
                <w:szCs w:val="22"/>
              </w:rPr>
              <w:t>em</w:t>
            </w:r>
            <w:r w:rsidRPr="00CA6D87">
              <w:rPr>
                <w:sz w:val="22"/>
                <w:szCs w:val="22"/>
              </w:rPr>
              <w:t xml:space="preserve"> likumā “Par svētku, atceres un atzīmējamām dienām”</w:t>
            </w:r>
            <w:r>
              <w:rPr>
                <w:sz w:val="22"/>
                <w:szCs w:val="22"/>
              </w:rPr>
              <w:t xml:space="preserve"> tiktu ietverts deleģējums Ministru kabinetam izstrādāt jaunus Ministru kabineta noteikumus “</w:t>
            </w:r>
            <w:r w:rsidRPr="00CA6D87">
              <w:rPr>
                <w:sz w:val="22"/>
                <w:szCs w:val="22"/>
              </w:rPr>
              <w:t>Par profesiju un profesionālo nozaru atzīmējamām dienām</w:t>
            </w:r>
            <w:r>
              <w:rPr>
                <w:sz w:val="22"/>
                <w:szCs w:val="22"/>
              </w:rPr>
              <w:t xml:space="preserve">”, </w:t>
            </w:r>
            <w:r w:rsidR="007F3D1A">
              <w:rPr>
                <w:sz w:val="22"/>
                <w:szCs w:val="22"/>
              </w:rPr>
              <w:t xml:space="preserve">uz </w:t>
            </w:r>
            <w:r>
              <w:rPr>
                <w:sz w:val="22"/>
                <w:szCs w:val="22"/>
              </w:rPr>
              <w:t>kur</w:t>
            </w:r>
            <w:r w:rsidR="007F3D1A">
              <w:rPr>
                <w:sz w:val="22"/>
                <w:szCs w:val="22"/>
              </w:rPr>
              <w:t>iem</w:t>
            </w:r>
            <w:r>
              <w:rPr>
                <w:sz w:val="22"/>
                <w:szCs w:val="22"/>
              </w:rPr>
              <w:t xml:space="preserve"> tiktu </w:t>
            </w:r>
            <w:r w:rsidR="007F3D1A">
              <w:rPr>
                <w:sz w:val="22"/>
                <w:szCs w:val="22"/>
              </w:rPr>
              <w:t xml:space="preserve">pārceltas likumā </w:t>
            </w:r>
            <w:r w:rsidR="007F3D1A" w:rsidRPr="007F3D1A">
              <w:rPr>
                <w:sz w:val="22"/>
                <w:szCs w:val="22"/>
              </w:rPr>
              <w:t>“Par svētku, atceres un atzīmējamām dienām”</w:t>
            </w:r>
            <w:r w:rsidR="007F3D1A">
              <w:rPr>
                <w:sz w:val="22"/>
                <w:szCs w:val="22"/>
              </w:rPr>
              <w:t xml:space="preserve"> ietvertās profesiju un profesionālo nozaru atzīmējamās dienas, kā arī šie noteikumi turpmāk tiktu papildināti ar profesiju un profesionālo nozaru atzīmējamām dienām.</w:t>
            </w:r>
          </w:p>
        </w:tc>
      </w:tr>
      <w:tr w:rsidR="00BD5588" w:rsidRPr="00C971CE" w14:paraId="56BA3748" w14:textId="77777777" w:rsidTr="00CA6D87">
        <w:trPr>
          <w:cantSplit/>
        </w:trPr>
        <w:tc>
          <w:tcPr>
            <w:tcW w:w="527" w:type="dxa"/>
            <w:hideMark/>
          </w:tcPr>
          <w:p w14:paraId="1046B496" w14:textId="77777777" w:rsidR="00BD5588" w:rsidRPr="00C971CE" w:rsidRDefault="00BD5588" w:rsidP="009E0502">
            <w:pPr>
              <w:jc w:val="center"/>
              <w:rPr>
                <w:sz w:val="22"/>
                <w:szCs w:val="22"/>
              </w:rPr>
            </w:pPr>
            <w:r w:rsidRPr="00C971CE">
              <w:rPr>
                <w:sz w:val="22"/>
                <w:szCs w:val="22"/>
              </w:rPr>
              <w:t>2.</w:t>
            </w:r>
          </w:p>
        </w:tc>
        <w:tc>
          <w:tcPr>
            <w:tcW w:w="2461" w:type="dxa"/>
            <w:hideMark/>
          </w:tcPr>
          <w:p w14:paraId="038A92DF" w14:textId="77777777" w:rsidR="00BD5588" w:rsidRPr="00C971CE" w:rsidRDefault="00BD5588" w:rsidP="009E0502">
            <w:pPr>
              <w:rPr>
                <w:sz w:val="22"/>
                <w:szCs w:val="22"/>
              </w:rPr>
            </w:pPr>
            <w:r w:rsidRPr="00C971CE">
              <w:rPr>
                <w:sz w:val="22"/>
                <w:szCs w:val="22"/>
              </w:rPr>
              <w:t>Atbildīgā institūcija</w:t>
            </w:r>
          </w:p>
        </w:tc>
        <w:tc>
          <w:tcPr>
            <w:tcW w:w="5377" w:type="dxa"/>
            <w:hideMark/>
          </w:tcPr>
          <w:p w14:paraId="76312736" w14:textId="429FD7A1" w:rsidR="00BD5588" w:rsidRPr="00C971CE" w:rsidRDefault="00CA6D87" w:rsidP="009E0502">
            <w:pPr>
              <w:rPr>
                <w:sz w:val="22"/>
                <w:szCs w:val="22"/>
              </w:rPr>
            </w:pPr>
            <w:r>
              <w:rPr>
                <w:sz w:val="22"/>
                <w:szCs w:val="22"/>
              </w:rPr>
              <w:t>Tieslietu ministrija</w:t>
            </w:r>
          </w:p>
        </w:tc>
      </w:tr>
      <w:tr w:rsidR="00BD5588" w:rsidRPr="00C971CE" w14:paraId="59121B85" w14:textId="77777777" w:rsidTr="00CA6D87">
        <w:trPr>
          <w:cantSplit/>
        </w:trPr>
        <w:tc>
          <w:tcPr>
            <w:tcW w:w="527" w:type="dxa"/>
            <w:hideMark/>
          </w:tcPr>
          <w:p w14:paraId="40E797F4" w14:textId="77777777" w:rsidR="00BD5588" w:rsidRPr="00C971CE" w:rsidRDefault="00BD5588" w:rsidP="009E0502">
            <w:pPr>
              <w:jc w:val="center"/>
              <w:rPr>
                <w:sz w:val="22"/>
                <w:szCs w:val="22"/>
              </w:rPr>
            </w:pPr>
            <w:r w:rsidRPr="00C971CE">
              <w:rPr>
                <w:sz w:val="22"/>
                <w:szCs w:val="22"/>
              </w:rPr>
              <w:t>3.</w:t>
            </w:r>
          </w:p>
        </w:tc>
        <w:tc>
          <w:tcPr>
            <w:tcW w:w="2461" w:type="dxa"/>
            <w:hideMark/>
          </w:tcPr>
          <w:p w14:paraId="0FBD3A78" w14:textId="77777777" w:rsidR="00BD5588" w:rsidRPr="00C971CE" w:rsidRDefault="00BD5588" w:rsidP="009E0502">
            <w:pPr>
              <w:rPr>
                <w:sz w:val="22"/>
                <w:szCs w:val="22"/>
              </w:rPr>
            </w:pPr>
            <w:r w:rsidRPr="00C971CE">
              <w:rPr>
                <w:sz w:val="22"/>
                <w:szCs w:val="22"/>
              </w:rPr>
              <w:t>Cita informācija</w:t>
            </w:r>
          </w:p>
        </w:tc>
        <w:tc>
          <w:tcPr>
            <w:tcW w:w="5377" w:type="dxa"/>
            <w:hideMark/>
          </w:tcPr>
          <w:p w14:paraId="6978C45D" w14:textId="77777777" w:rsidR="00BD5588" w:rsidRPr="00C971CE" w:rsidRDefault="007F3D1A" w:rsidP="009E0502">
            <w:pPr>
              <w:rPr>
                <w:sz w:val="22"/>
                <w:szCs w:val="22"/>
              </w:rPr>
            </w:pPr>
            <w:r w:rsidRPr="009E0313">
              <w:rPr>
                <w:sz w:val="22"/>
                <w:szCs w:val="22"/>
              </w:rPr>
              <w:t>Nav</w:t>
            </w:r>
          </w:p>
        </w:tc>
      </w:tr>
    </w:tbl>
    <w:p w14:paraId="26B6A133" w14:textId="77777777" w:rsidR="00BD5588" w:rsidRPr="00C971CE" w:rsidRDefault="00BD5588" w:rsidP="00BD5588">
      <w:pPr>
        <w:pStyle w:val="Nosaukums"/>
        <w:spacing w:before="130" w:line="260" w:lineRule="exact"/>
        <w:ind w:firstLine="53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366"/>
      </w:tblGrid>
      <w:tr w:rsidR="00BD5588" w:rsidRPr="00C971CE" w14:paraId="507D30A1" w14:textId="77777777" w:rsidTr="009E0502">
        <w:trPr>
          <w:cantSplit/>
        </w:trPr>
        <w:tc>
          <w:tcPr>
            <w:tcW w:w="5000" w:type="pct"/>
            <w:vAlign w:val="center"/>
            <w:hideMark/>
          </w:tcPr>
          <w:p w14:paraId="4752D9E0" w14:textId="77777777" w:rsidR="00BD5588" w:rsidRPr="00C971CE" w:rsidRDefault="00BD5588" w:rsidP="009E0502">
            <w:pPr>
              <w:jc w:val="center"/>
              <w:rPr>
                <w:b/>
                <w:bCs/>
                <w:sz w:val="22"/>
                <w:szCs w:val="22"/>
              </w:rPr>
            </w:pPr>
            <w:r w:rsidRPr="00C971CE">
              <w:rPr>
                <w:b/>
                <w:bCs/>
                <w:sz w:val="22"/>
                <w:szCs w:val="22"/>
              </w:rPr>
              <w:t>V. Tiesību akta projekta atbilstība Latvijas Republikas starptautiskajām saistībām</w:t>
            </w:r>
          </w:p>
        </w:tc>
      </w:tr>
      <w:tr w:rsidR="00CA6D87" w:rsidRPr="00C971CE" w14:paraId="636789CC" w14:textId="77777777" w:rsidTr="009E0502">
        <w:trPr>
          <w:cantSplit/>
        </w:trPr>
        <w:tc>
          <w:tcPr>
            <w:tcW w:w="5000" w:type="pct"/>
            <w:vAlign w:val="center"/>
          </w:tcPr>
          <w:p w14:paraId="6DBF6A8D" w14:textId="77777777" w:rsidR="00CA6D87" w:rsidRPr="00CA6D87" w:rsidRDefault="00CA6D87" w:rsidP="009E0502">
            <w:pPr>
              <w:jc w:val="center"/>
              <w:rPr>
                <w:bCs/>
                <w:sz w:val="22"/>
                <w:szCs w:val="22"/>
              </w:rPr>
            </w:pPr>
            <w:r w:rsidRPr="00CA6D87">
              <w:rPr>
                <w:bCs/>
                <w:sz w:val="22"/>
                <w:szCs w:val="22"/>
              </w:rPr>
              <w:t>Projekts šo jomu neskar</w:t>
            </w:r>
          </w:p>
        </w:tc>
      </w:tr>
    </w:tbl>
    <w:p w14:paraId="161E4A94" w14:textId="77777777" w:rsidR="00BD5588" w:rsidRPr="00C971CE" w:rsidRDefault="00BD5588" w:rsidP="007F3D1A">
      <w:pPr>
        <w:pStyle w:val="Nosaukums"/>
        <w:spacing w:before="130" w:line="260" w:lineRule="exact"/>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0"/>
        <w:gridCol w:w="2475"/>
        <w:gridCol w:w="5371"/>
      </w:tblGrid>
      <w:tr w:rsidR="00BD5588" w:rsidRPr="00C971CE" w14:paraId="140AD947" w14:textId="77777777" w:rsidTr="009E0502">
        <w:trPr>
          <w:cantSplit/>
        </w:trPr>
        <w:tc>
          <w:tcPr>
            <w:tcW w:w="5000" w:type="pct"/>
            <w:gridSpan w:val="3"/>
            <w:vAlign w:val="center"/>
            <w:hideMark/>
          </w:tcPr>
          <w:p w14:paraId="231FBFB9" w14:textId="77777777" w:rsidR="00BD5588" w:rsidRPr="00C971CE" w:rsidRDefault="00BD5588" w:rsidP="009E0502">
            <w:pPr>
              <w:jc w:val="center"/>
              <w:rPr>
                <w:b/>
                <w:bCs/>
                <w:sz w:val="22"/>
                <w:szCs w:val="22"/>
              </w:rPr>
            </w:pPr>
            <w:r w:rsidRPr="00C971CE">
              <w:rPr>
                <w:b/>
                <w:bCs/>
                <w:sz w:val="22"/>
                <w:szCs w:val="22"/>
              </w:rPr>
              <w:t>VI. Sabiedrības līdzdalība un komunikācijas aktivitātes</w:t>
            </w:r>
          </w:p>
        </w:tc>
      </w:tr>
      <w:tr w:rsidR="00BD5588" w:rsidRPr="00C971CE" w14:paraId="5C85D4AB" w14:textId="77777777" w:rsidTr="009E0502">
        <w:trPr>
          <w:cantSplit/>
        </w:trPr>
        <w:tc>
          <w:tcPr>
            <w:tcW w:w="311" w:type="pct"/>
            <w:hideMark/>
          </w:tcPr>
          <w:p w14:paraId="7F3E2DB0" w14:textId="77777777" w:rsidR="00BD5588" w:rsidRPr="00C971CE" w:rsidRDefault="00BD5588" w:rsidP="009E0502">
            <w:pPr>
              <w:jc w:val="center"/>
              <w:rPr>
                <w:sz w:val="22"/>
                <w:szCs w:val="22"/>
              </w:rPr>
            </w:pPr>
            <w:r w:rsidRPr="00C971CE">
              <w:rPr>
                <w:sz w:val="22"/>
                <w:szCs w:val="22"/>
              </w:rPr>
              <w:t>1.</w:t>
            </w:r>
          </w:p>
        </w:tc>
        <w:tc>
          <w:tcPr>
            <w:tcW w:w="1479" w:type="pct"/>
            <w:hideMark/>
          </w:tcPr>
          <w:p w14:paraId="0F6BC249" w14:textId="77777777" w:rsidR="00BD5588" w:rsidRPr="00C971CE" w:rsidRDefault="00BD5588" w:rsidP="009E0502">
            <w:pPr>
              <w:rPr>
                <w:sz w:val="22"/>
                <w:szCs w:val="22"/>
              </w:rPr>
            </w:pPr>
            <w:r w:rsidRPr="00C971CE">
              <w:rPr>
                <w:sz w:val="22"/>
                <w:szCs w:val="22"/>
              </w:rPr>
              <w:t>Plānotās sabiedrības līdzdalības un komunikācijas aktivitātes saistībā ar projektu</w:t>
            </w:r>
          </w:p>
        </w:tc>
        <w:tc>
          <w:tcPr>
            <w:tcW w:w="3210" w:type="pct"/>
            <w:hideMark/>
          </w:tcPr>
          <w:p w14:paraId="34091C0C" w14:textId="77777777" w:rsidR="00BD5588" w:rsidRPr="00C971CE" w:rsidRDefault="007F3D1A" w:rsidP="00857B7D">
            <w:pPr>
              <w:jc w:val="both"/>
              <w:rPr>
                <w:sz w:val="22"/>
                <w:szCs w:val="22"/>
              </w:rPr>
            </w:pPr>
            <w:r w:rsidRPr="007F3D1A">
              <w:rPr>
                <w:sz w:val="22"/>
                <w:szCs w:val="22"/>
              </w:rPr>
              <w:t xml:space="preserve">Atbilstoši normatīvo aktu prasībām </w:t>
            </w:r>
            <w:r>
              <w:rPr>
                <w:sz w:val="22"/>
                <w:szCs w:val="22"/>
              </w:rPr>
              <w:t>Tieslietu</w:t>
            </w:r>
            <w:r w:rsidRPr="007F3D1A">
              <w:rPr>
                <w:sz w:val="22"/>
                <w:szCs w:val="22"/>
              </w:rPr>
              <w:t xml:space="preserve"> ministrija tās tīmekļa vietnē publicē informāciju par noteikumu projektu un par tā virzību.</w:t>
            </w:r>
          </w:p>
        </w:tc>
      </w:tr>
      <w:tr w:rsidR="00BD5588" w:rsidRPr="00C971CE" w14:paraId="03C33284" w14:textId="77777777" w:rsidTr="009E0502">
        <w:trPr>
          <w:cantSplit/>
        </w:trPr>
        <w:tc>
          <w:tcPr>
            <w:tcW w:w="311" w:type="pct"/>
            <w:hideMark/>
          </w:tcPr>
          <w:p w14:paraId="153C9BEF" w14:textId="77777777" w:rsidR="00BD5588" w:rsidRPr="00C971CE" w:rsidRDefault="00BD5588" w:rsidP="009E0502">
            <w:pPr>
              <w:jc w:val="center"/>
              <w:rPr>
                <w:sz w:val="22"/>
                <w:szCs w:val="22"/>
              </w:rPr>
            </w:pPr>
            <w:r w:rsidRPr="00C971CE">
              <w:rPr>
                <w:sz w:val="22"/>
                <w:szCs w:val="22"/>
              </w:rPr>
              <w:t>2.</w:t>
            </w:r>
          </w:p>
        </w:tc>
        <w:tc>
          <w:tcPr>
            <w:tcW w:w="1479" w:type="pct"/>
            <w:hideMark/>
          </w:tcPr>
          <w:p w14:paraId="5136E44F" w14:textId="77777777" w:rsidR="00BD5588" w:rsidRPr="00C971CE" w:rsidRDefault="00BD5588" w:rsidP="009E0502">
            <w:pPr>
              <w:rPr>
                <w:sz w:val="22"/>
                <w:szCs w:val="22"/>
              </w:rPr>
            </w:pPr>
            <w:r w:rsidRPr="00C971CE">
              <w:rPr>
                <w:sz w:val="22"/>
                <w:szCs w:val="22"/>
              </w:rPr>
              <w:t>Sabiedrības līdzdalība projekta izstrādē</w:t>
            </w:r>
          </w:p>
        </w:tc>
        <w:tc>
          <w:tcPr>
            <w:tcW w:w="3210" w:type="pct"/>
            <w:hideMark/>
          </w:tcPr>
          <w:p w14:paraId="41E1854A" w14:textId="0FABB1E3" w:rsidR="00BD5588" w:rsidRPr="008A6D73" w:rsidRDefault="00924517" w:rsidP="00857B7D">
            <w:pPr>
              <w:jc w:val="both"/>
              <w:rPr>
                <w:sz w:val="22"/>
                <w:szCs w:val="22"/>
                <w:highlight w:val="yellow"/>
              </w:rPr>
            </w:pPr>
            <w:r w:rsidRPr="00924517">
              <w:rPr>
                <w:sz w:val="22"/>
                <w:szCs w:val="22"/>
              </w:rPr>
              <w:t>Lai informētu sabiedrību par noteikumu projektu un dotu iespēju izteikt par to viedokļus, informācija par</w:t>
            </w:r>
            <w:r>
              <w:rPr>
                <w:sz w:val="22"/>
                <w:szCs w:val="22"/>
              </w:rPr>
              <w:t xml:space="preserve"> grozījumiem </w:t>
            </w:r>
            <w:r w:rsidRPr="00924517">
              <w:rPr>
                <w:sz w:val="22"/>
                <w:szCs w:val="22"/>
              </w:rPr>
              <w:t>“Par svētku, atceres un atzīmējamām dienām”</w:t>
            </w:r>
            <w:r>
              <w:rPr>
                <w:sz w:val="22"/>
                <w:szCs w:val="22"/>
              </w:rPr>
              <w:t xml:space="preserve"> un noteikumu projekta “Par</w:t>
            </w:r>
            <w:r w:rsidRPr="00924517">
              <w:rPr>
                <w:sz w:val="22"/>
                <w:szCs w:val="22"/>
              </w:rPr>
              <w:t xml:space="preserve"> </w:t>
            </w:r>
            <w:r>
              <w:rPr>
                <w:sz w:val="22"/>
                <w:szCs w:val="22"/>
              </w:rPr>
              <w:t>profesiju un profesionālo nozaru atzīmējamām dienām” tik</w:t>
            </w:r>
            <w:r w:rsidR="0091714E">
              <w:rPr>
                <w:sz w:val="22"/>
                <w:szCs w:val="22"/>
              </w:rPr>
              <w:t>s</w:t>
            </w:r>
            <w:r w:rsidRPr="00924517">
              <w:rPr>
                <w:sz w:val="22"/>
                <w:szCs w:val="22"/>
              </w:rPr>
              <w:t xml:space="preserve"> ievietota </w:t>
            </w:r>
            <w:r>
              <w:rPr>
                <w:sz w:val="22"/>
                <w:szCs w:val="22"/>
              </w:rPr>
              <w:t>Tieslietu</w:t>
            </w:r>
            <w:r w:rsidRPr="00924517">
              <w:rPr>
                <w:sz w:val="22"/>
                <w:szCs w:val="22"/>
              </w:rPr>
              <w:t xml:space="preserve"> ministrijas tīmekļa vietnē</w:t>
            </w:r>
            <w:r w:rsidR="0091714E">
              <w:rPr>
                <w:sz w:val="22"/>
                <w:szCs w:val="22"/>
              </w:rPr>
              <w:t>.</w:t>
            </w:r>
          </w:p>
        </w:tc>
      </w:tr>
      <w:tr w:rsidR="00BD5588" w:rsidRPr="00C971CE" w14:paraId="6C495D91" w14:textId="77777777" w:rsidTr="009E0502">
        <w:trPr>
          <w:cantSplit/>
        </w:trPr>
        <w:tc>
          <w:tcPr>
            <w:tcW w:w="311" w:type="pct"/>
            <w:hideMark/>
          </w:tcPr>
          <w:p w14:paraId="7275A221" w14:textId="77777777" w:rsidR="00BD5588" w:rsidRPr="00C971CE" w:rsidRDefault="00BD5588" w:rsidP="009E0502">
            <w:pPr>
              <w:jc w:val="center"/>
              <w:rPr>
                <w:sz w:val="22"/>
                <w:szCs w:val="22"/>
              </w:rPr>
            </w:pPr>
            <w:r w:rsidRPr="00C971CE">
              <w:rPr>
                <w:sz w:val="22"/>
                <w:szCs w:val="22"/>
              </w:rPr>
              <w:t>3.</w:t>
            </w:r>
          </w:p>
        </w:tc>
        <w:tc>
          <w:tcPr>
            <w:tcW w:w="1479" w:type="pct"/>
            <w:hideMark/>
          </w:tcPr>
          <w:p w14:paraId="25D9C453" w14:textId="77777777" w:rsidR="00BD5588" w:rsidRPr="00C971CE" w:rsidRDefault="00BD5588" w:rsidP="009E0502">
            <w:pPr>
              <w:rPr>
                <w:sz w:val="22"/>
                <w:szCs w:val="22"/>
              </w:rPr>
            </w:pPr>
            <w:r w:rsidRPr="00C971CE">
              <w:rPr>
                <w:sz w:val="22"/>
                <w:szCs w:val="22"/>
              </w:rPr>
              <w:t>Sabiedrības līdzdalības rezultāti</w:t>
            </w:r>
          </w:p>
        </w:tc>
        <w:tc>
          <w:tcPr>
            <w:tcW w:w="3210" w:type="pct"/>
            <w:hideMark/>
          </w:tcPr>
          <w:p w14:paraId="2E4D7334" w14:textId="4CB4CAB3" w:rsidR="00BD5588" w:rsidRPr="008A6D73" w:rsidRDefault="005C24B0" w:rsidP="009E0502">
            <w:pPr>
              <w:rPr>
                <w:sz w:val="22"/>
                <w:szCs w:val="22"/>
                <w:highlight w:val="yellow"/>
              </w:rPr>
            </w:pPr>
            <w:r>
              <w:rPr>
                <w:sz w:val="22"/>
                <w:szCs w:val="22"/>
              </w:rPr>
              <w:t>Informācija par sabiedrības līdzdalības rezultātiem tiks iekļauta pēc noteikumu projekta publicēšanas Tieslietu ministrijas tīmekļa vietnē.</w:t>
            </w:r>
            <w:bookmarkStart w:id="0" w:name="_GoBack"/>
            <w:bookmarkEnd w:id="0"/>
            <w:r>
              <w:rPr>
                <w:sz w:val="22"/>
                <w:szCs w:val="22"/>
              </w:rPr>
              <w:t xml:space="preserve"> </w:t>
            </w:r>
          </w:p>
        </w:tc>
      </w:tr>
      <w:tr w:rsidR="00BD5588" w:rsidRPr="00C971CE" w14:paraId="7904E883" w14:textId="77777777" w:rsidTr="009E0502">
        <w:trPr>
          <w:cantSplit/>
        </w:trPr>
        <w:tc>
          <w:tcPr>
            <w:tcW w:w="311" w:type="pct"/>
            <w:hideMark/>
          </w:tcPr>
          <w:p w14:paraId="55976F0C" w14:textId="77777777" w:rsidR="00BD5588" w:rsidRPr="00C971CE" w:rsidRDefault="00BD5588" w:rsidP="009E0502">
            <w:pPr>
              <w:jc w:val="center"/>
              <w:rPr>
                <w:sz w:val="22"/>
                <w:szCs w:val="22"/>
              </w:rPr>
            </w:pPr>
            <w:r w:rsidRPr="00C971CE">
              <w:rPr>
                <w:sz w:val="22"/>
                <w:szCs w:val="22"/>
              </w:rPr>
              <w:t>4.</w:t>
            </w:r>
          </w:p>
        </w:tc>
        <w:tc>
          <w:tcPr>
            <w:tcW w:w="1479" w:type="pct"/>
            <w:hideMark/>
          </w:tcPr>
          <w:p w14:paraId="2D8C0470" w14:textId="77777777" w:rsidR="00BD5588" w:rsidRPr="00C971CE" w:rsidRDefault="00BD5588" w:rsidP="009E0502">
            <w:pPr>
              <w:rPr>
                <w:sz w:val="22"/>
                <w:szCs w:val="22"/>
              </w:rPr>
            </w:pPr>
            <w:r w:rsidRPr="00C971CE">
              <w:rPr>
                <w:sz w:val="22"/>
                <w:szCs w:val="22"/>
              </w:rPr>
              <w:t>Cita informācija</w:t>
            </w:r>
          </w:p>
        </w:tc>
        <w:tc>
          <w:tcPr>
            <w:tcW w:w="3210" w:type="pct"/>
            <w:hideMark/>
          </w:tcPr>
          <w:p w14:paraId="6F9317CC" w14:textId="77777777" w:rsidR="00BD5588" w:rsidRPr="00C971CE" w:rsidRDefault="00786118" w:rsidP="009E0502">
            <w:pPr>
              <w:rPr>
                <w:sz w:val="22"/>
                <w:szCs w:val="22"/>
              </w:rPr>
            </w:pPr>
            <w:r>
              <w:rPr>
                <w:sz w:val="22"/>
                <w:szCs w:val="22"/>
              </w:rPr>
              <w:t>Nav</w:t>
            </w:r>
          </w:p>
        </w:tc>
      </w:tr>
    </w:tbl>
    <w:p w14:paraId="4C58F016" w14:textId="77777777" w:rsidR="00BD5588" w:rsidRPr="00C971CE" w:rsidRDefault="00BD5588" w:rsidP="00BD5588">
      <w:pPr>
        <w:pStyle w:val="Nosaukums"/>
        <w:spacing w:before="130" w:line="260" w:lineRule="exact"/>
        <w:ind w:firstLine="539"/>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0"/>
        <w:gridCol w:w="2475"/>
        <w:gridCol w:w="5371"/>
      </w:tblGrid>
      <w:tr w:rsidR="00BD5588" w:rsidRPr="00C971CE" w14:paraId="00D19AF3" w14:textId="77777777" w:rsidTr="009E0502">
        <w:trPr>
          <w:cantSplit/>
        </w:trPr>
        <w:tc>
          <w:tcPr>
            <w:tcW w:w="5000" w:type="pct"/>
            <w:gridSpan w:val="3"/>
            <w:vAlign w:val="center"/>
            <w:hideMark/>
          </w:tcPr>
          <w:p w14:paraId="0AFF57A2" w14:textId="77777777" w:rsidR="00BD5588" w:rsidRPr="00C971CE" w:rsidRDefault="00BD5588" w:rsidP="009E0502">
            <w:pPr>
              <w:jc w:val="center"/>
              <w:rPr>
                <w:b/>
                <w:bCs/>
                <w:sz w:val="22"/>
                <w:szCs w:val="22"/>
              </w:rPr>
            </w:pPr>
            <w:r w:rsidRPr="00C971CE">
              <w:rPr>
                <w:b/>
                <w:bCs/>
                <w:sz w:val="22"/>
                <w:szCs w:val="22"/>
              </w:rPr>
              <w:t>VII. Tiesību akta projekta izpildes nodrošināšana un tās ietekme uz institūcijām</w:t>
            </w:r>
          </w:p>
        </w:tc>
      </w:tr>
      <w:tr w:rsidR="00BD5588" w:rsidRPr="00C971CE" w14:paraId="45DC2B1D" w14:textId="77777777" w:rsidTr="009E0502">
        <w:trPr>
          <w:cantSplit/>
        </w:trPr>
        <w:tc>
          <w:tcPr>
            <w:tcW w:w="311" w:type="pct"/>
            <w:hideMark/>
          </w:tcPr>
          <w:p w14:paraId="04321F7E" w14:textId="77777777" w:rsidR="00BD5588" w:rsidRPr="00C971CE" w:rsidRDefault="00BD5588" w:rsidP="009E0502">
            <w:pPr>
              <w:jc w:val="center"/>
              <w:rPr>
                <w:sz w:val="22"/>
                <w:szCs w:val="22"/>
              </w:rPr>
            </w:pPr>
            <w:r w:rsidRPr="00C971CE">
              <w:rPr>
                <w:sz w:val="22"/>
                <w:szCs w:val="22"/>
              </w:rPr>
              <w:t>1.</w:t>
            </w:r>
          </w:p>
        </w:tc>
        <w:tc>
          <w:tcPr>
            <w:tcW w:w="1479" w:type="pct"/>
            <w:hideMark/>
          </w:tcPr>
          <w:p w14:paraId="11EED5A2" w14:textId="77777777" w:rsidR="00BD5588" w:rsidRPr="00C971CE" w:rsidRDefault="00BD5588" w:rsidP="009E0502">
            <w:pPr>
              <w:rPr>
                <w:sz w:val="22"/>
                <w:szCs w:val="22"/>
              </w:rPr>
            </w:pPr>
            <w:r w:rsidRPr="00C971CE">
              <w:rPr>
                <w:sz w:val="22"/>
                <w:szCs w:val="22"/>
              </w:rPr>
              <w:t>Projekta izpildē iesaistītās institūcijas</w:t>
            </w:r>
          </w:p>
        </w:tc>
        <w:tc>
          <w:tcPr>
            <w:tcW w:w="3210" w:type="pct"/>
            <w:hideMark/>
          </w:tcPr>
          <w:p w14:paraId="128650F3" w14:textId="231274CC" w:rsidR="00BD5588" w:rsidRPr="00C971CE" w:rsidRDefault="007F3D1A" w:rsidP="009E0502">
            <w:pPr>
              <w:rPr>
                <w:sz w:val="22"/>
                <w:szCs w:val="22"/>
              </w:rPr>
            </w:pPr>
            <w:r>
              <w:rPr>
                <w:sz w:val="22"/>
                <w:szCs w:val="22"/>
              </w:rPr>
              <w:t>Tieslietu ministrija</w:t>
            </w:r>
          </w:p>
        </w:tc>
      </w:tr>
      <w:tr w:rsidR="00BD5588" w:rsidRPr="00C971CE" w14:paraId="620A430E" w14:textId="77777777" w:rsidTr="009E0502">
        <w:trPr>
          <w:cantSplit/>
        </w:trPr>
        <w:tc>
          <w:tcPr>
            <w:tcW w:w="311" w:type="pct"/>
            <w:hideMark/>
          </w:tcPr>
          <w:p w14:paraId="2A6EC358" w14:textId="77777777" w:rsidR="00BD5588" w:rsidRPr="00C971CE" w:rsidRDefault="00BD5588" w:rsidP="009E0502">
            <w:pPr>
              <w:jc w:val="center"/>
              <w:rPr>
                <w:sz w:val="22"/>
                <w:szCs w:val="22"/>
              </w:rPr>
            </w:pPr>
            <w:r w:rsidRPr="00C971CE">
              <w:rPr>
                <w:sz w:val="22"/>
                <w:szCs w:val="22"/>
              </w:rPr>
              <w:t>2.</w:t>
            </w:r>
          </w:p>
        </w:tc>
        <w:tc>
          <w:tcPr>
            <w:tcW w:w="1479" w:type="pct"/>
            <w:hideMark/>
          </w:tcPr>
          <w:p w14:paraId="7648E1C7" w14:textId="77777777" w:rsidR="00BD5588" w:rsidRPr="00C971CE" w:rsidRDefault="00BD5588" w:rsidP="009E0502">
            <w:pPr>
              <w:rPr>
                <w:sz w:val="22"/>
                <w:szCs w:val="22"/>
              </w:rPr>
            </w:pPr>
            <w:r w:rsidRPr="00C971CE">
              <w:rPr>
                <w:sz w:val="22"/>
                <w:szCs w:val="22"/>
              </w:rPr>
              <w:t>Projekta izpildes ietekme uz pārvaldes funkcijām un institucionālo struktūru.</w:t>
            </w:r>
            <w:r w:rsidRPr="00C971CE">
              <w:rPr>
                <w:sz w:val="22"/>
                <w:szCs w:val="22"/>
              </w:rPr>
              <w:br/>
              <w:t>Jaunu institūciju izveide, esošu institūciju likvidācija vai reorganizācija, to ietekme uz institūcijas cilvēkresursiem</w:t>
            </w:r>
          </w:p>
        </w:tc>
        <w:tc>
          <w:tcPr>
            <w:tcW w:w="3210" w:type="pct"/>
            <w:hideMark/>
          </w:tcPr>
          <w:p w14:paraId="650A9530" w14:textId="77777777" w:rsidR="00BD5588" w:rsidRPr="00C971CE" w:rsidRDefault="007F3D1A" w:rsidP="009E0502">
            <w:pPr>
              <w:rPr>
                <w:sz w:val="22"/>
                <w:szCs w:val="22"/>
              </w:rPr>
            </w:pPr>
            <w:r w:rsidRPr="007F3D1A">
              <w:rPr>
                <w:sz w:val="22"/>
                <w:szCs w:val="22"/>
              </w:rPr>
              <w:t>Jaunas institūcijas netiks veidotas, esošās institūcijas netiks likvidētas vai reorganizētas</w:t>
            </w:r>
            <w:r>
              <w:rPr>
                <w:sz w:val="22"/>
                <w:szCs w:val="22"/>
              </w:rPr>
              <w:t>.</w:t>
            </w:r>
          </w:p>
        </w:tc>
      </w:tr>
      <w:tr w:rsidR="00BD5588" w:rsidRPr="00C971CE" w14:paraId="75D2C5D6" w14:textId="77777777" w:rsidTr="009E0502">
        <w:trPr>
          <w:cantSplit/>
        </w:trPr>
        <w:tc>
          <w:tcPr>
            <w:tcW w:w="311" w:type="pct"/>
            <w:hideMark/>
          </w:tcPr>
          <w:p w14:paraId="3EBB4A26" w14:textId="77777777" w:rsidR="00BD5588" w:rsidRPr="00C971CE" w:rsidRDefault="00BD5588" w:rsidP="009E0502">
            <w:pPr>
              <w:jc w:val="center"/>
              <w:rPr>
                <w:sz w:val="22"/>
                <w:szCs w:val="22"/>
              </w:rPr>
            </w:pPr>
            <w:r w:rsidRPr="00C971CE">
              <w:rPr>
                <w:sz w:val="22"/>
                <w:szCs w:val="22"/>
              </w:rPr>
              <w:t>3.</w:t>
            </w:r>
          </w:p>
        </w:tc>
        <w:tc>
          <w:tcPr>
            <w:tcW w:w="1479" w:type="pct"/>
            <w:hideMark/>
          </w:tcPr>
          <w:p w14:paraId="32187A62" w14:textId="77777777" w:rsidR="00BD5588" w:rsidRPr="00C971CE" w:rsidRDefault="00BD5588" w:rsidP="009E0502">
            <w:pPr>
              <w:rPr>
                <w:sz w:val="22"/>
                <w:szCs w:val="22"/>
              </w:rPr>
            </w:pPr>
            <w:r w:rsidRPr="00C971CE">
              <w:rPr>
                <w:sz w:val="22"/>
                <w:szCs w:val="22"/>
              </w:rPr>
              <w:t>Cita informācija</w:t>
            </w:r>
          </w:p>
        </w:tc>
        <w:tc>
          <w:tcPr>
            <w:tcW w:w="3210" w:type="pct"/>
            <w:hideMark/>
          </w:tcPr>
          <w:p w14:paraId="701BCEA0" w14:textId="77777777" w:rsidR="00BD5588" w:rsidRPr="00C971CE" w:rsidRDefault="007F3D1A" w:rsidP="009E0502">
            <w:pPr>
              <w:rPr>
                <w:sz w:val="22"/>
                <w:szCs w:val="22"/>
              </w:rPr>
            </w:pPr>
            <w:r>
              <w:rPr>
                <w:sz w:val="22"/>
                <w:szCs w:val="22"/>
              </w:rPr>
              <w:t>Nav</w:t>
            </w:r>
          </w:p>
        </w:tc>
      </w:tr>
    </w:tbl>
    <w:p w14:paraId="31FC8A5F" w14:textId="1EAC1734" w:rsidR="00E44472" w:rsidRDefault="00E44472">
      <w:pPr>
        <w:rPr>
          <w:sz w:val="22"/>
          <w:szCs w:val="22"/>
        </w:rPr>
      </w:pPr>
    </w:p>
    <w:p w14:paraId="4B02F10B" w14:textId="4AE613F4" w:rsidR="003D0EF9" w:rsidRDefault="003D0EF9">
      <w:pPr>
        <w:rPr>
          <w:sz w:val="22"/>
          <w:szCs w:val="22"/>
        </w:rPr>
      </w:pPr>
    </w:p>
    <w:p w14:paraId="55459AC9" w14:textId="77777777" w:rsidR="003D0EF9" w:rsidRPr="005A735D" w:rsidRDefault="003D0EF9" w:rsidP="003D0EF9">
      <w:pPr>
        <w:pStyle w:val="StyleRight"/>
        <w:spacing w:after="0"/>
        <w:ind w:firstLine="0"/>
        <w:jc w:val="both"/>
        <w:rPr>
          <w:sz w:val="24"/>
          <w:szCs w:val="24"/>
        </w:rPr>
      </w:pPr>
      <w:r w:rsidRPr="005A735D">
        <w:rPr>
          <w:sz w:val="24"/>
          <w:szCs w:val="24"/>
        </w:rPr>
        <w:t>Iesniedzējs:</w:t>
      </w:r>
    </w:p>
    <w:p w14:paraId="6A4FE862" w14:textId="752EF622" w:rsidR="003D0EF9" w:rsidRPr="005D70C7" w:rsidRDefault="006A02D0" w:rsidP="003D0EF9">
      <w:pPr>
        <w:jc w:val="both"/>
      </w:pPr>
      <w:r>
        <w:t>T</w:t>
      </w:r>
      <w:r w:rsidR="003D0EF9" w:rsidRPr="005D70C7">
        <w:t xml:space="preserve">ieslietu </w:t>
      </w:r>
      <w:r w:rsidR="003D0EF9">
        <w:t>ministrs</w:t>
      </w:r>
      <w:r w:rsidR="003D0EF9" w:rsidRPr="005D70C7">
        <w:tab/>
      </w:r>
      <w:r w:rsidR="003D0EF9" w:rsidRPr="005D70C7">
        <w:tab/>
      </w:r>
      <w:r w:rsidR="003D0EF9" w:rsidRPr="005D70C7">
        <w:tab/>
      </w:r>
      <w:r w:rsidR="003D0EF9" w:rsidRPr="005D70C7">
        <w:tab/>
      </w:r>
      <w:r w:rsidR="003D0EF9" w:rsidRPr="005D70C7">
        <w:tab/>
      </w:r>
      <w:r w:rsidR="003D0EF9" w:rsidRPr="005D70C7">
        <w:tab/>
      </w:r>
      <w:r w:rsidR="003D0EF9">
        <w:tab/>
        <w:t>Dzintars Rasnačs</w:t>
      </w:r>
    </w:p>
    <w:p w14:paraId="1692EFDD" w14:textId="77777777" w:rsidR="003D0EF9" w:rsidRDefault="003D0EF9" w:rsidP="003D0EF9">
      <w:pPr>
        <w:pStyle w:val="StyleRight"/>
        <w:spacing w:after="0"/>
        <w:ind w:firstLine="0"/>
        <w:jc w:val="both"/>
        <w:rPr>
          <w:sz w:val="24"/>
          <w:szCs w:val="24"/>
        </w:rPr>
      </w:pPr>
    </w:p>
    <w:p w14:paraId="1E08B938" w14:textId="77777777" w:rsidR="003D0EF9" w:rsidRPr="0003172F" w:rsidRDefault="003D0EF9" w:rsidP="003D0EF9">
      <w:pPr>
        <w:pStyle w:val="StyleRight"/>
        <w:spacing w:after="0"/>
        <w:ind w:firstLine="0"/>
        <w:jc w:val="both"/>
        <w:rPr>
          <w:sz w:val="24"/>
          <w:szCs w:val="24"/>
        </w:rPr>
      </w:pPr>
    </w:p>
    <w:p w14:paraId="2167D0ED" w14:textId="77777777" w:rsidR="003D0EF9" w:rsidRDefault="003D0EF9" w:rsidP="003D0EF9">
      <w:pPr>
        <w:rPr>
          <w:sz w:val="22"/>
          <w:szCs w:val="22"/>
        </w:rPr>
      </w:pPr>
    </w:p>
    <w:p w14:paraId="376F4FB3" w14:textId="6C0E322B" w:rsidR="003D0EF9" w:rsidRPr="003D0EF9" w:rsidRDefault="003D0EF9" w:rsidP="003D0EF9">
      <w:pPr>
        <w:rPr>
          <w:sz w:val="20"/>
          <w:szCs w:val="20"/>
        </w:rPr>
      </w:pPr>
      <w:r w:rsidRPr="003D0EF9">
        <w:rPr>
          <w:sz w:val="20"/>
          <w:szCs w:val="20"/>
        </w:rPr>
        <w:t>Cercens, 67036900</w:t>
      </w:r>
      <w:r w:rsidRPr="003D0EF9">
        <w:rPr>
          <w:sz w:val="20"/>
          <w:szCs w:val="20"/>
        </w:rPr>
        <w:br/>
      </w:r>
      <w:hyperlink r:id="rId7" w:history="1">
        <w:r w:rsidRPr="003D0EF9">
          <w:rPr>
            <w:rStyle w:val="Hipersaite"/>
            <w:sz w:val="20"/>
            <w:szCs w:val="20"/>
          </w:rPr>
          <w:t>Krisjanis.Cercens@tm.gov.lv</w:t>
        </w:r>
      </w:hyperlink>
    </w:p>
    <w:p w14:paraId="77985320" w14:textId="77777777" w:rsidR="003D0EF9" w:rsidRPr="00C971CE" w:rsidRDefault="003D0EF9">
      <w:pPr>
        <w:rPr>
          <w:sz w:val="22"/>
          <w:szCs w:val="22"/>
        </w:rPr>
      </w:pPr>
    </w:p>
    <w:sectPr w:rsidR="003D0EF9" w:rsidRPr="00C971CE" w:rsidSect="005673E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621C" w14:textId="77777777" w:rsidR="00986C18" w:rsidRDefault="00986C18" w:rsidP="00986C18">
      <w:r>
        <w:separator/>
      </w:r>
    </w:p>
  </w:endnote>
  <w:endnote w:type="continuationSeparator" w:id="0">
    <w:p w14:paraId="375CDF61" w14:textId="77777777" w:rsidR="00986C18" w:rsidRDefault="00986C18" w:rsidP="0098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434A" w14:textId="77777777" w:rsidR="008D536C" w:rsidRDefault="008D53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878A" w14:textId="77777777" w:rsidR="008D536C" w:rsidRDefault="008D536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F234" w14:textId="29FF7E32" w:rsidR="008D536C" w:rsidRDefault="005673E6">
    <w:pPr>
      <w:pStyle w:val="Kjene"/>
    </w:pPr>
    <w:r>
      <w:t>TM</w:t>
    </w:r>
    <w:r w:rsidR="009E0313">
      <w:t>Anot</w:t>
    </w:r>
    <w:r>
      <w:t>_251018_SvetkL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E6BA" w14:textId="77777777" w:rsidR="00986C18" w:rsidRDefault="00986C18" w:rsidP="00986C18">
      <w:r>
        <w:separator/>
      </w:r>
    </w:p>
  </w:footnote>
  <w:footnote w:type="continuationSeparator" w:id="0">
    <w:p w14:paraId="7FDF1B9A" w14:textId="77777777" w:rsidR="00986C18" w:rsidRDefault="00986C18" w:rsidP="00986C18">
      <w:r>
        <w:continuationSeparator/>
      </w:r>
    </w:p>
  </w:footnote>
  <w:footnote w:id="1">
    <w:p w14:paraId="765473A8" w14:textId="77777777" w:rsidR="00986C18" w:rsidRDefault="00986C18" w:rsidP="00986C18">
      <w:pPr>
        <w:jc w:val="both"/>
        <w:rPr>
          <w:sz w:val="22"/>
          <w:szCs w:val="22"/>
        </w:rPr>
      </w:pPr>
      <w:r>
        <w:rPr>
          <w:rStyle w:val="Vresatsauce"/>
        </w:rPr>
        <w:footnoteRef/>
      </w:r>
      <w:r>
        <w:t xml:space="preserve"> </w:t>
      </w:r>
      <w:r w:rsidRPr="00F10D8A">
        <w:rPr>
          <w:sz w:val="22"/>
          <w:szCs w:val="22"/>
        </w:rPr>
        <w:t xml:space="preserve">Attiecīgi ir pieņemta 2018. gada 19. jūlija Ministru prezidenta rezolūcija Nr. 12/2018-JUR-99 </w:t>
      </w:r>
      <w:r>
        <w:rPr>
          <w:sz w:val="22"/>
          <w:szCs w:val="22"/>
        </w:rPr>
        <w:t xml:space="preserve">- </w:t>
      </w:r>
      <w:r w:rsidRPr="00F10D8A">
        <w:rPr>
          <w:sz w:val="22"/>
          <w:szCs w:val="22"/>
        </w:rPr>
        <w:t>Tieslietu ministram līdz 2018.</w:t>
      </w:r>
      <w:r>
        <w:rPr>
          <w:sz w:val="22"/>
          <w:szCs w:val="22"/>
        </w:rPr>
        <w:t> </w:t>
      </w:r>
      <w:r w:rsidRPr="00F10D8A">
        <w:rPr>
          <w:sz w:val="22"/>
          <w:szCs w:val="22"/>
        </w:rPr>
        <w:t xml:space="preserve">gada 31. decembrim sagatavot un noteiktā kārtībā iesniegt Ministru kabinetā likuma “Par svētku, atceres un atzīmējamām dienām” </w:t>
      </w:r>
      <w:proofErr w:type="gramStart"/>
      <w:r w:rsidRPr="00F10D8A">
        <w:rPr>
          <w:sz w:val="22"/>
          <w:szCs w:val="22"/>
        </w:rPr>
        <w:t>(</w:t>
      </w:r>
      <w:proofErr w:type="gramEnd"/>
      <w:r w:rsidRPr="00F10D8A">
        <w:rPr>
          <w:sz w:val="22"/>
          <w:szCs w:val="22"/>
        </w:rPr>
        <w:t>2018. gada 20. jūnija likuma “Grozījumi likumā “Par svētku, atceres un atzīmējamām dienām”” redakcijā) pārejas noteikumā minētos priekšlikumus, attiecīgi nodrošinot Ministru kabinetam dotā uzdevuma izpildi.</w:t>
      </w:r>
    </w:p>
    <w:p w14:paraId="20E5D8BD" w14:textId="77777777" w:rsidR="00986C18" w:rsidRDefault="00986C18" w:rsidP="00986C18">
      <w:pPr>
        <w:jc w:val="both"/>
        <w:rPr>
          <w:sz w:val="22"/>
          <w:szCs w:val="22"/>
        </w:rPr>
      </w:pPr>
    </w:p>
    <w:p w14:paraId="2CB882EF" w14:textId="77777777" w:rsidR="00986C18" w:rsidRDefault="00986C18">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BBB4" w14:textId="77777777" w:rsidR="008D536C" w:rsidRDefault="008D53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94372"/>
      <w:docPartObj>
        <w:docPartGallery w:val="Page Numbers (Top of Page)"/>
        <w:docPartUnique/>
      </w:docPartObj>
    </w:sdtPr>
    <w:sdtEndPr/>
    <w:sdtContent>
      <w:p w14:paraId="1F98BA9A" w14:textId="77777777" w:rsidR="003D35FC" w:rsidRDefault="003D35FC">
        <w:pPr>
          <w:pStyle w:val="Galvene"/>
          <w:jc w:val="center"/>
        </w:pPr>
        <w:r>
          <w:fldChar w:fldCharType="begin"/>
        </w:r>
        <w:r>
          <w:instrText>PAGE   \* MERGEFORMAT</w:instrText>
        </w:r>
        <w:r>
          <w:fldChar w:fldCharType="separate"/>
        </w:r>
        <w:r>
          <w:t>2</w:t>
        </w:r>
        <w:r>
          <w:fldChar w:fldCharType="end"/>
        </w:r>
      </w:p>
    </w:sdtContent>
  </w:sdt>
  <w:p w14:paraId="413B6556" w14:textId="77777777" w:rsidR="008D536C" w:rsidRDefault="008D536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DC5A" w14:textId="77777777" w:rsidR="008D536C" w:rsidRDefault="008D536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588"/>
    <w:rsid w:val="00074146"/>
    <w:rsid w:val="002C540B"/>
    <w:rsid w:val="002F252C"/>
    <w:rsid w:val="003801CF"/>
    <w:rsid w:val="003C075B"/>
    <w:rsid w:val="003D0EF9"/>
    <w:rsid w:val="003D35FC"/>
    <w:rsid w:val="00432807"/>
    <w:rsid w:val="004D7E56"/>
    <w:rsid w:val="00500697"/>
    <w:rsid w:val="005673E6"/>
    <w:rsid w:val="005C24B0"/>
    <w:rsid w:val="00682043"/>
    <w:rsid w:val="006A02D0"/>
    <w:rsid w:val="007337FE"/>
    <w:rsid w:val="00786118"/>
    <w:rsid w:val="007D4DDB"/>
    <w:rsid w:val="007F3D1A"/>
    <w:rsid w:val="00857B7D"/>
    <w:rsid w:val="00873DB6"/>
    <w:rsid w:val="008A6D73"/>
    <w:rsid w:val="008D536C"/>
    <w:rsid w:val="00915D9E"/>
    <w:rsid w:val="0091714E"/>
    <w:rsid w:val="00924517"/>
    <w:rsid w:val="00951DBB"/>
    <w:rsid w:val="00986C18"/>
    <w:rsid w:val="00995707"/>
    <w:rsid w:val="00996DAC"/>
    <w:rsid w:val="009C1C79"/>
    <w:rsid w:val="009E0313"/>
    <w:rsid w:val="00A83DD3"/>
    <w:rsid w:val="00AB74D0"/>
    <w:rsid w:val="00AE1C98"/>
    <w:rsid w:val="00AE294D"/>
    <w:rsid w:val="00AE7AA8"/>
    <w:rsid w:val="00B32E7B"/>
    <w:rsid w:val="00B94112"/>
    <w:rsid w:val="00BD40BE"/>
    <w:rsid w:val="00BD5588"/>
    <w:rsid w:val="00C20D61"/>
    <w:rsid w:val="00C8427C"/>
    <w:rsid w:val="00C971CE"/>
    <w:rsid w:val="00CA6D87"/>
    <w:rsid w:val="00D260D5"/>
    <w:rsid w:val="00D500B1"/>
    <w:rsid w:val="00D77CED"/>
    <w:rsid w:val="00E44472"/>
    <w:rsid w:val="00E65D66"/>
    <w:rsid w:val="00E87053"/>
    <w:rsid w:val="00E879D0"/>
    <w:rsid w:val="00EE0D8C"/>
    <w:rsid w:val="00EF70D4"/>
    <w:rsid w:val="00F10D8A"/>
    <w:rsid w:val="00F36C7B"/>
    <w:rsid w:val="00F51ADA"/>
    <w:rsid w:val="00FA3F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2606C"/>
  <w15:docId w15:val="{6E0668B7-F697-4AF5-B4E0-9CED010F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D5588"/>
    <w:pPr>
      <w:jc w:val="center"/>
    </w:pPr>
    <w:rPr>
      <w:sz w:val="28"/>
      <w:szCs w:val="20"/>
      <w:lang w:eastAsia="en-US"/>
    </w:rPr>
  </w:style>
  <w:style w:type="character" w:customStyle="1" w:styleId="NosaukumsRakstz">
    <w:name w:val="Nosaukums Rakstz."/>
    <w:basedOn w:val="Noklusjumarindkopasfonts"/>
    <w:link w:val="Nosaukums"/>
    <w:rsid w:val="00BD5588"/>
    <w:rPr>
      <w:rFonts w:ascii="Times New Roman" w:eastAsia="Times New Roman" w:hAnsi="Times New Roman" w:cs="Times New Roman"/>
      <w:sz w:val="28"/>
      <w:szCs w:val="20"/>
    </w:rPr>
  </w:style>
  <w:style w:type="character" w:styleId="Hipersaite">
    <w:name w:val="Hyperlink"/>
    <w:basedOn w:val="Noklusjumarindkopasfonts"/>
    <w:uiPriority w:val="99"/>
    <w:semiHidden/>
    <w:unhideWhenUsed/>
    <w:rsid w:val="00BD5588"/>
    <w:rPr>
      <w:color w:val="0000FF"/>
      <w:u w:val="single"/>
    </w:rPr>
  </w:style>
  <w:style w:type="paragraph" w:styleId="Balonteksts">
    <w:name w:val="Balloon Text"/>
    <w:basedOn w:val="Parasts"/>
    <w:link w:val="BalontekstsRakstz"/>
    <w:uiPriority w:val="99"/>
    <w:semiHidden/>
    <w:unhideWhenUsed/>
    <w:rsid w:val="00986C1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6C18"/>
    <w:rPr>
      <w:rFonts w:ascii="Segoe UI" w:eastAsia="Times New Roman" w:hAnsi="Segoe UI" w:cs="Segoe UI"/>
      <w:sz w:val="18"/>
      <w:szCs w:val="18"/>
      <w:lang w:eastAsia="lv-LV"/>
    </w:rPr>
  </w:style>
  <w:style w:type="paragraph" w:styleId="Vresteksts">
    <w:name w:val="footnote text"/>
    <w:basedOn w:val="Parasts"/>
    <w:link w:val="VrestekstsRakstz"/>
    <w:uiPriority w:val="99"/>
    <w:semiHidden/>
    <w:unhideWhenUsed/>
    <w:rsid w:val="00986C18"/>
    <w:rPr>
      <w:sz w:val="20"/>
      <w:szCs w:val="20"/>
    </w:rPr>
  </w:style>
  <w:style w:type="character" w:customStyle="1" w:styleId="VrestekstsRakstz">
    <w:name w:val="Vēres teksts Rakstz."/>
    <w:basedOn w:val="Noklusjumarindkopasfonts"/>
    <w:link w:val="Vresteksts"/>
    <w:uiPriority w:val="99"/>
    <w:semiHidden/>
    <w:rsid w:val="00986C18"/>
    <w:rPr>
      <w:rFonts w:ascii="Times New Roman" w:eastAsia="Times New Roman" w:hAnsi="Times New Roman" w:cs="Times New Roman"/>
      <w:sz w:val="20"/>
      <w:szCs w:val="20"/>
      <w:lang w:eastAsia="lv-LV"/>
    </w:rPr>
  </w:style>
  <w:style w:type="character" w:styleId="Vresatsauce">
    <w:name w:val="footnote reference"/>
    <w:basedOn w:val="Noklusjumarindkopasfonts"/>
    <w:semiHidden/>
    <w:unhideWhenUsed/>
    <w:rsid w:val="00986C18"/>
    <w:rPr>
      <w:vertAlign w:val="superscript"/>
    </w:rPr>
  </w:style>
  <w:style w:type="paragraph" w:styleId="Galvene">
    <w:name w:val="header"/>
    <w:basedOn w:val="Parasts"/>
    <w:link w:val="GalveneRakstz"/>
    <w:uiPriority w:val="99"/>
    <w:unhideWhenUsed/>
    <w:rsid w:val="008D536C"/>
    <w:pPr>
      <w:tabs>
        <w:tab w:val="center" w:pos="4153"/>
        <w:tab w:val="right" w:pos="8306"/>
      </w:tabs>
    </w:pPr>
  </w:style>
  <w:style w:type="character" w:customStyle="1" w:styleId="GalveneRakstz">
    <w:name w:val="Galvene Rakstz."/>
    <w:basedOn w:val="Noklusjumarindkopasfonts"/>
    <w:link w:val="Galvene"/>
    <w:uiPriority w:val="99"/>
    <w:rsid w:val="008D536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D536C"/>
    <w:pPr>
      <w:tabs>
        <w:tab w:val="center" w:pos="4153"/>
        <w:tab w:val="right" w:pos="8306"/>
      </w:tabs>
    </w:pPr>
  </w:style>
  <w:style w:type="character" w:customStyle="1" w:styleId="KjeneRakstz">
    <w:name w:val="Kājene Rakstz."/>
    <w:basedOn w:val="Noklusjumarindkopasfonts"/>
    <w:link w:val="Kjene"/>
    <w:uiPriority w:val="99"/>
    <w:rsid w:val="008D536C"/>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35FC"/>
    <w:rPr>
      <w:sz w:val="16"/>
      <w:szCs w:val="16"/>
    </w:rPr>
  </w:style>
  <w:style w:type="paragraph" w:styleId="Komentrateksts">
    <w:name w:val="annotation text"/>
    <w:basedOn w:val="Parasts"/>
    <w:link w:val="KomentratekstsRakstz"/>
    <w:uiPriority w:val="99"/>
    <w:semiHidden/>
    <w:unhideWhenUsed/>
    <w:rsid w:val="003D35FC"/>
    <w:rPr>
      <w:sz w:val="20"/>
      <w:szCs w:val="20"/>
    </w:rPr>
  </w:style>
  <w:style w:type="character" w:customStyle="1" w:styleId="KomentratekstsRakstz">
    <w:name w:val="Komentāra teksts Rakstz."/>
    <w:basedOn w:val="Noklusjumarindkopasfonts"/>
    <w:link w:val="Komentrateksts"/>
    <w:uiPriority w:val="99"/>
    <w:semiHidden/>
    <w:rsid w:val="003D35F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35FC"/>
    <w:rPr>
      <w:b/>
      <w:bCs/>
    </w:rPr>
  </w:style>
  <w:style w:type="character" w:customStyle="1" w:styleId="KomentratmaRakstz">
    <w:name w:val="Komentāra tēma Rakstz."/>
    <w:basedOn w:val="KomentratekstsRakstz"/>
    <w:link w:val="Komentratma"/>
    <w:uiPriority w:val="99"/>
    <w:semiHidden/>
    <w:rsid w:val="003D35FC"/>
    <w:rPr>
      <w:rFonts w:ascii="Times New Roman" w:eastAsia="Times New Roman" w:hAnsi="Times New Roman" w:cs="Times New Roman"/>
      <w:b/>
      <w:bCs/>
      <w:sz w:val="20"/>
      <w:szCs w:val="20"/>
      <w:lang w:eastAsia="lv-LV"/>
    </w:rPr>
  </w:style>
  <w:style w:type="paragraph" w:customStyle="1" w:styleId="StyleRight">
    <w:name w:val="Style Right"/>
    <w:basedOn w:val="Parasts"/>
    <w:rsid w:val="003D0EF9"/>
    <w:pPr>
      <w:spacing w:after="120"/>
      <w:ind w:firstLine="720"/>
      <w:jc w:val="right"/>
    </w:pPr>
    <w:rPr>
      <w:sz w:val="28"/>
      <w:szCs w:val="28"/>
      <w:lang w:eastAsia="en-US"/>
    </w:rPr>
  </w:style>
  <w:style w:type="paragraph" w:styleId="Sarakstarindkopa">
    <w:name w:val="List Paragraph"/>
    <w:basedOn w:val="Parasts"/>
    <w:uiPriority w:val="34"/>
    <w:qFormat/>
    <w:rsid w:val="009C1C79"/>
    <w:pPr>
      <w:widowControl w:val="0"/>
      <w:ind w:left="720"/>
      <w:contextualSpacing/>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38121">
      <w:bodyDiv w:val="1"/>
      <w:marLeft w:val="0"/>
      <w:marRight w:val="0"/>
      <w:marTop w:val="0"/>
      <w:marBottom w:val="0"/>
      <w:divBdr>
        <w:top w:val="none" w:sz="0" w:space="0" w:color="auto"/>
        <w:left w:val="none" w:sz="0" w:space="0" w:color="auto"/>
        <w:bottom w:val="none" w:sz="0" w:space="0" w:color="auto"/>
        <w:right w:val="none" w:sz="0" w:space="0" w:color="auto"/>
      </w:divBdr>
    </w:div>
    <w:div w:id="159377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risjanis.Cercens@tm.gov.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FB7D-9BF0-4DC2-88B3-7EA03300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Pages>
  <Words>3838</Words>
  <Characters>2189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Krišjānis Cercens</cp:lastModifiedBy>
  <cp:revision>18</cp:revision>
  <cp:lastPrinted>2018-10-29T08:43:00Z</cp:lastPrinted>
  <dcterms:created xsi:type="dcterms:W3CDTF">2017-06-22T08:16:00Z</dcterms:created>
  <dcterms:modified xsi:type="dcterms:W3CDTF">2018-10-29T09:36:00Z</dcterms:modified>
</cp:coreProperties>
</file>