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6D" w:rsidRPr="00CD2B00" w:rsidRDefault="0079096D" w:rsidP="00DA596D">
      <w:pPr>
        <w:spacing w:after="0" w:line="240" w:lineRule="auto"/>
        <w:ind w:firstLine="300"/>
        <w:jc w:val="center"/>
        <w:rPr>
          <w:rFonts w:ascii="Times New Roman" w:hAnsi="Times New Roman"/>
          <w:b/>
          <w:bCs/>
          <w:sz w:val="24"/>
          <w:szCs w:val="24"/>
          <w:lang w:eastAsia="lv-LV"/>
        </w:rPr>
      </w:pPr>
      <w:r w:rsidRPr="00CD2B00">
        <w:rPr>
          <w:rFonts w:ascii="Times New Roman" w:hAnsi="Times New Roman"/>
          <w:b/>
          <w:bCs/>
          <w:sz w:val="24"/>
          <w:szCs w:val="24"/>
          <w:lang w:eastAsia="lv-LV"/>
        </w:rPr>
        <w:t xml:space="preserve">Ministru kabineta noteikumu projekta „Grozījumi </w:t>
      </w:r>
      <w:r w:rsidRPr="00CD2B00">
        <w:rPr>
          <w:rFonts w:ascii="Times New Roman" w:hAnsi="Times New Roman"/>
          <w:b/>
          <w:sz w:val="24"/>
          <w:szCs w:val="24"/>
        </w:rPr>
        <w:t>Ministru kabineta 2011. gada 5. aprīļa noteikumos Nr. 271 „Noteikumi par izvērtēšanas ziņojumā iekļaujamās informācijas apjomu un tā sastādīšanas un sniegšanas kārtību”</w:t>
      </w:r>
      <w:r w:rsidRPr="00CD2B00">
        <w:rPr>
          <w:rFonts w:ascii="Times New Roman" w:hAnsi="Times New Roman"/>
          <w:b/>
          <w:bCs/>
          <w:sz w:val="24"/>
          <w:szCs w:val="24"/>
          <w:lang w:eastAsia="lv-LV"/>
        </w:rPr>
        <w:t>” sākotnējās ietekmes novērtējuma ziņojums (anotācija)</w:t>
      </w:r>
    </w:p>
    <w:p w:rsidR="0079096D" w:rsidRPr="00CD2B00" w:rsidRDefault="0079096D" w:rsidP="00DA596D">
      <w:pPr>
        <w:spacing w:after="0" w:line="240" w:lineRule="auto"/>
        <w:ind w:firstLine="300"/>
        <w:jc w:val="center"/>
        <w:rPr>
          <w:rFonts w:ascii="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56"/>
        <w:gridCol w:w="2831"/>
        <w:gridCol w:w="5844"/>
      </w:tblGrid>
      <w:tr w:rsidR="0079096D" w:rsidRPr="00CD2B00" w:rsidTr="004D15A9">
        <w:trPr>
          <w:trHeight w:val="405"/>
        </w:trPr>
        <w:tc>
          <w:tcPr>
            <w:tcW w:w="0" w:type="auto"/>
            <w:gridSpan w:val="3"/>
            <w:tcBorders>
              <w:top w:val="outset" w:sz="6" w:space="0" w:color="414142"/>
              <w:bottom w:val="outset" w:sz="6" w:space="0" w:color="414142"/>
            </w:tcBorders>
            <w:vAlign w:val="center"/>
          </w:tcPr>
          <w:p w:rsidR="0079096D" w:rsidRPr="00CD2B00" w:rsidRDefault="0079096D" w:rsidP="00DA596D">
            <w:pPr>
              <w:spacing w:after="0" w:line="240" w:lineRule="auto"/>
              <w:ind w:firstLine="300"/>
              <w:jc w:val="center"/>
              <w:rPr>
                <w:rFonts w:ascii="Times New Roman" w:hAnsi="Times New Roman"/>
                <w:b/>
                <w:bCs/>
                <w:sz w:val="24"/>
                <w:szCs w:val="24"/>
                <w:lang w:eastAsia="lv-LV"/>
              </w:rPr>
            </w:pPr>
            <w:r w:rsidRPr="00CD2B00">
              <w:rPr>
                <w:rFonts w:ascii="Times New Roman" w:hAnsi="Times New Roman"/>
                <w:b/>
                <w:bCs/>
                <w:sz w:val="24"/>
                <w:szCs w:val="24"/>
                <w:lang w:eastAsia="lv-LV"/>
              </w:rPr>
              <w:t>I. Tiesību akta projekta izstrādes nepieciešamība</w:t>
            </w:r>
          </w:p>
        </w:tc>
      </w:tr>
      <w:tr w:rsidR="0079096D" w:rsidRPr="00CD2B00" w:rsidTr="004D15A9">
        <w:trPr>
          <w:trHeight w:val="40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Pamatojums</w:t>
            </w:r>
          </w:p>
        </w:tc>
        <w:tc>
          <w:tcPr>
            <w:tcW w:w="3200" w:type="pct"/>
            <w:tcBorders>
              <w:top w:val="outset" w:sz="6" w:space="0" w:color="414142"/>
              <w:left w:val="outset" w:sz="6" w:space="0" w:color="414142"/>
              <w:bottom w:val="outset" w:sz="6" w:space="0" w:color="414142"/>
            </w:tcBorders>
          </w:tcPr>
          <w:p w:rsidR="0079096D" w:rsidRPr="00CD2B00" w:rsidRDefault="0079096D" w:rsidP="006265FB">
            <w:pPr>
              <w:spacing w:after="0" w:line="240" w:lineRule="auto"/>
              <w:ind w:firstLine="673"/>
              <w:jc w:val="both"/>
              <w:rPr>
                <w:rFonts w:ascii="Times New Roman" w:hAnsi="Times New Roman"/>
                <w:sz w:val="24"/>
                <w:szCs w:val="24"/>
                <w:lang w:eastAsia="lv-LV"/>
              </w:rPr>
            </w:pPr>
            <w:r>
              <w:rPr>
                <w:rFonts w:ascii="Times New Roman" w:hAnsi="Times New Roman"/>
                <w:sz w:val="24"/>
                <w:szCs w:val="24"/>
                <w:lang w:eastAsia="lv-LV"/>
              </w:rPr>
              <w:t xml:space="preserve">Saeimā pieņemti likumi – „Grozījumi Valsts probācijas dienesta likumā” (pieņemts Saeimā 2014.gada 2.oktobrī), „Grozījumi Latvijas Sodu izpildes kodeksā” (pieņemts Saeimā 2014.gada 2.oktobrī), „Grozījumi Krimināllikumā” (pieņemts Saeimā 2014.gada 16.oktobrī) un „Grozījumi Kriminālprocesa likumā” (pieņemts Saeimā 2014.gada 16.oktobrī) – kuri no </w:t>
            </w:r>
            <w:r>
              <w:rPr>
                <w:rFonts w:ascii="Times New Roman" w:hAnsi="Times New Roman"/>
                <w:sz w:val="24"/>
                <w:szCs w:val="24"/>
              </w:rPr>
              <w:t>2015.gada 1.februāra Latvijā ievieš elektroniskās uzraudzības institūtu.</w:t>
            </w:r>
          </w:p>
        </w:tc>
      </w:tr>
      <w:tr w:rsidR="0079096D" w:rsidRPr="00CD2B00" w:rsidTr="004D15A9">
        <w:trPr>
          <w:trHeight w:val="46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tcBorders>
          </w:tcPr>
          <w:p w:rsidR="0079096D" w:rsidRPr="00BF61C0" w:rsidRDefault="0079096D" w:rsidP="001104E1">
            <w:pPr>
              <w:pStyle w:val="tv2131"/>
              <w:spacing w:before="0" w:line="240" w:lineRule="auto"/>
              <w:ind w:firstLine="673"/>
              <w:rPr>
                <w:rFonts w:ascii="Times New Roman" w:hAnsi="Times New Roman"/>
                <w:sz w:val="24"/>
                <w:szCs w:val="24"/>
              </w:rPr>
            </w:pPr>
            <w:r w:rsidRPr="00BF61C0">
              <w:rPr>
                <w:rFonts w:ascii="Times New Roman" w:hAnsi="Times New Roman"/>
                <w:sz w:val="24"/>
                <w:szCs w:val="24"/>
              </w:rPr>
              <w:t xml:space="preserve">2014.gada 2.oktobrī Saeima </w:t>
            </w:r>
            <w:r>
              <w:rPr>
                <w:rFonts w:ascii="Times New Roman" w:hAnsi="Times New Roman"/>
                <w:sz w:val="24"/>
                <w:szCs w:val="24"/>
              </w:rPr>
              <w:t>pieņēma</w:t>
            </w:r>
            <w:r w:rsidRPr="00BF61C0">
              <w:rPr>
                <w:rFonts w:ascii="Times New Roman" w:hAnsi="Times New Roman"/>
                <w:sz w:val="24"/>
                <w:szCs w:val="24"/>
              </w:rPr>
              <w:t xml:space="preserve"> </w:t>
            </w:r>
            <w:r>
              <w:rPr>
                <w:rFonts w:ascii="Times New Roman" w:hAnsi="Times New Roman"/>
                <w:sz w:val="24"/>
                <w:szCs w:val="24"/>
              </w:rPr>
              <w:t>likumu „G</w:t>
            </w:r>
            <w:r w:rsidRPr="00BF61C0">
              <w:rPr>
                <w:rFonts w:ascii="Times New Roman" w:hAnsi="Times New Roman"/>
                <w:sz w:val="24"/>
                <w:szCs w:val="24"/>
              </w:rPr>
              <w:t>rozījum</w:t>
            </w:r>
            <w:r>
              <w:rPr>
                <w:rFonts w:ascii="Times New Roman" w:hAnsi="Times New Roman"/>
                <w:sz w:val="24"/>
                <w:szCs w:val="24"/>
              </w:rPr>
              <w:t>i</w:t>
            </w:r>
            <w:r w:rsidRPr="00BF61C0">
              <w:rPr>
                <w:rFonts w:ascii="Times New Roman" w:hAnsi="Times New Roman"/>
                <w:sz w:val="24"/>
                <w:szCs w:val="24"/>
              </w:rPr>
              <w:t xml:space="preserve"> Valsts probācijas dienesta likumā</w:t>
            </w:r>
            <w:r>
              <w:rPr>
                <w:rFonts w:ascii="Times New Roman" w:hAnsi="Times New Roman"/>
                <w:sz w:val="24"/>
                <w:szCs w:val="24"/>
              </w:rPr>
              <w:t>”</w:t>
            </w:r>
            <w:r w:rsidRPr="00BF61C0">
              <w:rPr>
                <w:rFonts w:ascii="Times New Roman" w:hAnsi="Times New Roman"/>
                <w:sz w:val="24"/>
                <w:szCs w:val="24"/>
              </w:rPr>
              <w:t xml:space="preserve"> (turpmāk – </w:t>
            </w:r>
            <w:r>
              <w:rPr>
                <w:rFonts w:ascii="Times New Roman" w:hAnsi="Times New Roman"/>
                <w:sz w:val="24"/>
                <w:szCs w:val="24"/>
              </w:rPr>
              <w:t xml:space="preserve">grozījumi </w:t>
            </w:r>
            <w:r w:rsidRPr="00BF61C0">
              <w:rPr>
                <w:rFonts w:ascii="Times New Roman" w:hAnsi="Times New Roman"/>
                <w:sz w:val="24"/>
                <w:szCs w:val="24"/>
              </w:rPr>
              <w:t>VPDL)</w:t>
            </w:r>
            <w:r>
              <w:rPr>
                <w:rFonts w:ascii="Times New Roman" w:hAnsi="Times New Roman"/>
                <w:sz w:val="24"/>
                <w:szCs w:val="24"/>
              </w:rPr>
              <w:t>, kurš stāsies</w:t>
            </w:r>
            <w:r w:rsidRPr="00BF61C0">
              <w:rPr>
                <w:rFonts w:ascii="Times New Roman" w:hAnsi="Times New Roman"/>
                <w:sz w:val="24"/>
                <w:szCs w:val="24"/>
              </w:rPr>
              <w:t xml:space="preserve"> spēkā 2015.gada 1.februārī. </w:t>
            </w:r>
          </w:p>
          <w:p w:rsidR="0079096D" w:rsidRDefault="0079096D" w:rsidP="0059190E">
            <w:pPr>
              <w:spacing w:after="0" w:line="240" w:lineRule="auto"/>
              <w:ind w:firstLine="673"/>
              <w:jc w:val="both"/>
              <w:rPr>
                <w:rFonts w:ascii="Times New Roman" w:hAnsi="Times New Roman"/>
                <w:sz w:val="24"/>
                <w:szCs w:val="24"/>
              </w:rPr>
            </w:pPr>
            <w:r>
              <w:rPr>
                <w:rFonts w:ascii="Times New Roman" w:hAnsi="Times New Roman"/>
                <w:sz w:val="24"/>
                <w:szCs w:val="24"/>
              </w:rPr>
              <w:t>Kopā ar grozījumiem VPDL ir pieņemti likumi par  grozījumiem Latvijas Sodu izpildes kodeksā,  Krimināllikumā un Kriminālprocesa likumā, kuri stājas spēkā 2015.gada 1.februārī un paredz ieviest nosacītu pirmstermiņa atbrīvošanu ar elektroniskās uzraudzības noteikšanu, kā arī paredz, ka turpmāk pienākumus nosacīti notiesātajiem un nosacīti pirms termiņa atbrīvotajiem uzraudzības laikā noteiks Valsts probācijas dienests (turpmāk – VPD), nevis tiesa.</w:t>
            </w:r>
          </w:p>
          <w:p w:rsidR="0079096D" w:rsidRPr="002864C1" w:rsidRDefault="0079096D" w:rsidP="0059190E">
            <w:pPr>
              <w:pStyle w:val="tv2131"/>
              <w:spacing w:before="0" w:line="240" w:lineRule="auto"/>
              <w:ind w:firstLine="720"/>
              <w:rPr>
                <w:rFonts w:ascii="Times New Roman" w:hAnsi="Times New Roman"/>
                <w:sz w:val="24"/>
                <w:szCs w:val="24"/>
              </w:rPr>
            </w:pPr>
            <w:r w:rsidRPr="00BF61C0">
              <w:rPr>
                <w:rFonts w:ascii="Times New Roman" w:hAnsi="Times New Roman"/>
                <w:sz w:val="24"/>
                <w:szCs w:val="24"/>
              </w:rPr>
              <w:t xml:space="preserve">Ar grozījumiem VPDL ir papildināta </w:t>
            </w:r>
            <w:r>
              <w:rPr>
                <w:rFonts w:ascii="Times New Roman" w:hAnsi="Times New Roman"/>
                <w:sz w:val="24"/>
                <w:szCs w:val="24"/>
              </w:rPr>
              <w:t>Valsts probācijas dienesta likuma (turpmāk – VPDL)</w:t>
            </w:r>
            <w:r w:rsidRPr="00BF61C0">
              <w:rPr>
                <w:rFonts w:ascii="Times New Roman" w:hAnsi="Times New Roman"/>
                <w:sz w:val="24"/>
                <w:szCs w:val="24"/>
              </w:rPr>
              <w:t xml:space="preserve"> 15.panta trešā daļa, elektroniskās uzraudzības </w:t>
            </w:r>
            <w:r>
              <w:rPr>
                <w:rFonts w:ascii="Times New Roman" w:hAnsi="Times New Roman"/>
                <w:sz w:val="24"/>
                <w:szCs w:val="24"/>
              </w:rPr>
              <w:t xml:space="preserve">kontekstā </w:t>
            </w:r>
            <w:r w:rsidRPr="009E6C90">
              <w:rPr>
                <w:rFonts w:ascii="Times New Roman" w:hAnsi="Times New Roman"/>
                <w:sz w:val="24"/>
                <w:szCs w:val="24"/>
              </w:rPr>
              <w:t>paplašināts izvērtēšanas ziņojuma mērķis, proti,</w:t>
            </w:r>
            <w:r w:rsidRPr="009E6C90">
              <w:rPr>
                <w:rStyle w:val="apple-converted-space"/>
                <w:rFonts w:ascii="Times New Roman" w:hAnsi="Times New Roman"/>
                <w:sz w:val="24"/>
                <w:szCs w:val="24"/>
                <w:shd w:val="clear" w:color="auto" w:fill="FFFFFF"/>
              </w:rPr>
              <w:t> </w:t>
            </w:r>
            <w:r w:rsidRPr="009E6C90">
              <w:rPr>
                <w:rFonts w:ascii="Times New Roman" w:hAnsi="Times New Roman"/>
                <w:sz w:val="24"/>
                <w:szCs w:val="24"/>
                <w:shd w:val="clear" w:color="auto" w:fill="FFFFFF"/>
              </w:rPr>
              <w:t xml:space="preserve">raksturot apstākļu, kādos probācijas klients plāno dzīvot pēc nosacītas pirmstermiņa atbrīvošanas no soda izciešanas, piemērotību elektroniskās uzraudzības noteikšanai, ja izvērtēšanas </w:t>
            </w:r>
            <w:smartTag w:uri="schemas-tilde-lv/tildestengine" w:element="veidnes">
              <w:smartTagPr>
                <w:attr w:name="id" w:val="-1"/>
                <w:attr w:name="baseform" w:val="ziņojums"/>
                <w:attr w:name="text" w:val="ziņojums"/>
              </w:smartTagPr>
              <w:r w:rsidRPr="009E6C90">
                <w:rPr>
                  <w:rFonts w:ascii="Times New Roman" w:hAnsi="Times New Roman"/>
                  <w:sz w:val="24"/>
                  <w:szCs w:val="24"/>
                  <w:shd w:val="clear" w:color="auto" w:fill="FFFFFF"/>
                </w:rPr>
                <w:t>ziņojums</w:t>
              </w:r>
            </w:smartTag>
            <w:r>
              <w:rPr>
                <w:rFonts w:ascii="Times New Roman" w:hAnsi="Times New Roman"/>
                <w:sz w:val="24"/>
                <w:szCs w:val="24"/>
                <w:shd w:val="clear" w:color="auto" w:fill="FFFFFF"/>
              </w:rPr>
              <w:t xml:space="preserve"> sastādāms par notiesāto, kurš</w:t>
            </w:r>
            <w:r w:rsidRPr="009E6C90">
              <w:rPr>
                <w:rFonts w:ascii="Times New Roman" w:hAnsi="Times New Roman"/>
                <w:sz w:val="24"/>
                <w:szCs w:val="24"/>
                <w:shd w:val="clear" w:color="auto" w:fill="FFFFFF"/>
              </w:rPr>
              <w:t xml:space="preserve"> lūdzis viņu atbrīvot no soda izciešanas nosacīti pirms termiņa ar </w:t>
            </w:r>
            <w:r w:rsidRPr="002864C1">
              <w:rPr>
                <w:rFonts w:ascii="Times New Roman" w:hAnsi="Times New Roman"/>
                <w:sz w:val="24"/>
                <w:szCs w:val="24"/>
                <w:shd w:val="clear" w:color="auto" w:fill="FFFFFF"/>
              </w:rPr>
              <w:t>elektroniskās uzraudzības noteikšanu</w:t>
            </w:r>
            <w:r w:rsidRPr="002864C1">
              <w:rPr>
                <w:rFonts w:ascii="Times New Roman" w:hAnsi="Times New Roman"/>
                <w:sz w:val="24"/>
                <w:szCs w:val="24"/>
              </w:rPr>
              <w:t>.</w:t>
            </w:r>
          </w:p>
          <w:p w:rsidR="0079096D" w:rsidRDefault="0079096D" w:rsidP="0059190E">
            <w:pPr>
              <w:spacing w:after="0" w:line="240" w:lineRule="auto"/>
              <w:ind w:firstLine="673"/>
              <w:jc w:val="both"/>
              <w:rPr>
                <w:rFonts w:ascii="Times New Roman" w:hAnsi="Times New Roman"/>
                <w:sz w:val="24"/>
                <w:szCs w:val="24"/>
              </w:rPr>
            </w:pPr>
            <w:r w:rsidRPr="002864C1">
              <w:rPr>
                <w:rFonts w:ascii="Times New Roman" w:hAnsi="Times New Roman"/>
                <w:sz w:val="24"/>
                <w:szCs w:val="24"/>
              </w:rPr>
              <w:t>Tāpat VPDL 25.pant</w:t>
            </w:r>
            <w:r>
              <w:rPr>
                <w:rFonts w:ascii="Times New Roman" w:hAnsi="Times New Roman"/>
                <w:sz w:val="24"/>
                <w:szCs w:val="24"/>
              </w:rPr>
              <w:t>ā papildināts regulējums par VPD</w:t>
            </w:r>
            <w:r w:rsidRPr="002864C1">
              <w:rPr>
                <w:rFonts w:ascii="Times New Roman" w:hAnsi="Times New Roman"/>
                <w:sz w:val="24"/>
                <w:szCs w:val="24"/>
              </w:rPr>
              <w:t xml:space="preserve"> ierēdņu tiesībām, kas saistītas ar elektroniskās uzraudzības piemērotības vērtēšanu. Vērtējot elektroniskās uzraudzības </w:t>
            </w:r>
            <w:r>
              <w:rPr>
                <w:rFonts w:ascii="Times New Roman" w:hAnsi="Times New Roman"/>
                <w:sz w:val="24"/>
                <w:szCs w:val="24"/>
              </w:rPr>
              <w:t>noteikšanu</w:t>
            </w:r>
            <w:r w:rsidRPr="002864C1">
              <w:rPr>
                <w:rFonts w:ascii="Times New Roman" w:hAnsi="Times New Roman"/>
                <w:sz w:val="24"/>
                <w:szCs w:val="24"/>
              </w:rPr>
              <w:t xml:space="preserve"> probācijas klientam,</w:t>
            </w:r>
            <w:r>
              <w:rPr>
                <w:rFonts w:ascii="Times New Roman" w:hAnsi="Times New Roman"/>
                <w:sz w:val="24"/>
                <w:szCs w:val="24"/>
              </w:rPr>
              <w:t xml:space="preserve"> grozījumi</w:t>
            </w:r>
            <w:r w:rsidRPr="002864C1">
              <w:rPr>
                <w:rFonts w:ascii="Times New Roman" w:hAnsi="Times New Roman"/>
                <w:sz w:val="24"/>
                <w:szCs w:val="24"/>
              </w:rPr>
              <w:t xml:space="preserve"> VPDL paredz VPD </w:t>
            </w:r>
            <w:r>
              <w:rPr>
                <w:rFonts w:ascii="Times New Roman" w:hAnsi="Times New Roman"/>
                <w:sz w:val="24"/>
                <w:szCs w:val="24"/>
              </w:rPr>
              <w:t>amatpersonām</w:t>
            </w:r>
            <w:r w:rsidRPr="002864C1">
              <w:rPr>
                <w:rFonts w:ascii="Times New Roman" w:hAnsi="Times New Roman"/>
                <w:sz w:val="24"/>
                <w:szCs w:val="24"/>
              </w:rPr>
              <w:t xml:space="preserve"> tiesības bez probācijas klienta piekrišanas tikties ar personām, kuras dzīvo probācijas klienta iespējamā dzīvesvietā, lai noskaidrotu šo personu attieksmi pret elektroniskās uzraudzības noteikšanu un elektronisko ierīču uzstādīšanu; saņemt personu, kuras dzīvo probācijas klienta iespējamā dzīvesvietā, atļauju elektronisko ierīču izvietošanai šajā dzīvesvietā probācijas klienta elektroniskās uzraudzības īstenošanai; veikt probācijas klienta iespējamās dzīvesvietas atbilstības izvērtēšanu elektroniskās uzraudzības noteikšanai.</w:t>
            </w:r>
          </w:p>
          <w:p w:rsidR="0079096D" w:rsidRDefault="0079096D" w:rsidP="0059190E">
            <w:pPr>
              <w:pStyle w:val="tv2131"/>
              <w:spacing w:before="0" w:line="240" w:lineRule="auto"/>
              <w:ind w:firstLine="720"/>
              <w:rPr>
                <w:rFonts w:ascii="Times New Roman" w:hAnsi="Times New Roman"/>
                <w:sz w:val="24"/>
                <w:szCs w:val="24"/>
              </w:rPr>
            </w:pPr>
            <w:r w:rsidRPr="002864C1">
              <w:rPr>
                <w:rFonts w:ascii="Times New Roman" w:hAnsi="Times New Roman"/>
                <w:sz w:val="24"/>
                <w:szCs w:val="24"/>
              </w:rPr>
              <w:t>Ņemot vērā iepriekš minētos grozījumus VPDL 15.pantā un 25.pantā</w:t>
            </w:r>
            <w:r>
              <w:rPr>
                <w:rFonts w:ascii="Times New Roman" w:hAnsi="Times New Roman"/>
                <w:sz w:val="24"/>
                <w:szCs w:val="24"/>
              </w:rPr>
              <w:t>, ir</w:t>
            </w:r>
            <w:r w:rsidRPr="002864C1">
              <w:rPr>
                <w:rFonts w:ascii="Times New Roman" w:hAnsi="Times New Roman"/>
                <w:sz w:val="24"/>
                <w:szCs w:val="24"/>
              </w:rPr>
              <w:t xml:space="preserve"> izstrādāt</w:t>
            </w:r>
            <w:r>
              <w:rPr>
                <w:rFonts w:ascii="Times New Roman" w:hAnsi="Times New Roman"/>
                <w:sz w:val="24"/>
                <w:szCs w:val="24"/>
              </w:rPr>
              <w:t>s Ministru kabineta noteikumu projekts</w:t>
            </w:r>
            <w:r w:rsidRPr="002864C1">
              <w:rPr>
                <w:rFonts w:ascii="Times New Roman" w:hAnsi="Times New Roman"/>
                <w:sz w:val="24"/>
                <w:szCs w:val="24"/>
              </w:rPr>
              <w:t xml:space="preserve"> </w:t>
            </w:r>
            <w:r>
              <w:rPr>
                <w:rFonts w:ascii="Times New Roman" w:hAnsi="Times New Roman"/>
                <w:sz w:val="24"/>
                <w:szCs w:val="24"/>
              </w:rPr>
              <w:t>„G</w:t>
            </w:r>
            <w:r w:rsidRPr="002864C1">
              <w:rPr>
                <w:rFonts w:ascii="Times New Roman" w:hAnsi="Times New Roman"/>
                <w:sz w:val="24"/>
                <w:szCs w:val="24"/>
              </w:rPr>
              <w:t>rozījumi Ministru kabineta 2011.gada 5.aprīļa noteikumos Nr.271 „Noteikumi par izvērtēšanas ziņojumā iekļaujamās informācijas apjomu un tā sastādīšanas un sniegšanas kārtību”</w:t>
            </w:r>
            <w:r>
              <w:rPr>
                <w:rFonts w:ascii="Times New Roman" w:hAnsi="Times New Roman"/>
                <w:sz w:val="24"/>
                <w:szCs w:val="24"/>
              </w:rPr>
              <w:t>”</w:t>
            </w:r>
            <w:r w:rsidRPr="002864C1">
              <w:rPr>
                <w:rFonts w:ascii="Times New Roman" w:hAnsi="Times New Roman"/>
                <w:sz w:val="24"/>
                <w:szCs w:val="24"/>
              </w:rPr>
              <w:t xml:space="preserve"> (turpmāk</w:t>
            </w:r>
            <w:r>
              <w:rPr>
                <w:rFonts w:ascii="Times New Roman" w:hAnsi="Times New Roman"/>
                <w:sz w:val="24"/>
                <w:szCs w:val="24"/>
              </w:rPr>
              <w:t> </w:t>
            </w:r>
            <w:r w:rsidRPr="002864C1">
              <w:rPr>
                <w:rFonts w:ascii="Times New Roman" w:hAnsi="Times New Roman"/>
                <w:sz w:val="24"/>
                <w:szCs w:val="24"/>
              </w:rPr>
              <w:t>–</w:t>
            </w:r>
            <w:r>
              <w:rPr>
                <w:rFonts w:ascii="Times New Roman" w:hAnsi="Times New Roman"/>
                <w:sz w:val="24"/>
                <w:szCs w:val="24"/>
              </w:rPr>
              <w:t> </w:t>
            </w:r>
            <w:r w:rsidRPr="002864C1">
              <w:rPr>
                <w:rFonts w:ascii="Times New Roman" w:hAnsi="Times New Roman"/>
                <w:sz w:val="24"/>
                <w:szCs w:val="24"/>
              </w:rPr>
              <w:t xml:space="preserve">projekts). </w:t>
            </w:r>
          </w:p>
          <w:p w:rsidR="0079096D" w:rsidRDefault="0079096D" w:rsidP="0059190E">
            <w:pPr>
              <w:spacing w:after="0" w:line="240" w:lineRule="auto"/>
              <w:ind w:firstLine="673"/>
              <w:jc w:val="both"/>
              <w:rPr>
                <w:rFonts w:ascii="Times New Roman" w:hAnsi="Times New Roman"/>
                <w:sz w:val="24"/>
                <w:szCs w:val="24"/>
              </w:rPr>
            </w:pPr>
            <w:r>
              <w:rPr>
                <w:rFonts w:ascii="Times New Roman" w:hAnsi="Times New Roman"/>
                <w:sz w:val="24"/>
                <w:szCs w:val="24"/>
              </w:rPr>
              <w:t xml:space="preserve"> Saistībā ar elektroniskās uzraudzības noteikšanu, amatpersonai ir jāvērtē vairāki specifiski faktori, tādēļ </w:t>
            </w:r>
            <w:r w:rsidRPr="002864C1">
              <w:rPr>
                <w:rFonts w:ascii="Times New Roman" w:hAnsi="Times New Roman"/>
                <w:sz w:val="24"/>
                <w:szCs w:val="24"/>
              </w:rPr>
              <w:t>projekt</w:t>
            </w:r>
            <w:r>
              <w:rPr>
                <w:rFonts w:ascii="Times New Roman" w:hAnsi="Times New Roman"/>
                <w:sz w:val="24"/>
                <w:szCs w:val="24"/>
              </w:rPr>
              <w:t>s papildina</w:t>
            </w:r>
            <w:r w:rsidRPr="002864C1">
              <w:rPr>
                <w:rFonts w:ascii="Times New Roman" w:hAnsi="Times New Roman"/>
                <w:sz w:val="24"/>
                <w:szCs w:val="24"/>
              </w:rPr>
              <w:t xml:space="preserve"> izvērtēšanas ziņojumā iekļaujamās informāc</w:t>
            </w:r>
            <w:r>
              <w:rPr>
                <w:rFonts w:ascii="Times New Roman" w:hAnsi="Times New Roman"/>
                <w:sz w:val="24"/>
                <w:szCs w:val="24"/>
              </w:rPr>
              <w:t xml:space="preserve">ijas apjomu. Nozīmīga loma jautājumā par elektroniskās uzraudzības noteikšanu probācijas klientam ir  tieši saistīta ar iespēju elektroniskās uzraudzības iekārtas </w:t>
            </w:r>
            <w:r w:rsidRPr="0059190E">
              <w:rPr>
                <w:rFonts w:ascii="Times New Roman" w:hAnsi="Times New Roman"/>
                <w:sz w:val="24"/>
                <w:szCs w:val="24"/>
              </w:rPr>
              <w:t>droši uzstādīt notiesātā</w:t>
            </w:r>
            <w:r>
              <w:rPr>
                <w:rFonts w:ascii="Times New Roman" w:hAnsi="Times New Roman"/>
                <w:sz w:val="24"/>
                <w:szCs w:val="24"/>
              </w:rPr>
              <w:t xml:space="preserve"> izvēlētajā dzīvesvietā, nodrošinot to nepārtrauktu funkcionēšanu visā elektroniskās uzraudzības termiņā. Tādēļ izvērtēšanas ziņojuma sagatavošanas laikā nepieciešams pilnvērtīgi izvērtēt vairākus faktorus, kas saistīti ar </w:t>
            </w:r>
            <w:r w:rsidRPr="00FF0F22">
              <w:rPr>
                <w:rFonts w:ascii="Times New Roman" w:hAnsi="Times New Roman"/>
                <w:sz w:val="24"/>
                <w:szCs w:val="24"/>
              </w:rPr>
              <w:t>iespējamās dzīvesvietas piemērotību elektr</w:t>
            </w:r>
            <w:r>
              <w:rPr>
                <w:rFonts w:ascii="Times New Roman" w:hAnsi="Times New Roman"/>
                <w:sz w:val="24"/>
                <w:szCs w:val="24"/>
              </w:rPr>
              <w:t xml:space="preserve">oniskās uzraudzības noteikšanai. Notiesātajam, kurš </w:t>
            </w:r>
            <w:r w:rsidRPr="00FF0F22">
              <w:rPr>
                <w:rFonts w:ascii="Times New Roman" w:hAnsi="Times New Roman"/>
                <w:sz w:val="24"/>
                <w:szCs w:val="24"/>
              </w:rPr>
              <w:t xml:space="preserve">pretendē uz nosacītu pirmstermiņa atbrīvošanu no soda izciešanas ar elektroniskās </w:t>
            </w:r>
            <w:r w:rsidRPr="00AF14B5">
              <w:rPr>
                <w:rFonts w:ascii="Times New Roman" w:hAnsi="Times New Roman"/>
                <w:sz w:val="24"/>
                <w:szCs w:val="24"/>
              </w:rPr>
              <w:t>uzraudzības noteikšanu</w:t>
            </w:r>
            <w:r>
              <w:rPr>
                <w:rFonts w:ascii="Times New Roman" w:hAnsi="Times New Roman"/>
                <w:sz w:val="24"/>
                <w:szCs w:val="24"/>
              </w:rPr>
              <w:t>,</w:t>
            </w:r>
            <w:r w:rsidRPr="00AF14B5">
              <w:rPr>
                <w:rFonts w:ascii="Times New Roman" w:hAnsi="Times New Roman"/>
                <w:sz w:val="24"/>
                <w:szCs w:val="24"/>
              </w:rPr>
              <w:t xml:space="preserve"> ir jābūt noteiktai dzīvesvietai, dzīvesvietai ir jābūt apgādātai ar pastāvīgu elektroenerģijas pieslēgumu,</w:t>
            </w:r>
            <w:r>
              <w:rPr>
                <w:rFonts w:ascii="Times New Roman" w:hAnsi="Times New Roman"/>
                <w:sz w:val="24"/>
                <w:szCs w:val="24"/>
              </w:rPr>
              <w:t xml:space="preserve"> </w:t>
            </w:r>
            <w:r w:rsidRPr="00AF14B5">
              <w:rPr>
                <w:rFonts w:ascii="Times New Roman" w:hAnsi="Times New Roman"/>
                <w:sz w:val="24"/>
                <w:szCs w:val="24"/>
              </w:rPr>
              <w:t>dzīvesvietā ir</w:t>
            </w:r>
            <w:r>
              <w:rPr>
                <w:rFonts w:ascii="Times New Roman" w:hAnsi="Times New Roman"/>
                <w:sz w:val="24"/>
                <w:szCs w:val="24"/>
              </w:rPr>
              <w:t xml:space="preserve"> jābūt pastāvīgam mobilo sakaru tīkla pārklājumam, u.c. faktoriem.</w:t>
            </w:r>
            <w:r w:rsidRPr="003620E5">
              <w:t xml:space="preserve"> </w:t>
            </w:r>
            <w:r>
              <w:rPr>
                <w:rFonts w:ascii="Times New Roman" w:hAnsi="Times New Roman"/>
                <w:sz w:val="24"/>
                <w:szCs w:val="24"/>
              </w:rPr>
              <w:t>P</w:t>
            </w:r>
            <w:r w:rsidRPr="002864C1">
              <w:rPr>
                <w:rFonts w:ascii="Times New Roman" w:hAnsi="Times New Roman"/>
                <w:sz w:val="24"/>
                <w:szCs w:val="24"/>
              </w:rPr>
              <w:t>rojekts</w:t>
            </w:r>
            <w:r>
              <w:rPr>
                <w:rFonts w:ascii="Times New Roman" w:hAnsi="Times New Roman"/>
                <w:sz w:val="24"/>
                <w:szCs w:val="24"/>
              </w:rPr>
              <w:t xml:space="preserve"> papildina </w:t>
            </w:r>
            <w:r w:rsidRPr="002864C1">
              <w:rPr>
                <w:rFonts w:ascii="Times New Roman" w:hAnsi="Times New Roman"/>
                <w:sz w:val="24"/>
                <w:szCs w:val="24"/>
              </w:rPr>
              <w:t>Ministru kabineta 2011.gada 5.aprīļa</w:t>
            </w:r>
            <w:r>
              <w:rPr>
                <w:rFonts w:ascii="Times New Roman" w:hAnsi="Times New Roman"/>
                <w:sz w:val="24"/>
                <w:szCs w:val="24"/>
              </w:rPr>
              <w:t xml:space="preserve"> noteikumos</w:t>
            </w:r>
            <w:r w:rsidRPr="002864C1">
              <w:rPr>
                <w:rFonts w:ascii="Times New Roman" w:hAnsi="Times New Roman"/>
                <w:sz w:val="24"/>
                <w:szCs w:val="24"/>
              </w:rPr>
              <w:t xml:space="preserve"> Nr.271 „Noteikumi par izvērtēšanas ziņojumā iekļaujamās informācijas apjomu un tā sastādīšanas un sniegšanas kārtību”</w:t>
            </w:r>
            <w:r>
              <w:rPr>
                <w:rFonts w:ascii="Times New Roman" w:hAnsi="Times New Roman"/>
                <w:sz w:val="24"/>
                <w:szCs w:val="24"/>
              </w:rPr>
              <w:t xml:space="preserve"> (turpmāk – noteikumi) iekļauto normatīvo regulējumu</w:t>
            </w:r>
            <w:r w:rsidRPr="002864C1">
              <w:rPr>
                <w:rFonts w:ascii="Times New Roman" w:hAnsi="Times New Roman"/>
                <w:sz w:val="24"/>
                <w:szCs w:val="24"/>
              </w:rPr>
              <w:t xml:space="preserve"> ar kritēriju kopumu, kas jāņem vērā, izvērtējot nosacītas pirmstermiņa atbrīvošanas no soda izciešanas ar elektronisko uzraudzību </w:t>
            </w:r>
            <w:r>
              <w:rPr>
                <w:rFonts w:ascii="Times New Roman" w:hAnsi="Times New Roman"/>
                <w:sz w:val="24"/>
                <w:szCs w:val="24"/>
              </w:rPr>
              <w:t>noteikšanas</w:t>
            </w:r>
            <w:r w:rsidRPr="002864C1">
              <w:rPr>
                <w:rFonts w:ascii="Times New Roman" w:hAnsi="Times New Roman"/>
                <w:sz w:val="24"/>
                <w:szCs w:val="24"/>
              </w:rPr>
              <w:t xml:space="preserve"> iespējamību</w:t>
            </w:r>
            <w:r>
              <w:rPr>
                <w:rFonts w:ascii="Times New Roman" w:hAnsi="Times New Roman"/>
                <w:sz w:val="24"/>
                <w:szCs w:val="24"/>
              </w:rPr>
              <w:t>. A</w:t>
            </w:r>
            <w:r w:rsidRPr="00FF0F22">
              <w:rPr>
                <w:rFonts w:ascii="Times New Roman" w:hAnsi="Times New Roman"/>
                <w:sz w:val="24"/>
                <w:szCs w:val="24"/>
              </w:rPr>
              <w:t xml:space="preserve">ttiecībā uz dzīvesvietas izvērtēšanu elektroniskās uzraudzības </w:t>
            </w:r>
            <w:r>
              <w:rPr>
                <w:rFonts w:ascii="Times New Roman" w:hAnsi="Times New Roman"/>
                <w:sz w:val="24"/>
                <w:szCs w:val="24"/>
              </w:rPr>
              <w:t>noteikšanai,</w:t>
            </w:r>
            <w:r w:rsidRPr="00FF0F22">
              <w:rPr>
                <w:rFonts w:ascii="Times New Roman" w:hAnsi="Times New Roman"/>
                <w:sz w:val="24"/>
                <w:szCs w:val="24"/>
              </w:rPr>
              <w:t xml:space="preserve"> projekts papildin</w:t>
            </w:r>
            <w:r>
              <w:rPr>
                <w:rFonts w:ascii="Times New Roman" w:hAnsi="Times New Roman"/>
                <w:sz w:val="24"/>
                <w:szCs w:val="24"/>
              </w:rPr>
              <w:t>a</w:t>
            </w:r>
            <w:r w:rsidRPr="002864C1">
              <w:rPr>
                <w:rFonts w:ascii="Times New Roman" w:hAnsi="Times New Roman"/>
                <w:sz w:val="24"/>
                <w:szCs w:val="24"/>
              </w:rPr>
              <w:t xml:space="preserve"> </w:t>
            </w:r>
            <w:r>
              <w:rPr>
                <w:rFonts w:ascii="Times New Roman" w:hAnsi="Times New Roman"/>
                <w:sz w:val="24"/>
                <w:szCs w:val="24"/>
              </w:rPr>
              <w:t>noteikumus</w:t>
            </w:r>
            <w:r w:rsidRPr="002864C1">
              <w:rPr>
                <w:rFonts w:ascii="Times New Roman" w:hAnsi="Times New Roman"/>
                <w:sz w:val="24"/>
                <w:szCs w:val="24"/>
              </w:rPr>
              <w:t xml:space="preserve"> </w:t>
            </w:r>
            <w:r w:rsidRPr="00FF0F22">
              <w:rPr>
                <w:rFonts w:ascii="Times New Roman" w:hAnsi="Times New Roman"/>
                <w:sz w:val="24"/>
                <w:szCs w:val="24"/>
              </w:rPr>
              <w:t xml:space="preserve">ar šādiem </w:t>
            </w:r>
            <w:r>
              <w:rPr>
                <w:rFonts w:ascii="Times New Roman" w:hAnsi="Times New Roman"/>
                <w:sz w:val="24"/>
                <w:szCs w:val="24"/>
              </w:rPr>
              <w:t>apakš</w:t>
            </w:r>
            <w:r w:rsidRPr="00FF0F22">
              <w:rPr>
                <w:rFonts w:ascii="Times New Roman" w:hAnsi="Times New Roman"/>
                <w:sz w:val="24"/>
                <w:szCs w:val="24"/>
              </w:rPr>
              <w:t>punktiem:</w:t>
            </w:r>
          </w:p>
          <w:p w:rsidR="0079096D"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1. 9.5.</w:t>
            </w:r>
            <w:r>
              <w:rPr>
                <w:rFonts w:ascii="Times New Roman" w:hAnsi="Times New Roman"/>
                <w:sz w:val="24"/>
                <w:szCs w:val="24"/>
                <w:vertAlign w:val="superscript"/>
              </w:rPr>
              <w:t>1</w:t>
            </w:r>
            <w:r>
              <w:rPr>
                <w:rFonts w:ascii="Times New Roman" w:hAnsi="Times New Roman"/>
                <w:sz w:val="24"/>
                <w:szCs w:val="24"/>
              </w:rPr>
              <w:t xml:space="preserve"> apakšpunktu, kas paredz šādu vērtēšanas kritēriju iekļaušanu izvērtēšanas ziņojumā:</w:t>
            </w:r>
          </w:p>
          <w:p w:rsidR="0079096D" w:rsidRDefault="0079096D" w:rsidP="00FC46E3">
            <w:pPr>
              <w:spacing w:after="0" w:line="240" w:lineRule="auto"/>
              <w:jc w:val="both"/>
              <w:rPr>
                <w:rFonts w:ascii="Times New Roman" w:hAnsi="Times New Roman"/>
                <w:sz w:val="24"/>
                <w:szCs w:val="24"/>
              </w:rPr>
            </w:pPr>
            <w:r>
              <w:rPr>
                <w:rFonts w:ascii="Times New Roman" w:hAnsi="Times New Roman"/>
                <w:sz w:val="24"/>
                <w:szCs w:val="24"/>
              </w:rPr>
              <w:t>1) </w:t>
            </w:r>
            <w:r>
              <w:rPr>
                <w:rStyle w:val="c1"/>
                <w:rFonts w:ascii="Times New Roman" w:hAnsi="Times New Roman"/>
                <w:sz w:val="24"/>
                <w:szCs w:val="24"/>
              </w:rPr>
              <w:t>tiesiskais</w:t>
            </w:r>
            <w:r w:rsidRPr="00FF0F22">
              <w:rPr>
                <w:rStyle w:val="c1"/>
                <w:rFonts w:ascii="Times New Roman" w:hAnsi="Times New Roman"/>
                <w:sz w:val="24"/>
                <w:szCs w:val="24"/>
              </w:rPr>
              <w:t xml:space="preserve"> pamats</w:t>
            </w:r>
            <w:r>
              <w:rPr>
                <w:rStyle w:val="c1"/>
                <w:rFonts w:ascii="Times New Roman" w:hAnsi="Times New Roman"/>
                <w:sz w:val="24"/>
                <w:szCs w:val="24"/>
              </w:rPr>
              <w:t xml:space="preserve"> probācijas klientam</w:t>
            </w:r>
            <w:r w:rsidRPr="00FF0F22">
              <w:rPr>
                <w:rStyle w:val="c1"/>
                <w:rFonts w:ascii="Times New Roman" w:hAnsi="Times New Roman"/>
                <w:sz w:val="24"/>
                <w:szCs w:val="24"/>
              </w:rPr>
              <w:t xml:space="preserve"> pastāvīgi uzturēties iespējamā dzīvesvietā</w:t>
            </w:r>
            <w:r>
              <w:rPr>
                <w:rStyle w:val="c1"/>
                <w:rFonts w:ascii="Times New Roman" w:hAnsi="Times New Roman"/>
                <w:sz w:val="24"/>
                <w:szCs w:val="24"/>
              </w:rPr>
              <w:t xml:space="preserve"> (</w:t>
            </w:r>
            <w:r w:rsidRPr="00FF0F22">
              <w:rPr>
                <w:rFonts w:ascii="Times New Roman" w:hAnsi="Times New Roman"/>
                <w:sz w:val="24"/>
                <w:szCs w:val="24"/>
              </w:rPr>
              <w:t>9.5.¹1.</w:t>
            </w:r>
            <w:r>
              <w:rPr>
                <w:rFonts w:ascii="Times New Roman" w:hAnsi="Times New Roman"/>
                <w:sz w:val="24"/>
                <w:szCs w:val="24"/>
              </w:rPr>
              <w:t> apakšpunkts);</w:t>
            </w:r>
          </w:p>
          <w:p w:rsidR="0079096D" w:rsidRDefault="0079096D" w:rsidP="00FC46E3">
            <w:pPr>
              <w:spacing w:after="0" w:line="240" w:lineRule="auto"/>
              <w:jc w:val="both"/>
              <w:rPr>
                <w:rStyle w:val="c1"/>
                <w:rFonts w:ascii="Times New Roman" w:hAnsi="Times New Roman"/>
                <w:sz w:val="24"/>
                <w:szCs w:val="24"/>
              </w:rPr>
            </w:pPr>
            <w:r>
              <w:rPr>
                <w:rFonts w:ascii="Times New Roman" w:hAnsi="Times New Roman"/>
                <w:sz w:val="24"/>
                <w:szCs w:val="24"/>
              </w:rPr>
              <w:t>2) </w:t>
            </w:r>
            <w:r>
              <w:rPr>
                <w:rStyle w:val="c1"/>
                <w:rFonts w:ascii="Times New Roman" w:hAnsi="Times New Roman"/>
                <w:sz w:val="24"/>
                <w:szCs w:val="24"/>
              </w:rPr>
              <w:t>iespējamā dzīvesvietā dzīvojošo pilngadīgo personu</w:t>
            </w:r>
            <w:r w:rsidRPr="00FF0F22">
              <w:rPr>
                <w:rStyle w:val="c1"/>
                <w:rFonts w:ascii="Times New Roman" w:hAnsi="Times New Roman"/>
                <w:sz w:val="24"/>
                <w:szCs w:val="24"/>
              </w:rPr>
              <w:t xml:space="preserve"> un dzīvojošo</w:t>
            </w:r>
            <w:r>
              <w:rPr>
                <w:rStyle w:val="c1"/>
                <w:rFonts w:ascii="Times New Roman" w:hAnsi="Times New Roman"/>
                <w:sz w:val="24"/>
                <w:szCs w:val="24"/>
              </w:rPr>
              <w:t xml:space="preserve"> nepilngadīgo personu likumisko</w:t>
            </w:r>
            <w:r w:rsidRPr="00FF0F22">
              <w:rPr>
                <w:rStyle w:val="c1"/>
                <w:rFonts w:ascii="Times New Roman" w:hAnsi="Times New Roman"/>
                <w:sz w:val="24"/>
                <w:szCs w:val="24"/>
              </w:rPr>
              <w:t xml:space="preserve"> pārstāvj</w:t>
            </w:r>
            <w:r>
              <w:rPr>
                <w:rStyle w:val="c1"/>
                <w:rFonts w:ascii="Times New Roman" w:hAnsi="Times New Roman"/>
                <w:sz w:val="24"/>
                <w:szCs w:val="24"/>
              </w:rPr>
              <w:t>u dotā atļauja elektroniskās uzraudzības ierīču uzstādīšanai dzīvesvietā (</w:t>
            </w:r>
            <w:r w:rsidRPr="00FF0F22">
              <w:rPr>
                <w:rFonts w:ascii="Times New Roman" w:hAnsi="Times New Roman"/>
                <w:sz w:val="24"/>
                <w:szCs w:val="24"/>
              </w:rPr>
              <w:t>9.5.¹</w:t>
            </w:r>
            <w:r w:rsidRPr="00FF0F22">
              <w:rPr>
                <w:rStyle w:val="c1"/>
                <w:rFonts w:ascii="Times New Roman" w:hAnsi="Times New Roman"/>
                <w:sz w:val="24"/>
                <w:szCs w:val="24"/>
              </w:rPr>
              <w:t>2.</w:t>
            </w:r>
            <w:r>
              <w:rPr>
                <w:rStyle w:val="c1"/>
                <w:rFonts w:ascii="Times New Roman" w:hAnsi="Times New Roman"/>
                <w:sz w:val="24"/>
                <w:szCs w:val="24"/>
              </w:rPr>
              <w:t> apakšpunkts);</w:t>
            </w:r>
          </w:p>
          <w:p w:rsidR="0079096D" w:rsidRDefault="0079096D" w:rsidP="00FC46E3">
            <w:pPr>
              <w:spacing w:after="0" w:line="240" w:lineRule="auto"/>
              <w:jc w:val="both"/>
              <w:rPr>
                <w:rStyle w:val="c1"/>
                <w:rFonts w:ascii="Times New Roman" w:hAnsi="Times New Roman"/>
                <w:sz w:val="24"/>
                <w:szCs w:val="24"/>
              </w:rPr>
            </w:pPr>
            <w:r>
              <w:rPr>
                <w:rStyle w:val="c1"/>
                <w:rFonts w:ascii="Times New Roman" w:hAnsi="Times New Roman"/>
                <w:sz w:val="24"/>
                <w:szCs w:val="24"/>
              </w:rPr>
              <w:t>3) </w:t>
            </w:r>
            <w:r w:rsidRPr="00FF0F22">
              <w:rPr>
                <w:rStyle w:val="c1"/>
                <w:rFonts w:ascii="Times New Roman" w:hAnsi="Times New Roman"/>
                <w:sz w:val="24"/>
                <w:szCs w:val="24"/>
              </w:rPr>
              <w:t xml:space="preserve">pastāvīgs elektroenerģijas pieslēgums un </w:t>
            </w:r>
            <w:r>
              <w:rPr>
                <w:rStyle w:val="c1"/>
                <w:rFonts w:ascii="Times New Roman" w:hAnsi="Times New Roman"/>
                <w:sz w:val="24"/>
                <w:szCs w:val="24"/>
              </w:rPr>
              <w:t xml:space="preserve">iespēja pieslēgt </w:t>
            </w:r>
            <w:r w:rsidRPr="00FF0F22">
              <w:rPr>
                <w:rStyle w:val="c1"/>
                <w:rFonts w:ascii="Times New Roman" w:hAnsi="Times New Roman"/>
                <w:sz w:val="24"/>
                <w:szCs w:val="24"/>
              </w:rPr>
              <w:t>elektrotīklam elektroniskās uzraudzības ierīces</w:t>
            </w:r>
            <w:r>
              <w:rPr>
                <w:rStyle w:val="c1"/>
                <w:rFonts w:ascii="Times New Roman" w:hAnsi="Times New Roman"/>
                <w:sz w:val="24"/>
                <w:szCs w:val="24"/>
              </w:rPr>
              <w:t xml:space="preserve"> (</w:t>
            </w:r>
            <w:r w:rsidRPr="00FF0F22">
              <w:rPr>
                <w:rFonts w:ascii="Times New Roman" w:hAnsi="Times New Roman"/>
                <w:sz w:val="24"/>
                <w:szCs w:val="24"/>
              </w:rPr>
              <w:t>9.5.¹</w:t>
            </w:r>
            <w:r>
              <w:rPr>
                <w:rStyle w:val="c1"/>
                <w:rFonts w:ascii="Times New Roman" w:hAnsi="Times New Roman"/>
                <w:sz w:val="24"/>
                <w:szCs w:val="24"/>
              </w:rPr>
              <w:t>3</w:t>
            </w:r>
            <w:r w:rsidRPr="00FF0F22">
              <w:rPr>
                <w:rStyle w:val="c1"/>
                <w:rFonts w:ascii="Times New Roman" w:hAnsi="Times New Roman"/>
                <w:sz w:val="24"/>
                <w:szCs w:val="24"/>
              </w:rPr>
              <w:t>.</w:t>
            </w:r>
            <w:r>
              <w:rPr>
                <w:rStyle w:val="c1"/>
                <w:rFonts w:ascii="Times New Roman" w:hAnsi="Times New Roman"/>
                <w:sz w:val="24"/>
                <w:szCs w:val="24"/>
              </w:rPr>
              <w:t> apakšpunkts);</w:t>
            </w:r>
          </w:p>
          <w:p w:rsidR="0079096D" w:rsidRDefault="0079096D" w:rsidP="00FC46E3">
            <w:pPr>
              <w:spacing w:after="0" w:line="240" w:lineRule="auto"/>
              <w:jc w:val="both"/>
              <w:rPr>
                <w:rStyle w:val="c1"/>
                <w:rFonts w:ascii="Times New Roman" w:hAnsi="Times New Roman"/>
                <w:sz w:val="24"/>
                <w:szCs w:val="24"/>
              </w:rPr>
            </w:pPr>
            <w:r>
              <w:rPr>
                <w:rStyle w:val="c1"/>
                <w:rFonts w:ascii="Times New Roman" w:hAnsi="Times New Roman"/>
                <w:sz w:val="24"/>
                <w:szCs w:val="24"/>
              </w:rPr>
              <w:t>4) </w:t>
            </w:r>
            <w:r w:rsidRPr="00FF0F22">
              <w:rPr>
                <w:rStyle w:val="c1"/>
                <w:rFonts w:ascii="Times New Roman" w:hAnsi="Times New Roman"/>
                <w:sz w:val="24"/>
                <w:szCs w:val="24"/>
              </w:rPr>
              <w:t>pastāvīgs mobilo sakaru tīkla pārklājums, kas ļauj nodrošināt nepārtrauktu probācijas klienta elektronisko uzraudzību</w:t>
            </w:r>
            <w:r>
              <w:rPr>
                <w:rStyle w:val="c1"/>
                <w:rFonts w:ascii="Times New Roman" w:hAnsi="Times New Roman"/>
                <w:sz w:val="24"/>
                <w:szCs w:val="24"/>
              </w:rPr>
              <w:t xml:space="preserve"> (</w:t>
            </w:r>
            <w:r w:rsidRPr="00FF0F22">
              <w:rPr>
                <w:rFonts w:ascii="Times New Roman" w:hAnsi="Times New Roman"/>
                <w:sz w:val="24"/>
                <w:szCs w:val="24"/>
              </w:rPr>
              <w:t>9.5.¹</w:t>
            </w:r>
            <w:r>
              <w:rPr>
                <w:rStyle w:val="c1"/>
                <w:rFonts w:ascii="Times New Roman" w:hAnsi="Times New Roman"/>
                <w:sz w:val="24"/>
                <w:szCs w:val="24"/>
              </w:rPr>
              <w:t>4</w:t>
            </w:r>
            <w:r w:rsidRPr="00FF0F22">
              <w:rPr>
                <w:rStyle w:val="c1"/>
                <w:rFonts w:ascii="Times New Roman" w:hAnsi="Times New Roman"/>
                <w:sz w:val="24"/>
                <w:szCs w:val="24"/>
              </w:rPr>
              <w:t>.</w:t>
            </w:r>
            <w:r>
              <w:rPr>
                <w:rStyle w:val="c1"/>
                <w:rFonts w:ascii="Times New Roman" w:hAnsi="Times New Roman"/>
                <w:sz w:val="24"/>
                <w:szCs w:val="24"/>
              </w:rPr>
              <w:t> apakšpunkts);</w:t>
            </w:r>
          </w:p>
          <w:p w:rsidR="0079096D" w:rsidRDefault="0079096D" w:rsidP="00FC46E3">
            <w:pPr>
              <w:spacing w:after="0" w:line="240" w:lineRule="auto"/>
              <w:jc w:val="both"/>
              <w:rPr>
                <w:rStyle w:val="c1"/>
                <w:rFonts w:ascii="Times New Roman" w:hAnsi="Times New Roman"/>
                <w:sz w:val="24"/>
                <w:szCs w:val="24"/>
              </w:rPr>
            </w:pPr>
            <w:r>
              <w:rPr>
                <w:rStyle w:val="c1"/>
                <w:rFonts w:ascii="Times New Roman" w:hAnsi="Times New Roman"/>
                <w:sz w:val="24"/>
                <w:szCs w:val="24"/>
              </w:rPr>
              <w:t>5) </w:t>
            </w:r>
            <w:r w:rsidRPr="00FF0F22">
              <w:rPr>
                <w:rStyle w:val="c1"/>
                <w:rFonts w:ascii="Times New Roman" w:hAnsi="Times New Roman"/>
                <w:sz w:val="24"/>
                <w:szCs w:val="24"/>
              </w:rPr>
              <w:t>atbilstoši apstākļi drošai, netraucētai un pilnvērtīgai elektroniskās uzraudzības ierīču uzstādīšanai, izvietošanai un funkcionēšanai</w:t>
            </w:r>
            <w:r>
              <w:rPr>
                <w:rStyle w:val="c1"/>
                <w:rFonts w:ascii="Times New Roman" w:hAnsi="Times New Roman"/>
                <w:sz w:val="24"/>
                <w:szCs w:val="24"/>
              </w:rPr>
              <w:t xml:space="preserve"> (</w:t>
            </w:r>
            <w:r w:rsidRPr="00FF0F22">
              <w:rPr>
                <w:rFonts w:ascii="Times New Roman" w:hAnsi="Times New Roman"/>
                <w:sz w:val="24"/>
                <w:szCs w:val="24"/>
              </w:rPr>
              <w:t>9.5.¹</w:t>
            </w:r>
            <w:r>
              <w:rPr>
                <w:rStyle w:val="c1"/>
                <w:rFonts w:ascii="Times New Roman" w:hAnsi="Times New Roman"/>
                <w:sz w:val="24"/>
                <w:szCs w:val="24"/>
              </w:rPr>
              <w:t>5</w:t>
            </w:r>
            <w:r w:rsidRPr="00FF0F22">
              <w:rPr>
                <w:rStyle w:val="c1"/>
                <w:rFonts w:ascii="Times New Roman" w:hAnsi="Times New Roman"/>
                <w:sz w:val="24"/>
                <w:szCs w:val="24"/>
              </w:rPr>
              <w:t>.</w:t>
            </w:r>
            <w:r>
              <w:rPr>
                <w:rStyle w:val="c1"/>
                <w:rFonts w:ascii="Times New Roman" w:hAnsi="Times New Roman"/>
                <w:sz w:val="24"/>
                <w:szCs w:val="24"/>
              </w:rPr>
              <w:t> apakšpunkts);</w:t>
            </w:r>
          </w:p>
          <w:p w:rsidR="0079096D" w:rsidRDefault="0079096D" w:rsidP="00FC46E3">
            <w:pPr>
              <w:spacing w:after="0" w:line="240" w:lineRule="auto"/>
              <w:jc w:val="both"/>
              <w:rPr>
                <w:rStyle w:val="c1"/>
                <w:rFonts w:ascii="Times New Roman" w:hAnsi="Times New Roman"/>
                <w:sz w:val="24"/>
                <w:szCs w:val="24"/>
              </w:rPr>
            </w:pPr>
            <w:r>
              <w:rPr>
                <w:rStyle w:val="c1"/>
                <w:rFonts w:ascii="Times New Roman" w:hAnsi="Times New Roman"/>
                <w:sz w:val="24"/>
                <w:szCs w:val="24"/>
              </w:rPr>
              <w:t>6) </w:t>
            </w:r>
            <w:r w:rsidRPr="00FF0F22">
              <w:rPr>
                <w:rStyle w:val="c1"/>
                <w:rFonts w:ascii="Times New Roman" w:hAnsi="Times New Roman"/>
                <w:sz w:val="24"/>
                <w:szCs w:val="24"/>
              </w:rPr>
              <w:t>atbilstoši sadzīves apstākļi, kuros probācijas klients var nodrošināt savas fizioloģiskās vajadzības, neizejot no elektroniskās uzraudzības ierīču kontroles zonas</w:t>
            </w:r>
            <w:r>
              <w:rPr>
                <w:rStyle w:val="c1"/>
                <w:rFonts w:ascii="Times New Roman" w:hAnsi="Times New Roman"/>
                <w:sz w:val="24"/>
                <w:szCs w:val="24"/>
              </w:rPr>
              <w:t xml:space="preserve"> (</w:t>
            </w:r>
            <w:r w:rsidRPr="00FF0F22">
              <w:rPr>
                <w:rFonts w:ascii="Times New Roman" w:hAnsi="Times New Roman"/>
                <w:sz w:val="24"/>
                <w:szCs w:val="24"/>
              </w:rPr>
              <w:t>9.5.¹</w:t>
            </w:r>
            <w:r>
              <w:rPr>
                <w:rStyle w:val="c1"/>
                <w:rFonts w:ascii="Times New Roman" w:hAnsi="Times New Roman"/>
                <w:sz w:val="24"/>
                <w:szCs w:val="24"/>
              </w:rPr>
              <w:t>6</w:t>
            </w:r>
            <w:r w:rsidRPr="00FF0F22">
              <w:rPr>
                <w:rStyle w:val="c1"/>
                <w:rFonts w:ascii="Times New Roman" w:hAnsi="Times New Roman"/>
                <w:sz w:val="24"/>
                <w:szCs w:val="24"/>
              </w:rPr>
              <w:t>.</w:t>
            </w:r>
            <w:r>
              <w:rPr>
                <w:rStyle w:val="c1"/>
                <w:rFonts w:ascii="Times New Roman" w:hAnsi="Times New Roman"/>
                <w:sz w:val="24"/>
                <w:szCs w:val="24"/>
              </w:rPr>
              <w:t> apakšpunkts);</w:t>
            </w:r>
          </w:p>
          <w:p w:rsidR="0079096D" w:rsidRDefault="0079096D" w:rsidP="00FC46E3">
            <w:pPr>
              <w:spacing w:after="0" w:line="240" w:lineRule="auto"/>
              <w:ind w:firstLine="673"/>
              <w:jc w:val="both"/>
              <w:rPr>
                <w:rFonts w:ascii="Times New Roman" w:hAnsi="Times New Roman"/>
                <w:sz w:val="24"/>
                <w:szCs w:val="24"/>
              </w:rPr>
            </w:pPr>
            <w:r>
              <w:rPr>
                <w:rStyle w:val="c1"/>
                <w:rFonts w:ascii="Times New Roman" w:hAnsi="Times New Roman"/>
                <w:sz w:val="24"/>
                <w:szCs w:val="24"/>
              </w:rPr>
              <w:t>2. </w:t>
            </w:r>
            <w:r w:rsidRPr="00FF0F22">
              <w:rPr>
                <w:rStyle w:val="c1"/>
                <w:rFonts w:ascii="Times New Roman" w:hAnsi="Times New Roman"/>
                <w:sz w:val="24"/>
                <w:szCs w:val="24"/>
              </w:rPr>
              <w:t>9.5.</w:t>
            </w:r>
            <w:r>
              <w:rPr>
                <w:rStyle w:val="c1"/>
                <w:rFonts w:ascii="Times New Roman" w:hAnsi="Times New Roman"/>
                <w:sz w:val="24"/>
                <w:szCs w:val="24"/>
                <w:vertAlign w:val="superscript"/>
              </w:rPr>
              <w:t>2</w:t>
            </w:r>
            <w:r>
              <w:rPr>
                <w:rStyle w:val="c1"/>
                <w:rFonts w:ascii="Times New Roman" w:hAnsi="Times New Roman"/>
                <w:sz w:val="24"/>
                <w:szCs w:val="24"/>
              </w:rPr>
              <w:t> apakšpunktu, kas paredz izvērtēšanas ziņojumā, balsoties uz iepriekš minētajiem kritērijiem, iekļaut VPD</w:t>
            </w:r>
            <w:r w:rsidRPr="00FF0F22">
              <w:rPr>
                <w:rStyle w:val="c1"/>
                <w:rFonts w:ascii="Times New Roman" w:hAnsi="Times New Roman"/>
                <w:sz w:val="24"/>
                <w:szCs w:val="24"/>
              </w:rPr>
              <w:t xml:space="preserve"> vērtējumu par probācijas klienta iespējamās dzīvesvietas piemērotību elektroniskās uzraudzības noteikšanai, </w:t>
            </w:r>
            <w:r w:rsidRPr="00FF0F22">
              <w:rPr>
                <w:rFonts w:ascii="Times New Roman" w:hAnsi="Times New Roman"/>
                <w:sz w:val="24"/>
                <w:szCs w:val="24"/>
              </w:rPr>
              <w:t>ja probācijas klients pretendē uz nosacītu pirmstermiņa atbrīvošanu no soda izciešanas ar elekt</w:t>
            </w:r>
            <w:r>
              <w:rPr>
                <w:rFonts w:ascii="Times New Roman" w:hAnsi="Times New Roman"/>
                <w:sz w:val="24"/>
                <w:szCs w:val="24"/>
              </w:rPr>
              <w:t>roniskās uzraudzības noteikšanu.</w:t>
            </w:r>
          </w:p>
          <w:p w:rsidR="0079096D" w:rsidRDefault="0079096D" w:rsidP="00FC46E3">
            <w:pPr>
              <w:spacing w:after="0" w:line="240" w:lineRule="auto"/>
              <w:ind w:firstLine="673"/>
              <w:jc w:val="both"/>
              <w:rPr>
                <w:rStyle w:val="c1"/>
                <w:rFonts w:ascii="Times New Roman" w:hAnsi="Times New Roman"/>
                <w:sz w:val="24"/>
                <w:szCs w:val="24"/>
              </w:rPr>
            </w:pPr>
            <w:r w:rsidRPr="00A77C7F">
              <w:rPr>
                <w:rFonts w:ascii="Times New Roman" w:hAnsi="Times New Roman"/>
                <w:sz w:val="24"/>
                <w:szCs w:val="24"/>
              </w:rPr>
              <w:t xml:space="preserve">Vienlaikus vērtējumam par notiesātā </w:t>
            </w:r>
            <w:r w:rsidRPr="00A77C7F">
              <w:rPr>
                <w:rStyle w:val="c1"/>
                <w:rFonts w:ascii="Times New Roman" w:hAnsi="Times New Roman"/>
                <w:sz w:val="24"/>
                <w:szCs w:val="24"/>
              </w:rPr>
              <w:t>iespējamās dzīvesvietas piemērotību elektroniskās uzraudzības noteikšanai</w:t>
            </w:r>
            <w:r>
              <w:rPr>
                <w:rStyle w:val="c1"/>
                <w:rFonts w:ascii="Times New Roman" w:hAnsi="Times New Roman"/>
                <w:sz w:val="24"/>
                <w:szCs w:val="24"/>
              </w:rPr>
              <w:t>,</w:t>
            </w:r>
            <w:r w:rsidRPr="00A77C7F">
              <w:rPr>
                <w:rStyle w:val="c1"/>
                <w:rFonts w:ascii="Times New Roman" w:hAnsi="Times New Roman"/>
                <w:sz w:val="24"/>
                <w:szCs w:val="24"/>
              </w:rPr>
              <w:t xml:space="preserve"> ir jāvērtē arī citi faktori attiecībā uz notiesātā spēju ievērot</w:t>
            </w:r>
            <w:r>
              <w:rPr>
                <w:rStyle w:val="c1"/>
                <w:rFonts w:ascii="Times New Roman" w:hAnsi="Times New Roman"/>
                <w:sz w:val="24"/>
                <w:szCs w:val="24"/>
              </w:rPr>
              <w:t xml:space="preserve"> elektroniskās uzraudzības</w:t>
            </w:r>
            <w:r w:rsidRPr="00A77C7F">
              <w:rPr>
                <w:rStyle w:val="c1"/>
                <w:rFonts w:ascii="Times New Roman" w:hAnsi="Times New Roman"/>
                <w:sz w:val="24"/>
                <w:szCs w:val="24"/>
              </w:rPr>
              <w:t xml:space="preserve"> nosacījumus, spēju iekļauties sabiedrībā ar elektronisko uzraudzību</w:t>
            </w:r>
            <w:r>
              <w:rPr>
                <w:rStyle w:val="c1"/>
                <w:rFonts w:ascii="Times New Roman" w:hAnsi="Times New Roman"/>
                <w:sz w:val="24"/>
                <w:szCs w:val="24"/>
              </w:rPr>
              <w:t>,</w:t>
            </w:r>
            <w:r w:rsidRPr="00A77C7F">
              <w:rPr>
                <w:rStyle w:val="c1"/>
                <w:rFonts w:ascii="Times New Roman" w:hAnsi="Times New Roman"/>
                <w:sz w:val="24"/>
                <w:szCs w:val="24"/>
              </w:rPr>
              <w:t xml:space="preserve"> neapdraudot sabiedrības drošību. </w:t>
            </w:r>
            <w:r w:rsidRPr="00A77C7F">
              <w:rPr>
                <w:rFonts w:ascii="Times New Roman" w:hAnsi="Times New Roman"/>
                <w:sz w:val="24"/>
                <w:szCs w:val="24"/>
              </w:rPr>
              <w:t xml:space="preserve">Lai pieņemtu lēmumu par notiesātā individuālo atbilstību elektroniskās uzraudzības </w:t>
            </w:r>
            <w:r>
              <w:rPr>
                <w:rFonts w:ascii="Times New Roman" w:hAnsi="Times New Roman"/>
                <w:sz w:val="24"/>
                <w:szCs w:val="24"/>
              </w:rPr>
              <w:t>noteikšanai,</w:t>
            </w:r>
            <w:r w:rsidRPr="00A77C7F">
              <w:rPr>
                <w:rFonts w:ascii="Times New Roman" w:hAnsi="Times New Roman"/>
                <w:sz w:val="24"/>
                <w:szCs w:val="24"/>
              </w:rPr>
              <w:t xml:space="preserve"> tiek izvērtēti </w:t>
            </w:r>
            <w:r>
              <w:rPr>
                <w:rFonts w:ascii="Times New Roman" w:hAnsi="Times New Roman"/>
                <w:sz w:val="24"/>
                <w:szCs w:val="24"/>
              </w:rPr>
              <w:t xml:space="preserve">arī </w:t>
            </w:r>
            <w:r w:rsidRPr="00A77C7F">
              <w:rPr>
                <w:rFonts w:ascii="Times New Roman" w:hAnsi="Times New Roman"/>
                <w:sz w:val="24"/>
                <w:szCs w:val="24"/>
              </w:rPr>
              <w:t xml:space="preserve">notiesātā </w:t>
            </w:r>
            <w:r w:rsidRPr="00A77C7F">
              <w:rPr>
                <w:rFonts w:ascii="Times New Roman" w:hAnsi="Times New Roman"/>
                <w:bCs/>
                <w:sz w:val="24"/>
                <w:szCs w:val="24"/>
              </w:rPr>
              <w:t>personības kritēriji</w:t>
            </w:r>
            <w:r w:rsidRPr="00A77C7F">
              <w:rPr>
                <w:rFonts w:ascii="Times New Roman" w:hAnsi="Times New Roman"/>
                <w:sz w:val="24"/>
                <w:szCs w:val="24"/>
              </w:rPr>
              <w:t xml:space="preserve">. </w:t>
            </w:r>
            <w:r>
              <w:rPr>
                <w:rFonts w:ascii="Times New Roman" w:hAnsi="Times New Roman"/>
                <w:sz w:val="24"/>
                <w:szCs w:val="24"/>
              </w:rPr>
              <w:t xml:space="preserve">Svarīgi ir izvērtēt notiesātā uzvedību un emocionālo stabilitāti, proti, vai notiesātais spēj kontrolēt dusmas, agresiju, vai viņam nav psihiskās veselības </w:t>
            </w:r>
            <w:r w:rsidRPr="00A77C7F">
              <w:rPr>
                <w:rFonts w:ascii="Times New Roman" w:hAnsi="Times New Roman"/>
                <w:sz w:val="24"/>
                <w:szCs w:val="24"/>
              </w:rPr>
              <w:t>problēmas. Ir jāizvērtē notiesātā</w:t>
            </w:r>
            <w:r>
              <w:rPr>
                <w:rFonts w:ascii="Times New Roman" w:hAnsi="Times New Roman"/>
                <w:sz w:val="24"/>
                <w:szCs w:val="24"/>
              </w:rPr>
              <w:t xml:space="preserve"> apreibinošo,</w:t>
            </w:r>
            <w:r w:rsidRPr="00A77C7F">
              <w:rPr>
                <w:rFonts w:ascii="Times New Roman" w:hAnsi="Times New Roman"/>
                <w:sz w:val="24"/>
                <w:szCs w:val="24"/>
              </w:rPr>
              <w:t xml:space="preserve"> atkarību izraisošo vielu</w:t>
            </w:r>
            <w:r>
              <w:rPr>
                <w:rFonts w:ascii="Times New Roman" w:hAnsi="Times New Roman"/>
                <w:sz w:val="24"/>
                <w:szCs w:val="24"/>
              </w:rPr>
              <w:t xml:space="preserve"> lietošanas</w:t>
            </w:r>
            <w:r w:rsidRPr="00A77C7F">
              <w:rPr>
                <w:rFonts w:ascii="Times New Roman" w:hAnsi="Times New Roman"/>
                <w:sz w:val="24"/>
                <w:szCs w:val="24"/>
              </w:rPr>
              <w:t xml:space="preserve"> pieredze, saistība starp </w:t>
            </w:r>
            <w:r>
              <w:rPr>
                <w:rFonts w:ascii="Times New Roman" w:hAnsi="Times New Roman"/>
                <w:sz w:val="24"/>
                <w:szCs w:val="24"/>
              </w:rPr>
              <w:t xml:space="preserve">apreibinošo, </w:t>
            </w:r>
            <w:r w:rsidRPr="00A77C7F">
              <w:rPr>
                <w:rFonts w:ascii="Times New Roman" w:hAnsi="Times New Roman"/>
                <w:sz w:val="24"/>
                <w:szCs w:val="24"/>
              </w:rPr>
              <w:t>atkarīb</w:t>
            </w:r>
            <w:r>
              <w:rPr>
                <w:rFonts w:ascii="Times New Roman" w:hAnsi="Times New Roman"/>
                <w:sz w:val="24"/>
                <w:szCs w:val="24"/>
              </w:rPr>
              <w:t>u izraisošo</w:t>
            </w:r>
            <w:r w:rsidRPr="00A77C7F">
              <w:rPr>
                <w:rFonts w:ascii="Times New Roman" w:hAnsi="Times New Roman"/>
                <w:sz w:val="24"/>
                <w:szCs w:val="24"/>
              </w:rPr>
              <w:t xml:space="preserve"> vielu lietošanu un recidīva risku</w:t>
            </w:r>
            <w:r>
              <w:rPr>
                <w:rFonts w:ascii="Times New Roman" w:hAnsi="Times New Roman"/>
                <w:sz w:val="24"/>
                <w:szCs w:val="24"/>
              </w:rPr>
              <w:t>,</w:t>
            </w:r>
            <w:r w:rsidRPr="00A77C7F">
              <w:rPr>
                <w:rFonts w:ascii="Times New Roman" w:hAnsi="Times New Roman"/>
                <w:sz w:val="24"/>
                <w:szCs w:val="24"/>
              </w:rPr>
              <w:t xml:space="preserve"> </w:t>
            </w:r>
            <w:r>
              <w:rPr>
                <w:rFonts w:ascii="Times New Roman" w:hAnsi="Times New Roman"/>
                <w:sz w:val="24"/>
                <w:szCs w:val="24"/>
              </w:rPr>
              <w:t>i</w:t>
            </w:r>
            <w:r w:rsidRPr="00A77C7F">
              <w:rPr>
                <w:rFonts w:ascii="Times New Roman" w:hAnsi="Times New Roman"/>
                <w:sz w:val="24"/>
                <w:szCs w:val="24"/>
              </w:rPr>
              <w:t>zmaiņas notiesātā uzvedībā atrodoties apreibinošo</w:t>
            </w:r>
            <w:r>
              <w:rPr>
                <w:rFonts w:ascii="Times New Roman" w:hAnsi="Times New Roman"/>
                <w:sz w:val="24"/>
                <w:szCs w:val="24"/>
              </w:rPr>
              <w:t>, atkarību izraisošo</w:t>
            </w:r>
            <w:r w:rsidRPr="00A77C7F">
              <w:rPr>
                <w:rFonts w:ascii="Times New Roman" w:hAnsi="Times New Roman"/>
                <w:sz w:val="24"/>
                <w:szCs w:val="24"/>
              </w:rPr>
              <w:t xml:space="preserve"> vielu ietekmē, kā arī c</w:t>
            </w:r>
            <w:r>
              <w:rPr>
                <w:rFonts w:ascii="Times New Roman" w:hAnsi="Times New Roman"/>
                <w:sz w:val="24"/>
                <w:szCs w:val="24"/>
              </w:rPr>
              <w:t>iti būtiski apstākļi</w:t>
            </w:r>
            <w:r w:rsidRPr="00A77C7F">
              <w:rPr>
                <w:rFonts w:ascii="Times New Roman" w:hAnsi="Times New Roman"/>
                <w:sz w:val="24"/>
                <w:szCs w:val="24"/>
              </w:rPr>
              <w:t>, kuri var ietekmēt elektroniskās uzraudzības īstenošanu</w:t>
            </w:r>
            <w:r w:rsidRPr="00A77C7F">
              <w:rPr>
                <w:rStyle w:val="c1"/>
                <w:rFonts w:ascii="Times New Roman" w:hAnsi="Times New Roman"/>
                <w:sz w:val="24"/>
                <w:szCs w:val="24"/>
              </w:rPr>
              <w:t>.</w:t>
            </w:r>
          </w:p>
          <w:p w:rsidR="0079096D" w:rsidRDefault="0079096D" w:rsidP="00FC46E3">
            <w:pPr>
              <w:spacing w:after="0" w:line="240" w:lineRule="auto"/>
              <w:ind w:firstLine="673"/>
              <w:jc w:val="both"/>
              <w:rPr>
                <w:rFonts w:ascii="Times New Roman" w:hAnsi="Times New Roman"/>
                <w:sz w:val="24"/>
                <w:szCs w:val="24"/>
              </w:rPr>
            </w:pPr>
            <w:r w:rsidRPr="00D974DC">
              <w:rPr>
                <w:rFonts w:ascii="Times New Roman" w:hAnsi="Times New Roman"/>
                <w:sz w:val="24"/>
                <w:szCs w:val="24"/>
              </w:rPr>
              <w:t>Attiecībā uz probācijas klienta iespēju iekļauties sabiedrībā ar elektronisko uzraudzību</w:t>
            </w:r>
            <w:r>
              <w:rPr>
                <w:rFonts w:ascii="Times New Roman" w:hAnsi="Times New Roman"/>
                <w:sz w:val="24"/>
                <w:szCs w:val="24"/>
              </w:rPr>
              <w:t>,</w:t>
            </w:r>
            <w:r w:rsidRPr="00D974DC">
              <w:rPr>
                <w:rFonts w:ascii="Times New Roman" w:hAnsi="Times New Roman"/>
                <w:sz w:val="24"/>
                <w:szCs w:val="24"/>
              </w:rPr>
              <w:t xml:space="preserve"> projekts papildi</w:t>
            </w:r>
            <w:r>
              <w:rPr>
                <w:rFonts w:ascii="Times New Roman" w:hAnsi="Times New Roman"/>
                <w:sz w:val="24"/>
                <w:szCs w:val="24"/>
              </w:rPr>
              <w:t xml:space="preserve">na noteikumus </w:t>
            </w:r>
            <w:r w:rsidRPr="00D974DC">
              <w:rPr>
                <w:rFonts w:ascii="Times New Roman" w:hAnsi="Times New Roman"/>
                <w:sz w:val="24"/>
                <w:szCs w:val="24"/>
              </w:rPr>
              <w:t xml:space="preserve">ar šādiem </w:t>
            </w:r>
            <w:r>
              <w:rPr>
                <w:rFonts w:ascii="Times New Roman" w:hAnsi="Times New Roman"/>
                <w:sz w:val="24"/>
                <w:szCs w:val="24"/>
              </w:rPr>
              <w:t>apakš</w:t>
            </w:r>
            <w:r w:rsidRPr="00D974DC">
              <w:rPr>
                <w:rFonts w:ascii="Times New Roman" w:hAnsi="Times New Roman"/>
                <w:sz w:val="24"/>
                <w:szCs w:val="24"/>
              </w:rPr>
              <w:t>punktiem</w:t>
            </w:r>
            <w:r>
              <w:rPr>
                <w:rFonts w:ascii="Times New Roman" w:hAnsi="Times New Roman"/>
                <w:sz w:val="24"/>
                <w:szCs w:val="24"/>
              </w:rPr>
              <w:t>, kuri paredz izvērtēšanas ziņojumā iekļaut informāciju par</w:t>
            </w:r>
            <w:r w:rsidRPr="00D974DC">
              <w:rPr>
                <w:rFonts w:ascii="Times New Roman" w:hAnsi="Times New Roman"/>
                <w:sz w:val="24"/>
                <w:szCs w:val="24"/>
              </w:rPr>
              <w:t>:</w:t>
            </w:r>
          </w:p>
          <w:p w:rsidR="0079096D"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1. </w:t>
            </w:r>
            <w:r w:rsidRPr="00D974DC">
              <w:rPr>
                <w:rFonts w:ascii="Times New Roman" w:hAnsi="Times New Roman"/>
                <w:sz w:val="24"/>
                <w:szCs w:val="24"/>
              </w:rPr>
              <w:t>plānotās izglītības iegūšanas un nodarbinātības prognozējamo ietekmi uz elektroniskās uzraudzības īstenošanu</w:t>
            </w:r>
            <w:r>
              <w:rPr>
                <w:rFonts w:ascii="Times New Roman" w:hAnsi="Times New Roman"/>
                <w:sz w:val="24"/>
                <w:szCs w:val="24"/>
              </w:rPr>
              <w:t xml:space="preserve"> (</w:t>
            </w:r>
            <w:r w:rsidRPr="00D974DC">
              <w:rPr>
                <w:rFonts w:ascii="Times New Roman" w:hAnsi="Times New Roman"/>
                <w:sz w:val="24"/>
                <w:szCs w:val="24"/>
              </w:rPr>
              <w:t>9.6.</w:t>
            </w:r>
            <w:r w:rsidRPr="00D974DC">
              <w:rPr>
                <w:rFonts w:ascii="Times New Roman" w:hAnsi="Times New Roman"/>
                <w:sz w:val="24"/>
                <w:szCs w:val="24"/>
                <w:vertAlign w:val="superscript"/>
              </w:rPr>
              <w:t>1</w:t>
            </w:r>
            <w:r w:rsidRPr="00D974DC">
              <w:rPr>
                <w:rFonts w:ascii="Times New Roman" w:hAnsi="Times New Roman"/>
                <w:sz w:val="24"/>
                <w:szCs w:val="24"/>
              </w:rPr>
              <w:t> </w:t>
            </w:r>
            <w:r>
              <w:rPr>
                <w:rFonts w:ascii="Times New Roman" w:hAnsi="Times New Roman"/>
                <w:sz w:val="24"/>
                <w:szCs w:val="24"/>
              </w:rPr>
              <w:t>apakšpunkts)</w:t>
            </w:r>
            <w:r w:rsidRPr="00D974DC">
              <w:rPr>
                <w:rFonts w:ascii="Times New Roman" w:hAnsi="Times New Roman"/>
                <w:sz w:val="24"/>
                <w:szCs w:val="24"/>
              </w:rPr>
              <w:t>;</w:t>
            </w:r>
          </w:p>
          <w:p w:rsidR="0079096D" w:rsidRPr="00D974DC"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2. </w:t>
            </w:r>
            <w:r w:rsidRPr="00D974DC">
              <w:rPr>
                <w:rFonts w:ascii="Times New Roman" w:hAnsi="Times New Roman"/>
                <w:sz w:val="24"/>
                <w:szCs w:val="24"/>
              </w:rPr>
              <w:t>uzvedības un emocionālās stabilitātes prognozējamo ietekmi uz elektroniskās uzraudzības īstenošanu</w:t>
            </w:r>
            <w:r>
              <w:rPr>
                <w:rFonts w:ascii="Times New Roman" w:hAnsi="Times New Roman"/>
                <w:sz w:val="24"/>
                <w:szCs w:val="24"/>
              </w:rPr>
              <w:t xml:space="preserve"> (</w:t>
            </w:r>
            <w:r w:rsidRPr="00D974DC">
              <w:rPr>
                <w:rFonts w:ascii="Times New Roman" w:hAnsi="Times New Roman"/>
                <w:sz w:val="24"/>
                <w:szCs w:val="24"/>
              </w:rPr>
              <w:t>9.7.</w:t>
            </w:r>
            <w:r w:rsidRPr="00D974DC">
              <w:rPr>
                <w:rFonts w:ascii="Times New Roman" w:hAnsi="Times New Roman"/>
                <w:sz w:val="24"/>
                <w:szCs w:val="24"/>
                <w:vertAlign w:val="superscript"/>
              </w:rPr>
              <w:t>1</w:t>
            </w:r>
            <w:r>
              <w:rPr>
                <w:rFonts w:ascii="Times New Roman" w:hAnsi="Times New Roman"/>
                <w:sz w:val="24"/>
                <w:szCs w:val="24"/>
              </w:rPr>
              <w:t> apakšpunkts)</w:t>
            </w:r>
            <w:r w:rsidRPr="00D974DC">
              <w:rPr>
                <w:rFonts w:ascii="Times New Roman" w:hAnsi="Times New Roman"/>
                <w:sz w:val="24"/>
                <w:szCs w:val="24"/>
              </w:rPr>
              <w:t>;</w:t>
            </w:r>
          </w:p>
          <w:p w:rsidR="0079096D" w:rsidRPr="00D974DC"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3. fiziskās</w:t>
            </w:r>
            <w:r w:rsidRPr="00D974DC">
              <w:rPr>
                <w:rFonts w:ascii="Times New Roman" w:hAnsi="Times New Roman"/>
                <w:sz w:val="24"/>
                <w:szCs w:val="24"/>
              </w:rPr>
              <w:t xml:space="preserve"> un garīg</w:t>
            </w:r>
            <w:r>
              <w:rPr>
                <w:rFonts w:ascii="Times New Roman" w:hAnsi="Times New Roman"/>
                <w:sz w:val="24"/>
                <w:szCs w:val="24"/>
              </w:rPr>
              <w:t>ās</w:t>
            </w:r>
            <w:r w:rsidRPr="00D974DC">
              <w:rPr>
                <w:rFonts w:ascii="Times New Roman" w:hAnsi="Times New Roman"/>
                <w:sz w:val="24"/>
                <w:szCs w:val="24"/>
              </w:rPr>
              <w:t xml:space="preserve"> veselības stāvokļa, alkohola, narkotisko, psihot</w:t>
            </w:r>
            <w:r>
              <w:rPr>
                <w:rFonts w:ascii="Times New Roman" w:hAnsi="Times New Roman"/>
                <w:sz w:val="24"/>
                <w:szCs w:val="24"/>
              </w:rPr>
              <w:t>ropo un toksisko vielu lietošanas</w:t>
            </w:r>
            <w:r w:rsidRPr="00D974DC">
              <w:rPr>
                <w:rFonts w:ascii="Times New Roman" w:hAnsi="Times New Roman"/>
                <w:sz w:val="24"/>
                <w:szCs w:val="24"/>
              </w:rPr>
              <w:t xml:space="preserve"> un procesu (azartspēļ</w:t>
            </w:r>
            <w:r>
              <w:rPr>
                <w:rFonts w:ascii="Times New Roman" w:hAnsi="Times New Roman"/>
                <w:sz w:val="24"/>
                <w:szCs w:val="24"/>
              </w:rPr>
              <w:t>u un jauno tehnoloģiju) atkarību</w:t>
            </w:r>
            <w:r w:rsidRPr="00D974DC">
              <w:rPr>
                <w:rFonts w:ascii="Times New Roman" w:hAnsi="Times New Roman"/>
                <w:sz w:val="24"/>
                <w:szCs w:val="24"/>
              </w:rPr>
              <w:t xml:space="preserve"> prognozējamo ietekmi uz elektroniskās uzraudzības īstenošanu</w:t>
            </w:r>
            <w:r>
              <w:rPr>
                <w:rFonts w:ascii="Times New Roman" w:hAnsi="Times New Roman"/>
                <w:sz w:val="24"/>
                <w:szCs w:val="24"/>
              </w:rPr>
              <w:t xml:space="preserve"> (</w:t>
            </w:r>
            <w:r w:rsidRPr="00D974DC">
              <w:rPr>
                <w:rFonts w:ascii="Times New Roman" w:hAnsi="Times New Roman"/>
                <w:sz w:val="24"/>
                <w:szCs w:val="24"/>
              </w:rPr>
              <w:t>9.8.</w:t>
            </w:r>
            <w:r w:rsidRPr="00D974DC">
              <w:rPr>
                <w:rFonts w:ascii="Times New Roman" w:hAnsi="Times New Roman"/>
                <w:sz w:val="24"/>
                <w:szCs w:val="24"/>
                <w:vertAlign w:val="superscript"/>
              </w:rPr>
              <w:t>1</w:t>
            </w:r>
            <w:r>
              <w:rPr>
                <w:rFonts w:ascii="Times New Roman" w:hAnsi="Times New Roman"/>
                <w:sz w:val="24"/>
                <w:szCs w:val="24"/>
              </w:rPr>
              <w:t> apakšpunkts)</w:t>
            </w:r>
            <w:r w:rsidRPr="00D974DC">
              <w:rPr>
                <w:rFonts w:ascii="Times New Roman" w:hAnsi="Times New Roman"/>
                <w:sz w:val="24"/>
                <w:szCs w:val="24"/>
              </w:rPr>
              <w:t>;</w:t>
            </w:r>
          </w:p>
          <w:p w:rsidR="0079096D"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4. </w:t>
            </w:r>
            <w:r w:rsidRPr="00D974DC">
              <w:rPr>
                <w:rFonts w:ascii="Times New Roman" w:hAnsi="Times New Roman"/>
                <w:sz w:val="24"/>
                <w:szCs w:val="24"/>
              </w:rPr>
              <w:t>citu būtisku apstākļu, kas nav minēti izvērtēšanas ziņojuma sadaļās, prognozējamo ietekmi uz elektroniskās uzraudzības īstenošanu</w:t>
            </w:r>
            <w:r>
              <w:rPr>
                <w:rFonts w:ascii="Times New Roman" w:hAnsi="Times New Roman"/>
                <w:sz w:val="24"/>
                <w:szCs w:val="24"/>
              </w:rPr>
              <w:t xml:space="preserve"> (</w:t>
            </w:r>
            <w:r w:rsidRPr="00D974DC">
              <w:rPr>
                <w:rFonts w:ascii="Times New Roman" w:hAnsi="Times New Roman"/>
                <w:sz w:val="24"/>
                <w:szCs w:val="24"/>
              </w:rPr>
              <w:t>9.10.</w:t>
            </w:r>
            <w:r w:rsidRPr="00D974DC">
              <w:rPr>
                <w:rFonts w:ascii="Times New Roman" w:hAnsi="Times New Roman"/>
                <w:sz w:val="24"/>
                <w:szCs w:val="24"/>
                <w:vertAlign w:val="superscript"/>
              </w:rPr>
              <w:t>1</w:t>
            </w:r>
            <w:r>
              <w:rPr>
                <w:rFonts w:ascii="Times New Roman" w:hAnsi="Times New Roman"/>
                <w:sz w:val="24"/>
                <w:szCs w:val="24"/>
              </w:rPr>
              <w:t> apakšpunkts).</w:t>
            </w:r>
          </w:p>
          <w:p w:rsidR="0079096D"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A</w:t>
            </w:r>
            <w:r w:rsidRPr="00D974DC">
              <w:rPr>
                <w:rFonts w:ascii="Times New Roman" w:hAnsi="Times New Roman"/>
                <w:sz w:val="24"/>
                <w:szCs w:val="24"/>
              </w:rPr>
              <w:t xml:space="preserve">ttiecībā uz </w:t>
            </w:r>
            <w:r>
              <w:rPr>
                <w:rFonts w:ascii="Times New Roman" w:hAnsi="Times New Roman"/>
                <w:sz w:val="24"/>
                <w:szCs w:val="24"/>
              </w:rPr>
              <w:t xml:space="preserve">VPD </w:t>
            </w:r>
            <w:r w:rsidRPr="00D974DC">
              <w:rPr>
                <w:rFonts w:ascii="Times New Roman" w:hAnsi="Times New Roman"/>
                <w:sz w:val="24"/>
                <w:szCs w:val="24"/>
              </w:rPr>
              <w:t>viedokļa izteikšanu par probācijas klienta iespējamo nosacītu pirmstermiņa atbrīvošanu no soda izciešanas ar elektroniskās uzraudzības noteikšanu</w:t>
            </w:r>
            <w:r>
              <w:rPr>
                <w:rFonts w:ascii="Times New Roman" w:hAnsi="Times New Roman"/>
                <w:sz w:val="24"/>
                <w:szCs w:val="24"/>
              </w:rPr>
              <w:t xml:space="preserve">, </w:t>
            </w:r>
            <w:r w:rsidRPr="00D974DC">
              <w:rPr>
                <w:rFonts w:ascii="Times New Roman" w:hAnsi="Times New Roman"/>
                <w:sz w:val="24"/>
                <w:szCs w:val="24"/>
              </w:rPr>
              <w:t>projekts papildin</w:t>
            </w:r>
            <w:r>
              <w:rPr>
                <w:rFonts w:ascii="Times New Roman" w:hAnsi="Times New Roman"/>
                <w:sz w:val="24"/>
                <w:szCs w:val="24"/>
              </w:rPr>
              <w:t xml:space="preserve">a noteikumus </w:t>
            </w:r>
            <w:r w:rsidRPr="00D974DC">
              <w:rPr>
                <w:rFonts w:ascii="Times New Roman" w:hAnsi="Times New Roman"/>
                <w:sz w:val="24"/>
                <w:szCs w:val="24"/>
              </w:rPr>
              <w:t xml:space="preserve">ar </w:t>
            </w:r>
            <w:r w:rsidRPr="002C4E84">
              <w:rPr>
                <w:rFonts w:ascii="Times New Roman" w:hAnsi="Times New Roman"/>
                <w:sz w:val="24"/>
                <w:szCs w:val="24"/>
              </w:rPr>
              <w:t>10.</w:t>
            </w:r>
            <w:r w:rsidRPr="002C4E84">
              <w:rPr>
                <w:rFonts w:ascii="Times New Roman" w:hAnsi="Times New Roman"/>
                <w:sz w:val="24"/>
                <w:szCs w:val="24"/>
                <w:vertAlign w:val="superscript"/>
              </w:rPr>
              <w:t>1</w:t>
            </w:r>
            <w:r>
              <w:rPr>
                <w:rFonts w:ascii="Times New Roman" w:hAnsi="Times New Roman"/>
                <w:sz w:val="24"/>
                <w:szCs w:val="24"/>
              </w:rPr>
              <w:t> </w:t>
            </w:r>
            <w:r w:rsidRPr="00D974DC">
              <w:rPr>
                <w:rFonts w:ascii="Times New Roman" w:hAnsi="Times New Roman"/>
                <w:sz w:val="24"/>
                <w:szCs w:val="24"/>
              </w:rPr>
              <w:t>punktu</w:t>
            </w:r>
            <w:r>
              <w:rPr>
                <w:rFonts w:ascii="Times New Roman" w:hAnsi="Times New Roman"/>
                <w:sz w:val="24"/>
                <w:szCs w:val="24"/>
              </w:rPr>
              <w:t>,</w:t>
            </w:r>
            <w:r w:rsidRPr="002C4E84">
              <w:rPr>
                <w:rFonts w:ascii="Times New Roman" w:hAnsi="Times New Roman"/>
                <w:sz w:val="24"/>
                <w:szCs w:val="24"/>
              </w:rPr>
              <w:t xml:space="preserve"> </w:t>
            </w:r>
            <w:r>
              <w:rPr>
                <w:rFonts w:ascii="Times New Roman" w:hAnsi="Times New Roman"/>
                <w:sz w:val="24"/>
                <w:szCs w:val="24"/>
              </w:rPr>
              <w:t>kas paredz, ka</w:t>
            </w:r>
            <w:r w:rsidRPr="002C4E84">
              <w:rPr>
                <w:rFonts w:ascii="Times New Roman" w:hAnsi="Times New Roman"/>
                <w:sz w:val="24"/>
                <w:szCs w:val="24"/>
              </w:rPr>
              <w:t xml:space="preserve"> papildus </w:t>
            </w:r>
            <w:r>
              <w:rPr>
                <w:rFonts w:ascii="Times New Roman" w:hAnsi="Times New Roman"/>
                <w:sz w:val="24"/>
                <w:szCs w:val="24"/>
              </w:rPr>
              <w:t xml:space="preserve">noteikumu </w:t>
            </w:r>
            <w:r w:rsidRPr="002C4E84">
              <w:rPr>
                <w:rFonts w:ascii="Times New Roman" w:hAnsi="Times New Roman"/>
                <w:sz w:val="24"/>
                <w:szCs w:val="24"/>
              </w:rPr>
              <w:t>10.</w:t>
            </w:r>
            <w:r>
              <w:rPr>
                <w:rFonts w:ascii="Times New Roman" w:hAnsi="Times New Roman"/>
                <w:sz w:val="24"/>
                <w:szCs w:val="24"/>
              </w:rPr>
              <w:t> </w:t>
            </w:r>
            <w:r w:rsidRPr="002C4E84">
              <w:rPr>
                <w:rFonts w:ascii="Times New Roman" w:hAnsi="Times New Roman"/>
                <w:sz w:val="24"/>
                <w:szCs w:val="24"/>
              </w:rPr>
              <w:t>punktā noteiktajam</w:t>
            </w:r>
            <w:r>
              <w:rPr>
                <w:rFonts w:ascii="Times New Roman" w:hAnsi="Times New Roman"/>
                <w:sz w:val="24"/>
                <w:szCs w:val="24"/>
              </w:rPr>
              <w:t xml:space="preserve">, </w:t>
            </w:r>
            <w:r w:rsidRPr="002C4E84">
              <w:rPr>
                <w:rFonts w:ascii="Times New Roman" w:hAnsi="Times New Roman"/>
                <w:sz w:val="24"/>
                <w:szCs w:val="24"/>
              </w:rPr>
              <w:t xml:space="preserve">izvērtēšanas ziņojuma kopsavilkumā iekļauj </w:t>
            </w:r>
            <w:r>
              <w:rPr>
                <w:rFonts w:ascii="Times New Roman" w:hAnsi="Times New Roman"/>
                <w:sz w:val="24"/>
                <w:szCs w:val="24"/>
              </w:rPr>
              <w:t>VPD</w:t>
            </w:r>
            <w:r w:rsidRPr="002C4E84">
              <w:rPr>
                <w:rFonts w:ascii="Times New Roman" w:hAnsi="Times New Roman"/>
                <w:sz w:val="24"/>
                <w:szCs w:val="24"/>
              </w:rPr>
              <w:t xml:space="preserve"> viedokli par probācijas klienta iespējamo nosacītu pirmstermiņa atbrīvošanu no soda izciešanas, ņemot vērā 9.5.</w:t>
            </w:r>
            <w:r w:rsidRPr="002C4E84">
              <w:rPr>
                <w:rFonts w:ascii="Times New Roman" w:hAnsi="Times New Roman"/>
                <w:sz w:val="24"/>
                <w:szCs w:val="24"/>
                <w:vertAlign w:val="superscript"/>
              </w:rPr>
              <w:t>1</w:t>
            </w:r>
            <w:r w:rsidRPr="002C4E84">
              <w:rPr>
                <w:rFonts w:ascii="Times New Roman" w:hAnsi="Times New Roman"/>
                <w:sz w:val="24"/>
                <w:szCs w:val="24"/>
              </w:rPr>
              <w:t>, 9.5.</w:t>
            </w:r>
            <w:r w:rsidRPr="002C4E84">
              <w:rPr>
                <w:rFonts w:ascii="Times New Roman" w:hAnsi="Times New Roman"/>
                <w:sz w:val="24"/>
                <w:szCs w:val="24"/>
                <w:vertAlign w:val="superscript"/>
              </w:rPr>
              <w:t>2</w:t>
            </w:r>
            <w:r w:rsidRPr="002C4E84">
              <w:rPr>
                <w:rFonts w:ascii="Times New Roman" w:hAnsi="Times New Roman"/>
                <w:sz w:val="24"/>
                <w:szCs w:val="24"/>
              </w:rPr>
              <w:t>, 9.6.</w:t>
            </w:r>
            <w:r w:rsidRPr="002C4E84">
              <w:rPr>
                <w:rFonts w:ascii="Times New Roman" w:hAnsi="Times New Roman"/>
                <w:sz w:val="24"/>
                <w:szCs w:val="24"/>
                <w:vertAlign w:val="superscript"/>
              </w:rPr>
              <w:t>1</w:t>
            </w:r>
            <w:r w:rsidRPr="002C4E84">
              <w:rPr>
                <w:rFonts w:ascii="Times New Roman" w:hAnsi="Times New Roman"/>
                <w:sz w:val="24"/>
                <w:szCs w:val="24"/>
              </w:rPr>
              <w:t>, 9.7.</w:t>
            </w:r>
            <w:r w:rsidRPr="002C4E84">
              <w:rPr>
                <w:rFonts w:ascii="Times New Roman" w:hAnsi="Times New Roman"/>
                <w:sz w:val="24"/>
                <w:szCs w:val="24"/>
                <w:vertAlign w:val="superscript"/>
              </w:rPr>
              <w:t>1</w:t>
            </w:r>
            <w:r w:rsidRPr="002C4E84">
              <w:rPr>
                <w:rFonts w:ascii="Times New Roman" w:hAnsi="Times New Roman"/>
                <w:sz w:val="24"/>
                <w:szCs w:val="24"/>
              </w:rPr>
              <w:t>, 9.8.</w:t>
            </w:r>
            <w:r w:rsidRPr="002C4E84">
              <w:rPr>
                <w:rFonts w:ascii="Times New Roman" w:hAnsi="Times New Roman"/>
                <w:sz w:val="24"/>
                <w:szCs w:val="24"/>
                <w:vertAlign w:val="superscript"/>
              </w:rPr>
              <w:t>1</w:t>
            </w:r>
            <w:r w:rsidRPr="002C4E84">
              <w:rPr>
                <w:rFonts w:ascii="Times New Roman" w:hAnsi="Times New Roman"/>
                <w:sz w:val="24"/>
                <w:szCs w:val="24"/>
              </w:rPr>
              <w:t xml:space="preserve"> un 9.10.</w:t>
            </w:r>
            <w:r w:rsidRPr="002C4E84">
              <w:rPr>
                <w:rFonts w:ascii="Times New Roman" w:hAnsi="Times New Roman"/>
                <w:sz w:val="24"/>
                <w:szCs w:val="24"/>
                <w:vertAlign w:val="superscript"/>
              </w:rPr>
              <w:t>1</w:t>
            </w:r>
            <w:r>
              <w:rPr>
                <w:rFonts w:ascii="Times New Roman" w:hAnsi="Times New Roman"/>
                <w:sz w:val="24"/>
                <w:szCs w:val="24"/>
              </w:rPr>
              <w:t> apakšpunktu</w:t>
            </w:r>
            <w:r w:rsidRPr="002C4E84">
              <w:rPr>
                <w:rFonts w:ascii="Times New Roman" w:hAnsi="Times New Roman"/>
                <w:sz w:val="24"/>
                <w:szCs w:val="24"/>
              </w:rPr>
              <w:t xml:space="preserve">, </w:t>
            </w:r>
            <w:r>
              <w:rPr>
                <w:rFonts w:ascii="Times New Roman" w:hAnsi="Times New Roman"/>
                <w:sz w:val="24"/>
                <w:szCs w:val="24"/>
              </w:rPr>
              <w:t>kā arī nepieciešamības gadījumā –</w:t>
            </w:r>
            <w:r w:rsidRPr="002C4E84">
              <w:rPr>
                <w:rFonts w:ascii="Times New Roman" w:hAnsi="Times New Roman"/>
                <w:sz w:val="24"/>
                <w:szCs w:val="24"/>
              </w:rPr>
              <w:t xml:space="preserve"> informāciju par e</w:t>
            </w:r>
            <w:r>
              <w:rPr>
                <w:rFonts w:ascii="Times New Roman" w:hAnsi="Times New Roman"/>
                <w:sz w:val="24"/>
                <w:szCs w:val="24"/>
              </w:rPr>
              <w:t>lektroniskās uzraudzības ierīču</w:t>
            </w:r>
            <w:r w:rsidRPr="002C4E84">
              <w:rPr>
                <w:rFonts w:ascii="Times New Roman" w:hAnsi="Times New Roman"/>
                <w:sz w:val="24"/>
                <w:szCs w:val="24"/>
              </w:rPr>
              <w:t xml:space="preserve"> pieejamību.</w:t>
            </w:r>
          </w:p>
          <w:p w:rsidR="0079096D" w:rsidRDefault="0079096D" w:rsidP="00FC46E3">
            <w:pPr>
              <w:spacing w:after="0" w:line="240" w:lineRule="auto"/>
              <w:ind w:firstLine="673"/>
              <w:jc w:val="both"/>
              <w:rPr>
                <w:rFonts w:ascii="Times New Roman" w:hAnsi="Times New Roman"/>
                <w:sz w:val="24"/>
                <w:szCs w:val="24"/>
              </w:rPr>
            </w:pPr>
            <w:r w:rsidRPr="0076401D">
              <w:rPr>
                <w:rFonts w:ascii="Times New Roman" w:hAnsi="Times New Roman"/>
                <w:sz w:val="24"/>
                <w:szCs w:val="24"/>
              </w:rPr>
              <w:t xml:space="preserve">Saistībā ar elektroniskās uzraudzības </w:t>
            </w:r>
            <w:r>
              <w:rPr>
                <w:rFonts w:ascii="Times New Roman" w:hAnsi="Times New Roman"/>
                <w:sz w:val="24"/>
                <w:szCs w:val="24"/>
              </w:rPr>
              <w:t>noteikšanu</w:t>
            </w:r>
            <w:r w:rsidRPr="0076401D">
              <w:rPr>
                <w:rFonts w:ascii="Times New Roman" w:hAnsi="Times New Roman"/>
                <w:sz w:val="24"/>
                <w:szCs w:val="24"/>
              </w:rPr>
              <w:t xml:space="preserve"> ir jāiegūst personu, kas dzīvo</w:t>
            </w:r>
            <w:r>
              <w:rPr>
                <w:rFonts w:ascii="Times New Roman" w:hAnsi="Times New Roman"/>
                <w:sz w:val="24"/>
                <w:szCs w:val="24"/>
              </w:rPr>
              <w:t xml:space="preserve"> notiesātā</w:t>
            </w:r>
            <w:r w:rsidRPr="0076401D">
              <w:rPr>
                <w:rFonts w:ascii="Times New Roman" w:hAnsi="Times New Roman"/>
                <w:sz w:val="24"/>
                <w:szCs w:val="24"/>
              </w:rPr>
              <w:t xml:space="preserve"> </w:t>
            </w:r>
            <w:r>
              <w:rPr>
                <w:rFonts w:ascii="Times New Roman" w:hAnsi="Times New Roman"/>
                <w:sz w:val="24"/>
                <w:szCs w:val="24"/>
              </w:rPr>
              <w:t>iespējamā</w:t>
            </w:r>
            <w:r w:rsidRPr="0076401D">
              <w:rPr>
                <w:rFonts w:ascii="Times New Roman" w:hAnsi="Times New Roman"/>
                <w:sz w:val="24"/>
                <w:szCs w:val="24"/>
              </w:rPr>
              <w:t xml:space="preserve"> dzīvesvietā, piekrišana elektroniskās uzraudzības piemērošanai. Laikā, kad notiesātajam būs </w:t>
            </w:r>
            <w:r>
              <w:rPr>
                <w:rFonts w:ascii="Times New Roman" w:hAnsi="Times New Roman"/>
                <w:sz w:val="24"/>
                <w:szCs w:val="24"/>
              </w:rPr>
              <w:t>noteikta</w:t>
            </w:r>
            <w:r w:rsidRPr="0076401D">
              <w:rPr>
                <w:rFonts w:ascii="Times New Roman" w:hAnsi="Times New Roman"/>
                <w:sz w:val="24"/>
                <w:szCs w:val="24"/>
              </w:rPr>
              <w:t xml:space="preserve"> elektroniskā uzraudzība</w:t>
            </w:r>
            <w:r>
              <w:rPr>
                <w:rFonts w:ascii="Times New Roman" w:hAnsi="Times New Roman"/>
                <w:sz w:val="24"/>
                <w:szCs w:val="24"/>
              </w:rPr>
              <w:t>,</w:t>
            </w:r>
            <w:r w:rsidRPr="0076401D">
              <w:rPr>
                <w:rFonts w:ascii="Times New Roman" w:hAnsi="Times New Roman"/>
                <w:sz w:val="24"/>
                <w:szCs w:val="24"/>
              </w:rPr>
              <w:t xml:space="preserve"> pārējo mājsaimniecības locekļu izpratnes līmenis un motivācija sadarboties ir ļoti svarīgs aspekts. Jāņem vērā apstāklis, ka brīdī, kad notiesātajam būs </w:t>
            </w:r>
            <w:r>
              <w:rPr>
                <w:rFonts w:ascii="Times New Roman" w:hAnsi="Times New Roman"/>
                <w:sz w:val="24"/>
                <w:szCs w:val="24"/>
              </w:rPr>
              <w:t>noteikta</w:t>
            </w:r>
            <w:r w:rsidRPr="0076401D">
              <w:rPr>
                <w:rFonts w:ascii="Times New Roman" w:hAnsi="Times New Roman"/>
                <w:sz w:val="24"/>
                <w:szCs w:val="24"/>
              </w:rPr>
              <w:t xml:space="preserve"> elektroniskā uzraudzība</w:t>
            </w:r>
            <w:r>
              <w:rPr>
                <w:rFonts w:ascii="Times New Roman" w:hAnsi="Times New Roman"/>
                <w:sz w:val="24"/>
                <w:szCs w:val="24"/>
              </w:rPr>
              <w:t>,</w:t>
            </w:r>
            <w:r w:rsidRPr="0076401D">
              <w:rPr>
                <w:rFonts w:ascii="Times New Roman" w:hAnsi="Times New Roman"/>
                <w:sz w:val="24"/>
                <w:szCs w:val="24"/>
              </w:rPr>
              <w:t xml:space="preserve"> lielāko daļu laika viņš atradīsies dzīvesvietā</w:t>
            </w:r>
            <w:r>
              <w:rPr>
                <w:rFonts w:ascii="Times New Roman" w:hAnsi="Times New Roman"/>
                <w:sz w:val="24"/>
                <w:szCs w:val="24"/>
              </w:rPr>
              <w:t>.</w:t>
            </w:r>
            <w:r w:rsidRPr="0076401D">
              <w:rPr>
                <w:rFonts w:ascii="Times New Roman" w:hAnsi="Times New Roman"/>
                <w:sz w:val="24"/>
                <w:szCs w:val="24"/>
              </w:rPr>
              <w:t xml:space="preserve"> </w:t>
            </w:r>
            <w:r>
              <w:rPr>
                <w:rFonts w:ascii="Times New Roman" w:hAnsi="Times New Roman"/>
                <w:sz w:val="24"/>
                <w:szCs w:val="24"/>
              </w:rPr>
              <w:t>Minētais apstāklis</w:t>
            </w:r>
            <w:r w:rsidRPr="0076401D">
              <w:rPr>
                <w:rFonts w:ascii="Times New Roman" w:hAnsi="Times New Roman"/>
                <w:sz w:val="24"/>
                <w:szCs w:val="24"/>
              </w:rPr>
              <w:t xml:space="preserve"> rada zināmus ierobežojumus arī pārējiem mājsaimniecības iedzīvotājiem, tādēļ attiecībā uz personu, kas dzīvo notiesātā </w:t>
            </w:r>
            <w:r>
              <w:rPr>
                <w:rFonts w:ascii="Times New Roman" w:hAnsi="Times New Roman"/>
                <w:sz w:val="24"/>
                <w:szCs w:val="24"/>
              </w:rPr>
              <w:t>iespējamā</w:t>
            </w:r>
            <w:r w:rsidRPr="0076401D">
              <w:rPr>
                <w:rFonts w:ascii="Times New Roman" w:hAnsi="Times New Roman"/>
                <w:sz w:val="24"/>
                <w:szCs w:val="24"/>
              </w:rPr>
              <w:t xml:space="preserve"> dzīvesvietā, piekrišanu elektroniskās uzraudzības </w:t>
            </w:r>
            <w:r>
              <w:rPr>
                <w:rFonts w:ascii="Times New Roman" w:hAnsi="Times New Roman"/>
                <w:sz w:val="24"/>
                <w:szCs w:val="24"/>
              </w:rPr>
              <w:t>noteikšanai, projekts paredz noteikt jaunu normatīvo regulējumu, kas atbilst VPDL 25. panta ceturtās daļas normatīvajam regulējumam (stājas spēkā 2015.gada 1.februārī). Projekts paredz: 1)</w:t>
            </w:r>
            <w:r w:rsidRPr="0076401D">
              <w:rPr>
                <w:rFonts w:ascii="Times New Roman" w:hAnsi="Times New Roman"/>
                <w:sz w:val="24"/>
                <w:szCs w:val="24"/>
              </w:rPr>
              <w:t xml:space="preserve"> noteikumu 28.</w:t>
            </w:r>
            <w:r>
              <w:rPr>
                <w:rFonts w:ascii="Times New Roman" w:hAnsi="Times New Roman"/>
                <w:sz w:val="24"/>
                <w:szCs w:val="24"/>
              </w:rPr>
              <w:t> </w:t>
            </w:r>
            <w:r w:rsidRPr="0076401D">
              <w:rPr>
                <w:rFonts w:ascii="Times New Roman" w:hAnsi="Times New Roman"/>
                <w:sz w:val="24"/>
                <w:szCs w:val="24"/>
              </w:rPr>
              <w:t>punkt</w:t>
            </w:r>
            <w:r>
              <w:rPr>
                <w:rFonts w:ascii="Times New Roman" w:hAnsi="Times New Roman"/>
                <w:sz w:val="24"/>
                <w:szCs w:val="24"/>
              </w:rPr>
              <w:t>u papildināt ar 28.2. apakšpunktu, vienlaicīgi izsakot 28. punktu jaunā redakcijā, un 2)</w:t>
            </w:r>
            <w:r w:rsidRPr="0076401D">
              <w:rPr>
                <w:rFonts w:ascii="Times New Roman" w:hAnsi="Times New Roman"/>
                <w:sz w:val="24"/>
                <w:szCs w:val="24"/>
              </w:rPr>
              <w:t xml:space="preserve"> </w:t>
            </w:r>
            <w:r>
              <w:rPr>
                <w:rFonts w:ascii="Times New Roman" w:hAnsi="Times New Roman"/>
                <w:sz w:val="24"/>
                <w:szCs w:val="24"/>
              </w:rPr>
              <w:t>papildināt noteikumus ar jaunu 39.</w:t>
            </w:r>
            <w:r>
              <w:rPr>
                <w:rFonts w:ascii="Times New Roman" w:hAnsi="Times New Roman"/>
                <w:sz w:val="24"/>
                <w:szCs w:val="24"/>
                <w:vertAlign w:val="superscript"/>
              </w:rPr>
              <w:t>1</w:t>
            </w:r>
            <w:r>
              <w:rPr>
                <w:rFonts w:ascii="Times New Roman" w:hAnsi="Times New Roman"/>
                <w:sz w:val="24"/>
                <w:szCs w:val="24"/>
              </w:rPr>
              <w:t>, 39.</w:t>
            </w:r>
            <w:r>
              <w:rPr>
                <w:rFonts w:ascii="Times New Roman" w:hAnsi="Times New Roman"/>
                <w:sz w:val="24"/>
                <w:szCs w:val="24"/>
                <w:vertAlign w:val="superscript"/>
              </w:rPr>
              <w:t>2</w:t>
            </w:r>
            <w:r>
              <w:rPr>
                <w:rFonts w:ascii="Times New Roman" w:hAnsi="Times New Roman"/>
                <w:sz w:val="24"/>
                <w:szCs w:val="24"/>
              </w:rPr>
              <w:t xml:space="preserve"> un 39.</w:t>
            </w:r>
            <w:r>
              <w:rPr>
                <w:rFonts w:ascii="Times New Roman" w:hAnsi="Times New Roman"/>
                <w:sz w:val="24"/>
                <w:szCs w:val="24"/>
                <w:vertAlign w:val="superscript"/>
              </w:rPr>
              <w:t>3</w:t>
            </w:r>
            <w:r>
              <w:rPr>
                <w:rFonts w:ascii="Times New Roman" w:hAnsi="Times New Roman"/>
                <w:sz w:val="24"/>
                <w:szCs w:val="24"/>
              </w:rPr>
              <w:t> punktu.</w:t>
            </w:r>
          </w:p>
          <w:p w:rsidR="0079096D"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 xml:space="preserve">Izsakot </w:t>
            </w:r>
            <w:r w:rsidRPr="0076401D">
              <w:rPr>
                <w:rFonts w:ascii="Times New Roman" w:hAnsi="Times New Roman"/>
                <w:sz w:val="24"/>
                <w:szCs w:val="24"/>
              </w:rPr>
              <w:t>noteikumu 28.</w:t>
            </w:r>
            <w:r>
              <w:rPr>
                <w:rFonts w:ascii="Times New Roman" w:hAnsi="Times New Roman"/>
                <w:sz w:val="24"/>
                <w:szCs w:val="24"/>
              </w:rPr>
              <w:t> punktu jaunā</w:t>
            </w:r>
            <w:r w:rsidRPr="0076401D">
              <w:rPr>
                <w:rFonts w:ascii="Times New Roman" w:hAnsi="Times New Roman"/>
                <w:sz w:val="24"/>
                <w:szCs w:val="24"/>
              </w:rPr>
              <w:t xml:space="preserve"> redakcijā</w:t>
            </w:r>
            <w:r>
              <w:rPr>
                <w:rFonts w:ascii="Times New Roman" w:hAnsi="Times New Roman"/>
                <w:sz w:val="24"/>
                <w:szCs w:val="24"/>
              </w:rPr>
              <w:t xml:space="preserve">, tajā tiek iekļauts jauns normatīvais regulējums (28.2. apakšpunkts), kas paredz, ka VPD amatpersonas, plānojot veikt pārrunas izvērtēšanas ziņojuma sastādīšanai, ar notiesāto nesaskaņo informācijas sniedzēju loku, kurā ir iekļautas notiesātā </w:t>
            </w:r>
            <w:r w:rsidRPr="00D35163">
              <w:rPr>
                <w:rFonts w:ascii="Times New Roman" w:hAnsi="Times New Roman"/>
                <w:sz w:val="24"/>
                <w:szCs w:val="24"/>
              </w:rPr>
              <w:t>ie</w:t>
            </w:r>
            <w:r>
              <w:rPr>
                <w:rFonts w:ascii="Times New Roman" w:hAnsi="Times New Roman"/>
                <w:sz w:val="24"/>
                <w:szCs w:val="24"/>
              </w:rPr>
              <w:t>spējamā dzīvesvietā dzīvojošās personas</w:t>
            </w:r>
            <w:r w:rsidRPr="00D35163">
              <w:rPr>
                <w:rFonts w:ascii="Times New Roman" w:hAnsi="Times New Roman"/>
                <w:sz w:val="24"/>
                <w:szCs w:val="24"/>
              </w:rPr>
              <w:t>, ja pārrunas</w:t>
            </w:r>
            <w:r>
              <w:rPr>
                <w:rFonts w:ascii="Times New Roman" w:hAnsi="Times New Roman"/>
                <w:sz w:val="24"/>
                <w:szCs w:val="24"/>
              </w:rPr>
              <w:t xml:space="preserve"> tiks</w:t>
            </w:r>
            <w:r w:rsidRPr="00D35163">
              <w:rPr>
                <w:rFonts w:ascii="Times New Roman" w:hAnsi="Times New Roman"/>
                <w:sz w:val="24"/>
                <w:szCs w:val="24"/>
              </w:rPr>
              <w:t xml:space="preserve"> veiktas, lai noskaidrotu šo personu attieksmi pret elektroniskās uzraudzības noteikšanu un elektronisko ierīču uzstādīšanu</w:t>
            </w:r>
            <w:r>
              <w:rPr>
                <w:rFonts w:ascii="Times New Roman" w:hAnsi="Times New Roman"/>
                <w:sz w:val="24"/>
                <w:szCs w:val="24"/>
              </w:rPr>
              <w:t>. Savukārt projekta 11. punkts paredz papildināt</w:t>
            </w:r>
            <w:r w:rsidRPr="0076401D">
              <w:rPr>
                <w:rFonts w:ascii="Times New Roman" w:hAnsi="Times New Roman"/>
                <w:sz w:val="24"/>
                <w:szCs w:val="24"/>
              </w:rPr>
              <w:t xml:space="preserve"> noteikumu</w:t>
            </w:r>
            <w:r>
              <w:rPr>
                <w:rFonts w:ascii="Times New Roman" w:hAnsi="Times New Roman"/>
                <w:sz w:val="24"/>
                <w:szCs w:val="24"/>
              </w:rPr>
              <w:t>s ar VPD amatpersonu rīcības modeli (39.</w:t>
            </w:r>
            <w:r>
              <w:rPr>
                <w:rFonts w:ascii="Times New Roman" w:hAnsi="Times New Roman"/>
                <w:sz w:val="24"/>
                <w:szCs w:val="24"/>
                <w:vertAlign w:val="superscript"/>
              </w:rPr>
              <w:t>1</w:t>
            </w:r>
            <w:r>
              <w:rPr>
                <w:rFonts w:ascii="Times New Roman" w:hAnsi="Times New Roman"/>
                <w:sz w:val="24"/>
                <w:szCs w:val="24"/>
              </w:rPr>
              <w:t>, 39.</w:t>
            </w:r>
            <w:r>
              <w:rPr>
                <w:rFonts w:ascii="Times New Roman" w:hAnsi="Times New Roman"/>
                <w:sz w:val="24"/>
                <w:szCs w:val="24"/>
                <w:vertAlign w:val="superscript"/>
              </w:rPr>
              <w:t>2</w:t>
            </w:r>
            <w:r>
              <w:rPr>
                <w:rFonts w:ascii="Times New Roman" w:hAnsi="Times New Roman"/>
                <w:sz w:val="24"/>
                <w:szCs w:val="24"/>
              </w:rPr>
              <w:t xml:space="preserve"> un 39.</w:t>
            </w:r>
            <w:r>
              <w:rPr>
                <w:rFonts w:ascii="Times New Roman" w:hAnsi="Times New Roman"/>
                <w:sz w:val="24"/>
                <w:szCs w:val="24"/>
                <w:vertAlign w:val="superscript"/>
              </w:rPr>
              <w:t>3</w:t>
            </w:r>
            <w:r>
              <w:rPr>
                <w:rFonts w:ascii="Times New Roman" w:hAnsi="Times New Roman"/>
                <w:sz w:val="24"/>
                <w:szCs w:val="24"/>
              </w:rPr>
              <w:t> punkts),</w:t>
            </w:r>
            <w:r>
              <w:t xml:space="preserve"> </w:t>
            </w:r>
            <w:r w:rsidRPr="00177C56">
              <w:rPr>
                <w:rFonts w:ascii="Times New Roman" w:hAnsi="Times New Roman"/>
                <w:sz w:val="24"/>
                <w:szCs w:val="24"/>
              </w:rPr>
              <w:t xml:space="preserve">izvērtēšanas ziņojuma sagatavošanas posmā tiekoties </w:t>
            </w:r>
            <w:r>
              <w:rPr>
                <w:rFonts w:ascii="Times New Roman" w:hAnsi="Times New Roman"/>
                <w:sz w:val="24"/>
                <w:szCs w:val="24"/>
              </w:rPr>
              <w:t>ar notiesātā</w:t>
            </w:r>
            <w:r w:rsidRPr="00177C56">
              <w:rPr>
                <w:rFonts w:ascii="Times New Roman" w:hAnsi="Times New Roman"/>
                <w:sz w:val="24"/>
                <w:szCs w:val="24"/>
              </w:rPr>
              <w:t xml:space="preserve"> iespējamā dzīvesvietā dzīvojošām personām</w:t>
            </w:r>
            <w:r>
              <w:rPr>
                <w:rFonts w:ascii="Times New Roman" w:hAnsi="Times New Roman"/>
                <w:sz w:val="24"/>
                <w:szCs w:val="24"/>
              </w:rPr>
              <w:t>. VPD amatpersonai, tiekoties ar notiesātā</w:t>
            </w:r>
            <w:r w:rsidRPr="00177C56">
              <w:rPr>
                <w:rFonts w:ascii="Times New Roman" w:hAnsi="Times New Roman"/>
                <w:sz w:val="24"/>
                <w:szCs w:val="24"/>
              </w:rPr>
              <w:t xml:space="preserve"> iespējamā dzīvesvietā dzīvojošām personām</w:t>
            </w:r>
            <w:r>
              <w:rPr>
                <w:rFonts w:ascii="Times New Roman" w:hAnsi="Times New Roman"/>
                <w:sz w:val="24"/>
                <w:szCs w:val="24"/>
              </w:rPr>
              <w:t xml:space="preserve">, ir pienākums šīm personām izskaidrot </w:t>
            </w:r>
            <w:r w:rsidRPr="00E95D89">
              <w:rPr>
                <w:rFonts w:ascii="Times New Roman" w:hAnsi="Times New Roman"/>
                <w:sz w:val="24"/>
                <w:szCs w:val="24"/>
              </w:rPr>
              <w:t>elektroniskās uzraudzības nosacījumus</w:t>
            </w:r>
            <w:r>
              <w:rPr>
                <w:rFonts w:ascii="Times New Roman" w:hAnsi="Times New Roman"/>
                <w:sz w:val="24"/>
                <w:szCs w:val="24"/>
              </w:rPr>
              <w:t xml:space="preserve">, </w:t>
            </w:r>
            <w:r w:rsidRPr="00E95D89">
              <w:rPr>
                <w:rFonts w:ascii="Times New Roman" w:hAnsi="Times New Roman"/>
                <w:sz w:val="24"/>
                <w:szCs w:val="24"/>
              </w:rPr>
              <w:t>saņem</w:t>
            </w:r>
            <w:r>
              <w:rPr>
                <w:rFonts w:ascii="Times New Roman" w:hAnsi="Times New Roman"/>
                <w:sz w:val="24"/>
                <w:szCs w:val="24"/>
              </w:rPr>
              <w:t>t</w:t>
            </w:r>
            <w:r w:rsidRPr="00E95D89">
              <w:rPr>
                <w:rFonts w:ascii="Times New Roman" w:hAnsi="Times New Roman"/>
                <w:sz w:val="24"/>
                <w:szCs w:val="24"/>
              </w:rPr>
              <w:t xml:space="preserve"> rakstisku </w:t>
            </w:r>
            <w:r w:rsidRPr="00E95D89">
              <w:rPr>
                <w:rStyle w:val="c1"/>
                <w:rFonts w:ascii="Times New Roman" w:hAnsi="Times New Roman"/>
                <w:sz w:val="24"/>
                <w:szCs w:val="24"/>
              </w:rPr>
              <w:t>atļauju</w:t>
            </w:r>
            <w:r w:rsidRPr="00E95D89" w:rsidDel="00A62DDA">
              <w:rPr>
                <w:rFonts w:ascii="Times New Roman" w:hAnsi="Times New Roman"/>
                <w:sz w:val="24"/>
                <w:szCs w:val="24"/>
              </w:rPr>
              <w:t xml:space="preserve"> </w:t>
            </w:r>
            <w:r w:rsidRPr="00E95D89">
              <w:rPr>
                <w:rFonts w:ascii="Times New Roman" w:hAnsi="Times New Roman"/>
                <w:sz w:val="24"/>
                <w:szCs w:val="24"/>
              </w:rPr>
              <w:t xml:space="preserve">no </w:t>
            </w:r>
            <w:r w:rsidRPr="00E95D89">
              <w:rPr>
                <w:rStyle w:val="c1"/>
                <w:rFonts w:ascii="Times New Roman" w:hAnsi="Times New Roman"/>
                <w:sz w:val="24"/>
                <w:szCs w:val="24"/>
              </w:rPr>
              <w:t>dzīvesvietā faktiski dzīvojošām personām par elektronisk</w:t>
            </w:r>
            <w:r>
              <w:rPr>
                <w:rStyle w:val="c1"/>
                <w:rFonts w:ascii="Times New Roman" w:hAnsi="Times New Roman"/>
                <w:sz w:val="24"/>
                <w:szCs w:val="24"/>
              </w:rPr>
              <w:t>ās uzraudzības veikšanu un</w:t>
            </w:r>
            <w:r w:rsidRPr="00E95D89">
              <w:rPr>
                <w:rStyle w:val="c1"/>
                <w:rFonts w:ascii="Times New Roman" w:hAnsi="Times New Roman"/>
                <w:sz w:val="24"/>
                <w:szCs w:val="24"/>
              </w:rPr>
              <w:t xml:space="preserve"> elektronisko</w:t>
            </w:r>
            <w:r>
              <w:rPr>
                <w:rStyle w:val="c1"/>
                <w:rFonts w:ascii="Times New Roman" w:hAnsi="Times New Roman"/>
                <w:sz w:val="24"/>
                <w:szCs w:val="24"/>
              </w:rPr>
              <w:t xml:space="preserve"> uzraudzības ierīču izvietošanu</w:t>
            </w:r>
            <w:r w:rsidRPr="00E95D89">
              <w:rPr>
                <w:rStyle w:val="c1"/>
                <w:rFonts w:ascii="Times New Roman" w:hAnsi="Times New Roman"/>
                <w:sz w:val="24"/>
                <w:szCs w:val="24"/>
              </w:rPr>
              <w:t xml:space="preserve"> šajā dzīvesvietā</w:t>
            </w:r>
            <w:r>
              <w:rPr>
                <w:rStyle w:val="c1"/>
                <w:rFonts w:ascii="Times New Roman" w:hAnsi="Times New Roman"/>
                <w:sz w:val="24"/>
                <w:szCs w:val="24"/>
              </w:rPr>
              <w:t xml:space="preserve">. Ja </w:t>
            </w:r>
            <w:r w:rsidRPr="00E95D89">
              <w:rPr>
                <w:rStyle w:val="c1"/>
                <w:rFonts w:ascii="Times New Roman" w:hAnsi="Times New Roman"/>
                <w:sz w:val="24"/>
                <w:szCs w:val="24"/>
              </w:rPr>
              <w:t xml:space="preserve">kāda no </w:t>
            </w:r>
            <w:r>
              <w:rPr>
                <w:rFonts w:ascii="Times New Roman" w:hAnsi="Times New Roman"/>
                <w:sz w:val="24"/>
                <w:szCs w:val="24"/>
              </w:rPr>
              <w:t>notiesātā</w:t>
            </w:r>
            <w:r w:rsidRPr="00E95D89">
              <w:rPr>
                <w:rFonts w:ascii="Times New Roman" w:hAnsi="Times New Roman"/>
                <w:sz w:val="24"/>
                <w:szCs w:val="24"/>
              </w:rPr>
              <w:t xml:space="preserve"> iespējamā dzīvesvietā faktiski dzīvojošām personām neatrodas dzīvesvietā, </w:t>
            </w:r>
            <w:r>
              <w:rPr>
                <w:rFonts w:ascii="Times New Roman" w:hAnsi="Times New Roman"/>
                <w:sz w:val="24"/>
                <w:szCs w:val="24"/>
              </w:rPr>
              <w:t xml:space="preserve">VPD </w:t>
            </w:r>
            <w:r w:rsidRPr="00E95D89">
              <w:rPr>
                <w:rFonts w:ascii="Times New Roman" w:hAnsi="Times New Roman"/>
                <w:sz w:val="24"/>
                <w:szCs w:val="24"/>
              </w:rPr>
              <w:t xml:space="preserve">amatpersona atstāj uzaicinājumu šai personai ierasties </w:t>
            </w:r>
            <w:r>
              <w:rPr>
                <w:rFonts w:ascii="Times New Roman" w:hAnsi="Times New Roman"/>
                <w:sz w:val="24"/>
                <w:szCs w:val="24"/>
              </w:rPr>
              <w:t>VPD</w:t>
            </w:r>
            <w:r w:rsidRPr="00E95D89">
              <w:rPr>
                <w:rFonts w:ascii="Times New Roman" w:hAnsi="Times New Roman"/>
                <w:sz w:val="24"/>
                <w:szCs w:val="24"/>
              </w:rPr>
              <w:t>.</w:t>
            </w:r>
          </w:p>
          <w:p w:rsidR="0079096D" w:rsidRDefault="0079096D" w:rsidP="00FC46E3">
            <w:pPr>
              <w:spacing w:after="0" w:line="240" w:lineRule="auto"/>
              <w:ind w:firstLine="673"/>
              <w:jc w:val="both"/>
              <w:rPr>
                <w:rFonts w:ascii="Times New Roman" w:hAnsi="Times New Roman"/>
                <w:sz w:val="24"/>
                <w:szCs w:val="24"/>
              </w:rPr>
            </w:pPr>
            <w:r>
              <w:rPr>
                <w:rFonts w:ascii="Times New Roman" w:hAnsi="Times New Roman"/>
                <w:sz w:val="24"/>
                <w:szCs w:val="24"/>
              </w:rPr>
              <w:t>Likums „</w:t>
            </w:r>
            <w:r w:rsidRPr="006C3A59">
              <w:rPr>
                <w:rFonts w:ascii="Times New Roman" w:hAnsi="Times New Roman"/>
                <w:sz w:val="24"/>
                <w:szCs w:val="24"/>
              </w:rPr>
              <w:t>Grozījumi Krimināllikumā</w:t>
            </w:r>
            <w:r>
              <w:rPr>
                <w:rFonts w:ascii="Times New Roman" w:hAnsi="Times New Roman"/>
                <w:sz w:val="24"/>
                <w:szCs w:val="24"/>
              </w:rPr>
              <w:t>” (stājas spēkā 2015.gada 1.februārī)</w:t>
            </w:r>
            <w:r w:rsidRPr="006C3A59">
              <w:rPr>
                <w:rFonts w:ascii="Times New Roman" w:hAnsi="Times New Roman"/>
                <w:sz w:val="24"/>
                <w:szCs w:val="24"/>
              </w:rPr>
              <w:t xml:space="preserve"> paredz, ka nosacīti pirms</w:t>
            </w:r>
            <w:r>
              <w:rPr>
                <w:rFonts w:ascii="Times New Roman" w:hAnsi="Times New Roman"/>
                <w:sz w:val="24"/>
                <w:szCs w:val="24"/>
              </w:rPr>
              <w:t xml:space="preserve"> </w:t>
            </w:r>
            <w:r w:rsidRPr="006C3A59">
              <w:rPr>
                <w:rFonts w:ascii="Times New Roman" w:hAnsi="Times New Roman"/>
                <w:sz w:val="24"/>
                <w:szCs w:val="24"/>
              </w:rPr>
              <w:t>termiņa atbrīvojot no soda, notiesātajam var piemērot elektronisko uzraudzību, ievērojot nosacījumu, ka notiesātais piekrīt elektroniskai uzraudzībai. Tieši notiesātā piekrišana elektroniskajai uzraudzībai ir svarīgs faktors</w:t>
            </w:r>
            <w:r>
              <w:rPr>
                <w:rFonts w:ascii="Times New Roman" w:hAnsi="Times New Roman"/>
                <w:sz w:val="24"/>
                <w:szCs w:val="24"/>
              </w:rPr>
              <w:t xml:space="preserve"> elektroniskās uzraudzības noteikšanai.</w:t>
            </w:r>
            <w:r w:rsidRPr="006C3A59">
              <w:rPr>
                <w:rFonts w:ascii="Times New Roman" w:hAnsi="Times New Roman"/>
                <w:sz w:val="24"/>
                <w:szCs w:val="24"/>
              </w:rPr>
              <w:t xml:space="preserve"> Lai izvērtēšanas ziņojuma sagatavošanas laikā VPD amatpersona pārliecinātos, ka notiesātais izprot,</w:t>
            </w:r>
            <w:r>
              <w:rPr>
                <w:rFonts w:ascii="Times New Roman" w:hAnsi="Times New Roman"/>
                <w:sz w:val="24"/>
                <w:szCs w:val="24"/>
              </w:rPr>
              <w:t xml:space="preserve"> kas ir elektroniskā uzraudzība un</w:t>
            </w:r>
            <w:r w:rsidRPr="006C3A59">
              <w:rPr>
                <w:rFonts w:ascii="Times New Roman" w:hAnsi="Times New Roman"/>
                <w:sz w:val="24"/>
                <w:szCs w:val="24"/>
              </w:rPr>
              <w:t xml:space="preserve"> kādi nosacījumi būs jāievēro</w:t>
            </w:r>
            <w:r>
              <w:rPr>
                <w:rFonts w:ascii="Times New Roman" w:hAnsi="Times New Roman"/>
                <w:sz w:val="24"/>
                <w:szCs w:val="24"/>
              </w:rPr>
              <w:t xml:space="preserve"> </w:t>
            </w:r>
            <w:r w:rsidRPr="006C3A59">
              <w:rPr>
                <w:rFonts w:ascii="Times New Roman" w:hAnsi="Times New Roman"/>
                <w:sz w:val="24"/>
                <w:szCs w:val="24"/>
              </w:rPr>
              <w:t xml:space="preserve">gadījumā, ja </w:t>
            </w:r>
            <w:r>
              <w:rPr>
                <w:rFonts w:ascii="Times New Roman" w:hAnsi="Times New Roman"/>
                <w:sz w:val="24"/>
                <w:szCs w:val="24"/>
              </w:rPr>
              <w:t xml:space="preserve">notiesātais tiks </w:t>
            </w:r>
            <w:r w:rsidRPr="006C3A59">
              <w:rPr>
                <w:rFonts w:ascii="Times New Roman" w:hAnsi="Times New Roman"/>
                <w:sz w:val="24"/>
                <w:szCs w:val="24"/>
              </w:rPr>
              <w:t xml:space="preserve">atbrīvots </w:t>
            </w:r>
            <w:r>
              <w:rPr>
                <w:rFonts w:ascii="Times New Roman" w:hAnsi="Times New Roman"/>
                <w:sz w:val="24"/>
                <w:szCs w:val="24"/>
              </w:rPr>
              <w:t xml:space="preserve">nosacīti </w:t>
            </w:r>
            <w:r w:rsidRPr="006C3A59">
              <w:rPr>
                <w:rFonts w:ascii="Times New Roman" w:hAnsi="Times New Roman"/>
                <w:sz w:val="24"/>
                <w:szCs w:val="24"/>
              </w:rPr>
              <w:t>pirms</w:t>
            </w:r>
            <w:r>
              <w:rPr>
                <w:rFonts w:ascii="Times New Roman" w:hAnsi="Times New Roman"/>
                <w:sz w:val="24"/>
                <w:szCs w:val="24"/>
              </w:rPr>
              <w:t xml:space="preserve"> </w:t>
            </w:r>
            <w:r w:rsidRPr="006C3A59">
              <w:rPr>
                <w:rFonts w:ascii="Times New Roman" w:hAnsi="Times New Roman"/>
                <w:sz w:val="24"/>
                <w:szCs w:val="24"/>
              </w:rPr>
              <w:t xml:space="preserve">termiņa no soda izciešanas ar elektroniskās uzraudzības noteikšanu, pirmajā tikšanās reizē, veicot individuālas pārrunas ar notiesāto, </w:t>
            </w:r>
            <w:r>
              <w:rPr>
                <w:rFonts w:ascii="Times New Roman" w:hAnsi="Times New Roman"/>
                <w:sz w:val="24"/>
                <w:szCs w:val="24"/>
              </w:rPr>
              <w:t xml:space="preserve">VPD </w:t>
            </w:r>
            <w:r w:rsidRPr="006C3A59">
              <w:rPr>
                <w:rFonts w:ascii="Times New Roman" w:hAnsi="Times New Roman"/>
                <w:sz w:val="24"/>
                <w:szCs w:val="24"/>
              </w:rPr>
              <w:t>amatpersona</w:t>
            </w:r>
            <w:r>
              <w:rPr>
                <w:rFonts w:ascii="Times New Roman" w:hAnsi="Times New Roman"/>
                <w:sz w:val="24"/>
                <w:szCs w:val="24"/>
              </w:rPr>
              <w:t>i</w:t>
            </w:r>
            <w:r w:rsidRPr="006C3A59">
              <w:rPr>
                <w:rFonts w:ascii="Times New Roman" w:hAnsi="Times New Roman"/>
                <w:sz w:val="24"/>
                <w:szCs w:val="24"/>
              </w:rPr>
              <w:t xml:space="preserve"> </w:t>
            </w:r>
            <w:r>
              <w:rPr>
                <w:rFonts w:ascii="Times New Roman" w:hAnsi="Times New Roman"/>
                <w:sz w:val="24"/>
                <w:szCs w:val="24"/>
              </w:rPr>
              <w:t>ir detalizēti jā</w:t>
            </w:r>
            <w:r w:rsidRPr="006C3A59">
              <w:rPr>
                <w:rFonts w:ascii="Times New Roman" w:hAnsi="Times New Roman"/>
                <w:sz w:val="24"/>
                <w:szCs w:val="24"/>
              </w:rPr>
              <w:t>izskaidro elekt</w:t>
            </w:r>
            <w:r>
              <w:rPr>
                <w:rFonts w:ascii="Times New Roman" w:hAnsi="Times New Roman"/>
                <w:sz w:val="24"/>
                <w:szCs w:val="24"/>
              </w:rPr>
              <w:t>roniskās uzraudzības nosacījumi</w:t>
            </w:r>
            <w:r w:rsidRPr="006C3A59">
              <w:rPr>
                <w:rFonts w:ascii="Times New Roman" w:hAnsi="Times New Roman"/>
                <w:sz w:val="24"/>
                <w:szCs w:val="24"/>
              </w:rPr>
              <w:t xml:space="preserve"> un </w:t>
            </w:r>
            <w:r>
              <w:rPr>
                <w:rFonts w:ascii="Times New Roman" w:hAnsi="Times New Roman"/>
                <w:sz w:val="24"/>
                <w:szCs w:val="24"/>
              </w:rPr>
              <w:t>jā</w:t>
            </w:r>
            <w:r w:rsidRPr="006C3A59">
              <w:rPr>
                <w:rFonts w:ascii="Times New Roman" w:hAnsi="Times New Roman"/>
                <w:sz w:val="24"/>
                <w:szCs w:val="24"/>
              </w:rPr>
              <w:t xml:space="preserve">pārliecinās, ka </w:t>
            </w:r>
            <w:r>
              <w:rPr>
                <w:rFonts w:ascii="Times New Roman" w:hAnsi="Times New Roman"/>
                <w:sz w:val="24"/>
                <w:szCs w:val="24"/>
              </w:rPr>
              <w:t xml:space="preserve">notiesātais </w:t>
            </w:r>
            <w:r w:rsidRPr="006C3A59">
              <w:rPr>
                <w:rFonts w:ascii="Times New Roman" w:hAnsi="Times New Roman"/>
                <w:sz w:val="24"/>
                <w:szCs w:val="24"/>
              </w:rPr>
              <w:t>piekrīt elektroniskajai uzraudzībai.</w:t>
            </w:r>
            <w:r w:rsidRPr="00F02317">
              <w:rPr>
                <w:rFonts w:ascii="Times New Roman" w:hAnsi="Times New Roman"/>
                <w:sz w:val="24"/>
                <w:szCs w:val="24"/>
              </w:rPr>
              <w:t xml:space="preserve"> Lai </w:t>
            </w:r>
            <w:r>
              <w:rPr>
                <w:rFonts w:ascii="Times New Roman" w:hAnsi="Times New Roman"/>
                <w:sz w:val="24"/>
                <w:szCs w:val="24"/>
              </w:rPr>
              <w:t>noteiktu</w:t>
            </w:r>
            <w:r w:rsidRPr="00F02317">
              <w:rPr>
                <w:rFonts w:ascii="Times New Roman" w:hAnsi="Times New Roman"/>
                <w:sz w:val="24"/>
                <w:szCs w:val="24"/>
              </w:rPr>
              <w:t xml:space="preserve"> </w:t>
            </w:r>
            <w:r>
              <w:rPr>
                <w:rFonts w:ascii="Times New Roman" w:hAnsi="Times New Roman"/>
                <w:sz w:val="24"/>
                <w:szCs w:val="24"/>
              </w:rPr>
              <w:t xml:space="preserve">VPD </w:t>
            </w:r>
            <w:r w:rsidRPr="00F02317">
              <w:rPr>
                <w:rFonts w:ascii="Times New Roman" w:hAnsi="Times New Roman"/>
                <w:sz w:val="24"/>
                <w:szCs w:val="24"/>
              </w:rPr>
              <w:t>amatperson</w:t>
            </w:r>
            <w:r>
              <w:rPr>
                <w:rFonts w:ascii="Times New Roman" w:hAnsi="Times New Roman"/>
                <w:sz w:val="24"/>
                <w:szCs w:val="24"/>
              </w:rPr>
              <w:t>u</w:t>
            </w:r>
            <w:r w:rsidRPr="00F02317">
              <w:rPr>
                <w:rFonts w:ascii="Times New Roman" w:hAnsi="Times New Roman"/>
                <w:sz w:val="24"/>
                <w:szCs w:val="24"/>
              </w:rPr>
              <w:t xml:space="preserve"> rīcību pirmo individuālo pārr</w:t>
            </w:r>
            <w:r>
              <w:rPr>
                <w:rFonts w:ascii="Times New Roman" w:hAnsi="Times New Roman"/>
                <w:sz w:val="24"/>
                <w:szCs w:val="24"/>
              </w:rPr>
              <w:t xml:space="preserve">unu laikā ar notiesāto, </w:t>
            </w:r>
            <w:r w:rsidRPr="00FF0F22">
              <w:rPr>
                <w:rFonts w:ascii="Times New Roman" w:hAnsi="Times New Roman"/>
                <w:sz w:val="24"/>
                <w:szCs w:val="24"/>
              </w:rPr>
              <w:t xml:space="preserve">projekts </w:t>
            </w:r>
            <w:r>
              <w:rPr>
                <w:rFonts w:ascii="Times New Roman" w:hAnsi="Times New Roman"/>
                <w:sz w:val="24"/>
                <w:szCs w:val="24"/>
              </w:rPr>
              <w:t xml:space="preserve">papildina noteikumus ar </w:t>
            </w:r>
            <w:r w:rsidRPr="00F02317">
              <w:rPr>
                <w:rFonts w:ascii="Times New Roman" w:hAnsi="Times New Roman"/>
                <w:sz w:val="24"/>
                <w:szCs w:val="24"/>
              </w:rPr>
              <w:t>26.</w:t>
            </w:r>
            <w:r w:rsidRPr="00F02317">
              <w:rPr>
                <w:rFonts w:ascii="Times New Roman" w:hAnsi="Times New Roman"/>
                <w:sz w:val="24"/>
                <w:szCs w:val="24"/>
                <w:vertAlign w:val="superscript"/>
              </w:rPr>
              <w:t>1</w:t>
            </w:r>
            <w:r w:rsidRPr="00F02317">
              <w:rPr>
                <w:rFonts w:ascii="Times New Roman" w:hAnsi="Times New Roman"/>
                <w:sz w:val="24"/>
                <w:szCs w:val="24"/>
              </w:rPr>
              <w:t xml:space="preserve"> </w:t>
            </w:r>
            <w:r>
              <w:rPr>
                <w:rFonts w:ascii="Times New Roman" w:hAnsi="Times New Roman"/>
                <w:sz w:val="24"/>
                <w:szCs w:val="24"/>
              </w:rPr>
              <w:t>punktu.</w:t>
            </w:r>
          </w:p>
          <w:p w:rsidR="0079096D" w:rsidRPr="00EB0BD6" w:rsidRDefault="0079096D" w:rsidP="00CE5E95">
            <w:pPr>
              <w:pStyle w:val="tv2131"/>
              <w:spacing w:before="0" w:line="240" w:lineRule="auto"/>
              <w:ind w:firstLine="720"/>
              <w:rPr>
                <w:rFonts w:ascii="Times New Roman" w:hAnsi="Times New Roman"/>
                <w:sz w:val="24"/>
                <w:szCs w:val="24"/>
              </w:rPr>
            </w:pPr>
            <w:r>
              <w:rPr>
                <w:rFonts w:ascii="Times New Roman" w:hAnsi="Times New Roman"/>
                <w:sz w:val="24"/>
                <w:szCs w:val="24"/>
              </w:rPr>
              <w:t>L</w:t>
            </w:r>
            <w:r w:rsidRPr="00EB0BD6">
              <w:rPr>
                <w:rFonts w:ascii="Times New Roman" w:hAnsi="Times New Roman"/>
                <w:sz w:val="24"/>
                <w:szCs w:val="24"/>
              </w:rPr>
              <w:t xml:space="preserve">ai </w:t>
            </w:r>
            <w:r>
              <w:rPr>
                <w:rFonts w:ascii="Times New Roman" w:hAnsi="Times New Roman"/>
                <w:sz w:val="24"/>
                <w:szCs w:val="24"/>
              </w:rPr>
              <w:t>veidotu vienotu</w:t>
            </w:r>
            <w:r w:rsidRPr="00EB0BD6">
              <w:rPr>
                <w:rFonts w:ascii="Times New Roman" w:hAnsi="Times New Roman"/>
                <w:sz w:val="24"/>
                <w:szCs w:val="24"/>
              </w:rPr>
              <w:t xml:space="preserve"> </w:t>
            </w:r>
            <w:r>
              <w:rPr>
                <w:rFonts w:ascii="Times New Roman" w:hAnsi="Times New Roman"/>
                <w:sz w:val="24"/>
                <w:szCs w:val="24"/>
              </w:rPr>
              <w:t>noteikumos iekļautā normatīvā regulējuma izteiksmes stilistiku, projekts paredz veikt šādus redakcionālus precizējumus noteikumos:</w:t>
            </w:r>
          </w:p>
          <w:p w:rsidR="0079096D" w:rsidRDefault="0079096D" w:rsidP="00CE5E95">
            <w:pPr>
              <w:spacing w:after="0" w:line="240" w:lineRule="auto"/>
              <w:ind w:firstLine="673"/>
              <w:jc w:val="both"/>
              <w:rPr>
                <w:rFonts w:ascii="Times New Roman" w:hAnsi="Times New Roman"/>
                <w:sz w:val="24"/>
                <w:szCs w:val="24"/>
              </w:rPr>
            </w:pPr>
            <w:r>
              <w:rPr>
                <w:rFonts w:ascii="Times New Roman" w:hAnsi="Times New Roman"/>
                <w:sz w:val="24"/>
                <w:szCs w:val="24"/>
              </w:rPr>
              <w:t>1. </w:t>
            </w:r>
            <w:r w:rsidRPr="00EB0BD6">
              <w:rPr>
                <w:rFonts w:ascii="Times New Roman" w:hAnsi="Times New Roman"/>
                <w:sz w:val="24"/>
                <w:szCs w:val="24"/>
              </w:rPr>
              <w:t xml:space="preserve">noteikumu 18. </w:t>
            </w:r>
            <w:r>
              <w:rPr>
                <w:rFonts w:ascii="Times New Roman" w:hAnsi="Times New Roman"/>
                <w:sz w:val="24"/>
                <w:szCs w:val="24"/>
              </w:rPr>
              <w:t>un 44. punktā svītrot</w:t>
            </w:r>
            <w:r w:rsidRPr="00EB0BD6">
              <w:rPr>
                <w:rFonts w:ascii="Times New Roman" w:hAnsi="Times New Roman"/>
                <w:sz w:val="24"/>
                <w:szCs w:val="24"/>
              </w:rPr>
              <w:t xml:space="preserve"> vārd</w:t>
            </w:r>
            <w:r>
              <w:rPr>
                <w:rFonts w:ascii="Times New Roman" w:hAnsi="Times New Roman"/>
                <w:sz w:val="24"/>
                <w:szCs w:val="24"/>
              </w:rPr>
              <w:t>u</w:t>
            </w:r>
            <w:r w:rsidRPr="00EB0BD6">
              <w:rPr>
                <w:rFonts w:ascii="Times New Roman" w:hAnsi="Times New Roman"/>
                <w:sz w:val="24"/>
                <w:szCs w:val="24"/>
              </w:rPr>
              <w:t xml:space="preserve"> „dienesta”, jo </w:t>
            </w:r>
            <w:r>
              <w:rPr>
                <w:rFonts w:ascii="Times New Roman" w:hAnsi="Times New Roman"/>
                <w:sz w:val="24"/>
                <w:szCs w:val="24"/>
              </w:rPr>
              <w:t xml:space="preserve">noteikumu </w:t>
            </w:r>
            <w:r w:rsidRPr="00EB0BD6">
              <w:rPr>
                <w:rFonts w:ascii="Times New Roman" w:hAnsi="Times New Roman"/>
                <w:sz w:val="24"/>
                <w:szCs w:val="24"/>
              </w:rPr>
              <w:t>6.</w:t>
            </w:r>
            <w:r>
              <w:rPr>
                <w:rFonts w:ascii="Times New Roman" w:hAnsi="Times New Roman"/>
                <w:sz w:val="24"/>
                <w:szCs w:val="24"/>
              </w:rPr>
              <w:t> </w:t>
            </w:r>
            <w:r w:rsidRPr="00EB0BD6">
              <w:rPr>
                <w:rFonts w:ascii="Times New Roman" w:hAnsi="Times New Roman"/>
                <w:sz w:val="24"/>
                <w:szCs w:val="24"/>
              </w:rPr>
              <w:t xml:space="preserve">punktā </w:t>
            </w:r>
            <w:r>
              <w:rPr>
                <w:rFonts w:ascii="Times New Roman" w:hAnsi="Times New Roman"/>
                <w:sz w:val="24"/>
                <w:szCs w:val="24"/>
              </w:rPr>
              <w:t>tiek lietots vārdkopas saīsinājums</w:t>
            </w:r>
            <w:r w:rsidRPr="00EB0BD6">
              <w:rPr>
                <w:rFonts w:ascii="Times New Roman" w:hAnsi="Times New Roman"/>
                <w:sz w:val="24"/>
                <w:szCs w:val="24"/>
              </w:rPr>
              <w:t>, proti, „dienesta amatpersona (turpmāk – amatpersona)”</w:t>
            </w:r>
            <w:r>
              <w:rPr>
                <w:rFonts w:ascii="Times New Roman" w:hAnsi="Times New Roman"/>
                <w:sz w:val="24"/>
                <w:szCs w:val="24"/>
              </w:rPr>
              <w:t>;</w:t>
            </w:r>
          </w:p>
          <w:p w:rsidR="0079096D" w:rsidRDefault="0079096D" w:rsidP="00CE5E95">
            <w:pPr>
              <w:spacing w:after="0" w:line="240" w:lineRule="auto"/>
              <w:ind w:firstLine="673"/>
              <w:jc w:val="both"/>
              <w:rPr>
                <w:rFonts w:ascii="Times New Roman" w:hAnsi="Times New Roman"/>
                <w:sz w:val="24"/>
                <w:szCs w:val="24"/>
              </w:rPr>
            </w:pPr>
            <w:r>
              <w:rPr>
                <w:rFonts w:ascii="Times New Roman" w:hAnsi="Times New Roman"/>
                <w:sz w:val="24"/>
                <w:szCs w:val="24"/>
              </w:rPr>
              <w:t xml:space="preserve">2. noteikumu </w:t>
            </w:r>
            <w:r w:rsidRPr="00EB0BD6">
              <w:rPr>
                <w:rFonts w:ascii="Times New Roman" w:hAnsi="Times New Roman"/>
                <w:sz w:val="24"/>
                <w:szCs w:val="24"/>
              </w:rPr>
              <w:t>7.5.</w:t>
            </w:r>
            <w:r>
              <w:rPr>
                <w:rFonts w:ascii="Times New Roman" w:hAnsi="Times New Roman"/>
                <w:sz w:val="24"/>
                <w:szCs w:val="24"/>
              </w:rPr>
              <w:t> apakš</w:t>
            </w:r>
            <w:r w:rsidRPr="00EB0BD6">
              <w:rPr>
                <w:rFonts w:ascii="Times New Roman" w:hAnsi="Times New Roman"/>
                <w:sz w:val="24"/>
                <w:szCs w:val="24"/>
              </w:rPr>
              <w:t>punktā vārds „nodarbināšanas” aizstāts ar vārdu „nodarbinātības”</w:t>
            </w:r>
            <w:r>
              <w:rPr>
                <w:rFonts w:ascii="Times New Roman" w:hAnsi="Times New Roman"/>
                <w:sz w:val="24"/>
                <w:szCs w:val="24"/>
              </w:rPr>
              <w:t>;</w:t>
            </w:r>
          </w:p>
          <w:p w:rsidR="0079096D" w:rsidRDefault="0079096D" w:rsidP="00CE5E95">
            <w:pPr>
              <w:spacing w:after="0" w:line="240" w:lineRule="auto"/>
              <w:ind w:firstLine="673"/>
              <w:jc w:val="both"/>
              <w:rPr>
                <w:rFonts w:ascii="Times New Roman" w:hAnsi="Times New Roman"/>
                <w:color w:val="000000"/>
                <w:sz w:val="24"/>
                <w:szCs w:val="24"/>
              </w:rPr>
            </w:pPr>
            <w:r>
              <w:rPr>
                <w:rFonts w:ascii="Times New Roman" w:hAnsi="Times New Roman"/>
                <w:sz w:val="24"/>
                <w:szCs w:val="24"/>
              </w:rPr>
              <w:t xml:space="preserve">3. noteikumu </w:t>
            </w:r>
            <w:r w:rsidRPr="00EB0BD6">
              <w:rPr>
                <w:rFonts w:ascii="Times New Roman" w:hAnsi="Times New Roman"/>
                <w:sz w:val="24"/>
                <w:szCs w:val="24"/>
              </w:rPr>
              <w:t>9.5.</w:t>
            </w:r>
            <w:r>
              <w:rPr>
                <w:rFonts w:ascii="Times New Roman" w:hAnsi="Times New Roman"/>
                <w:sz w:val="24"/>
                <w:szCs w:val="24"/>
              </w:rPr>
              <w:t> apakš</w:t>
            </w:r>
            <w:r w:rsidRPr="00EB0BD6">
              <w:rPr>
                <w:rFonts w:ascii="Times New Roman" w:hAnsi="Times New Roman"/>
                <w:sz w:val="24"/>
                <w:szCs w:val="24"/>
              </w:rPr>
              <w:t xml:space="preserve">punktā </w:t>
            </w:r>
            <w:r>
              <w:rPr>
                <w:rFonts w:ascii="Times New Roman" w:hAnsi="Times New Roman"/>
                <w:color w:val="000000"/>
                <w:sz w:val="24"/>
                <w:szCs w:val="24"/>
              </w:rPr>
              <w:t>svītroti vārdi „sociālās vides”</w:t>
            </w:r>
            <w:r w:rsidRPr="00EB0BD6">
              <w:rPr>
                <w:rFonts w:ascii="Times New Roman" w:hAnsi="Times New Roman"/>
                <w:color w:val="000000"/>
                <w:sz w:val="24"/>
                <w:szCs w:val="24"/>
              </w:rPr>
              <w:t>.</w:t>
            </w:r>
          </w:p>
          <w:p w:rsidR="0079096D" w:rsidRDefault="0079096D" w:rsidP="00CE5E95">
            <w:pPr>
              <w:spacing w:after="0" w:line="240" w:lineRule="auto"/>
              <w:ind w:firstLine="673"/>
              <w:jc w:val="both"/>
              <w:rPr>
                <w:rFonts w:ascii="Times New Roman" w:hAnsi="Times New Roman"/>
                <w:sz w:val="24"/>
                <w:szCs w:val="24"/>
              </w:rPr>
            </w:pPr>
            <w:r w:rsidRPr="00EB0BD6">
              <w:rPr>
                <w:rFonts w:ascii="Times New Roman" w:hAnsi="Times New Roman"/>
                <w:sz w:val="24"/>
                <w:szCs w:val="24"/>
              </w:rPr>
              <w:t>Lai izvērtēšanas ziņojumā pilnvērtīgi iekļautu informāciju arī par</w:t>
            </w:r>
            <w:r>
              <w:rPr>
                <w:rFonts w:ascii="Times New Roman" w:hAnsi="Times New Roman"/>
                <w:sz w:val="24"/>
                <w:szCs w:val="24"/>
              </w:rPr>
              <w:t xml:space="preserve"> notiesātā</w:t>
            </w:r>
            <w:r w:rsidRPr="00EB0BD6">
              <w:rPr>
                <w:rFonts w:ascii="Times New Roman" w:hAnsi="Times New Roman"/>
                <w:sz w:val="24"/>
                <w:szCs w:val="24"/>
              </w:rPr>
              <w:t xml:space="preserve"> ieslodzījuma vietā īstenoto izglītošanos vai nodarbinātību</w:t>
            </w:r>
            <w:r>
              <w:rPr>
                <w:rFonts w:ascii="Times New Roman" w:hAnsi="Times New Roman"/>
                <w:sz w:val="24"/>
                <w:szCs w:val="24"/>
              </w:rPr>
              <w:t>, projekts papildina noteikumu</w:t>
            </w:r>
            <w:r w:rsidRPr="00EB0BD6">
              <w:rPr>
                <w:rFonts w:ascii="Times New Roman" w:hAnsi="Times New Roman"/>
                <w:sz w:val="24"/>
                <w:szCs w:val="24"/>
              </w:rPr>
              <w:t xml:space="preserve"> 9.6.</w:t>
            </w:r>
            <w:r>
              <w:rPr>
                <w:rFonts w:ascii="Times New Roman" w:hAnsi="Times New Roman"/>
                <w:sz w:val="24"/>
                <w:szCs w:val="24"/>
              </w:rPr>
              <w:t> apakšpunktu aiz vārdiem „pirms ieslodzījuma”</w:t>
            </w:r>
            <w:r w:rsidRPr="00EB0BD6">
              <w:rPr>
                <w:rFonts w:ascii="Times New Roman" w:hAnsi="Times New Roman"/>
                <w:sz w:val="24"/>
                <w:szCs w:val="24"/>
              </w:rPr>
              <w:t xml:space="preserve"> </w:t>
            </w:r>
            <w:r>
              <w:rPr>
                <w:rFonts w:ascii="Times New Roman" w:hAnsi="Times New Roman"/>
                <w:sz w:val="24"/>
                <w:szCs w:val="24"/>
              </w:rPr>
              <w:t>ar vārdiem</w:t>
            </w:r>
            <w:r w:rsidRPr="00EB0BD6">
              <w:rPr>
                <w:rFonts w:ascii="Times New Roman" w:hAnsi="Times New Roman"/>
                <w:sz w:val="24"/>
                <w:szCs w:val="24"/>
              </w:rPr>
              <w:t xml:space="preserve"> „un ieslodzījumā”. </w:t>
            </w:r>
          </w:p>
          <w:p w:rsidR="0079096D" w:rsidRDefault="0079096D" w:rsidP="00CE5E95">
            <w:pPr>
              <w:spacing w:after="0" w:line="240" w:lineRule="auto"/>
              <w:ind w:firstLine="673"/>
              <w:jc w:val="both"/>
              <w:rPr>
                <w:rFonts w:ascii="Times New Roman" w:hAnsi="Times New Roman"/>
                <w:color w:val="000000"/>
                <w:sz w:val="24"/>
                <w:szCs w:val="24"/>
              </w:rPr>
            </w:pPr>
            <w:r>
              <w:rPr>
                <w:rFonts w:ascii="Times New Roman" w:hAnsi="Times New Roman"/>
                <w:sz w:val="24"/>
                <w:szCs w:val="24"/>
              </w:rPr>
              <w:t>Projekts</w:t>
            </w:r>
            <w:r w:rsidRPr="00EB0BD6">
              <w:rPr>
                <w:rFonts w:ascii="Times New Roman" w:hAnsi="Times New Roman"/>
                <w:sz w:val="24"/>
                <w:szCs w:val="24"/>
              </w:rPr>
              <w:t xml:space="preserve"> preciz</w:t>
            </w:r>
            <w:r>
              <w:rPr>
                <w:rFonts w:ascii="Times New Roman" w:hAnsi="Times New Roman"/>
                <w:sz w:val="24"/>
                <w:szCs w:val="24"/>
              </w:rPr>
              <w:t>ē noteikumu 9.10. apakšpunktā ietverto normu redakciju un, saskaņojot to ar noteikumu 7.6. apakšpunkta redakciju</w:t>
            </w:r>
            <w:r w:rsidRPr="00EB0BD6">
              <w:rPr>
                <w:rFonts w:ascii="Times New Roman" w:hAnsi="Times New Roman"/>
                <w:sz w:val="24"/>
                <w:szCs w:val="24"/>
              </w:rPr>
              <w:t>,</w:t>
            </w:r>
            <w:r>
              <w:rPr>
                <w:rFonts w:ascii="Times New Roman" w:hAnsi="Times New Roman"/>
                <w:sz w:val="24"/>
                <w:szCs w:val="24"/>
              </w:rPr>
              <w:t xml:space="preserve"> tiek </w:t>
            </w:r>
            <w:r w:rsidRPr="00D33CE4">
              <w:rPr>
                <w:rFonts w:ascii="Times New Roman" w:hAnsi="Times New Roman"/>
                <w:color w:val="000000"/>
                <w:sz w:val="24"/>
                <w:szCs w:val="24"/>
              </w:rPr>
              <w:t>aizstāt</w:t>
            </w:r>
            <w:r>
              <w:rPr>
                <w:rFonts w:ascii="Times New Roman" w:hAnsi="Times New Roman"/>
                <w:color w:val="000000"/>
                <w:sz w:val="24"/>
                <w:szCs w:val="24"/>
              </w:rPr>
              <w:t>i</w:t>
            </w:r>
            <w:r w:rsidRPr="00D33CE4">
              <w:rPr>
                <w:rFonts w:ascii="Times New Roman" w:hAnsi="Times New Roman"/>
                <w:color w:val="000000"/>
                <w:sz w:val="24"/>
                <w:szCs w:val="24"/>
              </w:rPr>
              <w:t xml:space="preserve"> vārd</w:t>
            </w:r>
            <w:r>
              <w:rPr>
                <w:rFonts w:ascii="Times New Roman" w:hAnsi="Times New Roman"/>
                <w:color w:val="000000"/>
                <w:sz w:val="24"/>
                <w:szCs w:val="24"/>
              </w:rPr>
              <w:t>i</w:t>
            </w:r>
            <w:r w:rsidRPr="00D33CE4">
              <w:rPr>
                <w:rFonts w:ascii="Times New Roman" w:hAnsi="Times New Roman"/>
                <w:color w:val="000000"/>
                <w:sz w:val="24"/>
                <w:szCs w:val="24"/>
              </w:rPr>
              <w:t xml:space="preserve"> „cietušā sniegto informāciju” ar vārdiem </w:t>
            </w:r>
            <w:r w:rsidRPr="00D33CE4">
              <w:rPr>
                <w:rFonts w:ascii="Times New Roman" w:hAnsi="Times New Roman"/>
                <w:sz w:val="24"/>
                <w:szCs w:val="24"/>
              </w:rPr>
              <w:t>„informāciju par cietušā aizskartajām tiesībām vai likumiskajām interesēm un to atjaunošanu vai tās iespēju”</w:t>
            </w:r>
            <w:r w:rsidRPr="00D33CE4">
              <w:rPr>
                <w:rFonts w:ascii="Times New Roman" w:hAnsi="Times New Roman"/>
                <w:color w:val="000000"/>
                <w:sz w:val="24"/>
                <w:szCs w:val="24"/>
              </w:rPr>
              <w:t>.</w:t>
            </w:r>
          </w:p>
          <w:p w:rsidR="0079096D" w:rsidRDefault="0079096D" w:rsidP="00CE5E95">
            <w:pPr>
              <w:spacing w:after="0" w:line="240" w:lineRule="auto"/>
              <w:ind w:firstLine="673"/>
              <w:jc w:val="both"/>
              <w:rPr>
                <w:rFonts w:ascii="Times New Roman" w:hAnsi="Times New Roman"/>
                <w:sz w:val="24"/>
                <w:szCs w:val="24"/>
              </w:rPr>
            </w:pPr>
            <w:r w:rsidRPr="00967CD3">
              <w:rPr>
                <w:rFonts w:ascii="Times New Roman" w:hAnsi="Times New Roman"/>
                <w:sz w:val="24"/>
                <w:szCs w:val="24"/>
              </w:rPr>
              <w:t xml:space="preserve">Ņemot vērā, ka praksē vairākkārt ir situācijas, kad probācijas klients VPD ierodas </w:t>
            </w:r>
            <w:r>
              <w:rPr>
                <w:rFonts w:ascii="Times New Roman" w:hAnsi="Times New Roman"/>
                <w:sz w:val="24"/>
                <w:szCs w:val="24"/>
              </w:rPr>
              <w:t xml:space="preserve">agrāk par noteikumu 11. punktā noteikto termiņu – </w:t>
            </w:r>
            <w:r w:rsidRPr="00967CD3">
              <w:rPr>
                <w:rFonts w:ascii="Times New Roman" w:hAnsi="Times New Roman"/>
                <w:sz w:val="24"/>
                <w:szCs w:val="24"/>
              </w:rPr>
              <w:t>ne vēlāk kā t</w:t>
            </w:r>
            <w:r>
              <w:rPr>
                <w:rFonts w:ascii="Times New Roman" w:hAnsi="Times New Roman"/>
                <w:sz w:val="24"/>
                <w:szCs w:val="24"/>
              </w:rPr>
              <w:t>rīs darbdienas</w:t>
            </w:r>
            <w:r w:rsidRPr="00967CD3">
              <w:rPr>
                <w:rFonts w:ascii="Times New Roman" w:hAnsi="Times New Roman"/>
                <w:sz w:val="24"/>
                <w:szCs w:val="24"/>
              </w:rPr>
              <w:t xml:space="preserve"> no dienas, kad saņemts tiesas vai prokurora pieprasījums VPD sniegt izvērtēšanas ziņojumu, tas ir pirms probācijas klientam ir sagatavots pirmreizējais uzaicinājum</w:t>
            </w:r>
            <w:r>
              <w:rPr>
                <w:rFonts w:ascii="Times New Roman" w:hAnsi="Times New Roman"/>
                <w:sz w:val="24"/>
                <w:szCs w:val="24"/>
              </w:rPr>
              <w:t>s –</w:t>
            </w:r>
            <w:r w:rsidRPr="00967CD3">
              <w:rPr>
                <w:rFonts w:ascii="Times New Roman" w:hAnsi="Times New Roman"/>
                <w:sz w:val="24"/>
                <w:szCs w:val="24"/>
              </w:rPr>
              <w:t xml:space="preserve"> pirmreizējā uzaicinājuma sagatavošana vairs nav aktuāla, tādēļ projekt</w:t>
            </w:r>
            <w:r>
              <w:rPr>
                <w:rFonts w:ascii="Times New Roman" w:hAnsi="Times New Roman"/>
                <w:sz w:val="24"/>
                <w:szCs w:val="24"/>
              </w:rPr>
              <w:t>s paredz izteikt noteikumu</w:t>
            </w:r>
            <w:r w:rsidRPr="00967CD3">
              <w:rPr>
                <w:rFonts w:ascii="Times New Roman" w:hAnsi="Times New Roman"/>
                <w:sz w:val="24"/>
                <w:szCs w:val="24"/>
              </w:rPr>
              <w:t xml:space="preserve"> 14.</w:t>
            </w:r>
            <w:r>
              <w:rPr>
                <w:rFonts w:ascii="Times New Roman" w:hAnsi="Times New Roman"/>
                <w:sz w:val="24"/>
                <w:szCs w:val="24"/>
              </w:rPr>
              <w:t> </w:t>
            </w:r>
            <w:r w:rsidRPr="00967CD3">
              <w:rPr>
                <w:rFonts w:ascii="Times New Roman" w:hAnsi="Times New Roman"/>
                <w:sz w:val="24"/>
                <w:szCs w:val="24"/>
              </w:rPr>
              <w:t>punkt</w:t>
            </w:r>
            <w:r>
              <w:rPr>
                <w:rFonts w:ascii="Times New Roman" w:hAnsi="Times New Roman"/>
                <w:sz w:val="24"/>
                <w:szCs w:val="24"/>
              </w:rPr>
              <w:t xml:space="preserve">u </w:t>
            </w:r>
            <w:r w:rsidRPr="00967CD3">
              <w:rPr>
                <w:rFonts w:ascii="Times New Roman" w:hAnsi="Times New Roman"/>
                <w:sz w:val="24"/>
                <w:szCs w:val="24"/>
              </w:rPr>
              <w:t>jaunā redakcijā</w:t>
            </w:r>
            <w:r>
              <w:rPr>
                <w:rFonts w:ascii="Times New Roman" w:hAnsi="Times New Roman"/>
                <w:sz w:val="24"/>
                <w:szCs w:val="24"/>
              </w:rPr>
              <w:t>.</w:t>
            </w:r>
          </w:p>
          <w:p w:rsidR="0079096D" w:rsidRDefault="0079096D" w:rsidP="00CE5E95">
            <w:pPr>
              <w:spacing w:after="0" w:line="240" w:lineRule="auto"/>
              <w:ind w:firstLine="673"/>
              <w:jc w:val="both"/>
              <w:rPr>
                <w:rFonts w:ascii="Times New Roman" w:hAnsi="Times New Roman"/>
                <w:sz w:val="24"/>
                <w:szCs w:val="24"/>
              </w:rPr>
            </w:pPr>
            <w:r>
              <w:rPr>
                <w:rFonts w:ascii="Times New Roman" w:hAnsi="Times New Roman"/>
                <w:sz w:val="24"/>
                <w:szCs w:val="24"/>
              </w:rPr>
              <w:t xml:space="preserve">No 2015.gada 1.februāra, līdz ar </w:t>
            </w:r>
            <w:r w:rsidRPr="00D43C55">
              <w:rPr>
                <w:rFonts w:ascii="Times New Roman" w:hAnsi="Times New Roman"/>
                <w:sz w:val="24"/>
                <w:szCs w:val="24"/>
              </w:rPr>
              <w:t>grozī</w:t>
            </w:r>
            <w:r>
              <w:rPr>
                <w:rFonts w:ascii="Times New Roman" w:hAnsi="Times New Roman"/>
                <w:sz w:val="24"/>
                <w:szCs w:val="24"/>
              </w:rPr>
              <w:t>jumu</w:t>
            </w:r>
            <w:r w:rsidRPr="00D43C55">
              <w:rPr>
                <w:rFonts w:ascii="Times New Roman" w:hAnsi="Times New Roman"/>
                <w:sz w:val="24"/>
                <w:szCs w:val="24"/>
              </w:rPr>
              <w:t xml:space="preserve"> VPDL</w:t>
            </w:r>
            <w:r>
              <w:rPr>
                <w:rFonts w:ascii="Times New Roman" w:hAnsi="Times New Roman"/>
                <w:sz w:val="24"/>
                <w:szCs w:val="24"/>
              </w:rPr>
              <w:t xml:space="preserve"> un</w:t>
            </w:r>
            <w:r w:rsidRPr="00D43C55">
              <w:rPr>
                <w:rFonts w:ascii="Times New Roman" w:hAnsi="Times New Roman"/>
                <w:sz w:val="24"/>
                <w:szCs w:val="24"/>
              </w:rPr>
              <w:t xml:space="preserve"> </w:t>
            </w:r>
            <w:r>
              <w:rPr>
                <w:rFonts w:ascii="Times New Roman" w:hAnsi="Times New Roman"/>
                <w:sz w:val="24"/>
                <w:szCs w:val="24"/>
              </w:rPr>
              <w:t xml:space="preserve">likumu par grozījumiem </w:t>
            </w:r>
            <w:r w:rsidRPr="00D43C55">
              <w:rPr>
                <w:rFonts w:ascii="Times New Roman" w:hAnsi="Times New Roman"/>
                <w:sz w:val="24"/>
                <w:szCs w:val="24"/>
              </w:rPr>
              <w:t>Latvijas Sodu izpildes kodeksā</w:t>
            </w:r>
            <w:r>
              <w:rPr>
                <w:rFonts w:ascii="Times New Roman" w:hAnsi="Times New Roman"/>
                <w:sz w:val="24"/>
                <w:szCs w:val="24"/>
              </w:rPr>
              <w:t>,</w:t>
            </w:r>
            <w:r w:rsidRPr="00D43C55">
              <w:rPr>
                <w:rFonts w:ascii="Times New Roman" w:hAnsi="Times New Roman"/>
                <w:sz w:val="24"/>
                <w:szCs w:val="24"/>
              </w:rPr>
              <w:t xml:space="preserve"> Krimināllikumā</w:t>
            </w:r>
            <w:r>
              <w:rPr>
                <w:rFonts w:ascii="Times New Roman" w:hAnsi="Times New Roman"/>
                <w:sz w:val="24"/>
                <w:szCs w:val="24"/>
              </w:rPr>
              <w:t xml:space="preserve"> un Kriminālprocesa likumā spēkā stāšanos, </w:t>
            </w:r>
            <w:r w:rsidRPr="00D43C55">
              <w:rPr>
                <w:rFonts w:ascii="Times New Roman" w:hAnsi="Times New Roman"/>
                <w:sz w:val="24"/>
                <w:szCs w:val="24"/>
              </w:rPr>
              <w:t>pienākumus nosacīti notiesātajiem un nosacīti pirms termiņa atbrīvotajiem uzraudzības</w:t>
            </w:r>
            <w:r>
              <w:rPr>
                <w:rFonts w:ascii="Times New Roman" w:hAnsi="Times New Roman"/>
                <w:sz w:val="24"/>
                <w:szCs w:val="24"/>
              </w:rPr>
              <w:t xml:space="preserve"> laikā noteiks VPD, nevis tiesa. Līdz ar to projekts paredz izdarīt atbilstošas izmaiņas noteikumu 8. un 10. punktā.</w:t>
            </w:r>
          </w:p>
          <w:p w:rsidR="0079096D" w:rsidRPr="00CD2B00" w:rsidRDefault="0079096D" w:rsidP="00CE5E95">
            <w:pPr>
              <w:spacing w:after="0" w:line="240" w:lineRule="auto"/>
              <w:ind w:firstLine="673"/>
              <w:jc w:val="both"/>
              <w:rPr>
                <w:rFonts w:ascii="Times New Roman" w:hAnsi="Times New Roman"/>
                <w:sz w:val="24"/>
                <w:szCs w:val="24"/>
                <w:lang w:eastAsia="lv-LV"/>
              </w:rPr>
            </w:pPr>
            <w:r>
              <w:rPr>
                <w:rFonts w:ascii="Times New Roman" w:hAnsi="Times New Roman"/>
                <w:sz w:val="24"/>
                <w:szCs w:val="24"/>
              </w:rPr>
              <w:t>P</w:t>
            </w:r>
            <w:r w:rsidRPr="00723FB2">
              <w:rPr>
                <w:rFonts w:ascii="Times New Roman" w:hAnsi="Times New Roman"/>
                <w:sz w:val="24"/>
                <w:szCs w:val="24"/>
              </w:rPr>
              <w:t>rojekts papildin</w:t>
            </w:r>
            <w:r>
              <w:rPr>
                <w:rFonts w:ascii="Times New Roman" w:hAnsi="Times New Roman"/>
                <w:sz w:val="24"/>
                <w:szCs w:val="24"/>
              </w:rPr>
              <w:t>a</w:t>
            </w:r>
            <w:r w:rsidRPr="00723FB2">
              <w:rPr>
                <w:rFonts w:ascii="Times New Roman" w:hAnsi="Times New Roman"/>
                <w:sz w:val="24"/>
                <w:szCs w:val="24"/>
              </w:rPr>
              <w:t xml:space="preserve"> </w:t>
            </w:r>
            <w:r>
              <w:rPr>
                <w:rFonts w:ascii="Times New Roman" w:hAnsi="Times New Roman"/>
                <w:sz w:val="24"/>
                <w:szCs w:val="24"/>
              </w:rPr>
              <w:t xml:space="preserve">noteikumu 19. punktu </w:t>
            </w:r>
            <w:r w:rsidRPr="00723FB2">
              <w:rPr>
                <w:rFonts w:ascii="Times New Roman" w:hAnsi="Times New Roman"/>
                <w:sz w:val="24"/>
                <w:szCs w:val="24"/>
              </w:rPr>
              <w:t>ar</w:t>
            </w:r>
            <w:r>
              <w:rPr>
                <w:rFonts w:ascii="Times New Roman" w:hAnsi="Times New Roman"/>
                <w:sz w:val="24"/>
                <w:szCs w:val="24"/>
              </w:rPr>
              <w:t xml:space="preserve"> jaunu normatīvo</w:t>
            </w:r>
            <w:r w:rsidRPr="00723FB2">
              <w:rPr>
                <w:rFonts w:ascii="Times New Roman" w:hAnsi="Times New Roman"/>
                <w:sz w:val="24"/>
                <w:szCs w:val="24"/>
              </w:rPr>
              <w:t xml:space="preserve"> regulējumu, ka</w:t>
            </w:r>
            <w:r>
              <w:rPr>
                <w:rFonts w:ascii="Times New Roman" w:hAnsi="Times New Roman"/>
                <w:sz w:val="24"/>
                <w:szCs w:val="24"/>
              </w:rPr>
              <w:t>s paredz</w:t>
            </w:r>
            <w:r w:rsidRPr="00723FB2">
              <w:rPr>
                <w:rFonts w:ascii="Times New Roman" w:hAnsi="Times New Roman"/>
                <w:sz w:val="24"/>
                <w:szCs w:val="24"/>
              </w:rPr>
              <w:t xml:space="preserve"> izvērtēšanas ziņojum</w:t>
            </w:r>
            <w:r>
              <w:rPr>
                <w:rFonts w:ascii="Times New Roman" w:hAnsi="Times New Roman"/>
                <w:sz w:val="24"/>
                <w:szCs w:val="24"/>
              </w:rPr>
              <w:t xml:space="preserve">a sastādīšanas posmā pārbaudīt, vai probācijas klientam </w:t>
            </w:r>
            <w:r w:rsidRPr="0076401D">
              <w:rPr>
                <w:rFonts w:ascii="Times New Roman" w:hAnsi="Times New Roman"/>
                <w:sz w:val="24"/>
                <w:szCs w:val="24"/>
              </w:rPr>
              <w:t xml:space="preserve">atbilstoši Civilprocesa likumam ir </w:t>
            </w:r>
            <w:r>
              <w:rPr>
                <w:rFonts w:ascii="Times New Roman" w:hAnsi="Times New Roman"/>
                <w:sz w:val="24"/>
                <w:szCs w:val="24"/>
              </w:rPr>
              <w:t>piemēroti</w:t>
            </w:r>
            <w:r w:rsidRPr="0076401D">
              <w:rPr>
                <w:rFonts w:ascii="Times New Roman" w:hAnsi="Times New Roman"/>
                <w:sz w:val="24"/>
                <w:szCs w:val="24"/>
              </w:rPr>
              <w:t xml:space="preserve"> pagaidu aizsar</w:t>
            </w:r>
            <w:r>
              <w:rPr>
                <w:rFonts w:ascii="Times New Roman" w:hAnsi="Times New Roman"/>
                <w:sz w:val="24"/>
                <w:szCs w:val="24"/>
              </w:rPr>
              <w:t>dzības pret vardarbību līdzekļi</w:t>
            </w:r>
            <w:r w:rsidRPr="0076401D">
              <w:rPr>
                <w:rFonts w:ascii="Times New Roman" w:hAnsi="Times New Roman"/>
                <w:sz w:val="24"/>
                <w:szCs w:val="24"/>
              </w:rPr>
              <w:t>.</w:t>
            </w:r>
          </w:p>
        </w:tc>
      </w:tr>
      <w:tr w:rsidR="0079096D" w:rsidRPr="00CD2B00" w:rsidTr="004D15A9">
        <w:trPr>
          <w:trHeight w:val="46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Pr>
                <w:rFonts w:ascii="Times New Roman" w:hAnsi="Times New Roman"/>
                <w:sz w:val="24"/>
                <w:szCs w:val="24"/>
                <w:lang w:eastAsia="lv-LV"/>
              </w:rPr>
              <w:t>VPD, Tieslietu ministrija</w:t>
            </w:r>
          </w:p>
        </w:tc>
      </w:tr>
      <w:tr w:rsidR="0079096D" w:rsidRPr="00CD2B00" w:rsidTr="004D15A9">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Cita informācija</w:t>
            </w:r>
          </w:p>
        </w:tc>
        <w:tc>
          <w:tcPr>
            <w:tcW w:w="3200" w:type="pct"/>
            <w:tcBorders>
              <w:top w:val="outset" w:sz="6" w:space="0" w:color="414142"/>
              <w:left w:val="outset" w:sz="6" w:space="0" w:color="414142"/>
              <w:bottom w:val="outset" w:sz="6" w:space="0" w:color="414142"/>
            </w:tcBorders>
          </w:tcPr>
          <w:p w:rsidR="0079096D" w:rsidRPr="00CD2B00" w:rsidRDefault="0079096D" w:rsidP="00CD2B00">
            <w:pPr>
              <w:spacing w:after="0" w:line="240" w:lineRule="auto"/>
              <w:rPr>
                <w:rFonts w:ascii="Times New Roman" w:hAnsi="Times New Roman"/>
                <w:sz w:val="24"/>
                <w:szCs w:val="24"/>
                <w:lang w:eastAsia="lv-LV"/>
              </w:rPr>
            </w:pPr>
            <w:r>
              <w:rPr>
                <w:rFonts w:ascii="Times New Roman" w:hAnsi="Times New Roman"/>
                <w:sz w:val="24"/>
                <w:szCs w:val="24"/>
                <w:lang w:eastAsia="lv-LV"/>
              </w:rPr>
              <w:t>Nav</w:t>
            </w:r>
          </w:p>
        </w:tc>
      </w:tr>
      <w:tr w:rsidR="0079096D" w:rsidRPr="00CD2B00" w:rsidTr="00D313D5">
        <w:trPr>
          <w:trHeight w:val="128"/>
        </w:trPr>
        <w:tc>
          <w:tcPr>
            <w:tcW w:w="5000" w:type="pct"/>
            <w:gridSpan w:val="3"/>
            <w:tcBorders>
              <w:top w:val="outset" w:sz="6" w:space="0" w:color="414142"/>
              <w:left w:val="nil"/>
              <w:bottom w:val="outset" w:sz="6" w:space="0" w:color="414142"/>
              <w:right w:val="nil"/>
            </w:tcBorders>
          </w:tcPr>
          <w:p w:rsidR="0079096D" w:rsidRPr="00CD2B00" w:rsidRDefault="0079096D" w:rsidP="0081203F">
            <w:pPr>
              <w:tabs>
                <w:tab w:val="left" w:pos="990"/>
              </w:tabs>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ab/>
            </w:r>
          </w:p>
        </w:tc>
      </w:tr>
    </w:tbl>
    <w:p w:rsidR="0079096D" w:rsidRPr="00CD2B00" w:rsidRDefault="0079096D" w:rsidP="00DA596D">
      <w:pPr>
        <w:spacing w:after="0" w:line="240" w:lineRule="auto"/>
        <w:rPr>
          <w:rFonts w:ascii="Times New Roman" w:hAnsi="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56"/>
        <w:gridCol w:w="2831"/>
        <w:gridCol w:w="5844"/>
      </w:tblGrid>
      <w:tr w:rsidR="0079096D" w:rsidRPr="00CD2B00" w:rsidTr="00101CD5">
        <w:trPr>
          <w:trHeight w:val="555"/>
        </w:trPr>
        <w:tc>
          <w:tcPr>
            <w:tcW w:w="0" w:type="auto"/>
            <w:gridSpan w:val="3"/>
            <w:tcBorders>
              <w:top w:val="nil"/>
              <w:bottom w:val="outset" w:sz="6" w:space="0" w:color="414142"/>
            </w:tcBorders>
            <w:vAlign w:val="center"/>
          </w:tcPr>
          <w:p w:rsidR="0079096D" w:rsidRPr="00CD2B00" w:rsidRDefault="0079096D" w:rsidP="00DA596D">
            <w:pPr>
              <w:spacing w:after="0" w:line="240" w:lineRule="auto"/>
              <w:ind w:firstLine="300"/>
              <w:jc w:val="center"/>
              <w:rPr>
                <w:rFonts w:ascii="Times New Roman" w:hAnsi="Times New Roman"/>
                <w:b/>
                <w:bCs/>
                <w:sz w:val="24"/>
                <w:szCs w:val="24"/>
                <w:lang w:eastAsia="lv-LV"/>
              </w:rPr>
            </w:pPr>
            <w:r w:rsidRPr="00CD2B00">
              <w:rPr>
                <w:rFonts w:ascii="Times New Roman" w:hAnsi="Times New Roman"/>
                <w:b/>
                <w:bCs/>
                <w:sz w:val="24"/>
                <w:szCs w:val="24"/>
                <w:lang w:eastAsia="lv-LV"/>
              </w:rPr>
              <w:t>II. Tiesību akta projekta ietekme uz sabiedrību, tautsaimniecības attīstību un administratīvo slogu</w:t>
            </w:r>
          </w:p>
        </w:tc>
      </w:tr>
      <w:tr w:rsidR="0079096D" w:rsidRPr="00CD2B00" w:rsidTr="004D15A9">
        <w:trPr>
          <w:trHeight w:val="46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tcBorders>
          </w:tcPr>
          <w:p w:rsidR="0079096D" w:rsidRPr="00501EFC" w:rsidRDefault="0079096D" w:rsidP="00E43DB5">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VPD</w:t>
            </w:r>
            <w:r w:rsidRPr="00501EFC">
              <w:rPr>
                <w:rFonts w:ascii="Times New Roman" w:hAnsi="Times New Roman"/>
                <w:sz w:val="24"/>
                <w:szCs w:val="24"/>
                <w:lang w:eastAsia="lv-LV"/>
              </w:rPr>
              <w:t xml:space="preserve"> amatper</w:t>
            </w:r>
            <w:r>
              <w:rPr>
                <w:rFonts w:ascii="Times New Roman" w:hAnsi="Times New Roman"/>
                <w:sz w:val="24"/>
                <w:szCs w:val="24"/>
                <w:lang w:eastAsia="lv-LV"/>
              </w:rPr>
              <w:t>sonas.</w:t>
            </w:r>
          </w:p>
          <w:p w:rsidR="0079096D" w:rsidRDefault="0079096D" w:rsidP="00E43DB5">
            <w:pPr>
              <w:spacing w:after="0" w:line="240" w:lineRule="auto"/>
              <w:jc w:val="both"/>
              <w:rPr>
                <w:rFonts w:ascii="Times New Roman" w:hAnsi="Times New Roman"/>
                <w:sz w:val="24"/>
                <w:szCs w:val="24"/>
              </w:rPr>
            </w:pPr>
            <w:r w:rsidRPr="00501EFC">
              <w:rPr>
                <w:rFonts w:ascii="Times New Roman" w:hAnsi="Times New Roman"/>
                <w:sz w:val="24"/>
                <w:szCs w:val="24"/>
              </w:rPr>
              <w:t>Probācijas klienti, par kuriem tiek sastādīti izvērtēšanas</w:t>
            </w:r>
            <w:r>
              <w:rPr>
                <w:rFonts w:ascii="Times New Roman" w:hAnsi="Times New Roman"/>
                <w:sz w:val="24"/>
                <w:szCs w:val="24"/>
              </w:rPr>
              <w:t xml:space="preserve"> ziņojumi</w:t>
            </w:r>
            <w:r w:rsidRPr="00501EFC">
              <w:rPr>
                <w:rFonts w:ascii="Times New Roman" w:hAnsi="Times New Roman"/>
                <w:sz w:val="24"/>
                <w:szCs w:val="24"/>
              </w:rPr>
              <w:t xml:space="preserve"> </w:t>
            </w:r>
            <w:r>
              <w:rPr>
                <w:rFonts w:ascii="Times New Roman" w:hAnsi="Times New Roman"/>
                <w:sz w:val="24"/>
                <w:szCs w:val="24"/>
              </w:rPr>
              <w:t>pēc brīvības atņemšanas iestādes pieprasījuma ar elektroniskās uzraudzības noteikšanu</w:t>
            </w:r>
            <w:r w:rsidRPr="00501EFC">
              <w:rPr>
                <w:rFonts w:ascii="Times New Roman" w:hAnsi="Times New Roman"/>
                <w:sz w:val="24"/>
                <w:szCs w:val="24"/>
              </w:rPr>
              <w:t>.</w:t>
            </w:r>
          </w:p>
          <w:p w:rsidR="0079096D" w:rsidRPr="00CD2B00" w:rsidRDefault="0079096D" w:rsidP="00E43DB5">
            <w:pPr>
              <w:spacing w:after="0" w:line="240" w:lineRule="auto"/>
              <w:jc w:val="both"/>
              <w:rPr>
                <w:rFonts w:ascii="Times New Roman" w:hAnsi="Times New Roman"/>
                <w:sz w:val="24"/>
                <w:szCs w:val="24"/>
                <w:lang w:eastAsia="lv-LV"/>
              </w:rPr>
            </w:pPr>
            <w:r w:rsidRPr="00501EFC">
              <w:rPr>
                <w:rFonts w:ascii="Times New Roman" w:hAnsi="Times New Roman"/>
                <w:sz w:val="24"/>
                <w:szCs w:val="24"/>
              </w:rPr>
              <w:t>Nepilngadīgu probācijas klientu likumiskie pārstāvji, citas personas, kuras var sniegt informāciju par probācijas klienta dzīvesvietu, izglītību un nodarbošanos, uzvedību, emocionālo stabilitāti, fizisko un garīgo veselību, dažāda veida atkarībām un citu būtisku informāciju, kā arī darba devējs, izglītības iestādes pārstāvis, cietušais, ārsts, psihologs un citi.</w:t>
            </w:r>
          </w:p>
        </w:tc>
      </w:tr>
      <w:tr w:rsidR="0079096D" w:rsidRPr="00CD2B00" w:rsidTr="004D15A9">
        <w:trPr>
          <w:trHeight w:val="510"/>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tcBorders>
          </w:tcPr>
          <w:p w:rsidR="0079096D" w:rsidRPr="00CD2B00" w:rsidRDefault="0079096D" w:rsidP="004C584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Sabiedrības grupām un institūcijām noteikumu projekta tiesiskais regulējums nemaina tiesības un pienākumus, kā arī veicamās darbības.</w:t>
            </w:r>
          </w:p>
        </w:tc>
      </w:tr>
      <w:tr w:rsidR="0079096D" w:rsidRPr="00CD2B00" w:rsidTr="004D15A9">
        <w:trPr>
          <w:trHeight w:val="510"/>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tcBorders>
          </w:tcPr>
          <w:p w:rsidR="0079096D" w:rsidRPr="00CD2B00" w:rsidRDefault="0079096D" w:rsidP="004C584E">
            <w:pPr>
              <w:spacing w:after="0" w:line="240" w:lineRule="auto"/>
              <w:jc w:val="both"/>
              <w:rPr>
                <w:rFonts w:ascii="Times New Roman" w:hAnsi="Times New Roman"/>
                <w:sz w:val="24"/>
                <w:szCs w:val="24"/>
                <w:lang w:eastAsia="lv-LV"/>
              </w:rPr>
            </w:pPr>
            <w:r w:rsidRPr="00B56FD0">
              <w:rPr>
                <w:rFonts w:ascii="Times New Roman" w:hAnsi="Times New Roman"/>
                <w:sz w:val="24"/>
                <w:szCs w:val="24"/>
                <w:lang w:eastAsia="lv-LV"/>
              </w:rPr>
              <w:t xml:space="preserve">Administratīvās izmaksas naudas izteiksmē gada laikā mērķgrupām, ko veido fiziskas personas, nepārsniedz 200 </w:t>
            </w:r>
            <w:r w:rsidRPr="00B56FD0">
              <w:rPr>
                <w:rFonts w:ascii="Times New Roman" w:hAnsi="Times New Roman"/>
                <w:i/>
                <w:sz w:val="24"/>
                <w:szCs w:val="24"/>
                <w:lang w:eastAsia="lv-LV"/>
              </w:rPr>
              <w:t>euro</w:t>
            </w:r>
            <w:r w:rsidRPr="00B56FD0">
              <w:rPr>
                <w:rFonts w:ascii="Times New Roman" w:hAnsi="Times New Roman"/>
                <w:sz w:val="24"/>
                <w:szCs w:val="24"/>
                <w:lang w:eastAsia="lv-LV"/>
              </w:rPr>
              <w:t>, tādēļ šis anotācijas punkts uz projektu nav attiecināms.</w:t>
            </w:r>
          </w:p>
        </w:tc>
      </w:tr>
      <w:tr w:rsidR="0079096D" w:rsidRPr="00CD2B00" w:rsidTr="004D15A9">
        <w:trPr>
          <w:trHeight w:val="34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Cita informācija</w:t>
            </w:r>
          </w:p>
        </w:tc>
        <w:tc>
          <w:tcPr>
            <w:tcW w:w="3200" w:type="pct"/>
            <w:tcBorders>
              <w:top w:val="outset" w:sz="6" w:space="0" w:color="414142"/>
              <w:left w:val="outset" w:sz="6" w:space="0" w:color="414142"/>
              <w:bottom w:val="outset" w:sz="6" w:space="0" w:color="414142"/>
            </w:tcBorders>
          </w:tcPr>
          <w:p w:rsidR="0079096D" w:rsidRPr="00CD2B00" w:rsidRDefault="0079096D" w:rsidP="00E43DB5">
            <w:pPr>
              <w:spacing w:after="0" w:line="240" w:lineRule="auto"/>
              <w:rPr>
                <w:rFonts w:ascii="Times New Roman" w:hAnsi="Times New Roman"/>
                <w:sz w:val="24"/>
                <w:szCs w:val="24"/>
                <w:lang w:eastAsia="lv-LV"/>
              </w:rPr>
            </w:pPr>
            <w:r>
              <w:rPr>
                <w:rFonts w:ascii="Times New Roman" w:hAnsi="Times New Roman"/>
                <w:sz w:val="24"/>
                <w:szCs w:val="24"/>
                <w:lang w:eastAsia="lv-LV"/>
              </w:rPr>
              <w:t>Nav</w:t>
            </w:r>
          </w:p>
        </w:tc>
      </w:tr>
      <w:tr w:rsidR="0079096D" w:rsidRPr="00CD2B00" w:rsidTr="00D313D5">
        <w:trPr>
          <w:trHeight w:val="345"/>
        </w:trPr>
        <w:tc>
          <w:tcPr>
            <w:tcW w:w="5000" w:type="pct"/>
            <w:gridSpan w:val="3"/>
            <w:tcBorders>
              <w:top w:val="outset" w:sz="6" w:space="0" w:color="414142"/>
              <w:left w:val="nil"/>
              <w:bottom w:val="single" w:sz="6" w:space="0" w:color="auto"/>
              <w:right w:val="nil"/>
            </w:tcBorders>
          </w:tcPr>
          <w:p w:rsidR="0079096D" w:rsidRPr="00CD2B00" w:rsidRDefault="0079096D" w:rsidP="00DA596D">
            <w:pPr>
              <w:spacing w:after="0" w:line="240" w:lineRule="auto"/>
              <w:rPr>
                <w:rFonts w:ascii="Times New Roman" w:hAnsi="Times New Roman"/>
                <w:sz w:val="24"/>
                <w:szCs w:val="24"/>
                <w:lang w:eastAsia="lv-LV"/>
              </w:rPr>
            </w:pPr>
          </w:p>
        </w:tc>
      </w:tr>
    </w:tbl>
    <w:p w:rsidR="0079096D" w:rsidRPr="00CD2B00" w:rsidRDefault="0079096D" w:rsidP="00DA596D">
      <w:pPr>
        <w:spacing w:after="0" w:line="240" w:lineRule="auto"/>
        <w:rPr>
          <w:rFonts w:ascii="Times New Roman" w:hAnsi="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9131"/>
      </w:tblGrid>
      <w:tr w:rsidR="0079096D" w:rsidRPr="00CD2B00" w:rsidTr="00D313D5">
        <w:trPr>
          <w:trHeight w:val="360"/>
        </w:trPr>
        <w:tc>
          <w:tcPr>
            <w:tcW w:w="0" w:type="auto"/>
            <w:tcBorders>
              <w:top w:val="nil"/>
              <w:bottom w:val="outset" w:sz="6" w:space="0" w:color="414142"/>
            </w:tcBorders>
            <w:vAlign w:val="center"/>
          </w:tcPr>
          <w:p w:rsidR="0079096D" w:rsidRPr="007F7DF3" w:rsidRDefault="0079096D" w:rsidP="00DA596D">
            <w:pPr>
              <w:spacing w:after="0" w:line="240" w:lineRule="auto"/>
              <w:ind w:firstLine="300"/>
              <w:jc w:val="center"/>
              <w:rPr>
                <w:rFonts w:ascii="Times New Roman" w:hAnsi="Times New Roman"/>
                <w:b/>
                <w:bCs/>
                <w:sz w:val="24"/>
                <w:szCs w:val="24"/>
                <w:lang w:eastAsia="lv-LV"/>
              </w:rPr>
            </w:pPr>
            <w:r w:rsidRPr="007F7DF3">
              <w:rPr>
                <w:rFonts w:ascii="Times New Roman" w:hAnsi="Times New Roman"/>
                <w:b/>
                <w:bCs/>
                <w:sz w:val="24"/>
                <w:szCs w:val="24"/>
                <w:lang w:eastAsia="lv-LV"/>
              </w:rPr>
              <w:t>Anotācijas III, IV un V sadaļa – projekts šīs jomas neskar.</w:t>
            </w:r>
          </w:p>
        </w:tc>
      </w:tr>
    </w:tbl>
    <w:p w:rsidR="0079096D" w:rsidRPr="00CD2B00" w:rsidRDefault="0079096D" w:rsidP="00DA596D">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57"/>
        <w:gridCol w:w="2739"/>
        <w:gridCol w:w="5935"/>
      </w:tblGrid>
      <w:tr w:rsidR="0079096D" w:rsidRPr="00CD2B00" w:rsidTr="004D15A9">
        <w:trPr>
          <w:trHeight w:val="420"/>
        </w:trPr>
        <w:tc>
          <w:tcPr>
            <w:tcW w:w="0" w:type="auto"/>
            <w:gridSpan w:val="3"/>
            <w:tcBorders>
              <w:top w:val="outset" w:sz="6" w:space="0" w:color="414142"/>
              <w:bottom w:val="outset" w:sz="6" w:space="0" w:color="414142"/>
            </w:tcBorders>
            <w:vAlign w:val="center"/>
          </w:tcPr>
          <w:p w:rsidR="0079096D" w:rsidRPr="00CD2B00" w:rsidRDefault="0079096D" w:rsidP="00DA596D">
            <w:pPr>
              <w:spacing w:after="0" w:line="240" w:lineRule="auto"/>
              <w:ind w:firstLine="300"/>
              <w:jc w:val="center"/>
              <w:rPr>
                <w:rFonts w:ascii="Times New Roman" w:hAnsi="Times New Roman"/>
                <w:b/>
                <w:bCs/>
                <w:sz w:val="24"/>
                <w:szCs w:val="24"/>
                <w:lang w:eastAsia="lv-LV"/>
              </w:rPr>
            </w:pPr>
            <w:r w:rsidRPr="00CD2B00">
              <w:rPr>
                <w:rFonts w:ascii="Times New Roman" w:hAnsi="Times New Roman"/>
                <w:b/>
                <w:bCs/>
                <w:sz w:val="24"/>
                <w:szCs w:val="24"/>
                <w:lang w:eastAsia="lv-LV"/>
              </w:rPr>
              <w:t>VI. Sabiedrības līdzdalība un komunikācijas aktivitātes</w:t>
            </w:r>
          </w:p>
        </w:tc>
      </w:tr>
      <w:tr w:rsidR="0079096D" w:rsidRPr="00CD2B00" w:rsidTr="004D15A9">
        <w:trPr>
          <w:trHeight w:val="540"/>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tcBorders>
          </w:tcPr>
          <w:p w:rsidR="0079096D" w:rsidRPr="00CD2B00" w:rsidRDefault="0079096D" w:rsidP="00262BF1">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Saskaņā ar Ministru kabineta 2009.gada 25.augusta noteikumu Nr.970 „Sabiedrības līdzdalības kārtība attīstības plānošanas procesā” (turpmāk – noteikumi Nr.970) 7. un 9. punktu sabiedrības pārstāvji ir aicināti līdzdarboties attīstības plānošanā piedaloties sabiedriskajā apspriedē. Sabiedrības pārstāvji ir informēti par sabiedrisko apspriedi noteikumos Nr.970 noteiktajā kārtībā, publicējot paziņojumu par līdzdalības procesu VPD mājaslapas </w:t>
            </w:r>
            <w:r w:rsidRPr="00E35C02">
              <w:rPr>
                <w:rFonts w:ascii="Times New Roman" w:hAnsi="Times New Roman"/>
                <w:sz w:val="24"/>
                <w:szCs w:val="24"/>
                <w:lang w:eastAsia="lv-LV"/>
              </w:rPr>
              <w:t>www.probacija.lv</w:t>
            </w:r>
            <w:r>
              <w:rPr>
                <w:rFonts w:ascii="Times New Roman" w:hAnsi="Times New Roman"/>
                <w:sz w:val="24"/>
                <w:szCs w:val="24"/>
                <w:lang w:eastAsia="lv-LV"/>
              </w:rPr>
              <w:t xml:space="preserve"> sadaļā „Sabiedriskā līdzdalība”, Valsts kancelejas un Tieslietu ministrijas mājaslapā. Projekta dokumentācija ir publicēta VPD mājaslapas </w:t>
            </w:r>
            <w:r w:rsidRPr="00E35C02">
              <w:rPr>
                <w:rFonts w:ascii="Times New Roman" w:hAnsi="Times New Roman"/>
                <w:sz w:val="24"/>
                <w:szCs w:val="24"/>
                <w:lang w:eastAsia="lv-LV"/>
              </w:rPr>
              <w:t>www.probacija.lv</w:t>
            </w:r>
            <w:r>
              <w:rPr>
                <w:rFonts w:ascii="Times New Roman" w:hAnsi="Times New Roman"/>
                <w:sz w:val="24"/>
                <w:szCs w:val="24"/>
                <w:lang w:eastAsia="lv-LV"/>
              </w:rPr>
              <w:t xml:space="preserve"> sadaļā „Sabiedrības līdzdalība” līdz ar paziņojuma par līdzdalības procesu izsludināšanu.</w:t>
            </w:r>
          </w:p>
        </w:tc>
      </w:tr>
      <w:tr w:rsidR="0079096D" w:rsidRPr="00CD2B00" w:rsidTr="004D15A9">
        <w:trPr>
          <w:trHeight w:val="330"/>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tcBorders>
          </w:tcPr>
          <w:p w:rsidR="0079096D" w:rsidRPr="00CD2B00" w:rsidRDefault="0079096D" w:rsidP="00262BF1">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Sabiedrības pārstāvji ir iesaistīti projekta izstrādes posmā, izsakot iebildumus vai priekšlikumus attiecībā uz projektu sabiedriskajā apspriedē. Sabiedriskā apspriede norisināsies 2014.gada 18.decembrī VPD telpās Rīgā, Dzirnavu ielā 91.</w:t>
            </w:r>
          </w:p>
        </w:tc>
      </w:tr>
      <w:tr w:rsidR="0079096D" w:rsidRPr="00CD2B00" w:rsidTr="004D15A9">
        <w:trPr>
          <w:trHeight w:val="46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p>
        </w:tc>
      </w:tr>
      <w:tr w:rsidR="0079096D" w:rsidRPr="00CD2B00" w:rsidTr="004D15A9">
        <w:trPr>
          <w:trHeight w:val="465"/>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Cita informācija</w:t>
            </w:r>
          </w:p>
        </w:tc>
        <w:tc>
          <w:tcPr>
            <w:tcW w:w="3250" w:type="pct"/>
            <w:tcBorders>
              <w:top w:val="outset" w:sz="6" w:space="0" w:color="414142"/>
              <w:left w:val="outset" w:sz="6" w:space="0" w:color="414142"/>
              <w:bottom w:val="outset" w:sz="6" w:space="0" w:color="414142"/>
            </w:tcBorders>
          </w:tcPr>
          <w:p w:rsidR="0079096D" w:rsidRPr="00CD2B00" w:rsidRDefault="0079096D" w:rsidP="00262BF1">
            <w:pPr>
              <w:spacing w:after="0" w:line="240" w:lineRule="auto"/>
              <w:rPr>
                <w:rFonts w:ascii="Times New Roman" w:hAnsi="Times New Roman"/>
                <w:sz w:val="24"/>
                <w:szCs w:val="24"/>
                <w:lang w:eastAsia="lv-LV"/>
              </w:rPr>
            </w:pPr>
            <w:r>
              <w:rPr>
                <w:rFonts w:ascii="Times New Roman" w:hAnsi="Times New Roman"/>
                <w:sz w:val="24"/>
                <w:szCs w:val="24"/>
                <w:lang w:eastAsia="lv-LV"/>
              </w:rPr>
              <w:t>Nav</w:t>
            </w:r>
          </w:p>
        </w:tc>
      </w:tr>
    </w:tbl>
    <w:p w:rsidR="0079096D" w:rsidRPr="00CD2B00" w:rsidRDefault="0079096D" w:rsidP="00DA596D">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5"/>
        <w:gridCol w:w="457"/>
        <w:gridCol w:w="3468"/>
        <w:gridCol w:w="5201"/>
      </w:tblGrid>
      <w:tr w:rsidR="0079096D" w:rsidRPr="00CD2B00" w:rsidTr="004D15A9">
        <w:trPr>
          <w:trHeight w:val="375"/>
        </w:trPr>
        <w:tc>
          <w:tcPr>
            <w:tcW w:w="0" w:type="auto"/>
            <w:gridSpan w:val="4"/>
            <w:tcBorders>
              <w:top w:val="outset" w:sz="6" w:space="0" w:color="414142"/>
              <w:bottom w:val="outset" w:sz="6" w:space="0" w:color="414142"/>
            </w:tcBorders>
            <w:vAlign w:val="center"/>
          </w:tcPr>
          <w:p w:rsidR="0079096D" w:rsidRPr="00CD2B00" w:rsidRDefault="0079096D" w:rsidP="00DA596D">
            <w:pPr>
              <w:spacing w:after="0" w:line="240" w:lineRule="auto"/>
              <w:ind w:firstLine="300"/>
              <w:jc w:val="center"/>
              <w:rPr>
                <w:rFonts w:ascii="Times New Roman" w:hAnsi="Times New Roman"/>
                <w:b/>
                <w:bCs/>
                <w:sz w:val="24"/>
                <w:szCs w:val="24"/>
                <w:lang w:eastAsia="lv-LV"/>
              </w:rPr>
            </w:pPr>
            <w:r w:rsidRPr="00CD2B00">
              <w:rPr>
                <w:rFonts w:ascii="Times New Roman" w:hAnsi="Times New Roman"/>
                <w:b/>
                <w:bCs/>
                <w:sz w:val="24"/>
                <w:szCs w:val="24"/>
                <w:lang w:eastAsia="lv-LV"/>
              </w:rPr>
              <w:t>VII. Tiesību akta projekta izpildes nodrošināšana un tās ietekme uz institūcijām</w:t>
            </w:r>
          </w:p>
        </w:tc>
      </w:tr>
      <w:tr w:rsidR="0079096D" w:rsidRPr="00CD2B00" w:rsidTr="004D15A9">
        <w:trPr>
          <w:trHeight w:val="420"/>
        </w:trPr>
        <w:tc>
          <w:tcPr>
            <w:tcW w:w="250" w:type="pct"/>
            <w:gridSpan w:val="2"/>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Pr>
                <w:rFonts w:ascii="Times New Roman" w:hAnsi="Times New Roman"/>
                <w:sz w:val="24"/>
                <w:szCs w:val="24"/>
                <w:lang w:eastAsia="lv-LV"/>
              </w:rPr>
              <w:t>VPD</w:t>
            </w:r>
          </w:p>
        </w:tc>
      </w:tr>
      <w:tr w:rsidR="0079096D" w:rsidRPr="00CD2B00" w:rsidTr="004D15A9">
        <w:trPr>
          <w:gridBefore w:val="1"/>
          <w:trHeight w:val="450"/>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 xml:space="preserve">Projekta izpildes ietekme uz pārvaldes funkcijām un institucionālo struktūru. </w:t>
            </w:r>
          </w:p>
          <w:p w:rsidR="0079096D" w:rsidRPr="00CD2B00" w:rsidRDefault="0079096D" w:rsidP="004C584E">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tcBorders>
          </w:tcPr>
          <w:p w:rsidR="0079096D" w:rsidRPr="00CD2B00" w:rsidRDefault="0079096D" w:rsidP="004C584E">
            <w:pPr>
              <w:spacing w:after="0" w:line="240" w:lineRule="auto"/>
              <w:jc w:val="both"/>
              <w:rPr>
                <w:rFonts w:ascii="Times New Roman" w:hAnsi="Times New Roman"/>
                <w:sz w:val="24"/>
                <w:szCs w:val="24"/>
                <w:lang w:eastAsia="lv-LV"/>
              </w:rPr>
            </w:pPr>
            <w:r w:rsidRPr="00B56FD0">
              <w:rPr>
                <w:rFonts w:ascii="Times New Roman" w:hAnsi="Times New Roman"/>
                <w:sz w:val="24"/>
                <w:szCs w:val="24"/>
                <w:lang w:eastAsia="lv-LV"/>
              </w:rPr>
              <w:t>Projekta izpilde neietekmēs pārvaldes funkcijas vai institucionālo struktūru.</w:t>
            </w:r>
          </w:p>
        </w:tc>
      </w:tr>
      <w:tr w:rsidR="0079096D" w:rsidRPr="00CD2B00" w:rsidTr="004D15A9">
        <w:trPr>
          <w:gridBefore w:val="1"/>
          <w:trHeight w:val="390"/>
        </w:trPr>
        <w:tc>
          <w:tcPr>
            <w:tcW w:w="250" w:type="pct"/>
            <w:tcBorders>
              <w:top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tcPr>
          <w:p w:rsidR="0079096D" w:rsidRPr="00CD2B00" w:rsidRDefault="0079096D" w:rsidP="00DA596D">
            <w:pPr>
              <w:spacing w:after="0" w:line="240" w:lineRule="auto"/>
              <w:rPr>
                <w:rFonts w:ascii="Times New Roman" w:hAnsi="Times New Roman"/>
                <w:sz w:val="24"/>
                <w:szCs w:val="24"/>
                <w:lang w:eastAsia="lv-LV"/>
              </w:rPr>
            </w:pPr>
            <w:r w:rsidRPr="00CD2B00">
              <w:rPr>
                <w:rFonts w:ascii="Times New Roman" w:hAnsi="Times New Roman"/>
                <w:sz w:val="24"/>
                <w:szCs w:val="24"/>
                <w:lang w:eastAsia="lv-LV"/>
              </w:rPr>
              <w:t>Cita informācija</w:t>
            </w:r>
          </w:p>
        </w:tc>
        <w:tc>
          <w:tcPr>
            <w:tcW w:w="2850" w:type="pct"/>
            <w:tcBorders>
              <w:top w:val="outset" w:sz="6" w:space="0" w:color="414142"/>
              <w:left w:val="outset" w:sz="6" w:space="0" w:color="414142"/>
              <w:bottom w:val="outset" w:sz="6" w:space="0" w:color="414142"/>
            </w:tcBorders>
          </w:tcPr>
          <w:p w:rsidR="0079096D" w:rsidRPr="00CD2B00" w:rsidRDefault="0079096D" w:rsidP="004C584E">
            <w:pPr>
              <w:spacing w:after="0" w:line="240" w:lineRule="auto"/>
              <w:rPr>
                <w:rFonts w:ascii="Times New Roman" w:hAnsi="Times New Roman"/>
                <w:sz w:val="24"/>
                <w:szCs w:val="24"/>
                <w:lang w:eastAsia="lv-LV"/>
              </w:rPr>
            </w:pPr>
            <w:r>
              <w:rPr>
                <w:rFonts w:ascii="Times New Roman" w:hAnsi="Times New Roman"/>
                <w:sz w:val="24"/>
                <w:szCs w:val="24"/>
                <w:lang w:eastAsia="lv-LV"/>
              </w:rPr>
              <w:t>Nav</w:t>
            </w:r>
          </w:p>
        </w:tc>
      </w:tr>
    </w:tbl>
    <w:p w:rsidR="0079096D" w:rsidRPr="00CD2B00" w:rsidRDefault="0079096D" w:rsidP="00DA596D">
      <w:pPr>
        <w:spacing w:after="0" w:line="240" w:lineRule="auto"/>
        <w:rPr>
          <w:rFonts w:ascii="Times New Roman" w:hAnsi="Times New Roman"/>
          <w:sz w:val="24"/>
          <w:szCs w:val="24"/>
        </w:rPr>
      </w:pPr>
    </w:p>
    <w:p w:rsidR="0079096D" w:rsidRPr="00CD2B00" w:rsidRDefault="0079096D" w:rsidP="00DA596D">
      <w:pPr>
        <w:spacing w:after="0" w:line="240" w:lineRule="auto"/>
        <w:rPr>
          <w:rFonts w:ascii="Times New Roman" w:hAnsi="Times New Roman"/>
          <w:sz w:val="24"/>
          <w:szCs w:val="24"/>
        </w:rPr>
      </w:pPr>
    </w:p>
    <w:p w:rsidR="0079096D" w:rsidRDefault="0079096D" w:rsidP="00DA596D">
      <w:pPr>
        <w:pStyle w:val="StyleRight"/>
        <w:spacing w:after="0"/>
        <w:ind w:firstLine="0"/>
        <w:jc w:val="both"/>
        <w:rPr>
          <w:sz w:val="24"/>
          <w:szCs w:val="24"/>
        </w:rPr>
      </w:pPr>
    </w:p>
    <w:p w:rsidR="0079096D" w:rsidRDefault="0079096D" w:rsidP="00DA596D">
      <w:pPr>
        <w:pStyle w:val="StyleRight"/>
        <w:spacing w:after="0"/>
        <w:ind w:firstLine="0"/>
        <w:jc w:val="both"/>
        <w:rPr>
          <w:sz w:val="24"/>
          <w:szCs w:val="24"/>
        </w:rPr>
      </w:pPr>
      <w:r w:rsidRPr="00CD2B00">
        <w:rPr>
          <w:sz w:val="24"/>
          <w:szCs w:val="24"/>
        </w:rPr>
        <w:t>Iesniedzējs: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Dz. Rasnačs</w:t>
      </w:r>
    </w:p>
    <w:p w:rsidR="0079096D" w:rsidRPr="00CD2B00" w:rsidRDefault="0079096D" w:rsidP="00DA596D">
      <w:pPr>
        <w:pStyle w:val="StyleRight"/>
        <w:spacing w:after="0"/>
        <w:ind w:firstLine="0"/>
        <w:jc w:val="both"/>
        <w:rPr>
          <w:sz w:val="24"/>
          <w:szCs w:val="24"/>
        </w:rPr>
      </w:pPr>
    </w:p>
    <w:p w:rsidR="0079096D" w:rsidRPr="00CD2B00" w:rsidRDefault="0079096D" w:rsidP="00DA596D">
      <w:pPr>
        <w:pStyle w:val="StyleRight"/>
        <w:spacing w:after="0"/>
        <w:ind w:firstLine="0"/>
        <w:jc w:val="both"/>
        <w:rPr>
          <w:sz w:val="24"/>
          <w:szCs w:val="24"/>
        </w:rPr>
      </w:pPr>
      <w:bookmarkStart w:id="0" w:name="_GoBack"/>
      <w:bookmarkEnd w:id="0"/>
    </w:p>
    <w:p w:rsidR="0079096D" w:rsidRDefault="0079096D" w:rsidP="00773016">
      <w:pPr>
        <w:spacing w:after="0" w:line="240" w:lineRule="auto"/>
        <w:rPr>
          <w:rFonts w:ascii="Times New Roman" w:hAnsi="Times New Roman"/>
          <w:sz w:val="20"/>
          <w:szCs w:val="20"/>
        </w:rPr>
      </w:pPr>
    </w:p>
    <w:p w:rsidR="0079096D" w:rsidRPr="00773016" w:rsidRDefault="0079096D" w:rsidP="00773016">
      <w:pPr>
        <w:spacing w:after="0" w:line="240" w:lineRule="auto"/>
        <w:rPr>
          <w:rFonts w:ascii="Times New Roman" w:hAnsi="Times New Roman"/>
          <w:sz w:val="20"/>
          <w:szCs w:val="20"/>
        </w:rPr>
      </w:pPr>
      <w:r w:rsidRPr="00773016">
        <w:rPr>
          <w:rFonts w:ascii="Times New Roman" w:hAnsi="Times New Roman"/>
          <w:sz w:val="20"/>
          <w:szCs w:val="20"/>
        </w:rPr>
        <w:t>261114, 17:00</w:t>
      </w:r>
    </w:p>
    <w:p w:rsidR="0079096D" w:rsidRPr="00773016" w:rsidRDefault="0079096D" w:rsidP="00773016">
      <w:pPr>
        <w:spacing w:after="0" w:line="240" w:lineRule="auto"/>
        <w:rPr>
          <w:rFonts w:ascii="Times New Roman" w:hAnsi="Times New Roman"/>
          <w:sz w:val="20"/>
          <w:szCs w:val="20"/>
        </w:rPr>
      </w:pPr>
      <w:r>
        <w:rPr>
          <w:rFonts w:ascii="Times New Roman" w:hAnsi="Times New Roman"/>
          <w:sz w:val="20"/>
          <w:szCs w:val="20"/>
        </w:rPr>
        <w:t>1924</w:t>
      </w:r>
    </w:p>
    <w:p w:rsidR="0079096D" w:rsidRPr="00773016" w:rsidRDefault="0079096D" w:rsidP="00773016">
      <w:pPr>
        <w:spacing w:after="0" w:line="240" w:lineRule="auto"/>
        <w:rPr>
          <w:rFonts w:ascii="Times New Roman" w:hAnsi="Times New Roman"/>
          <w:sz w:val="20"/>
          <w:szCs w:val="20"/>
        </w:rPr>
      </w:pPr>
      <w:r>
        <w:rPr>
          <w:rFonts w:ascii="Times New Roman" w:hAnsi="Times New Roman"/>
          <w:sz w:val="20"/>
          <w:szCs w:val="20"/>
        </w:rPr>
        <w:t>Ieva Sviķe</w:t>
      </w:r>
    </w:p>
    <w:p w:rsidR="0079096D" w:rsidRPr="00773016" w:rsidRDefault="0079096D" w:rsidP="00773016">
      <w:pPr>
        <w:spacing w:after="0" w:line="240" w:lineRule="auto"/>
        <w:rPr>
          <w:rFonts w:ascii="Times New Roman" w:hAnsi="Times New Roman"/>
        </w:rPr>
      </w:pPr>
      <w:r>
        <w:rPr>
          <w:rFonts w:ascii="Times New Roman" w:hAnsi="Times New Roman"/>
          <w:sz w:val="20"/>
          <w:szCs w:val="20"/>
        </w:rPr>
        <w:t>67021107</w:t>
      </w:r>
      <w:r w:rsidRPr="00773016">
        <w:rPr>
          <w:rFonts w:ascii="Times New Roman" w:hAnsi="Times New Roman"/>
          <w:sz w:val="20"/>
          <w:szCs w:val="20"/>
        </w:rPr>
        <w:t xml:space="preserve">, </w:t>
      </w:r>
      <w:r>
        <w:rPr>
          <w:rFonts w:ascii="Times New Roman" w:hAnsi="Times New Roman"/>
          <w:sz w:val="20"/>
          <w:szCs w:val="20"/>
        </w:rPr>
        <w:t>ieva</w:t>
      </w:r>
      <w:r w:rsidRPr="00773016">
        <w:rPr>
          <w:rFonts w:ascii="Times New Roman" w:hAnsi="Times New Roman"/>
          <w:sz w:val="20"/>
          <w:szCs w:val="20"/>
        </w:rPr>
        <w:t>.</w:t>
      </w:r>
      <w:r>
        <w:rPr>
          <w:rFonts w:ascii="Times New Roman" w:hAnsi="Times New Roman"/>
          <w:sz w:val="20"/>
          <w:szCs w:val="20"/>
        </w:rPr>
        <w:t>svike</w:t>
      </w:r>
      <w:r w:rsidRPr="00773016">
        <w:rPr>
          <w:rFonts w:ascii="Times New Roman" w:hAnsi="Times New Roman"/>
          <w:sz w:val="20"/>
          <w:szCs w:val="20"/>
        </w:rPr>
        <w:t>@vpd.gov.lv</w:t>
      </w:r>
    </w:p>
    <w:p w:rsidR="0079096D" w:rsidRPr="00CD2B00" w:rsidRDefault="0079096D" w:rsidP="00DA596D">
      <w:pPr>
        <w:spacing w:after="0" w:line="240" w:lineRule="auto"/>
        <w:rPr>
          <w:rFonts w:ascii="Times New Roman" w:hAnsi="Times New Roman"/>
          <w:sz w:val="24"/>
          <w:szCs w:val="24"/>
        </w:rPr>
      </w:pPr>
    </w:p>
    <w:sectPr w:rsidR="0079096D" w:rsidRPr="00CD2B00" w:rsidSect="004D15A9">
      <w:headerReference w:type="default" r:id="rId6"/>
      <w:footerReference w:type="default" r:id="rId7"/>
      <w:footerReference w:type="first" r:id="rId8"/>
      <w:pgSz w:w="11906" w:h="16838"/>
      <w:pgMar w:top="1418"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6D" w:rsidRDefault="0079096D" w:rsidP="004D15A9">
      <w:pPr>
        <w:spacing w:after="0" w:line="240" w:lineRule="auto"/>
      </w:pPr>
      <w:r>
        <w:separator/>
      </w:r>
    </w:p>
  </w:endnote>
  <w:endnote w:type="continuationSeparator" w:id="0">
    <w:p w:rsidR="0079096D" w:rsidRDefault="0079096D" w:rsidP="004D1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6D" w:rsidRPr="004D15A9" w:rsidRDefault="0079096D" w:rsidP="004D15A9">
    <w:pPr>
      <w:pStyle w:val="Footer"/>
      <w:jc w:val="both"/>
      <w:rPr>
        <w:rFonts w:ascii="Times New Roman" w:hAnsi="Times New Roman"/>
        <w:color w:val="000000"/>
        <w:sz w:val="20"/>
        <w:szCs w:val="20"/>
      </w:rPr>
    </w:pPr>
    <w:r w:rsidRPr="004D15A9">
      <w:rPr>
        <w:rFonts w:ascii="Times New Roman" w:hAnsi="Times New Roman"/>
        <w:color w:val="000000"/>
        <w:sz w:val="20"/>
        <w:szCs w:val="20"/>
      </w:rPr>
      <w:t>TMAnot</w:t>
    </w:r>
    <w:r w:rsidRPr="007826D1">
      <w:rPr>
        <w:rFonts w:ascii="Times New Roman" w:hAnsi="Times New Roman"/>
        <w:color w:val="000000"/>
        <w:sz w:val="20"/>
        <w:szCs w:val="20"/>
      </w:rPr>
      <w:t>_</w:t>
    </w:r>
    <w:r w:rsidRPr="007826D1">
      <w:rPr>
        <w:rFonts w:ascii="Times New Roman" w:hAnsi="Times New Roman"/>
        <w:sz w:val="20"/>
        <w:szCs w:val="20"/>
      </w:rPr>
      <w:t>261114_groz_IZ_VPD</w:t>
    </w:r>
    <w:r>
      <w:rPr>
        <w:rFonts w:ascii="Times New Roman" w:hAnsi="Times New Roman"/>
        <w:color w:val="000000"/>
        <w:sz w:val="20"/>
        <w:szCs w:val="20"/>
      </w:rPr>
      <w:t>; </w:t>
    </w:r>
    <w:r w:rsidRPr="007826D1">
      <w:rPr>
        <w:rFonts w:ascii="Times New Roman" w:hAnsi="Times New Roman"/>
        <w:sz w:val="20"/>
        <w:szCs w:val="20"/>
      </w:rPr>
      <w:t>Mini</w:t>
    </w:r>
    <w:r>
      <w:rPr>
        <w:rFonts w:ascii="Times New Roman" w:hAnsi="Times New Roman"/>
        <w:sz w:val="20"/>
        <w:szCs w:val="20"/>
      </w:rPr>
      <w:t>stru kabineta noteikumu projekta</w:t>
    </w:r>
    <w:r w:rsidRPr="007826D1">
      <w:rPr>
        <w:rFonts w:ascii="Times New Roman" w:hAnsi="Times New Roman"/>
        <w:sz w:val="20"/>
        <w:szCs w:val="20"/>
      </w:rPr>
      <w:t xml:space="preserve"> „</w:t>
    </w:r>
    <w:r w:rsidRPr="007826D1">
      <w:rPr>
        <w:rFonts w:ascii="Times New Roman" w:hAnsi="Times New Roman"/>
        <w:bCs/>
        <w:sz w:val="20"/>
        <w:szCs w:val="20"/>
      </w:rPr>
      <w:t>Grozījumi Ministru kabineta 2011. gada 5. aprīļa noteikumos Nr.271 „</w:t>
    </w:r>
    <w:r w:rsidRPr="007826D1">
      <w:rPr>
        <w:rFonts w:ascii="Times New Roman" w:hAnsi="Times New Roman"/>
        <w:color w:val="000000"/>
        <w:sz w:val="20"/>
        <w:szCs w:val="20"/>
      </w:rPr>
      <w:t>Noteikumi par izvērtēšanas ziņojumā iekļaujamās informācijas apjomu un tā sastādīšanas un sniegšanas kārtību</w:t>
    </w:r>
    <w:r w:rsidRPr="007826D1">
      <w:rPr>
        <w:rFonts w:ascii="Times New Roman" w:hAnsi="Times New Roman"/>
        <w:bCs/>
        <w:sz w:val="20"/>
        <w:szCs w:val="20"/>
      </w:rPr>
      <w:t>””</w:t>
    </w:r>
    <w:r>
      <w:rPr>
        <w:rFonts w:ascii="Times New Roman" w:hAnsi="Times New Roman"/>
        <w:bCs/>
        <w:sz w:val="20"/>
        <w:szCs w:val="20"/>
      </w:rPr>
      <w:t xml:space="preserve"> </w:t>
    </w:r>
    <w:r w:rsidRPr="004D15A9">
      <w:rPr>
        <w:rFonts w:ascii="Times New Roman" w:hAnsi="Times New Roman"/>
        <w:bCs/>
        <w:color w:val="000000"/>
        <w:sz w:val="20"/>
        <w:szCs w:val="20"/>
        <w:lang w:eastAsia="lv-LV"/>
      </w:rPr>
      <w:t>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6D" w:rsidRPr="007826D1" w:rsidRDefault="0079096D" w:rsidP="007826D1">
    <w:pPr>
      <w:pStyle w:val="Footer"/>
      <w:jc w:val="both"/>
      <w:rPr>
        <w:rFonts w:ascii="Times New Roman" w:hAnsi="Times New Roman"/>
        <w:color w:val="000000"/>
        <w:sz w:val="20"/>
        <w:szCs w:val="20"/>
      </w:rPr>
    </w:pPr>
    <w:r w:rsidRPr="004D15A9">
      <w:rPr>
        <w:rFonts w:ascii="Times New Roman" w:hAnsi="Times New Roman"/>
        <w:color w:val="000000"/>
        <w:sz w:val="20"/>
        <w:szCs w:val="20"/>
      </w:rPr>
      <w:t>TMAnot</w:t>
    </w:r>
    <w:r w:rsidRPr="007826D1">
      <w:rPr>
        <w:rFonts w:ascii="Times New Roman" w:hAnsi="Times New Roman"/>
        <w:color w:val="000000"/>
        <w:sz w:val="20"/>
        <w:szCs w:val="20"/>
      </w:rPr>
      <w:t>_</w:t>
    </w:r>
    <w:r w:rsidRPr="007826D1">
      <w:rPr>
        <w:rFonts w:ascii="Times New Roman" w:hAnsi="Times New Roman"/>
        <w:sz w:val="20"/>
        <w:szCs w:val="20"/>
      </w:rPr>
      <w:t>261114_groz_IZ_VPD</w:t>
    </w:r>
    <w:r>
      <w:rPr>
        <w:rFonts w:ascii="Times New Roman" w:hAnsi="Times New Roman"/>
        <w:color w:val="000000"/>
        <w:sz w:val="20"/>
        <w:szCs w:val="20"/>
      </w:rPr>
      <w:t>; </w:t>
    </w:r>
    <w:r w:rsidRPr="007826D1">
      <w:rPr>
        <w:rFonts w:ascii="Times New Roman" w:hAnsi="Times New Roman"/>
        <w:sz w:val="20"/>
        <w:szCs w:val="20"/>
      </w:rPr>
      <w:t>Mini</w:t>
    </w:r>
    <w:r>
      <w:rPr>
        <w:rFonts w:ascii="Times New Roman" w:hAnsi="Times New Roman"/>
        <w:sz w:val="20"/>
        <w:szCs w:val="20"/>
      </w:rPr>
      <w:t>stru kabineta noteikumu projekta</w:t>
    </w:r>
    <w:r w:rsidRPr="007826D1">
      <w:rPr>
        <w:rFonts w:ascii="Times New Roman" w:hAnsi="Times New Roman"/>
        <w:sz w:val="20"/>
        <w:szCs w:val="20"/>
      </w:rPr>
      <w:t xml:space="preserve"> „</w:t>
    </w:r>
    <w:r w:rsidRPr="007826D1">
      <w:rPr>
        <w:rFonts w:ascii="Times New Roman" w:hAnsi="Times New Roman"/>
        <w:bCs/>
        <w:sz w:val="20"/>
        <w:szCs w:val="20"/>
      </w:rPr>
      <w:t>Grozījumi Ministru kabineta 2011. gada 5. aprīļa noteikumos Nr.271 „</w:t>
    </w:r>
    <w:r w:rsidRPr="007826D1">
      <w:rPr>
        <w:rFonts w:ascii="Times New Roman" w:hAnsi="Times New Roman"/>
        <w:color w:val="000000"/>
        <w:sz w:val="20"/>
        <w:szCs w:val="20"/>
      </w:rPr>
      <w:t>Noteikumi par izvērtēšanas ziņojumā iekļaujamās informācijas apjomu un tā sastādīšanas un sniegšanas kārtību</w:t>
    </w:r>
    <w:r w:rsidRPr="007826D1">
      <w:rPr>
        <w:rFonts w:ascii="Times New Roman" w:hAnsi="Times New Roman"/>
        <w:bCs/>
        <w:sz w:val="20"/>
        <w:szCs w:val="20"/>
      </w:rPr>
      <w:t>””</w:t>
    </w:r>
    <w:r>
      <w:rPr>
        <w:rFonts w:ascii="Times New Roman" w:hAnsi="Times New Roman"/>
        <w:bCs/>
        <w:sz w:val="20"/>
        <w:szCs w:val="20"/>
      </w:rPr>
      <w:t xml:space="preserve"> </w:t>
    </w:r>
    <w:r w:rsidRPr="004D15A9">
      <w:rPr>
        <w:rFonts w:ascii="Times New Roman" w:hAnsi="Times New Roman"/>
        <w:bCs/>
        <w:color w:val="000000"/>
        <w:sz w:val="20"/>
        <w:szCs w:val="20"/>
        <w:lang w:eastAsia="lv-LV"/>
      </w:rPr>
      <w:t>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6D" w:rsidRDefault="0079096D" w:rsidP="004D15A9">
      <w:pPr>
        <w:spacing w:after="0" w:line="240" w:lineRule="auto"/>
      </w:pPr>
      <w:r>
        <w:separator/>
      </w:r>
    </w:p>
  </w:footnote>
  <w:footnote w:type="continuationSeparator" w:id="0">
    <w:p w:rsidR="0079096D" w:rsidRDefault="0079096D" w:rsidP="004D1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6D" w:rsidRPr="004D15A9" w:rsidRDefault="0079096D">
    <w:pPr>
      <w:pStyle w:val="Header"/>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7</w:t>
    </w:r>
    <w:r w:rsidRPr="004D15A9">
      <w:rPr>
        <w:rFonts w:ascii="Times New Roman" w:hAnsi="Times New Roman"/>
        <w:sz w:val="24"/>
        <w:szCs w:val="24"/>
      </w:rPr>
      <w:fldChar w:fldCharType="end"/>
    </w:r>
  </w:p>
  <w:p w:rsidR="0079096D" w:rsidRDefault="007909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5A9"/>
    <w:rsid w:val="00013EE7"/>
    <w:rsid w:val="00031256"/>
    <w:rsid w:val="000B7176"/>
    <w:rsid w:val="00101CD5"/>
    <w:rsid w:val="001104E1"/>
    <w:rsid w:val="00133BF2"/>
    <w:rsid w:val="00177C56"/>
    <w:rsid w:val="001A170F"/>
    <w:rsid w:val="001A486A"/>
    <w:rsid w:val="001C5C15"/>
    <w:rsid w:val="002418AC"/>
    <w:rsid w:val="00262BF1"/>
    <w:rsid w:val="002864C1"/>
    <w:rsid w:val="002C4E84"/>
    <w:rsid w:val="002C5354"/>
    <w:rsid w:val="003228F4"/>
    <w:rsid w:val="0033225D"/>
    <w:rsid w:val="003620E5"/>
    <w:rsid w:val="00383128"/>
    <w:rsid w:val="003922B0"/>
    <w:rsid w:val="003A2A0B"/>
    <w:rsid w:val="003C4058"/>
    <w:rsid w:val="004001D8"/>
    <w:rsid w:val="00411A25"/>
    <w:rsid w:val="004833FE"/>
    <w:rsid w:val="004C584E"/>
    <w:rsid w:val="004D15A9"/>
    <w:rsid w:val="00501EFC"/>
    <w:rsid w:val="00506A19"/>
    <w:rsid w:val="0054528F"/>
    <w:rsid w:val="00572441"/>
    <w:rsid w:val="0059190E"/>
    <w:rsid w:val="00593022"/>
    <w:rsid w:val="005A5EA7"/>
    <w:rsid w:val="005D4E8A"/>
    <w:rsid w:val="005F6692"/>
    <w:rsid w:val="006265FB"/>
    <w:rsid w:val="0065642C"/>
    <w:rsid w:val="006C3A59"/>
    <w:rsid w:val="006C4AF6"/>
    <w:rsid w:val="006E3AC4"/>
    <w:rsid w:val="007126DB"/>
    <w:rsid w:val="00723FB2"/>
    <w:rsid w:val="0076401D"/>
    <w:rsid w:val="00773016"/>
    <w:rsid w:val="007826D1"/>
    <w:rsid w:val="0079096D"/>
    <w:rsid w:val="007B653A"/>
    <w:rsid w:val="007C70FF"/>
    <w:rsid w:val="007F7DF3"/>
    <w:rsid w:val="0081203F"/>
    <w:rsid w:val="00823C68"/>
    <w:rsid w:val="0087454F"/>
    <w:rsid w:val="00937208"/>
    <w:rsid w:val="00945325"/>
    <w:rsid w:val="00962D3C"/>
    <w:rsid w:val="00967CD3"/>
    <w:rsid w:val="009D2590"/>
    <w:rsid w:val="009E6C90"/>
    <w:rsid w:val="00A03E09"/>
    <w:rsid w:val="00A62DDA"/>
    <w:rsid w:val="00A77C7F"/>
    <w:rsid w:val="00AC2F17"/>
    <w:rsid w:val="00AF14B5"/>
    <w:rsid w:val="00AF4F09"/>
    <w:rsid w:val="00B34CBE"/>
    <w:rsid w:val="00B56FD0"/>
    <w:rsid w:val="00B86EFE"/>
    <w:rsid w:val="00B950C1"/>
    <w:rsid w:val="00BB0616"/>
    <w:rsid w:val="00BB1F46"/>
    <w:rsid w:val="00BF61C0"/>
    <w:rsid w:val="00C304F3"/>
    <w:rsid w:val="00C46BB0"/>
    <w:rsid w:val="00C77766"/>
    <w:rsid w:val="00CD2B00"/>
    <w:rsid w:val="00CE5E95"/>
    <w:rsid w:val="00D313D5"/>
    <w:rsid w:val="00D33CE4"/>
    <w:rsid w:val="00D34101"/>
    <w:rsid w:val="00D35163"/>
    <w:rsid w:val="00D43C55"/>
    <w:rsid w:val="00D93CDB"/>
    <w:rsid w:val="00D974DC"/>
    <w:rsid w:val="00DA596D"/>
    <w:rsid w:val="00E23260"/>
    <w:rsid w:val="00E24D1B"/>
    <w:rsid w:val="00E35C02"/>
    <w:rsid w:val="00E43DB5"/>
    <w:rsid w:val="00E609A9"/>
    <w:rsid w:val="00E95D89"/>
    <w:rsid w:val="00EA2C91"/>
    <w:rsid w:val="00EB0BD6"/>
    <w:rsid w:val="00ED2205"/>
    <w:rsid w:val="00F02317"/>
    <w:rsid w:val="00F20935"/>
    <w:rsid w:val="00FA6987"/>
    <w:rsid w:val="00FB47F7"/>
    <w:rsid w:val="00FC019B"/>
    <w:rsid w:val="00FC46E3"/>
    <w:rsid w:val="00FD3507"/>
    <w:rsid w:val="00FF0F22"/>
    <w:rsid w:val="00FF443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uiPriority w:val="99"/>
    <w:rsid w:val="004D15A9"/>
    <w:pPr>
      <w:spacing w:after="120" w:line="240" w:lineRule="auto"/>
      <w:ind w:firstLine="720"/>
      <w:jc w:val="right"/>
    </w:pPr>
    <w:rPr>
      <w:rFonts w:ascii="Times New Roman" w:eastAsia="Times New Roman" w:hAnsi="Times New Roman"/>
      <w:sz w:val="28"/>
      <w:szCs w:val="28"/>
    </w:rPr>
  </w:style>
  <w:style w:type="paragraph" w:styleId="Header">
    <w:name w:val="header"/>
    <w:basedOn w:val="Normal"/>
    <w:link w:val="HeaderChar"/>
    <w:uiPriority w:val="99"/>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D15A9"/>
    <w:rPr>
      <w:rFonts w:cs="Times New Roman"/>
    </w:rPr>
  </w:style>
  <w:style w:type="paragraph" w:styleId="Footer">
    <w:name w:val="footer"/>
    <w:basedOn w:val="Normal"/>
    <w:link w:val="FooterChar"/>
    <w:uiPriority w:val="99"/>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D15A9"/>
    <w:rPr>
      <w:rFonts w:cs="Times New Roman"/>
    </w:rPr>
  </w:style>
  <w:style w:type="paragraph" w:styleId="BalloonText">
    <w:name w:val="Balloon Text"/>
    <w:basedOn w:val="Normal"/>
    <w:link w:val="BalloonTextChar"/>
    <w:uiPriority w:val="99"/>
    <w:semiHidden/>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2A0B"/>
    <w:rPr>
      <w:rFonts w:ascii="Tahoma" w:hAnsi="Tahoma" w:cs="Tahoma"/>
      <w:sz w:val="16"/>
      <w:szCs w:val="16"/>
    </w:rPr>
  </w:style>
  <w:style w:type="character" w:styleId="Hyperlink">
    <w:name w:val="Hyperlink"/>
    <w:basedOn w:val="DefaultParagraphFont"/>
    <w:uiPriority w:val="99"/>
    <w:rsid w:val="00262BF1"/>
    <w:rPr>
      <w:rFonts w:cs="Times New Roman"/>
      <w:color w:val="0000FF"/>
      <w:u w:val="single"/>
    </w:rPr>
  </w:style>
  <w:style w:type="paragraph" w:customStyle="1" w:styleId="tv2131">
    <w:name w:val="tv2131"/>
    <w:basedOn w:val="Normal"/>
    <w:uiPriority w:val="99"/>
    <w:rsid w:val="001104E1"/>
    <w:pPr>
      <w:spacing w:before="240" w:after="0" w:line="360" w:lineRule="auto"/>
      <w:ind w:firstLine="300"/>
      <w:jc w:val="both"/>
    </w:pPr>
    <w:rPr>
      <w:rFonts w:ascii="Verdana" w:hAnsi="Verdana"/>
      <w:sz w:val="18"/>
      <w:szCs w:val="18"/>
      <w:lang w:eastAsia="lv-LV"/>
    </w:rPr>
  </w:style>
  <w:style w:type="character" w:customStyle="1" w:styleId="apple-converted-space">
    <w:name w:val="apple-converted-space"/>
    <w:basedOn w:val="DefaultParagraphFont"/>
    <w:uiPriority w:val="99"/>
    <w:rsid w:val="0059190E"/>
    <w:rPr>
      <w:rFonts w:cs="Times New Roman"/>
    </w:rPr>
  </w:style>
  <w:style w:type="character" w:customStyle="1" w:styleId="c1">
    <w:name w:val="c1"/>
    <w:uiPriority w:val="99"/>
    <w:rsid w:val="00FC46E3"/>
  </w:style>
  <w:style w:type="paragraph" w:customStyle="1" w:styleId="naislab">
    <w:name w:val="naislab"/>
    <w:basedOn w:val="Normal"/>
    <w:uiPriority w:val="99"/>
    <w:rsid w:val="005F6692"/>
    <w:pPr>
      <w:spacing w:before="75" w:after="75" w:line="240" w:lineRule="auto"/>
      <w:jc w:val="right"/>
    </w:pPr>
    <w:rPr>
      <w:rFonts w:ascii="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07878414">
      <w:marLeft w:val="0"/>
      <w:marRight w:val="0"/>
      <w:marTop w:val="0"/>
      <w:marBottom w:val="0"/>
      <w:divBdr>
        <w:top w:val="none" w:sz="0" w:space="0" w:color="auto"/>
        <w:left w:val="none" w:sz="0" w:space="0" w:color="auto"/>
        <w:bottom w:val="none" w:sz="0" w:space="0" w:color="auto"/>
        <w:right w:val="none" w:sz="0" w:space="0" w:color="auto"/>
      </w:divBdr>
    </w:div>
    <w:div w:id="707878420">
      <w:marLeft w:val="0"/>
      <w:marRight w:val="0"/>
      <w:marTop w:val="0"/>
      <w:marBottom w:val="0"/>
      <w:divBdr>
        <w:top w:val="none" w:sz="0" w:space="0" w:color="auto"/>
        <w:left w:val="none" w:sz="0" w:space="0" w:color="auto"/>
        <w:bottom w:val="none" w:sz="0" w:space="0" w:color="auto"/>
        <w:right w:val="none" w:sz="0" w:space="0" w:color="auto"/>
      </w:divBdr>
      <w:divsChild>
        <w:div w:id="707878417">
          <w:marLeft w:val="0"/>
          <w:marRight w:val="0"/>
          <w:marTop w:val="0"/>
          <w:marBottom w:val="0"/>
          <w:divBdr>
            <w:top w:val="none" w:sz="0" w:space="0" w:color="auto"/>
            <w:left w:val="none" w:sz="0" w:space="0" w:color="auto"/>
            <w:bottom w:val="none" w:sz="0" w:space="0" w:color="auto"/>
            <w:right w:val="none" w:sz="0" w:space="0" w:color="auto"/>
          </w:divBdr>
          <w:divsChild>
            <w:div w:id="707878418">
              <w:marLeft w:val="0"/>
              <w:marRight w:val="0"/>
              <w:marTop w:val="0"/>
              <w:marBottom w:val="0"/>
              <w:divBdr>
                <w:top w:val="none" w:sz="0" w:space="0" w:color="auto"/>
                <w:left w:val="none" w:sz="0" w:space="0" w:color="auto"/>
                <w:bottom w:val="none" w:sz="0" w:space="0" w:color="auto"/>
                <w:right w:val="none" w:sz="0" w:space="0" w:color="auto"/>
              </w:divBdr>
              <w:divsChild>
                <w:div w:id="707878419">
                  <w:marLeft w:val="0"/>
                  <w:marRight w:val="0"/>
                  <w:marTop w:val="0"/>
                  <w:marBottom w:val="0"/>
                  <w:divBdr>
                    <w:top w:val="none" w:sz="0" w:space="0" w:color="auto"/>
                    <w:left w:val="none" w:sz="0" w:space="0" w:color="auto"/>
                    <w:bottom w:val="none" w:sz="0" w:space="0" w:color="auto"/>
                    <w:right w:val="none" w:sz="0" w:space="0" w:color="auto"/>
                  </w:divBdr>
                  <w:divsChild>
                    <w:div w:id="707878416">
                      <w:marLeft w:val="0"/>
                      <w:marRight w:val="0"/>
                      <w:marTop w:val="0"/>
                      <w:marBottom w:val="0"/>
                      <w:divBdr>
                        <w:top w:val="none" w:sz="0" w:space="0" w:color="auto"/>
                        <w:left w:val="none" w:sz="0" w:space="0" w:color="auto"/>
                        <w:bottom w:val="none" w:sz="0" w:space="0" w:color="auto"/>
                        <w:right w:val="none" w:sz="0" w:space="0" w:color="auto"/>
                      </w:divBdr>
                      <w:divsChild>
                        <w:div w:id="707878413">
                          <w:marLeft w:val="0"/>
                          <w:marRight w:val="0"/>
                          <w:marTop w:val="0"/>
                          <w:marBottom w:val="0"/>
                          <w:divBdr>
                            <w:top w:val="none" w:sz="0" w:space="0" w:color="auto"/>
                            <w:left w:val="none" w:sz="0" w:space="0" w:color="auto"/>
                            <w:bottom w:val="none" w:sz="0" w:space="0" w:color="auto"/>
                            <w:right w:val="none" w:sz="0" w:space="0" w:color="auto"/>
                          </w:divBdr>
                          <w:divsChild>
                            <w:div w:id="707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7</Pages>
  <Words>10652</Words>
  <Characters>6072</Characters>
  <Application>Microsoft Office Outlook</Application>
  <DocSecurity>0</DocSecurity>
  <Lines>0</Lines>
  <Paragraphs>0</Paragraphs>
  <ScaleCrop>false</ScaleCrop>
  <Company>Tieslietu ministrija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5.aprīļa noteikumos Nr.271 "Noteikumi par izvērtēšanas ziņojumā iekļaujamās informācijas apjomu un tā sastādīšanas un sniegšanas kārtību"</dc:title>
  <dc:subject>Anotācija</dc:subject>
  <dc:creator>Valsts probācijas dienests</dc:creator>
  <cp:keywords/>
  <dc:description>Ieva Sviķe, 67021107, ieva.svike@vpd.gov.lv</dc:description>
  <cp:lastModifiedBy>andris.stengrevics</cp:lastModifiedBy>
  <cp:revision>55</cp:revision>
  <cp:lastPrinted>2013-12-16T08:57:00Z</cp:lastPrinted>
  <dcterms:created xsi:type="dcterms:W3CDTF">2014-11-26T07:48:00Z</dcterms:created>
  <dcterms:modified xsi:type="dcterms:W3CDTF">2014-11-27T08:10:00Z</dcterms:modified>
</cp:coreProperties>
</file>