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F8" w:rsidRPr="00E339F8" w:rsidRDefault="00394159" w:rsidP="00320E6D">
      <w:pPr>
        <w:spacing w:after="0" w:line="240" w:lineRule="auto"/>
        <w:jc w:val="center"/>
        <w:rPr>
          <w:rFonts w:ascii="Times New Roman" w:hAnsi="Times New Roman" w:cs="Times New Roman"/>
          <w:b/>
          <w:bCs/>
          <w:color w:val="000000"/>
          <w:sz w:val="24"/>
          <w:szCs w:val="24"/>
        </w:rPr>
      </w:pPr>
      <w:r w:rsidRPr="00E339F8">
        <w:rPr>
          <w:rFonts w:ascii="Times New Roman" w:hAnsi="Times New Roman" w:cs="Times New Roman"/>
          <w:b/>
          <w:sz w:val="24"/>
          <w:szCs w:val="24"/>
        </w:rPr>
        <w:t>Ministru kabineta noteikumu projekta „</w:t>
      </w:r>
      <w:r w:rsidR="00E339F8" w:rsidRPr="00E339F8">
        <w:rPr>
          <w:rFonts w:ascii="Times New Roman" w:hAnsi="Times New Roman" w:cs="Times New Roman"/>
          <w:b/>
          <w:bCs/>
          <w:color w:val="000000"/>
          <w:sz w:val="24"/>
          <w:szCs w:val="24"/>
        </w:rPr>
        <w:t xml:space="preserve"> Grozījumi M</w:t>
      </w:r>
      <w:r w:rsidR="005C7774">
        <w:rPr>
          <w:rFonts w:ascii="Times New Roman" w:hAnsi="Times New Roman" w:cs="Times New Roman"/>
          <w:b/>
          <w:bCs/>
          <w:color w:val="000000"/>
          <w:sz w:val="24"/>
          <w:szCs w:val="24"/>
        </w:rPr>
        <w:t>inistru kabineta 2009. gada 10. </w:t>
      </w:r>
      <w:r w:rsidR="00E339F8" w:rsidRPr="00E339F8">
        <w:rPr>
          <w:rFonts w:ascii="Times New Roman" w:hAnsi="Times New Roman" w:cs="Times New Roman"/>
          <w:b/>
          <w:bCs/>
          <w:color w:val="000000"/>
          <w:sz w:val="24"/>
          <w:szCs w:val="24"/>
        </w:rPr>
        <w:t>marta noteikumos Nr. 227 „</w:t>
      </w:r>
      <w:r w:rsidR="00E339F8" w:rsidRPr="00E339F8">
        <w:rPr>
          <w:rFonts w:ascii="Times New Roman" w:hAnsi="Times New Roman" w:cs="Times New Roman"/>
          <w:b/>
          <w:bCs/>
          <w:sz w:val="24"/>
          <w:szCs w:val="24"/>
        </w:rPr>
        <w:t>Zvērināta advokāta eksāmena kārtība”</w:t>
      </w:r>
      <w:r w:rsidR="00E339F8" w:rsidRPr="00E339F8">
        <w:rPr>
          <w:rFonts w:ascii="Times New Roman" w:hAnsi="Times New Roman" w:cs="Times New Roman"/>
          <w:b/>
          <w:bCs/>
          <w:color w:val="000000"/>
          <w:sz w:val="24"/>
          <w:szCs w:val="24"/>
        </w:rPr>
        <w:t>”</w:t>
      </w:r>
    </w:p>
    <w:p w:rsidR="004D15A9" w:rsidRPr="00E339F8" w:rsidRDefault="004D15A9" w:rsidP="00320E6D">
      <w:pPr>
        <w:spacing w:after="0" w:line="240" w:lineRule="auto"/>
        <w:jc w:val="center"/>
        <w:rPr>
          <w:rFonts w:ascii="Times New Roman" w:eastAsia="Times New Roman" w:hAnsi="Times New Roman" w:cs="Times New Roman"/>
          <w:b/>
          <w:bCs/>
          <w:sz w:val="24"/>
          <w:szCs w:val="24"/>
          <w:lang w:eastAsia="lv-LV"/>
        </w:rPr>
      </w:pPr>
      <w:r w:rsidRPr="00E339F8">
        <w:rPr>
          <w:rFonts w:ascii="Times New Roman" w:eastAsia="Times New Roman" w:hAnsi="Times New Roman" w:cs="Times New Roman"/>
          <w:b/>
          <w:bCs/>
          <w:sz w:val="24"/>
          <w:szCs w:val="24"/>
          <w:lang w:eastAsia="lv-LV"/>
        </w:rPr>
        <w:t xml:space="preserve"> sākotnējās ietekmes novērtējuma ziņojums (anotācija)</w:t>
      </w:r>
    </w:p>
    <w:p w:rsidR="00DA596D" w:rsidRPr="00394159" w:rsidRDefault="00DA596D" w:rsidP="00320E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91"/>
        <w:gridCol w:w="5844"/>
      </w:tblGrid>
      <w:tr w:rsidR="00394159" w:rsidRPr="00394159" w:rsidTr="004D15A9">
        <w:trPr>
          <w:trHeight w:val="405"/>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320E6D">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 Tiesību akta projekta izstrādes nepieciešamība</w:t>
            </w:r>
          </w:p>
        </w:tc>
      </w:tr>
      <w:tr w:rsidR="00394159" w:rsidRPr="00394159" w:rsidTr="002D58E4">
        <w:trPr>
          <w:trHeight w:val="79"/>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394159" w:rsidP="00320E6D">
            <w:pPr>
              <w:spacing w:after="0" w:line="240" w:lineRule="auto"/>
              <w:ind w:firstLine="257"/>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Tieslietu ministrijas iniciatīva</w:t>
            </w:r>
            <w:r w:rsidR="00500B08">
              <w:rPr>
                <w:rFonts w:ascii="Times New Roman" w:eastAsia="Times New Roman" w:hAnsi="Times New Roman" w:cs="Times New Roman"/>
                <w:sz w:val="24"/>
                <w:szCs w:val="24"/>
                <w:lang w:eastAsia="lv-LV"/>
              </w:rPr>
              <w:t>.</w:t>
            </w:r>
          </w:p>
        </w:tc>
      </w:tr>
      <w:tr w:rsidR="00394159" w:rsidRPr="00394159" w:rsidTr="00434969">
        <w:trPr>
          <w:trHeight w:val="4931"/>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EE209E"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Pr="00EE209E" w:rsidRDefault="00EE209E" w:rsidP="00EE209E">
            <w:pPr>
              <w:rPr>
                <w:rFonts w:ascii="Times New Roman" w:eastAsia="Times New Roman" w:hAnsi="Times New Roman" w:cs="Times New Roman"/>
                <w:sz w:val="24"/>
                <w:szCs w:val="24"/>
                <w:lang w:eastAsia="lv-LV"/>
              </w:rPr>
            </w:pPr>
          </w:p>
          <w:p w:rsidR="00EE209E" w:rsidRDefault="00EE209E" w:rsidP="00EE209E">
            <w:pPr>
              <w:rPr>
                <w:rFonts w:ascii="Times New Roman" w:eastAsia="Times New Roman" w:hAnsi="Times New Roman" w:cs="Times New Roman"/>
                <w:sz w:val="24"/>
                <w:szCs w:val="24"/>
                <w:lang w:eastAsia="lv-LV"/>
              </w:rPr>
            </w:pPr>
          </w:p>
          <w:p w:rsidR="004D15A9" w:rsidRPr="00EE209E" w:rsidRDefault="004D15A9" w:rsidP="00EE209E">
            <w:pPr>
              <w:jc w:val="right"/>
              <w:rPr>
                <w:rFonts w:ascii="Times New Roman" w:eastAsia="Times New Roman" w:hAnsi="Times New Roman" w:cs="Times New Roman"/>
                <w:sz w:val="24"/>
                <w:szCs w:val="24"/>
                <w:lang w:eastAsia="lv-LV"/>
              </w:rPr>
            </w:pPr>
          </w:p>
        </w:tc>
        <w:tc>
          <w:tcPr>
            <w:tcW w:w="3200" w:type="pct"/>
            <w:tcBorders>
              <w:top w:val="outset" w:sz="6" w:space="0" w:color="414142"/>
              <w:left w:val="outset" w:sz="6" w:space="0" w:color="414142"/>
              <w:bottom w:val="outset" w:sz="6" w:space="0" w:color="414142"/>
              <w:right w:val="outset" w:sz="6" w:space="0" w:color="414142"/>
            </w:tcBorders>
            <w:hideMark/>
          </w:tcPr>
          <w:p w:rsidR="00E339F8" w:rsidRPr="00320E6D" w:rsidRDefault="00E339F8" w:rsidP="00ED1A06">
            <w:pPr>
              <w:spacing w:after="0" w:line="240" w:lineRule="auto"/>
              <w:ind w:firstLine="720"/>
              <w:jc w:val="both"/>
              <w:rPr>
                <w:rFonts w:ascii="Times New Roman" w:hAnsi="Times New Roman" w:cs="Times New Roman"/>
                <w:color w:val="000000" w:themeColor="text1"/>
                <w:sz w:val="24"/>
                <w:szCs w:val="24"/>
              </w:rPr>
            </w:pPr>
            <w:r w:rsidRPr="00320E6D">
              <w:rPr>
                <w:rFonts w:ascii="Times New Roman" w:hAnsi="Times New Roman" w:cs="Times New Roman"/>
                <w:color w:val="000000" w:themeColor="text1"/>
                <w:sz w:val="24"/>
                <w:szCs w:val="24"/>
              </w:rPr>
              <w:lastRenderedPageBreak/>
              <w:t xml:space="preserve">Apzinot </w:t>
            </w:r>
            <w:r w:rsidR="00320E6D" w:rsidRPr="00320E6D">
              <w:rPr>
                <w:rFonts w:ascii="Times New Roman" w:hAnsi="Times New Roman" w:cs="Times New Roman"/>
                <w:color w:val="000000" w:themeColor="text1"/>
                <w:sz w:val="24"/>
                <w:szCs w:val="24"/>
              </w:rPr>
              <w:t xml:space="preserve">tiesnešu, zvērinātu notāru un </w:t>
            </w:r>
            <w:r w:rsidRPr="00320E6D">
              <w:rPr>
                <w:rFonts w:ascii="Times New Roman" w:hAnsi="Times New Roman" w:cs="Times New Roman"/>
                <w:color w:val="000000" w:themeColor="text1"/>
                <w:sz w:val="24"/>
                <w:szCs w:val="24"/>
              </w:rPr>
              <w:t xml:space="preserve">zvērinātu tiesu izpildītāju pārbaudījumu saturu, konstatēts, ka šīm profesijām noteiktais zināšanu un prasmju </w:t>
            </w:r>
            <w:r w:rsidR="005C7774">
              <w:rPr>
                <w:rFonts w:ascii="Times New Roman" w:hAnsi="Times New Roman" w:cs="Times New Roman"/>
                <w:color w:val="000000" w:themeColor="text1"/>
                <w:sz w:val="24"/>
                <w:szCs w:val="24"/>
              </w:rPr>
              <w:t xml:space="preserve">pārbaudījums ir </w:t>
            </w:r>
            <w:proofErr w:type="spellStart"/>
            <w:r w:rsidR="005C7774">
              <w:rPr>
                <w:rFonts w:ascii="Times New Roman" w:hAnsi="Times New Roman" w:cs="Times New Roman"/>
                <w:color w:val="000000" w:themeColor="text1"/>
                <w:sz w:val="24"/>
                <w:szCs w:val="24"/>
              </w:rPr>
              <w:t>visaptverošāks</w:t>
            </w:r>
            <w:proofErr w:type="spellEnd"/>
            <w:r w:rsidR="005C7774">
              <w:rPr>
                <w:rFonts w:ascii="Times New Roman" w:hAnsi="Times New Roman" w:cs="Times New Roman"/>
                <w:color w:val="000000" w:themeColor="text1"/>
                <w:sz w:val="24"/>
                <w:szCs w:val="24"/>
              </w:rPr>
              <w:t xml:space="preserve"> </w:t>
            </w:r>
            <w:r w:rsidRPr="00320E6D">
              <w:rPr>
                <w:rFonts w:ascii="Times New Roman" w:hAnsi="Times New Roman" w:cs="Times New Roman"/>
                <w:color w:val="000000" w:themeColor="text1"/>
                <w:sz w:val="24"/>
                <w:szCs w:val="24"/>
              </w:rPr>
              <w:t xml:space="preserve">nekā advokātiem. Piemēram, </w:t>
            </w:r>
            <w:r w:rsidR="00ED1A06">
              <w:rPr>
                <w:rFonts w:ascii="Times New Roman" w:hAnsi="Times New Roman" w:cs="Times New Roman"/>
                <w:color w:val="000000" w:themeColor="text1"/>
                <w:sz w:val="24"/>
                <w:szCs w:val="24"/>
              </w:rPr>
              <w:t>Ministru kabineta 2009. gada 3. marta noteikumi Nr.204 “Tiesneša amata kandidāta atlases, stažēšanās un kvalifikācijas eksāmena kārtošanas kārtība” 14.</w:t>
            </w:r>
            <w:r w:rsidR="000E0DC2">
              <w:rPr>
                <w:rFonts w:ascii="Times New Roman" w:hAnsi="Times New Roman" w:cs="Times New Roman"/>
                <w:color w:val="000000" w:themeColor="text1"/>
                <w:sz w:val="24"/>
                <w:szCs w:val="24"/>
              </w:rPr>
              <w:t xml:space="preserve"> un 26.</w:t>
            </w:r>
            <w:r w:rsidR="00ED1A06">
              <w:rPr>
                <w:rFonts w:ascii="Times New Roman" w:hAnsi="Times New Roman" w:cs="Times New Roman"/>
                <w:color w:val="000000" w:themeColor="text1"/>
                <w:sz w:val="24"/>
                <w:szCs w:val="24"/>
              </w:rPr>
              <w:t xml:space="preserve"> punkts paredz, ka </w:t>
            </w:r>
            <w:r w:rsidRPr="00320E6D">
              <w:rPr>
                <w:rFonts w:ascii="Times New Roman" w:hAnsi="Times New Roman" w:cs="Times New Roman"/>
                <w:color w:val="000000" w:themeColor="text1"/>
                <w:sz w:val="24"/>
                <w:szCs w:val="24"/>
              </w:rPr>
              <w:t xml:space="preserve">tiesneša amata kandidātu atlasei ir divas kārtas: pirmajā kārtā – strukturētajā intervijā – novērtē tiesneša amata kandidāta prasmju piemērotību tiesneša amata pienākumu pildīšanai, bet otrajā kārtā – profesionālās sagatavotības pārbaudē, kas sastāv no testa un iepriekš sagatavotas esejas prezentācijas, – pārbauda tiesneša amata kandidāta profesionālās zināšanas, kas nepieciešamas tiesneša amata pienākumu pildīšanai. Pēc šo pārbaudījumu nokārtošanas un stažēšanās sekmīgas pabeigšanas kandidāts kārto kvalifikācijas eksāmenu. </w:t>
            </w:r>
          </w:p>
          <w:p w:rsidR="000E0DC2" w:rsidRDefault="00E339F8" w:rsidP="00320E6D">
            <w:pPr>
              <w:spacing w:after="0" w:line="240" w:lineRule="auto"/>
              <w:ind w:firstLine="720"/>
              <w:jc w:val="both"/>
              <w:rPr>
                <w:rFonts w:ascii="Times New Roman" w:hAnsi="Times New Roman" w:cs="Times New Roman"/>
                <w:color w:val="000000" w:themeColor="text1"/>
                <w:sz w:val="24"/>
                <w:szCs w:val="24"/>
              </w:rPr>
            </w:pPr>
            <w:r w:rsidRPr="00320E6D">
              <w:rPr>
                <w:rFonts w:ascii="Times New Roman" w:hAnsi="Times New Roman" w:cs="Times New Roman"/>
                <w:color w:val="000000" w:themeColor="text1"/>
                <w:sz w:val="24"/>
                <w:szCs w:val="24"/>
              </w:rPr>
              <w:t>Saskaņā ar Ministru kabineta 20</w:t>
            </w:r>
            <w:r w:rsidR="00ED1A06">
              <w:rPr>
                <w:rFonts w:ascii="Times New Roman" w:hAnsi="Times New Roman" w:cs="Times New Roman"/>
                <w:color w:val="000000" w:themeColor="text1"/>
                <w:sz w:val="24"/>
                <w:szCs w:val="24"/>
              </w:rPr>
              <w:t xml:space="preserve">08. gada 30. jūnija noteikumu </w:t>
            </w:r>
            <w:r w:rsidRPr="00320E6D">
              <w:rPr>
                <w:rFonts w:ascii="Times New Roman" w:hAnsi="Times New Roman" w:cs="Times New Roman"/>
                <w:color w:val="000000" w:themeColor="text1"/>
                <w:sz w:val="24"/>
                <w:szCs w:val="24"/>
              </w:rPr>
              <w:t xml:space="preserve">Nr.485 “Zvērinātu notāru eksāmena un kvalifikācijas pārbaudes kārtība” </w:t>
            </w:r>
            <w:r w:rsidR="00ED1A06">
              <w:rPr>
                <w:rFonts w:ascii="Times New Roman" w:hAnsi="Times New Roman" w:cs="Times New Roman"/>
                <w:color w:val="000000" w:themeColor="text1"/>
                <w:sz w:val="24"/>
                <w:szCs w:val="24"/>
              </w:rPr>
              <w:t xml:space="preserve">22. punktu </w:t>
            </w:r>
            <w:r w:rsidRPr="00320E6D">
              <w:rPr>
                <w:rFonts w:ascii="Times New Roman" w:hAnsi="Times New Roman" w:cs="Times New Roman"/>
                <w:color w:val="000000" w:themeColor="text1"/>
                <w:sz w:val="24"/>
                <w:szCs w:val="24"/>
              </w:rPr>
              <w:t>zvērināta notāra eksāmens sastāv no trim daļām. Eksāmenā tiek pārbaudītas pretendenta praktiskās zināšanas un prasmes, uzdodot sagatavot zvērināta notāra darbībā nepieciešamo dokumentu projektus, sagatavot atbildes uz diviem teorijas jautājumiem un vienu prakses jautājumu, līdzīgi</w:t>
            </w:r>
            <w:proofErr w:type="gramStart"/>
            <w:r w:rsidRPr="00320E6D">
              <w:rPr>
                <w:rFonts w:ascii="Times New Roman" w:hAnsi="Times New Roman" w:cs="Times New Roman"/>
                <w:color w:val="000000" w:themeColor="text1"/>
                <w:sz w:val="24"/>
                <w:szCs w:val="24"/>
              </w:rPr>
              <w:t xml:space="preserve"> kā tas ir advokātu eksāmenā</w:t>
            </w:r>
            <w:proofErr w:type="gramEnd"/>
            <w:r w:rsidRPr="00320E6D">
              <w:rPr>
                <w:rFonts w:ascii="Times New Roman" w:hAnsi="Times New Roman" w:cs="Times New Roman"/>
                <w:color w:val="000000" w:themeColor="text1"/>
                <w:sz w:val="24"/>
                <w:szCs w:val="24"/>
              </w:rPr>
              <w:t>, taču papildus tam, tiek pārbaudīta pretendenta sociālā kompetence un sociālais intelekts, intervijas veidā novērtējot pretendenta komunikācijas un organizatoriskās prasmes, personālvadības prasmes, konfliktu identificēšanas un risināšanas prasmes, sistēmiskas domāšanas prasmes, kā arī uzdodot citus ar sociālo intelektu un sociālo kompetenci saistītus jautājumus.</w:t>
            </w:r>
          </w:p>
          <w:p w:rsidR="00E339F8" w:rsidRPr="00320E6D" w:rsidRDefault="00E339F8" w:rsidP="00320E6D">
            <w:pPr>
              <w:spacing w:after="0" w:line="240" w:lineRule="auto"/>
              <w:ind w:firstLine="720"/>
              <w:jc w:val="both"/>
              <w:rPr>
                <w:rFonts w:ascii="Times New Roman" w:hAnsi="Times New Roman" w:cs="Times New Roman"/>
                <w:color w:val="000000" w:themeColor="text1"/>
                <w:sz w:val="24"/>
                <w:szCs w:val="24"/>
              </w:rPr>
            </w:pPr>
            <w:r w:rsidRPr="00320E6D">
              <w:rPr>
                <w:rFonts w:ascii="Times New Roman" w:hAnsi="Times New Roman" w:cs="Times New Roman"/>
                <w:color w:val="000000" w:themeColor="text1"/>
                <w:sz w:val="24"/>
                <w:szCs w:val="24"/>
              </w:rPr>
              <w:t xml:space="preserve">Saskaņā ar Ministru kabineta 2006. gada 25. jūlija noteikumiem Nr.619 “Noteikumi par zvērināta tiesu izpildītāja eksāmena kārtību, minimālo zināšanu apjomu un eksāmena maksu” </w:t>
            </w:r>
            <w:r w:rsidR="00ED1A06">
              <w:rPr>
                <w:rFonts w:ascii="Times New Roman" w:hAnsi="Times New Roman" w:cs="Times New Roman"/>
                <w:color w:val="000000" w:themeColor="text1"/>
                <w:sz w:val="24"/>
                <w:szCs w:val="24"/>
              </w:rPr>
              <w:t xml:space="preserve">10. punktu </w:t>
            </w:r>
            <w:r w:rsidRPr="00320E6D">
              <w:rPr>
                <w:rFonts w:ascii="Times New Roman" w:hAnsi="Times New Roman" w:cs="Times New Roman"/>
                <w:color w:val="000000" w:themeColor="text1"/>
                <w:sz w:val="24"/>
                <w:szCs w:val="24"/>
              </w:rPr>
              <w:t>zvērinātu tiesu izpildītāju eksāmenā pretendentiem jāsniedz atbilde uz teorijas jautājumu un jāsniedz rakstisks atrisinājums kāzusam, līdzīgi kā tas ir advokātu eksāmenā, taču papildus tam, pretendenti sniedz rakstiskas atbildes uz 25 jautājumiem (testa formā).</w:t>
            </w:r>
          </w:p>
          <w:p w:rsidR="00E339F8" w:rsidRPr="005C7774" w:rsidRDefault="00320E6D" w:rsidP="00320E6D">
            <w:pPr>
              <w:pStyle w:val="tv2132"/>
              <w:spacing w:line="240" w:lineRule="auto"/>
              <w:ind w:firstLine="709"/>
              <w:jc w:val="both"/>
              <w:rPr>
                <w:color w:val="000000" w:themeColor="text1"/>
                <w:sz w:val="24"/>
                <w:szCs w:val="24"/>
              </w:rPr>
            </w:pPr>
            <w:r w:rsidRPr="006146A1">
              <w:rPr>
                <w:color w:val="000000" w:themeColor="text1"/>
                <w:sz w:val="24"/>
                <w:szCs w:val="24"/>
              </w:rPr>
              <w:t xml:space="preserve">Ar tieslietu ministra 2015. gada 2. februāra rīkojumu </w:t>
            </w:r>
            <w:r w:rsidRPr="006146A1">
              <w:rPr>
                <w:color w:val="000000" w:themeColor="text1"/>
                <w:sz w:val="24"/>
                <w:szCs w:val="24"/>
              </w:rPr>
              <w:lastRenderedPageBreak/>
              <w:t xml:space="preserve">Nr.1-1/54 </w:t>
            </w:r>
            <w:r>
              <w:rPr>
                <w:color w:val="000000" w:themeColor="text1"/>
                <w:sz w:val="24"/>
                <w:szCs w:val="24"/>
              </w:rPr>
              <w:t xml:space="preserve">tika </w:t>
            </w:r>
            <w:r w:rsidRPr="006146A1">
              <w:rPr>
                <w:color w:val="000000" w:themeColor="text1"/>
                <w:sz w:val="24"/>
                <w:szCs w:val="24"/>
              </w:rPr>
              <w:t xml:space="preserve">izveidota darba grupa advokatūras institūta darbības kvalitātes pilnveidei (turpmāk – darba grupa), lai risinātu ar advokatūras institūta darbību un attīstību saistītus jautājumus un celtu advokatūras institūta kvalitāti. Darba grupas sastāvā tika pieaicināti vairāki eksperti – Latvijas Zvērinātu advokātu padomes </w:t>
            </w:r>
            <w:r>
              <w:rPr>
                <w:color w:val="000000" w:themeColor="text1"/>
                <w:sz w:val="24"/>
                <w:szCs w:val="24"/>
              </w:rPr>
              <w:t xml:space="preserve">(turpmāk – Padome) </w:t>
            </w:r>
            <w:r w:rsidRPr="006146A1">
              <w:rPr>
                <w:color w:val="000000" w:themeColor="text1"/>
                <w:sz w:val="24"/>
                <w:szCs w:val="24"/>
              </w:rPr>
              <w:t xml:space="preserve">pārstāvji, tiesneši, </w:t>
            </w:r>
            <w:r w:rsidRPr="005C7774">
              <w:rPr>
                <w:color w:val="000000" w:themeColor="text1"/>
                <w:sz w:val="24"/>
                <w:szCs w:val="24"/>
              </w:rPr>
              <w:t xml:space="preserve">Tieslietu ministrijas pārstāvji, Valsts ieņēmuma dienesta pārstāvji, Ģenerālprokuratūras pārstāvji. Darba grupas ietvaros cita starpā tika diskutēts arī par zvērinātu advokātu (turpmāk – advokāts) eksāmenu, tāpat šāda diskusija notika arī sanāksmē ar advokātu eksāmena komisijas </w:t>
            </w:r>
            <w:r w:rsidR="004611C6">
              <w:rPr>
                <w:color w:val="000000" w:themeColor="text1"/>
                <w:sz w:val="24"/>
                <w:szCs w:val="24"/>
              </w:rPr>
              <w:t xml:space="preserve">(turpmāk – komisija) </w:t>
            </w:r>
            <w:r w:rsidRPr="005C7774">
              <w:rPr>
                <w:color w:val="000000" w:themeColor="text1"/>
                <w:sz w:val="24"/>
                <w:szCs w:val="24"/>
              </w:rPr>
              <w:t xml:space="preserve">locekļiem. Rezultātā tika secināts, ka </w:t>
            </w:r>
            <w:r w:rsidR="00E339F8" w:rsidRPr="005C7774">
              <w:rPr>
                <w:color w:val="000000" w:themeColor="text1"/>
                <w:sz w:val="24"/>
                <w:szCs w:val="24"/>
              </w:rPr>
              <w:t xml:space="preserve">advokātu eksāmenu </w:t>
            </w:r>
            <w:r w:rsidR="0041561B">
              <w:rPr>
                <w:color w:val="000000" w:themeColor="text1"/>
                <w:sz w:val="24"/>
                <w:szCs w:val="24"/>
              </w:rPr>
              <w:t xml:space="preserve">pretendentiem, kuri nav advokātu palīgi, </w:t>
            </w:r>
            <w:r w:rsidR="00E339F8" w:rsidRPr="005C7774">
              <w:rPr>
                <w:color w:val="000000" w:themeColor="text1"/>
                <w:sz w:val="24"/>
                <w:szCs w:val="24"/>
              </w:rPr>
              <w:t>nepieciešams pilnveidot</w:t>
            </w:r>
            <w:r w:rsidR="00B2053A">
              <w:rPr>
                <w:color w:val="000000" w:themeColor="text1"/>
                <w:sz w:val="24"/>
                <w:szCs w:val="24"/>
              </w:rPr>
              <w:t xml:space="preserve"> </w:t>
            </w:r>
            <w:r w:rsidR="000E0DC2">
              <w:rPr>
                <w:color w:val="000000" w:themeColor="text1"/>
                <w:sz w:val="24"/>
                <w:szCs w:val="24"/>
              </w:rPr>
              <w:t xml:space="preserve">advokātu </w:t>
            </w:r>
            <w:r w:rsidR="00B2053A">
              <w:rPr>
                <w:color w:val="000000" w:themeColor="text1"/>
                <w:sz w:val="24"/>
                <w:szCs w:val="24"/>
              </w:rPr>
              <w:t>eksāmena saturu</w:t>
            </w:r>
            <w:r w:rsidR="00E339F8" w:rsidRPr="005C7774">
              <w:rPr>
                <w:color w:val="000000" w:themeColor="text1"/>
                <w:sz w:val="24"/>
                <w:szCs w:val="24"/>
              </w:rPr>
              <w:t>, izdarot grozījumus Ministru kabineta 2009. gada 10. marta noteikumos Nr.227 „Zvērināta advokāta eksāmena kārtība” (turpmāk – Noteikumi Nr.227).</w:t>
            </w:r>
          </w:p>
          <w:p w:rsidR="00E339F8" w:rsidRPr="00B81808" w:rsidRDefault="00E339F8" w:rsidP="00320E6D">
            <w:pPr>
              <w:pStyle w:val="tv2132"/>
              <w:spacing w:line="240" w:lineRule="auto"/>
              <w:ind w:firstLine="709"/>
              <w:jc w:val="both"/>
              <w:rPr>
                <w:color w:val="000000" w:themeColor="text1"/>
                <w:sz w:val="24"/>
                <w:szCs w:val="24"/>
              </w:rPr>
            </w:pPr>
            <w:r w:rsidRPr="00B81808">
              <w:rPr>
                <w:color w:val="000000" w:themeColor="text1"/>
                <w:sz w:val="24"/>
                <w:szCs w:val="24"/>
              </w:rPr>
              <w:t>Noteikumu Nr.227 12. punkts noteic, ka advokātu eksāmenam ir divas daļas:</w:t>
            </w:r>
          </w:p>
          <w:p w:rsidR="00E339F8" w:rsidRPr="00B81808" w:rsidRDefault="00E339F8" w:rsidP="00320E6D">
            <w:pPr>
              <w:pStyle w:val="tv2132"/>
              <w:spacing w:line="240" w:lineRule="auto"/>
              <w:ind w:firstLine="709"/>
              <w:jc w:val="both"/>
              <w:rPr>
                <w:color w:val="000000" w:themeColor="text1"/>
                <w:sz w:val="24"/>
                <w:szCs w:val="24"/>
              </w:rPr>
            </w:pPr>
            <w:r w:rsidRPr="00B81808">
              <w:rPr>
                <w:color w:val="000000" w:themeColor="text1"/>
                <w:sz w:val="24"/>
                <w:szCs w:val="24"/>
              </w:rPr>
              <w:t>1</w:t>
            </w:r>
            <w:r w:rsidR="000E0DC2">
              <w:rPr>
                <w:color w:val="000000" w:themeColor="text1"/>
                <w:sz w:val="24"/>
                <w:szCs w:val="24"/>
              </w:rPr>
              <w:t>)</w:t>
            </w:r>
            <w:r w:rsidRPr="00B81808">
              <w:rPr>
                <w:color w:val="000000" w:themeColor="text1"/>
                <w:sz w:val="24"/>
                <w:szCs w:val="24"/>
              </w:rPr>
              <w:t xml:space="preserve"> rakstiskajā daļā pārbauda pretendenta praktiskās zināšanas, kā arī argumentācijas prasmes – uzdod pretendentam atrisināt prakses uzdevumu (kāzusu), sagatavojot procesuāla dokumenta projektu;</w:t>
            </w:r>
          </w:p>
          <w:p w:rsidR="00E339F8" w:rsidRDefault="00E339F8" w:rsidP="00320E6D">
            <w:pPr>
              <w:pStyle w:val="tv2132"/>
              <w:spacing w:line="240" w:lineRule="auto"/>
              <w:ind w:firstLine="709"/>
              <w:jc w:val="both"/>
              <w:rPr>
                <w:color w:val="000000" w:themeColor="text1"/>
                <w:sz w:val="24"/>
                <w:szCs w:val="24"/>
              </w:rPr>
            </w:pPr>
            <w:r w:rsidRPr="00B81808">
              <w:rPr>
                <w:color w:val="000000" w:themeColor="text1"/>
                <w:sz w:val="24"/>
                <w:szCs w:val="24"/>
              </w:rPr>
              <w:t>2</w:t>
            </w:r>
            <w:r w:rsidR="000E0DC2">
              <w:rPr>
                <w:color w:val="000000" w:themeColor="text1"/>
                <w:sz w:val="24"/>
                <w:szCs w:val="24"/>
              </w:rPr>
              <w:t>)</w:t>
            </w:r>
            <w:r w:rsidRPr="00B81808">
              <w:rPr>
                <w:color w:val="000000" w:themeColor="text1"/>
                <w:sz w:val="24"/>
                <w:szCs w:val="24"/>
              </w:rPr>
              <w:t xml:space="preserve"> mutiskajā daļā pārbauda pretendenta teorētiskās zināšanas, kā arī komunikācijas un argumentācijas prasmes, uzdodot pretende</w:t>
            </w:r>
            <w:r>
              <w:rPr>
                <w:color w:val="000000" w:themeColor="text1"/>
                <w:sz w:val="24"/>
                <w:szCs w:val="24"/>
              </w:rPr>
              <w:t>ntam četrus teorijas jautājumus.</w:t>
            </w:r>
          </w:p>
          <w:p w:rsidR="000D0107" w:rsidRDefault="00C81E76" w:rsidP="00B2053A">
            <w:pPr>
              <w:pStyle w:val="tv2132"/>
              <w:spacing w:line="240" w:lineRule="auto"/>
              <w:ind w:firstLine="709"/>
              <w:jc w:val="both"/>
              <w:rPr>
                <w:color w:val="000000" w:themeColor="text1"/>
                <w:sz w:val="24"/>
                <w:szCs w:val="24"/>
              </w:rPr>
            </w:pPr>
            <w:r>
              <w:rPr>
                <w:color w:val="000000" w:themeColor="text1"/>
                <w:sz w:val="24"/>
                <w:szCs w:val="24"/>
              </w:rPr>
              <w:t>K</w:t>
            </w:r>
            <w:r w:rsidR="00E339F8">
              <w:rPr>
                <w:color w:val="000000" w:themeColor="text1"/>
                <w:sz w:val="24"/>
                <w:szCs w:val="24"/>
              </w:rPr>
              <w:t>omisijas locekļi un darba grupa vienojās, ka advokātu eksāmena otrā daļa būtu veidojama no pieciem teorijas jautājumiem par katru tiesību nozari (civiltiesības, krimināltiesības, administratīvās tiesības un starptautiskās tiesības) un p</w:t>
            </w:r>
            <w:r w:rsidR="005C7774">
              <w:rPr>
                <w:color w:val="000000" w:themeColor="text1"/>
                <w:sz w:val="24"/>
                <w:szCs w:val="24"/>
              </w:rPr>
              <w:t xml:space="preserve">ar advokatūras institūtu kopumā, tas nodrošinātu pretendentu zināšanu </w:t>
            </w:r>
            <w:r w:rsidR="005C7774" w:rsidRPr="00871DB8">
              <w:rPr>
                <w:color w:val="000000" w:themeColor="text1"/>
                <w:sz w:val="24"/>
                <w:szCs w:val="24"/>
              </w:rPr>
              <w:t>pilnvērtīgāku pārbaudi.</w:t>
            </w:r>
            <w:r w:rsidR="00E339F8" w:rsidRPr="00871DB8">
              <w:rPr>
                <w:color w:val="000000" w:themeColor="text1"/>
                <w:sz w:val="24"/>
                <w:szCs w:val="24"/>
              </w:rPr>
              <w:t xml:space="preserve"> </w:t>
            </w:r>
            <w:r w:rsidR="000D0107">
              <w:rPr>
                <w:color w:val="000000" w:themeColor="text1"/>
                <w:sz w:val="24"/>
                <w:szCs w:val="24"/>
              </w:rPr>
              <w:t xml:space="preserve">Ņemot vērā minēto, </w:t>
            </w:r>
            <w:r w:rsidR="00B2053A">
              <w:rPr>
                <w:color w:val="000000" w:themeColor="text1"/>
                <w:sz w:val="24"/>
                <w:szCs w:val="24"/>
              </w:rPr>
              <w:t xml:space="preserve">ar </w:t>
            </w:r>
            <w:r w:rsidR="000D0107">
              <w:rPr>
                <w:color w:val="000000" w:themeColor="text1"/>
                <w:sz w:val="24"/>
                <w:szCs w:val="24"/>
              </w:rPr>
              <w:t>grozījumi</w:t>
            </w:r>
            <w:r w:rsidR="00B2053A">
              <w:rPr>
                <w:color w:val="000000" w:themeColor="text1"/>
                <w:sz w:val="24"/>
                <w:szCs w:val="24"/>
              </w:rPr>
              <w:t>em Noteikumos</w:t>
            </w:r>
            <w:r w:rsidR="00B2053A" w:rsidRPr="005C7774">
              <w:rPr>
                <w:color w:val="000000" w:themeColor="text1"/>
                <w:sz w:val="24"/>
                <w:szCs w:val="24"/>
              </w:rPr>
              <w:t xml:space="preserve"> Nr.227</w:t>
            </w:r>
            <w:r w:rsidR="000D0107">
              <w:rPr>
                <w:color w:val="000000" w:themeColor="text1"/>
                <w:sz w:val="24"/>
                <w:szCs w:val="24"/>
              </w:rPr>
              <w:t xml:space="preserve"> paredz</w:t>
            </w:r>
            <w:r w:rsidR="00B2053A">
              <w:rPr>
                <w:color w:val="000000" w:themeColor="text1"/>
                <w:sz w:val="24"/>
                <w:szCs w:val="24"/>
              </w:rPr>
              <w:t>ēts</w:t>
            </w:r>
            <w:r w:rsidR="000D0107">
              <w:rPr>
                <w:color w:val="000000" w:themeColor="text1"/>
                <w:sz w:val="24"/>
                <w:szCs w:val="24"/>
              </w:rPr>
              <w:t xml:space="preserve"> eksāmena mutiskajā daļā iekļaut piecus jautājumus, četrus no tiem par tiesību nozarēm, bet vienu par advokatūras institūtu. Savukārt eksāmena rakstiskā daļa papildināta, paredzot, ka advokāta pretendentam sastādāms arī viens no advokatūras lietvedības dokumentiem, piemēram, vienošanās par juridisko pakalpojumu sniegšanu.</w:t>
            </w:r>
          </w:p>
          <w:p w:rsidR="00C544E0" w:rsidRDefault="00C544E0" w:rsidP="00B92C0C">
            <w:pPr>
              <w:pStyle w:val="tv2132"/>
              <w:spacing w:line="240" w:lineRule="auto"/>
              <w:ind w:firstLine="709"/>
              <w:jc w:val="both"/>
              <w:rPr>
                <w:color w:val="000000" w:themeColor="text1"/>
                <w:sz w:val="24"/>
                <w:szCs w:val="24"/>
              </w:rPr>
            </w:pPr>
            <w:r>
              <w:rPr>
                <w:color w:val="000000" w:themeColor="text1"/>
                <w:sz w:val="24"/>
                <w:szCs w:val="24"/>
              </w:rPr>
              <w:t xml:space="preserve">Ņemot vērā, ka rakstiskās daļas kāzusi var tikt sastādīti dažādās formās, lai pēc iespējas pilnīgāk pārbaudītu pretendenta zināšanas, to atrisināšanai ne vienmēr būs nepieciešams sastādīt procesuālo dokumentu, tas var būt arī atzinums par konkrēto juridisko situāciju. Līdz ar to </w:t>
            </w:r>
            <w:r w:rsidR="00902B0D">
              <w:rPr>
                <w:color w:val="000000" w:themeColor="text1"/>
                <w:sz w:val="24"/>
                <w:szCs w:val="24"/>
              </w:rPr>
              <w:t>Noteikumu</w:t>
            </w:r>
            <w:r w:rsidR="00902B0D" w:rsidRPr="005C7774">
              <w:rPr>
                <w:color w:val="000000" w:themeColor="text1"/>
                <w:sz w:val="24"/>
                <w:szCs w:val="24"/>
              </w:rPr>
              <w:t xml:space="preserve"> Nr.227</w:t>
            </w:r>
            <w:r w:rsidR="00902B0D">
              <w:rPr>
                <w:color w:val="000000" w:themeColor="text1"/>
                <w:sz w:val="24"/>
                <w:szCs w:val="24"/>
              </w:rPr>
              <w:t xml:space="preserve"> </w:t>
            </w:r>
            <w:r>
              <w:rPr>
                <w:color w:val="000000" w:themeColor="text1"/>
                <w:sz w:val="24"/>
                <w:szCs w:val="24"/>
              </w:rPr>
              <w:t xml:space="preserve">12.1. apakšpunktā veikti tehniski precizējumi, papildinot, ka pretendentam pēc kāzusa atrisināšanas, var uzdot uzdevumu sastādīt attiecīgu atzinumu. </w:t>
            </w:r>
          </w:p>
          <w:p w:rsidR="00EF3F39" w:rsidRPr="00871DB8" w:rsidRDefault="00B92C0C" w:rsidP="00B92C0C">
            <w:pPr>
              <w:pStyle w:val="tv2132"/>
              <w:spacing w:line="240" w:lineRule="auto"/>
              <w:ind w:firstLine="709"/>
              <w:jc w:val="both"/>
              <w:rPr>
                <w:color w:val="000000" w:themeColor="text1"/>
                <w:sz w:val="24"/>
                <w:szCs w:val="24"/>
              </w:rPr>
            </w:pPr>
            <w:r>
              <w:rPr>
                <w:color w:val="000000" w:themeColor="text1"/>
                <w:sz w:val="24"/>
                <w:szCs w:val="24"/>
              </w:rPr>
              <w:lastRenderedPageBreak/>
              <w:t>Tā kā šobrīd notiek aktīvs darbs pie advokāta procesa ieviešanas, kas paredz, ka atsevišķās lietu kategorijās personu varēs pārstāvēt tikai advokāts, ne</w:t>
            </w:r>
            <w:r w:rsidR="00715A23">
              <w:rPr>
                <w:color w:val="000000" w:themeColor="text1"/>
                <w:sz w:val="24"/>
                <w:szCs w:val="24"/>
              </w:rPr>
              <w:t>vis</w:t>
            </w:r>
            <w:r>
              <w:rPr>
                <w:color w:val="000000" w:themeColor="text1"/>
                <w:sz w:val="24"/>
                <w:szCs w:val="24"/>
              </w:rPr>
              <w:t xml:space="preserve"> jurists, tad nepieciešams maksimāli celt advok</w:t>
            </w:r>
            <w:r w:rsidR="00027DA2">
              <w:rPr>
                <w:color w:val="000000" w:themeColor="text1"/>
                <w:sz w:val="24"/>
                <w:szCs w:val="24"/>
              </w:rPr>
              <w:t>atūras</w:t>
            </w:r>
            <w:r>
              <w:rPr>
                <w:color w:val="000000" w:themeColor="text1"/>
                <w:sz w:val="24"/>
                <w:szCs w:val="24"/>
              </w:rPr>
              <w:t xml:space="preserve"> institūta kvalitāti. Viens no veidiem, kā to īstenot, ir stingrāku nosacījumu noteikšana tām personām, kas tiek uzņemtas advokāta profesijā. Līdz ar to </w:t>
            </w:r>
            <w:r w:rsidR="005C7774" w:rsidRPr="00871DB8">
              <w:rPr>
                <w:color w:val="000000" w:themeColor="text1"/>
                <w:sz w:val="24"/>
                <w:szCs w:val="24"/>
              </w:rPr>
              <w:t xml:space="preserve">grozījumi Noteikumos Nr.227 paredz pašreizējo piecu baļļu vērtēšanas sistēmu grozīt uz desmit baļļu sistēmu, </w:t>
            </w:r>
            <w:r w:rsidR="00871DB8" w:rsidRPr="00871DB8">
              <w:rPr>
                <w:color w:val="000000" w:themeColor="text1"/>
                <w:sz w:val="24"/>
                <w:szCs w:val="24"/>
              </w:rPr>
              <w:t>nosakot, ka nevienā no eksāmena daļām vērtējums nedrīkst būt trīs vai mazāk balles, l</w:t>
            </w:r>
            <w:r w:rsidR="005C7774" w:rsidRPr="00871DB8">
              <w:rPr>
                <w:color w:val="000000" w:themeColor="text1"/>
                <w:sz w:val="24"/>
                <w:szCs w:val="24"/>
              </w:rPr>
              <w:t>ai pretendenta novērtē</w:t>
            </w:r>
            <w:r w:rsidR="00EF3F39" w:rsidRPr="00871DB8">
              <w:rPr>
                <w:color w:val="000000" w:themeColor="text1"/>
                <w:sz w:val="24"/>
                <w:szCs w:val="24"/>
              </w:rPr>
              <w:t>šanu</w:t>
            </w:r>
            <w:r w:rsidR="005C7774" w:rsidRPr="00871DB8">
              <w:rPr>
                <w:color w:val="000000" w:themeColor="text1"/>
                <w:sz w:val="24"/>
                <w:szCs w:val="24"/>
              </w:rPr>
              <w:t xml:space="preserve"> būtu </w:t>
            </w:r>
            <w:r w:rsidR="00EF3F39" w:rsidRPr="00871DB8">
              <w:rPr>
                <w:color w:val="000000" w:themeColor="text1"/>
                <w:sz w:val="24"/>
                <w:szCs w:val="24"/>
              </w:rPr>
              <w:t xml:space="preserve">iespējams veikt </w:t>
            </w:r>
            <w:r w:rsidR="005C7774" w:rsidRPr="00871DB8">
              <w:rPr>
                <w:color w:val="000000" w:themeColor="text1"/>
                <w:sz w:val="24"/>
                <w:szCs w:val="24"/>
              </w:rPr>
              <w:t>precīz</w:t>
            </w:r>
            <w:r w:rsidR="00EF3F39" w:rsidRPr="00871DB8">
              <w:rPr>
                <w:color w:val="000000" w:themeColor="text1"/>
                <w:sz w:val="24"/>
                <w:szCs w:val="24"/>
              </w:rPr>
              <w:t>āk</w:t>
            </w:r>
            <w:r w:rsidR="00871DB8" w:rsidRPr="00871DB8">
              <w:rPr>
                <w:color w:val="000000" w:themeColor="text1"/>
                <w:sz w:val="24"/>
                <w:szCs w:val="24"/>
              </w:rPr>
              <w:t xml:space="preserve"> un pilnvērtīgāk.</w:t>
            </w:r>
            <w:r w:rsidR="002D6651">
              <w:rPr>
                <w:color w:val="000000" w:themeColor="text1"/>
                <w:sz w:val="24"/>
                <w:szCs w:val="24"/>
              </w:rPr>
              <w:t xml:space="preserve"> Vērtējums trīs kādā no eksāmena daļām nebūtu pieļaujams, jo tas liecinātu, ka pretendenta zināšanas ir vājas, un pretendents nav pietiekoši kvalificēts, lai darbotos advokatūrā. </w:t>
            </w:r>
          </w:p>
          <w:p w:rsidR="00320E6D" w:rsidRPr="008E1AEA" w:rsidRDefault="00EF3F39" w:rsidP="00871DB8">
            <w:pPr>
              <w:pStyle w:val="tv2132"/>
              <w:spacing w:line="240" w:lineRule="auto"/>
              <w:ind w:firstLine="709"/>
              <w:jc w:val="both"/>
              <w:rPr>
                <w:color w:val="000000" w:themeColor="text1"/>
                <w:sz w:val="28"/>
                <w:szCs w:val="28"/>
              </w:rPr>
            </w:pPr>
            <w:r w:rsidRPr="00871DB8">
              <w:rPr>
                <w:color w:val="000000" w:themeColor="text1"/>
                <w:sz w:val="24"/>
                <w:szCs w:val="24"/>
              </w:rPr>
              <w:t xml:space="preserve">Noteikumu Nr.227 34. un 37. </w:t>
            </w:r>
            <w:r w:rsidR="00871DB8">
              <w:rPr>
                <w:color w:val="000000" w:themeColor="text1"/>
                <w:sz w:val="24"/>
                <w:szCs w:val="24"/>
              </w:rPr>
              <w:t>p</w:t>
            </w:r>
            <w:r w:rsidRPr="00871DB8">
              <w:rPr>
                <w:color w:val="000000" w:themeColor="text1"/>
                <w:sz w:val="24"/>
                <w:szCs w:val="24"/>
              </w:rPr>
              <w:t xml:space="preserve">unkts noteic, ka pēc eksāmena rakstiskās </w:t>
            </w:r>
            <w:r w:rsidR="00871DB8" w:rsidRPr="00871DB8">
              <w:rPr>
                <w:color w:val="000000" w:themeColor="text1"/>
                <w:sz w:val="24"/>
                <w:szCs w:val="24"/>
              </w:rPr>
              <w:t>vai</w:t>
            </w:r>
            <w:r w:rsidRPr="00871DB8">
              <w:rPr>
                <w:color w:val="000000" w:themeColor="text1"/>
                <w:sz w:val="24"/>
                <w:szCs w:val="24"/>
              </w:rPr>
              <w:t xml:space="preserve"> mutiskās daļas darbu novērtēšanas komisijas sekretārs apkopo eksāmena daļas vērtējuma lapās ierakstītos rezultātus. Pretendenta eksāmena rakstiskās</w:t>
            </w:r>
            <w:r w:rsidR="00871DB8" w:rsidRPr="00871DB8">
              <w:rPr>
                <w:color w:val="000000" w:themeColor="text1"/>
                <w:sz w:val="24"/>
                <w:szCs w:val="24"/>
              </w:rPr>
              <w:t xml:space="preserve"> vai </w:t>
            </w:r>
            <w:r w:rsidRPr="00871DB8">
              <w:rPr>
                <w:color w:val="000000" w:themeColor="text1"/>
                <w:sz w:val="24"/>
                <w:szCs w:val="24"/>
              </w:rPr>
              <w:t>mutiskās</w:t>
            </w:r>
            <w:r w:rsidRPr="00EF3F39">
              <w:rPr>
                <w:color w:val="000000" w:themeColor="text1"/>
                <w:sz w:val="24"/>
                <w:szCs w:val="24"/>
              </w:rPr>
              <w:t xml:space="preserve"> daļas vidējo vērtējumu iegūst, summējot komisijas locekļu dotos vērtējumus un dalot ar komisijas locekļu skaitu, kuri piedalījušies pretendenta eksāmena rakstiskās daļas darba vērtēšanā. Līdz ar grozījumiem </w:t>
            </w:r>
            <w:r w:rsidR="00C85920">
              <w:rPr>
                <w:color w:val="000000" w:themeColor="text1"/>
                <w:sz w:val="24"/>
                <w:szCs w:val="24"/>
              </w:rPr>
              <w:t>Noteikumos</w:t>
            </w:r>
            <w:r w:rsidR="00C85920" w:rsidRPr="005C7774">
              <w:rPr>
                <w:color w:val="000000" w:themeColor="text1"/>
                <w:sz w:val="24"/>
                <w:szCs w:val="24"/>
              </w:rPr>
              <w:t xml:space="preserve"> Nr.227</w:t>
            </w:r>
            <w:r w:rsidR="00C85920">
              <w:rPr>
                <w:color w:val="000000" w:themeColor="text1"/>
                <w:sz w:val="24"/>
                <w:szCs w:val="24"/>
              </w:rPr>
              <w:t xml:space="preserve"> </w:t>
            </w:r>
            <w:r w:rsidRPr="00EF3F39">
              <w:rPr>
                <w:color w:val="000000" w:themeColor="text1"/>
                <w:sz w:val="24"/>
                <w:szCs w:val="24"/>
              </w:rPr>
              <w:t xml:space="preserve">tiks noteikts, ka gadījumā, ja rakstiskajā vai mutiskajā eksāmena daļā iegūtais vērtējums nesasniedz trīs balles, to neapaļo, un šādā gadījumā vērtējums ir attiecīgi viena vai divas balles (neapmierinošs vērtējums). Tāpat grozījumi </w:t>
            </w:r>
            <w:r w:rsidR="00C85920">
              <w:rPr>
                <w:color w:val="000000" w:themeColor="text1"/>
                <w:sz w:val="24"/>
                <w:szCs w:val="24"/>
              </w:rPr>
              <w:t>Noteikumos</w:t>
            </w:r>
            <w:r w:rsidR="00C85920" w:rsidRPr="005C7774">
              <w:rPr>
                <w:color w:val="000000" w:themeColor="text1"/>
                <w:sz w:val="24"/>
                <w:szCs w:val="24"/>
              </w:rPr>
              <w:t xml:space="preserve"> Nr.227</w:t>
            </w:r>
            <w:r w:rsidR="00C85920">
              <w:rPr>
                <w:color w:val="000000" w:themeColor="text1"/>
                <w:sz w:val="24"/>
                <w:szCs w:val="24"/>
              </w:rPr>
              <w:t xml:space="preserve"> </w:t>
            </w:r>
            <w:r w:rsidRPr="00EF3F39">
              <w:rPr>
                <w:color w:val="000000" w:themeColor="text1"/>
                <w:sz w:val="24"/>
                <w:szCs w:val="24"/>
              </w:rPr>
              <w:t>paredz, ka galīgo eksāmena atzīmi nosaka, summējot pretendenta eksāmena abu daļu vērtējumus un izdalot ar divi (decimāldaļskaitli, kuram aiz komata ir cipars 5, apaļo uz augšu), taču, ja iegūtais aritmētiskais rezultāts nesasniegs septiņas balles, to neapaļo, un vērtējums ir neapmierinošs.</w:t>
            </w:r>
            <w:r>
              <w:rPr>
                <w:color w:val="000000" w:themeColor="text1"/>
                <w:sz w:val="24"/>
                <w:szCs w:val="24"/>
              </w:rPr>
              <w:t xml:space="preserve"> Nosacījums, ka rakstiskās un mutiskās daļas vidējam vērtējumam jābūt septiņas balles, ietverts arī </w:t>
            </w:r>
            <w:r w:rsidR="00C85920">
              <w:rPr>
                <w:color w:val="000000" w:themeColor="text1"/>
                <w:sz w:val="24"/>
                <w:szCs w:val="24"/>
              </w:rPr>
              <w:t>Noteikumu</w:t>
            </w:r>
            <w:r w:rsidR="00C85920" w:rsidRPr="005C7774">
              <w:rPr>
                <w:color w:val="000000" w:themeColor="text1"/>
                <w:sz w:val="24"/>
                <w:szCs w:val="24"/>
              </w:rPr>
              <w:t xml:space="preserve"> Nr.227</w:t>
            </w:r>
            <w:r w:rsidR="00C85920">
              <w:rPr>
                <w:color w:val="000000" w:themeColor="text1"/>
                <w:sz w:val="24"/>
                <w:szCs w:val="24"/>
              </w:rPr>
              <w:t xml:space="preserve"> </w:t>
            </w:r>
            <w:r>
              <w:rPr>
                <w:color w:val="000000" w:themeColor="text1"/>
                <w:sz w:val="24"/>
                <w:szCs w:val="24"/>
              </w:rPr>
              <w:t>41. punktā, kas</w:t>
            </w:r>
            <w:r w:rsidR="00871DB8">
              <w:rPr>
                <w:color w:val="000000" w:themeColor="text1"/>
                <w:sz w:val="24"/>
                <w:szCs w:val="24"/>
              </w:rPr>
              <w:t xml:space="preserve"> paredz</w:t>
            </w:r>
            <w:r>
              <w:rPr>
                <w:color w:val="000000" w:themeColor="text1"/>
                <w:sz w:val="24"/>
                <w:szCs w:val="24"/>
              </w:rPr>
              <w:t xml:space="preserve"> </w:t>
            </w:r>
            <w:r w:rsidR="00871DB8">
              <w:rPr>
                <w:color w:val="000000" w:themeColor="text1"/>
                <w:sz w:val="24"/>
                <w:szCs w:val="24"/>
              </w:rPr>
              <w:t>kritērijus</w:t>
            </w:r>
            <w:r w:rsidR="00C85920">
              <w:rPr>
                <w:color w:val="000000" w:themeColor="text1"/>
                <w:sz w:val="24"/>
                <w:szCs w:val="24"/>
              </w:rPr>
              <w:t>,</w:t>
            </w:r>
            <w:r w:rsidR="00871DB8">
              <w:rPr>
                <w:color w:val="000000" w:themeColor="text1"/>
                <w:sz w:val="24"/>
                <w:szCs w:val="24"/>
              </w:rPr>
              <w:t xml:space="preserve"> pie kādiem atzīstams, ka pretendents eksāmenu ir nokārtojis.</w:t>
            </w:r>
            <w:r w:rsidR="00A8251E">
              <w:rPr>
                <w:color w:val="000000" w:themeColor="text1"/>
              </w:rPr>
              <w:t xml:space="preserve"> </w:t>
            </w:r>
            <w:r w:rsidR="008E1AEA" w:rsidRPr="008E1AEA">
              <w:rPr>
                <w:color w:val="000000" w:themeColor="text1"/>
                <w:sz w:val="24"/>
                <w:szCs w:val="24"/>
              </w:rPr>
              <w:t>Vērtēj</w:t>
            </w:r>
            <w:r w:rsidR="008E1AEA">
              <w:rPr>
                <w:color w:val="000000" w:themeColor="text1"/>
                <w:sz w:val="24"/>
                <w:szCs w:val="24"/>
              </w:rPr>
              <w:t>umam par abām daļām jābūt vismaz septiņām ballēm, jo tas liecinās, ka pretendenta zināšanas novērtējamas ar labi (pēc noteikumu 1.pielikuma), tātad zināšanas ir pietiekamas, lai pretendents varētu pietiekoši kvalitatīvi darboties advokatūras nozarē.</w:t>
            </w:r>
          </w:p>
          <w:p w:rsidR="007132D9" w:rsidRPr="007132D9" w:rsidRDefault="00027DA2" w:rsidP="00320E6D">
            <w:pPr>
              <w:pStyle w:val="tv2132"/>
              <w:spacing w:line="240" w:lineRule="auto"/>
              <w:ind w:firstLine="709"/>
              <w:jc w:val="both"/>
              <w:rPr>
                <w:color w:val="000000" w:themeColor="text1"/>
                <w:sz w:val="24"/>
                <w:szCs w:val="24"/>
              </w:rPr>
            </w:pPr>
            <w:r>
              <w:rPr>
                <w:color w:val="000000" w:themeColor="text1"/>
                <w:sz w:val="24"/>
                <w:szCs w:val="24"/>
              </w:rPr>
              <w:t xml:space="preserve">Latvijas Republikas </w:t>
            </w:r>
            <w:r w:rsidR="00A8251E">
              <w:rPr>
                <w:color w:val="000000" w:themeColor="text1"/>
                <w:sz w:val="24"/>
                <w:szCs w:val="24"/>
              </w:rPr>
              <w:t>Advokatūras likuma</w:t>
            </w:r>
            <w:r w:rsidR="008B3195">
              <w:rPr>
                <w:color w:val="000000" w:themeColor="text1"/>
                <w:sz w:val="24"/>
                <w:szCs w:val="24"/>
              </w:rPr>
              <w:t xml:space="preserve"> </w:t>
            </w:r>
            <w:r w:rsidR="007132D9" w:rsidRPr="007132D9">
              <w:rPr>
                <w:color w:val="000000" w:themeColor="text1"/>
                <w:sz w:val="24"/>
                <w:szCs w:val="24"/>
              </w:rPr>
              <w:t>41.</w:t>
            </w:r>
            <w:r w:rsidR="007132D9" w:rsidRPr="007132D9">
              <w:rPr>
                <w:color w:val="000000" w:themeColor="text1"/>
                <w:sz w:val="24"/>
                <w:szCs w:val="24"/>
                <w:vertAlign w:val="superscript"/>
              </w:rPr>
              <w:t xml:space="preserve">1 </w:t>
            </w:r>
            <w:r w:rsidR="005A6D18">
              <w:rPr>
                <w:color w:val="000000" w:themeColor="text1"/>
                <w:sz w:val="24"/>
                <w:szCs w:val="24"/>
              </w:rPr>
              <w:t>panta pirmā un otrā daļa</w:t>
            </w:r>
            <w:r w:rsidR="007132D9" w:rsidRPr="007132D9">
              <w:rPr>
                <w:color w:val="000000" w:themeColor="text1"/>
                <w:sz w:val="24"/>
                <w:szCs w:val="24"/>
              </w:rPr>
              <w:t xml:space="preserve"> noteic, ka </w:t>
            </w:r>
            <w:r w:rsidR="00871DB8">
              <w:rPr>
                <w:color w:val="000000" w:themeColor="text1"/>
                <w:sz w:val="24"/>
                <w:szCs w:val="24"/>
              </w:rPr>
              <w:t>a</w:t>
            </w:r>
            <w:r w:rsidR="007132D9">
              <w:rPr>
                <w:color w:val="000000" w:themeColor="text1"/>
                <w:sz w:val="24"/>
                <w:szCs w:val="24"/>
              </w:rPr>
              <w:t>dvokātu e</w:t>
            </w:r>
            <w:r w:rsidR="007132D9" w:rsidRPr="007132D9">
              <w:rPr>
                <w:color w:val="000000" w:themeColor="text1"/>
                <w:sz w:val="24"/>
                <w:szCs w:val="24"/>
              </w:rPr>
              <w:t>ksāmenu pieņem komisija, kuras sastāvā ir:</w:t>
            </w:r>
          </w:p>
          <w:p w:rsidR="007132D9" w:rsidRPr="007132D9" w:rsidRDefault="007132D9" w:rsidP="00320E6D">
            <w:pPr>
              <w:spacing w:after="0" w:line="240" w:lineRule="auto"/>
              <w:ind w:firstLine="682"/>
              <w:jc w:val="both"/>
              <w:rPr>
                <w:rFonts w:ascii="Times New Roman" w:eastAsia="Times New Roman" w:hAnsi="Times New Roman" w:cs="Times New Roman"/>
                <w:color w:val="000000" w:themeColor="text1"/>
                <w:sz w:val="24"/>
                <w:szCs w:val="24"/>
                <w:lang w:eastAsia="lv-LV"/>
              </w:rPr>
            </w:pPr>
            <w:r w:rsidRPr="007132D9">
              <w:rPr>
                <w:rFonts w:ascii="Times New Roman" w:eastAsia="Times New Roman" w:hAnsi="Times New Roman" w:cs="Times New Roman"/>
                <w:color w:val="000000" w:themeColor="text1"/>
                <w:sz w:val="24"/>
                <w:szCs w:val="24"/>
                <w:lang w:eastAsia="lv-LV"/>
              </w:rPr>
              <w:t>1) trīs juridiskās zinātnes promocijas padomju deleģēti tiesību zinātņu doktori;</w:t>
            </w:r>
          </w:p>
          <w:p w:rsidR="007132D9" w:rsidRPr="007132D9" w:rsidRDefault="007132D9" w:rsidP="00320E6D">
            <w:pPr>
              <w:spacing w:after="0" w:line="240" w:lineRule="auto"/>
              <w:ind w:firstLine="682"/>
              <w:jc w:val="both"/>
              <w:rPr>
                <w:rFonts w:ascii="Times New Roman" w:eastAsia="Times New Roman" w:hAnsi="Times New Roman" w:cs="Times New Roman"/>
                <w:color w:val="000000" w:themeColor="text1"/>
                <w:sz w:val="24"/>
                <w:szCs w:val="24"/>
                <w:lang w:eastAsia="lv-LV"/>
              </w:rPr>
            </w:pPr>
            <w:r w:rsidRPr="007132D9">
              <w:rPr>
                <w:rFonts w:ascii="Times New Roman" w:eastAsia="Times New Roman" w:hAnsi="Times New Roman" w:cs="Times New Roman"/>
                <w:color w:val="000000" w:themeColor="text1"/>
                <w:sz w:val="24"/>
                <w:szCs w:val="24"/>
                <w:lang w:eastAsia="lv-LV"/>
              </w:rPr>
              <w:t>2) trīs Augstākās tiesas priekšsēdētāja norīkoti senatori;</w:t>
            </w:r>
          </w:p>
          <w:p w:rsidR="007132D9" w:rsidRPr="007132D9" w:rsidRDefault="007132D9" w:rsidP="00320E6D">
            <w:pPr>
              <w:spacing w:after="0" w:line="240" w:lineRule="auto"/>
              <w:ind w:firstLine="682"/>
              <w:jc w:val="both"/>
              <w:rPr>
                <w:rFonts w:ascii="Times New Roman" w:eastAsia="Times New Roman" w:hAnsi="Times New Roman" w:cs="Times New Roman"/>
                <w:color w:val="000000" w:themeColor="text1"/>
                <w:sz w:val="24"/>
                <w:szCs w:val="24"/>
                <w:lang w:eastAsia="lv-LV"/>
              </w:rPr>
            </w:pPr>
            <w:r w:rsidRPr="007132D9">
              <w:rPr>
                <w:rFonts w:ascii="Times New Roman" w:eastAsia="Times New Roman" w:hAnsi="Times New Roman" w:cs="Times New Roman"/>
                <w:color w:val="000000" w:themeColor="text1"/>
                <w:sz w:val="24"/>
                <w:szCs w:val="24"/>
                <w:lang w:eastAsia="lv-LV"/>
              </w:rPr>
              <w:t xml:space="preserve">3) trīs </w:t>
            </w:r>
            <w:r>
              <w:rPr>
                <w:rFonts w:ascii="Times New Roman" w:eastAsia="Times New Roman" w:hAnsi="Times New Roman" w:cs="Times New Roman"/>
                <w:color w:val="000000" w:themeColor="text1"/>
                <w:sz w:val="24"/>
                <w:szCs w:val="24"/>
                <w:lang w:eastAsia="lv-LV"/>
              </w:rPr>
              <w:t>P</w:t>
            </w:r>
            <w:r w:rsidRPr="007132D9">
              <w:rPr>
                <w:rFonts w:ascii="Times New Roman" w:eastAsia="Times New Roman" w:hAnsi="Times New Roman" w:cs="Times New Roman"/>
                <w:color w:val="000000" w:themeColor="text1"/>
                <w:sz w:val="24"/>
                <w:szCs w:val="24"/>
                <w:lang w:eastAsia="lv-LV"/>
              </w:rPr>
              <w:t>adomes norīkoti advokāti;</w:t>
            </w:r>
          </w:p>
          <w:p w:rsidR="007132D9" w:rsidRDefault="007132D9" w:rsidP="00320E6D">
            <w:pPr>
              <w:spacing w:after="0" w:line="240" w:lineRule="auto"/>
              <w:ind w:firstLine="682"/>
              <w:jc w:val="both"/>
              <w:rPr>
                <w:rFonts w:ascii="Times New Roman" w:hAnsi="Times New Roman" w:cs="Times New Roman"/>
                <w:color w:val="000000" w:themeColor="text1"/>
                <w:sz w:val="24"/>
                <w:szCs w:val="24"/>
              </w:rPr>
            </w:pPr>
            <w:r w:rsidRPr="007132D9">
              <w:rPr>
                <w:rFonts w:ascii="Times New Roman" w:eastAsia="Times New Roman" w:hAnsi="Times New Roman" w:cs="Times New Roman"/>
                <w:color w:val="000000" w:themeColor="text1"/>
                <w:sz w:val="24"/>
                <w:szCs w:val="24"/>
                <w:lang w:eastAsia="lv-LV"/>
              </w:rPr>
              <w:t xml:space="preserve">4) tieslietu ministra pilnvarots pārstāvis. </w:t>
            </w:r>
            <w:r w:rsidR="00C81E76">
              <w:rPr>
                <w:rFonts w:ascii="Times New Roman" w:eastAsia="Times New Roman" w:hAnsi="Times New Roman" w:cs="Times New Roman"/>
                <w:color w:val="000000" w:themeColor="text1"/>
                <w:sz w:val="24"/>
                <w:szCs w:val="24"/>
                <w:lang w:eastAsia="lv-LV"/>
              </w:rPr>
              <w:t>K</w:t>
            </w:r>
            <w:r w:rsidRPr="007132D9">
              <w:rPr>
                <w:rFonts w:ascii="Times New Roman" w:eastAsia="Times New Roman" w:hAnsi="Times New Roman" w:cs="Times New Roman"/>
                <w:color w:val="000000" w:themeColor="text1"/>
                <w:sz w:val="24"/>
                <w:szCs w:val="24"/>
                <w:lang w:eastAsia="lv-LV"/>
              </w:rPr>
              <w:t xml:space="preserve">omisijas </w:t>
            </w:r>
            <w:r w:rsidRPr="007132D9">
              <w:rPr>
                <w:rFonts w:ascii="Times New Roman" w:eastAsia="Times New Roman" w:hAnsi="Times New Roman" w:cs="Times New Roman"/>
                <w:color w:val="000000" w:themeColor="text1"/>
                <w:sz w:val="24"/>
                <w:szCs w:val="24"/>
                <w:lang w:eastAsia="lv-LV"/>
              </w:rPr>
              <w:lastRenderedPageBreak/>
              <w:t>sastāvu apstiprina tieslietu ministrs.</w:t>
            </w:r>
            <w:r w:rsidR="00027DA2">
              <w:rPr>
                <w:rFonts w:ascii="Times New Roman" w:eastAsia="Times New Roman" w:hAnsi="Times New Roman" w:cs="Times New Roman"/>
                <w:color w:val="000000" w:themeColor="text1"/>
                <w:sz w:val="24"/>
                <w:szCs w:val="24"/>
                <w:lang w:eastAsia="lv-LV"/>
              </w:rPr>
              <w:t xml:space="preserve"> Latvijas Republikas</w:t>
            </w:r>
            <w:r w:rsidRPr="007132D9">
              <w:rPr>
                <w:rFonts w:ascii="Times New Roman" w:eastAsia="Times New Roman" w:hAnsi="Times New Roman" w:cs="Times New Roman"/>
                <w:color w:val="000000" w:themeColor="text1"/>
                <w:sz w:val="24"/>
                <w:szCs w:val="24"/>
                <w:lang w:eastAsia="lv-LV"/>
              </w:rPr>
              <w:t xml:space="preserve"> Advokatūras likuma </w:t>
            </w:r>
            <w:proofErr w:type="gramStart"/>
            <w:r w:rsidRPr="007132D9">
              <w:rPr>
                <w:rFonts w:ascii="Times New Roman" w:eastAsia="Times New Roman" w:hAnsi="Times New Roman" w:cs="Times New Roman"/>
                <w:color w:val="000000" w:themeColor="text1"/>
                <w:sz w:val="24"/>
                <w:szCs w:val="24"/>
                <w:lang w:eastAsia="lv-LV"/>
              </w:rPr>
              <w:t>41.</w:t>
            </w:r>
            <w:r w:rsidRPr="007132D9">
              <w:rPr>
                <w:rFonts w:ascii="Times New Roman" w:eastAsia="Times New Roman" w:hAnsi="Times New Roman" w:cs="Times New Roman"/>
                <w:color w:val="000000" w:themeColor="text1"/>
                <w:sz w:val="24"/>
                <w:szCs w:val="24"/>
                <w:vertAlign w:val="superscript"/>
                <w:lang w:eastAsia="lv-LV"/>
              </w:rPr>
              <w:t xml:space="preserve">2 </w:t>
            </w:r>
            <w:r w:rsidR="005A6D18">
              <w:rPr>
                <w:rFonts w:ascii="Times New Roman" w:eastAsia="Times New Roman" w:hAnsi="Times New Roman" w:cs="Times New Roman"/>
                <w:color w:val="000000" w:themeColor="text1"/>
                <w:sz w:val="24"/>
                <w:szCs w:val="24"/>
                <w:lang w:eastAsia="lv-LV"/>
              </w:rPr>
              <w:t>panta pirmā daļa</w:t>
            </w:r>
            <w:proofErr w:type="gramEnd"/>
            <w:r>
              <w:rPr>
                <w:rFonts w:ascii="Times New Roman" w:eastAsia="Times New Roman" w:hAnsi="Times New Roman" w:cs="Times New Roman"/>
                <w:color w:val="000000" w:themeColor="text1"/>
                <w:sz w:val="24"/>
                <w:szCs w:val="24"/>
                <w:lang w:eastAsia="lv-LV"/>
              </w:rPr>
              <w:t xml:space="preserve"> noteic, ka </w:t>
            </w:r>
            <w:r w:rsidRPr="007132D9">
              <w:rPr>
                <w:rFonts w:ascii="Times New Roman" w:hAnsi="Times New Roman" w:cs="Times New Roman"/>
                <w:color w:val="000000" w:themeColor="text1"/>
                <w:sz w:val="24"/>
                <w:szCs w:val="24"/>
              </w:rPr>
              <w:t>advokāta eksāmena maksu nosaka Ministru kabinets. Iemaksāto eksāmena naudu izmaksā kā atlīdzību komisijas locekļiem un izlieto eksāmena organizēšanas izdevumu segšanai.</w:t>
            </w:r>
          </w:p>
          <w:p w:rsidR="00F53E48" w:rsidRPr="00F53E48" w:rsidRDefault="00183BCE" w:rsidP="00F53E48">
            <w:pPr>
              <w:pStyle w:val="tv2132"/>
              <w:spacing w:line="240" w:lineRule="auto"/>
              <w:ind w:firstLine="709"/>
              <w:jc w:val="both"/>
              <w:rPr>
                <w:color w:val="000000" w:themeColor="text1"/>
                <w:sz w:val="24"/>
                <w:szCs w:val="24"/>
              </w:rPr>
            </w:pPr>
            <w:r>
              <w:rPr>
                <w:color w:val="000000" w:themeColor="text1"/>
                <w:sz w:val="24"/>
                <w:szCs w:val="24"/>
              </w:rPr>
              <w:t>Līdz ar grozījumiem</w:t>
            </w:r>
            <w:r w:rsidR="00871DB8">
              <w:rPr>
                <w:color w:val="000000" w:themeColor="text1"/>
                <w:sz w:val="24"/>
                <w:szCs w:val="24"/>
              </w:rPr>
              <w:t xml:space="preserve"> Noteikumos Nr.227 </w:t>
            </w:r>
            <w:r>
              <w:rPr>
                <w:color w:val="000000" w:themeColor="text1"/>
                <w:sz w:val="24"/>
                <w:szCs w:val="24"/>
              </w:rPr>
              <w:t>jautājumu skaits</w:t>
            </w:r>
            <w:r w:rsidR="00871DB8">
              <w:rPr>
                <w:color w:val="000000" w:themeColor="text1"/>
                <w:sz w:val="24"/>
                <w:szCs w:val="24"/>
              </w:rPr>
              <w:t xml:space="preserve"> eksāmena mutiskajā daļā</w:t>
            </w:r>
            <w:r>
              <w:rPr>
                <w:color w:val="000000" w:themeColor="text1"/>
                <w:sz w:val="24"/>
                <w:szCs w:val="24"/>
              </w:rPr>
              <w:t xml:space="preserve"> tiks par vienu palielinā</w:t>
            </w:r>
            <w:r w:rsidR="00F53E48">
              <w:rPr>
                <w:color w:val="000000" w:themeColor="text1"/>
                <w:sz w:val="24"/>
                <w:szCs w:val="24"/>
              </w:rPr>
              <w:t>ts, tas ir, būs pieci jautājumi</w:t>
            </w:r>
            <w:r>
              <w:rPr>
                <w:color w:val="000000" w:themeColor="text1"/>
                <w:sz w:val="24"/>
                <w:szCs w:val="24"/>
              </w:rPr>
              <w:t xml:space="preserve">. Ņemot vērā minēto, </w:t>
            </w:r>
            <w:r w:rsidRPr="00B80482">
              <w:rPr>
                <w:color w:val="000000" w:themeColor="text1"/>
                <w:sz w:val="24"/>
                <w:szCs w:val="24"/>
              </w:rPr>
              <w:t xml:space="preserve">palielināsies eksāmena norises ilgums, </w:t>
            </w:r>
            <w:r w:rsidR="00B80482">
              <w:rPr>
                <w:color w:val="000000" w:themeColor="text1"/>
                <w:sz w:val="24"/>
                <w:szCs w:val="24"/>
              </w:rPr>
              <w:t xml:space="preserve">eksāmena labošanas ilgums, </w:t>
            </w:r>
            <w:r w:rsidRPr="00B80482">
              <w:rPr>
                <w:color w:val="000000" w:themeColor="text1"/>
                <w:sz w:val="24"/>
                <w:szCs w:val="24"/>
              </w:rPr>
              <w:t xml:space="preserve">tāpat arī administratīvie izdevumi, </w:t>
            </w:r>
            <w:r w:rsidR="00B80482">
              <w:rPr>
                <w:color w:val="000000" w:themeColor="text1"/>
                <w:sz w:val="24"/>
                <w:szCs w:val="24"/>
              </w:rPr>
              <w:t xml:space="preserve">tas ir, </w:t>
            </w:r>
            <w:r w:rsidRPr="00B80482">
              <w:rPr>
                <w:color w:val="000000" w:themeColor="text1"/>
                <w:sz w:val="24"/>
                <w:szCs w:val="24"/>
              </w:rPr>
              <w:t xml:space="preserve">eksāmens prasīs lielākus </w:t>
            </w:r>
            <w:r w:rsidR="00232C27" w:rsidRPr="00F53E48">
              <w:rPr>
                <w:color w:val="000000" w:themeColor="text1"/>
                <w:sz w:val="24"/>
                <w:szCs w:val="24"/>
              </w:rPr>
              <w:t xml:space="preserve">administratīvos un finansiālos </w:t>
            </w:r>
            <w:r w:rsidRPr="00F53E48">
              <w:rPr>
                <w:color w:val="000000" w:themeColor="text1"/>
                <w:sz w:val="24"/>
                <w:szCs w:val="24"/>
              </w:rPr>
              <w:t>resursus.</w:t>
            </w:r>
            <w:r w:rsidR="00F53E48" w:rsidRPr="00F53E48">
              <w:rPr>
                <w:color w:val="000000" w:themeColor="text1"/>
                <w:sz w:val="24"/>
                <w:szCs w:val="24"/>
              </w:rPr>
              <w:t xml:space="preserve"> </w:t>
            </w:r>
          </w:p>
          <w:p w:rsidR="00C12D72" w:rsidRDefault="00F53E48" w:rsidP="00F53E48">
            <w:pPr>
              <w:pStyle w:val="tv2132"/>
              <w:spacing w:line="240" w:lineRule="auto"/>
              <w:ind w:firstLine="709"/>
              <w:jc w:val="both"/>
              <w:rPr>
                <w:color w:val="000000" w:themeColor="text1"/>
                <w:sz w:val="24"/>
                <w:szCs w:val="24"/>
              </w:rPr>
            </w:pPr>
            <w:r w:rsidRPr="00F53E48">
              <w:rPr>
                <w:color w:val="000000" w:themeColor="text1"/>
                <w:sz w:val="24"/>
                <w:szCs w:val="24"/>
              </w:rPr>
              <w:t xml:space="preserve">Ņemot vērā minēto, Noteikumu Nr.227 grozījumi virzāmi kopā ar grozījumiem Ministru kabineta 2004. gada 20. jūlija noteikumos Nr.609 „Noteikumi par advokāta eksāmena maksu””, kas paredz </w:t>
            </w:r>
            <w:r w:rsidR="00EE209E">
              <w:rPr>
                <w:color w:val="000000" w:themeColor="text1"/>
                <w:sz w:val="24"/>
                <w:szCs w:val="24"/>
              </w:rPr>
              <w:t>p</w:t>
            </w:r>
            <w:r w:rsidR="00EF22B5">
              <w:rPr>
                <w:color w:val="000000" w:themeColor="text1"/>
                <w:sz w:val="24"/>
                <w:szCs w:val="24"/>
              </w:rPr>
              <w:t>alielin</w:t>
            </w:r>
            <w:r w:rsidR="00EE209E">
              <w:rPr>
                <w:color w:val="000000" w:themeColor="text1"/>
                <w:sz w:val="24"/>
                <w:szCs w:val="24"/>
              </w:rPr>
              <w:t>āt</w:t>
            </w:r>
            <w:r w:rsidRPr="00F53E48">
              <w:rPr>
                <w:color w:val="000000" w:themeColor="text1"/>
                <w:sz w:val="24"/>
                <w:szCs w:val="24"/>
              </w:rPr>
              <w:t xml:space="preserve"> advokātu</w:t>
            </w:r>
            <w:r w:rsidR="00FD67DB">
              <w:rPr>
                <w:color w:val="000000" w:themeColor="text1"/>
                <w:sz w:val="24"/>
                <w:szCs w:val="24"/>
              </w:rPr>
              <w:t xml:space="preserve"> pretendentu, kas nav advokātu palīgi,</w:t>
            </w:r>
            <w:r w:rsidRPr="00F53E48">
              <w:rPr>
                <w:color w:val="000000" w:themeColor="text1"/>
                <w:sz w:val="24"/>
                <w:szCs w:val="24"/>
              </w:rPr>
              <w:t xml:space="preserve"> eksāmena</w:t>
            </w:r>
            <w:r w:rsidR="00EE209E">
              <w:rPr>
                <w:color w:val="000000" w:themeColor="text1"/>
                <w:sz w:val="24"/>
                <w:szCs w:val="24"/>
              </w:rPr>
              <w:t xml:space="preserve"> maksu.</w:t>
            </w:r>
          </w:p>
          <w:p w:rsidR="00921534" w:rsidRDefault="004611C6" w:rsidP="00C81E76">
            <w:pPr>
              <w:pStyle w:val="tv2132"/>
              <w:spacing w:line="240" w:lineRule="auto"/>
              <w:ind w:firstLine="709"/>
              <w:jc w:val="both"/>
              <w:rPr>
                <w:color w:val="000000" w:themeColor="text1"/>
                <w:sz w:val="24"/>
                <w:szCs w:val="24"/>
              </w:rPr>
            </w:pPr>
            <w:r>
              <w:rPr>
                <w:color w:val="000000" w:themeColor="text1"/>
                <w:sz w:val="24"/>
                <w:szCs w:val="24"/>
              </w:rPr>
              <w:t>Š</w:t>
            </w:r>
            <w:r w:rsidR="00EF22B5">
              <w:rPr>
                <w:color w:val="000000" w:themeColor="text1"/>
                <w:sz w:val="24"/>
                <w:szCs w:val="24"/>
              </w:rPr>
              <w:t>obrīd spēkā esoša</w:t>
            </w:r>
            <w:r>
              <w:rPr>
                <w:color w:val="000000" w:themeColor="text1"/>
                <w:sz w:val="24"/>
                <w:szCs w:val="24"/>
              </w:rPr>
              <w:t>jā</w:t>
            </w:r>
            <w:r w:rsidR="00EF22B5">
              <w:rPr>
                <w:color w:val="000000" w:themeColor="text1"/>
                <w:sz w:val="24"/>
                <w:szCs w:val="24"/>
              </w:rPr>
              <w:t xml:space="preserve"> </w:t>
            </w:r>
            <w:r w:rsidR="008C42DD">
              <w:rPr>
                <w:color w:val="000000" w:themeColor="text1"/>
                <w:sz w:val="24"/>
                <w:szCs w:val="24"/>
              </w:rPr>
              <w:t>Noteikum</w:t>
            </w:r>
            <w:r w:rsidR="00EF22B5">
              <w:rPr>
                <w:color w:val="000000" w:themeColor="text1"/>
                <w:sz w:val="24"/>
                <w:szCs w:val="24"/>
              </w:rPr>
              <w:t>u</w:t>
            </w:r>
            <w:r w:rsidR="008C42DD">
              <w:rPr>
                <w:color w:val="000000" w:themeColor="text1"/>
                <w:sz w:val="24"/>
                <w:szCs w:val="24"/>
              </w:rPr>
              <w:t xml:space="preserve"> Nr.227</w:t>
            </w:r>
            <w:r w:rsidR="00EF22B5">
              <w:rPr>
                <w:color w:val="000000" w:themeColor="text1"/>
                <w:sz w:val="24"/>
                <w:szCs w:val="24"/>
              </w:rPr>
              <w:t xml:space="preserve"> 6. punktā ietvertais regulējums</w:t>
            </w:r>
            <w:r w:rsidR="008C42DD">
              <w:rPr>
                <w:color w:val="000000" w:themeColor="text1"/>
                <w:sz w:val="24"/>
                <w:szCs w:val="24"/>
              </w:rPr>
              <w:t xml:space="preserve"> paredz, ka gadījumos, </w:t>
            </w:r>
            <w:proofErr w:type="gramStart"/>
            <w:r w:rsidR="008C42DD">
              <w:rPr>
                <w:color w:val="000000" w:themeColor="text1"/>
                <w:sz w:val="24"/>
                <w:szCs w:val="24"/>
              </w:rPr>
              <w:t>kad komisijas loceklis nedrīkst vērtēt</w:t>
            </w:r>
            <w:r w:rsidR="00EF22B5">
              <w:rPr>
                <w:color w:val="000000" w:themeColor="text1"/>
                <w:sz w:val="24"/>
                <w:szCs w:val="24"/>
              </w:rPr>
              <w:t xml:space="preserve"> pretendentu</w:t>
            </w:r>
            <w:r w:rsidR="008C42DD">
              <w:rPr>
                <w:color w:val="000000" w:themeColor="text1"/>
                <w:sz w:val="24"/>
                <w:szCs w:val="24"/>
              </w:rPr>
              <w:t xml:space="preserve"> interešu konflikta dēļ, attiecīgo komisijas locekli</w:t>
            </w:r>
            <w:proofErr w:type="gramEnd"/>
            <w:r w:rsidR="008C42DD">
              <w:rPr>
                <w:color w:val="000000" w:themeColor="text1"/>
                <w:sz w:val="24"/>
                <w:szCs w:val="24"/>
              </w:rPr>
              <w:t xml:space="preserve"> aizstāj cits komisijas loceklis. Ņemot vērā, ka nav pieļaujams, ka vienu kandidātu divas reizes novērtē viens un tas pats komisijas loceklis, </w:t>
            </w:r>
            <w:r w:rsidR="00305129">
              <w:rPr>
                <w:color w:val="000000" w:themeColor="text1"/>
                <w:sz w:val="24"/>
                <w:szCs w:val="24"/>
              </w:rPr>
              <w:t>tāpēc</w:t>
            </w:r>
            <w:r w:rsidR="008C42DD">
              <w:rPr>
                <w:color w:val="000000" w:themeColor="text1"/>
                <w:sz w:val="24"/>
                <w:szCs w:val="24"/>
              </w:rPr>
              <w:t xml:space="preserve"> ar grozījumiem </w:t>
            </w:r>
            <w:r w:rsidR="00EF22B5">
              <w:rPr>
                <w:color w:val="000000" w:themeColor="text1"/>
                <w:sz w:val="24"/>
                <w:szCs w:val="24"/>
              </w:rPr>
              <w:t xml:space="preserve">Noteikumos Nr.227 </w:t>
            </w:r>
            <w:r w:rsidR="008C42DD">
              <w:rPr>
                <w:color w:val="000000" w:themeColor="text1"/>
                <w:sz w:val="24"/>
                <w:szCs w:val="24"/>
              </w:rPr>
              <w:t xml:space="preserve">šis regulējums </w:t>
            </w:r>
            <w:r>
              <w:rPr>
                <w:color w:val="000000" w:themeColor="text1"/>
                <w:sz w:val="24"/>
                <w:szCs w:val="24"/>
              </w:rPr>
              <w:t xml:space="preserve">tiek </w:t>
            </w:r>
            <w:r w:rsidR="008C42DD">
              <w:rPr>
                <w:color w:val="000000" w:themeColor="text1"/>
                <w:sz w:val="24"/>
                <w:szCs w:val="24"/>
              </w:rPr>
              <w:t>izslēgts.</w:t>
            </w:r>
            <w:r w:rsidR="00305129">
              <w:rPr>
                <w:color w:val="000000" w:themeColor="text1"/>
                <w:sz w:val="24"/>
                <w:szCs w:val="24"/>
              </w:rPr>
              <w:t xml:space="preserve"> Līdz ar to komisijai pirms</w:t>
            </w:r>
            <w:r>
              <w:rPr>
                <w:color w:val="000000" w:themeColor="text1"/>
                <w:sz w:val="24"/>
                <w:szCs w:val="24"/>
              </w:rPr>
              <w:t xml:space="preserve"> advokātu</w:t>
            </w:r>
            <w:r w:rsidR="00305129">
              <w:rPr>
                <w:color w:val="000000" w:themeColor="text1"/>
                <w:sz w:val="24"/>
                <w:szCs w:val="24"/>
              </w:rPr>
              <w:t xml:space="preserve"> eksāmena būs nepieciešams saprast, vai nevar izveidoties interešu konflikta situācija un nodrošināt attiecīgu komisijas sast</w:t>
            </w:r>
            <w:r w:rsidR="00FC142A">
              <w:rPr>
                <w:color w:val="000000" w:themeColor="text1"/>
                <w:sz w:val="24"/>
                <w:szCs w:val="24"/>
              </w:rPr>
              <w:t xml:space="preserve">āvu, lai būtu nepieciešamais </w:t>
            </w:r>
            <w:r w:rsidR="00434969">
              <w:rPr>
                <w:color w:val="000000" w:themeColor="text1"/>
                <w:sz w:val="24"/>
                <w:szCs w:val="24"/>
              </w:rPr>
              <w:t>komisijas locekļu skaits.</w:t>
            </w:r>
          </w:p>
          <w:p w:rsidR="004D15A9" w:rsidRPr="00921534" w:rsidRDefault="00921534" w:rsidP="00DE55E3">
            <w:pPr>
              <w:pStyle w:val="Bezatstarpm"/>
              <w:ind w:firstLine="709"/>
              <w:jc w:val="both"/>
              <w:rPr>
                <w:rFonts w:ascii="Times New Roman" w:hAnsi="Times New Roman"/>
                <w:iCs/>
                <w:sz w:val="24"/>
                <w:szCs w:val="24"/>
              </w:rPr>
            </w:pPr>
            <w:r w:rsidRPr="00921534">
              <w:rPr>
                <w:rFonts w:ascii="Times New Roman" w:hAnsi="Times New Roman"/>
                <w:iCs/>
                <w:sz w:val="24"/>
                <w:szCs w:val="24"/>
              </w:rPr>
              <w:t>Dokumentu juridiskā spēka likuma 6. panta trešā daļa noteic, ka personu apliecinošu dokumentu atvasinājums neapliecina personas identitāti un tiesisko statusu un nav izmantojams tiesību īstenošanai vai likumisko interešu aizstāvībai personu apliecinoša dokumenta oriģināla vietā.</w:t>
            </w:r>
            <w:r>
              <w:rPr>
                <w:rFonts w:ascii="Times New Roman" w:hAnsi="Times New Roman"/>
                <w:iCs/>
                <w:sz w:val="24"/>
                <w:szCs w:val="24"/>
              </w:rPr>
              <w:t xml:space="preserve"> Ņemot vērā minēto, tiek </w:t>
            </w:r>
            <w:proofErr w:type="gramStart"/>
            <w:r>
              <w:rPr>
                <w:rFonts w:ascii="Times New Roman" w:hAnsi="Times New Roman"/>
                <w:iCs/>
                <w:sz w:val="24"/>
                <w:szCs w:val="24"/>
              </w:rPr>
              <w:t>precizēt</w:t>
            </w:r>
            <w:r w:rsidR="002C7DC3">
              <w:rPr>
                <w:rFonts w:ascii="Times New Roman" w:hAnsi="Times New Roman"/>
                <w:iCs/>
                <w:sz w:val="24"/>
                <w:szCs w:val="24"/>
              </w:rPr>
              <w:t>a</w:t>
            </w:r>
            <w:r>
              <w:rPr>
                <w:rFonts w:ascii="Times New Roman" w:hAnsi="Times New Roman"/>
                <w:iCs/>
                <w:sz w:val="24"/>
                <w:szCs w:val="24"/>
              </w:rPr>
              <w:t xml:space="preserve"> Noteikumu</w:t>
            </w:r>
            <w:proofErr w:type="gramEnd"/>
            <w:r>
              <w:rPr>
                <w:rFonts w:ascii="Times New Roman" w:hAnsi="Times New Roman"/>
                <w:iCs/>
                <w:sz w:val="24"/>
                <w:szCs w:val="24"/>
              </w:rPr>
              <w:t xml:space="preserve"> Nr.227 3. punkt</w:t>
            </w:r>
            <w:r w:rsidR="002C7DC3">
              <w:rPr>
                <w:rFonts w:ascii="Times New Roman" w:hAnsi="Times New Roman"/>
                <w:iCs/>
                <w:sz w:val="24"/>
                <w:szCs w:val="24"/>
              </w:rPr>
              <w:t>a ievaddaļa</w:t>
            </w:r>
            <w:r>
              <w:rPr>
                <w:rFonts w:ascii="Times New Roman" w:hAnsi="Times New Roman"/>
                <w:iCs/>
                <w:sz w:val="24"/>
                <w:szCs w:val="24"/>
              </w:rPr>
              <w:t xml:space="preserve"> un svītrots 3.1. apakšpunkts, kas paredz, ka advokātu pretendents, sūtot dokumentus pa pastu, pievieno tiem p</w:t>
            </w:r>
            <w:r w:rsidR="00DE55E3">
              <w:rPr>
                <w:rFonts w:ascii="Times New Roman" w:hAnsi="Times New Roman"/>
                <w:iCs/>
                <w:sz w:val="24"/>
                <w:szCs w:val="24"/>
              </w:rPr>
              <w:t>ersonu apliecinoša dokumenta</w:t>
            </w:r>
            <w:r>
              <w:rPr>
                <w:rFonts w:ascii="Times New Roman" w:hAnsi="Times New Roman"/>
                <w:iCs/>
                <w:sz w:val="24"/>
                <w:szCs w:val="24"/>
              </w:rPr>
              <w:t xml:space="preserve"> kopiju.</w:t>
            </w:r>
            <w:bookmarkStart w:id="0" w:name="p-275049"/>
            <w:bookmarkStart w:id="1" w:name="p39"/>
            <w:bookmarkEnd w:id="0"/>
            <w:bookmarkEnd w:id="1"/>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646539" w:rsidRDefault="000B7290" w:rsidP="00A6489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Padome</w:t>
            </w:r>
            <w:r w:rsidR="00183BCE">
              <w:rPr>
                <w:rFonts w:ascii="Times New Roman" w:eastAsia="Times New Roman" w:hAnsi="Times New Roman" w:cs="Times New Roman"/>
                <w:sz w:val="24"/>
                <w:szCs w:val="24"/>
                <w:lang w:eastAsia="lv-LV"/>
              </w:rPr>
              <w:t>, darba grupas locekļi</w:t>
            </w:r>
            <w:r w:rsidR="00A64897">
              <w:rPr>
                <w:rFonts w:ascii="Times New Roman" w:eastAsia="Times New Roman" w:hAnsi="Times New Roman" w:cs="Times New Roman"/>
                <w:sz w:val="24"/>
                <w:szCs w:val="24"/>
                <w:lang w:eastAsia="lv-LV"/>
              </w:rPr>
              <w:t xml:space="preserve"> un </w:t>
            </w:r>
            <w:r w:rsidR="00183BCE">
              <w:rPr>
                <w:rFonts w:ascii="Times New Roman" w:eastAsia="Times New Roman" w:hAnsi="Times New Roman" w:cs="Times New Roman"/>
                <w:sz w:val="24"/>
                <w:szCs w:val="24"/>
                <w:lang w:eastAsia="lv-LV"/>
              </w:rPr>
              <w:t>komisijas locekļi.</w:t>
            </w:r>
          </w:p>
        </w:tc>
      </w:tr>
      <w:tr w:rsidR="00394159" w:rsidRPr="00394159"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646539" w:rsidRDefault="00CA7F10" w:rsidP="00320E6D">
            <w:pPr>
              <w:spacing w:after="0" w:line="240" w:lineRule="auto"/>
              <w:ind w:firstLine="300"/>
              <w:rPr>
                <w:rFonts w:ascii="Times New Roman" w:eastAsia="Times New Roman" w:hAnsi="Times New Roman" w:cs="Times New Roman"/>
                <w:sz w:val="24"/>
                <w:szCs w:val="24"/>
                <w:lang w:eastAsia="lv-LV"/>
              </w:rPr>
            </w:pPr>
            <w:r w:rsidRPr="00646539">
              <w:rPr>
                <w:rFonts w:ascii="Times New Roman" w:eastAsia="Times New Roman" w:hAnsi="Times New Roman" w:cs="Times New Roman"/>
                <w:sz w:val="24"/>
                <w:szCs w:val="24"/>
                <w:lang w:eastAsia="lv-LV"/>
              </w:rPr>
              <w:t>Nav.</w:t>
            </w:r>
          </w:p>
        </w:tc>
      </w:tr>
      <w:tr w:rsidR="00506E0A" w:rsidRPr="00394159" w:rsidTr="00D313D5">
        <w:trPr>
          <w:trHeight w:val="128"/>
        </w:trPr>
        <w:tc>
          <w:tcPr>
            <w:tcW w:w="5000" w:type="pct"/>
            <w:gridSpan w:val="4"/>
            <w:tcBorders>
              <w:top w:val="outset" w:sz="6" w:space="0" w:color="414142"/>
              <w:left w:val="nil"/>
              <w:bottom w:val="outset" w:sz="6" w:space="0" w:color="414142"/>
              <w:right w:val="nil"/>
            </w:tcBorders>
          </w:tcPr>
          <w:p w:rsidR="007132D9" w:rsidRPr="00394159" w:rsidRDefault="0081203F" w:rsidP="00320E6D">
            <w:pPr>
              <w:tabs>
                <w:tab w:val="left" w:pos="990"/>
              </w:tabs>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b/>
            </w:r>
          </w:p>
        </w:tc>
      </w:tr>
      <w:tr w:rsidR="00394159" w:rsidRPr="00394159" w:rsidTr="00101CD5">
        <w:trPr>
          <w:trHeight w:val="555"/>
        </w:trPr>
        <w:tc>
          <w:tcPr>
            <w:tcW w:w="0" w:type="auto"/>
            <w:gridSpan w:val="4"/>
            <w:tcBorders>
              <w:top w:val="nil"/>
              <w:left w:val="outset" w:sz="6" w:space="0" w:color="414142"/>
              <w:bottom w:val="outset" w:sz="6" w:space="0" w:color="414142"/>
              <w:right w:val="outset" w:sz="6" w:space="0" w:color="414142"/>
            </w:tcBorders>
            <w:vAlign w:val="center"/>
            <w:hideMark/>
          </w:tcPr>
          <w:p w:rsidR="004D15A9" w:rsidRPr="00394159" w:rsidRDefault="004D15A9" w:rsidP="00320E6D">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232C27" w:rsidRDefault="000B7290" w:rsidP="00320E6D">
            <w:pPr>
              <w:pStyle w:val="naiskr"/>
              <w:spacing w:before="0" w:after="0"/>
              <w:ind w:firstLine="283"/>
              <w:jc w:val="both"/>
            </w:pPr>
            <w:r>
              <w:t>Padome, personas, kuras</w:t>
            </w:r>
            <w:r w:rsidR="00183BCE">
              <w:t xml:space="preserve"> </w:t>
            </w:r>
            <w:r w:rsidR="00232C27">
              <w:t xml:space="preserve">nav advokāta palīgi un vēlas </w:t>
            </w:r>
          </w:p>
          <w:p w:rsidR="004D15A9" w:rsidRPr="00A062D6" w:rsidRDefault="00183BCE" w:rsidP="00C81E76">
            <w:pPr>
              <w:pStyle w:val="naiskr"/>
              <w:spacing w:before="0" w:after="0"/>
              <w:jc w:val="both"/>
              <w:rPr>
                <w:bCs/>
              </w:rPr>
            </w:pPr>
            <w:r>
              <w:t>kārtot advokāta eksāmenu,</w:t>
            </w:r>
            <w:r w:rsidR="00A64897">
              <w:t xml:space="preserve"> kā arī</w:t>
            </w:r>
            <w:r>
              <w:t xml:space="preserve"> komisijas locekļi.</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4C38EB" w:rsidRDefault="000B7290" w:rsidP="00320E6D">
            <w:pPr>
              <w:spacing w:after="0" w:line="240" w:lineRule="auto"/>
              <w:ind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4C38EB" w:rsidP="00320E6D">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394159" w:rsidRPr="00394159" w:rsidTr="002D58E4">
        <w:trPr>
          <w:trHeight w:val="164"/>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394159" w:rsidRDefault="004C38EB" w:rsidP="00320E6D">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06E0A" w:rsidRPr="00394159" w:rsidTr="00D313D5">
        <w:trPr>
          <w:trHeight w:val="345"/>
        </w:trPr>
        <w:tc>
          <w:tcPr>
            <w:tcW w:w="5000" w:type="pct"/>
            <w:gridSpan w:val="4"/>
            <w:tcBorders>
              <w:top w:val="outset" w:sz="6" w:space="0" w:color="414142"/>
              <w:left w:val="nil"/>
              <w:bottom w:val="single" w:sz="6" w:space="0" w:color="auto"/>
              <w:right w:val="nil"/>
            </w:tcBorders>
          </w:tcPr>
          <w:p w:rsidR="00031256" w:rsidRDefault="00031256" w:rsidP="00320E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64"/>
              <w:gridCol w:w="6291"/>
            </w:tblGrid>
            <w:tr w:rsidR="00F94EAF" w:rsidTr="009D0190">
              <w:trPr>
                <w:trHeight w:val="450"/>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F94EAF" w:rsidRDefault="00F94EAF" w:rsidP="009D0190">
                  <w:pPr>
                    <w:spacing w:after="0" w:line="240" w:lineRule="auto"/>
                    <w:ind w:firstLine="30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IV. Tiesību akta projekta ietekme uz spēkā esošo tiesību normu sistēmu</w:t>
                  </w:r>
                </w:p>
              </w:tc>
            </w:tr>
            <w:tr w:rsidR="00F94EAF" w:rsidRPr="00823F18" w:rsidTr="009D0190">
              <w:tc>
                <w:tcPr>
                  <w:tcW w:w="1450" w:type="pct"/>
                  <w:tcBorders>
                    <w:top w:val="outset" w:sz="6" w:space="0" w:color="414142"/>
                    <w:left w:val="outset" w:sz="6" w:space="0" w:color="414142"/>
                    <w:bottom w:val="outset" w:sz="6" w:space="0" w:color="414142"/>
                    <w:right w:val="outset" w:sz="6" w:space="0" w:color="414142"/>
                  </w:tcBorders>
                  <w:hideMark/>
                </w:tcPr>
                <w:p w:rsidR="00F94EAF" w:rsidRDefault="00F94EAF" w:rsidP="009D01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F94EAF" w:rsidRPr="008A2AEE" w:rsidRDefault="008A2AEE" w:rsidP="00A64897">
                  <w:pPr>
                    <w:spacing w:after="0" w:line="240" w:lineRule="auto"/>
                    <w:jc w:val="both"/>
                    <w:rPr>
                      <w:rFonts w:ascii="Times New Roman" w:eastAsia="Times New Roman" w:hAnsi="Times New Roman"/>
                      <w:sz w:val="24"/>
                      <w:szCs w:val="24"/>
                      <w:lang w:eastAsia="lv-LV"/>
                    </w:rPr>
                  </w:pPr>
                  <w:r w:rsidRPr="00703D50">
                    <w:rPr>
                      <w:rFonts w:ascii="Times New Roman" w:eastAsia="Times New Roman" w:hAnsi="Times New Roman"/>
                      <w:color w:val="000000" w:themeColor="text1"/>
                      <w:sz w:val="24"/>
                      <w:szCs w:val="24"/>
                      <w:lang w:eastAsia="lv-LV"/>
                    </w:rPr>
                    <w:t xml:space="preserve">Vienlaikus ar </w:t>
                  </w:r>
                  <w:r w:rsidR="00A64897" w:rsidRPr="00703D50">
                    <w:rPr>
                      <w:rFonts w:ascii="Times New Roman" w:eastAsia="Times New Roman" w:hAnsi="Times New Roman"/>
                      <w:color w:val="000000" w:themeColor="text1"/>
                      <w:sz w:val="24"/>
                      <w:szCs w:val="24"/>
                      <w:lang w:eastAsia="lv-LV"/>
                    </w:rPr>
                    <w:t xml:space="preserve">Ministru kabineta noteikumu projektu "Grozījumi </w:t>
                  </w:r>
                  <w:r w:rsidR="00A64897" w:rsidRPr="00703D50">
                    <w:rPr>
                      <w:rFonts w:ascii="Times New Roman" w:hAnsi="Times New Roman" w:cs="Times New Roman"/>
                      <w:color w:val="000000" w:themeColor="text1"/>
                      <w:sz w:val="24"/>
                      <w:szCs w:val="24"/>
                    </w:rPr>
                    <w:t xml:space="preserve">Ministru kabineta 2009. gada 10. marta noteikumos Nr. 227 „Zvērināta advokāta eksāmena kārtība”” (turpmāk – </w:t>
                  </w:r>
                  <w:r w:rsidRPr="00703D50">
                    <w:rPr>
                      <w:rFonts w:ascii="Times New Roman" w:eastAsia="Times New Roman" w:hAnsi="Times New Roman"/>
                      <w:color w:val="000000" w:themeColor="text1"/>
                      <w:sz w:val="24"/>
                      <w:szCs w:val="24"/>
                      <w:lang w:eastAsia="lv-LV"/>
                    </w:rPr>
                    <w:t>projekt</w:t>
                  </w:r>
                  <w:r w:rsidR="00A64897" w:rsidRPr="00703D50">
                    <w:rPr>
                      <w:rFonts w:ascii="Times New Roman" w:eastAsia="Times New Roman" w:hAnsi="Times New Roman"/>
                      <w:color w:val="000000" w:themeColor="text1"/>
                      <w:sz w:val="24"/>
                      <w:szCs w:val="24"/>
                      <w:lang w:eastAsia="lv-LV"/>
                    </w:rPr>
                    <w:t>s)</w:t>
                  </w:r>
                  <w:r w:rsidRPr="00703D50">
                    <w:rPr>
                      <w:rFonts w:ascii="Times New Roman" w:eastAsia="Times New Roman" w:hAnsi="Times New Roman"/>
                      <w:color w:val="000000" w:themeColor="text1"/>
                      <w:sz w:val="24"/>
                      <w:szCs w:val="24"/>
                      <w:lang w:eastAsia="lv-LV"/>
                    </w:rPr>
                    <w:t xml:space="preserve"> ir jāstājas spēkā Ministru kabineta noteikumu projektam "Grozījumi </w:t>
                  </w:r>
                  <w:r w:rsidRPr="00703D50">
                    <w:rPr>
                      <w:rFonts w:ascii="Times New Roman" w:hAnsi="Times New Roman" w:cs="Times New Roman"/>
                      <w:color w:val="000000" w:themeColor="text1"/>
                      <w:sz w:val="24"/>
                      <w:szCs w:val="24"/>
                    </w:rPr>
                    <w:t>Ministru kabineta 2004. gada 20. jūlija noteikumos Nr.609 „Noteikumi par advokāta eksāmena maksu””</w:t>
                  </w:r>
                  <w:r w:rsidRPr="00703D50">
                    <w:rPr>
                      <w:rFonts w:ascii="Times New Roman" w:hAnsi="Times New Roman" w:cs="Times New Roman"/>
                      <w:bCs/>
                      <w:color w:val="000000" w:themeColor="text1"/>
                      <w:sz w:val="24"/>
                      <w:szCs w:val="24"/>
                    </w:rPr>
                    <w:t>. Līdz ar to projekt</w:t>
                  </w:r>
                  <w:r w:rsidR="00A64897" w:rsidRPr="00703D50">
                    <w:rPr>
                      <w:rFonts w:ascii="Times New Roman" w:hAnsi="Times New Roman" w:cs="Times New Roman"/>
                      <w:bCs/>
                      <w:color w:val="000000" w:themeColor="text1"/>
                      <w:sz w:val="24"/>
                      <w:szCs w:val="24"/>
                    </w:rPr>
                    <w:t xml:space="preserve">s un </w:t>
                  </w:r>
                  <w:r w:rsidR="00A64897" w:rsidRPr="00703D50">
                    <w:rPr>
                      <w:rFonts w:ascii="Times New Roman" w:eastAsia="Times New Roman" w:hAnsi="Times New Roman"/>
                      <w:color w:val="000000" w:themeColor="text1"/>
                      <w:sz w:val="24"/>
                      <w:szCs w:val="24"/>
                      <w:lang w:eastAsia="lv-LV"/>
                    </w:rPr>
                    <w:t xml:space="preserve">Ministru kabineta noteikumu projekts "Grozījumi </w:t>
                  </w:r>
                  <w:r w:rsidR="00A64897" w:rsidRPr="00703D50">
                    <w:rPr>
                      <w:rFonts w:ascii="Times New Roman" w:hAnsi="Times New Roman" w:cs="Times New Roman"/>
                      <w:color w:val="000000" w:themeColor="text1"/>
                      <w:sz w:val="24"/>
                      <w:szCs w:val="24"/>
                    </w:rPr>
                    <w:t>Ministru kabineta 2004. gada 20. jūlija noteikumos Nr.609 „Noteikumi par advokāta eksāmena maksu””</w:t>
                  </w:r>
                  <w:r w:rsidRPr="00703D50">
                    <w:rPr>
                      <w:rFonts w:ascii="Times New Roman" w:hAnsi="Times New Roman" w:cs="Times New Roman"/>
                      <w:bCs/>
                      <w:color w:val="000000" w:themeColor="text1"/>
                      <w:sz w:val="24"/>
                      <w:szCs w:val="24"/>
                    </w:rPr>
                    <w:t xml:space="preserve"> vienlaikus tiks virzīti izsludināšanai Valsts sekretāru sanāksmē, kā arī vienlaikus tiks iesniegti izskatīšanai Ministru kabinetā, nodrošinot to vienlaicīgu spēkā stāšanos.</w:t>
                  </w:r>
                </w:p>
              </w:tc>
            </w:tr>
            <w:tr w:rsidR="00F94EAF" w:rsidTr="009D0190">
              <w:tc>
                <w:tcPr>
                  <w:tcW w:w="1450" w:type="pct"/>
                  <w:tcBorders>
                    <w:top w:val="outset" w:sz="6" w:space="0" w:color="414142"/>
                    <w:left w:val="outset" w:sz="6" w:space="0" w:color="414142"/>
                    <w:bottom w:val="outset" w:sz="6" w:space="0" w:color="414142"/>
                    <w:right w:val="outset" w:sz="6" w:space="0" w:color="414142"/>
                  </w:tcBorders>
                  <w:hideMark/>
                </w:tcPr>
                <w:p w:rsidR="00F94EAF" w:rsidRDefault="00F94EAF" w:rsidP="009D01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94EAF" w:rsidRDefault="00F94EAF" w:rsidP="009D01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Tieslietu ministrija</w:t>
                  </w:r>
                </w:p>
              </w:tc>
            </w:tr>
            <w:tr w:rsidR="00F94EAF" w:rsidTr="009D0190">
              <w:tc>
                <w:tcPr>
                  <w:tcW w:w="1450" w:type="pct"/>
                  <w:tcBorders>
                    <w:top w:val="outset" w:sz="6" w:space="0" w:color="414142"/>
                    <w:left w:val="outset" w:sz="6" w:space="0" w:color="414142"/>
                    <w:bottom w:val="outset" w:sz="6" w:space="0" w:color="414142"/>
                    <w:right w:val="outset" w:sz="6" w:space="0" w:color="414142"/>
                  </w:tcBorders>
                  <w:hideMark/>
                </w:tcPr>
                <w:p w:rsidR="00F94EAF" w:rsidRDefault="00F94EAF" w:rsidP="009D01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94EAF" w:rsidRDefault="00F94EAF" w:rsidP="009D01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Nav</w:t>
                  </w:r>
                </w:p>
              </w:tc>
            </w:tr>
          </w:tbl>
          <w:p w:rsidR="00F94EAF" w:rsidRDefault="00F94EAF" w:rsidP="00320E6D">
            <w:pPr>
              <w:spacing w:after="0" w:line="240" w:lineRule="auto"/>
              <w:rPr>
                <w:rFonts w:ascii="Times New Roman" w:eastAsia="Times New Roman" w:hAnsi="Times New Roman" w:cs="Times New Roman"/>
                <w:sz w:val="24"/>
                <w:szCs w:val="24"/>
                <w:lang w:eastAsia="lv-LV"/>
              </w:rPr>
            </w:pPr>
          </w:p>
          <w:p w:rsidR="00F94EAF" w:rsidRDefault="00F94EAF" w:rsidP="00320E6D">
            <w:pPr>
              <w:spacing w:after="0" w:line="240" w:lineRule="auto"/>
              <w:rPr>
                <w:rFonts w:ascii="Times New Roman" w:eastAsia="Times New Roman" w:hAnsi="Times New Roman" w:cs="Times New Roman"/>
                <w:sz w:val="24"/>
                <w:szCs w:val="24"/>
                <w:lang w:eastAsia="lv-LV"/>
              </w:rPr>
            </w:pPr>
          </w:p>
          <w:p w:rsidR="00F94EAF" w:rsidRPr="00394159" w:rsidRDefault="00F94EAF" w:rsidP="00320E6D">
            <w:pPr>
              <w:spacing w:after="0" w:line="240" w:lineRule="auto"/>
              <w:rPr>
                <w:rFonts w:ascii="Times New Roman" w:eastAsia="Times New Roman" w:hAnsi="Times New Roman" w:cs="Times New Roman"/>
                <w:sz w:val="24"/>
                <w:szCs w:val="24"/>
                <w:lang w:eastAsia="lv-LV"/>
              </w:rPr>
            </w:pPr>
          </w:p>
        </w:tc>
      </w:tr>
      <w:tr w:rsidR="00394159" w:rsidRPr="00394159" w:rsidTr="004D15A9">
        <w:trPr>
          <w:trHeight w:val="420"/>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320E6D">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 Sabiedrības līdzdalība un komunikācijas aktivitātes</w:t>
            </w:r>
          </w:p>
        </w:tc>
      </w:tr>
      <w:tr w:rsidR="000B7290" w:rsidRPr="00394159"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B7290" w:rsidRPr="00A87FFE" w:rsidRDefault="00C14076" w:rsidP="00320E6D">
            <w:pPr>
              <w:spacing w:after="0" w:line="240" w:lineRule="auto"/>
              <w:jc w:val="both"/>
              <w:rPr>
                <w:rFonts w:ascii="Times New Roman" w:eastAsia="Times New Roman" w:hAnsi="Times New Roman" w:cs="Times New Roman"/>
                <w:sz w:val="24"/>
                <w:szCs w:val="24"/>
                <w:lang w:eastAsia="lv-LV"/>
              </w:rPr>
            </w:pPr>
            <w:r w:rsidRPr="00100D4E">
              <w:rPr>
                <w:rFonts w:ascii="Times New Roman" w:eastAsia="Times New Roman" w:hAnsi="Times New Roman"/>
                <w:color w:val="000000"/>
                <w:sz w:val="24"/>
                <w:szCs w:val="24"/>
                <w:lang w:eastAsia="lv-LV"/>
              </w:rPr>
              <w:t>P</w:t>
            </w:r>
            <w:r w:rsidR="00C12D72" w:rsidRPr="00100D4E">
              <w:rPr>
                <w:rFonts w:ascii="Times New Roman" w:eastAsia="Times New Roman" w:hAnsi="Times New Roman"/>
                <w:color w:val="000000"/>
                <w:sz w:val="24"/>
                <w:szCs w:val="24"/>
                <w:lang w:eastAsia="lv-LV"/>
              </w:rPr>
              <w:t xml:space="preserve">rojekts </w:t>
            </w:r>
            <w:proofErr w:type="gramStart"/>
            <w:r w:rsidR="00C12D72" w:rsidRPr="00100D4E">
              <w:rPr>
                <w:rFonts w:ascii="Times New Roman" w:eastAsia="Times New Roman" w:hAnsi="Times New Roman"/>
                <w:color w:val="000000"/>
                <w:sz w:val="24"/>
                <w:szCs w:val="24"/>
                <w:lang w:eastAsia="lv-LV"/>
              </w:rPr>
              <w:t>publicēts Tieslietu ministrijas tīmekļa vietnē sadaļā "Sabiedrības līdzdalība"</w:t>
            </w:r>
            <w:proofErr w:type="gramEnd"/>
            <w:r w:rsidR="00C12D72" w:rsidRPr="00100D4E">
              <w:rPr>
                <w:rFonts w:ascii="Times New Roman" w:eastAsia="Times New Roman" w:hAnsi="Times New Roman"/>
                <w:color w:val="000000"/>
                <w:sz w:val="24"/>
                <w:szCs w:val="24"/>
                <w:lang w:eastAsia="lv-LV"/>
              </w:rPr>
              <w:t>, tādējādi dodot iespēju sabiedrībai līdzdarboties tiesību</w:t>
            </w:r>
            <w:r w:rsidR="00C12D72" w:rsidRPr="00100D4E">
              <w:rPr>
                <w:rFonts w:ascii="Times New Roman" w:hAnsi="Times New Roman"/>
                <w:color w:val="000000"/>
                <w:sz w:val="24"/>
                <w:szCs w:val="24"/>
                <w:lang w:eastAsia="lv-LV"/>
              </w:rPr>
              <w:t xml:space="preserve"> akta izstrādes procesā.</w:t>
            </w:r>
          </w:p>
        </w:tc>
      </w:tr>
      <w:tr w:rsidR="000B7290" w:rsidRPr="00394159"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 projekta izstrādē</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B7290" w:rsidRPr="00100D4E" w:rsidRDefault="00C12D72" w:rsidP="00100D4E">
            <w:pPr>
              <w:spacing w:after="0" w:line="240" w:lineRule="auto"/>
              <w:jc w:val="both"/>
              <w:rPr>
                <w:rFonts w:ascii="Times New Roman" w:eastAsia="Times New Roman" w:hAnsi="Times New Roman" w:cs="Times New Roman"/>
                <w:sz w:val="24"/>
                <w:szCs w:val="24"/>
                <w:lang w:eastAsia="lv-LV"/>
              </w:rPr>
            </w:pPr>
            <w:r w:rsidRPr="00100D4E">
              <w:rPr>
                <w:rFonts w:ascii="Times New Roman" w:hAnsi="Times New Roman"/>
                <w:color w:val="000000"/>
                <w:sz w:val="24"/>
                <w:szCs w:val="24"/>
                <w:lang w:eastAsia="lv-LV"/>
              </w:rPr>
              <w:t>Lai informētu sabiedrību par noteikumu projektu un dotu iespēju izteikt par to viedokļus, noteikumu projekts saskaņā ar Ministru kabineta 2009. gada 25. augusta noteikumiem Nr. 970 "</w:t>
            </w:r>
            <w:r w:rsidRPr="00100D4E">
              <w:rPr>
                <w:rFonts w:ascii="Times New Roman" w:hAnsi="Times New Roman"/>
                <w:bCs/>
                <w:color w:val="000000"/>
                <w:sz w:val="24"/>
                <w:szCs w:val="24"/>
                <w:lang w:eastAsia="lv-LV"/>
              </w:rPr>
              <w:t xml:space="preserve">Sabiedrības līdzdalības kārtība attīstības plānošanas procesā" </w:t>
            </w:r>
            <w:r w:rsidRPr="00100D4E">
              <w:rPr>
                <w:rFonts w:ascii="Times New Roman" w:eastAsia="Times New Roman" w:hAnsi="Times New Roman"/>
                <w:color w:val="000000"/>
                <w:sz w:val="24"/>
                <w:szCs w:val="24"/>
                <w:lang w:eastAsia="lv-LV"/>
              </w:rPr>
              <w:t xml:space="preserve">2017. gada </w:t>
            </w:r>
            <w:r w:rsidR="00100D4E">
              <w:rPr>
                <w:rFonts w:ascii="Times New Roman" w:eastAsia="Times New Roman" w:hAnsi="Times New Roman"/>
                <w:color w:val="000000"/>
                <w:sz w:val="24"/>
                <w:szCs w:val="24"/>
                <w:lang w:eastAsia="lv-LV"/>
              </w:rPr>
              <w:t>24</w:t>
            </w:r>
            <w:r w:rsidRPr="00100D4E">
              <w:rPr>
                <w:rFonts w:ascii="Times New Roman" w:eastAsia="Times New Roman" w:hAnsi="Times New Roman"/>
                <w:color w:val="000000"/>
                <w:sz w:val="24"/>
                <w:szCs w:val="24"/>
                <w:lang w:eastAsia="lv-LV"/>
              </w:rPr>
              <w:t>. </w:t>
            </w:r>
            <w:r w:rsidR="00100D4E">
              <w:rPr>
                <w:rFonts w:ascii="Times New Roman" w:eastAsia="Times New Roman" w:hAnsi="Times New Roman"/>
                <w:color w:val="000000"/>
                <w:sz w:val="24"/>
                <w:szCs w:val="24"/>
                <w:lang w:eastAsia="lv-LV"/>
              </w:rPr>
              <w:t>martā</w:t>
            </w:r>
            <w:r w:rsidRPr="00100D4E">
              <w:rPr>
                <w:rFonts w:ascii="Times New Roman" w:eastAsia="Times New Roman" w:hAnsi="Times New Roman"/>
                <w:color w:val="000000"/>
                <w:sz w:val="24"/>
                <w:szCs w:val="24"/>
                <w:lang w:eastAsia="lv-LV"/>
              </w:rPr>
              <w:t xml:space="preserve"> tika ievietots Tieslietu ministrijas tīmekļa vietnē.</w:t>
            </w:r>
          </w:p>
        </w:tc>
      </w:tr>
      <w:tr w:rsidR="000B7290"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līdzdalības rezultāti</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B7290" w:rsidRPr="00100D4E" w:rsidRDefault="00C12D72" w:rsidP="00C14076">
            <w:pPr>
              <w:spacing w:after="0" w:line="240" w:lineRule="auto"/>
              <w:jc w:val="both"/>
              <w:rPr>
                <w:rFonts w:ascii="Times New Roman" w:eastAsia="Times New Roman" w:hAnsi="Times New Roman" w:cs="Times New Roman"/>
                <w:i/>
                <w:sz w:val="24"/>
                <w:szCs w:val="24"/>
                <w:lang w:eastAsia="lv-LV"/>
              </w:rPr>
            </w:pPr>
            <w:r w:rsidRPr="00100D4E">
              <w:rPr>
                <w:rFonts w:ascii="Times New Roman" w:eastAsia="Times New Roman" w:hAnsi="Times New Roman"/>
                <w:i/>
                <w:color w:val="000000"/>
                <w:sz w:val="24"/>
                <w:szCs w:val="24"/>
                <w:lang w:eastAsia="lv-LV"/>
              </w:rPr>
              <w:t>Pēc projekta ievietošanas Tieslietu ministrijas tīmekļa vietnē viedokļi par projektu no sabiedrības pārstāvju puses nav saņemti.</w:t>
            </w:r>
          </w:p>
        </w:tc>
      </w:tr>
      <w:tr w:rsidR="000B7290"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0B7290" w:rsidRPr="00394159" w:rsidRDefault="000B7290"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B7290" w:rsidRPr="00A87FFE" w:rsidRDefault="000B7290" w:rsidP="00320E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A87FFE">
              <w:rPr>
                <w:rFonts w:ascii="Times New Roman" w:eastAsia="Times New Roman" w:hAnsi="Times New Roman" w:cs="Times New Roman"/>
                <w:sz w:val="24"/>
                <w:szCs w:val="24"/>
                <w:lang w:eastAsia="lv-LV"/>
              </w:rPr>
              <w:t>adome atbalsta projektu.</w:t>
            </w:r>
          </w:p>
        </w:tc>
      </w:tr>
    </w:tbl>
    <w:p w:rsidR="004D15A9" w:rsidRDefault="004D15A9" w:rsidP="00320E6D">
      <w:pPr>
        <w:spacing w:after="0" w:line="240" w:lineRule="auto"/>
        <w:rPr>
          <w:rFonts w:ascii="Times New Roman" w:eastAsia="Times New Roman" w:hAnsi="Times New Roman" w:cs="Times New Roman"/>
          <w:sz w:val="24"/>
          <w:szCs w:val="24"/>
          <w:lang w:eastAsia="lv-LV"/>
        </w:rPr>
      </w:pPr>
    </w:p>
    <w:p w:rsidR="007132D9" w:rsidRPr="00394159" w:rsidRDefault="007132D9" w:rsidP="00320E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394159" w:rsidRPr="00394159"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320E6D">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VII. Tiesību akta projekta izpildes nodrošināšana un tās ietekme uz institūcijām</w:t>
            </w:r>
          </w:p>
        </w:tc>
      </w:tr>
      <w:tr w:rsidR="00394159" w:rsidRPr="00394159"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0B7290" w:rsidP="00C14076">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Padome</w:t>
            </w:r>
            <w:r w:rsidR="00C14076">
              <w:rPr>
                <w:rFonts w:ascii="Times New Roman" w:eastAsia="Times New Roman" w:hAnsi="Times New Roman" w:cs="Times New Roman"/>
                <w:sz w:val="24"/>
                <w:szCs w:val="24"/>
                <w:lang w:eastAsia="lv-LV"/>
              </w:rPr>
              <w:t xml:space="preserve"> un</w:t>
            </w:r>
            <w:r w:rsidR="00183BCE">
              <w:rPr>
                <w:rFonts w:ascii="Times New Roman" w:eastAsia="Times New Roman" w:hAnsi="Times New Roman" w:cs="Times New Roman"/>
                <w:sz w:val="24"/>
                <w:szCs w:val="24"/>
                <w:lang w:eastAsia="lv-LV"/>
              </w:rPr>
              <w:t xml:space="preserve"> komisija. </w:t>
            </w:r>
          </w:p>
        </w:tc>
      </w:tr>
      <w:tr w:rsidR="00394159" w:rsidRPr="00394159"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394159" w:rsidRDefault="004D15A9" w:rsidP="00320E6D">
            <w:pPr>
              <w:spacing w:after="0" w:line="240" w:lineRule="auto"/>
              <w:ind w:firstLine="300"/>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320E6D">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152991" w:rsidRPr="00394159" w:rsidTr="007C6457">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320E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320E6D">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624636" w:rsidRDefault="00624636" w:rsidP="00320E6D">
      <w:pPr>
        <w:spacing w:after="0" w:line="240" w:lineRule="auto"/>
        <w:rPr>
          <w:rFonts w:ascii="Times New Roman" w:hAnsi="Times New Roman" w:cs="Times New Roman"/>
          <w:i/>
          <w:sz w:val="24"/>
          <w:szCs w:val="24"/>
        </w:rPr>
      </w:pPr>
    </w:p>
    <w:p w:rsidR="0009153D" w:rsidRDefault="0009153D" w:rsidP="00320E6D">
      <w:pPr>
        <w:spacing w:after="0" w:line="240" w:lineRule="auto"/>
        <w:rPr>
          <w:rFonts w:ascii="Times New Roman" w:hAnsi="Times New Roman" w:cs="Times New Roman"/>
          <w:i/>
          <w:sz w:val="24"/>
          <w:szCs w:val="24"/>
        </w:rPr>
      </w:pPr>
      <w:r w:rsidRPr="00A87FFE">
        <w:rPr>
          <w:rFonts w:ascii="Times New Roman" w:hAnsi="Times New Roman" w:cs="Times New Roman"/>
          <w:i/>
          <w:sz w:val="24"/>
          <w:szCs w:val="24"/>
        </w:rPr>
        <w:t xml:space="preserve">Anotācijas </w:t>
      </w:r>
      <w:r w:rsidR="000B7290">
        <w:rPr>
          <w:rFonts w:ascii="Times New Roman" w:hAnsi="Times New Roman" w:cs="Times New Roman"/>
          <w:i/>
          <w:sz w:val="24"/>
          <w:szCs w:val="24"/>
        </w:rPr>
        <w:t>II</w:t>
      </w:r>
      <w:r w:rsidRPr="00152991">
        <w:rPr>
          <w:rFonts w:ascii="Times New Roman" w:hAnsi="Times New Roman" w:cs="Times New Roman"/>
          <w:i/>
          <w:sz w:val="24"/>
          <w:szCs w:val="24"/>
        </w:rPr>
        <w:t>I</w:t>
      </w:r>
      <w:r w:rsidR="00B615A0">
        <w:rPr>
          <w:rFonts w:ascii="Times New Roman" w:hAnsi="Times New Roman" w:cs="Times New Roman"/>
          <w:i/>
          <w:sz w:val="24"/>
          <w:szCs w:val="24"/>
        </w:rPr>
        <w:t xml:space="preserve"> </w:t>
      </w:r>
      <w:r w:rsidRPr="00152991">
        <w:rPr>
          <w:rFonts w:ascii="Times New Roman" w:hAnsi="Times New Roman" w:cs="Times New Roman"/>
          <w:i/>
          <w:sz w:val="24"/>
          <w:szCs w:val="24"/>
        </w:rPr>
        <w:t>un</w:t>
      </w:r>
      <w:r w:rsidR="00344E0A">
        <w:rPr>
          <w:rFonts w:ascii="Times New Roman" w:hAnsi="Times New Roman" w:cs="Times New Roman"/>
          <w:i/>
          <w:sz w:val="24"/>
          <w:szCs w:val="24"/>
        </w:rPr>
        <w:t xml:space="preserve"> V sadaļa – </w:t>
      </w:r>
      <w:r w:rsidR="00C14076">
        <w:rPr>
          <w:rFonts w:ascii="Times New Roman" w:hAnsi="Times New Roman" w:cs="Times New Roman"/>
          <w:i/>
          <w:sz w:val="24"/>
          <w:szCs w:val="24"/>
        </w:rPr>
        <w:t>p</w:t>
      </w:r>
      <w:r w:rsidRPr="00A87FFE">
        <w:rPr>
          <w:rFonts w:ascii="Times New Roman" w:hAnsi="Times New Roman" w:cs="Times New Roman"/>
          <w:i/>
          <w:sz w:val="24"/>
          <w:szCs w:val="24"/>
        </w:rPr>
        <w:t>rojekts šīs jomas neskar.</w:t>
      </w:r>
    </w:p>
    <w:p w:rsidR="0009153D" w:rsidRPr="00394159" w:rsidRDefault="0009153D" w:rsidP="00320E6D">
      <w:pPr>
        <w:spacing w:after="0" w:line="240" w:lineRule="auto"/>
        <w:rPr>
          <w:rFonts w:ascii="Times New Roman" w:hAnsi="Times New Roman" w:cs="Times New Roman"/>
          <w:sz w:val="24"/>
          <w:szCs w:val="24"/>
        </w:rPr>
      </w:pPr>
    </w:p>
    <w:p w:rsidR="00C016AD" w:rsidRPr="00C016AD" w:rsidRDefault="00C016AD" w:rsidP="00320E6D">
      <w:pPr>
        <w:pStyle w:val="StyleRight"/>
        <w:spacing w:after="0"/>
        <w:ind w:firstLine="0"/>
        <w:jc w:val="both"/>
        <w:rPr>
          <w:sz w:val="24"/>
          <w:szCs w:val="24"/>
        </w:rPr>
      </w:pPr>
      <w:r w:rsidRPr="00C016AD">
        <w:rPr>
          <w:sz w:val="24"/>
          <w:szCs w:val="24"/>
        </w:rPr>
        <w:t>Ministru prezidents</w:t>
      </w:r>
      <w:r w:rsidRPr="00C016AD">
        <w:rPr>
          <w:sz w:val="24"/>
          <w:szCs w:val="24"/>
        </w:rPr>
        <w:tab/>
      </w:r>
      <w:r w:rsidRPr="00C016AD">
        <w:rPr>
          <w:sz w:val="24"/>
          <w:szCs w:val="24"/>
        </w:rPr>
        <w:tab/>
      </w:r>
      <w:r w:rsidRPr="00C016AD">
        <w:rPr>
          <w:sz w:val="24"/>
          <w:szCs w:val="24"/>
        </w:rPr>
        <w:tab/>
      </w:r>
      <w:r w:rsidRPr="00C016AD">
        <w:rPr>
          <w:sz w:val="24"/>
          <w:szCs w:val="24"/>
        </w:rPr>
        <w:tab/>
      </w:r>
      <w:r w:rsidRPr="00C016AD">
        <w:rPr>
          <w:sz w:val="24"/>
          <w:szCs w:val="24"/>
        </w:rPr>
        <w:tab/>
      </w:r>
      <w:r w:rsidRPr="00C016AD">
        <w:rPr>
          <w:sz w:val="24"/>
          <w:szCs w:val="24"/>
        </w:rPr>
        <w:tab/>
      </w:r>
      <w:proofErr w:type="gramStart"/>
      <w:r>
        <w:rPr>
          <w:sz w:val="24"/>
          <w:szCs w:val="24"/>
        </w:rPr>
        <w:t xml:space="preserve">                    </w:t>
      </w:r>
      <w:r w:rsidR="008F2590">
        <w:rPr>
          <w:sz w:val="24"/>
          <w:szCs w:val="24"/>
        </w:rPr>
        <w:t xml:space="preserve">  </w:t>
      </w:r>
      <w:proofErr w:type="gramEnd"/>
      <w:r>
        <w:rPr>
          <w:sz w:val="24"/>
          <w:szCs w:val="24"/>
        </w:rPr>
        <w:t>Māris Kučinskis</w:t>
      </w:r>
    </w:p>
    <w:p w:rsidR="00C016AD" w:rsidRPr="00C016AD" w:rsidRDefault="00C016AD" w:rsidP="00320E6D">
      <w:pPr>
        <w:pStyle w:val="StyleRight"/>
        <w:spacing w:after="0"/>
        <w:ind w:firstLine="0"/>
        <w:jc w:val="both"/>
        <w:rPr>
          <w:sz w:val="24"/>
          <w:szCs w:val="24"/>
        </w:rPr>
      </w:pPr>
    </w:p>
    <w:p w:rsidR="00C016AD" w:rsidRPr="00C016AD" w:rsidRDefault="00C016AD" w:rsidP="00320E6D">
      <w:pPr>
        <w:pStyle w:val="StyleRight"/>
        <w:spacing w:after="0"/>
        <w:ind w:firstLine="0"/>
        <w:jc w:val="both"/>
        <w:rPr>
          <w:sz w:val="24"/>
          <w:szCs w:val="24"/>
        </w:rPr>
      </w:pPr>
      <w:r w:rsidRPr="00C016AD">
        <w:rPr>
          <w:sz w:val="24"/>
          <w:szCs w:val="24"/>
        </w:rPr>
        <w:t>Tieslietu ministrs</w:t>
      </w:r>
      <w:r w:rsidRPr="00C016AD">
        <w:rPr>
          <w:sz w:val="24"/>
          <w:szCs w:val="24"/>
        </w:rPr>
        <w:tab/>
      </w:r>
      <w:r w:rsidRPr="00C016AD">
        <w:rPr>
          <w:sz w:val="24"/>
          <w:szCs w:val="24"/>
        </w:rPr>
        <w:tab/>
      </w:r>
      <w:r w:rsidRPr="00C016AD">
        <w:rPr>
          <w:sz w:val="24"/>
          <w:szCs w:val="24"/>
        </w:rPr>
        <w:tab/>
      </w:r>
      <w:r w:rsidRPr="00C016AD">
        <w:rPr>
          <w:sz w:val="24"/>
          <w:szCs w:val="24"/>
        </w:rPr>
        <w:tab/>
      </w:r>
      <w:r w:rsidRPr="00C016AD">
        <w:rPr>
          <w:sz w:val="24"/>
          <w:szCs w:val="24"/>
        </w:rPr>
        <w:tab/>
      </w:r>
      <w:r w:rsidRPr="00C016AD">
        <w:rPr>
          <w:sz w:val="24"/>
          <w:szCs w:val="24"/>
        </w:rPr>
        <w:tab/>
      </w:r>
      <w:r w:rsidRPr="00C016AD">
        <w:rPr>
          <w:sz w:val="24"/>
          <w:szCs w:val="24"/>
        </w:rPr>
        <w:tab/>
      </w:r>
      <w:proofErr w:type="gramStart"/>
      <w:r>
        <w:rPr>
          <w:sz w:val="24"/>
          <w:szCs w:val="24"/>
        </w:rPr>
        <w:t xml:space="preserve">          </w:t>
      </w:r>
      <w:proofErr w:type="gramEnd"/>
      <w:r>
        <w:rPr>
          <w:sz w:val="24"/>
          <w:szCs w:val="24"/>
        </w:rPr>
        <w:t>Dzintars Rasnačs</w:t>
      </w:r>
    </w:p>
    <w:p w:rsidR="00C016AD" w:rsidRPr="00C016AD" w:rsidRDefault="00C016AD" w:rsidP="00320E6D">
      <w:pPr>
        <w:pStyle w:val="StyleRight"/>
        <w:spacing w:after="0"/>
        <w:ind w:firstLine="0"/>
        <w:jc w:val="both"/>
        <w:rPr>
          <w:sz w:val="24"/>
          <w:szCs w:val="24"/>
        </w:rPr>
      </w:pPr>
    </w:p>
    <w:p w:rsidR="00C016AD" w:rsidRPr="00C016AD" w:rsidRDefault="00C016AD" w:rsidP="00320E6D">
      <w:pPr>
        <w:pStyle w:val="StyleRight"/>
        <w:spacing w:after="0"/>
        <w:ind w:firstLine="0"/>
        <w:jc w:val="both"/>
        <w:rPr>
          <w:sz w:val="24"/>
          <w:szCs w:val="24"/>
        </w:rPr>
      </w:pPr>
      <w:r w:rsidRPr="00C016AD">
        <w:rPr>
          <w:sz w:val="24"/>
          <w:szCs w:val="24"/>
        </w:rPr>
        <w:t>Iesniedzējs:</w:t>
      </w:r>
    </w:p>
    <w:p w:rsidR="00C016AD" w:rsidRPr="00C016AD" w:rsidRDefault="00C016AD" w:rsidP="00320E6D">
      <w:pPr>
        <w:pStyle w:val="StyleRight"/>
        <w:spacing w:after="0"/>
        <w:ind w:firstLine="0"/>
        <w:jc w:val="both"/>
        <w:rPr>
          <w:sz w:val="24"/>
          <w:szCs w:val="24"/>
        </w:rPr>
      </w:pPr>
      <w:r>
        <w:rPr>
          <w:sz w:val="24"/>
          <w:szCs w:val="24"/>
        </w:rPr>
        <w:t>t</w:t>
      </w:r>
      <w:r w:rsidR="000D0107">
        <w:rPr>
          <w:sz w:val="24"/>
          <w:szCs w:val="24"/>
        </w:rPr>
        <w:t>ieslietu ministrs</w:t>
      </w:r>
      <w:r w:rsidR="000D0107">
        <w:rPr>
          <w:sz w:val="24"/>
          <w:szCs w:val="24"/>
        </w:rPr>
        <w:tab/>
      </w:r>
      <w:r w:rsidR="000D0107">
        <w:rPr>
          <w:sz w:val="24"/>
          <w:szCs w:val="24"/>
        </w:rPr>
        <w:tab/>
      </w:r>
      <w:r w:rsidR="000D0107">
        <w:rPr>
          <w:sz w:val="24"/>
          <w:szCs w:val="24"/>
        </w:rPr>
        <w:tab/>
      </w:r>
      <w:r w:rsidR="000D0107">
        <w:rPr>
          <w:sz w:val="24"/>
          <w:szCs w:val="24"/>
        </w:rPr>
        <w:tab/>
        <w:t xml:space="preserve"> </w:t>
      </w:r>
      <w:r w:rsidR="000D0107">
        <w:rPr>
          <w:sz w:val="24"/>
          <w:szCs w:val="24"/>
        </w:rPr>
        <w:tab/>
      </w:r>
      <w:r w:rsidR="000D0107">
        <w:rPr>
          <w:sz w:val="24"/>
          <w:szCs w:val="24"/>
        </w:rPr>
        <w:tab/>
      </w:r>
      <w:r w:rsidR="000D0107">
        <w:rPr>
          <w:sz w:val="24"/>
          <w:szCs w:val="24"/>
        </w:rPr>
        <w:tab/>
      </w:r>
      <w:proofErr w:type="gramStart"/>
      <w:r w:rsidR="000D0107">
        <w:rPr>
          <w:sz w:val="24"/>
          <w:szCs w:val="24"/>
        </w:rPr>
        <w:t xml:space="preserve">          </w:t>
      </w:r>
      <w:proofErr w:type="gramEnd"/>
      <w:r>
        <w:rPr>
          <w:sz w:val="24"/>
          <w:szCs w:val="24"/>
        </w:rPr>
        <w:t>Dzintars Rasnačs</w:t>
      </w:r>
    </w:p>
    <w:p w:rsidR="00871DB8" w:rsidRDefault="00871DB8" w:rsidP="00320E6D">
      <w:pPr>
        <w:pStyle w:val="StyleRight"/>
        <w:spacing w:after="0"/>
        <w:ind w:firstLine="0"/>
        <w:jc w:val="both"/>
        <w:rPr>
          <w:sz w:val="24"/>
          <w:szCs w:val="24"/>
        </w:rPr>
      </w:pPr>
    </w:p>
    <w:p w:rsidR="000D0107" w:rsidRPr="00394159" w:rsidRDefault="000D0107" w:rsidP="00320E6D">
      <w:pPr>
        <w:pStyle w:val="StyleRight"/>
        <w:spacing w:after="0"/>
        <w:ind w:firstLine="0"/>
        <w:jc w:val="both"/>
        <w:rPr>
          <w:sz w:val="24"/>
          <w:szCs w:val="24"/>
        </w:rPr>
      </w:pPr>
    </w:p>
    <w:p w:rsidR="004D15A9" w:rsidRPr="009F7DA1" w:rsidRDefault="00100D4E" w:rsidP="00320E6D">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1A1EEC">
        <w:rPr>
          <w:rFonts w:ascii="Times New Roman" w:hAnsi="Times New Roman" w:cs="Times New Roman"/>
          <w:sz w:val="20"/>
          <w:szCs w:val="20"/>
        </w:rPr>
        <w:t>.</w:t>
      </w:r>
      <w:r w:rsidR="008A2AEE">
        <w:rPr>
          <w:rFonts w:ascii="Times New Roman" w:hAnsi="Times New Roman" w:cs="Times New Roman"/>
          <w:sz w:val="20"/>
          <w:szCs w:val="20"/>
        </w:rPr>
        <w:t>03</w:t>
      </w:r>
      <w:r w:rsidR="000D0107">
        <w:rPr>
          <w:rFonts w:ascii="Times New Roman" w:hAnsi="Times New Roman" w:cs="Times New Roman"/>
          <w:sz w:val="20"/>
          <w:szCs w:val="20"/>
        </w:rPr>
        <w:t>.2017</w:t>
      </w:r>
      <w:r w:rsidR="00624636" w:rsidRPr="009F7DA1">
        <w:rPr>
          <w:rFonts w:ascii="Times New Roman" w:hAnsi="Times New Roman" w:cs="Times New Roman"/>
          <w:sz w:val="20"/>
          <w:szCs w:val="20"/>
        </w:rPr>
        <w:t xml:space="preserve">. </w:t>
      </w:r>
      <w:r>
        <w:rPr>
          <w:rFonts w:ascii="Times New Roman" w:hAnsi="Times New Roman" w:cs="Times New Roman"/>
          <w:sz w:val="20"/>
          <w:szCs w:val="20"/>
        </w:rPr>
        <w:t>09</w:t>
      </w:r>
      <w:r w:rsidR="002F7EBF">
        <w:rPr>
          <w:rFonts w:ascii="Times New Roman" w:hAnsi="Times New Roman" w:cs="Times New Roman"/>
          <w:sz w:val="20"/>
          <w:szCs w:val="20"/>
        </w:rPr>
        <w:t>:</w:t>
      </w:r>
      <w:r w:rsidR="00722BA9">
        <w:rPr>
          <w:rFonts w:ascii="Times New Roman" w:hAnsi="Times New Roman" w:cs="Times New Roman"/>
          <w:sz w:val="20"/>
          <w:szCs w:val="20"/>
        </w:rPr>
        <w:t>39</w:t>
      </w:r>
    </w:p>
    <w:p w:rsidR="004D15A9" w:rsidRPr="00394159" w:rsidRDefault="00722BA9" w:rsidP="00320E6D">
      <w:pPr>
        <w:spacing w:after="0" w:line="240" w:lineRule="auto"/>
        <w:rPr>
          <w:rFonts w:ascii="Times New Roman" w:hAnsi="Times New Roman" w:cs="Times New Roman"/>
          <w:sz w:val="20"/>
          <w:szCs w:val="20"/>
        </w:rPr>
      </w:pPr>
      <w:r>
        <w:rPr>
          <w:rFonts w:ascii="Times New Roman" w:hAnsi="Times New Roman" w:cs="Times New Roman"/>
          <w:sz w:val="20"/>
          <w:szCs w:val="20"/>
        </w:rPr>
        <w:t>1605</w:t>
      </w:r>
    </w:p>
    <w:p w:rsidR="004D15A9" w:rsidRPr="00394159" w:rsidRDefault="00EC7EA8" w:rsidP="00320E6D">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S.Šube</w:t>
      </w:r>
      <w:proofErr w:type="spellEnd"/>
    </w:p>
    <w:p w:rsidR="004D15A9" w:rsidRPr="00394159" w:rsidRDefault="000B7290" w:rsidP="00320E6D">
      <w:pPr>
        <w:spacing w:after="0" w:line="240" w:lineRule="auto"/>
        <w:rPr>
          <w:rFonts w:ascii="Times New Roman" w:hAnsi="Times New Roman" w:cs="Times New Roman"/>
          <w:sz w:val="20"/>
          <w:szCs w:val="20"/>
        </w:rPr>
      </w:pPr>
      <w:r>
        <w:rPr>
          <w:rFonts w:ascii="Times New Roman" w:hAnsi="Times New Roman" w:cs="Times New Roman"/>
          <w:sz w:val="20"/>
          <w:szCs w:val="20"/>
        </w:rPr>
        <w:t>67036838</w:t>
      </w:r>
      <w:r w:rsidR="004D15A9" w:rsidRPr="00394159">
        <w:rPr>
          <w:rFonts w:ascii="Times New Roman" w:hAnsi="Times New Roman" w:cs="Times New Roman"/>
          <w:sz w:val="20"/>
          <w:szCs w:val="20"/>
        </w:rPr>
        <w:t xml:space="preserve">; </w:t>
      </w:r>
      <w:hyperlink r:id="rId9" w:history="1">
        <w:r w:rsidRPr="00EA7480">
          <w:rPr>
            <w:rStyle w:val="Hipersaite"/>
            <w:rFonts w:ascii="Times New Roman" w:hAnsi="Times New Roman" w:cs="Times New Roman"/>
            <w:sz w:val="20"/>
            <w:szCs w:val="20"/>
          </w:rPr>
          <w:t>Sindija.Sube@tm.gov.lv</w:t>
        </w:r>
      </w:hyperlink>
      <w:r w:rsidR="00DC7FC8">
        <w:rPr>
          <w:rFonts w:ascii="Times New Roman" w:hAnsi="Times New Roman" w:cs="Times New Roman"/>
          <w:sz w:val="20"/>
          <w:szCs w:val="20"/>
        </w:rPr>
        <w:t xml:space="preserve"> </w:t>
      </w:r>
    </w:p>
    <w:sectPr w:rsidR="004D15A9" w:rsidRPr="00394159" w:rsidSect="00F94EA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38" w:rsidRDefault="006D0038" w:rsidP="004D15A9">
      <w:pPr>
        <w:spacing w:after="0" w:line="240" w:lineRule="auto"/>
      </w:pPr>
      <w:r>
        <w:separator/>
      </w:r>
    </w:p>
  </w:endnote>
  <w:endnote w:type="continuationSeparator" w:id="0">
    <w:p w:rsidR="006D0038" w:rsidRDefault="006D0038"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9E" w:rsidRDefault="00EE209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650" w:rsidRPr="004D15A9" w:rsidRDefault="00EE7650" w:rsidP="00EE7650">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6D3846">
      <w:rPr>
        <w:rFonts w:ascii="Times New Roman" w:hAnsi="Times New Roman" w:cs="Times New Roman"/>
        <w:color w:val="000000" w:themeColor="text1"/>
        <w:sz w:val="20"/>
        <w:szCs w:val="20"/>
      </w:rPr>
      <w:t>2701</w:t>
    </w:r>
    <w:bookmarkStart w:id="2" w:name="_GoBack"/>
    <w:bookmarkEnd w:id="2"/>
    <w:r w:rsidR="00100D4E">
      <w:rPr>
        <w:rFonts w:ascii="Times New Roman" w:hAnsi="Times New Roman" w:cs="Times New Roman"/>
        <w:color w:val="000000" w:themeColor="text1"/>
        <w:sz w:val="20"/>
        <w:szCs w:val="20"/>
      </w:rPr>
      <w:t>17</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eksamens</w:t>
    </w:r>
    <w:r w:rsidRPr="004D15A9">
      <w:rPr>
        <w:rFonts w:ascii="Times New Roman" w:hAnsi="Times New Roman" w:cs="Times New Roman"/>
        <w:color w:val="000000" w:themeColor="text1"/>
        <w:sz w:val="20"/>
        <w:szCs w:val="20"/>
      </w:rPr>
      <w:t xml:space="preserve">; </w:t>
    </w:r>
    <w:r w:rsidRPr="00EE209E">
      <w:rPr>
        <w:rFonts w:ascii="Times New Roman" w:hAnsi="Times New Roman" w:cs="Times New Roman"/>
        <w:color w:val="000000" w:themeColor="text1"/>
        <w:sz w:val="20"/>
        <w:szCs w:val="20"/>
      </w:rPr>
      <w:t>Ministru kabineta noteikumu projekta „ Grozījumi Ministru kabineta 2009. gada 10. marta noteikumos Nr. 227 „Zvērināta advokāta eksāmena kārtība”” sākotnējās ietekmes novērtējuma ziņojums (anotācija)</w:t>
    </w:r>
  </w:p>
  <w:p w:rsidR="00FD2924" w:rsidRPr="00646539" w:rsidRDefault="00FD2924" w:rsidP="0064653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39" w:rsidRPr="004D15A9" w:rsidRDefault="00646539" w:rsidP="00EE209E">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100D4E">
      <w:rPr>
        <w:rFonts w:ascii="Times New Roman" w:hAnsi="Times New Roman" w:cs="Times New Roman"/>
        <w:color w:val="000000" w:themeColor="text1"/>
        <w:sz w:val="20"/>
        <w:szCs w:val="20"/>
      </w:rPr>
      <w:t>200317</w:t>
    </w:r>
    <w:r w:rsidRPr="004D15A9">
      <w:rPr>
        <w:rFonts w:ascii="Times New Roman" w:hAnsi="Times New Roman" w:cs="Times New Roman"/>
        <w:color w:val="000000" w:themeColor="text1"/>
        <w:sz w:val="20"/>
        <w:szCs w:val="20"/>
      </w:rPr>
      <w:t>_</w:t>
    </w:r>
    <w:r w:rsidR="00EE209E">
      <w:rPr>
        <w:rFonts w:ascii="Times New Roman" w:hAnsi="Times New Roman" w:cs="Times New Roman"/>
        <w:color w:val="000000" w:themeColor="text1"/>
        <w:sz w:val="20"/>
        <w:szCs w:val="20"/>
      </w:rPr>
      <w:t>eksamens</w:t>
    </w:r>
    <w:r w:rsidRPr="004D15A9">
      <w:rPr>
        <w:rFonts w:ascii="Times New Roman" w:hAnsi="Times New Roman" w:cs="Times New Roman"/>
        <w:color w:val="000000" w:themeColor="text1"/>
        <w:sz w:val="20"/>
        <w:szCs w:val="20"/>
      </w:rPr>
      <w:t xml:space="preserve">; </w:t>
    </w:r>
    <w:r w:rsidR="00EE209E" w:rsidRPr="00EE209E">
      <w:rPr>
        <w:rFonts w:ascii="Times New Roman" w:hAnsi="Times New Roman" w:cs="Times New Roman"/>
        <w:color w:val="000000" w:themeColor="text1"/>
        <w:sz w:val="20"/>
        <w:szCs w:val="20"/>
      </w:rPr>
      <w:t>Ministru kabineta noteikumu projekta „ Grozījumi Ministru kabineta 2009. gada 10. marta noteikumos Nr. 227 „Zvērināta advokāta eksāmena kārtība”” sākotnējās ietekmes novērtējuma ziņojums (anotācija)</w:t>
    </w:r>
  </w:p>
  <w:p w:rsidR="00FD2924" w:rsidRPr="00646539" w:rsidRDefault="00FD2924" w:rsidP="0064653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38" w:rsidRDefault="006D0038" w:rsidP="004D15A9">
      <w:pPr>
        <w:spacing w:after="0" w:line="240" w:lineRule="auto"/>
      </w:pPr>
      <w:r>
        <w:separator/>
      </w:r>
    </w:p>
  </w:footnote>
  <w:footnote w:type="continuationSeparator" w:id="0">
    <w:p w:rsidR="006D0038" w:rsidRDefault="006D0038"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9E" w:rsidRDefault="00EE209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FD2924" w:rsidRPr="004D15A9" w:rsidRDefault="00FD292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6D3846">
          <w:rPr>
            <w:rFonts w:ascii="Times New Roman" w:hAnsi="Times New Roman" w:cs="Times New Roman"/>
            <w:noProof/>
            <w:sz w:val="24"/>
            <w:szCs w:val="24"/>
          </w:rPr>
          <w:t>6</w:t>
        </w:r>
        <w:r w:rsidRPr="004D15A9">
          <w:rPr>
            <w:rFonts w:ascii="Times New Roman" w:hAnsi="Times New Roman" w:cs="Times New Roman"/>
            <w:sz w:val="24"/>
            <w:szCs w:val="24"/>
          </w:rPr>
          <w:fldChar w:fldCharType="end"/>
        </w:r>
      </w:p>
    </w:sdtContent>
  </w:sdt>
  <w:p w:rsidR="00FD2924" w:rsidRDefault="00FD2924">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9E" w:rsidRDefault="00EE209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1FFD"/>
    <w:rsid w:val="00023AF7"/>
    <w:rsid w:val="00025F63"/>
    <w:rsid w:val="00027DA2"/>
    <w:rsid w:val="00031256"/>
    <w:rsid w:val="00041703"/>
    <w:rsid w:val="00042787"/>
    <w:rsid w:val="00050D8B"/>
    <w:rsid w:val="00052793"/>
    <w:rsid w:val="00054F05"/>
    <w:rsid w:val="00065136"/>
    <w:rsid w:val="00065E45"/>
    <w:rsid w:val="00082DEB"/>
    <w:rsid w:val="0009153D"/>
    <w:rsid w:val="000918C5"/>
    <w:rsid w:val="000A2519"/>
    <w:rsid w:val="000B7290"/>
    <w:rsid w:val="000D0107"/>
    <w:rsid w:val="000D07F3"/>
    <w:rsid w:val="000E0DC2"/>
    <w:rsid w:val="000E1190"/>
    <w:rsid w:val="000E27C6"/>
    <w:rsid w:val="000F5082"/>
    <w:rsid w:val="00100D4E"/>
    <w:rsid w:val="00101CD5"/>
    <w:rsid w:val="00131F37"/>
    <w:rsid w:val="00152991"/>
    <w:rsid w:val="0016688C"/>
    <w:rsid w:val="00170344"/>
    <w:rsid w:val="00183BCE"/>
    <w:rsid w:val="0019773F"/>
    <w:rsid w:val="001A1EEC"/>
    <w:rsid w:val="001A5455"/>
    <w:rsid w:val="001A78CF"/>
    <w:rsid w:val="001C5CC6"/>
    <w:rsid w:val="001D409A"/>
    <w:rsid w:val="001E7F37"/>
    <w:rsid w:val="001F5BB2"/>
    <w:rsid w:val="001F6132"/>
    <w:rsid w:val="001F618F"/>
    <w:rsid w:val="00222DD2"/>
    <w:rsid w:val="00232C27"/>
    <w:rsid w:val="002345CF"/>
    <w:rsid w:val="00245FE9"/>
    <w:rsid w:val="00247852"/>
    <w:rsid w:val="00260EF5"/>
    <w:rsid w:val="002628F7"/>
    <w:rsid w:val="00262C44"/>
    <w:rsid w:val="0027613A"/>
    <w:rsid w:val="00291965"/>
    <w:rsid w:val="002A397E"/>
    <w:rsid w:val="002A5584"/>
    <w:rsid w:val="002A6686"/>
    <w:rsid w:val="002C3692"/>
    <w:rsid w:val="002C7DC3"/>
    <w:rsid w:val="002D58E4"/>
    <w:rsid w:val="002D6651"/>
    <w:rsid w:val="002F7EBF"/>
    <w:rsid w:val="00301AE6"/>
    <w:rsid w:val="00305129"/>
    <w:rsid w:val="00320E6D"/>
    <w:rsid w:val="003365EF"/>
    <w:rsid w:val="00337FA5"/>
    <w:rsid w:val="00340157"/>
    <w:rsid w:val="00341660"/>
    <w:rsid w:val="00344E0A"/>
    <w:rsid w:val="00345F4B"/>
    <w:rsid w:val="003726F2"/>
    <w:rsid w:val="003808DB"/>
    <w:rsid w:val="003922B0"/>
    <w:rsid w:val="00394159"/>
    <w:rsid w:val="003A2A0B"/>
    <w:rsid w:val="003D1971"/>
    <w:rsid w:val="003E4A2A"/>
    <w:rsid w:val="003E6AFA"/>
    <w:rsid w:val="003E7AC3"/>
    <w:rsid w:val="00401A91"/>
    <w:rsid w:val="004022EB"/>
    <w:rsid w:val="00414B95"/>
    <w:rsid w:val="0041561B"/>
    <w:rsid w:val="00434969"/>
    <w:rsid w:val="00436076"/>
    <w:rsid w:val="00443241"/>
    <w:rsid w:val="00457548"/>
    <w:rsid w:val="004611C6"/>
    <w:rsid w:val="004706B5"/>
    <w:rsid w:val="004A402E"/>
    <w:rsid w:val="004A6D58"/>
    <w:rsid w:val="004B7903"/>
    <w:rsid w:val="004C154B"/>
    <w:rsid w:val="004C38EB"/>
    <w:rsid w:val="004D15A9"/>
    <w:rsid w:val="004D56DA"/>
    <w:rsid w:val="004E32BA"/>
    <w:rsid w:val="00500B08"/>
    <w:rsid w:val="00506E0A"/>
    <w:rsid w:val="005105EA"/>
    <w:rsid w:val="00513E0A"/>
    <w:rsid w:val="005155DC"/>
    <w:rsid w:val="005350ED"/>
    <w:rsid w:val="00540494"/>
    <w:rsid w:val="005417CD"/>
    <w:rsid w:val="0054782B"/>
    <w:rsid w:val="00555795"/>
    <w:rsid w:val="0056416B"/>
    <w:rsid w:val="005A6D18"/>
    <w:rsid w:val="005C0E19"/>
    <w:rsid w:val="005C7774"/>
    <w:rsid w:val="005D291D"/>
    <w:rsid w:val="005D3B0F"/>
    <w:rsid w:val="005D4E8A"/>
    <w:rsid w:val="005E3EF6"/>
    <w:rsid w:val="005F4836"/>
    <w:rsid w:val="005F4DCD"/>
    <w:rsid w:val="005F6F0C"/>
    <w:rsid w:val="0060369A"/>
    <w:rsid w:val="006146A1"/>
    <w:rsid w:val="00624636"/>
    <w:rsid w:val="00626A00"/>
    <w:rsid w:val="00637065"/>
    <w:rsid w:val="00646539"/>
    <w:rsid w:val="00646934"/>
    <w:rsid w:val="00666EA4"/>
    <w:rsid w:val="00667592"/>
    <w:rsid w:val="006A2C24"/>
    <w:rsid w:val="006A33C0"/>
    <w:rsid w:val="006D0038"/>
    <w:rsid w:val="006D25B1"/>
    <w:rsid w:val="006D3846"/>
    <w:rsid w:val="006E626E"/>
    <w:rsid w:val="006E6777"/>
    <w:rsid w:val="006F7E11"/>
    <w:rsid w:val="00703D50"/>
    <w:rsid w:val="00705ED1"/>
    <w:rsid w:val="007132D9"/>
    <w:rsid w:val="00715A23"/>
    <w:rsid w:val="00722BA9"/>
    <w:rsid w:val="007309A3"/>
    <w:rsid w:val="00752157"/>
    <w:rsid w:val="00752571"/>
    <w:rsid w:val="0075524E"/>
    <w:rsid w:val="0079081D"/>
    <w:rsid w:val="007909E2"/>
    <w:rsid w:val="007B5864"/>
    <w:rsid w:val="007C6457"/>
    <w:rsid w:val="007D004E"/>
    <w:rsid w:val="007D0838"/>
    <w:rsid w:val="007F7AED"/>
    <w:rsid w:val="0081203F"/>
    <w:rsid w:val="00826EBA"/>
    <w:rsid w:val="0084616E"/>
    <w:rsid w:val="008462DF"/>
    <w:rsid w:val="00846FC1"/>
    <w:rsid w:val="008549B5"/>
    <w:rsid w:val="00854DE1"/>
    <w:rsid w:val="00856D47"/>
    <w:rsid w:val="00866EFD"/>
    <w:rsid w:val="00871DB8"/>
    <w:rsid w:val="00895B6F"/>
    <w:rsid w:val="008A2AEE"/>
    <w:rsid w:val="008B3195"/>
    <w:rsid w:val="008B57F6"/>
    <w:rsid w:val="008B74D1"/>
    <w:rsid w:val="008C24B4"/>
    <w:rsid w:val="008C42DD"/>
    <w:rsid w:val="008E1AEA"/>
    <w:rsid w:val="008F2590"/>
    <w:rsid w:val="00902B0D"/>
    <w:rsid w:val="009047F8"/>
    <w:rsid w:val="00921534"/>
    <w:rsid w:val="00947202"/>
    <w:rsid w:val="00952E23"/>
    <w:rsid w:val="00960C42"/>
    <w:rsid w:val="0098359E"/>
    <w:rsid w:val="00986501"/>
    <w:rsid w:val="00992716"/>
    <w:rsid w:val="009C4BA9"/>
    <w:rsid w:val="009D342C"/>
    <w:rsid w:val="009D4F10"/>
    <w:rsid w:val="009E6155"/>
    <w:rsid w:val="009F752E"/>
    <w:rsid w:val="009F7DA1"/>
    <w:rsid w:val="00A062D6"/>
    <w:rsid w:val="00A556B4"/>
    <w:rsid w:val="00A60A25"/>
    <w:rsid w:val="00A64897"/>
    <w:rsid w:val="00A8251E"/>
    <w:rsid w:val="00A870C8"/>
    <w:rsid w:val="00A97DDC"/>
    <w:rsid w:val="00AB2C9A"/>
    <w:rsid w:val="00AC78AC"/>
    <w:rsid w:val="00AD47F7"/>
    <w:rsid w:val="00AD711E"/>
    <w:rsid w:val="00AD77DD"/>
    <w:rsid w:val="00AE6476"/>
    <w:rsid w:val="00AF1C57"/>
    <w:rsid w:val="00AF1E42"/>
    <w:rsid w:val="00AF5C14"/>
    <w:rsid w:val="00AF6A58"/>
    <w:rsid w:val="00B01360"/>
    <w:rsid w:val="00B01D63"/>
    <w:rsid w:val="00B2053A"/>
    <w:rsid w:val="00B2066E"/>
    <w:rsid w:val="00B232C4"/>
    <w:rsid w:val="00B52986"/>
    <w:rsid w:val="00B543BE"/>
    <w:rsid w:val="00B549CF"/>
    <w:rsid w:val="00B615A0"/>
    <w:rsid w:val="00B80482"/>
    <w:rsid w:val="00B8466F"/>
    <w:rsid w:val="00B92C0C"/>
    <w:rsid w:val="00B979EC"/>
    <w:rsid w:val="00BB0352"/>
    <w:rsid w:val="00BB1F46"/>
    <w:rsid w:val="00BC27C3"/>
    <w:rsid w:val="00BC410F"/>
    <w:rsid w:val="00BE5E2A"/>
    <w:rsid w:val="00BF14BB"/>
    <w:rsid w:val="00C016AD"/>
    <w:rsid w:val="00C12D72"/>
    <w:rsid w:val="00C14076"/>
    <w:rsid w:val="00C34B3C"/>
    <w:rsid w:val="00C3649D"/>
    <w:rsid w:val="00C368DC"/>
    <w:rsid w:val="00C544E0"/>
    <w:rsid w:val="00C60136"/>
    <w:rsid w:val="00C61B9C"/>
    <w:rsid w:val="00C651CF"/>
    <w:rsid w:val="00C74E2E"/>
    <w:rsid w:val="00C81E76"/>
    <w:rsid w:val="00C85920"/>
    <w:rsid w:val="00CA4682"/>
    <w:rsid w:val="00CA7F10"/>
    <w:rsid w:val="00CB5310"/>
    <w:rsid w:val="00CC11F2"/>
    <w:rsid w:val="00CC6512"/>
    <w:rsid w:val="00D01A0B"/>
    <w:rsid w:val="00D1003C"/>
    <w:rsid w:val="00D313D5"/>
    <w:rsid w:val="00D42302"/>
    <w:rsid w:val="00D4682E"/>
    <w:rsid w:val="00D47C5D"/>
    <w:rsid w:val="00D64CBD"/>
    <w:rsid w:val="00D85A82"/>
    <w:rsid w:val="00DA596D"/>
    <w:rsid w:val="00DB0BC6"/>
    <w:rsid w:val="00DB0F4D"/>
    <w:rsid w:val="00DB4355"/>
    <w:rsid w:val="00DC51A0"/>
    <w:rsid w:val="00DC7FC8"/>
    <w:rsid w:val="00DD4F62"/>
    <w:rsid w:val="00DD53EB"/>
    <w:rsid w:val="00DD7EAB"/>
    <w:rsid w:val="00DE55E3"/>
    <w:rsid w:val="00DF40EC"/>
    <w:rsid w:val="00E00A0D"/>
    <w:rsid w:val="00E04F2F"/>
    <w:rsid w:val="00E23B3E"/>
    <w:rsid w:val="00E23C5B"/>
    <w:rsid w:val="00E339F8"/>
    <w:rsid w:val="00E365F9"/>
    <w:rsid w:val="00E41029"/>
    <w:rsid w:val="00E44EEF"/>
    <w:rsid w:val="00E47F91"/>
    <w:rsid w:val="00E61200"/>
    <w:rsid w:val="00E75DFC"/>
    <w:rsid w:val="00EC4A15"/>
    <w:rsid w:val="00EC7EA8"/>
    <w:rsid w:val="00ED1A06"/>
    <w:rsid w:val="00EE209E"/>
    <w:rsid w:val="00EE7650"/>
    <w:rsid w:val="00EF22B5"/>
    <w:rsid w:val="00EF3F39"/>
    <w:rsid w:val="00F13AC2"/>
    <w:rsid w:val="00F25FD9"/>
    <w:rsid w:val="00F26968"/>
    <w:rsid w:val="00F53E48"/>
    <w:rsid w:val="00F57869"/>
    <w:rsid w:val="00F6606D"/>
    <w:rsid w:val="00F766E9"/>
    <w:rsid w:val="00F84032"/>
    <w:rsid w:val="00F94EAF"/>
    <w:rsid w:val="00FC142A"/>
    <w:rsid w:val="00FD2924"/>
    <w:rsid w:val="00FD67DB"/>
    <w:rsid w:val="00FF4BF4"/>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2">
    <w:name w:val="tv2132"/>
    <w:basedOn w:val="Parasts"/>
    <w:rsid w:val="00646539"/>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B549CF"/>
    <w:pPr>
      <w:spacing w:after="0" w:line="240" w:lineRule="auto"/>
    </w:pPr>
  </w:style>
  <w:style w:type="paragraph" w:styleId="Bezatstarpm">
    <w:name w:val="No Spacing"/>
    <w:basedOn w:val="Parasts"/>
    <w:uiPriority w:val="1"/>
    <w:qFormat/>
    <w:rsid w:val="0092153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customStyle="1" w:styleId="tv2132">
    <w:name w:val="tv2132"/>
    <w:basedOn w:val="Parasts"/>
    <w:rsid w:val="00646539"/>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B549CF"/>
    <w:pPr>
      <w:spacing w:after="0" w:line="240" w:lineRule="auto"/>
    </w:pPr>
  </w:style>
  <w:style w:type="paragraph" w:styleId="Bezatstarpm">
    <w:name w:val="No Spacing"/>
    <w:basedOn w:val="Parasts"/>
    <w:uiPriority w:val="1"/>
    <w:qFormat/>
    <w:rsid w:val="0092153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052">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86065651">
      <w:bodyDiv w:val="1"/>
      <w:marLeft w:val="0"/>
      <w:marRight w:val="0"/>
      <w:marTop w:val="0"/>
      <w:marBottom w:val="0"/>
      <w:divBdr>
        <w:top w:val="none" w:sz="0" w:space="0" w:color="auto"/>
        <w:left w:val="none" w:sz="0" w:space="0" w:color="auto"/>
        <w:bottom w:val="none" w:sz="0" w:space="0" w:color="auto"/>
        <w:right w:val="none" w:sz="0" w:space="0" w:color="auto"/>
      </w:divBdr>
    </w:div>
    <w:div w:id="35758865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45528793">
      <w:bodyDiv w:val="1"/>
      <w:marLeft w:val="0"/>
      <w:marRight w:val="0"/>
      <w:marTop w:val="0"/>
      <w:marBottom w:val="0"/>
      <w:divBdr>
        <w:top w:val="none" w:sz="0" w:space="0" w:color="auto"/>
        <w:left w:val="none" w:sz="0" w:space="0" w:color="auto"/>
        <w:bottom w:val="none" w:sz="0" w:space="0" w:color="auto"/>
        <w:right w:val="none" w:sz="0" w:space="0" w:color="auto"/>
      </w:divBdr>
      <w:divsChild>
        <w:div w:id="2022275878">
          <w:marLeft w:val="0"/>
          <w:marRight w:val="0"/>
          <w:marTop w:val="0"/>
          <w:marBottom w:val="0"/>
          <w:divBdr>
            <w:top w:val="none" w:sz="0" w:space="0" w:color="auto"/>
            <w:left w:val="none" w:sz="0" w:space="0" w:color="auto"/>
            <w:bottom w:val="none" w:sz="0" w:space="0" w:color="auto"/>
            <w:right w:val="none" w:sz="0" w:space="0" w:color="auto"/>
          </w:divBdr>
          <w:divsChild>
            <w:div w:id="1507092420">
              <w:marLeft w:val="0"/>
              <w:marRight w:val="0"/>
              <w:marTop w:val="0"/>
              <w:marBottom w:val="0"/>
              <w:divBdr>
                <w:top w:val="none" w:sz="0" w:space="0" w:color="auto"/>
                <w:left w:val="none" w:sz="0" w:space="0" w:color="auto"/>
                <w:bottom w:val="none" w:sz="0" w:space="0" w:color="auto"/>
                <w:right w:val="none" w:sz="0" w:space="0" w:color="auto"/>
              </w:divBdr>
              <w:divsChild>
                <w:div w:id="228197999">
                  <w:marLeft w:val="0"/>
                  <w:marRight w:val="0"/>
                  <w:marTop w:val="0"/>
                  <w:marBottom w:val="0"/>
                  <w:divBdr>
                    <w:top w:val="none" w:sz="0" w:space="0" w:color="auto"/>
                    <w:left w:val="none" w:sz="0" w:space="0" w:color="auto"/>
                    <w:bottom w:val="none" w:sz="0" w:space="0" w:color="auto"/>
                    <w:right w:val="none" w:sz="0" w:space="0" w:color="auto"/>
                  </w:divBdr>
                  <w:divsChild>
                    <w:div w:id="1676877710">
                      <w:marLeft w:val="0"/>
                      <w:marRight w:val="0"/>
                      <w:marTop w:val="0"/>
                      <w:marBottom w:val="0"/>
                      <w:divBdr>
                        <w:top w:val="none" w:sz="0" w:space="0" w:color="auto"/>
                        <w:left w:val="none" w:sz="0" w:space="0" w:color="auto"/>
                        <w:bottom w:val="none" w:sz="0" w:space="0" w:color="auto"/>
                        <w:right w:val="none" w:sz="0" w:space="0" w:color="auto"/>
                      </w:divBdr>
                      <w:divsChild>
                        <w:div w:id="1660689859">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480"/>
                              <w:marBottom w:val="240"/>
                              <w:divBdr>
                                <w:top w:val="none" w:sz="0" w:space="0" w:color="auto"/>
                                <w:left w:val="none" w:sz="0" w:space="0" w:color="auto"/>
                                <w:bottom w:val="none" w:sz="0" w:space="0" w:color="auto"/>
                                <w:right w:val="none" w:sz="0" w:space="0" w:color="auto"/>
                              </w:divBdr>
                            </w:div>
                            <w:div w:id="60870523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120806835">
      <w:bodyDiv w:val="1"/>
      <w:marLeft w:val="0"/>
      <w:marRight w:val="0"/>
      <w:marTop w:val="0"/>
      <w:marBottom w:val="0"/>
      <w:divBdr>
        <w:top w:val="none" w:sz="0" w:space="0" w:color="auto"/>
        <w:left w:val="none" w:sz="0" w:space="0" w:color="auto"/>
        <w:bottom w:val="none" w:sz="0" w:space="0" w:color="auto"/>
        <w:right w:val="none" w:sz="0" w:space="0" w:color="auto"/>
      </w:divBdr>
      <w:divsChild>
        <w:div w:id="951666831">
          <w:marLeft w:val="0"/>
          <w:marRight w:val="0"/>
          <w:marTop w:val="0"/>
          <w:marBottom w:val="0"/>
          <w:divBdr>
            <w:top w:val="none" w:sz="0" w:space="0" w:color="auto"/>
            <w:left w:val="none" w:sz="0" w:space="0" w:color="auto"/>
            <w:bottom w:val="none" w:sz="0" w:space="0" w:color="auto"/>
            <w:right w:val="none" w:sz="0" w:space="0" w:color="auto"/>
          </w:divBdr>
          <w:divsChild>
            <w:div w:id="1422792574">
              <w:marLeft w:val="0"/>
              <w:marRight w:val="0"/>
              <w:marTop w:val="0"/>
              <w:marBottom w:val="0"/>
              <w:divBdr>
                <w:top w:val="none" w:sz="0" w:space="0" w:color="auto"/>
                <w:left w:val="none" w:sz="0" w:space="0" w:color="auto"/>
                <w:bottom w:val="none" w:sz="0" w:space="0" w:color="auto"/>
                <w:right w:val="none" w:sz="0" w:space="0" w:color="auto"/>
              </w:divBdr>
              <w:divsChild>
                <w:div w:id="1833788699">
                  <w:marLeft w:val="0"/>
                  <w:marRight w:val="0"/>
                  <w:marTop w:val="0"/>
                  <w:marBottom w:val="0"/>
                  <w:divBdr>
                    <w:top w:val="none" w:sz="0" w:space="0" w:color="auto"/>
                    <w:left w:val="none" w:sz="0" w:space="0" w:color="auto"/>
                    <w:bottom w:val="none" w:sz="0" w:space="0" w:color="auto"/>
                    <w:right w:val="none" w:sz="0" w:space="0" w:color="auto"/>
                  </w:divBdr>
                  <w:divsChild>
                    <w:div w:id="1031564809">
                      <w:marLeft w:val="0"/>
                      <w:marRight w:val="0"/>
                      <w:marTop w:val="0"/>
                      <w:marBottom w:val="0"/>
                      <w:divBdr>
                        <w:top w:val="none" w:sz="0" w:space="0" w:color="auto"/>
                        <w:left w:val="none" w:sz="0" w:space="0" w:color="auto"/>
                        <w:bottom w:val="none" w:sz="0" w:space="0" w:color="auto"/>
                        <w:right w:val="none" w:sz="0" w:space="0" w:color="auto"/>
                      </w:divBdr>
                      <w:divsChild>
                        <w:div w:id="920261729">
                          <w:marLeft w:val="0"/>
                          <w:marRight w:val="0"/>
                          <w:marTop w:val="0"/>
                          <w:marBottom w:val="0"/>
                          <w:divBdr>
                            <w:top w:val="none" w:sz="0" w:space="0" w:color="auto"/>
                            <w:left w:val="none" w:sz="0" w:space="0" w:color="auto"/>
                            <w:bottom w:val="none" w:sz="0" w:space="0" w:color="auto"/>
                            <w:right w:val="none" w:sz="0" w:space="0" w:color="auto"/>
                          </w:divBdr>
                          <w:divsChild>
                            <w:div w:id="1951425961">
                              <w:marLeft w:val="0"/>
                              <w:marRight w:val="0"/>
                              <w:marTop w:val="0"/>
                              <w:marBottom w:val="0"/>
                              <w:divBdr>
                                <w:top w:val="none" w:sz="0" w:space="0" w:color="auto"/>
                                <w:left w:val="none" w:sz="0" w:space="0" w:color="auto"/>
                                <w:bottom w:val="none" w:sz="0" w:space="0" w:color="auto"/>
                                <w:right w:val="none" w:sz="0" w:space="0" w:color="auto"/>
                              </w:divBdr>
                              <w:divsChild>
                                <w:div w:id="515075816">
                                  <w:marLeft w:val="0"/>
                                  <w:marRight w:val="0"/>
                                  <w:marTop w:val="0"/>
                                  <w:marBottom w:val="0"/>
                                  <w:divBdr>
                                    <w:top w:val="none" w:sz="0" w:space="0" w:color="auto"/>
                                    <w:left w:val="none" w:sz="0" w:space="0" w:color="auto"/>
                                    <w:bottom w:val="none" w:sz="0" w:space="0" w:color="auto"/>
                                    <w:right w:val="none" w:sz="0" w:space="0" w:color="auto"/>
                                  </w:divBdr>
                                </w:div>
                              </w:divsChild>
                            </w:div>
                            <w:div w:id="8491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830707280">
      <w:bodyDiv w:val="1"/>
      <w:marLeft w:val="0"/>
      <w:marRight w:val="0"/>
      <w:marTop w:val="0"/>
      <w:marBottom w:val="0"/>
      <w:divBdr>
        <w:top w:val="none" w:sz="0" w:space="0" w:color="auto"/>
        <w:left w:val="none" w:sz="0" w:space="0" w:color="auto"/>
        <w:bottom w:val="none" w:sz="0" w:space="0" w:color="auto"/>
        <w:right w:val="none" w:sz="0" w:space="0" w:color="auto"/>
      </w:divBdr>
      <w:divsChild>
        <w:div w:id="903486609">
          <w:marLeft w:val="0"/>
          <w:marRight w:val="0"/>
          <w:marTop w:val="0"/>
          <w:marBottom w:val="0"/>
          <w:divBdr>
            <w:top w:val="none" w:sz="0" w:space="0" w:color="auto"/>
            <w:left w:val="none" w:sz="0" w:space="0" w:color="auto"/>
            <w:bottom w:val="none" w:sz="0" w:space="0" w:color="auto"/>
            <w:right w:val="none" w:sz="0" w:space="0" w:color="auto"/>
          </w:divBdr>
          <w:divsChild>
            <w:div w:id="2067337312">
              <w:marLeft w:val="0"/>
              <w:marRight w:val="0"/>
              <w:marTop w:val="0"/>
              <w:marBottom w:val="0"/>
              <w:divBdr>
                <w:top w:val="none" w:sz="0" w:space="0" w:color="auto"/>
                <w:left w:val="none" w:sz="0" w:space="0" w:color="auto"/>
                <w:bottom w:val="none" w:sz="0" w:space="0" w:color="auto"/>
                <w:right w:val="none" w:sz="0" w:space="0" w:color="auto"/>
              </w:divBdr>
              <w:divsChild>
                <w:div w:id="232083942">
                  <w:marLeft w:val="0"/>
                  <w:marRight w:val="0"/>
                  <w:marTop w:val="0"/>
                  <w:marBottom w:val="0"/>
                  <w:divBdr>
                    <w:top w:val="none" w:sz="0" w:space="0" w:color="auto"/>
                    <w:left w:val="none" w:sz="0" w:space="0" w:color="auto"/>
                    <w:bottom w:val="none" w:sz="0" w:space="0" w:color="auto"/>
                    <w:right w:val="none" w:sz="0" w:space="0" w:color="auto"/>
                  </w:divBdr>
                  <w:divsChild>
                    <w:div w:id="1740205905">
                      <w:marLeft w:val="0"/>
                      <w:marRight w:val="0"/>
                      <w:marTop w:val="0"/>
                      <w:marBottom w:val="0"/>
                      <w:divBdr>
                        <w:top w:val="none" w:sz="0" w:space="0" w:color="auto"/>
                        <w:left w:val="none" w:sz="0" w:space="0" w:color="auto"/>
                        <w:bottom w:val="none" w:sz="0" w:space="0" w:color="auto"/>
                        <w:right w:val="none" w:sz="0" w:space="0" w:color="auto"/>
                      </w:divBdr>
                      <w:divsChild>
                        <w:div w:id="1519975">
                          <w:marLeft w:val="0"/>
                          <w:marRight w:val="0"/>
                          <w:marTop w:val="0"/>
                          <w:marBottom w:val="0"/>
                          <w:divBdr>
                            <w:top w:val="none" w:sz="0" w:space="0" w:color="auto"/>
                            <w:left w:val="none" w:sz="0" w:space="0" w:color="auto"/>
                            <w:bottom w:val="none" w:sz="0" w:space="0" w:color="auto"/>
                            <w:right w:val="none" w:sz="0" w:space="0" w:color="auto"/>
                          </w:divBdr>
                          <w:divsChild>
                            <w:div w:id="2200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ndija.Sube@tm.gov.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E08D7-438A-4BAB-B9E1-59F85210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8287</Words>
  <Characters>4724</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lpstr>Ministru kabineta noteikumu projekta „Grozījumi Ministru kabineta 2009.gada 22.decembra noteikumos Nr.1493 „Noteikumi par valsts nodrošinātās juridiskās palīdzības apjomu, samaksas apmēru, atlīdzināmajiem izdevumiem un to izmaksas kārtību”” sākotnējās iet</vt:lpstr>
    </vt:vector>
  </TitlesOfParts>
  <Company>Tieslietu ministrija</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 Grozījumi Ministru kabineta 2009. gada 10. marta noteikumos Nr. 227 „Zvērināta advokāta eksāmena kārtība”” sākotnējās ietekmes novērtējuma ziņojums (anotācija)</dc:title>
  <dc:subject>Anotācija</dc:subject>
  <dc:creator>Sindija Sube</dc:creator>
  <dc:description>67036838; Sindija.Sube@tm.gov.lv</dc:description>
  <cp:lastModifiedBy>Sindija Sube</cp:lastModifiedBy>
  <cp:revision>8</cp:revision>
  <cp:lastPrinted>2017-01-27T13:30:00Z</cp:lastPrinted>
  <dcterms:created xsi:type="dcterms:W3CDTF">2017-03-20T13:30:00Z</dcterms:created>
  <dcterms:modified xsi:type="dcterms:W3CDTF">2017-03-23T07:48:00Z</dcterms:modified>
</cp:coreProperties>
</file>