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02132" w14:textId="77777777" w:rsidR="004D15A9" w:rsidRPr="00394159" w:rsidRDefault="00394159" w:rsidP="002D5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394159">
        <w:rPr>
          <w:rFonts w:ascii="Times New Roman" w:hAnsi="Times New Roman" w:cs="Times New Roman"/>
          <w:b/>
          <w:sz w:val="24"/>
          <w:szCs w:val="24"/>
        </w:rPr>
        <w:t>Ministru kabineta noteikumu projekta „</w:t>
      </w:r>
      <w:r w:rsidR="003E6AFA">
        <w:rPr>
          <w:rFonts w:ascii="Times New Roman" w:hAnsi="Times New Roman" w:cs="Times New Roman"/>
          <w:b/>
          <w:sz w:val="24"/>
          <w:szCs w:val="24"/>
        </w:rPr>
        <w:t>Grozījum</w:t>
      </w:r>
      <w:r w:rsidR="002F7EBF">
        <w:rPr>
          <w:rFonts w:ascii="Times New Roman" w:hAnsi="Times New Roman" w:cs="Times New Roman"/>
          <w:b/>
          <w:sz w:val="24"/>
          <w:szCs w:val="24"/>
        </w:rPr>
        <w:t>s</w:t>
      </w:r>
      <w:r w:rsidR="003E6AFA">
        <w:rPr>
          <w:rFonts w:ascii="Times New Roman" w:hAnsi="Times New Roman" w:cs="Times New Roman"/>
          <w:b/>
          <w:sz w:val="24"/>
          <w:szCs w:val="24"/>
        </w:rPr>
        <w:t xml:space="preserve"> Ministru kabineta </w:t>
      </w:r>
      <w:proofErr w:type="gramStart"/>
      <w:r w:rsidR="003E6AFA">
        <w:rPr>
          <w:rFonts w:ascii="Times New Roman" w:hAnsi="Times New Roman" w:cs="Times New Roman"/>
          <w:b/>
          <w:sz w:val="24"/>
          <w:szCs w:val="24"/>
        </w:rPr>
        <w:t>2004</w:t>
      </w:r>
      <w:r w:rsidRPr="00394159">
        <w:rPr>
          <w:rFonts w:ascii="Times New Roman" w:hAnsi="Times New Roman" w:cs="Times New Roman"/>
          <w:b/>
          <w:sz w:val="24"/>
          <w:szCs w:val="24"/>
        </w:rPr>
        <w:t>.gada</w:t>
      </w:r>
      <w:proofErr w:type="gramEnd"/>
      <w:r w:rsidRPr="00394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AFA">
        <w:rPr>
          <w:rFonts w:ascii="Times New Roman" w:hAnsi="Times New Roman" w:cs="Times New Roman"/>
          <w:b/>
          <w:sz w:val="24"/>
          <w:szCs w:val="24"/>
        </w:rPr>
        <w:t>20</w:t>
      </w:r>
      <w:r w:rsidRPr="00394159">
        <w:rPr>
          <w:rFonts w:ascii="Times New Roman" w:hAnsi="Times New Roman" w:cs="Times New Roman"/>
          <w:b/>
          <w:sz w:val="24"/>
          <w:szCs w:val="24"/>
        </w:rPr>
        <w:t>.</w:t>
      </w:r>
      <w:r w:rsidR="003E6AFA">
        <w:rPr>
          <w:rFonts w:ascii="Times New Roman" w:hAnsi="Times New Roman" w:cs="Times New Roman"/>
          <w:b/>
          <w:sz w:val="24"/>
          <w:szCs w:val="24"/>
        </w:rPr>
        <w:t>jūlija</w:t>
      </w:r>
      <w:r w:rsidRPr="00394159">
        <w:rPr>
          <w:rFonts w:ascii="Times New Roman" w:hAnsi="Times New Roman" w:cs="Times New Roman"/>
          <w:b/>
          <w:sz w:val="24"/>
          <w:szCs w:val="24"/>
        </w:rPr>
        <w:t xml:space="preserve"> noteikumos Nr.</w:t>
      </w:r>
      <w:r w:rsidR="003E6AFA">
        <w:rPr>
          <w:rFonts w:ascii="Times New Roman" w:hAnsi="Times New Roman" w:cs="Times New Roman"/>
          <w:b/>
          <w:sz w:val="24"/>
          <w:szCs w:val="24"/>
        </w:rPr>
        <w:t>609</w:t>
      </w:r>
      <w:r w:rsidRPr="00394159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3E6AFA">
        <w:rPr>
          <w:rFonts w:ascii="Times New Roman" w:hAnsi="Times New Roman" w:cs="Times New Roman"/>
          <w:b/>
          <w:sz w:val="24"/>
          <w:szCs w:val="24"/>
        </w:rPr>
        <w:t>Noteikumi par advokāta eksāmena maksu</w:t>
      </w:r>
      <w:r w:rsidRPr="00394159">
        <w:rPr>
          <w:rFonts w:ascii="Times New Roman" w:hAnsi="Times New Roman" w:cs="Times New Roman"/>
          <w:b/>
          <w:sz w:val="24"/>
          <w:szCs w:val="24"/>
        </w:rPr>
        <w:t>”</w:t>
      </w:r>
      <w:r w:rsidR="00D1003C">
        <w:rPr>
          <w:rFonts w:ascii="Times New Roman" w:hAnsi="Times New Roman" w:cs="Times New Roman"/>
          <w:b/>
          <w:sz w:val="24"/>
          <w:szCs w:val="24"/>
        </w:rPr>
        <w:t>”</w:t>
      </w:r>
      <w:r w:rsidR="004D15A9" w:rsidRPr="0039415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sākotnējās ietekmes novērtējuma ziņojums (anotācija)</w:t>
      </w:r>
    </w:p>
    <w:p w14:paraId="2BF63802" w14:textId="77777777" w:rsidR="00DA596D" w:rsidRDefault="00DA596D" w:rsidP="00DA596D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1FCF6B16" w14:textId="77777777" w:rsidR="00823F18" w:rsidRPr="00394159" w:rsidRDefault="00823F18" w:rsidP="00DA596D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8"/>
        <w:gridCol w:w="2569"/>
        <w:gridCol w:w="86"/>
        <w:gridCol w:w="5480"/>
      </w:tblGrid>
      <w:tr w:rsidR="00394159" w:rsidRPr="00394159" w14:paraId="43DB6E26" w14:textId="77777777" w:rsidTr="004D15A9">
        <w:trPr>
          <w:trHeight w:val="405"/>
        </w:trPr>
        <w:tc>
          <w:tcPr>
            <w:tcW w:w="0" w:type="auto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34BF3F8" w14:textId="77777777" w:rsidR="004D15A9" w:rsidRPr="00394159" w:rsidRDefault="004D15A9" w:rsidP="002D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94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 Tiesību akta projekta izstrādes nepieciešamība</w:t>
            </w:r>
          </w:p>
        </w:tc>
      </w:tr>
      <w:tr w:rsidR="00394159" w:rsidRPr="00394159" w14:paraId="2D7A5C73" w14:textId="77777777" w:rsidTr="002D58E4">
        <w:trPr>
          <w:trHeight w:val="79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1D87C9" w14:textId="77777777" w:rsidR="004D15A9" w:rsidRPr="00394159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41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5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BEF1E03" w14:textId="77777777" w:rsidR="004D15A9" w:rsidRPr="00394159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41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Pamatojums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F5F1375" w14:textId="77777777" w:rsidR="004D15A9" w:rsidRPr="00394159" w:rsidRDefault="00394159" w:rsidP="00DD53EB">
            <w:pPr>
              <w:spacing w:after="0" w:line="240" w:lineRule="auto"/>
              <w:ind w:firstLine="25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41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iniciatīva</w:t>
            </w:r>
            <w:r w:rsidR="00500B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394159" w:rsidRPr="00394159" w14:paraId="51BB657C" w14:textId="77777777" w:rsidTr="008F2590">
        <w:trPr>
          <w:trHeight w:val="6484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3985D0" w14:textId="77777777" w:rsidR="004D15A9" w:rsidRPr="00394159" w:rsidRDefault="004D15A9" w:rsidP="00152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41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5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CF54D5" w14:textId="77777777" w:rsidR="004D15A9" w:rsidRPr="00394159" w:rsidRDefault="004D15A9" w:rsidP="00152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41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Pašreizējā situācija un problēmas, kuru risināšanai tiesību akta projekts izstrādāts, tiesiskā regulējuma mērķis un būtība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BF621CD" w14:textId="77777777" w:rsidR="00AD47F7" w:rsidRDefault="00E47F91" w:rsidP="00F26968">
            <w:pPr>
              <w:pStyle w:val="tv2132"/>
              <w:spacing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146A1">
              <w:rPr>
                <w:color w:val="000000" w:themeColor="text1"/>
                <w:sz w:val="24"/>
                <w:szCs w:val="24"/>
              </w:rPr>
              <w:t xml:space="preserve">Ar tieslietu ministra 2015. gada 2. februāra rīkojumu Nr.1-1/54 izveidota darba grupa advokatūras institūta darbības kvalitātes pilnveidei (turpmāk – darba grupa), lai risinātu ar advokatūras institūta darbību un attīstību saistītus jautājumus un celtu advokatūras institūta kvalitāti. Darba grupas sastāvā tika pieaicināti vairāki eksperti – </w:t>
            </w:r>
            <w:r w:rsidR="00646539" w:rsidRPr="006146A1">
              <w:rPr>
                <w:color w:val="000000" w:themeColor="text1"/>
                <w:sz w:val="24"/>
                <w:szCs w:val="24"/>
              </w:rPr>
              <w:t>Latvijas Zvērinātu advokātu p</w:t>
            </w:r>
            <w:r w:rsidRPr="006146A1">
              <w:rPr>
                <w:color w:val="000000" w:themeColor="text1"/>
                <w:sz w:val="24"/>
                <w:szCs w:val="24"/>
              </w:rPr>
              <w:t xml:space="preserve">adomes </w:t>
            </w:r>
            <w:r w:rsidR="007132D9">
              <w:rPr>
                <w:color w:val="000000" w:themeColor="text1"/>
                <w:sz w:val="24"/>
                <w:szCs w:val="24"/>
              </w:rPr>
              <w:t xml:space="preserve">(turpmāk – Padome) </w:t>
            </w:r>
            <w:r w:rsidRPr="006146A1">
              <w:rPr>
                <w:color w:val="000000" w:themeColor="text1"/>
                <w:sz w:val="24"/>
                <w:szCs w:val="24"/>
              </w:rPr>
              <w:t>pārstāvji, tiesneši, Tieslietu ministrijas pārstāvji, Valsts ieņēmuma dienesta pārstāvji, Ģenerālprokuratūras pārstāvji.</w:t>
            </w:r>
            <w:r w:rsidR="00082DEB" w:rsidRPr="006146A1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2C7BBF0B" w14:textId="77D442B2" w:rsidR="00F26968" w:rsidRDefault="00AD47F7" w:rsidP="00AD47F7">
            <w:pPr>
              <w:pStyle w:val="tv2132"/>
              <w:spacing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Darba grupas ietvaros cita starpā tika diskutēts arī </w:t>
            </w:r>
            <w:r w:rsidR="0075524E" w:rsidRPr="006146A1">
              <w:rPr>
                <w:color w:val="000000" w:themeColor="text1"/>
                <w:sz w:val="24"/>
                <w:szCs w:val="24"/>
              </w:rPr>
              <w:t xml:space="preserve">par </w:t>
            </w:r>
            <w:r w:rsidR="00646539" w:rsidRPr="006146A1">
              <w:rPr>
                <w:color w:val="000000" w:themeColor="text1"/>
                <w:sz w:val="24"/>
                <w:szCs w:val="24"/>
              </w:rPr>
              <w:t xml:space="preserve">zvērinātu </w:t>
            </w:r>
            <w:r w:rsidR="0075524E" w:rsidRPr="006146A1">
              <w:rPr>
                <w:color w:val="000000" w:themeColor="text1"/>
                <w:sz w:val="24"/>
                <w:szCs w:val="24"/>
              </w:rPr>
              <w:t>a</w:t>
            </w:r>
            <w:r w:rsidR="00646539" w:rsidRPr="006146A1">
              <w:rPr>
                <w:color w:val="000000" w:themeColor="text1"/>
                <w:sz w:val="24"/>
                <w:szCs w:val="24"/>
              </w:rPr>
              <w:t xml:space="preserve">dvokātu (turpmāk – advokāts) </w:t>
            </w:r>
            <w:r>
              <w:rPr>
                <w:color w:val="000000" w:themeColor="text1"/>
                <w:sz w:val="24"/>
                <w:szCs w:val="24"/>
              </w:rPr>
              <w:t xml:space="preserve">un zvērinātu advokātu palīgu (turpmāk – advokātu palīgs) eksāmeniem, tāpat šāda diskusija notika arī sanāksmē </w:t>
            </w:r>
            <w:r w:rsidR="00856D47" w:rsidRPr="006146A1">
              <w:rPr>
                <w:color w:val="000000" w:themeColor="text1"/>
                <w:sz w:val="24"/>
                <w:szCs w:val="24"/>
              </w:rPr>
              <w:t xml:space="preserve">ar </w:t>
            </w:r>
            <w:r w:rsidR="0075524E" w:rsidRPr="006146A1">
              <w:rPr>
                <w:color w:val="000000" w:themeColor="text1"/>
                <w:sz w:val="24"/>
                <w:szCs w:val="24"/>
              </w:rPr>
              <w:t>advokāt</w:t>
            </w:r>
            <w:r w:rsidR="00705ED1" w:rsidRPr="006146A1">
              <w:rPr>
                <w:color w:val="000000" w:themeColor="text1"/>
                <w:sz w:val="24"/>
                <w:szCs w:val="24"/>
              </w:rPr>
              <w:t xml:space="preserve">u eksāmena komisijas </w:t>
            </w:r>
            <w:r w:rsidR="00672702">
              <w:rPr>
                <w:color w:val="000000" w:themeColor="text1"/>
                <w:sz w:val="24"/>
                <w:szCs w:val="24"/>
              </w:rPr>
              <w:t xml:space="preserve">(turpmāk – eksāmena komisija) </w:t>
            </w:r>
            <w:r w:rsidR="00705ED1" w:rsidRPr="006146A1">
              <w:rPr>
                <w:color w:val="000000" w:themeColor="text1"/>
                <w:sz w:val="24"/>
                <w:szCs w:val="24"/>
              </w:rPr>
              <w:t>locekļiem</w:t>
            </w:r>
            <w:r w:rsidR="00232C27">
              <w:rPr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color w:val="000000" w:themeColor="text1"/>
                <w:sz w:val="24"/>
                <w:szCs w:val="24"/>
              </w:rPr>
              <w:t>Rezultātā t</w:t>
            </w:r>
            <w:r w:rsidR="0075524E" w:rsidRPr="006146A1">
              <w:rPr>
                <w:color w:val="000000" w:themeColor="text1"/>
                <w:sz w:val="24"/>
                <w:szCs w:val="24"/>
              </w:rPr>
              <w:t>ika secināt</w:t>
            </w:r>
            <w:r w:rsidR="00232C27">
              <w:rPr>
                <w:color w:val="000000" w:themeColor="text1"/>
                <w:sz w:val="24"/>
                <w:szCs w:val="24"/>
              </w:rPr>
              <w:t>s, ka advokātu palīgiem eksāmena</w:t>
            </w:r>
            <w:r w:rsidR="0075524E" w:rsidRPr="006146A1">
              <w:rPr>
                <w:color w:val="000000" w:themeColor="text1"/>
                <w:sz w:val="24"/>
                <w:szCs w:val="24"/>
              </w:rPr>
              <w:t xml:space="preserve"> kārtība atšķiras no eksāmenu kārtības </w:t>
            </w:r>
            <w:r w:rsidR="000C6EBF">
              <w:rPr>
                <w:color w:val="000000" w:themeColor="text1"/>
                <w:sz w:val="24"/>
                <w:szCs w:val="24"/>
              </w:rPr>
              <w:t>pārējiem advokāta pretendent</w:t>
            </w:r>
            <w:r w:rsidR="0075524E" w:rsidRPr="006146A1">
              <w:rPr>
                <w:color w:val="000000" w:themeColor="text1"/>
                <w:sz w:val="24"/>
                <w:szCs w:val="24"/>
              </w:rPr>
              <w:t>iem,</w:t>
            </w:r>
            <w:r w:rsidR="000C6EBF">
              <w:rPr>
                <w:color w:val="000000" w:themeColor="text1"/>
                <w:sz w:val="24"/>
                <w:szCs w:val="24"/>
              </w:rPr>
              <w:t xml:space="preserve"> kuri nav advokātu palīgi,</w:t>
            </w:r>
            <w:r w:rsidR="0075524E" w:rsidRPr="006146A1">
              <w:rPr>
                <w:color w:val="000000" w:themeColor="text1"/>
                <w:sz w:val="24"/>
                <w:szCs w:val="24"/>
              </w:rPr>
              <w:t xml:space="preserve"> taču tā darbojas veiksmīgi un tād</w:t>
            </w:r>
            <w:r w:rsidR="005520E1">
              <w:rPr>
                <w:color w:val="000000" w:themeColor="text1"/>
                <w:sz w:val="24"/>
                <w:szCs w:val="24"/>
              </w:rPr>
              <w:t xml:space="preserve">a būtu saglabājama arī turpmāk, līdz ar to arī advokātu palīgiem </w:t>
            </w:r>
            <w:r w:rsidR="00644D29">
              <w:rPr>
                <w:color w:val="000000" w:themeColor="text1"/>
                <w:sz w:val="24"/>
                <w:szCs w:val="24"/>
              </w:rPr>
              <w:t>netiek</w:t>
            </w:r>
            <w:r w:rsidR="005520E1">
              <w:rPr>
                <w:color w:val="000000" w:themeColor="text1"/>
                <w:sz w:val="24"/>
                <w:szCs w:val="24"/>
              </w:rPr>
              <w:t xml:space="preserve"> mainīta advokāta eksāmena maksa. </w:t>
            </w:r>
            <w:r w:rsidR="00222DD2" w:rsidRPr="006146A1">
              <w:rPr>
                <w:color w:val="000000" w:themeColor="text1"/>
                <w:sz w:val="24"/>
                <w:szCs w:val="24"/>
              </w:rPr>
              <w:t xml:space="preserve">Attiecībā uz advokātu </w:t>
            </w:r>
            <w:r w:rsidR="00646539" w:rsidRPr="006146A1">
              <w:rPr>
                <w:color w:val="000000" w:themeColor="text1"/>
                <w:sz w:val="24"/>
                <w:szCs w:val="24"/>
              </w:rPr>
              <w:t>eksāmenu</w:t>
            </w:r>
            <w:r w:rsidR="00644D29">
              <w:rPr>
                <w:color w:val="000000" w:themeColor="text1"/>
                <w:sz w:val="24"/>
                <w:szCs w:val="24"/>
              </w:rPr>
              <w:t xml:space="preserve"> personām, kuras nav advokātu palīgi</w:t>
            </w:r>
            <w:r w:rsidR="00646539" w:rsidRPr="006146A1">
              <w:rPr>
                <w:color w:val="000000" w:themeColor="text1"/>
                <w:sz w:val="24"/>
                <w:szCs w:val="24"/>
              </w:rPr>
              <w:t xml:space="preserve">, tika secināts, ka </w:t>
            </w:r>
            <w:r w:rsidR="00F26968">
              <w:rPr>
                <w:color w:val="000000" w:themeColor="text1"/>
                <w:sz w:val="24"/>
                <w:szCs w:val="24"/>
              </w:rPr>
              <w:t xml:space="preserve">tam nepieciešams noteikt stingrākus nosacījumus, lai advokāta pretendenta zināšanas būtu iespējams novērtēt </w:t>
            </w:r>
            <w:r w:rsidR="00232C27">
              <w:rPr>
                <w:color w:val="000000" w:themeColor="text1"/>
                <w:sz w:val="24"/>
                <w:szCs w:val="24"/>
              </w:rPr>
              <w:t>pilnvērtīgāk</w:t>
            </w:r>
            <w:r w:rsidR="00F26968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14:paraId="225CCF5B" w14:textId="77777777" w:rsidR="007132D9" w:rsidRPr="007132D9" w:rsidRDefault="007132D9" w:rsidP="007132D9">
            <w:pPr>
              <w:pStyle w:val="tv2132"/>
              <w:spacing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7132D9">
              <w:rPr>
                <w:color w:val="000000" w:themeColor="text1"/>
                <w:sz w:val="24"/>
                <w:szCs w:val="24"/>
              </w:rPr>
              <w:t>Latvijas Republikas Advokatūras likuma (turpmāk - Advokatūras likums) 41.</w:t>
            </w:r>
            <w:r w:rsidRPr="007132D9">
              <w:rPr>
                <w:color w:val="000000" w:themeColor="text1"/>
                <w:sz w:val="24"/>
                <w:szCs w:val="24"/>
                <w:vertAlign w:val="superscript"/>
              </w:rPr>
              <w:t xml:space="preserve">1 </w:t>
            </w:r>
            <w:r w:rsidR="00736CE9">
              <w:rPr>
                <w:color w:val="000000" w:themeColor="text1"/>
                <w:sz w:val="24"/>
                <w:szCs w:val="24"/>
              </w:rPr>
              <w:t xml:space="preserve">panta pirmā un otrā daļa </w:t>
            </w:r>
            <w:r w:rsidRPr="007132D9">
              <w:rPr>
                <w:color w:val="000000" w:themeColor="text1"/>
                <w:sz w:val="24"/>
                <w:szCs w:val="24"/>
              </w:rPr>
              <w:t xml:space="preserve">noteic, ka Padome organizē advokāta eksāmenu ne retāk kā reizi sešos mēnešos. </w:t>
            </w:r>
            <w:r>
              <w:rPr>
                <w:color w:val="000000" w:themeColor="text1"/>
                <w:sz w:val="24"/>
                <w:szCs w:val="24"/>
              </w:rPr>
              <w:t>Advokātu e</w:t>
            </w:r>
            <w:r w:rsidRPr="007132D9">
              <w:rPr>
                <w:color w:val="000000" w:themeColor="text1"/>
                <w:sz w:val="24"/>
                <w:szCs w:val="24"/>
              </w:rPr>
              <w:t>ksāmenu pieņem komisija, kuras sastāvā ir:</w:t>
            </w:r>
          </w:p>
          <w:p w14:paraId="5D8B9F0A" w14:textId="77777777" w:rsidR="007132D9" w:rsidRPr="007132D9" w:rsidRDefault="007132D9" w:rsidP="007132D9">
            <w:pPr>
              <w:spacing w:after="0" w:line="240" w:lineRule="auto"/>
              <w:ind w:firstLine="68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13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1) trīs juridiskās zinātnes promocijas padomju deleģēti tiesību zinātņu doktori;</w:t>
            </w:r>
          </w:p>
          <w:p w14:paraId="50611953" w14:textId="77777777" w:rsidR="007132D9" w:rsidRPr="007132D9" w:rsidRDefault="007132D9" w:rsidP="007132D9">
            <w:pPr>
              <w:spacing w:after="0" w:line="240" w:lineRule="auto"/>
              <w:ind w:firstLine="68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13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2) trīs Augstākās tiesas priekšsēdētāja norīkoti senatori;</w:t>
            </w:r>
          </w:p>
          <w:p w14:paraId="38156510" w14:textId="77777777" w:rsidR="007132D9" w:rsidRPr="007132D9" w:rsidRDefault="007132D9" w:rsidP="007132D9">
            <w:pPr>
              <w:spacing w:after="0" w:line="240" w:lineRule="auto"/>
              <w:ind w:firstLine="68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13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3) trīs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</w:t>
            </w:r>
            <w:r w:rsidRPr="00713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adomes norīkoti advokāti;</w:t>
            </w:r>
          </w:p>
          <w:p w14:paraId="27D2DD79" w14:textId="77777777" w:rsidR="007132D9" w:rsidRDefault="007132D9" w:rsidP="007132D9">
            <w:pPr>
              <w:spacing w:after="0" w:line="240" w:lineRule="auto"/>
              <w:ind w:firstLine="6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4) tieslietu ministra pilnvarots pārstāvis. Eksāmena komisijas sastāvu apstiprina tieslietu ministrs. Advokatūras likuma </w:t>
            </w:r>
            <w:proofErr w:type="gramStart"/>
            <w:r w:rsidRPr="00713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41.</w:t>
            </w:r>
            <w:r w:rsidRPr="00713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lv-LV"/>
              </w:rPr>
              <w:t>2</w:t>
            </w:r>
            <w:r w:rsidR="00644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lv-LV"/>
              </w:rPr>
              <w:t> </w:t>
            </w:r>
            <w:r w:rsidRPr="00713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lv-LV"/>
              </w:rPr>
              <w:t xml:space="preserve"> </w:t>
            </w:r>
            <w:r w:rsidR="00736C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panta pirmā daļa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noteic, ka </w:t>
            </w:r>
            <w:r w:rsidRPr="00713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advokāta eksāmena maksu nosaka Ministru kabinets. Iemaksāto eksāmena naudu izmaksā kā </w:t>
            </w:r>
            <w:r w:rsidRPr="00713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atlīdzību eksāmena komisijas locekļiem un izlieto eksāmena organizēšanas izdevumu segšanai.</w:t>
            </w:r>
          </w:p>
          <w:p w14:paraId="5F872972" w14:textId="6111CBF8" w:rsidR="00F26968" w:rsidRPr="00F26968" w:rsidRDefault="00F26968" w:rsidP="00F26968">
            <w:pPr>
              <w:pStyle w:val="tv2132"/>
              <w:spacing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F26968">
              <w:rPr>
                <w:color w:val="000000" w:themeColor="text1"/>
                <w:sz w:val="24"/>
                <w:szCs w:val="24"/>
              </w:rPr>
              <w:t xml:space="preserve">Ministru kabineta 2009. gada 10. marta </w:t>
            </w:r>
            <w:r>
              <w:rPr>
                <w:color w:val="000000" w:themeColor="text1"/>
                <w:sz w:val="24"/>
                <w:szCs w:val="24"/>
              </w:rPr>
              <w:t>noteikumu</w:t>
            </w:r>
            <w:r w:rsidRPr="00F26968">
              <w:rPr>
                <w:color w:val="000000" w:themeColor="text1"/>
                <w:sz w:val="24"/>
                <w:szCs w:val="24"/>
              </w:rPr>
              <w:t xml:space="preserve"> Nr.227 „Zvērināta advokāta eksāmena kārtība</w:t>
            </w:r>
            <w:r>
              <w:rPr>
                <w:color w:val="000000" w:themeColor="text1"/>
                <w:sz w:val="24"/>
                <w:szCs w:val="24"/>
              </w:rPr>
              <w:t xml:space="preserve">” </w:t>
            </w:r>
            <w:r w:rsidRPr="00F26968">
              <w:rPr>
                <w:color w:val="000000" w:themeColor="text1"/>
                <w:sz w:val="24"/>
                <w:szCs w:val="24"/>
              </w:rPr>
              <w:t>(turpmāk – Ministru kabineta noteikumi Nr.227)</w:t>
            </w:r>
            <w:r w:rsidR="005A010A">
              <w:rPr>
                <w:color w:val="000000" w:themeColor="text1"/>
                <w:sz w:val="24"/>
                <w:szCs w:val="24"/>
              </w:rPr>
              <w:t xml:space="preserve"> III sadaļas</w:t>
            </w:r>
            <w:r w:rsidR="005A010A" w:rsidRPr="00F26968">
              <w:rPr>
                <w:color w:val="000000" w:themeColor="text1"/>
                <w:sz w:val="24"/>
                <w:szCs w:val="24"/>
              </w:rPr>
              <w:t xml:space="preserve"> „Eksāmena norise” </w:t>
            </w:r>
            <w:r w:rsidRPr="00F26968">
              <w:rPr>
                <w:color w:val="000000" w:themeColor="text1"/>
                <w:sz w:val="24"/>
                <w:szCs w:val="24"/>
              </w:rPr>
              <w:t>12. punkts noteic, ka advokātu eksāmenam ir divas daļas:</w:t>
            </w:r>
          </w:p>
          <w:p w14:paraId="5F4DE6FC" w14:textId="77777777" w:rsidR="00F26968" w:rsidRPr="00B81808" w:rsidRDefault="00F26968" w:rsidP="00F26968">
            <w:pPr>
              <w:pStyle w:val="tv2132"/>
              <w:spacing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B81808">
              <w:rPr>
                <w:color w:val="000000" w:themeColor="text1"/>
                <w:sz w:val="24"/>
                <w:szCs w:val="24"/>
              </w:rPr>
              <w:t>1</w:t>
            </w:r>
            <w:r w:rsidR="005A010A">
              <w:rPr>
                <w:color w:val="000000" w:themeColor="text1"/>
                <w:sz w:val="24"/>
                <w:szCs w:val="24"/>
              </w:rPr>
              <w:t>)</w:t>
            </w:r>
            <w:r w:rsidRPr="00B81808">
              <w:rPr>
                <w:color w:val="000000" w:themeColor="text1"/>
                <w:sz w:val="24"/>
                <w:szCs w:val="24"/>
              </w:rPr>
              <w:t xml:space="preserve"> rakstiskajā daļā pārbauda pretendenta praktiskās zināšanas, kā arī argumentācijas prasmes – uzdod pretendentam atrisināt prakses uzdevumu (kāzusu), sagatavojot procesuāla dokumenta projektu;</w:t>
            </w:r>
          </w:p>
          <w:p w14:paraId="4AA332F4" w14:textId="77777777" w:rsidR="00F26968" w:rsidRDefault="00F26968" w:rsidP="00F26968">
            <w:pPr>
              <w:pStyle w:val="tv2132"/>
              <w:spacing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B81808">
              <w:rPr>
                <w:color w:val="000000" w:themeColor="text1"/>
                <w:sz w:val="24"/>
                <w:szCs w:val="24"/>
              </w:rPr>
              <w:t>2</w:t>
            </w:r>
            <w:r w:rsidR="005A010A">
              <w:rPr>
                <w:color w:val="000000" w:themeColor="text1"/>
                <w:sz w:val="24"/>
                <w:szCs w:val="24"/>
              </w:rPr>
              <w:t>)</w:t>
            </w:r>
            <w:r w:rsidRPr="00B81808">
              <w:rPr>
                <w:color w:val="000000" w:themeColor="text1"/>
                <w:sz w:val="24"/>
                <w:szCs w:val="24"/>
              </w:rPr>
              <w:t xml:space="preserve"> mutiskajā daļā pārbauda pretendenta teorētiskās zināšanas, kā arī komunikācijas un argumentācijas prasmes, uzdodot pretende</w:t>
            </w:r>
            <w:r>
              <w:rPr>
                <w:color w:val="000000" w:themeColor="text1"/>
                <w:sz w:val="24"/>
                <w:szCs w:val="24"/>
              </w:rPr>
              <w:t>ntam četrus teorijas jautājumus.</w:t>
            </w:r>
          </w:p>
          <w:p w14:paraId="71E69992" w14:textId="77777777" w:rsidR="00F26968" w:rsidRDefault="00672702" w:rsidP="007F6969">
            <w:pPr>
              <w:pStyle w:val="tv2132"/>
              <w:spacing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</w:t>
            </w:r>
            <w:r w:rsidR="00F26968">
              <w:rPr>
                <w:color w:val="000000" w:themeColor="text1"/>
                <w:sz w:val="24"/>
                <w:szCs w:val="24"/>
              </w:rPr>
              <w:t>ksāmena komisijas un darba grupa</w:t>
            </w:r>
            <w:r w:rsidR="008B74D1">
              <w:rPr>
                <w:color w:val="000000" w:themeColor="text1"/>
                <w:sz w:val="24"/>
                <w:szCs w:val="24"/>
              </w:rPr>
              <w:t>s locekļi</w:t>
            </w:r>
            <w:r w:rsidR="00F26968">
              <w:rPr>
                <w:color w:val="000000" w:themeColor="text1"/>
                <w:sz w:val="24"/>
                <w:szCs w:val="24"/>
              </w:rPr>
              <w:t xml:space="preserve"> vienojās, ka </w:t>
            </w:r>
            <w:r w:rsidR="007F6969">
              <w:rPr>
                <w:color w:val="000000" w:themeColor="text1"/>
                <w:sz w:val="24"/>
                <w:szCs w:val="24"/>
              </w:rPr>
              <w:t xml:space="preserve">eksāmena otrā – mutiskā daļa būtu papildināma ar vienu jautājumu, un jautājumi būtu veidojami par katru </w:t>
            </w:r>
            <w:r w:rsidR="00F26968" w:rsidRPr="00054F05">
              <w:rPr>
                <w:color w:val="000000" w:themeColor="text1"/>
                <w:sz w:val="24"/>
                <w:szCs w:val="24"/>
              </w:rPr>
              <w:t xml:space="preserve">tiesību nozari (civiltiesības, krimināltiesības, administratīvās </w:t>
            </w:r>
            <w:r w:rsidR="00F26968">
              <w:rPr>
                <w:color w:val="000000" w:themeColor="text1"/>
                <w:sz w:val="24"/>
                <w:szCs w:val="24"/>
              </w:rPr>
              <w:t>tiesības</w:t>
            </w:r>
            <w:r w:rsidR="007F6969">
              <w:rPr>
                <w:color w:val="000000" w:themeColor="text1"/>
                <w:sz w:val="24"/>
                <w:szCs w:val="24"/>
              </w:rPr>
              <w:t xml:space="preserve"> un starptautiskās tiesības), kā arī </w:t>
            </w:r>
            <w:r w:rsidR="00F26968">
              <w:rPr>
                <w:color w:val="000000" w:themeColor="text1"/>
                <w:sz w:val="24"/>
                <w:szCs w:val="24"/>
              </w:rPr>
              <w:t xml:space="preserve">par advokatūras institūtu kopumā, jo tādā veidā advokāta pretendenta zināšanas būs iespējams pārbaudīt pilnvērtīgāk, nekā ar pašreizējo eksāmena kārtību. </w:t>
            </w:r>
          </w:p>
          <w:p w14:paraId="369E7B90" w14:textId="77777777" w:rsidR="00B879BE" w:rsidRDefault="00B80482" w:rsidP="00345F4B">
            <w:pPr>
              <w:pStyle w:val="tv2132"/>
              <w:spacing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B80482">
              <w:rPr>
                <w:color w:val="000000" w:themeColor="text1"/>
                <w:sz w:val="24"/>
                <w:szCs w:val="24"/>
              </w:rPr>
              <w:t>Min</w:t>
            </w:r>
            <w:r w:rsidR="00736CE9">
              <w:rPr>
                <w:color w:val="000000" w:themeColor="text1"/>
                <w:sz w:val="24"/>
                <w:szCs w:val="24"/>
              </w:rPr>
              <w:t>istru kabineta noteikumu Nr.227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131F37">
              <w:rPr>
                <w:color w:val="000000" w:themeColor="text1"/>
                <w:sz w:val="24"/>
                <w:szCs w:val="24"/>
              </w:rPr>
              <w:t>12.</w:t>
            </w:r>
            <w:r w:rsidR="00644D29">
              <w:rPr>
                <w:color w:val="000000" w:themeColor="text1"/>
                <w:sz w:val="24"/>
                <w:szCs w:val="24"/>
              </w:rPr>
              <w:t>2. </w:t>
            </w:r>
            <w:r w:rsidR="00736CE9">
              <w:rPr>
                <w:color w:val="000000" w:themeColor="text1"/>
                <w:sz w:val="24"/>
                <w:szCs w:val="24"/>
              </w:rPr>
              <w:t>apakš</w:t>
            </w:r>
            <w:r w:rsidR="00131F37">
              <w:rPr>
                <w:color w:val="000000" w:themeColor="text1"/>
                <w:sz w:val="24"/>
                <w:szCs w:val="24"/>
              </w:rPr>
              <w:t xml:space="preserve">punkts </w:t>
            </w:r>
            <w:r w:rsidR="00183BCE">
              <w:rPr>
                <w:color w:val="000000" w:themeColor="text1"/>
                <w:sz w:val="24"/>
                <w:szCs w:val="24"/>
              </w:rPr>
              <w:t>šobrīd paredz,</w:t>
            </w:r>
            <w:r w:rsidR="00232C27">
              <w:rPr>
                <w:color w:val="000000" w:themeColor="text1"/>
                <w:sz w:val="24"/>
                <w:szCs w:val="24"/>
              </w:rPr>
              <w:t xml:space="preserve"> ka advokāta pretendents sniedz </w:t>
            </w:r>
            <w:r w:rsidR="00183BCE">
              <w:rPr>
                <w:color w:val="000000" w:themeColor="text1"/>
                <w:sz w:val="24"/>
                <w:szCs w:val="24"/>
              </w:rPr>
              <w:t xml:space="preserve">atbildes uz </w:t>
            </w:r>
            <w:r w:rsidR="005A010A">
              <w:rPr>
                <w:color w:val="000000" w:themeColor="text1"/>
                <w:sz w:val="24"/>
                <w:szCs w:val="24"/>
              </w:rPr>
              <w:t>četriem</w:t>
            </w:r>
            <w:r w:rsidR="00183BCE">
              <w:rPr>
                <w:color w:val="000000" w:themeColor="text1"/>
                <w:sz w:val="24"/>
                <w:szCs w:val="24"/>
              </w:rPr>
              <w:t xml:space="preserve"> teorētiskiem jautājumiem, turklāt atbildes sniedzamas mutiski. Līdz ar grozījumiem </w:t>
            </w:r>
            <w:r w:rsidR="00736CE9" w:rsidRPr="00B80482">
              <w:rPr>
                <w:color w:val="000000" w:themeColor="text1"/>
                <w:sz w:val="24"/>
                <w:szCs w:val="24"/>
              </w:rPr>
              <w:t>Min</w:t>
            </w:r>
            <w:r w:rsidR="00736CE9">
              <w:rPr>
                <w:color w:val="000000" w:themeColor="text1"/>
                <w:sz w:val="24"/>
                <w:szCs w:val="24"/>
              </w:rPr>
              <w:t>istru kabineta noteikum</w:t>
            </w:r>
            <w:r w:rsidR="005A010A">
              <w:rPr>
                <w:color w:val="000000" w:themeColor="text1"/>
                <w:sz w:val="24"/>
                <w:szCs w:val="24"/>
              </w:rPr>
              <w:t>os</w:t>
            </w:r>
            <w:r w:rsidR="00736CE9">
              <w:rPr>
                <w:color w:val="000000" w:themeColor="text1"/>
                <w:sz w:val="24"/>
                <w:szCs w:val="24"/>
              </w:rPr>
              <w:t xml:space="preserve"> Nr.227 </w:t>
            </w:r>
            <w:r w:rsidR="00183BCE">
              <w:rPr>
                <w:color w:val="000000" w:themeColor="text1"/>
                <w:sz w:val="24"/>
                <w:szCs w:val="24"/>
              </w:rPr>
              <w:t>jautājumu skaits tiks par vienu palielinā</w:t>
            </w:r>
            <w:r w:rsidR="00E20DAC">
              <w:rPr>
                <w:color w:val="000000" w:themeColor="text1"/>
                <w:sz w:val="24"/>
                <w:szCs w:val="24"/>
              </w:rPr>
              <w:t>ts, tas ir, būs pieci jautājumi</w:t>
            </w:r>
            <w:r w:rsidR="00183BCE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14:paraId="78F71129" w14:textId="37E179C8" w:rsidR="00B80482" w:rsidRPr="00736CE9" w:rsidRDefault="00183BCE" w:rsidP="00345F4B">
            <w:pPr>
              <w:pStyle w:val="tv2132"/>
              <w:spacing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Ņemot vērā minēto, </w:t>
            </w:r>
            <w:r w:rsidRPr="00B80482">
              <w:rPr>
                <w:color w:val="000000" w:themeColor="text1"/>
                <w:sz w:val="24"/>
                <w:szCs w:val="24"/>
              </w:rPr>
              <w:t xml:space="preserve">palielināsies eksāmena norises ilgums, </w:t>
            </w:r>
            <w:r w:rsidR="00B80482">
              <w:rPr>
                <w:color w:val="000000" w:themeColor="text1"/>
                <w:sz w:val="24"/>
                <w:szCs w:val="24"/>
              </w:rPr>
              <w:t xml:space="preserve">eksāmena labošanas ilgums, </w:t>
            </w:r>
            <w:r w:rsidRPr="00B80482">
              <w:rPr>
                <w:color w:val="000000" w:themeColor="text1"/>
                <w:sz w:val="24"/>
                <w:szCs w:val="24"/>
              </w:rPr>
              <w:t xml:space="preserve">tāpat arī administratīvie izdevumi, </w:t>
            </w:r>
            <w:r w:rsidR="00B80482">
              <w:rPr>
                <w:color w:val="000000" w:themeColor="text1"/>
                <w:sz w:val="24"/>
                <w:szCs w:val="24"/>
              </w:rPr>
              <w:t xml:space="preserve">tas ir, </w:t>
            </w:r>
            <w:r w:rsidRPr="00B80482">
              <w:rPr>
                <w:color w:val="000000" w:themeColor="text1"/>
                <w:sz w:val="24"/>
                <w:szCs w:val="24"/>
              </w:rPr>
              <w:t xml:space="preserve">eksāmens prasīs lielākus </w:t>
            </w:r>
            <w:r w:rsidR="00232C27" w:rsidRPr="00B80482">
              <w:rPr>
                <w:color w:val="000000" w:themeColor="text1"/>
                <w:sz w:val="24"/>
                <w:szCs w:val="24"/>
              </w:rPr>
              <w:t xml:space="preserve">administratīvos un finansiālos </w:t>
            </w:r>
            <w:r w:rsidRPr="00B80482">
              <w:rPr>
                <w:color w:val="000000" w:themeColor="text1"/>
                <w:sz w:val="24"/>
                <w:szCs w:val="24"/>
              </w:rPr>
              <w:t xml:space="preserve">resursus. </w:t>
            </w:r>
            <w:r w:rsidR="005C0E19" w:rsidRPr="00B80482">
              <w:rPr>
                <w:color w:val="000000" w:themeColor="text1"/>
                <w:sz w:val="24"/>
                <w:szCs w:val="24"/>
              </w:rPr>
              <w:t>Atbilstoši Advokatūras likuma 41.</w:t>
            </w:r>
            <w:r w:rsidR="005C0E19" w:rsidRPr="00B80482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736CE9">
              <w:rPr>
                <w:color w:val="000000" w:themeColor="text1"/>
                <w:sz w:val="24"/>
                <w:szCs w:val="24"/>
              </w:rPr>
              <w:t xml:space="preserve"> panta pirmajai daļai</w:t>
            </w:r>
            <w:r w:rsidR="005C0E19" w:rsidRPr="00B80482">
              <w:rPr>
                <w:color w:val="000000" w:themeColor="text1"/>
                <w:sz w:val="24"/>
                <w:szCs w:val="24"/>
              </w:rPr>
              <w:t xml:space="preserve"> konstatējams, ka advokātu pretendentu darbus advokāta eksāmenā vērtē augsti kvalificēti speciālisti, kuru profesionālā darbība var nebūt saistīta ar akadēmisko darbu un šo speciālistu norīkošana</w:t>
            </w:r>
            <w:r w:rsidR="005A010A">
              <w:rPr>
                <w:color w:val="000000" w:themeColor="text1"/>
                <w:sz w:val="24"/>
                <w:szCs w:val="24"/>
              </w:rPr>
              <w:t xml:space="preserve"> vai </w:t>
            </w:r>
            <w:r w:rsidR="005C0E19" w:rsidRPr="00B80482">
              <w:rPr>
                <w:color w:val="000000" w:themeColor="text1"/>
                <w:sz w:val="24"/>
                <w:szCs w:val="24"/>
              </w:rPr>
              <w:t>deleģēšana</w:t>
            </w:r>
            <w:proofErr w:type="gramStart"/>
            <w:r w:rsidR="005A010A">
              <w:rPr>
                <w:color w:val="000000" w:themeColor="text1"/>
                <w:sz w:val="24"/>
                <w:szCs w:val="24"/>
              </w:rPr>
              <w:t xml:space="preserve"> vai </w:t>
            </w:r>
            <w:r w:rsidR="005C0E19" w:rsidRPr="00B80482">
              <w:rPr>
                <w:color w:val="000000" w:themeColor="text1"/>
                <w:sz w:val="24"/>
                <w:szCs w:val="24"/>
              </w:rPr>
              <w:t>pilnvarošana eksāmena komisijā ir</w:t>
            </w:r>
            <w:r w:rsidR="00BC410F">
              <w:rPr>
                <w:color w:val="000000" w:themeColor="text1"/>
                <w:sz w:val="24"/>
                <w:szCs w:val="24"/>
              </w:rPr>
              <w:t xml:space="preserve"> pēc būtības uzskatāma</w:t>
            </w:r>
            <w:r w:rsidR="005C0E19" w:rsidRPr="00B80482">
              <w:rPr>
                <w:color w:val="000000" w:themeColor="text1"/>
                <w:sz w:val="24"/>
                <w:szCs w:val="24"/>
              </w:rPr>
              <w:t xml:space="preserve"> par profesionālu pagodinājumu, nevis peļņas gūšanas avotu</w:t>
            </w:r>
            <w:proofErr w:type="gramEnd"/>
            <w:r w:rsidR="005C0E19" w:rsidRPr="00B80482">
              <w:rPr>
                <w:color w:val="000000" w:themeColor="text1"/>
                <w:sz w:val="24"/>
                <w:szCs w:val="24"/>
              </w:rPr>
              <w:t xml:space="preserve">, līdz ar to šo speciālistu atalgošanai piemērojams analoģisks atalgojuma aprēķins </w:t>
            </w:r>
            <w:r w:rsidR="005A010A">
              <w:rPr>
                <w:color w:val="000000" w:themeColor="text1"/>
                <w:sz w:val="24"/>
                <w:szCs w:val="24"/>
              </w:rPr>
              <w:t xml:space="preserve">atbilstoši </w:t>
            </w:r>
            <w:r w:rsidR="005C0E19" w:rsidRPr="00B80482">
              <w:rPr>
                <w:color w:val="000000" w:themeColor="text1"/>
                <w:sz w:val="24"/>
                <w:szCs w:val="24"/>
              </w:rPr>
              <w:t>Ministru kabineta 20</w:t>
            </w:r>
            <w:r w:rsidR="00B879BE">
              <w:rPr>
                <w:color w:val="000000" w:themeColor="text1"/>
                <w:sz w:val="24"/>
                <w:szCs w:val="24"/>
              </w:rPr>
              <w:t>16</w:t>
            </w:r>
            <w:r w:rsidR="005C0E19" w:rsidRPr="00B80482">
              <w:rPr>
                <w:color w:val="000000" w:themeColor="text1"/>
                <w:sz w:val="24"/>
                <w:szCs w:val="24"/>
              </w:rPr>
              <w:t>.</w:t>
            </w:r>
            <w:r w:rsidR="005350ED" w:rsidRPr="00B80482">
              <w:rPr>
                <w:color w:val="000000" w:themeColor="text1"/>
                <w:sz w:val="24"/>
                <w:szCs w:val="24"/>
              </w:rPr>
              <w:t> </w:t>
            </w:r>
            <w:r w:rsidR="005C0E19" w:rsidRPr="00B80482">
              <w:rPr>
                <w:color w:val="000000" w:themeColor="text1"/>
                <w:sz w:val="24"/>
                <w:szCs w:val="24"/>
              </w:rPr>
              <w:t xml:space="preserve">gada </w:t>
            </w:r>
            <w:r w:rsidR="00B879BE">
              <w:rPr>
                <w:color w:val="000000" w:themeColor="text1"/>
                <w:sz w:val="24"/>
                <w:szCs w:val="24"/>
              </w:rPr>
              <w:t>5</w:t>
            </w:r>
            <w:r w:rsidR="005C0E19" w:rsidRPr="00B80482">
              <w:rPr>
                <w:color w:val="000000" w:themeColor="text1"/>
                <w:sz w:val="24"/>
                <w:szCs w:val="24"/>
              </w:rPr>
              <w:t>.</w:t>
            </w:r>
            <w:r w:rsidR="005350ED" w:rsidRPr="00B80482">
              <w:rPr>
                <w:color w:val="000000" w:themeColor="text1"/>
                <w:sz w:val="24"/>
                <w:szCs w:val="24"/>
              </w:rPr>
              <w:t> </w:t>
            </w:r>
            <w:r w:rsidR="005C0E19" w:rsidRPr="00B80482">
              <w:rPr>
                <w:color w:val="000000" w:themeColor="text1"/>
                <w:sz w:val="24"/>
                <w:szCs w:val="24"/>
              </w:rPr>
              <w:t>jūlija noteikumiem Nr.</w:t>
            </w:r>
            <w:r w:rsidR="00B879BE">
              <w:rPr>
                <w:color w:val="000000" w:themeColor="text1"/>
                <w:sz w:val="24"/>
                <w:szCs w:val="24"/>
              </w:rPr>
              <w:t>445</w:t>
            </w:r>
            <w:r w:rsidR="005C0E19" w:rsidRPr="00B80482">
              <w:rPr>
                <w:color w:val="000000" w:themeColor="text1"/>
                <w:sz w:val="24"/>
                <w:szCs w:val="24"/>
              </w:rPr>
              <w:t xml:space="preserve"> </w:t>
            </w:r>
            <w:r w:rsidR="005A010A" w:rsidRPr="00B80482">
              <w:rPr>
                <w:color w:val="000000" w:themeColor="text1"/>
                <w:sz w:val="24"/>
                <w:szCs w:val="24"/>
              </w:rPr>
              <w:t xml:space="preserve">„Pedagogu darba samaksas noteikumi” </w:t>
            </w:r>
            <w:r w:rsidR="003726F2" w:rsidRPr="00B80482">
              <w:rPr>
                <w:color w:val="000000" w:themeColor="text1"/>
                <w:sz w:val="24"/>
                <w:szCs w:val="24"/>
              </w:rPr>
              <w:t>(turpmāk – Ministru kabineta noteikumi Nr.</w:t>
            </w:r>
            <w:r w:rsidR="00B879BE">
              <w:rPr>
                <w:color w:val="000000" w:themeColor="text1"/>
                <w:sz w:val="24"/>
                <w:szCs w:val="24"/>
              </w:rPr>
              <w:t>445</w:t>
            </w:r>
            <w:r w:rsidR="003726F2" w:rsidRPr="00B80482">
              <w:rPr>
                <w:color w:val="000000" w:themeColor="text1"/>
                <w:sz w:val="24"/>
                <w:szCs w:val="24"/>
              </w:rPr>
              <w:t>)</w:t>
            </w:r>
            <w:r w:rsidR="005C0E19" w:rsidRPr="00B80482">
              <w:rPr>
                <w:color w:val="000000" w:themeColor="text1"/>
                <w:sz w:val="24"/>
                <w:szCs w:val="24"/>
              </w:rPr>
              <w:t xml:space="preserve">, </w:t>
            </w:r>
            <w:r w:rsidR="005C0E19" w:rsidRPr="000F5082">
              <w:rPr>
                <w:color w:val="000000" w:themeColor="text1"/>
                <w:sz w:val="24"/>
                <w:szCs w:val="24"/>
              </w:rPr>
              <w:t xml:space="preserve">kuri nosaka </w:t>
            </w:r>
            <w:r w:rsidR="00310ECA">
              <w:rPr>
                <w:color w:val="000000" w:themeColor="text1"/>
                <w:sz w:val="24"/>
                <w:szCs w:val="24"/>
              </w:rPr>
              <w:t xml:space="preserve">izglītības iestāžu </w:t>
            </w:r>
            <w:r w:rsidR="005C0E19" w:rsidRPr="000F5082">
              <w:rPr>
                <w:color w:val="000000" w:themeColor="text1"/>
                <w:sz w:val="24"/>
                <w:szCs w:val="24"/>
              </w:rPr>
              <w:t xml:space="preserve">pedagogu </w:t>
            </w:r>
            <w:r w:rsidR="00310ECA" w:rsidRPr="00310ECA">
              <w:rPr>
                <w:color w:val="000000" w:themeColor="text1"/>
                <w:sz w:val="24"/>
                <w:szCs w:val="24"/>
              </w:rPr>
              <w:t xml:space="preserve"> </w:t>
            </w:r>
            <w:r w:rsidR="00310ECA" w:rsidRPr="001C1BA6">
              <w:rPr>
                <w:sz w:val="24"/>
                <w:szCs w:val="24"/>
              </w:rPr>
              <w:t>zemāko mēneša darba algas likmi</w:t>
            </w:r>
            <w:r w:rsidR="00B80482" w:rsidRPr="000F5082">
              <w:rPr>
                <w:color w:val="000000" w:themeColor="text1"/>
                <w:sz w:val="24"/>
                <w:szCs w:val="24"/>
              </w:rPr>
              <w:t xml:space="preserve">, kas tika izmantots, </w:t>
            </w:r>
            <w:r w:rsidR="00310ECA">
              <w:rPr>
                <w:color w:val="000000" w:themeColor="text1"/>
                <w:sz w:val="24"/>
                <w:szCs w:val="24"/>
              </w:rPr>
              <w:t>izstrādājot</w:t>
            </w:r>
            <w:r w:rsidR="00B80482" w:rsidRPr="000F5082">
              <w:rPr>
                <w:color w:val="000000" w:themeColor="text1"/>
                <w:sz w:val="24"/>
                <w:szCs w:val="24"/>
              </w:rPr>
              <w:t xml:space="preserve"> </w:t>
            </w:r>
            <w:r w:rsidR="000F5082" w:rsidRPr="000F5082">
              <w:rPr>
                <w:color w:val="000000" w:themeColor="text1"/>
                <w:sz w:val="24"/>
                <w:szCs w:val="24"/>
              </w:rPr>
              <w:lastRenderedPageBreak/>
              <w:t>grozījumus Ministru kabineta</w:t>
            </w:r>
            <w:r w:rsidR="000F5082">
              <w:rPr>
                <w:color w:val="000000" w:themeColor="text1"/>
                <w:sz w:val="24"/>
                <w:szCs w:val="24"/>
              </w:rPr>
              <w:t xml:space="preserve"> 2004. gada 20. jūlija noteikumos</w:t>
            </w:r>
            <w:r w:rsidR="000F5082" w:rsidRPr="000F5082">
              <w:rPr>
                <w:color w:val="000000" w:themeColor="text1"/>
                <w:sz w:val="24"/>
                <w:szCs w:val="24"/>
              </w:rPr>
              <w:t xml:space="preserve"> Nr.609 „Noteikumi par advokāta eksāmena maksu” (turpmāk – </w:t>
            </w:r>
            <w:r w:rsidR="00345F4B">
              <w:rPr>
                <w:color w:val="000000" w:themeColor="text1"/>
                <w:sz w:val="24"/>
                <w:szCs w:val="24"/>
              </w:rPr>
              <w:t>Ministru kabineta n</w:t>
            </w:r>
            <w:r w:rsidR="000F5082" w:rsidRPr="000F5082">
              <w:rPr>
                <w:color w:val="000000" w:themeColor="text1"/>
                <w:sz w:val="24"/>
                <w:szCs w:val="24"/>
              </w:rPr>
              <w:t>oteikumi</w:t>
            </w:r>
            <w:r w:rsidR="00345F4B">
              <w:rPr>
                <w:color w:val="000000" w:themeColor="text1"/>
                <w:sz w:val="24"/>
                <w:szCs w:val="24"/>
              </w:rPr>
              <w:t xml:space="preserve"> Nr.609</w:t>
            </w:r>
            <w:r w:rsidR="000F5082" w:rsidRPr="000F5082">
              <w:rPr>
                <w:color w:val="000000" w:themeColor="text1"/>
                <w:sz w:val="24"/>
                <w:szCs w:val="24"/>
              </w:rPr>
              <w:t>)</w:t>
            </w:r>
            <w:r w:rsidR="00866EFD">
              <w:rPr>
                <w:color w:val="000000" w:themeColor="text1"/>
                <w:sz w:val="24"/>
                <w:szCs w:val="24"/>
              </w:rPr>
              <w:t xml:space="preserve">. </w:t>
            </w:r>
            <w:r w:rsidR="00345F4B">
              <w:rPr>
                <w:color w:val="000000" w:themeColor="text1"/>
                <w:sz w:val="24"/>
                <w:szCs w:val="24"/>
              </w:rPr>
              <w:t>Tāpat, l</w:t>
            </w:r>
            <w:r w:rsidR="00B80482" w:rsidRPr="000F5082">
              <w:rPr>
                <w:color w:val="000000" w:themeColor="text1"/>
                <w:sz w:val="24"/>
                <w:szCs w:val="24"/>
              </w:rPr>
              <w:t xml:space="preserve">ai optimāli aprēķinātu advokāta eksāmena izmaksas personām, kuras nav advokātu palīgi, aprēķināmas izmaksas </w:t>
            </w:r>
            <w:r w:rsidR="00310ECA">
              <w:rPr>
                <w:color w:val="000000" w:themeColor="text1"/>
                <w:sz w:val="24"/>
                <w:szCs w:val="24"/>
              </w:rPr>
              <w:t>viena</w:t>
            </w:r>
            <w:r w:rsidR="00B80482" w:rsidRPr="000F5082">
              <w:rPr>
                <w:color w:val="000000" w:themeColor="text1"/>
                <w:sz w:val="24"/>
                <w:szCs w:val="24"/>
              </w:rPr>
              <w:t xml:space="preserve"> advokāta </w:t>
            </w:r>
            <w:r w:rsidR="00B80482" w:rsidRPr="00736CE9">
              <w:rPr>
                <w:color w:val="000000" w:themeColor="text1"/>
                <w:sz w:val="24"/>
                <w:szCs w:val="24"/>
              </w:rPr>
              <w:t xml:space="preserve">pretendenta eksāmena </w:t>
            </w:r>
            <w:r w:rsidR="006F7E11" w:rsidRPr="00736CE9">
              <w:rPr>
                <w:color w:val="000000" w:themeColor="text1"/>
                <w:sz w:val="24"/>
                <w:szCs w:val="24"/>
              </w:rPr>
              <w:t xml:space="preserve">otrās, papildinātās daļas </w:t>
            </w:r>
            <w:r w:rsidR="00B80482" w:rsidRPr="00736CE9">
              <w:rPr>
                <w:color w:val="000000" w:themeColor="text1"/>
                <w:sz w:val="24"/>
                <w:szCs w:val="24"/>
              </w:rPr>
              <w:t>pieņemšanai</w:t>
            </w:r>
            <w:r w:rsidR="00345F4B" w:rsidRPr="00736CE9">
              <w:rPr>
                <w:color w:val="000000" w:themeColor="text1"/>
                <w:sz w:val="24"/>
                <w:szCs w:val="24"/>
              </w:rPr>
              <w:t>,</w:t>
            </w:r>
            <w:r w:rsidR="000F5082" w:rsidRPr="00736CE9">
              <w:rPr>
                <w:color w:val="000000" w:themeColor="text1"/>
                <w:sz w:val="24"/>
                <w:szCs w:val="24"/>
              </w:rPr>
              <w:t xml:space="preserve"> </w:t>
            </w:r>
            <w:r w:rsidR="006F7E11" w:rsidRPr="00736CE9">
              <w:rPr>
                <w:color w:val="000000" w:themeColor="text1"/>
                <w:sz w:val="24"/>
                <w:szCs w:val="24"/>
              </w:rPr>
              <w:t>ņemama</w:t>
            </w:r>
            <w:r w:rsidR="00345F4B" w:rsidRPr="00736CE9">
              <w:rPr>
                <w:color w:val="000000" w:themeColor="text1"/>
                <w:sz w:val="24"/>
                <w:szCs w:val="24"/>
              </w:rPr>
              <w:t xml:space="preserve"> </w:t>
            </w:r>
            <w:r w:rsidR="000F5082" w:rsidRPr="00736CE9">
              <w:rPr>
                <w:color w:val="000000" w:themeColor="text1"/>
                <w:sz w:val="24"/>
                <w:szCs w:val="24"/>
              </w:rPr>
              <w:t xml:space="preserve">vērā </w:t>
            </w:r>
            <w:r w:rsidR="006F7E11" w:rsidRPr="00736CE9">
              <w:rPr>
                <w:color w:val="000000" w:themeColor="text1"/>
                <w:sz w:val="24"/>
                <w:szCs w:val="24"/>
              </w:rPr>
              <w:t xml:space="preserve">arī </w:t>
            </w:r>
            <w:r w:rsidR="000F5082" w:rsidRPr="00736CE9">
              <w:rPr>
                <w:color w:val="000000" w:themeColor="text1"/>
                <w:sz w:val="24"/>
                <w:szCs w:val="24"/>
              </w:rPr>
              <w:t xml:space="preserve">Ministru kabineta noteikumu Nr.227 </w:t>
            </w:r>
            <w:r w:rsidR="00B80482" w:rsidRPr="00736CE9">
              <w:rPr>
                <w:color w:val="000000" w:themeColor="text1"/>
                <w:sz w:val="24"/>
                <w:szCs w:val="24"/>
              </w:rPr>
              <w:t>III sad</w:t>
            </w:r>
            <w:r w:rsidR="000F5082" w:rsidRPr="00736CE9">
              <w:rPr>
                <w:color w:val="000000" w:themeColor="text1"/>
                <w:sz w:val="24"/>
                <w:szCs w:val="24"/>
              </w:rPr>
              <w:t>aļ</w:t>
            </w:r>
            <w:r w:rsidR="006F7E11" w:rsidRPr="00736CE9">
              <w:rPr>
                <w:color w:val="000000" w:themeColor="text1"/>
                <w:sz w:val="24"/>
                <w:szCs w:val="24"/>
              </w:rPr>
              <w:t>a</w:t>
            </w:r>
            <w:r w:rsidR="00B80482" w:rsidRPr="00736CE9">
              <w:rPr>
                <w:color w:val="000000" w:themeColor="text1"/>
                <w:sz w:val="24"/>
                <w:szCs w:val="24"/>
              </w:rPr>
              <w:t xml:space="preserve"> „Eksāmena norise”</w:t>
            </w:r>
            <w:r w:rsidR="000F5082" w:rsidRPr="00736CE9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14:paraId="395A4788" w14:textId="77777777" w:rsidR="00B80482" w:rsidRPr="00286827" w:rsidRDefault="000F5082" w:rsidP="00345F4B">
            <w:pPr>
              <w:spacing w:after="0" w:line="240" w:lineRule="auto"/>
              <w:ind w:firstLine="68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36C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Saskaņā ar </w:t>
            </w:r>
            <w:r w:rsidR="00736CE9" w:rsidRPr="00736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Ministru kabineta noteikumu Nr.227 </w:t>
            </w:r>
            <w:r w:rsidRPr="00736C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2.1. apakšpunktu</w:t>
            </w:r>
            <w:r w:rsidRPr="000F50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advokāta eksāmena maksa ir 100 </w:t>
            </w:r>
            <w:proofErr w:type="spellStart"/>
            <w:r w:rsidRPr="000F508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lv-LV"/>
              </w:rPr>
              <w:t>euro</w:t>
            </w:r>
            <w:proofErr w:type="spellEnd"/>
            <w:r w:rsidRPr="000F50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gadījumā</w:t>
            </w:r>
            <w:r w:rsidRPr="006465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ja pretendents strādā par </w:t>
            </w:r>
            <w:r w:rsidR="00BC410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advokāta palīgu</w:t>
            </w:r>
            <w:r w:rsidR="00310E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6465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saskaņā ar 2.2.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6465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apakšpunktu eksāmena maksa ir 285 </w:t>
            </w:r>
            <w:proofErr w:type="spellStart"/>
            <w:r w:rsidRPr="006465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Pr="006465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pārējiem pretendentiem, kas vēlas kārtot </w:t>
            </w:r>
            <w:r w:rsidRPr="006146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advokāta </w:t>
            </w:r>
            <w:r w:rsidRPr="00286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eksāmenu.</w:t>
            </w:r>
          </w:p>
          <w:p w14:paraId="57770D23" w14:textId="6009BD3B" w:rsidR="00BC410F" w:rsidRPr="006F7E11" w:rsidRDefault="00286827" w:rsidP="00286827">
            <w:pPr>
              <w:spacing w:after="0" w:line="240" w:lineRule="auto"/>
              <w:ind w:firstLine="6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Saskaņā ar </w:t>
            </w:r>
            <w:r w:rsidRPr="00286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Ministru kabineta notei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kumu </w:t>
            </w:r>
            <w:r w:rsidRPr="00286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Nr.445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3. punktu un 1. pielikumu asociētā profesora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  <w:r w:rsidR="005C0E19" w:rsidRPr="002868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idējais minimālais atalgojums ir aptuveni </w:t>
            </w:r>
            <w:r w:rsidR="00CD5D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86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stundā</w:t>
            </w:r>
            <w:r w:rsidR="000E1190" w:rsidRPr="002868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BC410F" w:rsidRPr="002868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5C0E19" w:rsidRPr="002868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Vidējais laika patēriņš viena pretendenta, kurš </w:t>
            </w:r>
            <w:r w:rsidR="00752157" w:rsidRPr="002868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</w:t>
            </w:r>
            <w:r w:rsidR="005C0E19" w:rsidRPr="002868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advokāta palīgs, eksāmena </w:t>
            </w:r>
            <w:r w:rsidR="006F7E11" w:rsidRPr="002868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otrās </w:t>
            </w:r>
            <w:r w:rsidR="00B549CF" w:rsidRPr="002868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daļas </w:t>
            </w:r>
            <w:r w:rsidR="005C0E19" w:rsidRPr="002868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novērtēšanā</w:t>
            </w:r>
            <w:r w:rsidR="00B549CF" w:rsidRPr="002868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(proti, daļas </w:t>
            </w:r>
            <w:r w:rsidR="005C0E19" w:rsidRPr="002868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labošanā) ir </w:t>
            </w:r>
            <w:r w:rsidR="00AA0DE1" w:rsidRPr="002868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637065" w:rsidRPr="002868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 min</w:t>
            </w:r>
            <w:r w:rsidR="00BC410F" w:rsidRPr="002868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ūtes jeb 0,</w:t>
            </w:r>
            <w:r w:rsidR="00CD5D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83 </w:t>
            </w:r>
            <w:r w:rsidR="009708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</w:t>
            </w:r>
            <w:r w:rsidR="009708B1" w:rsidRPr="002868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5C0E19" w:rsidRPr="002868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un administratī</w:t>
            </w:r>
            <w:r w:rsidR="00752157" w:rsidRPr="002868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vie izdevumi </w:t>
            </w:r>
            <w:r w:rsidR="00637065" w:rsidRPr="002868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par </w:t>
            </w:r>
            <w:r w:rsidR="00736CE9" w:rsidRPr="002868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eksāmena otrās daļas papildinājumu</w:t>
            </w:r>
            <w:r w:rsidR="00736C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7521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sastāda </w:t>
            </w:r>
            <w:r w:rsidR="00752157" w:rsidRPr="006F7E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aptuveni </w:t>
            </w:r>
            <w:r w:rsidR="00637065" w:rsidRPr="006F7E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5C0E19" w:rsidRPr="006F7E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5C0E19" w:rsidRPr="006F7E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="005C0E19" w:rsidRPr="006F7E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5105EA" w:rsidRPr="006F7E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C410F" w:rsidRPr="006F7E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Līdz ar to </w:t>
            </w:r>
            <w:r w:rsidR="00310E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viena</w:t>
            </w:r>
            <w:r w:rsidR="00BC410F" w:rsidRPr="006F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advokāta pretendenta eksāmena </w:t>
            </w:r>
            <w:r w:rsidR="006F7E11" w:rsidRPr="006F7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otrās, papildinātās daļas </w:t>
            </w:r>
            <w:r w:rsidR="00BC410F" w:rsidRPr="006F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pieņemšanas izmaksas aprēķināmas, </w:t>
            </w:r>
            <w:r w:rsidR="00BC410F" w:rsidRPr="006F7E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pielietojot šādu aprēķina formulu</w:t>
            </w:r>
            <w:r w:rsidR="009708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: </w:t>
            </w:r>
            <w:r w:rsidR="005C0E19" w:rsidRPr="006F7E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  <w:r w:rsidR="00D70A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proofErr w:type="spellStart"/>
            <w:r w:rsidR="005C0E19" w:rsidRPr="006F7E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</w:t>
            </w:r>
            <w:proofErr w:type="spellEnd"/>
            <w:r w:rsidR="005C0E19" w:rsidRPr="006F7E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9708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5C0E19" w:rsidRPr="006F7E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loc.*9</w:t>
            </w:r>
            <w:r w:rsidR="009708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proofErr w:type="spellStart"/>
            <w:r w:rsidR="005C0E19" w:rsidRPr="006F7E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="005C0E19" w:rsidRPr="006F7E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/h*</w:t>
            </w:r>
            <w:r w:rsidR="005105EA" w:rsidRPr="006F7E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</w:t>
            </w:r>
            <w:r w:rsidR="00CD5D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</w:t>
            </w:r>
            <w:r w:rsidR="009708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proofErr w:type="spellStart"/>
            <w:r w:rsidR="005C0E19" w:rsidRPr="006F7E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astr.h</w:t>
            </w:r>
            <w:proofErr w:type="spellEnd"/>
            <w:r w:rsidR="005C0E19" w:rsidRPr="006F7E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+ </w:t>
            </w:r>
            <w:r w:rsidR="005105EA" w:rsidRPr="006F7E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5C0E19" w:rsidRPr="006F7E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5C0E19" w:rsidRPr="006F7E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="005C0E19" w:rsidRPr="006F7E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5C0E19" w:rsidRPr="006F7E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adm</w:t>
            </w:r>
            <w:proofErr w:type="spellEnd"/>
            <w:r w:rsidR="005C0E19" w:rsidRPr="006F7E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9708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proofErr w:type="spellStart"/>
            <w:r w:rsidR="005C0E19" w:rsidRPr="006F7E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izm</w:t>
            </w:r>
            <w:proofErr w:type="spellEnd"/>
            <w:r w:rsidR="005C0E19" w:rsidRPr="006F7E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B549CF" w:rsidRPr="006F7E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=</w:t>
            </w:r>
            <w:r w:rsidR="005105EA" w:rsidRPr="006F7E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CD5D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64,76</w:t>
            </w:r>
            <w:r w:rsidR="005105EA" w:rsidRPr="006F7E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(veicot matemātisko noapaļošanu</w:t>
            </w:r>
            <w:r w:rsidR="00BC410F" w:rsidRPr="006F7E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- </w:t>
            </w:r>
            <w:r w:rsidR="005105EA" w:rsidRPr="006F7E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65).</w:t>
            </w:r>
          </w:p>
          <w:p w14:paraId="0D3FE4AA" w14:textId="77777777" w:rsidR="005105EA" w:rsidRDefault="005105EA" w:rsidP="00CD5DE4">
            <w:pPr>
              <w:spacing w:after="0" w:line="240" w:lineRule="auto"/>
              <w:ind w:firstLine="6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E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Ņemot vērā iepriekš minēto, advokāta eksāmena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maksa pretendentiem, kuri nav advokātu palīgi, nosakāma 350 </w:t>
            </w:r>
            <w:proofErr w:type="spellStart"/>
            <w:r w:rsidRPr="006370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Pr="006370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apmērā</w:t>
            </w:r>
            <w:r w:rsidR="009708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t.i.,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285 </w:t>
            </w:r>
            <w:proofErr w:type="spellStart"/>
            <w:r w:rsidRPr="005105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(pašreizējā eksāmena maksa) + 65 </w:t>
            </w:r>
            <w:proofErr w:type="spellStart"/>
            <w:r w:rsidR="009708B1" w:rsidRPr="00286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="009708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(izmaksas par </w:t>
            </w:r>
            <w:r w:rsidR="00CD5D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papildinājumu eksāmena otrajai daļai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).</w:t>
            </w:r>
          </w:p>
          <w:p w14:paraId="67340547" w14:textId="77777777" w:rsidR="004D15A9" w:rsidRPr="008F2590" w:rsidRDefault="009708B1" w:rsidP="009708B1">
            <w:pPr>
              <w:spacing w:after="0" w:line="240" w:lineRule="auto"/>
              <w:ind w:firstLine="68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</w:t>
            </w:r>
            <w:r w:rsidR="005C0E19" w:rsidRPr="00A87F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āds advokāta eksāmena maksas pieaugums </w:t>
            </w:r>
            <w:r w:rsidR="00E20D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nav </w:t>
            </w:r>
            <w:r w:rsidR="005C0E19" w:rsidRPr="00A87F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uzskatāms par nesamērīgi lielu pieaugumu, kas varētu ietekmēt turpmāko advok</w:t>
            </w:r>
            <w:r w:rsidR="00337F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āta eksāmena pretendentu skaitu.</w:t>
            </w:r>
            <w:r w:rsidR="00646539" w:rsidRPr="00646539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  <w:highlight w:val="yellow"/>
              </w:rPr>
              <w:t>36</w:t>
            </w:r>
            <w:bookmarkStart w:id="0" w:name="p-275045"/>
            <w:bookmarkStart w:id="1" w:name="p36"/>
            <w:bookmarkEnd w:id="0"/>
            <w:bookmarkEnd w:id="1"/>
            <w:r w:rsidR="00646539" w:rsidRPr="00646539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  <w:highlight w:val="yellow"/>
              </w:rPr>
              <w:t>39</w:t>
            </w:r>
            <w:bookmarkStart w:id="2" w:name="p-275049"/>
            <w:bookmarkStart w:id="3" w:name="p39"/>
            <w:bookmarkEnd w:id="2"/>
            <w:bookmarkEnd w:id="3"/>
          </w:p>
        </w:tc>
      </w:tr>
      <w:tr w:rsidR="00394159" w:rsidRPr="00394159" w14:paraId="71C34680" w14:textId="77777777" w:rsidTr="004D15A9">
        <w:trPr>
          <w:trHeight w:val="465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312715" w14:textId="77777777" w:rsidR="004D15A9" w:rsidRPr="00394159" w:rsidRDefault="004D15A9" w:rsidP="00152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41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3.</w:t>
            </w:r>
          </w:p>
        </w:tc>
        <w:tc>
          <w:tcPr>
            <w:tcW w:w="15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1B50CBA" w14:textId="77777777" w:rsidR="004D15A9" w:rsidRPr="00394159" w:rsidRDefault="004D15A9" w:rsidP="00152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41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izstrādē iesaistītās institūcijas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9B5E29C" w14:textId="77777777" w:rsidR="004D15A9" w:rsidRPr="00646539" w:rsidRDefault="000B7290" w:rsidP="00F95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Padome</w:t>
            </w:r>
            <w:r w:rsidR="00183B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darba grupas locekļi, eksāmenu komisijas locekļi.</w:t>
            </w:r>
          </w:p>
        </w:tc>
      </w:tr>
      <w:tr w:rsidR="00394159" w:rsidRPr="00394159" w14:paraId="2B43929F" w14:textId="77777777" w:rsidTr="004D15A9"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748672" w14:textId="77777777" w:rsidR="004D15A9" w:rsidRPr="00394159" w:rsidRDefault="004D15A9" w:rsidP="00152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41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5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056BD9F" w14:textId="77777777" w:rsidR="004D15A9" w:rsidRPr="00394159" w:rsidRDefault="004D15A9" w:rsidP="00152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41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B5607E" w14:textId="77777777" w:rsidR="004D15A9" w:rsidRPr="00646539" w:rsidRDefault="00672702" w:rsidP="00A55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</w:t>
            </w:r>
            <w:r w:rsidRPr="00A87F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adome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un eksāmena komisija</w:t>
            </w:r>
            <w:r w:rsidRPr="00A87F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atbalsta</w:t>
            </w:r>
            <w:r w:rsidR="002027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Ministru kabineta noteikumu projektu </w:t>
            </w:r>
            <w:r w:rsidR="00202747" w:rsidRPr="00974A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"G</w:t>
            </w:r>
            <w:r w:rsidR="00202747" w:rsidRPr="001C1B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rozījumi Ministru kabineta 2004. gada 20. jūlija noteikumos Nr. 609 „Noteikumi par advokāta eksāmena maksu"" (turpmāk</w:t>
            </w:r>
            <w:r w:rsidR="00A55854" w:rsidRPr="001C1B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202747" w:rsidRPr="001C1B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A55854" w:rsidRPr="001C1B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projekts</w:t>
            </w:r>
            <w:r w:rsidR="00202747" w:rsidRPr="001C1B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CA7F10" w:rsidRPr="00974A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506E0A" w:rsidRPr="00394159" w14:paraId="12B35556" w14:textId="77777777" w:rsidTr="00D313D5">
        <w:trPr>
          <w:trHeight w:val="128"/>
        </w:trPr>
        <w:tc>
          <w:tcPr>
            <w:tcW w:w="5000" w:type="pct"/>
            <w:gridSpan w:val="4"/>
            <w:tcBorders>
              <w:top w:val="outset" w:sz="6" w:space="0" w:color="414142"/>
              <w:left w:val="nil"/>
              <w:bottom w:val="outset" w:sz="6" w:space="0" w:color="414142"/>
              <w:right w:val="nil"/>
            </w:tcBorders>
          </w:tcPr>
          <w:p w14:paraId="5A5CB73A" w14:textId="77777777" w:rsidR="00031256" w:rsidRDefault="0081203F" w:rsidP="0081203F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41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</w:r>
          </w:p>
          <w:p w14:paraId="31EE0144" w14:textId="77777777" w:rsidR="007132D9" w:rsidRPr="00394159" w:rsidRDefault="007132D9" w:rsidP="0081203F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94159" w:rsidRPr="00394159" w14:paraId="4300F494" w14:textId="77777777" w:rsidTr="00101CD5">
        <w:trPr>
          <w:trHeight w:val="555"/>
        </w:trPr>
        <w:tc>
          <w:tcPr>
            <w:tcW w:w="0" w:type="auto"/>
            <w:gridSpan w:val="4"/>
            <w:tcBorders>
              <w:top w:val="nil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DD9099" w14:textId="77777777" w:rsidR="004D15A9" w:rsidRPr="00394159" w:rsidRDefault="004D15A9" w:rsidP="002D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94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II. Tiesību akta projekta ietekme uz sabiedrību, tautsaimniecības attīstību un administratīvo slogu</w:t>
            </w:r>
          </w:p>
        </w:tc>
      </w:tr>
      <w:tr w:rsidR="00394159" w:rsidRPr="00394159" w14:paraId="7DFDAF49" w14:textId="77777777" w:rsidTr="004D15A9">
        <w:trPr>
          <w:trHeight w:val="465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6B3B80C" w14:textId="77777777" w:rsidR="004D15A9" w:rsidRPr="00394159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41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1.</w:t>
            </w:r>
          </w:p>
        </w:tc>
        <w:tc>
          <w:tcPr>
            <w:tcW w:w="15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A85584" w14:textId="77777777" w:rsidR="004D15A9" w:rsidRPr="00394159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41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Sabiedrības mērķgrupas, kuras tiesiskais regulējums ietekmē vai varētu ietekmēt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E5626C" w14:textId="77777777" w:rsidR="004D15A9" w:rsidRPr="00A062D6" w:rsidRDefault="00FE0890" w:rsidP="00672702">
            <w:pPr>
              <w:pStyle w:val="naiskr"/>
              <w:spacing w:before="0" w:after="0"/>
              <w:jc w:val="both"/>
              <w:rPr>
                <w:bCs/>
              </w:rPr>
            </w:pPr>
            <w:r>
              <w:t>Padome, personas, kuras nav advokāta palīgi un vēlas kārtot advokāta eksāmenu, eksāmena komisijas locekļi.</w:t>
            </w:r>
          </w:p>
        </w:tc>
      </w:tr>
      <w:tr w:rsidR="00394159" w:rsidRPr="00394159" w14:paraId="6392A13F" w14:textId="77777777" w:rsidTr="004D15A9">
        <w:trPr>
          <w:trHeight w:val="51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83A6C7F" w14:textId="77777777" w:rsidR="004D15A9" w:rsidRPr="00394159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41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5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610A0B" w14:textId="77777777" w:rsidR="004D15A9" w:rsidRPr="00394159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41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Tiesiskā regulējuma ietekme uz tautsaimniecību un administratīvo slogu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9CB33E4" w14:textId="77777777" w:rsidR="004D15A9" w:rsidRPr="004C38EB" w:rsidRDefault="00FE0890" w:rsidP="002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Projekts šo jomu neskar.</w:t>
            </w:r>
          </w:p>
        </w:tc>
      </w:tr>
      <w:tr w:rsidR="00394159" w:rsidRPr="00394159" w14:paraId="28FC6C93" w14:textId="77777777" w:rsidTr="004D15A9">
        <w:trPr>
          <w:trHeight w:val="51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B40CB8D" w14:textId="77777777" w:rsidR="004D15A9" w:rsidRPr="00394159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41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5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FCD95A5" w14:textId="77777777" w:rsidR="004D15A9" w:rsidRPr="00394159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41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Administratīvo izmaksu monetārs novērtējums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CF2C857" w14:textId="77777777" w:rsidR="004D15A9" w:rsidRPr="00394159" w:rsidRDefault="00644D29" w:rsidP="001C1BA6">
            <w:pPr>
              <w:pStyle w:val="naiskr"/>
              <w:spacing w:before="0" w:after="0"/>
              <w:jc w:val="both"/>
            </w:pPr>
            <w:r>
              <w:t>Personām</w:t>
            </w:r>
            <w:r w:rsidRPr="00644D29">
              <w:t>, kuras nav advokāta palīgi un vēlas kārtot advokāta eksāmenu,</w:t>
            </w:r>
            <w:r>
              <w:t xml:space="preserve"> maksa par eksāmenu tiks palielināta par 65 </w:t>
            </w:r>
            <w:proofErr w:type="spellStart"/>
            <w:r w:rsidRPr="00644D29">
              <w:rPr>
                <w:i/>
              </w:rPr>
              <w:t>euro</w:t>
            </w:r>
            <w:proofErr w:type="spellEnd"/>
            <w:r>
              <w:t>, taču</w:t>
            </w:r>
            <w:r w:rsidRPr="00644D29">
              <w:t xml:space="preserve"> </w:t>
            </w:r>
            <w:r w:rsidRPr="00644D29">
              <w:rPr>
                <w:color w:val="000000"/>
              </w:rPr>
              <w:t>šīs izmaksas nebūs lielākas par Ministru kabineta 2009. gada 15. decembra Nr.19 “Tiesību akta projekta sākotnējās ietekmes izvērtēšanas kārtība” 25. punktā minētajām.</w:t>
            </w:r>
          </w:p>
        </w:tc>
      </w:tr>
      <w:tr w:rsidR="00394159" w:rsidRPr="00394159" w14:paraId="5F05489C" w14:textId="77777777" w:rsidTr="002D58E4">
        <w:trPr>
          <w:trHeight w:val="164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6DE1B5D" w14:textId="77777777" w:rsidR="004D15A9" w:rsidRPr="00394159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41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5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1CCC86E" w14:textId="77777777" w:rsidR="004D15A9" w:rsidRPr="00394159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41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831F15C" w14:textId="77777777" w:rsidR="004D15A9" w:rsidRPr="00394159" w:rsidRDefault="004C38EB" w:rsidP="002D58E4">
            <w:pPr>
              <w:spacing w:after="0" w:line="240" w:lineRule="auto"/>
              <w:ind w:firstLine="25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Nav.</w:t>
            </w:r>
          </w:p>
        </w:tc>
      </w:tr>
      <w:tr w:rsidR="00506E0A" w:rsidRPr="00394159" w14:paraId="76888BFC" w14:textId="77777777" w:rsidTr="00D313D5">
        <w:trPr>
          <w:trHeight w:val="345"/>
        </w:trPr>
        <w:tc>
          <w:tcPr>
            <w:tcW w:w="5000" w:type="pct"/>
            <w:gridSpan w:val="4"/>
            <w:tcBorders>
              <w:top w:val="outset" w:sz="6" w:space="0" w:color="414142"/>
              <w:left w:val="nil"/>
              <w:bottom w:val="single" w:sz="6" w:space="0" w:color="auto"/>
              <w:right w:val="nil"/>
            </w:tcBorders>
          </w:tcPr>
          <w:p w14:paraId="68BF81FB" w14:textId="77777777" w:rsidR="00823F18" w:rsidRDefault="00823F18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tbl>
            <w:tblPr>
              <w:tblW w:w="5000" w:type="pct"/>
              <w:tblBorders>
                <w:top w:val="outset" w:sz="6" w:space="0" w:color="414142"/>
                <w:left w:val="outset" w:sz="6" w:space="0" w:color="414142"/>
                <w:bottom w:val="outset" w:sz="6" w:space="0" w:color="414142"/>
                <w:right w:val="outset" w:sz="6" w:space="0" w:color="414142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90"/>
              <w:gridCol w:w="5897"/>
            </w:tblGrid>
            <w:tr w:rsidR="00823F18" w14:paraId="5A1656CE" w14:textId="77777777" w:rsidTr="00823F18">
              <w:trPr>
                <w:trHeight w:val="450"/>
              </w:trPr>
              <w:tc>
                <w:tcPr>
                  <w:tcW w:w="0" w:type="auto"/>
                  <w:gridSpan w:val="2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15EA56F3" w14:textId="77777777" w:rsidR="00823F18" w:rsidRDefault="00823F18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lv-LV"/>
                    </w:rPr>
                    <w:t>IV. Tiesību akta projekta ietekme uz spēkā esošo tiesību normu sistēmu</w:t>
                  </w:r>
                </w:p>
              </w:tc>
            </w:tr>
            <w:tr w:rsidR="00823F18" w14:paraId="62B220FC" w14:textId="77777777" w:rsidTr="00823F18">
              <w:tc>
                <w:tcPr>
                  <w:tcW w:w="14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260D1553" w14:textId="77777777" w:rsidR="00823F18" w:rsidRDefault="00823F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Nepieciešamie saistītie tiesību aktu projekti</w:t>
                  </w:r>
                </w:p>
              </w:tc>
              <w:tc>
                <w:tcPr>
                  <w:tcW w:w="33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5EF7C7A0" w14:textId="4D7BC6BD" w:rsidR="00254F81" w:rsidRPr="00254F81" w:rsidRDefault="008A114D" w:rsidP="008A114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Vienlaikus ar projektu ir jāstājas spēkā Ministru kabineta noteikumu projektam "</w:t>
                  </w:r>
                  <w:r w:rsidR="00823F18" w:rsidRPr="00823F18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 xml:space="preserve">Grozījumi </w:t>
                  </w:r>
                  <w:r w:rsidR="00823F18" w:rsidRPr="00823F1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Ministru kabineta 2009.</w:t>
                  </w:r>
                  <w:r w:rsidR="00F311C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="00823F18" w:rsidRPr="00823F1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gada 10. marta noteikumos Nr. 227 „</w:t>
                  </w:r>
                  <w:r w:rsidR="00823F18" w:rsidRPr="00823F1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Zvērināta advokāta eksāmena kārtība”</w:t>
                  </w:r>
                  <w:r w:rsidRPr="00823F1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”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. Līdz ar to projekts un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Ministru kabineta noteikumu projekts "</w:t>
                  </w:r>
                  <w:r w:rsidRPr="00823F18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 xml:space="preserve">Grozījumi </w:t>
                  </w:r>
                  <w:r w:rsidRPr="00823F1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Ministru kabineta 2009.</w:t>
                  </w:r>
                  <w:r w:rsidR="00F311C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Pr="00823F1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gada 10. marta noteikumos Nr. 227 „</w:t>
                  </w:r>
                  <w:r w:rsidRPr="00823F1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Zvērināta advokāta eksāmena kārtība””</w:t>
                  </w:r>
                  <w:r w:rsidR="00254F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vienlaikus tiks virzīti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izsludināšanai </w:t>
                  </w:r>
                  <w:r w:rsidR="00254F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Valsts sekretāru sanāksm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ē</w:t>
                  </w:r>
                  <w:r w:rsidR="00254F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, kā arī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vienlaikus tiks iesniegti izskatīšanai Ministru kabinetā, nodrošinot to vienlaicīgu spēkā stāšanos</w:t>
                  </w:r>
                  <w:r w:rsidR="00254F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. </w:t>
                  </w:r>
                </w:p>
              </w:tc>
            </w:tr>
            <w:tr w:rsidR="00823F18" w14:paraId="5E7A43E6" w14:textId="77777777" w:rsidTr="00823F18">
              <w:tc>
                <w:tcPr>
                  <w:tcW w:w="14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66A857E9" w14:textId="77777777" w:rsidR="00823F18" w:rsidRDefault="00823F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Atbildīgā institūcija</w:t>
                  </w:r>
                </w:p>
              </w:tc>
              <w:tc>
                <w:tcPr>
                  <w:tcW w:w="33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634162DA" w14:textId="77777777" w:rsidR="00823F18" w:rsidRDefault="00823F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Tieslietu ministrija</w:t>
                  </w:r>
                </w:p>
              </w:tc>
            </w:tr>
            <w:tr w:rsidR="00823F18" w14:paraId="6DE40289" w14:textId="77777777" w:rsidTr="00823F18">
              <w:tc>
                <w:tcPr>
                  <w:tcW w:w="14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138BAE51" w14:textId="77777777" w:rsidR="00823F18" w:rsidRDefault="00823F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Cita informācija</w:t>
                  </w:r>
                </w:p>
              </w:tc>
              <w:tc>
                <w:tcPr>
                  <w:tcW w:w="33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70AB1225" w14:textId="77777777" w:rsidR="00823F18" w:rsidRDefault="00823F1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Nav</w:t>
                  </w:r>
                </w:p>
              </w:tc>
            </w:tr>
          </w:tbl>
          <w:p w14:paraId="5F422D97" w14:textId="77777777" w:rsidR="00823F18" w:rsidRDefault="00823F18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8DBE262" w14:textId="77777777" w:rsidR="00823F18" w:rsidRPr="00394159" w:rsidRDefault="00823F18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94159" w:rsidRPr="00394159" w14:paraId="19FED5E6" w14:textId="77777777" w:rsidTr="004D15A9">
        <w:trPr>
          <w:trHeight w:val="420"/>
        </w:trPr>
        <w:tc>
          <w:tcPr>
            <w:tcW w:w="0" w:type="auto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F6F4033" w14:textId="77777777" w:rsidR="004D15A9" w:rsidRPr="00394159" w:rsidRDefault="004D15A9" w:rsidP="002D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94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VI. Sabiedrības līdzdalība un komunikācijas aktivitātes</w:t>
            </w:r>
          </w:p>
        </w:tc>
      </w:tr>
      <w:tr w:rsidR="000B7290" w:rsidRPr="00394159" w14:paraId="473A0595" w14:textId="77777777" w:rsidTr="004D15A9">
        <w:trPr>
          <w:trHeight w:val="54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608549" w14:textId="77777777" w:rsidR="000B7290" w:rsidRPr="00394159" w:rsidRDefault="000B7290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41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E62C37" w14:textId="77777777" w:rsidR="000B7290" w:rsidRPr="00394159" w:rsidRDefault="000B7290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41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Plānotās sabiedrības līdzdalības un komunikācijas aktivitātes saistībā ar projektu</w:t>
            </w:r>
          </w:p>
        </w:tc>
        <w:tc>
          <w:tcPr>
            <w:tcW w:w="32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3B2CFF" w14:textId="77777777" w:rsidR="000B7290" w:rsidRPr="00A87FFE" w:rsidRDefault="00574103" w:rsidP="0035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42897" w:rsidRPr="00E346B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rojekts ir </w:t>
            </w:r>
            <w:proofErr w:type="gramStart"/>
            <w:r w:rsidR="00242897" w:rsidRPr="00E346B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publicēts Tieslietu ministrijas tīmekļa vietnē sadaļā „Sabiedrības līdzdalība”</w:t>
            </w:r>
            <w:proofErr w:type="gramEnd"/>
            <w:r w:rsidR="00242897" w:rsidRPr="00E346B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tādējādi dodot iespēju sabiedrībai līdzdarboties tiesību</w:t>
            </w:r>
            <w:r w:rsidR="00242897" w:rsidRPr="00E346BC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akta izstrādes procesā.</w:t>
            </w:r>
          </w:p>
        </w:tc>
      </w:tr>
      <w:tr w:rsidR="000B7290" w:rsidRPr="00394159" w14:paraId="7C302E59" w14:textId="77777777" w:rsidTr="004D15A9">
        <w:trPr>
          <w:trHeight w:val="33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7F501E5" w14:textId="77777777" w:rsidR="000B7290" w:rsidRPr="00394159" w:rsidRDefault="000B7290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41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565CB9" w14:textId="77777777" w:rsidR="000B7290" w:rsidRPr="00394159" w:rsidRDefault="000B7290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41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Sabiedrības līdzdalība projekta izstrādē</w:t>
            </w:r>
          </w:p>
        </w:tc>
        <w:tc>
          <w:tcPr>
            <w:tcW w:w="32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52FF754" w14:textId="5E0C5F08" w:rsidR="000B7290" w:rsidRPr="00A87FFE" w:rsidRDefault="00242897" w:rsidP="00B91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46BC">
              <w:rPr>
                <w:rFonts w:ascii="Times New Roman" w:hAnsi="Times New Roman"/>
                <w:sz w:val="24"/>
                <w:szCs w:val="24"/>
                <w:lang w:eastAsia="lv-LV"/>
              </w:rPr>
              <w:t>Lai informētu sabiedrību par projektu un dotu iespēju izteikt par to viedokļus, projekts saskaņā ar Ministru kabineta 2009.</w:t>
            </w:r>
            <w:r w:rsidR="00644D29">
              <w:rPr>
                <w:rFonts w:ascii="Times New Roman" w:hAnsi="Times New Roman"/>
                <w:sz w:val="24"/>
                <w:szCs w:val="24"/>
                <w:lang w:eastAsia="lv-LV"/>
              </w:rPr>
              <w:t> </w:t>
            </w:r>
            <w:r w:rsidRPr="00E346BC">
              <w:rPr>
                <w:rFonts w:ascii="Times New Roman" w:hAnsi="Times New Roman"/>
                <w:sz w:val="24"/>
                <w:szCs w:val="24"/>
                <w:lang w:eastAsia="lv-LV"/>
              </w:rPr>
              <w:t>gada 25.</w:t>
            </w:r>
            <w:r w:rsidR="00644D29">
              <w:rPr>
                <w:rFonts w:ascii="Times New Roman" w:hAnsi="Times New Roman"/>
                <w:sz w:val="24"/>
                <w:szCs w:val="24"/>
                <w:lang w:eastAsia="lv-LV"/>
              </w:rPr>
              <w:t> </w:t>
            </w:r>
            <w:r w:rsidRPr="00E346BC">
              <w:rPr>
                <w:rFonts w:ascii="Times New Roman" w:hAnsi="Times New Roman"/>
                <w:sz w:val="24"/>
                <w:szCs w:val="24"/>
                <w:lang w:eastAsia="lv-LV"/>
              </w:rPr>
              <w:t>augusta noteikumiem Nr.970 „</w:t>
            </w:r>
            <w:r w:rsidRPr="00E346BC"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  <w:t xml:space="preserve">Sabiedrības līdzdalības kārtība attīstības plānošanas procesā” </w:t>
            </w:r>
            <w:r w:rsidRPr="00E346B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tika ievietots Tieslietu ministrijas tīmekļa vietnē</w:t>
            </w:r>
            <w:r w:rsidR="00F87F7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F87F74" w:rsidRPr="00B9173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2017. gada </w:t>
            </w:r>
            <w:r w:rsidR="00B9173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</w:t>
            </w:r>
            <w:r w:rsidR="00F87F74" w:rsidRPr="00B9173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 </w:t>
            </w:r>
            <w:r w:rsidR="00B9173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martā</w:t>
            </w:r>
            <w:r w:rsidRPr="00B9173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</w:tc>
      </w:tr>
      <w:tr w:rsidR="000B7290" w:rsidRPr="00394159" w14:paraId="6BA7CB88" w14:textId="77777777" w:rsidTr="004D15A9">
        <w:trPr>
          <w:trHeight w:val="465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6F0E8E" w14:textId="77777777" w:rsidR="000B7290" w:rsidRPr="00394159" w:rsidRDefault="000B7290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41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28E5219" w14:textId="77777777" w:rsidR="000B7290" w:rsidRPr="00394159" w:rsidRDefault="000B7290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41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Sabiedrības līdzdalības rezultāti</w:t>
            </w:r>
          </w:p>
        </w:tc>
        <w:tc>
          <w:tcPr>
            <w:tcW w:w="32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8F0743A" w14:textId="4AF05817" w:rsidR="000B7290" w:rsidRPr="00B9173D" w:rsidRDefault="00242897" w:rsidP="008A1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B9173D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Pēc projekta ievietošanas Tieslietu ministrijas tīmekļa vietnē viedokļi par projektu no sabiedrības pārstāvju puses nav saņemti.</w:t>
            </w:r>
          </w:p>
        </w:tc>
      </w:tr>
      <w:tr w:rsidR="000B7290" w:rsidRPr="00394159" w14:paraId="093B38E1" w14:textId="77777777" w:rsidTr="004D15A9">
        <w:trPr>
          <w:trHeight w:val="465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F3800EB" w14:textId="77777777" w:rsidR="000B7290" w:rsidRPr="00394159" w:rsidRDefault="000B7290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41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4.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287E90C" w14:textId="77777777" w:rsidR="000B7290" w:rsidRPr="00394159" w:rsidRDefault="000B7290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41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2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3045B9B" w14:textId="77777777" w:rsidR="000B7290" w:rsidRPr="00A87FFE" w:rsidRDefault="00672702" w:rsidP="001C1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</w:t>
            </w:r>
            <w:r w:rsidR="000B7290" w:rsidRPr="00A87F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14:paraId="4001D50C" w14:textId="77777777" w:rsidR="004D15A9" w:rsidRDefault="004D15A9" w:rsidP="00DA5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15707E0" w14:textId="77777777" w:rsidR="007132D9" w:rsidRPr="00394159" w:rsidRDefault="007132D9" w:rsidP="00DA5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8"/>
        <w:gridCol w:w="3254"/>
        <w:gridCol w:w="4881"/>
      </w:tblGrid>
      <w:tr w:rsidR="00394159" w:rsidRPr="00394159" w14:paraId="020093F0" w14:textId="77777777" w:rsidTr="004D15A9">
        <w:trPr>
          <w:trHeight w:val="375"/>
        </w:trPr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2D5E00A" w14:textId="77777777" w:rsidR="004D15A9" w:rsidRPr="00394159" w:rsidRDefault="004D15A9" w:rsidP="007C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94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VII. Tiesību akta projekta izpildes nodrošināšana un tās ietekme uz institūcijām</w:t>
            </w:r>
          </w:p>
        </w:tc>
      </w:tr>
      <w:tr w:rsidR="00394159" w:rsidRPr="00394159" w14:paraId="5BDB45C8" w14:textId="77777777" w:rsidTr="004D15A9">
        <w:trPr>
          <w:trHeight w:val="42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38096B" w14:textId="77777777" w:rsidR="004D15A9" w:rsidRPr="00394159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41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CE46A8" w14:textId="77777777" w:rsidR="004D15A9" w:rsidRPr="00394159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41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izpildē iesaistītās institūcijas</w:t>
            </w:r>
          </w:p>
        </w:tc>
        <w:tc>
          <w:tcPr>
            <w:tcW w:w="2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798476" w14:textId="77777777" w:rsidR="004D15A9" w:rsidRPr="00394159" w:rsidRDefault="000B7290" w:rsidP="001C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Padome</w:t>
            </w:r>
            <w:r w:rsidR="00183B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eksāmena komisija. </w:t>
            </w:r>
          </w:p>
        </w:tc>
      </w:tr>
      <w:tr w:rsidR="00394159" w:rsidRPr="00394159" w14:paraId="025BC24E" w14:textId="77777777" w:rsidTr="004D15A9">
        <w:trPr>
          <w:trHeight w:val="45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10FC3A" w14:textId="77777777" w:rsidR="004D15A9" w:rsidRPr="00394159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41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A8E621" w14:textId="77777777" w:rsidR="004D15A9" w:rsidRPr="00394159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41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Projekta izpildes ietekme uz pārvaldes funkcijām un institucionālo struktūru. </w:t>
            </w:r>
          </w:p>
          <w:p w14:paraId="6E916E81" w14:textId="77777777" w:rsidR="004D15A9" w:rsidRPr="00394159" w:rsidRDefault="004D15A9" w:rsidP="00DA596D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41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Jaunu institūciju izveide, esošu institūciju likvidācija vai reorganizācija, to ietekme uz institūcijas cilvēkresursiem</w:t>
            </w:r>
          </w:p>
        </w:tc>
        <w:tc>
          <w:tcPr>
            <w:tcW w:w="2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4947FE" w14:textId="77777777" w:rsidR="004D15A9" w:rsidRPr="00394159" w:rsidRDefault="00AD77DD" w:rsidP="001C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Projekts šo jomu neskar.</w:t>
            </w:r>
          </w:p>
        </w:tc>
      </w:tr>
      <w:tr w:rsidR="00152991" w:rsidRPr="00394159" w14:paraId="6F385F9C" w14:textId="77777777" w:rsidTr="007C6457">
        <w:trPr>
          <w:trHeight w:val="166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39D473" w14:textId="77777777" w:rsidR="004D15A9" w:rsidRPr="00394159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41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97F666" w14:textId="77777777" w:rsidR="004D15A9" w:rsidRPr="00394159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41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2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D4A7DB" w14:textId="77777777" w:rsidR="004D15A9" w:rsidRPr="00394159" w:rsidRDefault="00AD77DD" w:rsidP="001C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Nav.</w:t>
            </w:r>
          </w:p>
        </w:tc>
      </w:tr>
    </w:tbl>
    <w:p w14:paraId="60B8E8F8" w14:textId="77777777" w:rsidR="00624636" w:rsidRDefault="00624636" w:rsidP="000915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0CE5154" w14:textId="77777777" w:rsidR="00823F18" w:rsidRDefault="00823F18" w:rsidP="000915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612D82E" w14:textId="77777777" w:rsidR="0009153D" w:rsidRDefault="0009153D" w:rsidP="000915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87FFE">
        <w:rPr>
          <w:rFonts w:ascii="Times New Roman" w:hAnsi="Times New Roman" w:cs="Times New Roman"/>
          <w:i/>
          <w:sz w:val="24"/>
          <w:szCs w:val="24"/>
        </w:rPr>
        <w:t xml:space="preserve">Anotācijas </w:t>
      </w:r>
      <w:r w:rsidR="000B7290">
        <w:rPr>
          <w:rFonts w:ascii="Times New Roman" w:hAnsi="Times New Roman" w:cs="Times New Roman"/>
          <w:i/>
          <w:sz w:val="24"/>
          <w:szCs w:val="24"/>
        </w:rPr>
        <w:t>II</w:t>
      </w:r>
      <w:r w:rsidRPr="00152991">
        <w:rPr>
          <w:rFonts w:ascii="Times New Roman" w:hAnsi="Times New Roman" w:cs="Times New Roman"/>
          <w:i/>
          <w:sz w:val="24"/>
          <w:szCs w:val="24"/>
        </w:rPr>
        <w:t>I</w:t>
      </w:r>
      <w:r w:rsidR="00823F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2991">
        <w:rPr>
          <w:rFonts w:ascii="Times New Roman" w:hAnsi="Times New Roman" w:cs="Times New Roman"/>
          <w:i/>
          <w:sz w:val="24"/>
          <w:szCs w:val="24"/>
        </w:rPr>
        <w:t>un</w:t>
      </w:r>
      <w:r w:rsidR="00344E0A">
        <w:rPr>
          <w:rFonts w:ascii="Times New Roman" w:hAnsi="Times New Roman" w:cs="Times New Roman"/>
          <w:i/>
          <w:sz w:val="24"/>
          <w:szCs w:val="24"/>
        </w:rPr>
        <w:t xml:space="preserve"> V sadaļa – </w:t>
      </w:r>
      <w:r w:rsidR="00F87F74">
        <w:rPr>
          <w:rFonts w:ascii="Times New Roman" w:hAnsi="Times New Roman" w:cs="Times New Roman"/>
          <w:i/>
          <w:sz w:val="24"/>
          <w:szCs w:val="24"/>
        </w:rPr>
        <w:t>p</w:t>
      </w:r>
      <w:r w:rsidRPr="00A87FFE">
        <w:rPr>
          <w:rFonts w:ascii="Times New Roman" w:hAnsi="Times New Roman" w:cs="Times New Roman"/>
          <w:i/>
          <w:sz w:val="24"/>
          <w:szCs w:val="24"/>
        </w:rPr>
        <w:t>rojekts šīs jomas neskar.</w:t>
      </w:r>
    </w:p>
    <w:p w14:paraId="4BFC66A7" w14:textId="77777777" w:rsidR="0009153D" w:rsidRDefault="0009153D" w:rsidP="00DA5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FAFDF2" w14:textId="77777777" w:rsidR="00823F18" w:rsidRPr="00394159" w:rsidRDefault="00823F18" w:rsidP="00DA5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ECE842" w14:textId="77777777" w:rsidR="00C016AD" w:rsidRPr="00C016AD" w:rsidRDefault="00C016AD" w:rsidP="00C016AD">
      <w:pPr>
        <w:pStyle w:val="StyleRight"/>
        <w:spacing w:after="0"/>
        <w:ind w:firstLine="0"/>
        <w:jc w:val="both"/>
        <w:rPr>
          <w:sz w:val="24"/>
          <w:szCs w:val="24"/>
        </w:rPr>
      </w:pPr>
      <w:r w:rsidRPr="00C016AD">
        <w:rPr>
          <w:sz w:val="24"/>
          <w:szCs w:val="24"/>
        </w:rPr>
        <w:t>Ministru prezidents</w:t>
      </w:r>
      <w:r w:rsidRPr="00C016AD">
        <w:rPr>
          <w:sz w:val="24"/>
          <w:szCs w:val="24"/>
        </w:rPr>
        <w:tab/>
      </w:r>
      <w:r w:rsidRPr="00C016AD">
        <w:rPr>
          <w:sz w:val="24"/>
          <w:szCs w:val="24"/>
        </w:rPr>
        <w:tab/>
      </w:r>
      <w:r w:rsidRPr="00C016AD">
        <w:rPr>
          <w:sz w:val="24"/>
          <w:szCs w:val="24"/>
        </w:rPr>
        <w:tab/>
      </w:r>
      <w:r w:rsidRPr="00C016AD">
        <w:rPr>
          <w:sz w:val="24"/>
          <w:szCs w:val="24"/>
        </w:rPr>
        <w:tab/>
      </w:r>
      <w:r w:rsidRPr="00C016AD">
        <w:rPr>
          <w:sz w:val="24"/>
          <w:szCs w:val="24"/>
        </w:rPr>
        <w:tab/>
      </w:r>
      <w:r w:rsidRPr="00C016AD">
        <w:rPr>
          <w:sz w:val="24"/>
          <w:szCs w:val="24"/>
        </w:rPr>
        <w:tab/>
      </w:r>
      <w:proofErr w:type="gramStart"/>
      <w:r w:rsidR="00823F18">
        <w:rPr>
          <w:sz w:val="24"/>
          <w:szCs w:val="24"/>
        </w:rPr>
        <w:t xml:space="preserve">                 </w:t>
      </w:r>
      <w:r w:rsidR="008F2590"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Māris Kučinskis</w:t>
      </w:r>
    </w:p>
    <w:p w14:paraId="2297006C" w14:textId="77777777" w:rsidR="00C016AD" w:rsidRPr="00C016AD" w:rsidRDefault="00C016AD" w:rsidP="00C016AD">
      <w:pPr>
        <w:pStyle w:val="StyleRight"/>
        <w:spacing w:after="0"/>
        <w:ind w:firstLine="0"/>
        <w:jc w:val="both"/>
        <w:rPr>
          <w:sz w:val="24"/>
          <w:szCs w:val="24"/>
        </w:rPr>
      </w:pPr>
    </w:p>
    <w:p w14:paraId="15F7FDE9" w14:textId="77777777" w:rsidR="00C016AD" w:rsidRPr="00C016AD" w:rsidRDefault="00C016AD" w:rsidP="00C016AD">
      <w:pPr>
        <w:pStyle w:val="StyleRight"/>
        <w:spacing w:after="0"/>
        <w:ind w:firstLine="0"/>
        <w:jc w:val="both"/>
        <w:rPr>
          <w:sz w:val="24"/>
          <w:szCs w:val="24"/>
        </w:rPr>
      </w:pPr>
      <w:r w:rsidRPr="00C016AD">
        <w:rPr>
          <w:sz w:val="24"/>
          <w:szCs w:val="24"/>
        </w:rPr>
        <w:t>Tieslietu ministrs</w:t>
      </w:r>
      <w:r w:rsidRPr="00C016AD">
        <w:rPr>
          <w:sz w:val="24"/>
          <w:szCs w:val="24"/>
        </w:rPr>
        <w:tab/>
      </w:r>
      <w:r w:rsidRPr="00C016AD">
        <w:rPr>
          <w:sz w:val="24"/>
          <w:szCs w:val="24"/>
        </w:rPr>
        <w:tab/>
      </w:r>
      <w:r w:rsidRPr="00C016AD">
        <w:rPr>
          <w:sz w:val="24"/>
          <w:szCs w:val="24"/>
        </w:rPr>
        <w:tab/>
      </w:r>
      <w:r w:rsidRPr="00C016AD">
        <w:rPr>
          <w:sz w:val="24"/>
          <w:szCs w:val="24"/>
        </w:rPr>
        <w:tab/>
      </w:r>
      <w:r w:rsidRPr="00C016AD">
        <w:rPr>
          <w:sz w:val="24"/>
          <w:szCs w:val="24"/>
        </w:rPr>
        <w:tab/>
      </w:r>
      <w:r w:rsidRPr="00C016AD">
        <w:rPr>
          <w:sz w:val="24"/>
          <w:szCs w:val="24"/>
        </w:rPr>
        <w:tab/>
      </w:r>
      <w:r w:rsidRPr="00C016AD">
        <w:rPr>
          <w:sz w:val="24"/>
          <w:szCs w:val="24"/>
        </w:rPr>
        <w:tab/>
      </w:r>
      <w:proofErr w:type="gramStart"/>
      <w:r w:rsidR="00823F18">
        <w:rPr>
          <w:sz w:val="24"/>
          <w:szCs w:val="24"/>
        </w:rPr>
        <w:t xml:space="preserve">      </w:t>
      </w:r>
      <w:proofErr w:type="gramEnd"/>
      <w:r>
        <w:rPr>
          <w:sz w:val="24"/>
          <w:szCs w:val="24"/>
        </w:rPr>
        <w:t>Dzintars Rasnačs</w:t>
      </w:r>
    </w:p>
    <w:p w14:paraId="65D4A2D7" w14:textId="77777777" w:rsidR="00C016AD" w:rsidRPr="00C016AD" w:rsidRDefault="00C016AD" w:rsidP="00C016AD">
      <w:pPr>
        <w:pStyle w:val="StyleRight"/>
        <w:spacing w:after="0"/>
        <w:ind w:firstLine="0"/>
        <w:jc w:val="both"/>
        <w:rPr>
          <w:sz w:val="24"/>
          <w:szCs w:val="24"/>
        </w:rPr>
      </w:pPr>
    </w:p>
    <w:p w14:paraId="29781216" w14:textId="77777777" w:rsidR="00C016AD" w:rsidRPr="00C016AD" w:rsidRDefault="00C016AD" w:rsidP="00C016AD">
      <w:pPr>
        <w:pStyle w:val="StyleRight"/>
        <w:spacing w:after="0"/>
        <w:ind w:firstLine="0"/>
        <w:jc w:val="both"/>
        <w:rPr>
          <w:sz w:val="24"/>
          <w:szCs w:val="24"/>
        </w:rPr>
      </w:pPr>
      <w:r w:rsidRPr="00C016AD">
        <w:rPr>
          <w:sz w:val="24"/>
          <w:szCs w:val="24"/>
        </w:rPr>
        <w:t>Iesniedzējs:</w:t>
      </w:r>
    </w:p>
    <w:p w14:paraId="7E5A92C1" w14:textId="77777777" w:rsidR="00C016AD" w:rsidRPr="00C016AD" w:rsidRDefault="00C016AD" w:rsidP="00C016AD">
      <w:pPr>
        <w:pStyle w:val="StyleRight"/>
        <w:spacing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823F18">
        <w:rPr>
          <w:sz w:val="24"/>
          <w:szCs w:val="24"/>
        </w:rPr>
        <w:t>ieslietu ministrs</w:t>
      </w:r>
      <w:r w:rsidR="00823F18">
        <w:rPr>
          <w:sz w:val="24"/>
          <w:szCs w:val="24"/>
        </w:rPr>
        <w:tab/>
      </w:r>
      <w:r w:rsidR="00823F18">
        <w:rPr>
          <w:sz w:val="24"/>
          <w:szCs w:val="24"/>
        </w:rPr>
        <w:tab/>
      </w:r>
      <w:r w:rsidR="00823F18">
        <w:rPr>
          <w:sz w:val="24"/>
          <w:szCs w:val="24"/>
        </w:rPr>
        <w:tab/>
      </w:r>
      <w:r w:rsidR="00823F18">
        <w:rPr>
          <w:sz w:val="24"/>
          <w:szCs w:val="24"/>
        </w:rPr>
        <w:tab/>
        <w:t xml:space="preserve"> </w:t>
      </w:r>
      <w:r w:rsidR="00823F18">
        <w:rPr>
          <w:sz w:val="24"/>
          <w:szCs w:val="24"/>
        </w:rPr>
        <w:tab/>
      </w:r>
      <w:r w:rsidR="00823F18">
        <w:rPr>
          <w:sz w:val="24"/>
          <w:szCs w:val="24"/>
        </w:rPr>
        <w:tab/>
      </w:r>
      <w:proofErr w:type="gramStart"/>
      <w:r w:rsidR="00823F18">
        <w:rPr>
          <w:sz w:val="24"/>
          <w:szCs w:val="24"/>
        </w:rPr>
        <w:t xml:space="preserve">                  </w:t>
      </w:r>
      <w:proofErr w:type="gramEnd"/>
      <w:r>
        <w:rPr>
          <w:sz w:val="24"/>
          <w:szCs w:val="24"/>
        </w:rPr>
        <w:t>Dzintars Rasnačs</w:t>
      </w:r>
    </w:p>
    <w:p w14:paraId="73BD023A" w14:textId="77777777" w:rsidR="003A2A0B" w:rsidRDefault="003A2A0B" w:rsidP="00DA596D">
      <w:pPr>
        <w:pStyle w:val="StyleRight"/>
        <w:spacing w:after="0"/>
        <w:ind w:firstLine="0"/>
        <w:jc w:val="both"/>
        <w:rPr>
          <w:sz w:val="24"/>
          <w:szCs w:val="24"/>
        </w:rPr>
      </w:pPr>
    </w:p>
    <w:p w14:paraId="350B5EB0" w14:textId="77777777" w:rsidR="000B7290" w:rsidRDefault="000B7290" w:rsidP="00DA596D">
      <w:pPr>
        <w:pStyle w:val="StyleRight"/>
        <w:spacing w:after="0"/>
        <w:ind w:firstLine="0"/>
        <w:jc w:val="both"/>
        <w:rPr>
          <w:sz w:val="24"/>
          <w:szCs w:val="24"/>
        </w:rPr>
      </w:pPr>
    </w:p>
    <w:p w14:paraId="103C43E8" w14:textId="77777777" w:rsidR="00823F18" w:rsidRPr="00394159" w:rsidRDefault="00823F18" w:rsidP="00DA596D">
      <w:pPr>
        <w:pStyle w:val="StyleRight"/>
        <w:spacing w:after="0"/>
        <w:ind w:firstLine="0"/>
        <w:jc w:val="both"/>
        <w:rPr>
          <w:sz w:val="24"/>
          <w:szCs w:val="24"/>
        </w:rPr>
      </w:pPr>
    </w:p>
    <w:p w14:paraId="7305D712" w14:textId="1DCB70AF" w:rsidR="004D15A9" w:rsidRPr="00644D29" w:rsidRDefault="00B9173D" w:rsidP="00DA59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</w:t>
      </w:r>
      <w:r w:rsidR="001A1EEC" w:rsidRPr="00644D29">
        <w:rPr>
          <w:rFonts w:ascii="Times New Roman" w:hAnsi="Times New Roman" w:cs="Times New Roman"/>
          <w:sz w:val="20"/>
          <w:szCs w:val="20"/>
        </w:rPr>
        <w:t>.</w:t>
      </w:r>
      <w:r w:rsidR="00254F81">
        <w:rPr>
          <w:rFonts w:ascii="Times New Roman" w:hAnsi="Times New Roman" w:cs="Times New Roman"/>
          <w:sz w:val="20"/>
          <w:szCs w:val="20"/>
        </w:rPr>
        <w:t>03</w:t>
      </w:r>
      <w:r w:rsidR="00AA0DE1" w:rsidRPr="00644D29">
        <w:rPr>
          <w:rFonts w:ascii="Times New Roman" w:hAnsi="Times New Roman" w:cs="Times New Roman"/>
          <w:sz w:val="20"/>
          <w:szCs w:val="20"/>
        </w:rPr>
        <w:t>.2017</w:t>
      </w:r>
      <w:r w:rsidR="00624636" w:rsidRPr="00644D29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09</w:t>
      </w:r>
      <w:r w:rsidR="002F7EBF" w:rsidRPr="00644D29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44</w:t>
      </w:r>
    </w:p>
    <w:p w14:paraId="4218CBCB" w14:textId="47D631EB" w:rsidR="004D15A9" w:rsidRPr="00644D29" w:rsidRDefault="00F311C5" w:rsidP="00DA59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1215</w:t>
      </w:r>
    </w:p>
    <w:p w14:paraId="4C4F0722" w14:textId="77777777" w:rsidR="004D15A9" w:rsidRPr="00644D29" w:rsidRDefault="00EC7EA8" w:rsidP="00DA59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44D29">
        <w:rPr>
          <w:rFonts w:ascii="Times New Roman" w:hAnsi="Times New Roman" w:cs="Times New Roman"/>
          <w:sz w:val="20"/>
          <w:szCs w:val="20"/>
        </w:rPr>
        <w:t>S.Šube</w:t>
      </w:r>
      <w:proofErr w:type="spellEnd"/>
    </w:p>
    <w:p w14:paraId="0ED17BC5" w14:textId="77777777" w:rsidR="004D15A9" w:rsidRPr="00394159" w:rsidRDefault="000B7290" w:rsidP="00DA59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4D29">
        <w:rPr>
          <w:rFonts w:ascii="Times New Roman" w:hAnsi="Times New Roman" w:cs="Times New Roman"/>
          <w:sz w:val="20"/>
          <w:szCs w:val="20"/>
        </w:rPr>
        <w:t>67036838</w:t>
      </w:r>
      <w:r w:rsidR="004D15A9" w:rsidRPr="00644D29">
        <w:rPr>
          <w:rFonts w:ascii="Times New Roman" w:hAnsi="Times New Roman" w:cs="Times New Roman"/>
          <w:sz w:val="20"/>
          <w:szCs w:val="20"/>
        </w:rPr>
        <w:t xml:space="preserve">; </w:t>
      </w:r>
      <w:hyperlink r:id="rId9" w:history="1">
        <w:r w:rsidRPr="00644D29">
          <w:rPr>
            <w:rStyle w:val="Hipersaite"/>
            <w:rFonts w:ascii="Times New Roman" w:hAnsi="Times New Roman" w:cs="Times New Roman"/>
            <w:sz w:val="20"/>
            <w:szCs w:val="20"/>
          </w:rPr>
          <w:t>Sindija.Sube@tm.gov.lv</w:t>
        </w:r>
      </w:hyperlink>
      <w:r w:rsidR="00DC7FC8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4D15A9" w:rsidRPr="00394159" w:rsidSect="00823F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D55F7" w14:textId="77777777" w:rsidR="008E2372" w:rsidRDefault="008E2372" w:rsidP="004D15A9">
      <w:pPr>
        <w:spacing w:after="0" w:line="240" w:lineRule="auto"/>
      </w:pPr>
      <w:r>
        <w:separator/>
      </w:r>
    </w:p>
  </w:endnote>
  <w:endnote w:type="continuationSeparator" w:id="0">
    <w:p w14:paraId="3C94F2B5" w14:textId="77777777" w:rsidR="008E2372" w:rsidRDefault="008E2372" w:rsidP="004D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A8B53" w14:textId="77777777" w:rsidR="00AA0DE1" w:rsidRDefault="00AA0DE1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27948" w14:textId="00ECBFCC" w:rsidR="00646539" w:rsidRPr="004D15A9" w:rsidRDefault="00646539" w:rsidP="00646539">
    <w:pPr>
      <w:pStyle w:val="Kjene"/>
      <w:jc w:val="both"/>
      <w:rPr>
        <w:rFonts w:ascii="Times New Roman" w:hAnsi="Times New Roman" w:cs="Times New Roman"/>
        <w:color w:val="000000" w:themeColor="text1"/>
        <w:sz w:val="20"/>
        <w:szCs w:val="20"/>
      </w:rPr>
    </w:pPr>
    <w:r w:rsidRPr="004D15A9">
      <w:rPr>
        <w:rFonts w:ascii="Times New Roman" w:hAnsi="Times New Roman" w:cs="Times New Roman"/>
        <w:color w:val="000000" w:themeColor="text1"/>
        <w:sz w:val="20"/>
        <w:szCs w:val="20"/>
      </w:rPr>
      <w:t>TMAnot_</w:t>
    </w:r>
    <w:r w:rsidR="000F4E2C">
      <w:rPr>
        <w:rFonts w:ascii="Times New Roman" w:hAnsi="Times New Roman" w:cs="Times New Roman"/>
        <w:color w:val="000000" w:themeColor="text1"/>
        <w:sz w:val="20"/>
        <w:szCs w:val="20"/>
      </w:rPr>
      <w:t>270117</w:t>
    </w:r>
    <w:bookmarkStart w:id="4" w:name="_GoBack"/>
    <w:bookmarkEnd w:id="4"/>
    <w:r w:rsidRPr="004D15A9">
      <w:rPr>
        <w:rFonts w:ascii="Times New Roman" w:hAnsi="Times New Roman" w:cs="Times New Roman"/>
        <w:color w:val="000000" w:themeColor="text1"/>
        <w:sz w:val="20"/>
        <w:szCs w:val="20"/>
      </w:rPr>
      <w:t>_</w:t>
    </w:r>
    <w:r>
      <w:rPr>
        <w:rFonts w:ascii="Times New Roman" w:hAnsi="Times New Roman" w:cs="Times New Roman"/>
        <w:color w:val="000000" w:themeColor="text1"/>
        <w:sz w:val="20"/>
        <w:szCs w:val="20"/>
      </w:rPr>
      <w:t>maksa</w:t>
    </w:r>
    <w:r w:rsidRPr="004D15A9">
      <w:rPr>
        <w:rFonts w:ascii="Times New Roman" w:hAnsi="Times New Roman" w:cs="Times New Roman"/>
        <w:color w:val="000000" w:themeColor="text1"/>
        <w:sz w:val="20"/>
        <w:szCs w:val="20"/>
      </w:rPr>
      <w:t xml:space="preserve">; </w:t>
    </w:r>
    <w:r w:rsidRPr="00790B95">
      <w:rPr>
        <w:rFonts w:ascii="Times New Roman" w:hAnsi="Times New Roman" w:cs="Times New Roman"/>
        <w:color w:val="000000" w:themeColor="text1"/>
        <w:sz w:val="20"/>
        <w:szCs w:val="20"/>
      </w:rPr>
      <w:t>Ministru kabineta noteikumu projekta „Grozījum</w:t>
    </w:r>
    <w:r w:rsidR="002F7EBF">
      <w:rPr>
        <w:rFonts w:ascii="Times New Roman" w:hAnsi="Times New Roman" w:cs="Times New Roman"/>
        <w:color w:val="000000" w:themeColor="text1"/>
        <w:sz w:val="20"/>
        <w:szCs w:val="20"/>
      </w:rPr>
      <w:t>s</w:t>
    </w:r>
    <w:r w:rsidRPr="00790B95">
      <w:rPr>
        <w:rFonts w:ascii="Times New Roman" w:hAnsi="Times New Roman" w:cs="Times New Roman"/>
        <w:color w:val="000000" w:themeColor="text1"/>
        <w:sz w:val="20"/>
        <w:szCs w:val="20"/>
      </w:rPr>
      <w:t xml:space="preserve"> Ministru kabineta </w:t>
    </w:r>
    <w:proofErr w:type="gramStart"/>
    <w:r w:rsidRPr="00790B95">
      <w:rPr>
        <w:rFonts w:ascii="Times New Roman" w:hAnsi="Times New Roman" w:cs="Times New Roman"/>
        <w:color w:val="000000" w:themeColor="text1"/>
        <w:sz w:val="20"/>
        <w:szCs w:val="20"/>
      </w:rPr>
      <w:t>2004.gada</w:t>
    </w:r>
    <w:proofErr w:type="gramEnd"/>
    <w:r w:rsidRPr="00790B95">
      <w:rPr>
        <w:rFonts w:ascii="Times New Roman" w:hAnsi="Times New Roman" w:cs="Times New Roman"/>
        <w:color w:val="000000" w:themeColor="text1"/>
        <w:sz w:val="20"/>
        <w:szCs w:val="20"/>
      </w:rPr>
      <w:t xml:space="preserve"> 20.jūlija noteikumos Nr.609 „Noteikumi par advokāta eksāmena maksu”” </w:t>
    </w:r>
    <w:r w:rsidRPr="004D15A9">
      <w:rPr>
        <w:rFonts w:ascii="Times New Roman" w:hAnsi="Times New Roman" w:cs="Times New Roman"/>
        <w:color w:val="000000" w:themeColor="text1"/>
        <w:sz w:val="20"/>
        <w:szCs w:val="20"/>
      </w:rPr>
      <w:t xml:space="preserve"> </w:t>
    </w:r>
    <w:r w:rsidRPr="004D15A9">
      <w:rPr>
        <w:rFonts w:ascii="Times New Roman" w:eastAsia="Times New Roman" w:hAnsi="Times New Roman" w:cs="Times New Roman"/>
        <w:bCs/>
        <w:color w:val="000000" w:themeColor="text1"/>
        <w:sz w:val="20"/>
        <w:szCs w:val="20"/>
        <w:lang w:eastAsia="lv-LV"/>
      </w:rPr>
      <w:t>sākotnējās ietekmes novērtējuma ziņojums (anotācija)</w:t>
    </w:r>
  </w:p>
  <w:p w14:paraId="36937E52" w14:textId="77777777" w:rsidR="00FD2924" w:rsidRPr="00646539" w:rsidRDefault="00FD2924" w:rsidP="00646539">
    <w:pPr>
      <w:pStyle w:val="Kjen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75084" w14:textId="7893EE72" w:rsidR="00646539" w:rsidRPr="004D15A9" w:rsidRDefault="00646539" w:rsidP="00646539">
    <w:pPr>
      <w:pStyle w:val="Kjene"/>
      <w:jc w:val="both"/>
      <w:rPr>
        <w:rFonts w:ascii="Times New Roman" w:hAnsi="Times New Roman" w:cs="Times New Roman"/>
        <w:color w:val="000000" w:themeColor="text1"/>
        <w:sz w:val="20"/>
        <w:szCs w:val="20"/>
      </w:rPr>
    </w:pPr>
    <w:r w:rsidRPr="004D15A9">
      <w:rPr>
        <w:rFonts w:ascii="Times New Roman" w:hAnsi="Times New Roman" w:cs="Times New Roman"/>
        <w:color w:val="000000" w:themeColor="text1"/>
        <w:sz w:val="20"/>
        <w:szCs w:val="20"/>
      </w:rPr>
      <w:t>TMAnot_</w:t>
    </w:r>
    <w:r w:rsidR="000F4E2C">
      <w:rPr>
        <w:rFonts w:ascii="Times New Roman" w:hAnsi="Times New Roman" w:cs="Times New Roman"/>
        <w:color w:val="000000" w:themeColor="text1"/>
        <w:sz w:val="20"/>
        <w:szCs w:val="20"/>
      </w:rPr>
      <w:t>270117</w:t>
    </w:r>
    <w:r w:rsidRPr="004D15A9">
      <w:rPr>
        <w:rFonts w:ascii="Times New Roman" w:hAnsi="Times New Roman" w:cs="Times New Roman"/>
        <w:color w:val="000000" w:themeColor="text1"/>
        <w:sz w:val="20"/>
        <w:szCs w:val="20"/>
      </w:rPr>
      <w:t>_</w:t>
    </w:r>
    <w:r>
      <w:rPr>
        <w:rFonts w:ascii="Times New Roman" w:hAnsi="Times New Roman" w:cs="Times New Roman"/>
        <w:color w:val="000000" w:themeColor="text1"/>
        <w:sz w:val="20"/>
        <w:szCs w:val="20"/>
      </w:rPr>
      <w:t>eksamena_maksa</w:t>
    </w:r>
    <w:r w:rsidRPr="004D15A9">
      <w:rPr>
        <w:rFonts w:ascii="Times New Roman" w:hAnsi="Times New Roman" w:cs="Times New Roman"/>
        <w:color w:val="000000" w:themeColor="text1"/>
        <w:sz w:val="20"/>
        <w:szCs w:val="20"/>
      </w:rPr>
      <w:t xml:space="preserve">; </w:t>
    </w:r>
    <w:r w:rsidRPr="00790B95">
      <w:rPr>
        <w:rFonts w:ascii="Times New Roman" w:hAnsi="Times New Roman" w:cs="Times New Roman"/>
        <w:color w:val="000000" w:themeColor="text1"/>
        <w:sz w:val="20"/>
        <w:szCs w:val="20"/>
      </w:rPr>
      <w:t>Ministru kabineta noteikumu projekta „Grozījum</w:t>
    </w:r>
    <w:r w:rsidR="002F7EBF">
      <w:rPr>
        <w:rFonts w:ascii="Times New Roman" w:hAnsi="Times New Roman" w:cs="Times New Roman"/>
        <w:color w:val="000000" w:themeColor="text1"/>
        <w:sz w:val="20"/>
        <w:szCs w:val="20"/>
      </w:rPr>
      <w:t>s</w:t>
    </w:r>
    <w:r w:rsidRPr="00790B95">
      <w:rPr>
        <w:rFonts w:ascii="Times New Roman" w:hAnsi="Times New Roman" w:cs="Times New Roman"/>
        <w:color w:val="000000" w:themeColor="text1"/>
        <w:sz w:val="20"/>
        <w:szCs w:val="20"/>
      </w:rPr>
      <w:t xml:space="preserve"> Ministru kabineta </w:t>
    </w:r>
    <w:proofErr w:type="gramStart"/>
    <w:r w:rsidRPr="00790B95">
      <w:rPr>
        <w:rFonts w:ascii="Times New Roman" w:hAnsi="Times New Roman" w:cs="Times New Roman"/>
        <w:color w:val="000000" w:themeColor="text1"/>
        <w:sz w:val="20"/>
        <w:szCs w:val="20"/>
      </w:rPr>
      <w:t>2004.gada</w:t>
    </w:r>
    <w:proofErr w:type="gramEnd"/>
    <w:r w:rsidRPr="00790B95">
      <w:rPr>
        <w:rFonts w:ascii="Times New Roman" w:hAnsi="Times New Roman" w:cs="Times New Roman"/>
        <w:color w:val="000000" w:themeColor="text1"/>
        <w:sz w:val="20"/>
        <w:szCs w:val="20"/>
      </w:rPr>
      <w:t xml:space="preserve"> 20.jūlija noteikumos Nr.609 „Noteikumi par advokāta eksāmena maksu”” </w:t>
    </w:r>
    <w:r w:rsidRPr="004D15A9">
      <w:rPr>
        <w:rFonts w:ascii="Times New Roman" w:hAnsi="Times New Roman" w:cs="Times New Roman"/>
        <w:color w:val="000000" w:themeColor="text1"/>
        <w:sz w:val="20"/>
        <w:szCs w:val="20"/>
      </w:rPr>
      <w:t xml:space="preserve"> </w:t>
    </w:r>
    <w:r w:rsidRPr="004D15A9">
      <w:rPr>
        <w:rFonts w:ascii="Times New Roman" w:eastAsia="Times New Roman" w:hAnsi="Times New Roman" w:cs="Times New Roman"/>
        <w:bCs/>
        <w:color w:val="000000" w:themeColor="text1"/>
        <w:sz w:val="20"/>
        <w:szCs w:val="20"/>
        <w:lang w:eastAsia="lv-LV"/>
      </w:rPr>
      <w:t>sākotnējās ietekmes novērtējuma ziņojums (anotācija)</w:t>
    </w:r>
  </w:p>
  <w:p w14:paraId="5678D263" w14:textId="77777777" w:rsidR="00FD2924" w:rsidRPr="00646539" w:rsidRDefault="00FD2924" w:rsidP="00646539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8ACD7B" w14:textId="77777777" w:rsidR="008E2372" w:rsidRDefault="008E2372" w:rsidP="004D15A9">
      <w:pPr>
        <w:spacing w:after="0" w:line="240" w:lineRule="auto"/>
      </w:pPr>
      <w:r>
        <w:separator/>
      </w:r>
    </w:p>
  </w:footnote>
  <w:footnote w:type="continuationSeparator" w:id="0">
    <w:p w14:paraId="133AD4A1" w14:textId="77777777" w:rsidR="008E2372" w:rsidRDefault="008E2372" w:rsidP="004D1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12083" w14:textId="77777777" w:rsidR="00AA0DE1" w:rsidRDefault="00AA0DE1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230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4B72E3A" w14:textId="5C8DFF63" w:rsidR="00FD2924" w:rsidRPr="004D15A9" w:rsidRDefault="00FD2924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D15A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D15A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D15A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F4E2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D15A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2750B1D" w14:textId="77777777" w:rsidR="00FD2924" w:rsidRDefault="00FD2924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1AF03" w14:textId="77777777" w:rsidR="00AA0DE1" w:rsidRDefault="00AA0DE1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C161C"/>
    <w:multiLevelType w:val="hybridMultilevel"/>
    <w:tmpl w:val="C7662FA6"/>
    <w:lvl w:ilvl="0" w:tplc="6F38365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A9"/>
    <w:rsid w:val="00001FFD"/>
    <w:rsid w:val="00023AF7"/>
    <w:rsid w:val="00031256"/>
    <w:rsid w:val="00041703"/>
    <w:rsid w:val="00042787"/>
    <w:rsid w:val="00050D8B"/>
    <w:rsid w:val="00052793"/>
    <w:rsid w:val="00054F05"/>
    <w:rsid w:val="00065136"/>
    <w:rsid w:val="00065E45"/>
    <w:rsid w:val="00082DEB"/>
    <w:rsid w:val="0009153D"/>
    <w:rsid w:val="00091694"/>
    <w:rsid w:val="000918C5"/>
    <w:rsid w:val="000A2519"/>
    <w:rsid w:val="000B7290"/>
    <w:rsid w:val="000C6EBF"/>
    <w:rsid w:val="000D07F3"/>
    <w:rsid w:val="000E1190"/>
    <w:rsid w:val="000E27C6"/>
    <w:rsid w:val="000F4E2C"/>
    <w:rsid w:val="000F5082"/>
    <w:rsid w:val="00101CD5"/>
    <w:rsid w:val="00131F37"/>
    <w:rsid w:val="00152991"/>
    <w:rsid w:val="0016688C"/>
    <w:rsid w:val="00170344"/>
    <w:rsid w:val="00183BCE"/>
    <w:rsid w:val="0019773F"/>
    <w:rsid w:val="001A1EEC"/>
    <w:rsid w:val="001A5455"/>
    <w:rsid w:val="001A78CF"/>
    <w:rsid w:val="001C1BA6"/>
    <w:rsid w:val="001C5CC6"/>
    <w:rsid w:val="001D409A"/>
    <w:rsid w:val="001E7F37"/>
    <w:rsid w:val="001F5BB2"/>
    <w:rsid w:val="001F6132"/>
    <w:rsid w:val="001F618F"/>
    <w:rsid w:val="00202747"/>
    <w:rsid w:val="00222DD2"/>
    <w:rsid w:val="00232C27"/>
    <w:rsid w:val="002345CF"/>
    <w:rsid w:val="00242897"/>
    <w:rsid w:val="00245FE9"/>
    <w:rsid w:val="00247852"/>
    <w:rsid w:val="00254F81"/>
    <w:rsid w:val="00260EF5"/>
    <w:rsid w:val="002628F7"/>
    <w:rsid w:val="00262C44"/>
    <w:rsid w:val="0027613A"/>
    <w:rsid w:val="00286827"/>
    <w:rsid w:val="002A397E"/>
    <w:rsid w:val="002A5584"/>
    <w:rsid w:val="002A6686"/>
    <w:rsid w:val="002C3692"/>
    <w:rsid w:val="002D58E4"/>
    <w:rsid w:val="002F7EBF"/>
    <w:rsid w:val="00301AE6"/>
    <w:rsid w:val="00310ECA"/>
    <w:rsid w:val="00326187"/>
    <w:rsid w:val="003365EF"/>
    <w:rsid w:val="00337FA5"/>
    <w:rsid w:val="00340157"/>
    <w:rsid w:val="00341660"/>
    <w:rsid w:val="00344E0A"/>
    <w:rsid w:val="00345F4B"/>
    <w:rsid w:val="003726F2"/>
    <w:rsid w:val="003808DB"/>
    <w:rsid w:val="003922B0"/>
    <w:rsid w:val="00394159"/>
    <w:rsid w:val="003A2A0B"/>
    <w:rsid w:val="003D1971"/>
    <w:rsid w:val="003E4A2A"/>
    <w:rsid w:val="003E6AFA"/>
    <w:rsid w:val="003E7AC3"/>
    <w:rsid w:val="00401A91"/>
    <w:rsid w:val="004022EB"/>
    <w:rsid w:val="00414B95"/>
    <w:rsid w:val="00436076"/>
    <w:rsid w:val="00443037"/>
    <w:rsid w:val="00443241"/>
    <w:rsid w:val="00457548"/>
    <w:rsid w:val="004706B5"/>
    <w:rsid w:val="004A402E"/>
    <w:rsid w:val="004A6D58"/>
    <w:rsid w:val="004B7903"/>
    <w:rsid w:val="004C154B"/>
    <w:rsid w:val="004C38EB"/>
    <w:rsid w:val="004D15A9"/>
    <w:rsid w:val="004D56DA"/>
    <w:rsid w:val="004E32BA"/>
    <w:rsid w:val="004F1CA4"/>
    <w:rsid w:val="00500B08"/>
    <w:rsid w:val="00506E0A"/>
    <w:rsid w:val="005105EA"/>
    <w:rsid w:val="00513E0A"/>
    <w:rsid w:val="005155DC"/>
    <w:rsid w:val="005350ED"/>
    <w:rsid w:val="00540494"/>
    <w:rsid w:val="005417CD"/>
    <w:rsid w:val="0054782B"/>
    <w:rsid w:val="005520E1"/>
    <w:rsid w:val="00555795"/>
    <w:rsid w:val="0056416B"/>
    <w:rsid w:val="00574103"/>
    <w:rsid w:val="005A010A"/>
    <w:rsid w:val="005C0E19"/>
    <w:rsid w:val="005D291D"/>
    <w:rsid w:val="005D3B0F"/>
    <w:rsid w:val="005D4E8A"/>
    <w:rsid w:val="005E3EF6"/>
    <w:rsid w:val="005F4836"/>
    <w:rsid w:val="005F4DCD"/>
    <w:rsid w:val="005F5935"/>
    <w:rsid w:val="005F6F0C"/>
    <w:rsid w:val="0060369A"/>
    <w:rsid w:val="006146A1"/>
    <w:rsid w:val="00624636"/>
    <w:rsid w:val="00626A00"/>
    <w:rsid w:val="00637065"/>
    <w:rsid w:val="00644D29"/>
    <w:rsid w:val="00646539"/>
    <w:rsid w:val="00646934"/>
    <w:rsid w:val="0066685C"/>
    <w:rsid w:val="00666EA4"/>
    <w:rsid w:val="00667592"/>
    <w:rsid w:val="00672702"/>
    <w:rsid w:val="006A2C24"/>
    <w:rsid w:val="006A33C0"/>
    <w:rsid w:val="006D0038"/>
    <w:rsid w:val="006D25B1"/>
    <w:rsid w:val="006E626E"/>
    <w:rsid w:val="006E6777"/>
    <w:rsid w:val="006F7E11"/>
    <w:rsid w:val="00705ED1"/>
    <w:rsid w:val="007132D9"/>
    <w:rsid w:val="007309A3"/>
    <w:rsid w:val="00736CE9"/>
    <w:rsid w:val="00750E4C"/>
    <w:rsid w:val="00752157"/>
    <w:rsid w:val="00752571"/>
    <w:rsid w:val="0075524E"/>
    <w:rsid w:val="0079081D"/>
    <w:rsid w:val="007909E2"/>
    <w:rsid w:val="007B5864"/>
    <w:rsid w:val="007C6457"/>
    <w:rsid w:val="007D0838"/>
    <w:rsid w:val="007F0611"/>
    <w:rsid w:val="007F6969"/>
    <w:rsid w:val="007F7AED"/>
    <w:rsid w:val="0081203F"/>
    <w:rsid w:val="008237C9"/>
    <w:rsid w:val="00823F18"/>
    <w:rsid w:val="00826EBA"/>
    <w:rsid w:val="00831A61"/>
    <w:rsid w:val="0084616E"/>
    <w:rsid w:val="008462DF"/>
    <w:rsid w:val="00846FC1"/>
    <w:rsid w:val="008549B5"/>
    <w:rsid w:val="00854DE1"/>
    <w:rsid w:val="00856D47"/>
    <w:rsid w:val="00866EFD"/>
    <w:rsid w:val="00895B6F"/>
    <w:rsid w:val="008A114D"/>
    <w:rsid w:val="008B57F6"/>
    <w:rsid w:val="008B74D1"/>
    <w:rsid w:val="008C24B4"/>
    <w:rsid w:val="008E2372"/>
    <w:rsid w:val="008F2590"/>
    <w:rsid w:val="009047F8"/>
    <w:rsid w:val="00947202"/>
    <w:rsid w:val="00952E23"/>
    <w:rsid w:val="00960C42"/>
    <w:rsid w:val="009708B1"/>
    <w:rsid w:val="00974AC1"/>
    <w:rsid w:val="0098359E"/>
    <w:rsid w:val="00986501"/>
    <w:rsid w:val="00992716"/>
    <w:rsid w:val="009C4BA9"/>
    <w:rsid w:val="009D342C"/>
    <w:rsid w:val="009D4F10"/>
    <w:rsid w:val="009E6155"/>
    <w:rsid w:val="009F752E"/>
    <w:rsid w:val="009F7DA1"/>
    <w:rsid w:val="00A062D6"/>
    <w:rsid w:val="00A556B4"/>
    <w:rsid w:val="00A55854"/>
    <w:rsid w:val="00A60A25"/>
    <w:rsid w:val="00A870C8"/>
    <w:rsid w:val="00A97DDC"/>
    <w:rsid w:val="00AA0DE1"/>
    <w:rsid w:val="00AB2C9A"/>
    <w:rsid w:val="00AC78AC"/>
    <w:rsid w:val="00AD47F7"/>
    <w:rsid w:val="00AD711E"/>
    <w:rsid w:val="00AD77DD"/>
    <w:rsid w:val="00AE6476"/>
    <w:rsid w:val="00AF1C57"/>
    <w:rsid w:val="00AF1E42"/>
    <w:rsid w:val="00AF5C14"/>
    <w:rsid w:val="00B01360"/>
    <w:rsid w:val="00B01D63"/>
    <w:rsid w:val="00B2066E"/>
    <w:rsid w:val="00B232C4"/>
    <w:rsid w:val="00B52986"/>
    <w:rsid w:val="00B543BE"/>
    <w:rsid w:val="00B549CF"/>
    <w:rsid w:val="00B80482"/>
    <w:rsid w:val="00B8466F"/>
    <w:rsid w:val="00B879BE"/>
    <w:rsid w:val="00B9173D"/>
    <w:rsid w:val="00B979EC"/>
    <w:rsid w:val="00BB0352"/>
    <w:rsid w:val="00BB1F46"/>
    <w:rsid w:val="00BC27C3"/>
    <w:rsid w:val="00BC410F"/>
    <w:rsid w:val="00BE5E2A"/>
    <w:rsid w:val="00BF14BB"/>
    <w:rsid w:val="00C016AD"/>
    <w:rsid w:val="00C34B3C"/>
    <w:rsid w:val="00C3649D"/>
    <w:rsid w:val="00C368DC"/>
    <w:rsid w:val="00C61B9C"/>
    <w:rsid w:val="00C651CF"/>
    <w:rsid w:val="00C74E2E"/>
    <w:rsid w:val="00CA4682"/>
    <w:rsid w:val="00CA7F10"/>
    <w:rsid w:val="00CB5310"/>
    <w:rsid w:val="00CC11F2"/>
    <w:rsid w:val="00CC6512"/>
    <w:rsid w:val="00CD5DE4"/>
    <w:rsid w:val="00D01A0B"/>
    <w:rsid w:val="00D1003C"/>
    <w:rsid w:val="00D313D5"/>
    <w:rsid w:val="00D42302"/>
    <w:rsid w:val="00D47C5D"/>
    <w:rsid w:val="00D64CBD"/>
    <w:rsid w:val="00D70A59"/>
    <w:rsid w:val="00D85A82"/>
    <w:rsid w:val="00DA596D"/>
    <w:rsid w:val="00DB0BC6"/>
    <w:rsid w:val="00DB0F4D"/>
    <w:rsid w:val="00DB4355"/>
    <w:rsid w:val="00DC51A0"/>
    <w:rsid w:val="00DC7FC8"/>
    <w:rsid w:val="00DD53EB"/>
    <w:rsid w:val="00DD7EAB"/>
    <w:rsid w:val="00DF40EC"/>
    <w:rsid w:val="00E00A0D"/>
    <w:rsid w:val="00E04F2F"/>
    <w:rsid w:val="00E20DAC"/>
    <w:rsid w:val="00E23B3E"/>
    <w:rsid w:val="00E23C5B"/>
    <w:rsid w:val="00E365F9"/>
    <w:rsid w:val="00E41029"/>
    <w:rsid w:val="00E44EEF"/>
    <w:rsid w:val="00E47F91"/>
    <w:rsid w:val="00E61200"/>
    <w:rsid w:val="00E72B8F"/>
    <w:rsid w:val="00E75DFC"/>
    <w:rsid w:val="00EC4A15"/>
    <w:rsid w:val="00EC7EA8"/>
    <w:rsid w:val="00F13AC2"/>
    <w:rsid w:val="00F26968"/>
    <w:rsid w:val="00F311C5"/>
    <w:rsid w:val="00F57869"/>
    <w:rsid w:val="00F6606D"/>
    <w:rsid w:val="00F766E9"/>
    <w:rsid w:val="00F84032"/>
    <w:rsid w:val="00F87F74"/>
    <w:rsid w:val="00F95BDD"/>
    <w:rsid w:val="00FD2924"/>
    <w:rsid w:val="00FE0890"/>
    <w:rsid w:val="00FF4BF4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09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yleRight">
    <w:name w:val="Style Right"/>
    <w:basedOn w:val="Parasts"/>
    <w:rsid w:val="004D15A9"/>
    <w:pPr>
      <w:spacing w:after="120" w:line="240" w:lineRule="auto"/>
      <w:ind w:firstLine="72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Galvene">
    <w:name w:val="header"/>
    <w:basedOn w:val="Parasts"/>
    <w:link w:val="GalveneRakstz"/>
    <w:uiPriority w:val="99"/>
    <w:unhideWhenUsed/>
    <w:rsid w:val="004D15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D15A9"/>
  </w:style>
  <w:style w:type="paragraph" w:styleId="Kjene">
    <w:name w:val="footer"/>
    <w:basedOn w:val="Parasts"/>
    <w:link w:val="KjeneRakstz"/>
    <w:uiPriority w:val="99"/>
    <w:unhideWhenUsed/>
    <w:rsid w:val="004D15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D15A9"/>
  </w:style>
  <w:style w:type="paragraph" w:styleId="Balonteksts">
    <w:name w:val="Balloon Text"/>
    <w:basedOn w:val="Parasts"/>
    <w:link w:val="BalontekstsRakstz"/>
    <w:uiPriority w:val="99"/>
    <w:semiHidden/>
    <w:unhideWhenUsed/>
    <w:rsid w:val="003A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A2A0B"/>
    <w:rPr>
      <w:rFonts w:ascii="Tahoma" w:hAnsi="Tahoma" w:cs="Tahoma"/>
      <w:sz w:val="16"/>
      <w:szCs w:val="16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152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152991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uiPriority w:val="99"/>
    <w:semiHidden/>
    <w:unhideWhenUsed/>
    <w:rsid w:val="00152991"/>
    <w:rPr>
      <w:vertAlign w:val="superscript"/>
    </w:rPr>
  </w:style>
  <w:style w:type="character" w:customStyle="1" w:styleId="spelle">
    <w:name w:val="spelle"/>
    <w:rsid w:val="00152991"/>
  </w:style>
  <w:style w:type="character" w:styleId="Hipersaite">
    <w:name w:val="Hyperlink"/>
    <w:basedOn w:val="Noklusjumarindkopasfonts"/>
    <w:uiPriority w:val="99"/>
    <w:unhideWhenUsed/>
    <w:rsid w:val="00DC7FC8"/>
    <w:rPr>
      <w:color w:val="0000FF" w:themeColor="hyperlink"/>
      <w:u w:val="single"/>
    </w:rPr>
  </w:style>
  <w:style w:type="paragraph" w:customStyle="1" w:styleId="naiskr">
    <w:name w:val="naiskr"/>
    <w:basedOn w:val="Parasts"/>
    <w:rsid w:val="00B5298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B529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AB2C9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AB2C9A"/>
    <w:rPr>
      <w:rFonts w:ascii="Calibri" w:hAnsi="Calibri" w:cs="Consolas"/>
      <w:szCs w:val="21"/>
    </w:rPr>
  </w:style>
  <w:style w:type="paragraph" w:styleId="Sarakstarindkopa">
    <w:name w:val="List Paragraph"/>
    <w:basedOn w:val="Parasts"/>
    <w:uiPriority w:val="34"/>
    <w:qFormat/>
    <w:rsid w:val="00AB2C9A"/>
    <w:pPr>
      <w:spacing w:after="0" w:line="240" w:lineRule="auto"/>
      <w:ind w:left="720"/>
    </w:pPr>
    <w:rPr>
      <w:rFonts w:ascii="Calibri" w:hAnsi="Calibri" w:cs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55579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5579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5579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5579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55795"/>
    <w:rPr>
      <w:b/>
      <w:bCs/>
      <w:sz w:val="20"/>
      <w:szCs w:val="20"/>
    </w:rPr>
  </w:style>
  <w:style w:type="paragraph" w:customStyle="1" w:styleId="tv2132">
    <w:name w:val="tv2132"/>
    <w:basedOn w:val="Parasts"/>
    <w:rsid w:val="00646539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Prskatjums">
    <w:name w:val="Revision"/>
    <w:hidden/>
    <w:uiPriority w:val="99"/>
    <w:semiHidden/>
    <w:rsid w:val="00B549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yleRight">
    <w:name w:val="Style Right"/>
    <w:basedOn w:val="Parasts"/>
    <w:rsid w:val="004D15A9"/>
    <w:pPr>
      <w:spacing w:after="120" w:line="240" w:lineRule="auto"/>
      <w:ind w:firstLine="72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Galvene">
    <w:name w:val="header"/>
    <w:basedOn w:val="Parasts"/>
    <w:link w:val="GalveneRakstz"/>
    <w:uiPriority w:val="99"/>
    <w:unhideWhenUsed/>
    <w:rsid w:val="004D15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D15A9"/>
  </w:style>
  <w:style w:type="paragraph" w:styleId="Kjene">
    <w:name w:val="footer"/>
    <w:basedOn w:val="Parasts"/>
    <w:link w:val="KjeneRakstz"/>
    <w:uiPriority w:val="99"/>
    <w:unhideWhenUsed/>
    <w:rsid w:val="004D15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D15A9"/>
  </w:style>
  <w:style w:type="paragraph" w:styleId="Balonteksts">
    <w:name w:val="Balloon Text"/>
    <w:basedOn w:val="Parasts"/>
    <w:link w:val="BalontekstsRakstz"/>
    <w:uiPriority w:val="99"/>
    <w:semiHidden/>
    <w:unhideWhenUsed/>
    <w:rsid w:val="003A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A2A0B"/>
    <w:rPr>
      <w:rFonts w:ascii="Tahoma" w:hAnsi="Tahoma" w:cs="Tahoma"/>
      <w:sz w:val="16"/>
      <w:szCs w:val="16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152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152991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uiPriority w:val="99"/>
    <w:semiHidden/>
    <w:unhideWhenUsed/>
    <w:rsid w:val="00152991"/>
    <w:rPr>
      <w:vertAlign w:val="superscript"/>
    </w:rPr>
  </w:style>
  <w:style w:type="character" w:customStyle="1" w:styleId="spelle">
    <w:name w:val="spelle"/>
    <w:rsid w:val="00152991"/>
  </w:style>
  <w:style w:type="character" w:styleId="Hipersaite">
    <w:name w:val="Hyperlink"/>
    <w:basedOn w:val="Noklusjumarindkopasfonts"/>
    <w:uiPriority w:val="99"/>
    <w:unhideWhenUsed/>
    <w:rsid w:val="00DC7FC8"/>
    <w:rPr>
      <w:color w:val="0000FF" w:themeColor="hyperlink"/>
      <w:u w:val="single"/>
    </w:rPr>
  </w:style>
  <w:style w:type="paragraph" w:customStyle="1" w:styleId="naiskr">
    <w:name w:val="naiskr"/>
    <w:basedOn w:val="Parasts"/>
    <w:rsid w:val="00B5298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B529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AB2C9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AB2C9A"/>
    <w:rPr>
      <w:rFonts w:ascii="Calibri" w:hAnsi="Calibri" w:cs="Consolas"/>
      <w:szCs w:val="21"/>
    </w:rPr>
  </w:style>
  <w:style w:type="paragraph" w:styleId="Sarakstarindkopa">
    <w:name w:val="List Paragraph"/>
    <w:basedOn w:val="Parasts"/>
    <w:uiPriority w:val="34"/>
    <w:qFormat/>
    <w:rsid w:val="00AB2C9A"/>
    <w:pPr>
      <w:spacing w:after="0" w:line="240" w:lineRule="auto"/>
      <w:ind w:left="720"/>
    </w:pPr>
    <w:rPr>
      <w:rFonts w:ascii="Calibri" w:hAnsi="Calibri" w:cs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55579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5579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5579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5579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55795"/>
    <w:rPr>
      <w:b/>
      <w:bCs/>
      <w:sz w:val="20"/>
      <w:szCs w:val="20"/>
    </w:rPr>
  </w:style>
  <w:style w:type="paragraph" w:customStyle="1" w:styleId="tv2132">
    <w:name w:val="tv2132"/>
    <w:basedOn w:val="Parasts"/>
    <w:rsid w:val="00646539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Prskatjums">
    <w:name w:val="Revision"/>
    <w:hidden/>
    <w:uiPriority w:val="99"/>
    <w:semiHidden/>
    <w:rsid w:val="00B549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8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6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42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17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0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3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9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43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2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1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indija.Sube@tm.gov.l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93A98-F741-4A1A-882F-3B0BE911A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6277</Words>
  <Characters>3579</Characters>
  <Application>Microsoft Office Word</Application>
  <DocSecurity>0</DocSecurity>
  <Lines>29</Lines>
  <Paragraphs>19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Ministru kabineta noteikumu projekta „Grozījums Ministru kabineta 2004.gada 20.jūlija noteikumos Nr.609 „Noteikumi par advokāta eksāmena maksu”” sākotnējās ietekmes novērtējuma ziņojums (anotācija)</vt:lpstr>
      <vt:lpstr>Ministru kabineta noteikumu projekta „Grozījumi Ministru kabineta 2009.gada 22.decembra noteikumos Nr.1493 „Noteikumi par valsts nodrošinātās juridiskās palīdzības apjomu, samaksas apmēru, atlīdzināmajiem izdevumiem un to izmaksas kārtību”” sākotnējās iet</vt:lpstr>
    </vt:vector>
  </TitlesOfParts>
  <Company>Tieslietu ministrija</Company>
  <LinksUpToDate>false</LinksUpToDate>
  <CharactersWithSpaces>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projekta „Grozījums Ministru kabineta 2004.gada 20.jūlija noteikumos Nr.609 „Noteikumi par advokāta eksāmena maksu””  sākotnējās ietekmes novērtējuma ziņojums (anotācija)</dc:title>
  <dc:subject>Anotācija</dc:subject>
  <dc:creator>Sindija</dc:creator>
  <dc:description>67036838; Sindija.Sube@tm.gov.lv</dc:description>
  <cp:lastModifiedBy>Sindija Sube</cp:lastModifiedBy>
  <cp:revision>6</cp:revision>
  <cp:lastPrinted>2016-09-12T12:29:00Z</cp:lastPrinted>
  <dcterms:created xsi:type="dcterms:W3CDTF">2017-03-08T08:37:00Z</dcterms:created>
  <dcterms:modified xsi:type="dcterms:W3CDTF">2017-03-23T07:45:00Z</dcterms:modified>
</cp:coreProperties>
</file>