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A38" w:rsidRDefault="00B362B3" w:rsidP="00A152C7">
      <w:pPr>
        <w:pStyle w:val="Bezatstarpm"/>
        <w:ind w:right="-2"/>
        <w:jc w:val="center"/>
        <w:rPr>
          <w:rFonts w:ascii="Times New Roman" w:hAnsi="Times New Roman" w:cs="Times New Roman"/>
          <w:b/>
          <w:bCs/>
          <w:sz w:val="24"/>
          <w:szCs w:val="24"/>
        </w:rPr>
      </w:pPr>
      <w:r>
        <w:rPr>
          <w:rFonts w:ascii="Times New Roman" w:hAnsi="Times New Roman" w:cs="Times New Roman"/>
          <w:b/>
          <w:bCs/>
          <w:sz w:val="24"/>
          <w:szCs w:val="24"/>
        </w:rPr>
        <w:t>Likumprojekta “</w:t>
      </w:r>
      <w:r w:rsidR="006078D2">
        <w:rPr>
          <w:rFonts w:ascii="Times New Roman" w:hAnsi="Times New Roman" w:cs="Times New Roman"/>
          <w:b/>
          <w:bCs/>
          <w:sz w:val="24"/>
          <w:szCs w:val="24"/>
        </w:rPr>
        <w:t>Grozījumi Civilprocesa likumā</w:t>
      </w:r>
      <w:r>
        <w:rPr>
          <w:rFonts w:ascii="Times New Roman" w:hAnsi="Times New Roman" w:cs="Times New Roman"/>
          <w:b/>
          <w:bCs/>
          <w:sz w:val="24"/>
          <w:szCs w:val="24"/>
        </w:rPr>
        <w:t>”</w:t>
      </w:r>
      <w:r w:rsidR="009411FA" w:rsidRPr="009411FA">
        <w:rPr>
          <w:rFonts w:ascii="Times New Roman" w:hAnsi="Times New Roman" w:cs="Times New Roman"/>
          <w:b/>
          <w:bCs/>
          <w:sz w:val="24"/>
          <w:szCs w:val="24"/>
        </w:rPr>
        <w:t xml:space="preserve"> </w:t>
      </w:r>
      <w:bookmarkStart w:id="0" w:name="_GoBack"/>
      <w:bookmarkEnd w:id="0"/>
    </w:p>
    <w:p w:rsidR="009411FA" w:rsidRPr="009411FA" w:rsidRDefault="009411FA" w:rsidP="00A152C7">
      <w:pPr>
        <w:pStyle w:val="Bezatstarpm"/>
        <w:ind w:right="-2"/>
        <w:jc w:val="center"/>
        <w:rPr>
          <w:rFonts w:ascii="Times New Roman" w:hAnsi="Times New Roman" w:cs="Times New Roman"/>
          <w:b/>
          <w:bCs/>
          <w:sz w:val="24"/>
          <w:szCs w:val="24"/>
        </w:rPr>
      </w:pPr>
      <w:r w:rsidRPr="009411FA">
        <w:rPr>
          <w:rFonts w:ascii="Times New Roman" w:hAnsi="Times New Roman" w:cs="Times New Roman"/>
          <w:b/>
          <w:bCs/>
          <w:sz w:val="24"/>
          <w:szCs w:val="24"/>
        </w:rPr>
        <w:t>sākotnējās ietekmes novērtējuma ziņojums (anotācija)</w:t>
      </w:r>
    </w:p>
    <w:p w:rsidR="009411FA" w:rsidRPr="009411FA" w:rsidRDefault="009411FA" w:rsidP="009411FA">
      <w:pPr>
        <w:pStyle w:val="Bezatstarpm"/>
        <w:ind w:right="84"/>
        <w:rPr>
          <w:rFonts w:ascii="Times New Roman" w:hAnsi="Times New Roman" w:cs="Times New Roman"/>
          <w:i/>
          <w:iCs/>
          <w:sz w:val="24"/>
          <w:szCs w:val="24"/>
        </w:rPr>
      </w:pPr>
    </w:p>
    <w:tbl>
      <w:tblPr>
        <w:tblW w:w="488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1"/>
        <w:gridCol w:w="2860"/>
        <w:gridCol w:w="5928"/>
      </w:tblGrid>
      <w:tr w:rsidR="009411FA" w:rsidRPr="009411FA" w:rsidTr="009C1A38">
        <w:trPr>
          <w:trHeight w:val="405"/>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rsidR="009411FA" w:rsidRPr="009411FA" w:rsidRDefault="009411FA" w:rsidP="0045705D">
            <w:pPr>
              <w:pStyle w:val="Bezatstarpm"/>
              <w:ind w:right="84"/>
              <w:jc w:val="center"/>
              <w:rPr>
                <w:rFonts w:ascii="Times New Roman" w:hAnsi="Times New Roman" w:cs="Times New Roman"/>
                <w:b/>
                <w:bCs/>
                <w:sz w:val="24"/>
                <w:szCs w:val="24"/>
              </w:rPr>
            </w:pPr>
            <w:r w:rsidRPr="009411FA">
              <w:rPr>
                <w:rFonts w:ascii="Times New Roman" w:hAnsi="Times New Roman" w:cs="Times New Roman"/>
                <w:b/>
                <w:bCs/>
                <w:sz w:val="24"/>
                <w:szCs w:val="24"/>
              </w:rPr>
              <w:t>I. Tiesību akta projekta izstrādes nepieciešamība</w:t>
            </w:r>
          </w:p>
        </w:tc>
      </w:tr>
      <w:tr w:rsidR="009411FA" w:rsidRPr="009411FA" w:rsidTr="009C1A38">
        <w:trPr>
          <w:trHeight w:val="405"/>
          <w:tblCellSpacing w:w="15" w:type="dxa"/>
        </w:trPr>
        <w:tc>
          <w:tcPr>
            <w:tcW w:w="247"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1.</w:t>
            </w:r>
          </w:p>
        </w:tc>
        <w:tc>
          <w:tcPr>
            <w:tcW w:w="1534"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Pamatojums</w:t>
            </w:r>
          </w:p>
        </w:tc>
        <w:tc>
          <w:tcPr>
            <w:tcW w:w="3155" w:type="pct"/>
            <w:tcBorders>
              <w:top w:val="outset" w:sz="6" w:space="0" w:color="auto"/>
              <w:left w:val="outset" w:sz="6" w:space="0" w:color="auto"/>
              <w:bottom w:val="outset" w:sz="6" w:space="0" w:color="auto"/>
              <w:right w:val="outset" w:sz="6" w:space="0" w:color="auto"/>
            </w:tcBorders>
            <w:hideMark/>
          </w:tcPr>
          <w:p w:rsidR="009411FA" w:rsidRDefault="00F8554F" w:rsidP="00B55413">
            <w:pPr>
              <w:pStyle w:val="Bezatstarpm"/>
              <w:ind w:right="84"/>
              <w:jc w:val="both"/>
              <w:rPr>
                <w:rFonts w:ascii="Times New Roman" w:eastAsia="Times New Roman" w:hAnsi="Times New Roman" w:cs="Times New Roman"/>
                <w:sz w:val="24"/>
                <w:szCs w:val="24"/>
                <w:lang w:eastAsia="lv-LV"/>
              </w:rPr>
            </w:pPr>
            <w:r w:rsidRPr="00CD79D8">
              <w:rPr>
                <w:rFonts w:ascii="Times New Roman" w:hAnsi="Times New Roman" w:cs="Times New Roman"/>
                <w:sz w:val="24"/>
                <w:szCs w:val="24"/>
              </w:rPr>
              <w:t xml:space="preserve">Ministru kabineta </w:t>
            </w:r>
            <w:proofErr w:type="gramStart"/>
            <w:r w:rsidRPr="00CD79D8">
              <w:rPr>
                <w:rFonts w:ascii="Times New Roman" w:hAnsi="Times New Roman" w:cs="Times New Roman"/>
                <w:sz w:val="24"/>
                <w:szCs w:val="24"/>
              </w:rPr>
              <w:t>2013.gada</w:t>
            </w:r>
            <w:proofErr w:type="gramEnd"/>
            <w:r w:rsidRPr="00CD79D8">
              <w:rPr>
                <w:rFonts w:ascii="Times New Roman" w:hAnsi="Times New Roman" w:cs="Times New Roman"/>
                <w:sz w:val="24"/>
                <w:szCs w:val="24"/>
              </w:rPr>
              <w:t xml:space="preserve"> 4.jūnija rīkojums Nr.232 “Par Preventīvo piespiedu līdzekļu koncepcijas ieviešanu”</w:t>
            </w:r>
            <w:r w:rsidR="00850077" w:rsidRPr="00CD79D8">
              <w:rPr>
                <w:rFonts w:ascii="Times New Roman" w:hAnsi="Times New Roman" w:cs="Times New Roman"/>
                <w:sz w:val="24"/>
                <w:szCs w:val="24"/>
              </w:rPr>
              <w:t>,</w:t>
            </w:r>
            <w:r w:rsidRPr="00CD79D8">
              <w:rPr>
                <w:rFonts w:ascii="Times New Roman" w:hAnsi="Times New Roman" w:cs="Times New Roman"/>
                <w:sz w:val="24"/>
                <w:szCs w:val="24"/>
              </w:rPr>
              <w:t xml:space="preserve"> </w:t>
            </w:r>
            <w:r w:rsidR="00CD79D8" w:rsidRPr="00CD79D8">
              <w:rPr>
                <w:rFonts w:ascii="Times New Roman" w:eastAsia="Times New Roman" w:hAnsi="Times New Roman" w:cs="Times New Roman"/>
                <w:sz w:val="24"/>
                <w:szCs w:val="24"/>
                <w:lang w:eastAsia="lv-LV"/>
              </w:rPr>
              <w:t>Valdības rīcības plāna Deklarācijas par Māra Kučinska vadītā Ministru kabineta iecerēto darbību īstenošanai (apstiprināts ar Ministru kabineta 03.05.2016. rīkojumu Nr. 275) (turpmāk – Valdības rīcības plāns) 46.4. pasākums par Preventīvo piespiedu līdzekļu likumprojekta</w:t>
            </w:r>
            <w:r w:rsidR="003A4C60">
              <w:rPr>
                <w:rFonts w:ascii="Times New Roman" w:eastAsia="Times New Roman" w:hAnsi="Times New Roman" w:cs="Times New Roman"/>
                <w:sz w:val="24"/>
                <w:szCs w:val="24"/>
                <w:lang w:eastAsia="lv-LV"/>
              </w:rPr>
              <w:t xml:space="preserve"> izstrādi</w:t>
            </w:r>
            <w:r w:rsidR="006078D2">
              <w:rPr>
                <w:rFonts w:ascii="Times New Roman" w:eastAsia="Times New Roman" w:hAnsi="Times New Roman" w:cs="Times New Roman"/>
                <w:sz w:val="24"/>
                <w:szCs w:val="24"/>
                <w:lang w:eastAsia="lv-LV"/>
              </w:rPr>
              <w:t>;</w:t>
            </w:r>
          </w:p>
          <w:p w:rsidR="006078D2" w:rsidRPr="00CD79D8" w:rsidRDefault="006078D2" w:rsidP="00B55413">
            <w:pPr>
              <w:pStyle w:val="Bezatstarpm"/>
              <w:ind w:right="84"/>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Tieslietu ministrijas iniciatīva. </w:t>
            </w:r>
          </w:p>
        </w:tc>
      </w:tr>
      <w:tr w:rsidR="009411FA" w:rsidRPr="009411FA" w:rsidTr="009C1A38">
        <w:trPr>
          <w:trHeight w:val="465"/>
          <w:tblCellSpacing w:w="15" w:type="dxa"/>
        </w:trPr>
        <w:tc>
          <w:tcPr>
            <w:tcW w:w="247"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2.</w:t>
            </w:r>
          </w:p>
        </w:tc>
        <w:tc>
          <w:tcPr>
            <w:tcW w:w="1534"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Pašreizējā situācija un problēmas, kuru risināšanai tiesību akta projekts izstrādāts, tiesiskā regulējuma mērķis un būtība</w:t>
            </w:r>
          </w:p>
        </w:tc>
        <w:tc>
          <w:tcPr>
            <w:tcW w:w="3155" w:type="pct"/>
            <w:tcBorders>
              <w:top w:val="outset" w:sz="6" w:space="0" w:color="auto"/>
              <w:left w:val="outset" w:sz="6" w:space="0" w:color="auto"/>
              <w:bottom w:val="outset" w:sz="6" w:space="0" w:color="auto"/>
              <w:right w:val="outset" w:sz="6" w:space="0" w:color="auto"/>
            </w:tcBorders>
            <w:hideMark/>
          </w:tcPr>
          <w:p w:rsidR="00465F09" w:rsidRDefault="00465F09" w:rsidP="00465F09">
            <w:pPr>
              <w:spacing w:after="0" w:line="240" w:lineRule="auto"/>
              <w:ind w:firstLine="550"/>
              <w:jc w:val="both"/>
              <w:rPr>
                <w:rFonts w:ascii="Times New Roman" w:hAnsi="Times New Roman"/>
                <w:sz w:val="24"/>
                <w:szCs w:val="28"/>
              </w:rPr>
            </w:pPr>
            <w:r>
              <w:rPr>
                <w:rFonts w:ascii="Times New Roman" w:hAnsi="Times New Roman"/>
                <w:sz w:val="24"/>
                <w:szCs w:val="28"/>
              </w:rPr>
              <w:t>Fiziskās un psiholoģiskās integritātes, kā arī brīvības intereses ir katra indivīda pamattiesības, kuras valstij ir pienākums aizsargāt. Eiropas Savienības Pamattiesību hartas 2. un</w:t>
            </w:r>
            <w:proofErr w:type="gramStart"/>
            <w:r>
              <w:rPr>
                <w:rFonts w:ascii="Times New Roman" w:hAnsi="Times New Roman"/>
                <w:sz w:val="24"/>
                <w:szCs w:val="28"/>
              </w:rPr>
              <w:t xml:space="preserve"> 6. pantā reglamentēts</w:t>
            </w:r>
            <w:proofErr w:type="gramEnd"/>
            <w:r>
              <w:rPr>
                <w:rFonts w:ascii="Times New Roman" w:hAnsi="Times New Roman"/>
                <w:sz w:val="24"/>
                <w:szCs w:val="28"/>
              </w:rPr>
              <w:t>, ka ikvienam ir tiesības uz dzīvību, brīvību un drošību. Attiecīgi arī Latvijas Republikas Satversmes 89. un</w:t>
            </w:r>
            <w:proofErr w:type="gramStart"/>
            <w:r>
              <w:rPr>
                <w:rFonts w:ascii="Times New Roman" w:hAnsi="Times New Roman"/>
                <w:sz w:val="24"/>
                <w:szCs w:val="28"/>
              </w:rPr>
              <w:t xml:space="preserve"> 111. pantā noteikts</w:t>
            </w:r>
            <w:proofErr w:type="gramEnd"/>
            <w:r>
              <w:rPr>
                <w:rFonts w:ascii="Times New Roman" w:hAnsi="Times New Roman"/>
                <w:sz w:val="24"/>
                <w:szCs w:val="28"/>
              </w:rPr>
              <w:t xml:space="preserve">, ka valsts atzīst un aizsargā cilvēka pamattiesības saskaņā ar Satversmi, likumiem un Latvijas Republikai saistošiem starptautiskajiem līgumiem un aizsargā cilvēku veselību, kā arī garantē ikvienam medicīniskās palīdzības minimumu. </w:t>
            </w:r>
            <w:bookmarkStart w:id="1" w:name="p94"/>
            <w:bookmarkEnd w:id="1"/>
            <w:r>
              <w:rPr>
                <w:rFonts w:ascii="Times New Roman" w:hAnsi="Times New Roman"/>
                <w:sz w:val="24"/>
                <w:szCs w:val="28"/>
              </w:rPr>
              <w:t>Tāpat Latvijas Republikas Satversmes</w:t>
            </w:r>
            <w:r>
              <w:rPr>
                <w:rFonts w:ascii="Times New Roman" w:hAnsi="Times New Roman"/>
                <w:bCs/>
                <w:sz w:val="24"/>
                <w:szCs w:val="28"/>
              </w:rPr>
              <w:t xml:space="preserve"> 94. </w:t>
            </w:r>
            <w:r>
              <w:rPr>
                <w:rFonts w:ascii="Times New Roman" w:hAnsi="Times New Roman"/>
                <w:sz w:val="24"/>
                <w:szCs w:val="28"/>
              </w:rPr>
              <w:t>pants paredz, ka ikvienam ir tiesības uz brīvību un personas neaizskaramību un nevienam nedrīkst atņemt vai ierobežot brīvību citādi kā tikai saskaņā ar likumu.</w:t>
            </w:r>
            <w:r w:rsidR="00254698">
              <w:rPr>
                <w:rFonts w:ascii="Times New Roman" w:hAnsi="Times New Roman"/>
                <w:bCs/>
                <w:sz w:val="24"/>
                <w:szCs w:val="28"/>
              </w:rPr>
              <w:t xml:space="preserve"> Savukārt </w:t>
            </w:r>
            <w:r>
              <w:rPr>
                <w:rFonts w:ascii="Times New Roman" w:hAnsi="Times New Roman"/>
                <w:bCs/>
                <w:sz w:val="24"/>
                <w:szCs w:val="28"/>
              </w:rPr>
              <w:t>95. p</w:t>
            </w:r>
            <w:r>
              <w:rPr>
                <w:rFonts w:ascii="Times New Roman" w:hAnsi="Times New Roman"/>
                <w:sz w:val="24"/>
                <w:szCs w:val="28"/>
              </w:rPr>
              <w:t>ants noteic, ka valsts aizsargā cilvēka godu un cieņu. Spīdzināšana, citāda cietsirdīga vai cieņu pazemojoša izturēšanās pret cilvēku ir aizliegta.</w:t>
            </w:r>
            <w:bookmarkStart w:id="2" w:name="p96"/>
            <w:bookmarkEnd w:id="2"/>
            <w:r>
              <w:rPr>
                <w:rFonts w:ascii="Times New Roman" w:hAnsi="Times New Roman"/>
                <w:bCs/>
                <w:sz w:val="24"/>
                <w:szCs w:val="28"/>
              </w:rPr>
              <w:t xml:space="preserve"> </w:t>
            </w:r>
            <w:r>
              <w:rPr>
                <w:rFonts w:ascii="Times New Roman" w:hAnsi="Times New Roman"/>
                <w:sz w:val="24"/>
                <w:szCs w:val="28"/>
              </w:rPr>
              <w:t xml:space="preserve">Latvijas Republikas Satversme </w:t>
            </w:r>
            <w:r>
              <w:rPr>
                <w:rFonts w:ascii="Times New Roman" w:eastAsia="Times New Roman" w:hAnsi="Times New Roman"/>
                <w:bCs/>
                <w:sz w:val="24"/>
                <w:szCs w:val="28"/>
                <w:lang w:eastAsia="lv-LV"/>
              </w:rPr>
              <w:t>96. pants noteic, ka</w:t>
            </w:r>
            <w:r>
              <w:rPr>
                <w:rFonts w:ascii="Times New Roman" w:eastAsia="Times New Roman" w:hAnsi="Times New Roman"/>
                <w:sz w:val="24"/>
                <w:szCs w:val="28"/>
                <w:lang w:eastAsia="lv-LV"/>
              </w:rPr>
              <w:t xml:space="preserve"> ikvienam ir tiesības uz privātās dzīves, mājokļa un korespondences neaizskaramību. </w:t>
            </w:r>
            <w:r>
              <w:rPr>
                <w:rFonts w:ascii="Times New Roman" w:hAnsi="Times New Roman"/>
                <w:sz w:val="24"/>
                <w:szCs w:val="28"/>
              </w:rPr>
              <w:t xml:space="preserve">Cilvēka pamattiesību aizsardzības pienākums ir vispārējs un pieprasa valsts aktīvu rīcību divos virzienos. Viens no tiem ir </w:t>
            </w:r>
            <w:proofErr w:type="spellStart"/>
            <w:r>
              <w:rPr>
                <w:rFonts w:ascii="Times New Roman" w:hAnsi="Times New Roman"/>
                <w:sz w:val="24"/>
                <w:szCs w:val="28"/>
              </w:rPr>
              <w:t>prevencija</w:t>
            </w:r>
            <w:proofErr w:type="spellEnd"/>
            <w:r>
              <w:rPr>
                <w:rFonts w:ascii="Times New Roman" w:hAnsi="Times New Roman"/>
                <w:sz w:val="24"/>
                <w:szCs w:val="28"/>
              </w:rPr>
              <w:t xml:space="preserve"> – darbība, kas vērsta uz nākotni. Valstij ir jāaizsargā cilvēki, nepieļaujot, ka viņu tiesības tiek reāli aizskartas, proti, tai ir pienākums veikt pasākumus, kas ļautu novērst šos aizskārumus. Otrs virziens ir saistīts ar valstī pastāvošo juridiskās atbildības sistēmu, kas ir vērsta uz pagātni – valstij ir pienākums reaģēt situācijās, kad pārkāpums tomēr ir noticis, piemēram, kad jau ir izdarīts noziedzīgs nodarījums.</w:t>
            </w:r>
          </w:p>
          <w:p w:rsidR="00465F09" w:rsidRDefault="00465F09" w:rsidP="00465F09">
            <w:pPr>
              <w:tabs>
                <w:tab w:val="left" w:pos="0"/>
              </w:tabs>
              <w:spacing w:after="0" w:line="240" w:lineRule="auto"/>
              <w:ind w:firstLine="550"/>
              <w:jc w:val="both"/>
              <w:rPr>
                <w:rFonts w:ascii="Times New Roman" w:hAnsi="Times New Roman"/>
                <w:sz w:val="24"/>
                <w:szCs w:val="28"/>
              </w:rPr>
            </w:pPr>
            <w:r>
              <w:rPr>
                <w:rFonts w:ascii="Times New Roman" w:hAnsi="Times New Roman"/>
                <w:sz w:val="24"/>
                <w:szCs w:val="28"/>
              </w:rPr>
              <w:t xml:space="preserve">Valstij jābūt spējīgai reaģēt jau uz pamattiesību apdraudējumu, negaidot, kad kāds no sabiedrības locekļiem kļūs par cietušo noziedzīgā nodarījumā. Uz to norādījusi arī Eiropas Cilvēktiesību tiesa, kas 2009. gada 9. jūlija spriedumā lietā </w:t>
            </w:r>
            <w:proofErr w:type="spellStart"/>
            <w:r>
              <w:rPr>
                <w:rStyle w:val="Izclums"/>
                <w:rFonts w:ascii="Times New Roman" w:hAnsi="Times New Roman"/>
                <w:sz w:val="24"/>
                <w:szCs w:val="28"/>
              </w:rPr>
              <w:t>Opuz</w:t>
            </w:r>
            <w:proofErr w:type="spellEnd"/>
            <w:r>
              <w:rPr>
                <w:rStyle w:val="Izclums"/>
                <w:rFonts w:ascii="Times New Roman" w:hAnsi="Times New Roman"/>
                <w:sz w:val="24"/>
                <w:szCs w:val="28"/>
              </w:rPr>
              <w:t xml:space="preserve"> v. </w:t>
            </w:r>
            <w:proofErr w:type="spellStart"/>
            <w:r>
              <w:rPr>
                <w:rStyle w:val="Izclums"/>
                <w:rFonts w:ascii="Times New Roman" w:hAnsi="Times New Roman"/>
                <w:sz w:val="24"/>
                <w:szCs w:val="28"/>
              </w:rPr>
              <w:t>Turkey</w:t>
            </w:r>
            <w:proofErr w:type="spellEnd"/>
            <w:r>
              <w:rPr>
                <w:rFonts w:ascii="Times New Roman" w:hAnsi="Times New Roman"/>
                <w:sz w:val="24"/>
                <w:szCs w:val="28"/>
              </w:rPr>
              <w:t xml:space="preserve"> ir atzinusi, ka Turcija pārkāpusi Eiropas Cilvēktiesību un pamatbrīvību aizsardzības konvencijas 2., 3. un 14. pantu, jo tās iestādes nenodrošināja pietiekamu prasītājas un viņas mātes </w:t>
            </w:r>
            <w:r>
              <w:rPr>
                <w:rFonts w:ascii="Times New Roman" w:hAnsi="Times New Roman"/>
                <w:sz w:val="24"/>
                <w:szCs w:val="28"/>
              </w:rPr>
              <w:lastRenderedPageBreak/>
              <w:t>aizsardzību pret vardarbību no prasītājas vīra puses, kā rezultātā mātes slepkavība netika novērsta. Šī sprieduma 147. punktā uzsvērts, ka vainīgās personas tiesības nedrīkst dominēt pār cietušā tiesībām uz dzīvību, fizisku un garīgu integritāti, savukārt 153. punktā teikts, ka tad, kad valsts iestādēm esošā apdraudošā situācija ir zināma, tās nevar atsaukties uz cietušā attieksmi pret to un neveikt atbilstošus pasākumus, kas varētu novērst agresora radīto apdraudējumu personas fiziskajai integritātei.</w:t>
            </w:r>
          </w:p>
          <w:p w:rsidR="00BA21CF" w:rsidRDefault="00465F09" w:rsidP="00BE2B83">
            <w:pPr>
              <w:pStyle w:val="Bezatstarpm"/>
              <w:jc w:val="both"/>
              <w:rPr>
                <w:rFonts w:ascii="Times New Roman" w:hAnsi="Times New Roman"/>
                <w:sz w:val="24"/>
                <w:szCs w:val="24"/>
              </w:rPr>
            </w:pPr>
            <w:r>
              <w:rPr>
                <w:rFonts w:ascii="Times New Roman" w:hAnsi="Times New Roman"/>
                <w:sz w:val="24"/>
                <w:szCs w:val="24"/>
              </w:rPr>
              <w:tab/>
            </w:r>
            <w:r w:rsidR="00630B8E" w:rsidRPr="00BE2B83">
              <w:rPr>
                <w:rFonts w:ascii="Times New Roman" w:hAnsi="Times New Roman"/>
                <w:sz w:val="24"/>
                <w:szCs w:val="24"/>
              </w:rPr>
              <w:t xml:space="preserve">Tādējādi valstij ir pozitīvs pienākums, </w:t>
            </w:r>
            <w:r w:rsidR="00BA21CF" w:rsidRPr="00BE2B83">
              <w:rPr>
                <w:rFonts w:ascii="Times New Roman" w:hAnsi="Times New Roman"/>
                <w:sz w:val="24"/>
                <w:szCs w:val="24"/>
              </w:rPr>
              <w:t xml:space="preserve">ne tikai izveidot mehānismu, </w:t>
            </w:r>
            <w:r w:rsidR="00630B8E" w:rsidRPr="00BE2B83">
              <w:rPr>
                <w:rFonts w:ascii="Times New Roman" w:hAnsi="Times New Roman"/>
                <w:sz w:val="24"/>
                <w:szCs w:val="24"/>
              </w:rPr>
              <w:t xml:space="preserve">kādā iespējams aizsargāt jau aizskartas tiesības, </w:t>
            </w:r>
            <w:r w:rsidR="00BA21CF">
              <w:rPr>
                <w:rFonts w:ascii="Times New Roman" w:hAnsi="Times New Roman"/>
                <w:sz w:val="24"/>
                <w:szCs w:val="24"/>
              </w:rPr>
              <w:t xml:space="preserve">paredzot par izdarīto tiesību aizskārumu administratīvu vai kriminālu atbildību, bet arī izveidot mehānismu, kas nodrošinātu iesaistīto institūciju savstarpēju sadarbību koordinētas un vienotas izpratnes radīšanā, ar mērķi jau agrīnā stadijā identificēt un cik vien iespējams novērst potenciālos vardarbības riskus. </w:t>
            </w:r>
          </w:p>
          <w:p w:rsidR="00ED5045" w:rsidRPr="00567845" w:rsidRDefault="003D0CFC" w:rsidP="00ED5045">
            <w:pPr>
              <w:pStyle w:val="Bezatstarpm"/>
              <w:jc w:val="both"/>
              <w:rPr>
                <w:rFonts w:ascii="Times New Roman" w:hAnsi="Times New Roman" w:cs="Times New Roman"/>
                <w:sz w:val="24"/>
                <w:szCs w:val="24"/>
              </w:rPr>
            </w:pPr>
            <w:r>
              <w:rPr>
                <w:rFonts w:ascii="Times New Roman" w:hAnsi="Times New Roman"/>
                <w:sz w:val="24"/>
                <w:szCs w:val="24"/>
              </w:rPr>
              <w:tab/>
              <w:t xml:space="preserve">Atbilstoši definīcijai, </w:t>
            </w:r>
            <w:proofErr w:type="spellStart"/>
            <w:r w:rsidRPr="003D0CFC">
              <w:rPr>
                <w:rStyle w:val="vard12"/>
                <w:rFonts w:ascii="Times New Roman" w:hAnsi="Times New Roman" w:cs="Times New Roman"/>
                <w:b w:val="0"/>
                <w:color w:val="000000"/>
                <w:sz w:val="24"/>
              </w:rPr>
              <w:t>prevencija</w:t>
            </w:r>
            <w:proofErr w:type="spellEnd"/>
            <w:r w:rsidRPr="003D0CFC">
              <w:rPr>
                <w:rFonts w:ascii="Times New Roman" w:hAnsi="Times New Roman" w:cs="Times New Roman"/>
                <w:color w:val="000000"/>
                <w:sz w:val="24"/>
              </w:rPr>
              <w:t xml:space="preserve"> (</w:t>
            </w:r>
            <w:proofErr w:type="spellStart"/>
            <w:r w:rsidRPr="003D0CFC">
              <w:rPr>
                <w:rFonts w:ascii="Times New Roman" w:hAnsi="Times New Roman" w:cs="Times New Roman"/>
                <w:i/>
                <w:color w:val="000000"/>
                <w:sz w:val="24"/>
              </w:rPr>
              <w:t>praevenire</w:t>
            </w:r>
            <w:proofErr w:type="spellEnd"/>
            <w:r w:rsidRPr="003D0CFC">
              <w:rPr>
                <w:rFonts w:ascii="Times New Roman" w:hAnsi="Times New Roman" w:cs="Times New Roman"/>
                <w:i/>
                <w:color w:val="000000"/>
                <w:sz w:val="24"/>
              </w:rPr>
              <w:t xml:space="preserve"> – latīņu val. aizsteigties priekšā</w:t>
            </w:r>
            <w:r>
              <w:rPr>
                <w:rFonts w:ascii="Times New Roman" w:hAnsi="Times New Roman" w:cs="Times New Roman"/>
                <w:color w:val="000000"/>
                <w:sz w:val="24"/>
              </w:rPr>
              <w:t xml:space="preserve">) ir </w:t>
            </w:r>
            <w:r w:rsidRPr="003D0CFC">
              <w:rPr>
                <w:rFonts w:ascii="Times New Roman" w:hAnsi="Times New Roman" w:cs="Times New Roman"/>
                <w:color w:val="000000"/>
                <w:sz w:val="24"/>
              </w:rPr>
              <w:t>valsts realizēts pasākumu kopums, kas vērsts uz to, lai kavētu noziedzīgu nodarījumu izdarīšanu vals</w:t>
            </w:r>
            <w:r>
              <w:rPr>
                <w:rFonts w:ascii="Times New Roman" w:hAnsi="Times New Roman" w:cs="Times New Roman"/>
                <w:color w:val="000000"/>
                <w:sz w:val="24"/>
              </w:rPr>
              <w:t>tī vai kādā tās reģionā.</w:t>
            </w:r>
            <w:r w:rsidR="00ED5045">
              <w:rPr>
                <w:rFonts w:ascii="Times New Roman" w:hAnsi="Times New Roman" w:cs="Times New Roman"/>
                <w:color w:val="000000"/>
                <w:sz w:val="24"/>
              </w:rPr>
              <w:t xml:space="preserve"> </w:t>
            </w:r>
            <w:r w:rsidR="00ED5045" w:rsidRPr="00ED5045">
              <w:rPr>
                <w:rFonts w:ascii="Times New Roman" w:hAnsi="Times New Roman" w:cs="Times New Roman"/>
                <w:color w:val="000000"/>
                <w:sz w:val="24"/>
                <w:szCs w:val="24"/>
              </w:rPr>
              <w:t xml:space="preserve">Tāpat </w:t>
            </w:r>
            <w:proofErr w:type="spellStart"/>
            <w:r w:rsidR="00ED5045" w:rsidRPr="00ED5045">
              <w:rPr>
                <w:rFonts w:ascii="Times New Roman" w:hAnsi="Times New Roman" w:cs="Times New Roman"/>
                <w:color w:val="000000"/>
                <w:sz w:val="24"/>
                <w:szCs w:val="24"/>
              </w:rPr>
              <w:t>p</w:t>
            </w:r>
            <w:r w:rsidR="00ED5045" w:rsidRPr="00ED5045">
              <w:rPr>
                <w:rFonts w:ascii="Times New Roman" w:hAnsi="Times New Roman" w:cs="Times New Roman"/>
                <w:sz w:val="24"/>
                <w:szCs w:val="24"/>
              </w:rPr>
              <w:t>revencija</w:t>
            </w:r>
            <w:proofErr w:type="spellEnd"/>
            <w:r w:rsidR="00ED5045" w:rsidRPr="00ED5045">
              <w:rPr>
                <w:rFonts w:ascii="Times New Roman" w:hAnsi="Times New Roman" w:cs="Times New Roman"/>
                <w:sz w:val="24"/>
                <w:szCs w:val="24"/>
              </w:rPr>
              <w:t xml:space="preserve"> ir skaidrota kā valsts iestāžu, pašvaldību un iedzīvotāju sadarbība noziedzības cēloņu un veicinošo faktoru novēršanai/samazināšanai, noziedzīgas uzvedības iespēju mazināšanai, kā arī noziegumu </w:t>
            </w:r>
            <w:r w:rsidR="00ED5045" w:rsidRPr="00567845">
              <w:rPr>
                <w:rFonts w:ascii="Times New Roman" w:hAnsi="Times New Roman" w:cs="Times New Roman"/>
                <w:sz w:val="24"/>
                <w:szCs w:val="24"/>
              </w:rPr>
              <w:t>izdarīšanas apgrūtināšanai.</w:t>
            </w:r>
          </w:p>
          <w:p w:rsidR="00EF259F" w:rsidRDefault="00A75793" w:rsidP="00EF259F">
            <w:pPr>
              <w:pStyle w:val="Bezatstarpm"/>
              <w:jc w:val="both"/>
              <w:rPr>
                <w:rFonts w:ascii="Times New Roman" w:hAnsi="Times New Roman" w:cs="Times New Roman"/>
                <w:sz w:val="24"/>
                <w:szCs w:val="24"/>
              </w:rPr>
            </w:pPr>
            <w:r w:rsidRPr="00567845">
              <w:rPr>
                <w:rFonts w:ascii="Times New Roman" w:hAnsi="Times New Roman" w:cs="Times New Roman"/>
                <w:sz w:val="24"/>
                <w:szCs w:val="24"/>
              </w:rPr>
              <w:tab/>
            </w:r>
            <w:proofErr w:type="gramStart"/>
            <w:r w:rsidR="00B161AA" w:rsidRPr="00567845">
              <w:rPr>
                <w:rFonts w:ascii="Times New Roman" w:hAnsi="Times New Roman" w:cs="Times New Roman"/>
                <w:sz w:val="24"/>
                <w:szCs w:val="24"/>
              </w:rPr>
              <w:t>2014.gada</w:t>
            </w:r>
            <w:proofErr w:type="gramEnd"/>
            <w:r w:rsidR="00B161AA" w:rsidRPr="00567845">
              <w:rPr>
                <w:rFonts w:ascii="Times New Roman" w:hAnsi="Times New Roman" w:cs="Times New Roman"/>
                <w:sz w:val="24"/>
                <w:szCs w:val="24"/>
              </w:rPr>
              <w:t xml:space="preserve"> 31.martā spēkā stājās grozījumi Civilprocesa likumā</w:t>
            </w:r>
            <w:r w:rsidR="00EF259F" w:rsidRPr="00567845">
              <w:rPr>
                <w:rFonts w:ascii="Times New Roman" w:hAnsi="Times New Roman" w:cs="Times New Roman"/>
                <w:sz w:val="24"/>
                <w:szCs w:val="24"/>
              </w:rPr>
              <w:t>, ar kuriem Latvijas tiesību sistēmā tika ieviests jauns instruments – pagaidu aizsardzība pret vardarbību. Civilprocesa likuma 250.</w:t>
            </w:r>
            <w:r w:rsidR="00EF259F" w:rsidRPr="00567845">
              <w:rPr>
                <w:rFonts w:ascii="Times New Roman" w:hAnsi="Times New Roman" w:cs="Times New Roman"/>
                <w:sz w:val="24"/>
                <w:szCs w:val="24"/>
                <w:vertAlign w:val="superscript"/>
              </w:rPr>
              <w:t>47</w:t>
            </w:r>
            <w:r w:rsidR="00EF259F" w:rsidRPr="00567845">
              <w:rPr>
                <w:rFonts w:ascii="Times New Roman" w:hAnsi="Times New Roman" w:cs="Times New Roman"/>
                <w:sz w:val="24"/>
                <w:szCs w:val="24"/>
              </w:rPr>
              <w:t xml:space="preserve"> panta pirmajā daļā ir dots pagaidu aizsardzības pret vardarbību līdzekļu uzskaitījums, kas atbilstoši minētā panta pirmās daļas 8.punktam nav izsmeļošs un paredz, ka tiesa personai var noteikt arī citus aizliegumus un pienākumus, kas šajā panta daļā nav minēti. </w:t>
            </w:r>
          </w:p>
          <w:p w:rsidR="00567845" w:rsidRDefault="00567845" w:rsidP="00EF259F">
            <w:pPr>
              <w:pStyle w:val="Bezatstarpm"/>
              <w:jc w:val="both"/>
              <w:rPr>
                <w:rFonts w:ascii="Times New Roman" w:hAnsi="Times New Roman" w:cs="Times New Roman"/>
                <w:sz w:val="24"/>
                <w:szCs w:val="24"/>
              </w:rPr>
            </w:pPr>
            <w:r>
              <w:rPr>
                <w:rFonts w:ascii="Times New Roman" w:hAnsi="Times New Roman" w:cs="Times New Roman"/>
                <w:sz w:val="24"/>
                <w:szCs w:val="24"/>
              </w:rPr>
              <w:tab/>
              <w:t xml:space="preserve">Atbilstoši ministru kabineta noteikumiem Nr.790, kas pieņemti </w:t>
            </w:r>
            <w:proofErr w:type="gramStart"/>
            <w:r>
              <w:rPr>
                <w:rFonts w:ascii="Times New Roman" w:hAnsi="Times New Roman" w:cs="Times New Roman"/>
                <w:sz w:val="24"/>
                <w:szCs w:val="24"/>
              </w:rPr>
              <w:t>2014.gada</w:t>
            </w:r>
            <w:proofErr w:type="gramEnd"/>
            <w:r>
              <w:rPr>
                <w:rFonts w:ascii="Times New Roman" w:hAnsi="Times New Roman" w:cs="Times New Roman"/>
                <w:sz w:val="24"/>
                <w:szCs w:val="24"/>
              </w:rPr>
              <w:t xml:space="preserve"> 23.decembrī un spēkā stājās 2015.gada 1.janvārī, personām, kuras cietušas no vardarbības, ir paredzētas tiesības saņemt sociālās rehabilitācijas pakalpojumus, kas finansēti no valsts budžeta līdzekļiem. Minētie Ministru kabineta </w:t>
            </w:r>
            <w:proofErr w:type="gramStart"/>
            <w:r>
              <w:rPr>
                <w:rFonts w:ascii="Times New Roman" w:hAnsi="Times New Roman" w:cs="Times New Roman"/>
                <w:sz w:val="24"/>
                <w:szCs w:val="24"/>
              </w:rPr>
              <w:t>2014.gada</w:t>
            </w:r>
            <w:proofErr w:type="gramEnd"/>
            <w:r>
              <w:rPr>
                <w:rFonts w:ascii="Times New Roman" w:hAnsi="Times New Roman" w:cs="Times New Roman"/>
                <w:sz w:val="24"/>
                <w:szCs w:val="24"/>
              </w:rPr>
              <w:t xml:space="preserve"> 23.decembra noteikumi Nr.790 paredz arī to, ka no valsts budžeta līdzekļiem finansētus sociālās rehabilitācijas pasākumus var saņemt personas, kuras veikušas vardarbību. Šie noteikumi paredz iespēju personai brīvprātīgi pieteikties un, ja tā atbilst noteikumos izvirzītajiem kritērijiem, saņemt valsts apmaksātu vardarbīgas uzvedības mazināšanas pakalpojumu. Pakalpojums tiek sniegts divos veidos – persona var pakalpojumu saņemt individuālu psihologa konsultāciju veidā (ne vairāk ka 10 konsultācijas, katra 45 minūšu garumā) vai arī persona pakalpojumu var saņemt grupu nodarbību veidā (16 divu stundu ilgas nodarbības līdz </w:t>
            </w:r>
            <w:r>
              <w:rPr>
                <w:rFonts w:ascii="Times New Roman" w:hAnsi="Times New Roman" w:cs="Times New Roman"/>
                <w:sz w:val="24"/>
                <w:szCs w:val="24"/>
              </w:rPr>
              <w:lastRenderedPageBreak/>
              <w:t xml:space="preserve">12 personu grupā). </w:t>
            </w:r>
          </w:p>
          <w:p w:rsidR="00010F8F" w:rsidRDefault="00010F8F" w:rsidP="00EF259F">
            <w:pPr>
              <w:pStyle w:val="Bezatstarpm"/>
              <w:jc w:val="both"/>
              <w:rPr>
                <w:rFonts w:ascii="Times New Roman" w:hAnsi="Times New Roman" w:cs="Times New Roman"/>
                <w:sz w:val="24"/>
                <w:szCs w:val="24"/>
              </w:rPr>
            </w:pPr>
            <w:r>
              <w:rPr>
                <w:rFonts w:ascii="Times New Roman" w:hAnsi="Times New Roman" w:cs="Times New Roman"/>
                <w:sz w:val="24"/>
                <w:szCs w:val="24"/>
              </w:rPr>
              <w:tab/>
              <w:t>No minētā secināms, ka Ministru kabineta noteikumi Nr.790 ir pieņemti un stājušies spēkā pēc tam, kad Civilprocesa likums tika papildināts ar regulējumu, kas paredz tiesības personai lūgt tiesu noteikt pagaidu aizsardzību pret vardarbību. Ņemot vērā iepriekš aprakstīto valsts pienākumu attiecībā uz preventīvu pasākumu veikšanu, Likumprojekts paredz Civilprocesa likuma 250.</w:t>
            </w:r>
            <w:r>
              <w:rPr>
                <w:rFonts w:ascii="Times New Roman" w:hAnsi="Times New Roman" w:cs="Times New Roman"/>
                <w:sz w:val="24"/>
                <w:szCs w:val="24"/>
                <w:vertAlign w:val="superscript"/>
              </w:rPr>
              <w:t>47</w:t>
            </w:r>
            <w:r>
              <w:rPr>
                <w:rFonts w:ascii="Times New Roman" w:hAnsi="Times New Roman" w:cs="Times New Roman"/>
                <w:sz w:val="24"/>
                <w:szCs w:val="24"/>
              </w:rPr>
              <w:t xml:space="preserve"> panta pirmajā daļā doto pagaidu aizsardzības pret vardarbību līdzekļu klāstu papildināt ar jaunu līdzekli, dodot tiesai iespējas personai uzlikt par pienākumu iziet sociālās rehabilitācijas kursu vardarbīgas uzvedības mazināšanai. </w:t>
            </w:r>
            <w:r w:rsidR="00E749AE">
              <w:rPr>
                <w:rFonts w:ascii="Times New Roman" w:hAnsi="Times New Roman" w:cs="Times New Roman"/>
                <w:sz w:val="24"/>
                <w:szCs w:val="24"/>
              </w:rPr>
              <w:t>Šāda līdzekļa iekļaušana piemērojamo pagaidu aizsardzības pret vardarbību līdzekļu klāstā, ir b</w:t>
            </w:r>
            <w:r w:rsidR="00F01268">
              <w:rPr>
                <w:rFonts w:ascii="Times New Roman" w:hAnsi="Times New Roman" w:cs="Times New Roman"/>
                <w:sz w:val="24"/>
                <w:szCs w:val="24"/>
              </w:rPr>
              <w:t xml:space="preserve">ūtisks solis, lai preventīvi iedarbotos uz personu, ņemot vērā, ka par </w:t>
            </w:r>
            <w:proofErr w:type="spellStart"/>
            <w:r w:rsidR="00F01268">
              <w:rPr>
                <w:rFonts w:ascii="Times New Roman" w:hAnsi="Times New Roman" w:cs="Times New Roman"/>
                <w:sz w:val="24"/>
                <w:szCs w:val="24"/>
              </w:rPr>
              <w:t>prevenciju</w:t>
            </w:r>
            <w:proofErr w:type="spellEnd"/>
            <w:r w:rsidR="00F01268">
              <w:rPr>
                <w:rFonts w:ascii="Times New Roman" w:hAnsi="Times New Roman" w:cs="Times New Roman"/>
                <w:sz w:val="24"/>
                <w:szCs w:val="24"/>
              </w:rPr>
              <w:t xml:space="preserve"> ir atzīstams </w:t>
            </w:r>
            <w:r w:rsidR="00A430CB">
              <w:rPr>
                <w:rFonts w:ascii="Times New Roman" w:hAnsi="Times New Roman" w:cs="Times New Roman"/>
                <w:sz w:val="24"/>
                <w:szCs w:val="24"/>
              </w:rPr>
              <w:t>arī viss to pasākumu kopums</w:t>
            </w:r>
            <w:r w:rsidR="00F01268">
              <w:rPr>
                <w:rFonts w:ascii="Times New Roman" w:hAnsi="Times New Roman" w:cs="Times New Roman"/>
                <w:sz w:val="24"/>
                <w:szCs w:val="24"/>
              </w:rPr>
              <w:t xml:space="preserve">, kas vērsts uz </w:t>
            </w:r>
            <w:r w:rsidR="00F01268" w:rsidRPr="00ED5045">
              <w:rPr>
                <w:rFonts w:ascii="Times New Roman" w:hAnsi="Times New Roman" w:cs="Times New Roman"/>
                <w:sz w:val="24"/>
                <w:szCs w:val="24"/>
              </w:rPr>
              <w:t>noziedzīgas uzvedības iespēju mazināšan</w:t>
            </w:r>
            <w:r w:rsidR="00F01268">
              <w:rPr>
                <w:rFonts w:ascii="Times New Roman" w:hAnsi="Times New Roman" w:cs="Times New Roman"/>
                <w:sz w:val="24"/>
                <w:szCs w:val="24"/>
              </w:rPr>
              <w:t>u</w:t>
            </w:r>
            <w:r w:rsidR="002360D2">
              <w:rPr>
                <w:rFonts w:ascii="Times New Roman" w:hAnsi="Times New Roman" w:cs="Times New Roman"/>
                <w:sz w:val="24"/>
                <w:szCs w:val="24"/>
              </w:rPr>
              <w:t>.</w:t>
            </w:r>
          </w:p>
          <w:p w:rsidR="002360D2" w:rsidRDefault="002360D2" w:rsidP="00EF259F">
            <w:pPr>
              <w:pStyle w:val="Bezatstarpm"/>
              <w:jc w:val="both"/>
              <w:rPr>
                <w:rFonts w:ascii="Times New Roman" w:hAnsi="Times New Roman" w:cs="Times New Roman"/>
                <w:sz w:val="24"/>
              </w:rPr>
            </w:pPr>
            <w:r>
              <w:rPr>
                <w:rFonts w:ascii="Times New Roman" w:hAnsi="Times New Roman" w:cs="Times New Roman"/>
                <w:sz w:val="24"/>
                <w:szCs w:val="24"/>
              </w:rPr>
              <w:tab/>
              <w:t>Likumprojekts paredz 250.</w:t>
            </w:r>
            <w:r>
              <w:rPr>
                <w:rFonts w:ascii="Times New Roman" w:hAnsi="Times New Roman" w:cs="Times New Roman"/>
                <w:sz w:val="24"/>
                <w:szCs w:val="24"/>
                <w:vertAlign w:val="superscript"/>
              </w:rPr>
              <w:t>47</w:t>
            </w:r>
            <w:r>
              <w:rPr>
                <w:rFonts w:ascii="Times New Roman" w:hAnsi="Times New Roman" w:cs="Times New Roman"/>
                <w:sz w:val="24"/>
                <w:szCs w:val="24"/>
              </w:rPr>
              <w:t xml:space="preserve"> panta pirmajā daļā doto pagaidu aizsardzības pret vardarbību līdzekļu klāstu ar vēl vienu jaunu līdzekli – </w:t>
            </w:r>
            <w:r>
              <w:rPr>
                <w:rFonts w:ascii="Times New Roman" w:hAnsi="Times New Roman" w:cs="Times New Roman"/>
                <w:sz w:val="24"/>
              </w:rPr>
              <w:t xml:space="preserve">pienākumu atbildētājam turpināt pildīt saistības, kas </w:t>
            </w:r>
            <w:r w:rsidRPr="00184FEB">
              <w:rPr>
                <w:rFonts w:ascii="Times New Roman" w:hAnsi="Times New Roman" w:cs="Times New Roman"/>
                <w:sz w:val="24"/>
              </w:rPr>
              <w:t>izriet no atbildētāja kā mājokļa īpašnieka, valdītāja vai lietotāja statusa un saistīti ar mājokļa uzturēšanu</w:t>
            </w:r>
            <w:r>
              <w:rPr>
                <w:rFonts w:ascii="Times New Roman" w:hAnsi="Times New Roman" w:cs="Times New Roman"/>
                <w:sz w:val="24"/>
              </w:rPr>
              <w:t>.</w:t>
            </w:r>
          </w:p>
          <w:p w:rsidR="002360D2" w:rsidRDefault="002B657B" w:rsidP="00EF259F">
            <w:pPr>
              <w:pStyle w:val="Bezatstarpm"/>
              <w:jc w:val="both"/>
              <w:rPr>
                <w:rFonts w:ascii="Times New Roman" w:hAnsi="Times New Roman" w:cs="Times New Roman"/>
                <w:sz w:val="24"/>
              </w:rPr>
            </w:pPr>
            <w:r>
              <w:rPr>
                <w:rFonts w:ascii="Times New Roman" w:hAnsi="Times New Roman" w:cs="Times New Roman"/>
                <w:sz w:val="24"/>
              </w:rPr>
              <w:tab/>
            </w:r>
            <w:r w:rsidR="002360D2">
              <w:rPr>
                <w:rFonts w:ascii="Times New Roman" w:hAnsi="Times New Roman" w:cs="Times New Roman"/>
                <w:sz w:val="24"/>
              </w:rPr>
              <w:t xml:space="preserve">Šādu pienākumu nepieciešams paredzēt, jo praksē ir konstatēta problēma, kas saistīta ar mājokļa uzturēšanu, ja atbildētājam tiek liegts atgriezties un uzturēties mājoklī, kurā dzīvo prasītājs, bet atbildētājs ir attiecīgā mājokļa īpašnieks, valdītājs vai lietotājs. Daudzos gadījumos šādās situācijās atbildētājs pēc pagaidu aizsardzības pret vardarbību līdzekļa piemērošanas pārtrauc pildīt savas pirms tam gan no likuma izrietošās, gan citas uzņemtās saistības, </w:t>
            </w:r>
            <w:proofErr w:type="gramStart"/>
            <w:r w:rsidR="002360D2">
              <w:rPr>
                <w:rFonts w:ascii="Times New Roman" w:hAnsi="Times New Roman" w:cs="Times New Roman"/>
                <w:sz w:val="24"/>
              </w:rPr>
              <w:t>tādējādi tieši turpinot kaitēt</w:t>
            </w:r>
            <w:proofErr w:type="gramEnd"/>
            <w:r w:rsidR="002360D2">
              <w:rPr>
                <w:rFonts w:ascii="Times New Roman" w:hAnsi="Times New Roman" w:cs="Times New Roman"/>
                <w:sz w:val="24"/>
              </w:rPr>
              <w:t xml:space="preserve"> un iespaidot prasītāju. Līdz ar to ir nepieciešams paredzēt tiesai iespēju gadījumos, kad tas ir nepieciešams, atbildētājam noteikt pienākumu turpināt pildīt uzņemtās vai no likuma izrietošās saistības, tai skaitā attiecībā uz mājokļa uzturēšanu. </w:t>
            </w:r>
          </w:p>
          <w:p w:rsidR="00B90344" w:rsidRDefault="00BE6DC9" w:rsidP="006172B8">
            <w:pPr>
              <w:pStyle w:val="Bezatstarpm"/>
              <w:jc w:val="both"/>
              <w:rPr>
                <w:rFonts w:ascii="Times New Roman" w:hAnsi="Times New Roman" w:cs="Times New Roman"/>
                <w:sz w:val="24"/>
                <w:szCs w:val="24"/>
              </w:rPr>
            </w:pPr>
            <w:r>
              <w:rPr>
                <w:rFonts w:ascii="Times New Roman" w:hAnsi="Times New Roman" w:cs="Times New Roman"/>
                <w:sz w:val="24"/>
              </w:rPr>
              <w:tab/>
              <w:t xml:space="preserve">Likumprojekts paredz arī papildināt Civilprocesa likuma 128.panta otro daļu ar jaunu punktu, kas noteica, </w:t>
            </w:r>
            <w:proofErr w:type="gramStart"/>
            <w:r>
              <w:rPr>
                <w:rFonts w:ascii="Times New Roman" w:hAnsi="Times New Roman" w:cs="Times New Roman"/>
                <w:sz w:val="24"/>
              </w:rPr>
              <w:t>ka ja prasības priekšmets ir kāds</w:t>
            </w:r>
            <w:proofErr w:type="gramEnd"/>
            <w:r>
              <w:rPr>
                <w:rFonts w:ascii="Times New Roman" w:hAnsi="Times New Roman" w:cs="Times New Roman"/>
                <w:sz w:val="24"/>
              </w:rPr>
              <w:t xml:space="preserve"> no 250.</w:t>
            </w:r>
            <w:r>
              <w:rPr>
                <w:rFonts w:ascii="Times New Roman" w:hAnsi="Times New Roman" w:cs="Times New Roman"/>
                <w:sz w:val="24"/>
                <w:vertAlign w:val="superscript"/>
              </w:rPr>
              <w:t>43</w:t>
            </w:r>
            <w:r>
              <w:rPr>
                <w:rFonts w:ascii="Times New Roman" w:hAnsi="Times New Roman" w:cs="Times New Roman"/>
                <w:sz w:val="24"/>
              </w:rPr>
              <w:t xml:space="preserve"> pantā norādītajiem, tad, iesniedzot prasības pieteikumu ir jānorāda, vai pirms prasības celšanas ir ticis pieņemts lēmums par pagaidu aizsardzību pret vardarbību. Šāds papildinājums nepieciešams, jo pieteikumu par pagaidu aizsardzību pret vardarbību atbilstoši Civilprocesa likuma 250.</w:t>
            </w:r>
            <w:r>
              <w:rPr>
                <w:rFonts w:ascii="Times New Roman" w:hAnsi="Times New Roman" w:cs="Times New Roman"/>
                <w:sz w:val="24"/>
                <w:vertAlign w:val="superscript"/>
              </w:rPr>
              <w:t xml:space="preserve">55 </w:t>
            </w:r>
            <w:r>
              <w:rPr>
                <w:rFonts w:ascii="Times New Roman" w:hAnsi="Times New Roman" w:cs="Times New Roman"/>
                <w:sz w:val="24"/>
                <w:szCs w:val="24"/>
              </w:rPr>
              <w:t xml:space="preserve">panta trešajai daļai iesniedz tiesai pēc aizskāruma nodarīšanas vietas, savukārt prasība ceļama, ievērojot vispārīgos piekritības noteikumus. Arī Civilprocesa likuma </w:t>
            </w:r>
            <w:r>
              <w:rPr>
                <w:rFonts w:ascii="Times New Roman" w:hAnsi="Times New Roman" w:cs="Times New Roman"/>
                <w:sz w:val="24"/>
              </w:rPr>
              <w:t>250.</w:t>
            </w:r>
            <w:r>
              <w:rPr>
                <w:rFonts w:ascii="Times New Roman" w:hAnsi="Times New Roman" w:cs="Times New Roman"/>
                <w:sz w:val="24"/>
                <w:vertAlign w:val="superscript"/>
              </w:rPr>
              <w:t xml:space="preserve">64 </w:t>
            </w:r>
            <w:r>
              <w:rPr>
                <w:rFonts w:ascii="Times New Roman" w:hAnsi="Times New Roman" w:cs="Times New Roman"/>
                <w:sz w:val="24"/>
                <w:szCs w:val="24"/>
              </w:rPr>
              <w:t xml:space="preserve">pants paredz lietas par pagaidu aizsardzību pret vardarbību, kas iesniegta pirms prasības celšanas, pārsūtīšanu. Izstrādātais grozījums atvieglos un paātrinās informācijas </w:t>
            </w:r>
            <w:r>
              <w:rPr>
                <w:rFonts w:ascii="Times New Roman" w:hAnsi="Times New Roman" w:cs="Times New Roman"/>
                <w:sz w:val="24"/>
                <w:szCs w:val="24"/>
              </w:rPr>
              <w:lastRenderedPageBreak/>
              <w:t>apmaiņu starp tiesām</w:t>
            </w:r>
            <w:r w:rsidR="002B657B">
              <w:rPr>
                <w:rFonts w:ascii="Times New Roman" w:hAnsi="Times New Roman" w:cs="Times New Roman"/>
                <w:sz w:val="24"/>
                <w:szCs w:val="24"/>
              </w:rPr>
              <w:t>, veicinot procesuāl</w:t>
            </w:r>
            <w:r w:rsidR="00697C12">
              <w:rPr>
                <w:rFonts w:ascii="Times New Roman" w:hAnsi="Times New Roman" w:cs="Times New Roman"/>
                <w:sz w:val="24"/>
                <w:szCs w:val="24"/>
              </w:rPr>
              <w:t>o ekonomiju</w:t>
            </w:r>
            <w:r>
              <w:rPr>
                <w:rFonts w:ascii="Times New Roman" w:hAnsi="Times New Roman" w:cs="Times New Roman"/>
                <w:sz w:val="24"/>
                <w:szCs w:val="24"/>
              </w:rPr>
              <w:t>.</w:t>
            </w:r>
          </w:p>
          <w:p w:rsidR="006172B8" w:rsidRPr="0013751E" w:rsidRDefault="006172B8" w:rsidP="006172B8">
            <w:pPr>
              <w:pStyle w:val="Bezatstarpm"/>
              <w:jc w:val="both"/>
              <w:rPr>
                <w:rFonts w:ascii="Times New Roman" w:hAnsi="Times New Roman" w:cs="Times New Roman"/>
                <w:sz w:val="24"/>
                <w:szCs w:val="24"/>
              </w:rPr>
            </w:pPr>
            <w:r>
              <w:rPr>
                <w:rFonts w:ascii="Times New Roman" w:hAnsi="Times New Roman" w:cs="Times New Roman"/>
                <w:sz w:val="24"/>
                <w:szCs w:val="24"/>
              </w:rPr>
              <w:tab/>
              <w:t xml:space="preserve">Likumprojektā ietvertie grozījumi </w:t>
            </w:r>
            <w:r w:rsidRPr="00B16479">
              <w:rPr>
                <w:rFonts w:ascii="Times New Roman" w:hAnsi="Times New Roman" w:cs="Times New Roman"/>
                <w:sz w:val="24"/>
              </w:rPr>
              <w:t>250.</w:t>
            </w:r>
            <w:r w:rsidRPr="00B16479">
              <w:rPr>
                <w:rFonts w:ascii="Times New Roman" w:hAnsi="Times New Roman" w:cs="Times New Roman"/>
                <w:sz w:val="24"/>
                <w:vertAlign w:val="superscript"/>
              </w:rPr>
              <w:t>62</w:t>
            </w:r>
            <w:r w:rsidRPr="00B16479">
              <w:rPr>
                <w:rFonts w:ascii="Times New Roman" w:hAnsi="Times New Roman" w:cs="Times New Roman"/>
                <w:sz w:val="24"/>
              </w:rPr>
              <w:t xml:space="preserve"> pant</w:t>
            </w:r>
            <w:r>
              <w:rPr>
                <w:rFonts w:ascii="Times New Roman" w:hAnsi="Times New Roman" w:cs="Times New Roman"/>
                <w:sz w:val="24"/>
              </w:rPr>
              <w:t xml:space="preserve">a otrajā daļā ir saistīti ar </w:t>
            </w:r>
            <w:r w:rsidRPr="00B16479">
              <w:rPr>
                <w:rFonts w:ascii="Times New Roman" w:hAnsi="Times New Roman" w:cs="Times New Roman"/>
                <w:sz w:val="24"/>
              </w:rPr>
              <w:t>250.</w:t>
            </w:r>
            <w:r>
              <w:rPr>
                <w:rFonts w:ascii="Times New Roman" w:hAnsi="Times New Roman" w:cs="Times New Roman"/>
                <w:sz w:val="24"/>
                <w:vertAlign w:val="superscript"/>
              </w:rPr>
              <w:t>47</w:t>
            </w:r>
            <w:r w:rsidRPr="00B16479">
              <w:rPr>
                <w:rFonts w:ascii="Times New Roman" w:hAnsi="Times New Roman" w:cs="Times New Roman"/>
                <w:sz w:val="24"/>
              </w:rPr>
              <w:t xml:space="preserve"> pant</w:t>
            </w:r>
            <w:r>
              <w:rPr>
                <w:rFonts w:ascii="Times New Roman" w:hAnsi="Times New Roman" w:cs="Times New Roman"/>
                <w:sz w:val="24"/>
              </w:rPr>
              <w:t>a pirmajā daļā paredzētajiem grozījumiem attiecībā uz jauna pagaidu aizsardzības pret vardarbību līdzekļa noteik</w:t>
            </w:r>
            <w:r w:rsidR="00690219">
              <w:rPr>
                <w:rFonts w:ascii="Times New Roman" w:hAnsi="Times New Roman" w:cs="Times New Roman"/>
                <w:sz w:val="24"/>
              </w:rPr>
              <w:t xml:space="preserve">šanu, kas uzliktu par pienākumu atbildētājam iziet sociālās rehabilitācijas kursu vardarbīgas uzvedības mazināšanai. Ņemot vērā, ka sociālais dienests nodrošina Ministru kabineta noteikumos Nr.790 paredzēto sociālās rehabilitācijas pasākumu sniegšanu, tiesas lēmums par šāda pienākuma uzlikšanu atbildētājam ir nosūtāms izpildei sociālajam dienestam pēc atbildētājā dzīvesvietas. Vienlaikus grozījumi </w:t>
            </w:r>
            <w:r w:rsidR="00690219" w:rsidRPr="00B16479">
              <w:rPr>
                <w:rFonts w:ascii="Times New Roman" w:hAnsi="Times New Roman" w:cs="Times New Roman"/>
                <w:sz w:val="24"/>
              </w:rPr>
              <w:t>250.</w:t>
            </w:r>
            <w:r w:rsidR="00690219" w:rsidRPr="00B16479">
              <w:rPr>
                <w:rFonts w:ascii="Times New Roman" w:hAnsi="Times New Roman" w:cs="Times New Roman"/>
                <w:sz w:val="24"/>
                <w:vertAlign w:val="superscript"/>
              </w:rPr>
              <w:t>62</w:t>
            </w:r>
            <w:r w:rsidR="00690219" w:rsidRPr="00B16479">
              <w:rPr>
                <w:rFonts w:ascii="Times New Roman" w:hAnsi="Times New Roman" w:cs="Times New Roman"/>
                <w:sz w:val="24"/>
              </w:rPr>
              <w:t xml:space="preserve"> pant</w:t>
            </w:r>
            <w:r w:rsidR="00690219">
              <w:rPr>
                <w:rFonts w:ascii="Times New Roman" w:hAnsi="Times New Roman" w:cs="Times New Roman"/>
                <w:sz w:val="24"/>
              </w:rPr>
              <w:t xml:space="preserve">a otrajā daļā paredz, ka visi tiesas lēmumi par pagaidu aizsardzību pret vardarbību ir nosūtāmi arī sociālajam dienestam pēc prasītāja dzīvesvietas. </w:t>
            </w:r>
            <w:r w:rsidR="008C62D0">
              <w:rPr>
                <w:rFonts w:ascii="Times New Roman" w:hAnsi="Times New Roman" w:cs="Times New Roman"/>
                <w:sz w:val="24"/>
              </w:rPr>
              <w:t>Šādu grozījumu pamatojums rodams apstāklī, ka sociālais dienests prasītājam – no vardarbības cietušajai personai – var piedāvāt gan sociālās rehabilitāci</w:t>
            </w:r>
            <w:r w:rsidR="00076A78">
              <w:rPr>
                <w:rFonts w:ascii="Times New Roman" w:hAnsi="Times New Roman" w:cs="Times New Roman"/>
                <w:sz w:val="24"/>
              </w:rPr>
              <w:t xml:space="preserve">jas pakalpojumu no vardarbības </w:t>
            </w:r>
            <w:r w:rsidR="008C62D0">
              <w:rPr>
                <w:rFonts w:ascii="Times New Roman" w:hAnsi="Times New Roman" w:cs="Times New Roman"/>
                <w:sz w:val="24"/>
              </w:rPr>
              <w:t xml:space="preserve">cietušajām personām, gan arī sniegt informāciju par cita veida atbalsta iespējām gan vietējā, gan valsts līmenī. </w:t>
            </w:r>
          </w:p>
        </w:tc>
      </w:tr>
      <w:tr w:rsidR="009411FA" w:rsidRPr="009411FA" w:rsidTr="009C1A38">
        <w:trPr>
          <w:trHeight w:val="465"/>
          <w:tblCellSpacing w:w="15" w:type="dxa"/>
        </w:trPr>
        <w:tc>
          <w:tcPr>
            <w:tcW w:w="247"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lastRenderedPageBreak/>
              <w:t>3.</w:t>
            </w:r>
          </w:p>
        </w:tc>
        <w:tc>
          <w:tcPr>
            <w:tcW w:w="1534"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Projekta izstrādē iesaistītās institūcijas</w:t>
            </w:r>
          </w:p>
        </w:tc>
        <w:tc>
          <w:tcPr>
            <w:tcW w:w="3155" w:type="pct"/>
            <w:tcBorders>
              <w:top w:val="outset" w:sz="6" w:space="0" w:color="auto"/>
              <w:left w:val="outset" w:sz="6" w:space="0" w:color="auto"/>
              <w:bottom w:val="outset" w:sz="6" w:space="0" w:color="auto"/>
              <w:right w:val="outset" w:sz="6" w:space="0" w:color="auto"/>
            </w:tcBorders>
            <w:hideMark/>
          </w:tcPr>
          <w:p w:rsidR="006C54BF" w:rsidRDefault="00C737F8" w:rsidP="006B2407">
            <w:pPr>
              <w:pStyle w:val="Bezatstarpm"/>
              <w:ind w:right="84"/>
              <w:jc w:val="both"/>
              <w:rPr>
                <w:rFonts w:ascii="Times New Roman" w:hAnsi="Times New Roman" w:cs="Times New Roman"/>
                <w:sz w:val="24"/>
              </w:rPr>
            </w:pPr>
            <w:r>
              <w:rPr>
                <w:rFonts w:ascii="Times New Roman" w:hAnsi="Times New Roman" w:cs="Times New Roman"/>
                <w:sz w:val="24"/>
              </w:rPr>
              <w:tab/>
            </w:r>
            <w:r w:rsidR="006C54BF">
              <w:rPr>
                <w:rFonts w:ascii="Times New Roman" w:hAnsi="Times New Roman" w:cs="Times New Roman"/>
                <w:sz w:val="24"/>
              </w:rPr>
              <w:t>Grozījumu izstrādes procesā veiktas konsultācijas ar Labklājības ministriju un saņemts konceptuāls atbalsts grozījumu izdarīšanai.</w:t>
            </w:r>
          </w:p>
          <w:p w:rsidR="002174D9" w:rsidRPr="00F50081" w:rsidRDefault="00C737F8" w:rsidP="00ED14DD">
            <w:pPr>
              <w:pStyle w:val="Bezatstarpm"/>
              <w:ind w:right="84"/>
              <w:jc w:val="both"/>
              <w:rPr>
                <w:rFonts w:ascii="Times New Roman" w:hAnsi="Times New Roman" w:cs="Times New Roman"/>
                <w:sz w:val="24"/>
                <w:szCs w:val="24"/>
              </w:rPr>
            </w:pPr>
            <w:r>
              <w:rPr>
                <w:rFonts w:ascii="Times New Roman" w:hAnsi="Times New Roman" w:cs="Times New Roman"/>
                <w:sz w:val="24"/>
              </w:rPr>
              <w:tab/>
            </w:r>
            <w:r w:rsidR="00ED14DD">
              <w:rPr>
                <w:rFonts w:ascii="Times New Roman" w:hAnsi="Times New Roman" w:cs="Times New Roman"/>
                <w:sz w:val="24"/>
              </w:rPr>
              <w:t>Izstrādātais likumprojekts</w:t>
            </w:r>
            <w:r w:rsidR="00F50081" w:rsidRPr="00F50081">
              <w:rPr>
                <w:rFonts w:ascii="Times New Roman" w:hAnsi="Times New Roman" w:cs="Times New Roman"/>
                <w:sz w:val="24"/>
              </w:rPr>
              <w:t xml:space="preserve"> </w:t>
            </w:r>
            <w:r w:rsidR="00ED14DD">
              <w:rPr>
                <w:rFonts w:ascii="Times New Roman" w:hAnsi="Times New Roman" w:cs="Times New Roman"/>
                <w:sz w:val="24"/>
              </w:rPr>
              <w:t xml:space="preserve">izskatīts </w:t>
            </w:r>
            <w:r w:rsidR="00F50081" w:rsidRPr="00F50081">
              <w:rPr>
                <w:rFonts w:ascii="Times New Roman" w:hAnsi="Times New Roman" w:cs="Times New Roman"/>
                <w:sz w:val="24"/>
              </w:rPr>
              <w:t>Tieslietu ministrijas Pastāvīgā darba grupa Civilprocesa likuma grozījumu iz</w:t>
            </w:r>
            <w:r w:rsidR="00F50081">
              <w:rPr>
                <w:rFonts w:ascii="Times New Roman" w:hAnsi="Times New Roman" w:cs="Times New Roman"/>
                <w:sz w:val="24"/>
              </w:rPr>
              <w:t xml:space="preserve">strādei, kas izveidota ar </w:t>
            </w:r>
            <w:proofErr w:type="gramStart"/>
            <w:r w:rsidR="00F50081">
              <w:rPr>
                <w:rFonts w:ascii="Times New Roman" w:hAnsi="Times New Roman" w:cs="Times New Roman"/>
                <w:sz w:val="24"/>
              </w:rPr>
              <w:t>2014.gada</w:t>
            </w:r>
            <w:proofErr w:type="gramEnd"/>
            <w:r w:rsidR="00F50081">
              <w:rPr>
                <w:rFonts w:ascii="Times New Roman" w:hAnsi="Times New Roman" w:cs="Times New Roman"/>
                <w:sz w:val="24"/>
              </w:rPr>
              <w:t xml:space="preserve"> 23.</w:t>
            </w:r>
            <w:r w:rsidR="00F50081" w:rsidRPr="00F50081">
              <w:rPr>
                <w:rFonts w:ascii="Times New Roman" w:hAnsi="Times New Roman" w:cs="Times New Roman"/>
                <w:sz w:val="24"/>
              </w:rPr>
              <w:t>maija rīkojumu Nr.1-1/208.</w:t>
            </w:r>
          </w:p>
        </w:tc>
      </w:tr>
      <w:tr w:rsidR="009411FA" w:rsidRPr="009411FA" w:rsidTr="009C1A38">
        <w:trPr>
          <w:tblCellSpacing w:w="15" w:type="dxa"/>
        </w:trPr>
        <w:tc>
          <w:tcPr>
            <w:tcW w:w="247"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4.</w:t>
            </w:r>
          </w:p>
        </w:tc>
        <w:tc>
          <w:tcPr>
            <w:tcW w:w="1534"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Cita informācija</w:t>
            </w:r>
          </w:p>
        </w:tc>
        <w:tc>
          <w:tcPr>
            <w:tcW w:w="3155" w:type="pct"/>
            <w:tcBorders>
              <w:top w:val="outset" w:sz="6" w:space="0" w:color="auto"/>
              <w:left w:val="outset" w:sz="6" w:space="0" w:color="auto"/>
              <w:bottom w:val="outset" w:sz="6" w:space="0" w:color="auto"/>
              <w:right w:val="outset" w:sz="6" w:space="0" w:color="auto"/>
            </w:tcBorders>
            <w:hideMark/>
          </w:tcPr>
          <w:p w:rsidR="009411FA" w:rsidRPr="009411FA" w:rsidRDefault="002A2A49" w:rsidP="00592192">
            <w:pPr>
              <w:pStyle w:val="Bezatstarpm"/>
              <w:ind w:right="84"/>
              <w:jc w:val="both"/>
              <w:rPr>
                <w:rFonts w:ascii="Times New Roman" w:hAnsi="Times New Roman" w:cs="Times New Roman"/>
                <w:sz w:val="24"/>
                <w:szCs w:val="24"/>
              </w:rPr>
            </w:pPr>
            <w:r>
              <w:rPr>
                <w:rFonts w:ascii="Times New Roman" w:hAnsi="Times New Roman" w:cs="Times New Roman"/>
                <w:sz w:val="24"/>
                <w:szCs w:val="24"/>
              </w:rPr>
              <w:t xml:space="preserve">Nav. </w:t>
            </w:r>
          </w:p>
        </w:tc>
      </w:tr>
    </w:tbl>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 </w:t>
      </w:r>
    </w:p>
    <w:tbl>
      <w:tblPr>
        <w:tblW w:w="488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7"/>
        <w:gridCol w:w="2902"/>
        <w:gridCol w:w="5880"/>
      </w:tblGrid>
      <w:tr w:rsidR="009411FA" w:rsidRPr="009411FA" w:rsidTr="009C1A38">
        <w:trPr>
          <w:trHeight w:val="555"/>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rsidR="009411FA" w:rsidRPr="009411FA" w:rsidRDefault="009411FA" w:rsidP="0045705D">
            <w:pPr>
              <w:pStyle w:val="Bezatstarpm"/>
              <w:ind w:right="84"/>
              <w:jc w:val="center"/>
              <w:rPr>
                <w:rFonts w:ascii="Times New Roman" w:hAnsi="Times New Roman" w:cs="Times New Roman"/>
                <w:b/>
                <w:bCs/>
                <w:sz w:val="24"/>
                <w:szCs w:val="24"/>
              </w:rPr>
            </w:pPr>
            <w:r w:rsidRPr="009411FA">
              <w:rPr>
                <w:rFonts w:ascii="Times New Roman" w:hAnsi="Times New Roman" w:cs="Times New Roman"/>
                <w:b/>
                <w:bCs/>
                <w:sz w:val="24"/>
                <w:szCs w:val="24"/>
              </w:rPr>
              <w:t>II. Tiesību akta projekta ietekme uz sabiedrību, tautsaimniecības attīstību un administratīvo slogu</w:t>
            </w:r>
          </w:p>
        </w:tc>
      </w:tr>
      <w:tr w:rsidR="009411FA" w:rsidRPr="009411FA" w:rsidTr="009C1A38">
        <w:trPr>
          <w:trHeight w:val="465"/>
          <w:tblCellSpacing w:w="15" w:type="dxa"/>
        </w:trPr>
        <w:tc>
          <w:tcPr>
            <w:tcW w:w="250"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1.</w:t>
            </w:r>
          </w:p>
        </w:tc>
        <w:tc>
          <w:tcPr>
            <w:tcW w:w="1556"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Sabiedrības mērķgrupas, kuras tiesiskais regulējums ietekmē vai varētu ietekmēt</w:t>
            </w:r>
          </w:p>
        </w:tc>
        <w:tc>
          <w:tcPr>
            <w:tcW w:w="3130" w:type="pct"/>
            <w:tcBorders>
              <w:top w:val="outset" w:sz="6" w:space="0" w:color="auto"/>
              <w:left w:val="outset" w:sz="6" w:space="0" w:color="auto"/>
              <w:bottom w:val="outset" w:sz="6" w:space="0" w:color="auto"/>
              <w:right w:val="outset" w:sz="6" w:space="0" w:color="auto"/>
            </w:tcBorders>
            <w:hideMark/>
          </w:tcPr>
          <w:p w:rsidR="009411FA" w:rsidRPr="009411FA" w:rsidRDefault="008D39F1" w:rsidP="008D39F1">
            <w:pPr>
              <w:pStyle w:val="Bezatstarpm"/>
              <w:ind w:right="84"/>
              <w:jc w:val="both"/>
              <w:rPr>
                <w:rFonts w:ascii="Times New Roman" w:hAnsi="Times New Roman" w:cs="Times New Roman"/>
                <w:sz w:val="24"/>
                <w:szCs w:val="24"/>
              </w:rPr>
            </w:pPr>
            <w:r>
              <w:rPr>
                <w:rFonts w:ascii="Times New Roman" w:hAnsi="Times New Roman" w:cs="Times New Roman"/>
                <w:sz w:val="24"/>
                <w:szCs w:val="24"/>
              </w:rPr>
              <w:t>T</w:t>
            </w:r>
            <w:r w:rsidR="002A2A49">
              <w:rPr>
                <w:rFonts w:ascii="Times New Roman" w:hAnsi="Times New Roman" w:cs="Times New Roman"/>
                <w:sz w:val="24"/>
                <w:szCs w:val="24"/>
              </w:rPr>
              <w:t>iesiskais regulējums ietekmēs personas, kuras cietušas no vardarbības un perso</w:t>
            </w:r>
            <w:r>
              <w:rPr>
                <w:rFonts w:ascii="Times New Roman" w:hAnsi="Times New Roman" w:cs="Times New Roman"/>
                <w:sz w:val="24"/>
                <w:szCs w:val="24"/>
              </w:rPr>
              <w:t>nas, kuras izrādījušas vardarbīg</w:t>
            </w:r>
            <w:r w:rsidR="002A2A49">
              <w:rPr>
                <w:rFonts w:ascii="Times New Roman" w:hAnsi="Times New Roman" w:cs="Times New Roman"/>
                <w:sz w:val="24"/>
                <w:szCs w:val="24"/>
              </w:rPr>
              <w:t>u uzvedību</w:t>
            </w:r>
            <w:r>
              <w:rPr>
                <w:rFonts w:ascii="Times New Roman" w:hAnsi="Times New Roman" w:cs="Times New Roman"/>
                <w:sz w:val="24"/>
                <w:szCs w:val="24"/>
              </w:rPr>
              <w:t>.</w:t>
            </w:r>
            <w:r w:rsidR="002A2A49">
              <w:rPr>
                <w:rFonts w:ascii="Times New Roman" w:hAnsi="Times New Roman" w:cs="Times New Roman"/>
                <w:sz w:val="24"/>
                <w:szCs w:val="24"/>
              </w:rPr>
              <w:t xml:space="preserve"> </w:t>
            </w:r>
          </w:p>
        </w:tc>
      </w:tr>
      <w:tr w:rsidR="009411FA" w:rsidRPr="009411FA" w:rsidTr="009C1A38">
        <w:trPr>
          <w:trHeight w:val="510"/>
          <w:tblCellSpacing w:w="15" w:type="dxa"/>
        </w:trPr>
        <w:tc>
          <w:tcPr>
            <w:tcW w:w="250"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2.</w:t>
            </w:r>
          </w:p>
        </w:tc>
        <w:tc>
          <w:tcPr>
            <w:tcW w:w="1556"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Tiesiskā regulējuma ietekme uz tautsaimniecību un administratīvo slogu</w:t>
            </w:r>
          </w:p>
        </w:tc>
        <w:tc>
          <w:tcPr>
            <w:tcW w:w="3130" w:type="pct"/>
            <w:tcBorders>
              <w:top w:val="outset" w:sz="6" w:space="0" w:color="auto"/>
              <w:left w:val="outset" w:sz="6" w:space="0" w:color="auto"/>
              <w:bottom w:val="outset" w:sz="6" w:space="0" w:color="auto"/>
              <w:right w:val="outset" w:sz="6" w:space="0" w:color="auto"/>
            </w:tcBorders>
          </w:tcPr>
          <w:p w:rsidR="00C14105" w:rsidRPr="002A2A49" w:rsidRDefault="00C14105" w:rsidP="00604BB4">
            <w:pPr>
              <w:pStyle w:val="Bezatstarpm"/>
              <w:ind w:right="84"/>
              <w:jc w:val="both"/>
              <w:rPr>
                <w:rFonts w:ascii="Times New Roman" w:hAnsi="Times New Roman" w:cs="Times New Roman"/>
                <w:sz w:val="24"/>
                <w:szCs w:val="24"/>
              </w:rPr>
            </w:pPr>
          </w:p>
        </w:tc>
      </w:tr>
      <w:tr w:rsidR="009411FA" w:rsidRPr="009411FA" w:rsidTr="009C1A38">
        <w:trPr>
          <w:trHeight w:val="510"/>
          <w:tblCellSpacing w:w="15" w:type="dxa"/>
        </w:trPr>
        <w:tc>
          <w:tcPr>
            <w:tcW w:w="250"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3.</w:t>
            </w:r>
          </w:p>
        </w:tc>
        <w:tc>
          <w:tcPr>
            <w:tcW w:w="1556"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Administratīvo izmaksu monetārs novērtējums</w:t>
            </w:r>
          </w:p>
        </w:tc>
        <w:tc>
          <w:tcPr>
            <w:tcW w:w="3130" w:type="pct"/>
            <w:tcBorders>
              <w:top w:val="outset" w:sz="6" w:space="0" w:color="auto"/>
              <w:left w:val="outset" w:sz="6" w:space="0" w:color="auto"/>
              <w:bottom w:val="outset" w:sz="6" w:space="0" w:color="auto"/>
              <w:right w:val="outset" w:sz="6" w:space="0" w:color="auto"/>
            </w:tcBorders>
            <w:hideMark/>
          </w:tcPr>
          <w:p w:rsidR="007C0E84" w:rsidRPr="001862E2" w:rsidRDefault="007C0E84" w:rsidP="001862E2">
            <w:pPr>
              <w:rPr>
                <w:rFonts w:ascii="Times New Roman" w:hAnsi="Times New Roman"/>
                <w:sz w:val="24"/>
              </w:rPr>
            </w:pPr>
          </w:p>
        </w:tc>
      </w:tr>
      <w:tr w:rsidR="009411FA" w:rsidRPr="009411FA" w:rsidTr="009C1A38">
        <w:trPr>
          <w:trHeight w:val="345"/>
          <w:tblCellSpacing w:w="15" w:type="dxa"/>
        </w:trPr>
        <w:tc>
          <w:tcPr>
            <w:tcW w:w="250"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4.</w:t>
            </w:r>
          </w:p>
        </w:tc>
        <w:tc>
          <w:tcPr>
            <w:tcW w:w="1556"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Cita informācija</w:t>
            </w:r>
          </w:p>
        </w:tc>
        <w:tc>
          <w:tcPr>
            <w:tcW w:w="3130" w:type="pct"/>
            <w:tcBorders>
              <w:top w:val="outset" w:sz="6" w:space="0" w:color="auto"/>
              <w:left w:val="outset" w:sz="6" w:space="0" w:color="auto"/>
              <w:bottom w:val="outset" w:sz="6" w:space="0" w:color="auto"/>
              <w:right w:val="outset" w:sz="6" w:space="0" w:color="auto"/>
            </w:tcBorders>
            <w:hideMark/>
          </w:tcPr>
          <w:p w:rsidR="009411FA" w:rsidRPr="009411FA" w:rsidRDefault="00C70161" w:rsidP="009411FA">
            <w:pPr>
              <w:pStyle w:val="Bezatstarpm"/>
              <w:ind w:right="84"/>
              <w:rPr>
                <w:rFonts w:ascii="Times New Roman" w:hAnsi="Times New Roman" w:cs="Times New Roman"/>
                <w:sz w:val="24"/>
                <w:szCs w:val="24"/>
              </w:rPr>
            </w:pPr>
            <w:r>
              <w:rPr>
                <w:rFonts w:ascii="Times New Roman" w:hAnsi="Times New Roman" w:cs="Times New Roman"/>
                <w:sz w:val="24"/>
                <w:szCs w:val="24"/>
              </w:rPr>
              <w:t>Nav.</w:t>
            </w:r>
          </w:p>
        </w:tc>
      </w:tr>
    </w:tbl>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  </w:t>
      </w:r>
    </w:p>
    <w:tbl>
      <w:tblPr>
        <w:tblW w:w="5000" w:type="pct"/>
        <w:jc w:val="center"/>
        <w:tblCellSpacing w:w="15" w:type="dxa"/>
        <w:tblInd w:w="-35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5"/>
        <w:gridCol w:w="2751"/>
        <w:gridCol w:w="6238"/>
      </w:tblGrid>
      <w:tr w:rsidR="009411FA" w:rsidRPr="009411FA" w:rsidTr="00E01DF4">
        <w:trPr>
          <w:trHeight w:val="450"/>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411FA" w:rsidRPr="009411FA" w:rsidRDefault="009411FA" w:rsidP="0045705D">
            <w:pPr>
              <w:pStyle w:val="Bezatstarpm"/>
              <w:ind w:right="84"/>
              <w:jc w:val="center"/>
              <w:rPr>
                <w:rFonts w:ascii="Times New Roman" w:hAnsi="Times New Roman" w:cs="Times New Roman"/>
                <w:b/>
                <w:bCs/>
                <w:sz w:val="24"/>
                <w:szCs w:val="24"/>
              </w:rPr>
            </w:pPr>
            <w:r w:rsidRPr="009411FA">
              <w:rPr>
                <w:rFonts w:ascii="Times New Roman" w:hAnsi="Times New Roman" w:cs="Times New Roman"/>
                <w:b/>
                <w:bCs/>
                <w:sz w:val="24"/>
                <w:szCs w:val="24"/>
              </w:rPr>
              <w:t>IV. Tiesību akta projekta ietekme uz spēkā esošo tiesību normu sistēmu</w:t>
            </w:r>
          </w:p>
        </w:tc>
      </w:tr>
      <w:tr w:rsidR="009411FA" w:rsidRPr="009411FA" w:rsidTr="00E01DF4">
        <w:trPr>
          <w:tblCellSpacing w:w="15" w:type="dxa"/>
          <w:jc w:val="center"/>
        </w:trPr>
        <w:tc>
          <w:tcPr>
            <w:tcW w:w="247"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1.</w:t>
            </w:r>
          </w:p>
        </w:tc>
        <w:tc>
          <w:tcPr>
            <w:tcW w:w="1429"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Nepieciešamie saistītie tiesību aktu projekti</w:t>
            </w:r>
          </w:p>
        </w:tc>
        <w:tc>
          <w:tcPr>
            <w:tcW w:w="3253" w:type="pct"/>
            <w:tcBorders>
              <w:top w:val="outset" w:sz="6" w:space="0" w:color="auto"/>
              <w:left w:val="outset" w:sz="6" w:space="0" w:color="auto"/>
              <w:bottom w:val="outset" w:sz="6" w:space="0" w:color="auto"/>
              <w:right w:val="outset" w:sz="6" w:space="0" w:color="auto"/>
            </w:tcBorders>
            <w:hideMark/>
          </w:tcPr>
          <w:p w:rsidR="00C06E1D" w:rsidRPr="00F24B6F" w:rsidRDefault="00C06E1D" w:rsidP="00C06E1D">
            <w:pPr>
              <w:pStyle w:val="Bezatstarpm"/>
              <w:ind w:right="-2"/>
              <w:jc w:val="both"/>
              <w:rPr>
                <w:rFonts w:ascii="Times New Roman" w:hAnsi="Times New Roman" w:cs="Times New Roman"/>
                <w:sz w:val="24"/>
                <w:szCs w:val="24"/>
              </w:rPr>
            </w:pPr>
            <w:r w:rsidRPr="00F24B6F">
              <w:rPr>
                <w:rFonts w:ascii="Times New Roman" w:hAnsi="Times New Roman" w:cs="Times New Roman"/>
                <w:sz w:val="24"/>
                <w:szCs w:val="24"/>
              </w:rPr>
              <w:t xml:space="preserve">Nepieciešams izstrādāt šādus tiesību aktu projektus: </w:t>
            </w:r>
          </w:p>
          <w:p w:rsidR="00C06E1D" w:rsidRPr="00F24B6F" w:rsidRDefault="00C06E1D" w:rsidP="00C06E1D">
            <w:pPr>
              <w:pStyle w:val="Bezatstarpm"/>
              <w:numPr>
                <w:ilvl w:val="0"/>
                <w:numId w:val="15"/>
              </w:numPr>
              <w:ind w:left="444" w:right="140" w:hanging="283"/>
              <w:jc w:val="both"/>
              <w:rPr>
                <w:rFonts w:ascii="Times New Roman" w:eastAsia="Times New Roman" w:hAnsi="Times New Roman" w:cs="Times New Roman"/>
                <w:sz w:val="24"/>
                <w:szCs w:val="24"/>
                <w:lang w:eastAsia="lv-LV"/>
              </w:rPr>
            </w:pPr>
            <w:r w:rsidRPr="00F24B6F">
              <w:rPr>
                <w:rFonts w:ascii="Times New Roman" w:hAnsi="Times New Roman" w:cs="Times New Roman"/>
                <w:sz w:val="24"/>
                <w:szCs w:val="24"/>
              </w:rPr>
              <w:t>Likumprojekts “</w:t>
            </w:r>
            <w:r>
              <w:rPr>
                <w:rFonts w:ascii="Times New Roman" w:hAnsi="Times New Roman" w:cs="Times New Roman"/>
                <w:sz w:val="24"/>
                <w:szCs w:val="24"/>
              </w:rPr>
              <w:t>Vardarbībai un vardarbība riskam pakļauto personu aizsardzības likums</w:t>
            </w:r>
            <w:r w:rsidRPr="00F24B6F">
              <w:rPr>
                <w:rFonts w:ascii="Times New Roman" w:hAnsi="Times New Roman" w:cs="Times New Roman"/>
                <w:sz w:val="24"/>
                <w:szCs w:val="24"/>
              </w:rPr>
              <w:t>”;</w:t>
            </w:r>
          </w:p>
          <w:p w:rsidR="00C06E1D" w:rsidRPr="00B35453" w:rsidRDefault="00C06E1D" w:rsidP="00C06E1D">
            <w:pPr>
              <w:pStyle w:val="Bezatstarpm"/>
              <w:numPr>
                <w:ilvl w:val="0"/>
                <w:numId w:val="15"/>
              </w:numPr>
              <w:ind w:left="444" w:right="140" w:hanging="283"/>
              <w:jc w:val="both"/>
              <w:rPr>
                <w:rFonts w:ascii="Times New Roman" w:eastAsia="Times New Roman" w:hAnsi="Times New Roman" w:cs="Times New Roman"/>
                <w:sz w:val="24"/>
                <w:szCs w:val="24"/>
                <w:lang w:eastAsia="lv-LV"/>
              </w:rPr>
            </w:pPr>
            <w:r w:rsidRPr="00F24B6F">
              <w:rPr>
                <w:rFonts w:ascii="Times New Roman" w:hAnsi="Times New Roman" w:cs="Times New Roman"/>
                <w:sz w:val="24"/>
                <w:szCs w:val="24"/>
              </w:rPr>
              <w:lastRenderedPageBreak/>
              <w:t xml:space="preserve">Ministru kabineta noteikumu projekts “Grozījumi Ministru kabineta </w:t>
            </w:r>
            <w:proofErr w:type="gramStart"/>
            <w:r w:rsidRPr="00F24B6F">
              <w:rPr>
                <w:rFonts w:ascii="Times New Roman" w:hAnsi="Times New Roman" w:cs="Times New Roman"/>
                <w:sz w:val="24"/>
                <w:szCs w:val="24"/>
              </w:rPr>
              <w:t>2014.gada</w:t>
            </w:r>
            <w:proofErr w:type="gramEnd"/>
            <w:r w:rsidRPr="00F24B6F">
              <w:rPr>
                <w:rFonts w:ascii="Times New Roman" w:hAnsi="Times New Roman" w:cs="Times New Roman"/>
                <w:sz w:val="24"/>
                <w:szCs w:val="24"/>
              </w:rPr>
              <w:t xml:space="preserve"> 23.decembra noteikumos Nr.790 “Sociālās rehabilitācijas pakalpojumu sniegšanas kārtība no vardarbības cietušām un vardarbību veikušām pilngadīgām personām””;</w:t>
            </w:r>
          </w:p>
          <w:p w:rsidR="004D01BE" w:rsidRPr="001862E2" w:rsidRDefault="00534B6E" w:rsidP="00C06E1D">
            <w:pPr>
              <w:pStyle w:val="Sarakstarindkopa"/>
              <w:numPr>
                <w:ilvl w:val="0"/>
                <w:numId w:val="15"/>
              </w:numPr>
              <w:spacing w:after="0" w:line="240" w:lineRule="auto"/>
              <w:ind w:left="444" w:right="140" w:hanging="283"/>
              <w:jc w:val="both"/>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Ministru kabineta noteikumu projekts “Grozījumi Ministru kabineta </w:t>
            </w:r>
            <w:proofErr w:type="gramStart"/>
            <w:r>
              <w:rPr>
                <w:rFonts w:ascii="Times New Roman" w:eastAsia="Times New Roman" w:hAnsi="Times New Roman" w:cs="Times New Roman"/>
                <w:sz w:val="24"/>
                <w:szCs w:val="24"/>
                <w:lang w:eastAsia="lv-LV"/>
              </w:rPr>
              <w:t>2014.gada</w:t>
            </w:r>
            <w:proofErr w:type="gramEnd"/>
            <w:r>
              <w:rPr>
                <w:rFonts w:ascii="Times New Roman" w:eastAsia="Times New Roman" w:hAnsi="Times New Roman" w:cs="Times New Roman"/>
                <w:sz w:val="24"/>
                <w:szCs w:val="24"/>
                <w:lang w:eastAsia="lv-LV"/>
              </w:rPr>
              <w:t xml:space="preserve"> 25.marta noteikumos Nr.161 “Kārtība, kādā novērš vardarbības draudus un nodrošina pagaidu aizsardzību pret vardarbību””. </w:t>
            </w:r>
            <w:r w:rsidRPr="00F26D2B">
              <w:rPr>
                <w:rFonts w:ascii="Times New Roman" w:hAnsi="Times New Roman"/>
                <w:sz w:val="24"/>
                <w:szCs w:val="24"/>
              </w:rPr>
              <w:t xml:space="preserve"> </w:t>
            </w:r>
          </w:p>
        </w:tc>
      </w:tr>
      <w:tr w:rsidR="009411FA" w:rsidRPr="009411FA" w:rsidTr="00E01DF4">
        <w:trPr>
          <w:tblCellSpacing w:w="15" w:type="dxa"/>
          <w:jc w:val="center"/>
        </w:trPr>
        <w:tc>
          <w:tcPr>
            <w:tcW w:w="247"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lastRenderedPageBreak/>
              <w:t>2.</w:t>
            </w:r>
          </w:p>
        </w:tc>
        <w:tc>
          <w:tcPr>
            <w:tcW w:w="1429"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Atbildīgā institūcija</w:t>
            </w:r>
          </w:p>
        </w:tc>
        <w:tc>
          <w:tcPr>
            <w:tcW w:w="3253" w:type="pct"/>
            <w:tcBorders>
              <w:top w:val="outset" w:sz="6" w:space="0" w:color="auto"/>
              <w:left w:val="outset" w:sz="6" w:space="0" w:color="auto"/>
              <w:bottom w:val="outset" w:sz="6" w:space="0" w:color="auto"/>
              <w:right w:val="outset" w:sz="6" w:space="0" w:color="auto"/>
            </w:tcBorders>
            <w:hideMark/>
          </w:tcPr>
          <w:p w:rsidR="009411FA" w:rsidRPr="002D38C6" w:rsidRDefault="002D38C6" w:rsidP="008D39F1">
            <w:pPr>
              <w:pStyle w:val="Bezatstarpm"/>
              <w:ind w:right="84"/>
              <w:jc w:val="both"/>
              <w:rPr>
                <w:rFonts w:ascii="Times New Roman" w:hAnsi="Times New Roman" w:cs="Times New Roman"/>
                <w:i/>
                <w:sz w:val="24"/>
                <w:szCs w:val="24"/>
              </w:rPr>
            </w:pPr>
            <w:r w:rsidRPr="002D38C6">
              <w:rPr>
                <w:rFonts w:ascii="Times New Roman" w:hAnsi="Times New Roman" w:cs="Times New Roman"/>
                <w:iCs/>
                <w:spacing w:val="-4"/>
                <w:sz w:val="24"/>
              </w:rPr>
              <w:t>Par Mini</w:t>
            </w:r>
            <w:r>
              <w:rPr>
                <w:rFonts w:ascii="Times New Roman" w:hAnsi="Times New Roman" w:cs="Times New Roman"/>
                <w:iCs/>
                <w:spacing w:val="-4"/>
                <w:sz w:val="24"/>
              </w:rPr>
              <w:t xml:space="preserve">stru kabineta noteikumu projekta </w:t>
            </w:r>
            <w:r w:rsidRPr="002D38C6">
              <w:rPr>
                <w:rFonts w:ascii="Times New Roman" w:hAnsi="Times New Roman" w:cs="Times New Roman"/>
                <w:iCs/>
                <w:spacing w:val="-4"/>
                <w:sz w:val="24"/>
              </w:rPr>
              <w:t xml:space="preserve">izstrādi ir atbildīga </w:t>
            </w:r>
            <w:r>
              <w:rPr>
                <w:rFonts w:ascii="Times New Roman" w:hAnsi="Times New Roman" w:cs="Times New Roman"/>
                <w:iCs/>
                <w:spacing w:val="-4"/>
                <w:sz w:val="24"/>
              </w:rPr>
              <w:t xml:space="preserve">Tieslietu </w:t>
            </w:r>
            <w:r w:rsidRPr="002D38C6">
              <w:rPr>
                <w:rFonts w:ascii="Times New Roman" w:hAnsi="Times New Roman" w:cs="Times New Roman"/>
                <w:iCs/>
                <w:spacing w:val="-4"/>
                <w:sz w:val="24"/>
              </w:rPr>
              <w:t>ministrija.</w:t>
            </w:r>
          </w:p>
        </w:tc>
      </w:tr>
      <w:tr w:rsidR="009411FA" w:rsidRPr="009411FA" w:rsidTr="00E01DF4">
        <w:trPr>
          <w:tblCellSpacing w:w="15" w:type="dxa"/>
          <w:jc w:val="center"/>
        </w:trPr>
        <w:tc>
          <w:tcPr>
            <w:tcW w:w="247"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3.</w:t>
            </w:r>
          </w:p>
        </w:tc>
        <w:tc>
          <w:tcPr>
            <w:tcW w:w="1429" w:type="pct"/>
            <w:tcBorders>
              <w:top w:val="outset" w:sz="6" w:space="0" w:color="auto"/>
              <w:left w:val="outset" w:sz="6" w:space="0" w:color="auto"/>
              <w:bottom w:val="outset" w:sz="6" w:space="0" w:color="auto"/>
              <w:right w:val="outset" w:sz="6" w:space="0" w:color="auto"/>
            </w:tcBorders>
            <w:hideMark/>
          </w:tcPr>
          <w:p w:rsidR="009411FA" w:rsidRPr="002D38C6" w:rsidRDefault="009411FA" w:rsidP="002D38C6">
            <w:pPr>
              <w:pStyle w:val="Bezatstarpm"/>
              <w:ind w:right="84"/>
              <w:jc w:val="both"/>
              <w:rPr>
                <w:rFonts w:ascii="Times New Roman" w:hAnsi="Times New Roman" w:cs="Times New Roman"/>
                <w:sz w:val="24"/>
                <w:szCs w:val="24"/>
              </w:rPr>
            </w:pPr>
            <w:r w:rsidRPr="002D38C6">
              <w:rPr>
                <w:rFonts w:ascii="Times New Roman" w:hAnsi="Times New Roman" w:cs="Times New Roman"/>
                <w:sz w:val="24"/>
                <w:szCs w:val="24"/>
              </w:rPr>
              <w:t>Cita informācija</w:t>
            </w:r>
          </w:p>
        </w:tc>
        <w:tc>
          <w:tcPr>
            <w:tcW w:w="3253" w:type="pct"/>
            <w:tcBorders>
              <w:top w:val="outset" w:sz="6" w:space="0" w:color="auto"/>
              <w:left w:val="outset" w:sz="6" w:space="0" w:color="auto"/>
              <w:bottom w:val="outset" w:sz="6" w:space="0" w:color="auto"/>
              <w:right w:val="outset" w:sz="6" w:space="0" w:color="auto"/>
            </w:tcBorders>
            <w:hideMark/>
          </w:tcPr>
          <w:p w:rsidR="009411FA" w:rsidRPr="002D38C6" w:rsidRDefault="002D38C6" w:rsidP="002D38C6">
            <w:pPr>
              <w:pStyle w:val="Bezatstarpm"/>
              <w:ind w:right="84"/>
              <w:jc w:val="both"/>
              <w:rPr>
                <w:rFonts w:ascii="Times New Roman" w:hAnsi="Times New Roman" w:cs="Times New Roman"/>
                <w:sz w:val="24"/>
                <w:szCs w:val="24"/>
              </w:rPr>
            </w:pPr>
            <w:r w:rsidRPr="002D38C6">
              <w:rPr>
                <w:rFonts w:ascii="Times New Roman" w:hAnsi="Times New Roman" w:cs="Times New Roman"/>
                <w:sz w:val="24"/>
                <w:szCs w:val="24"/>
              </w:rPr>
              <w:t>Nav.</w:t>
            </w:r>
          </w:p>
        </w:tc>
      </w:tr>
    </w:tbl>
    <w:p w:rsidR="005C5164"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 </w:t>
      </w:r>
    </w:p>
    <w:p w:rsidR="00741BF7" w:rsidRPr="009411FA" w:rsidRDefault="00741BF7" w:rsidP="009411FA">
      <w:pPr>
        <w:pStyle w:val="Bezatstarpm"/>
        <w:ind w:right="84"/>
        <w:rPr>
          <w:rFonts w:ascii="Times New Roman" w:hAnsi="Times New Roman" w:cs="Times New Roman"/>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2"/>
        <w:gridCol w:w="2825"/>
        <w:gridCol w:w="6167"/>
      </w:tblGrid>
      <w:tr w:rsidR="009411FA" w:rsidRPr="009411FA" w:rsidTr="005C5164">
        <w:trPr>
          <w:tblCellSpacing w:w="15" w:type="dxa"/>
        </w:trPr>
        <w:tc>
          <w:tcPr>
            <w:tcW w:w="4965" w:type="pct"/>
            <w:gridSpan w:val="3"/>
            <w:tcBorders>
              <w:top w:val="outset" w:sz="6" w:space="0" w:color="auto"/>
              <w:left w:val="outset" w:sz="6" w:space="0" w:color="auto"/>
              <w:bottom w:val="outset" w:sz="6" w:space="0" w:color="auto"/>
              <w:right w:val="outset" w:sz="6" w:space="0" w:color="auto"/>
            </w:tcBorders>
            <w:vAlign w:val="center"/>
            <w:hideMark/>
          </w:tcPr>
          <w:p w:rsidR="009411FA" w:rsidRPr="009411FA" w:rsidRDefault="009411FA" w:rsidP="0045705D">
            <w:pPr>
              <w:pStyle w:val="Bezatstarpm"/>
              <w:ind w:right="84"/>
              <w:jc w:val="center"/>
              <w:rPr>
                <w:rFonts w:ascii="Times New Roman" w:hAnsi="Times New Roman" w:cs="Times New Roman"/>
                <w:b/>
                <w:bCs/>
                <w:sz w:val="24"/>
                <w:szCs w:val="24"/>
              </w:rPr>
            </w:pPr>
            <w:r w:rsidRPr="009411FA">
              <w:rPr>
                <w:rFonts w:ascii="Times New Roman" w:hAnsi="Times New Roman" w:cs="Times New Roman"/>
                <w:b/>
                <w:bCs/>
                <w:sz w:val="24"/>
                <w:szCs w:val="24"/>
              </w:rPr>
              <w:t>V. Tiesību akta projekta atbilstība Latvijas Republikas starptautiskajām saistībām</w:t>
            </w:r>
          </w:p>
        </w:tc>
      </w:tr>
      <w:tr w:rsidR="005C5164" w:rsidRPr="009411FA" w:rsidTr="00741BF7">
        <w:trPr>
          <w:trHeight w:val="536"/>
          <w:tblCellSpacing w:w="15" w:type="dxa"/>
        </w:trPr>
        <w:tc>
          <w:tcPr>
            <w:tcW w:w="4965" w:type="pct"/>
            <w:gridSpan w:val="3"/>
            <w:tcBorders>
              <w:top w:val="outset" w:sz="6" w:space="0" w:color="auto"/>
              <w:left w:val="outset" w:sz="6" w:space="0" w:color="auto"/>
              <w:bottom w:val="outset" w:sz="6" w:space="0" w:color="auto"/>
              <w:right w:val="outset" w:sz="6" w:space="0" w:color="auto"/>
            </w:tcBorders>
          </w:tcPr>
          <w:p w:rsidR="005C5164" w:rsidRPr="003A4C60" w:rsidRDefault="005C5164" w:rsidP="005C5164">
            <w:pPr>
              <w:pStyle w:val="Bezatstarpm"/>
              <w:ind w:right="84"/>
              <w:jc w:val="center"/>
              <w:rPr>
                <w:rFonts w:ascii="Times New Roman" w:hAnsi="Times New Roman" w:cs="Times New Roman"/>
                <w:i/>
                <w:sz w:val="24"/>
                <w:szCs w:val="24"/>
              </w:rPr>
            </w:pPr>
            <w:r>
              <w:rPr>
                <w:rFonts w:ascii="Times New Roman" w:hAnsi="Times New Roman" w:cs="Times New Roman"/>
                <w:i/>
                <w:sz w:val="24"/>
                <w:szCs w:val="24"/>
              </w:rPr>
              <w:t xml:space="preserve">Projekts šo jomu neskar </w:t>
            </w:r>
          </w:p>
        </w:tc>
      </w:tr>
      <w:tr w:rsidR="009411FA" w:rsidRPr="009411FA" w:rsidTr="009411FA">
        <w:tblPrEx>
          <w:jc w:val="center"/>
        </w:tblPrEx>
        <w:trPr>
          <w:trHeight w:val="420"/>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411FA" w:rsidRPr="009411FA" w:rsidRDefault="009411FA" w:rsidP="009411FA">
            <w:pPr>
              <w:pStyle w:val="Bezatstarpm"/>
              <w:ind w:right="84"/>
              <w:rPr>
                <w:rFonts w:ascii="Times New Roman" w:hAnsi="Times New Roman" w:cs="Times New Roman"/>
                <w:b/>
                <w:bCs/>
                <w:sz w:val="24"/>
                <w:szCs w:val="24"/>
              </w:rPr>
            </w:pPr>
            <w:r w:rsidRPr="009411FA">
              <w:rPr>
                <w:rFonts w:ascii="Times New Roman" w:hAnsi="Times New Roman" w:cs="Times New Roman"/>
                <w:sz w:val="24"/>
                <w:szCs w:val="24"/>
              </w:rPr>
              <w:t> </w:t>
            </w:r>
            <w:r w:rsidRPr="009411FA">
              <w:rPr>
                <w:rFonts w:ascii="Times New Roman" w:hAnsi="Times New Roman" w:cs="Times New Roman"/>
                <w:b/>
                <w:bCs/>
                <w:sz w:val="24"/>
                <w:szCs w:val="24"/>
              </w:rPr>
              <w:t>VI. Sabiedrības līdzdalība un komunikācijas aktivitātes</w:t>
            </w:r>
          </w:p>
        </w:tc>
      </w:tr>
      <w:tr w:rsidR="009411FA" w:rsidRPr="009411FA" w:rsidTr="008D39F1">
        <w:tblPrEx>
          <w:jc w:val="center"/>
        </w:tblPrEx>
        <w:trPr>
          <w:trHeight w:val="540"/>
          <w:tblCellSpacing w:w="15" w:type="dxa"/>
          <w:jc w:val="center"/>
        </w:trPr>
        <w:tc>
          <w:tcPr>
            <w:tcW w:w="247"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1.</w:t>
            </w:r>
          </w:p>
        </w:tc>
        <w:tc>
          <w:tcPr>
            <w:tcW w:w="1479"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Plānotās sabiedrības līdzdalības un komunikācijas aktivitātes saistībā ar projektu</w:t>
            </w:r>
          </w:p>
        </w:tc>
        <w:tc>
          <w:tcPr>
            <w:tcW w:w="3203" w:type="pct"/>
            <w:tcBorders>
              <w:top w:val="outset" w:sz="6" w:space="0" w:color="auto"/>
              <w:left w:val="outset" w:sz="6" w:space="0" w:color="auto"/>
              <w:bottom w:val="outset" w:sz="6" w:space="0" w:color="auto"/>
              <w:right w:val="outset" w:sz="6" w:space="0" w:color="auto"/>
            </w:tcBorders>
            <w:hideMark/>
          </w:tcPr>
          <w:p w:rsidR="009411FA" w:rsidRPr="003A4C60" w:rsidRDefault="00C737F8" w:rsidP="00C737F8">
            <w:pPr>
              <w:pStyle w:val="Bezatstarpm"/>
              <w:ind w:right="84"/>
              <w:jc w:val="both"/>
              <w:rPr>
                <w:rFonts w:ascii="Times New Roman" w:hAnsi="Times New Roman" w:cs="Times New Roman"/>
                <w:i/>
                <w:sz w:val="24"/>
                <w:szCs w:val="24"/>
              </w:rPr>
            </w:pPr>
            <w:r w:rsidRPr="00F24B6F">
              <w:rPr>
                <w:rFonts w:ascii="Times New Roman" w:eastAsia="Times New Roman" w:hAnsi="Times New Roman"/>
                <w:sz w:val="24"/>
                <w:szCs w:val="24"/>
                <w:lang w:eastAsia="lv-LV"/>
              </w:rPr>
              <w:t>Projekts ir publicēts Tieslietu ministrijas tīmekļa vietnē sadaļā „Sabiedrības līdzdalība”, tādējādi dodot iespēju sabiedrībai līdzdarboties tiesību</w:t>
            </w:r>
            <w:r w:rsidRPr="00F24B6F">
              <w:rPr>
                <w:rFonts w:ascii="Times New Roman" w:hAnsi="Times New Roman"/>
                <w:sz w:val="24"/>
                <w:szCs w:val="24"/>
                <w:lang w:eastAsia="lv-LV"/>
              </w:rPr>
              <w:t xml:space="preserve"> akta izstrādes procesā.</w:t>
            </w:r>
          </w:p>
        </w:tc>
      </w:tr>
      <w:tr w:rsidR="009411FA" w:rsidRPr="009411FA" w:rsidTr="008D39F1">
        <w:tblPrEx>
          <w:jc w:val="center"/>
        </w:tblPrEx>
        <w:trPr>
          <w:trHeight w:val="330"/>
          <w:tblCellSpacing w:w="15" w:type="dxa"/>
          <w:jc w:val="center"/>
        </w:trPr>
        <w:tc>
          <w:tcPr>
            <w:tcW w:w="247"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2.</w:t>
            </w:r>
          </w:p>
        </w:tc>
        <w:tc>
          <w:tcPr>
            <w:tcW w:w="1479"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Sabiedrības līdzdalība projekta izstrādē</w:t>
            </w:r>
          </w:p>
        </w:tc>
        <w:tc>
          <w:tcPr>
            <w:tcW w:w="3203" w:type="pct"/>
            <w:tcBorders>
              <w:top w:val="outset" w:sz="6" w:space="0" w:color="auto"/>
              <w:left w:val="outset" w:sz="6" w:space="0" w:color="auto"/>
              <w:bottom w:val="outset" w:sz="6" w:space="0" w:color="auto"/>
              <w:right w:val="outset" w:sz="6" w:space="0" w:color="auto"/>
            </w:tcBorders>
            <w:hideMark/>
          </w:tcPr>
          <w:p w:rsidR="009411FA" w:rsidRPr="003A4C60" w:rsidRDefault="00C737F8" w:rsidP="00C737F8">
            <w:pPr>
              <w:pStyle w:val="Bezatstarpm"/>
              <w:ind w:right="84"/>
              <w:jc w:val="both"/>
              <w:rPr>
                <w:rFonts w:ascii="Times New Roman" w:hAnsi="Times New Roman" w:cs="Times New Roman"/>
                <w:i/>
                <w:sz w:val="24"/>
                <w:szCs w:val="24"/>
              </w:rPr>
            </w:pPr>
            <w:r w:rsidRPr="00F24B6F">
              <w:rPr>
                <w:rFonts w:ascii="Times New Roman" w:hAnsi="Times New Roman"/>
                <w:sz w:val="24"/>
                <w:szCs w:val="24"/>
                <w:lang w:eastAsia="lv-LV"/>
              </w:rPr>
              <w:t>Lai informētu sabiedrību par projektu un dotu iespēju izteikt par to viedokļus, projekts saskaņā ar Ministru kabineta 2009. gada 25. augusta noteikumiem Nr.970 „</w:t>
            </w:r>
            <w:r w:rsidRPr="00F24B6F">
              <w:rPr>
                <w:rFonts w:ascii="Times New Roman" w:hAnsi="Times New Roman"/>
                <w:bCs/>
                <w:sz w:val="24"/>
                <w:szCs w:val="24"/>
                <w:lang w:eastAsia="lv-LV"/>
              </w:rPr>
              <w:t xml:space="preserve">Sabiedrības līdzdalības kārtība attīstības plānošanas procesā” </w:t>
            </w:r>
            <w:r w:rsidRPr="00F24B6F">
              <w:rPr>
                <w:rFonts w:ascii="Times New Roman" w:eastAsia="Times New Roman" w:hAnsi="Times New Roman"/>
                <w:sz w:val="24"/>
                <w:szCs w:val="24"/>
                <w:lang w:eastAsia="lv-LV"/>
              </w:rPr>
              <w:t xml:space="preserve">tika ievietots Tieslietu ministrijas tīmekļa vietnē </w:t>
            </w:r>
            <w:proofErr w:type="gramStart"/>
            <w:r w:rsidR="00B302C4">
              <w:rPr>
                <w:rFonts w:ascii="Times New Roman" w:eastAsia="Times New Roman" w:hAnsi="Times New Roman"/>
                <w:b/>
                <w:sz w:val="24"/>
                <w:szCs w:val="24"/>
                <w:lang w:eastAsia="lv-LV"/>
              </w:rPr>
              <w:t>2017.gada</w:t>
            </w:r>
            <w:proofErr w:type="gramEnd"/>
            <w:r w:rsidR="00B302C4">
              <w:rPr>
                <w:rFonts w:ascii="Times New Roman" w:eastAsia="Times New Roman" w:hAnsi="Times New Roman"/>
                <w:b/>
                <w:sz w:val="24"/>
                <w:szCs w:val="24"/>
                <w:lang w:eastAsia="lv-LV"/>
              </w:rPr>
              <w:t xml:space="preserve"> 28.</w:t>
            </w:r>
            <w:r w:rsidRPr="00F24B6F">
              <w:rPr>
                <w:rFonts w:ascii="Times New Roman" w:eastAsia="Times New Roman" w:hAnsi="Times New Roman"/>
                <w:b/>
                <w:sz w:val="24"/>
                <w:szCs w:val="24"/>
                <w:lang w:eastAsia="lv-LV"/>
              </w:rPr>
              <w:t>martā.</w:t>
            </w:r>
          </w:p>
        </w:tc>
      </w:tr>
      <w:tr w:rsidR="009411FA" w:rsidRPr="009411FA" w:rsidTr="008D39F1">
        <w:tblPrEx>
          <w:jc w:val="center"/>
        </w:tblPrEx>
        <w:trPr>
          <w:trHeight w:val="465"/>
          <w:tblCellSpacing w:w="15" w:type="dxa"/>
          <w:jc w:val="center"/>
        </w:trPr>
        <w:tc>
          <w:tcPr>
            <w:tcW w:w="247"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3.</w:t>
            </w:r>
          </w:p>
        </w:tc>
        <w:tc>
          <w:tcPr>
            <w:tcW w:w="1479"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Sabiedrības līdzdalības rezultāti</w:t>
            </w:r>
          </w:p>
        </w:tc>
        <w:tc>
          <w:tcPr>
            <w:tcW w:w="3203" w:type="pct"/>
            <w:tcBorders>
              <w:top w:val="outset" w:sz="6" w:space="0" w:color="auto"/>
              <w:left w:val="outset" w:sz="6" w:space="0" w:color="auto"/>
              <w:bottom w:val="outset" w:sz="6" w:space="0" w:color="auto"/>
              <w:right w:val="outset" w:sz="6" w:space="0" w:color="auto"/>
            </w:tcBorders>
            <w:hideMark/>
          </w:tcPr>
          <w:p w:rsidR="009411FA" w:rsidRPr="003A4C60" w:rsidRDefault="009411FA" w:rsidP="009411FA">
            <w:pPr>
              <w:pStyle w:val="Bezatstarpm"/>
              <w:ind w:right="84"/>
              <w:rPr>
                <w:rFonts w:ascii="Times New Roman" w:hAnsi="Times New Roman" w:cs="Times New Roman"/>
                <w:i/>
                <w:sz w:val="24"/>
                <w:szCs w:val="24"/>
              </w:rPr>
            </w:pPr>
          </w:p>
        </w:tc>
      </w:tr>
      <w:tr w:rsidR="009411FA" w:rsidRPr="009411FA" w:rsidTr="008D39F1">
        <w:tblPrEx>
          <w:jc w:val="center"/>
        </w:tblPrEx>
        <w:trPr>
          <w:trHeight w:val="465"/>
          <w:tblCellSpacing w:w="15" w:type="dxa"/>
          <w:jc w:val="center"/>
        </w:trPr>
        <w:tc>
          <w:tcPr>
            <w:tcW w:w="247"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4.</w:t>
            </w:r>
          </w:p>
        </w:tc>
        <w:tc>
          <w:tcPr>
            <w:tcW w:w="1479"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Cita informācija</w:t>
            </w:r>
          </w:p>
        </w:tc>
        <w:tc>
          <w:tcPr>
            <w:tcW w:w="3203" w:type="pct"/>
            <w:tcBorders>
              <w:top w:val="outset" w:sz="6" w:space="0" w:color="auto"/>
              <w:left w:val="outset" w:sz="6" w:space="0" w:color="auto"/>
              <w:bottom w:val="outset" w:sz="6" w:space="0" w:color="auto"/>
              <w:right w:val="outset" w:sz="6" w:space="0" w:color="auto"/>
            </w:tcBorders>
            <w:hideMark/>
          </w:tcPr>
          <w:p w:rsidR="009411FA" w:rsidRPr="00C737F8" w:rsidRDefault="00C737F8" w:rsidP="009411FA">
            <w:pPr>
              <w:pStyle w:val="Bezatstarpm"/>
              <w:ind w:right="84"/>
              <w:rPr>
                <w:rFonts w:ascii="Times New Roman" w:hAnsi="Times New Roman" w:cs="Times New Roman"/>
                <w:sz w:val="24"/>
                <w:szCs w:val="24"/>
              </w:rPr>
            </w:pPr>
            <w:r>
              <w:rPr>
                <w:rFonts w:ascii="Times New Roman" w:hAnsi="Times New Roman" w:cs="Times New Roman"/>
                <w:sz w:val="24"/>
                <w:szCs w:val="24"/>
              </w:rPr>
              <w:t xml:space="preserve">Nav. </w:t>
            </w:r>
          </w:p>
        </w:tc>
      </w:tr>
    </w:tbl>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14"/>
        <w:gridCol w:w="3596"/>
        <w:gridCol w:w="5394"/>
      </w:tblGrid>
      <w:tr w:rsidR="009411FA" w:rsidRPr="009411FA" w:rsidTr="009411FA">
        <w:trPr>
          <w:trHeight w:val="375"/>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9411FA" w:rsidRPr="009411FA" w:rsidRDefault="009411FA" w:rsidP="009411FA">
            <w:pPr>
              <w:pStyle w:val="Bezatstarpm"/>
              <w:ind w:right="84"/>
              <w:rPr>
                <w:rFonts w:ascii="Times New Roman" w:hAnsi="Times New Roman" w:cs="Times New Roman"/>
                <w:b/>
                <w:bCs/>
                <w:sz w:val="24"/>
                <w:szCs w:val="24"/>
              </w:rPr>
            </w:pPr>
            <w:r w:rsidRPr="009411FA">
              <w:rPr>
                <w:rFonts w:ascii="Times New Roman" w:hAnsi="Times New Roman" w:cs="Times New Roman"/>
                <w:b/>
                <w:bCs/>
                <w:sz w:val="24"/>
                <w:szCs w:val="24"/>
              </w:rPr>
              <w:t>VII. Tiesību akta projekta izpildes nodrošināšana un tās ietekme uz institūcijām</w:t>
            </w:r>
          </w:p>
        </w:tc>
      </w:tr>
      <w:tr w:rsidR="009411FA" w:rsidRPr="009411FA" w:rsidTr="009411FA">
        <w:trPr>
          <w:trHeight w:val="420"/>
          <w:tblCellSpacing w:w="15" w:type="dxa"/>
          <w:jc w:val="center"/>
        </w:trPr>
        <w:tc>
          <w:tcPr>
            <w:tcW w:w="250"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1.</w:t>
            </w:r>
          </w:p>
        </w:tc>
        <w:tc>
          <w:tcPr>
            <w:tcW w:w="1900"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Projekta izpildē iesaistītās institūcijas</w:t>
            </w:r>
          </w:p>
        </w:tc>
        <w:tc>
          <w:tcPr>
            <w:tcW w:w="2850" w:type="pct"/>
            <w:tcBorders>
              <w:top w:val="outset" w:sz="6" w:space="0" w:color="auto"/>
              <w:left w:val="outset" w:sz="6" w:space="0" w:color="auto"/>
              <w:bottom w:val="outset" w:sz="6" w:space="0" w:color="auto"/>
              <w:right w:val="outset" w:sz="6" w:space="0" w:color="auto"/>
            </w:tcBorders>
            <w:hideMark/>
          </w:tcPr>
          <w:p w:rsidR="009411FA" w:rsidRPr="000E5180" w:rsidRDefault="000E5180" w:rsidP="008D39F1">
            <w:pPr>
              <w:pStyle w:val="Bezatstarpm"/>
              <w:ind w:right="84"/>
              <w:jc w:val="both"/>
              <w:rPr>
                <w:rFonts w:ascii="Times New Roman" w:hAnsi="Times New Roman" w:cs="Times New Roman"/>
                <w:sz w:val="24"/>
                <w:szCs w:val="24"/>
              </w:rPr>
            </w:pPr>
            <w:r>
              <w:rPr>
                <w:rFonts w:ascii="Times New Roman" w:hAnsi="Times New Roman" w:cs="Times New Roman"/>
                <w:sz w:val="24"/>
                <w:szCs w:val="24"/>
              </w:rPr>
              <w:t>Pašvaldības, sociālais dienests, bāriņtiesas, Valsts policija, pašvald</w:t>
            </w:r>
            <w:r w:rsidR="008D39F1">
              <w:rPr>
                <w:rFonts w:ascii="Times New Roman" w:hAnsi="Times New Roman" w:cs="Times New Roman"/>
                <w:sz w:val="24"/>
                <w:szCs w:val="24"/>
              </w:rPr>
              <w:t>ības policija.</w:t>
            </w:r>
          </w:p>
        </w:tc>
      </w:tr>
      <w:tr w:rsidR="009411FA" w:rsidRPr="009411FA" w:rsidTr="008D39F1">
        <w:trPr>
          <w:trHeight w:val="450"/>
          <w:tblCellSpacing w:w="15" w:type="dxa"/>
          <w:jc w:val="center"/>
        </w:trPr>
        <w:tc>
          <w:tcPr>
            <w:tcW w:w="250"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2.</w:t>
            </w:r>
          </w:p>
        </w:tc>
        <w:tc>
          <w:tcPr>
            <w:tcW w:w="1900"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 xml:space="preserve">Projekta izpildes ietekme uz pārvaldes funkcijām un institucionālo struktūru. </w:t>
            </w:r>
          </w:p>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t>Jaunu institūciju izveide, esošu institūciju likvidācija vai reorganizācija, to ietekme uz institūcijas cilvēkresursiem</w:t>
            </w:r>
          </w:p>
        </w:tc>
        <w:tc>
          <w:tcPr>
            <w:tcW w:w="2850" w:type="pct"/>
            <w:tcBorders>
              <w:top w:val="outset" w:sz="6" w:space="0" w:color="auto"/>
              <w:left w:val="outset" w:sz="6" w:space="0" w:color="auto"/>
              <w:bottom w:val="outset" w:sz="6" w:space="0" w:color="auto"/>
              <w:right w:val="outset" w:sz="6" w:space="0" w:color="auto"/>
            </w:tcBorders>
          </w:tcPr>
          <w:p w:rsidR="009411FA" w:rsidRPr="00560C77" w:rsidRDefault="00256337" w:rsidP="00B302C4">
            <w:pPr>
              <w:pStyle w:val="Bezatstarpm"/>
              <w:ind w:right="84"/>
              <w:jc w:val="both"/>
              <w:rPr>
                <w:rFonts w:ascii="Times New Roman" w:hAnsi="Times New Roman" w:cs="Times New Roman"/>
                <w:sz w:val="24"/>
                <w:szCs w:val="24"/>
              </w:rPr>
            </w:pPr>
            <w:r>
              <w:rPr>
                <w:rFonts w:ascii="Times New Roman" w:hAnsi="Times New Roman" w:cs="Times New Roman"/>
                <w:sz w:val="24"/>
                <w:szCs w:val="24"/>
              </w:rPr>
              <w:t xml:space="preserve">Projekts pēc būtības nerada jaunas funkcijas projekta izpildē iesaistītajām institūcijām, jo jau šobrīd policija uzrauga tiesas lēmumu par pagaidu aizsardzību pret vardarbību izpildi, sociālais dienests un pakalpojumu sniedzēji nodrošina personām </w:t>
            </w:r>
            <w:r w:rsidRPr="00732BD1">
              <w:rPr>
                <w:rFonts w:ascii="Times New Roman" w:hAnsi="Times New Roman" w:cs="Times New Roman"/>
                <w:sz w:val="24"/>
                <w:szCs w:val="24"/>
              </w:rPr>
              <w:t xml:space="preserve">sociālās rehabilitācijas kursu vardarbīgas uzvedības </w:t>
            </w:r>
            <w:r w:rsidRPr="00F874E3">
              <w:rPr>
                <w:rFonts w:ascii="Times New Roman" w:hAnsi="Times New Roman" w:cs="Times New Roman"/>
                <w:sz w:val="24"/>
                <w:szCs w:val="24"/>
              </w:rPr>
              <w:t>mazināšanai</w:t>
            </w:r>
            <w:r>
              <w:rPr>
                <w:rFonts w:ascii="Times New Roman" w:hAnsi="Times New Roman" w:cs="Times New Roman"/>
                <w:sz w:val="24"/>
                <w:szCs w:val="24"/>
              </w:rPr>
              <w:t xml:space="preserve">. Vienlaikus, ņemot vērā, ka šobrīd </w:t>
            </w:r>
            <w:r w:rsidRPr="00732BD1">
              <w:rPr>
                <w:rFonts w:ascii="Times New Roman" w:hAnsi="Times New Roman" w:cs="Times New Roman"/>
                <w:sz w:val="24"/>
                <w:szCs w:val="24"/>
              </w:rPr>
              <w:t xml:space="preserve">sociālās rehabilitācijas kursu vardarbīgas uzvedības </w:t>
            </w:r>
            <w:r w:rsidRPr="00F874E3">
              <w:rPr>
                <w:rFonts w:ascii="Times New Roman" w:hAnsi="Times New Roman" w:cs="Times New Roman"/>
                <w:sz w:val="24"/>
                <w:szCs w:val="24"/>
              </w:rPr>
              <w:t>mazināšanai</w:t>
            </w:r>
            <w:r>
              <w:rPr>
                <w:rFonts w:ascii="Times New Roman" w:hAnsi="Times New Roman" w:cs="Times New Roman"/>
                <w:sz w:val="24"/>
                <w:szCs w:val="24"/>
              </w:rPr>
              <w:t xml:space="preserve"> tiek piešķirts personām pēc to </w:t>
            </w:r>
            <w:r>
              <w:rPr>
                <w:rFonts w:ascii="Times New Roman" w:hAnsi="Times New Roman" w:cs="Times New Roman"/>
                <w:sz w:val="24"/>
                <w:szCs w:val="24"/>
              </w:rPr>
              <w:lastRenderedPageBreak/>
              <w:t xml:space="preserve">iniciatīvas, līdz ar grozījumu spēkā stāšanos šādu pienākumu personai varēs uzlikt tiesa kā vienu no pagaidu aizsardzības pret vardarbību līdzekļiem. Līdz ar to ir paredzams, ka pieaugs to personu skaits, kurām būs nevis tiesības, bet gan pienākums saņemt šādu pakalpojumu, kas nozīmē, ka </w:t>
            </w:r>
            <w:r w:rsidR="00B302C4">
              <w:rPr>
                <w:rFonts w:ascii="Times New Roman" w:hAnsi="Times New Roman" w:cs="Times New Roman"/>
                <w:sz w:val="24"/>
                <w:szCs w:val="24"/>
              </w:rPr>
              <w:t xml:space="preserve">varētu pieaugt </w:t>
            </w:r>
            <w:r>
              <w:rPr>
                <w:rFonts w:ascii="Times New Roman" w:hAnsi="Times New Roman" w:cs="Times New Roman"/>
                <w:sz w:val="24"/>
                <w:szCs w:val="24"/>
              </w:rPr>
              <w:t xml:space="preserve">arī sociālo dienestu un pakalpojumu sniedzēju darba apjoms. </w:t>
            </w:r>
          </w:p>
        </w:tc>
      </w:tr>
      <w:tr w:rsidR="009411FA" w:rsidRPr="009411FA" w:rsidTr="009411FA">
        <w:trPr>
          <w:trHeight w:val="390"/>
          <w:tblCellSpacing w:w="15" w:type="dxa"/>
          <w:jc w:val="center"/>
        </w:trPr>
        <w:tc>
          <w:tcPr>
            <w:tcW w:w="250" w:type="pct"/>
            <w:tcBorders>
              <w:top w:val="outset" w:sz="6" w:space="0" w:color="auto"/>
              <w:left w:val="outset" w:sz="6" w:space="0" w:color="auto"/>
              <w:bottom w:val="outset" w:sz="6" w:space="0" w:color="auto"/>
              <w:right w:val="outset" w:sz="6" w:space="0" w:color="auto"/>
            </w:tcBorders>
            <w:hideMark/>
          </w:tcPr>
          <w:p w:rsidR="009411FA" w:rsidRPr="009411FA" w:rsidRDefault="009411FA" w:rsidP="009411FA">
            <w:pPr>
              <w:pStyle w:val="Bezatstarpm"/>
              <w:ind w:right="84"/>
              <w:rPr>
                <w:rFonts w:ascii="Times New Roman" w:hAnsi="Times New Roman" w:cs="Times New Roman"/>
                <w:sz w:val="24"/>
                <w:szCs w:val="24"/>
              </w:rPr>
            </w:pPr>
            <w:r w:rsidRPr="009411FA">
              <w:rPr>
                <w:rFonts w:ascii="Times New Roman" w:hAnsi="Times New Roman" w:cs="Times New Roman"/>
                <w:sz w:val="24"/>
                <w:szCs w:val="24"/>
              </w:rPr>
              <w:lastRenderedPageBreak/>
              <w:t>3.</w:t>
            </w:r>
          </w:p>
        </w:tc>
        <w:tc>
          <w:tcPr>
            <w:tcW w:w="1900" w:type="pct"/>
            <w:tcBorders>
              <w:top w:val="outset" w:sz="6" w:space="0" w:color="auto"/>
              <w:left w:val="outset" w:sz="6" w:space="0" w:color="auto"/>
              <w:bottom w:val="outset" w:sz="6" w:space="0" w:color="auto"/>
              <w:right w:val="outset" w:sz="6" w:space="0" w:color="auto"/>
            </w:tcBorders>
            <w:hideMark/>
          </w:tcPr>
          <w:p w:rsidR="009411FA" w:rsidRPr="002D38C6" w:rsidRDefault="009411FA" w:rsidP="002D38C6">
            <w:pPr>
              <w:pStyle w:val="Bezatstarpm"/>
              <w:ind w:right="84"/>
              <w:jc w:val="both"/>
              <w:rPr>
                <w:rFonts w:ascii="Times New Roman" w:hAnsi="Times New Roman" w:cs="Times New Roman"/>
                <w:sz w:val="24"/>
                <w:szCs w:val="24"/>
              </w:rPr>
            </w:pPr>
            <w:r w:rsidRPr="002D38C6">
              <w:rPr>
                <w:rFonts w:ascii="Times New Roman" w:hAnsi="Times New Roman" w:cs="Times New Roman"/>
                <w:sz w:val="24"/>
                <w:szCs w:val="24"/>
              </w:rPr>
              <w:t>Cita informācija</w:t>
            </w:r>
          </w:p>
        </w:tc>
        <w:tc>
          <w:tcPr>
            <w:tcW w:w="2850" w:type="pct"/>
            <w:tcBorders>
              <w:top w:val="outset" w:sz="6" w:space="0" w:color="auto"/>
              <w:left w:val="outset" w:sz="6" w:space="0" w:color="auto"/>
              <w:bottom w:val="outset" w:sz="6" w:space="0" w:color="auto"/>
              <w:right w:val="outset" w:sz="6" w:space="0" w:color="auto"/>
            </w:tcBorders>
            <w:hideMark/>
          </w:tcPr>
          <w:p w:rsidR="009411FA" w:rsidRPr="002D38C6" w:rsidRDefault="002D38C6" w:rsidP="002D38C6">
            <w:pPr>
              <w:pStyle w:val="Bezatstarpm"/>
              <w:ind w:right="84"/>
              <w:jc w:val="both"/>
              <w:rPr>
                <w:rFonts w:ascii="Times New Roman" w:hAnsi="Times New Roman" w:cs="Times New Roman"/>
                <w:sz w:val="24"/>
                <w:szCs w:val="24"/>
              </w:rPr>
            </w:pPr>
            <w:r w:rsidRPr="002D38C6">
              <w:rPr>
                <w:rFonts w:ascii="Times New Roman" w:hAnsi="Times New Roman" w:cs="Times New Roman"/>
                <w:sz w:val="24"/>
                <w:szCs w:val="24"/>
              </w:rPr>
              <w:t>Nav.</w:t>
            </w:r>
          </w:p>
        </w:tc>
      </w:tr>
    </w:tbl>
    <w:p w:rsidR="009443D0" w:rsidRDefault="009443D0" w:rsidP="009411FA">
      <w:pPr>
        <w:pStyle w:val="Bezatstarpm"/>
        <w:ind w:right="84"/>
        <w:rPr>
          <w:rFonts w:ascii="Times New Roman" w:hAnsi="Times New Roman" w:cs="Times New Roman"/>
          <w:sz w:val="24"/>
          <w:szCs w:val="24"/>
        </w:rPr>
      </w:pPr>
    </w:p>
    <w:p w:rsidR="009D7C9D" w:rsidRDefault="009D7C9D" w:rsidP="009411FA">
      <w:pPr>
        <w:pStyle w:val="Bezatstarpm"/>
        <w:ind w:right="84"/>
        <w:rPr>
          <w:rFonts w:ascii="Times New Roman" w:hAnsi="Times New Roman" w:cs="Times New Roman"/>
          <w:sz w:val="24"/>
          <w:szCs w:val="24"/>
        </w:rPr>
      </w:pPr>
    </w:p>
    <w:p w:rsidR="009D7C9D" w:rsidRPr="00F24B6F" w:rsidRDefault="009D7C9D" w:rsidP="009D7C9D">
      <w:pPr>
        <w:tabs>
          <w:tab w:val="left" w:pos="6237"/>
        </w:tabs>
        <w:spacing w:after="0" w:line="240" w:lineRule="auto"/>
        <w:rPr>
          <w:rFonts w:ascii="Times New Roman" w:hAnsi="Times New Roman"/>
          <w:sz w:val="24"/>
          <w:szCs w:val="28"/>
        </w:rPr>
      </w:pPr>
      <w:r w:rsidRPr="00F24B6F">
        <w:rPr>
          <w:rFonts w:ascii="Times New Roman" w:hAnsi="Times New Roman"/>
          <w:sz w:val="24"/>
          <w:szCs w:val="28"/>
        </w:rPr>
        <w:t>Tieslietu ministrs</w:t>
      </w:r>
      <w:r w:rsidRPr="00F24B6F">
        <w:rPr>
          <w:rFonts w:ascii="Times New Roman" w:hAnsi="Times New Roman"/>
          <w:sz w:val="24"/>
          <w:szCs w:val="28"/>
        </w:rPr>
        <w:tab/>
      </w:r>
      <w:r w:rsidRPr="00F24B6F">
        <w:rPr>
          <w:rFonts w:ascii="Times New Roman" w:hAnsi="Times New Roman"/>
          <w:sz w:val="24"/>
          <w:szCs w:val="28"/>
        </w:rPr>
        <w:tab/>
        <w:t>Dzintars Rasnačs</w:t>
      </w:r>
    </w:p>
    <w:p w:rsidR="009D7C9D" w:rsidRPr="00F24B6F" w:rsidRDefault="009D7C9D" w:rsidP="009D7C9D">
      <w:pPr>
        <w:spacing w:after="0" w:line="240" w:lineRule="auto"/>
        <w:rPr>
          <w:rFonts w:ascii="Times New Roman" w:hAnsi="Times New Roman"/>
          <w:sz w:val="24"/>
          <w:szCs w:val="28"/>
        </w:rPr>
      </w:pPr>
    </w:p>
    <w:p w:rsidR="009D7C9D" w:rsidRPr="00F24B6F" w:rsidRDefault="009D7C9D" w:rsidP="009D7C9D">
      <w:pPr>
        <w:spacing w:after="0" w:line="240" w:lineRule="auto"/>
        <w:rPr>
          <w:rFonts w:ascii="Times New Roman" w:hAnsi="Times New Roman"/>
          <w:sz w:val="24"/>
          <w:szCs w:val="28"/>
        </w:rPr>
      </w:pPr>
    </w:p>
    <w:p w:rsidR="009D7C9D" w:rsidRPr="00F24B6F" w:rsidRDefault="009D7C9D" w:rsidP="009D7C9D">
      <w:pPr>
        <w:spacing w:after="0" w:line="240" w:lineRule="auto"/>
        <w:rPr>
          <w:rFonts w:ascii="Times New Roman" w:hAnsi="Times New Roman"/>
          <w:sz w:val="24"/>
          <w:szCs w:val="28"/>
        </w:rPr>
      </w:pPr>
      <w:r w:rsidRPr="00F24B6F">
        <w:rPr>
          <w:rFonts w:ascii="Times New Roman" w:hAnsi="Times New Roman"/>
          <w:sz w:val="24"/>
          <w:szCs w:val="28"/>
        </w:rPr>
        <w:t>Iesniedzējs:</w:t>
      </w:r>
    </w:p>
    <w:p w:rsidR="009D7C9D" w:rsidRPr="00F24B6F" w:rsidRDefault="009D7C9D" w:rsidP="009D7C9D">
      <w:pPr>
        <w:tabs>
          <w:tab w:val="left" w:pos="6237"/>
        </w:tabs>
        <w:spacing w:after="0" w:line="240" w:lineRule="auto"/>
        <w:rPr>
          <w:rFonts w:ascii="Times New Roman" w:hAnsi="Times New Roman"/>
          <w:sz w:val="24"/>
          <w:szCs w:val="28"/>
        </w:rPr>
      </w:pPr>
      <w:r w:rsidRPr="00F24B6F">
        <w:rPr>
          <w:rFonts w:ascii="Times New Roman" w:hAnsi="Times New Roman"/>
          <w:sz w:val="24"/>
          <w:szCs w:val="28"/>
        </w:rPr>
        <w:t>Tieslietu ministrijas valsts sekretārs</w:t>
      </w:r>
      <w:r w:rsidRPr="00F24B6F">
        <w:rPr>
          <w:rFonts w:ascii="Times New Roman" w:hAnsi="Times New Roman"/>
          <w:sz w:val="24"/>
          <w:szCs w:val="28"/>
        </w:rPr>
        <w:tab/>
      </w:r>
      <w:r w:rsidRPr="00F24B6F">
        <w:rPr>
          <w:rFonts w:ascii="Times New Roman" w:hAnsi="Times New Roman"/>
          <w:sz w:val="24"/>
          <w:szCs w:val="28"/>
        </w:rPr>
        <w:tab/>
        <w:t>Raivis Kronbergs</w:t>
      </w:r>
    </w:p>
    <w:p w:rsidR="009D7C9D" w:rsidRPr="00F24B6F" w:rsidRDefault="009D7C9D" w:rsidP="009D7C9D">
      <w:pPr>
        <w:tabs>
          <w:tab w:val="left" w:pos="6237"/>
        </w:tabs>
        <w:spacing w:after="0" w:line="240" w:lineRule="auto"/>
        <w:rPr>
          <w:rFonts w:ascii="Times New Roman" w:hAnsi="Times New Roman"/>
          <w:sz w:val="20"/>
          <w:szCs w:val="28"/>
        </w:rPr>
      </w:pPr>
    </w:p>
    <w:p w:rsidR="009D7C9D" w:rsidRDefault="009D7C9D" w:rsidP="009D7C9D">
      <w:pPr>
        <w:tabs>
          <w:tab w:val="left" w:pos="6237"/>
        </w:tabs>
        <w:spacing w:after="0" w:line="240" w:lineRule="auto"/>
        <w:rPr>
          <w:rFonts w:ascii="Times New Roman" w:hAnsi="Times New Roman"/>
          <w:sz w:val="20"/>
          <w:szCs w:val="28"/>
        </w:rPr>
      </w:pPr>
    </w:p>
    <w:p w:rsidR="009D7C9D" w:rsidRPr="00F24B6F" w:rsidRDefault="009D7C9D" w:rsidP="009D7C9D">
      <w:pPr>
        <w:tabs>
          <w:tab w:val="left" w:pos="6237"/>
        </w:tabs>
        <w:spacing w:after="0" w:line="240" w:lineRule="auto"/>
        <w:rPr>
          <w:rFonts w:ascii="Times New Roman" w:hAnsi="Times New Roman"/>
          <w:sz w:val="20"/>
          <w:szCs w:val="28"/>
        </w:rPr>
      </w:pPr>
    </w:p>
    <w:p w:rsidR="009D7C9D" w:rsidRPr="0081667E" w:rsidRDefault="009D7C9D" w:rsidP="009D7C9D">
      <w:pPr>
        <w:pStyle w:val="Bezatstarpm"/>
        <w:jc w:val="both"/>
        <w:rPr>
          <w:rFonts w:ascii="Times New Roman" w:hAnsi="Times New Roman"/>
          <w:sz w:val="20"/>
          <w:szCs w:val="20"/>
        </w:rPr>
      </w:pPr>
      <w:r w:rsidRPr="0081667E">
        <w:rPr>
          <w:rFonts w:ascii="Times New Roman" w:hAnsi="Times New Roman"/>
          <w:sz w:val="20"/>
          <w:szCs w:val="20"/>
        </w:rPr>
        <w:t>Tieslietu ministrijas</w:t>
      </w:r>
    </w:p>
    <w:p w:rsidR="009D7C9D" w:rsidRPr="0081667E" w:rsidRDefault="009D7C9D" w:rsidP="009D7C9D">
      <w:pPr>
        <w:pStyle w:val="Bezatstarpm"/>
        <w:jc w:val="both"/>
        <w:rPr>
          <w:rFonts w:ascii="Times New Roman" w:hAnsi="Times New Roman"/>
          <w:sz w:val="20"/>
          <w:szCs w:val="20"/>
        </w:rPr>
      </w:pPr>
      <w:r w:rsidRPr="0081667E">
        <w:rPr>
          <w:rFonts w:ascii="Times New Roman" w:hAnsi="Times New Roman"/>
          <w:sz w:val="20"/>
          <w:szCs w:val="20"/>
        </w:rPr>
        <w:t xml:space="preserve">Civiltiesību departamenta </w:t>
      </w:r>
    </w:p>
    <w:p w:rsidR="009D7C9D" w:rsidRPr="0081667E" w:rsidRDefault="009D7C9D" w:rsidP="009D7C9D">
      <w:pPr>
        <w:pStyle w:val="Bezatstarpm"/>
        <w:jc w:val="both"/>
        <w:rPr>
          <w:rFonts w:ascii="Times New Roman" w:hAnsi="Times New Roman"/>
          <w:sz w:val="20"/>
          <w:szCs w:val="20"/>
        </w:rPr>
      </w:pPr>
      <w:r w:rsidRPr="0081667E">
        <w:rPr>
          <w:rFonts w:ascii="Times New Roman" w:hAnsi="Times New Roman"/>
          <w:sz w:val="20"/>
          <w:szCs w:val="20"/>
        </w:rPr>
        <w:t>Starptautisko un procesuālo tiesību nodaļas juriste</w:t>
      </w:r>
    </w:p>
    <w:p w:rsidR="009D7C9D" w:rsidRPr="0081667E" w:rsidRDefault="009D7C9D" w:rsidP="009D7C9D">
      <w:pPr>
        <w:pStyle w:val="Bezatstarpm"/>
        <w:jc w:val="both"/>
        <w:rPr>
          <w:rFonts w:ascii="Times New Roman" w:hAnsi="Times New Roman"/>
          <w:sz w:val="20"/>
          <w:szCs w:val="20"/>
        </w:rPr>
      </w:pPr>
      <w:r w:rsidRPr="0081667E">
        <w:rPr>
          <w:rFonts w:ascii="Times New Roman" w:hAnsi="Times New Roman"/>
          <w:sz w:val="20"/>
          <w:szCs w:val="20"/>
        </w:rPr>
        <w:t>E.Feldmane</w:t>
      </w:r>
    </w:p>
    <w:p w:rsidR="009D7C9D" w:rsidRPr="0081667E" w:rsidRDefault="009D4D91" w:rsidP="009D7C9D">
      <w:pPr>
        <w:pStyle w:val="Bezatstarpm"/>
        <w:jc w:val="both"/>
        <w:rPr>
          <w:rFonts w:ascii="Times New Roman" w:hAnsi="Times New Roman"/>
          <w:sz w:val="20"/>
          <w:szCs w:val="20"/>
        </w:rPr>
      </w:pPr>
      <w:hyperlink r:id="rId9" w:history="1">
        <w:r w:rsidR="009D7C9D" w:rsidRPr="000F3976">
          <w:rPr>
            <w:rStyle w:val="Hipersaite"/>
            <w:rFonts w:ascii="Times New Roman" w:hAnsi="Times New Roman"/>
            <w:sz w:val="20"/>
            <w:szCs w:val="20"/>
          </w:rPr>
          <w:t>Elina.Feldmane@tm.gov.lv</w:t>
        </w:r>
      </w:hyperlink>
      <w:r w:rsidR="009D7C9D">
        <w:rPr>
          <w:rFonts w:ascii="Times New Roman" w:hAnsi="Times New Roman"/>
          <w:sz w:val="20"/>
          <w:szCs w:val="20"/>
        </w:rPr>
        <w:t>,</w:t>
      </w:r>
      <w:r w:rsidR="009D7C9D" w:rsidRPr="0081667E">
        <w:rPr>
          <w:rFonts w:ascii="Times New Roman" w:hAnsi="Times New Roman"/>
          <w:sz w:val="20"/>
          <w:szCs w:val="20"/>
        </w:rPr>
        <w:t xml:space="preserve"> 67036945</w:t>
      </w:r>
    </w:p>
    <w:p w:rsidR="009D7C9D" w:rsidRPr="009411FA" w:rsidRDefault="009D7C9D" w:rsidP="009411FA">
      <w:pPr>
        <w:pStyle w:val="Bezatstarpm"/>
        <w:ind w:right="84"/>
        <w:rPr>
          <w:rFonts w:ascii="Times New Roman" w:hAnsi="Times New Roman" w:cs="Times New Roman"/>
          <w:sz w:val="24"/>
          <w:szCs w:val="24"/>
        </w:rPr>
      </w:pPr>
    </w:p>
    <w:sectPr w:rsidR="009D7C9D" w:rsidRPr="009411FA" w:rsidSect="009D4D91">
      <w:headerReference w:type="default" r:id="rId10"/>
      <w:footerReference w:type="default" r:id="rId11"/>
      <w:headerReference w:type="first" r:id="rId12"/>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F1E" w:rsidRDefault="00E16F1E" w:rsidP="00857017">
      <w:pPr>
        <w:spacing w:after="0" w:line="240" w:lineRule="auto"/>
      </w:pPr>
      <w:r>
        <w:separator/>
      </w:r>
    </w:p>
  </w:endnote>
  <w:endnote w:type="continuationSeparator" w:id="0">
    <w:p w:rsidR="00E16F1E" w:rsidRDefault="00E16F1E" w:rsidP="00857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81779"/>
      <w:docPartObj>
        <w:docPartGallery w:val="Page Numbers (Bottom of Page)"/>
        <w:docPartUnique/>
      </w:docPartObj>
    </w:sdtPr>
    <w:sdtEndPr>
      <w:rPr>
        <w:rFonts w:ascii="Times New Roman" w:hAnsi="Times New Roman"/>
        <w:sz w:val="24"/>
      </w:rPr>
    </w:sdtEndPr>
    <w:sdtContent>
      <w:p w:rsidR="009D4D91" w:rsidRPr="009D4D91" w:rsidRDefault="009D4D91" w:rsidP="009D4D91">
        <w:pPr>
          <w:pStyle w:val="Kjene"/>
          <w:jc w:val="center"/>
          <w:rPr>
            <w:rFonts w:ascii="Times New Roman" w:hAnsi="Times New Roman"/>
            <w:sz w:val="24"/>
          </w:rPr>
        </w:pPr>
        <w:r w:rsidRPr="009D4D91">
          <w:rPr>
            <w:rFonts w:ascii="Times New Roman" w:hAnsi="Times New Roman"/>
            <w:sz w:val="24"/>
          </w:rPr>
          <w:fldChar w:fldCharType="begin"/>
        </w:r>
        <w:r w:rsidRPr="009D4D91">
          <w:rPr>
            <w:rFonts w:ascii="Times New Roman" w:hAnsi="Times New Roman"/>
            <w:sz w:val="24"/>
          </w:rPr>
          <w:instrText>PAGE   \* MERGEFORMAT</w:instrText>
        </w:r>
        <w:r w:rsidRPr="009D4D91">
          <w:rPr>
            <w:rFonts w:ascii="Times New Roman" w:hAnsi="Times New Roman"/>
            <w:sz w:val="24"/>
          </w:rPr>
          <w:fldChar w:fldCharType="separate"/>
        </w:r>
        <w:r>
          <w:rPr>
            <w:rFonts w:ascii="Times New Roman" w:hAnsi="Times New Roman"/>
            <w:noProof/>
            <w:sz w:val="24"/>
          </w:rPr>
          <w:t>1</w:t>
        </w:r>
        <w:r w:rsidRPr="009D4D91">
          <w:rPr>
            <w:rFonts w:ascii="Times New Roman" w:hAnsi="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F1E" w:rsidRDefault="00E16F1E" w:rsidP="00857017">
      <w:pPr>
        <w:spacing w:after="0" w:line="240" w:lineRule="auto"/>
      </w:pPr>
      <w:r>
        <w:separator/>
      </w:r>
    </w:p>
  </w:footnote>
  <w:footnote w:type="continuationSeparator" w:id="0">
    <w:p w:rsidR="00E16F1E" w:rsidRDefault="00E16F1E" w:rsidP="00857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163319"/>
      <w:docPartObj>
        <w:docPartGallery w:val="Page Numbers (Top of Page)"/>
        <w:docPartUnique/>
      </w:docPartObj>
    </w:sdtPr>
    <w:sdtEndPr>
      <w:rPr>
        <w:rFonts w:ascii="Times New Roman" w:hAnsi="Times New Roman"/>
        <w:sz w:val="24"/>
        <w:szCs w:val="24"/>
      </w:rPr>
    </w:sdtEndPr>
    <w:sdtContent>
      <w:p w:rsidR="00E16F1E" w:rsidRPr="00850077" w:rsidRDefault="009D4D91" w:rsidP="009D4D91">
        <w:pPr>
          <w:pStyle w:val="Galvene"/>
          <w:jc w:val="right"/>
          <w:rPr>
            <w:rFonts w:ascii="Times New Roman" w:hAnsi="Times New Roman"/>
            <w:sz w:val="24"/>
            <w:szCs w:val="24"/>
          </w:rPr>
        </w:pPr>
        <w:r>
          <w:rPr>
            <w:rFonts w:ascii="Times New Roman" w:hAnsi="Times New Roman"/>
            <w:i/>
            <w:sz w:val="24"/>
            <w:szCs w:val="24"/>
          </w:rPr>
          <w:t>Projekts</w:t>
        </w:r>
      </w:p>
    </w:sdtContent>
  </w:sdt>
  <w:p w:rsidR="00E16F1E" w:rsidRDefault="00E16F1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D91" w:rsidRPr="009D4D91" w:rsidRDefault="009D4D91" w:rsidP="009D4D91">
    <w:pPr>
      <w:pStyle w:val="Galvene"/>
      <w:jc w:val="right"/>
      <w:rPr>
        <w:i/>
      </w:rPr>
    </w:pPr>
    <w:r>
      <w:rPr>
        <w:i/>
      </w:rP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A3A7B"/>
    <w:multiLevelType w:val="hybridMultilevel"/>
    <w:tmpl w:val="E00CDA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7030554"/>
    <w:multiLevelType w:val="hybridMultilevel"/>
    <w:tmpl w:val="7570DA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9190728"/>
    <w:multiLevelType w:val="hybridMultilevel"/>
    <w:tmpl w:val="C62AC77A"/>
    <w:lvl w:ilvl="0" w:tplc="02AE5044">
      <w:start w:val="1"/>
      <w:numFmt w:val="decimal"/>
      <w:lvlText w:val="%1)"/>
      <w:lvlJc w:val="left"/>
      <w:pPr>
        <w:ind w:left="720" w:hanging="360"/>
      </w:pPr>
      <w:rPr>
        <w:rFonts w:cstheme="minorBidi"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B210916"/>
    <w:multiLevelType w:val="hybridMultilevel"/>
    <w:tmpl w:val="C152E6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16853DA"/>
    <w:multiLevelType w:val="hybridMultilevel"/>
    <w:tmpl w:val="9B0456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A636B2A"/>
    <w:multiLevelType w:val="hybridMultilevel"/>
    <w:tmpl w:val="1F44B6F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AB25843"/>
    <w:multiLevelType w:val="hybridMultilevel"/>
    <w:tmpl w:val="98B250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5991CF5"/>
    <w:multiLevelType w:val="hybridMultilevel"/>
    <w:tmpl w:val="5524B980"/>
    <w:lvl w:ilvl="0" w:tplc="5552B564">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8">
    <w:nsid w:val="57731C75"/>
    <w:multiLevelType w:val="hybridMultilevel"/>
    <w:tmpl w:val="9C5E5736"/>
    <w:lvl w:ilvl="0" w:tplc="25F6CBF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5AB22F54"/>
    <w:multiLevelType w:val="hybridMultilevel"/>
    <w:tmpl w:val="F27C0C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62994642"/>
    <w:multiLevelType w:val="hybridMultilevel"/>
    <w:tmpl w:val="47C01988"/>
    <w:lvl w:ilvl="0" w:tplc="04688BDE">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1">
    <w:nsid w:val="631D2915"/>
    <w:multiLevelType w:val="hybridMultilevel"/>
    <w:tmpl w:val="9E08134C"/>
    <w:lvl w:ilvl="0" w:tplc="5272434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2">
    <w:nsid w:val="66BA42A5"/>
    <w:multiLevelType w:val="hybridMultilevel"/>
    <w:tmpl w:val="9124B3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BD2228E"/>
    <w:multiLevelType w:val="hybridMultilevel"/>
    <w:tmpl w:val="4DC86EA6"/>
    <w:lvl w:ilvl="0" w:tplc="509254FA">
      <w:start w:val="1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752D110A"/>
    <w:multiLevelType w:val="hybridMultilevel"/>
    <w:tmpl w:val="771019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9"/>
  </w:num>
  <w:num w:numId="5">
    <w:abstractNumId w:val="2"/>
  </w:num>
  <w:num w:numId="6">
    <w:abstractNumId w:val="6"/>
  </w:num>
  <w:num w:numId="7">
    <w:abstractNumId w:val="12"/>
  </w:num>
  <w:num w:numId="8">
    <w:abstractNumId w:val="14"/>
  </w:num>
  <w:num w:numId="9">
    <w:abstractNumId w:val="0"/>
  </w:num>
  <w:num w:numId="10">
    <w:abstractNumId w:val="5"/>
  </w:num>
  <w:num w:numId="11">
    <w:abstractNumId w:val="1"/>
  </w:num>
  <w:num w:numId="12">
    <w:abstractNumId w:val="4"/>
  </w:num>
  <w:num w:numId="13">
    <w:abstractNumId w:val="3"/>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1FA"/>
    <w:rsid w:val="00010F8F"/>
    <w:rsid w:val="00016A52"/>
    <w:rsid w:val="00021863"/>
    <w:rsid w:val="0003034B"/>
    <w:rsid w:val="0003181D"/>
    <w:rsid w:val="00032185"/>
    <w:rsid w:val="00032B91"/>
    <w:rsid w:val="0003755D"/>
    <w:rsid w:val="00040536"/>
    <w:rsid w:val="00055ECF"/>
    <w:rsid w:val="0006435A"/>
    <w:rsid w:val="00066D04"/>
    <w:rsid w:val="00071B72"/>
    <w:rsid w:val="00072436"/>
    <w:rsid w:val="00076A78"/>
    <w:rsid w:val="00092A2D"/>
    <w:rsid w:val="0009389A"/>
    <w:rsid w:val="00096F56"/>
    <w:rsid w:val="0009741A"/>
    <w:rsid w:val="000A6BCC"/>
    <w:rsid w:val="000B3CB8"/>
    <w:rsid w:val="000B5047"/>
    <w:rsid w:val="000B7F5D"/>
    <w:rsid w:val="000E5180"/>
    <w:rsid w:val="000F3B2B"/>
    <w:rsid w:val="0010121D"/>
    <w:rsid w:val="00102F7A"/>
    <w:rsid w:val="001036E1"/>
    <w:rsid w:val="00103875"/>
    <w:rsid w:val="00106746"/>
    <w:rsid w:val="001128EA"/>
    <w:rsid w:val="00115778"/>
    <w:rsid w:val="00125B45"/>
    <w:rsid w:val="00136A90"/>
    <w:rsid w:val="0013751E"/>
    <w:rsid w:val="00150B46"/>
    <w:rsid w:val="00151D0E"/>
    <w:rsid w:val="00155CF4"/>
    <w:rsid w:val="00161C1B"/>
    <w:rsid w:val="00162383"/>
    <w:rsid w:val="0016379F"/>
    <w:rsid w:val="001665E2"/>
    <w:rsid w:val="00171943"/>
    <w:rsid w:val="001862E2"/>
    <w:rsid w:val="001A161B"/>
    <w:rsid w:val="001B1716"/>
    <w:rsid w:val="001C23EF"/>
    <w:rsid w:val="001C4000"/>
    <w:rsid w:val="001D45AB"/>
    <w:rsid w:val="001D4AA2"/>
    <w:rsid w:val="001E1F7D"/>
    <w:rsid w:val="001F1F02"/>
    <w:rsid w:val="001F73A3"/>
    <w:rsid w:val="00205E74"/>
    <w:rsid w:val="002076E2"/>
    <w:rsid w:val="00207DD9"/>
    <w:rsid w:val="002174D9"/>
    <w:rsid w:val="0021773B"/>
    <w:rsid w:val="002235AC"/>
    <w:rsid w:val="002320AB"/>
    <w:rsid w:val="00233D51"/>
    <w:rsid w:val="002360D2"/>
    <w:rsid w:val="00236591"/>
    <w:rsid w:val="002412C6"/>
    <w:rsid w:val="00243C84"/>
    <w:rsid w:val="00254698"/>
    <w:rsid w:val="00256337"/>
    <w:rsid w:val="00256710"/>
    <w:rsid w:val="0026707A"/>
    <w:rsid w:val="002940BE"/>
    <w:rsid w:val="002A2A49"/>
    <w:rsid w:val="002A35EB"/>
    <w:rsid w:val="002B1C51"/>
    <w:rsid w:val="002B399A"/>
    <w:rsid w:val="002B6016"/>
    <w:rsid w:val="002B657B"/>
    <w:rsid w:val="002B7EB0"/>
    <w:rsid w:val="002C3C5D"/>
    <w:rsid w:val="002D38C6"/>
    <w:rsid w:val="002E2242"/>
    <w:rsid w:val="002E5BCB"/>
    <w:rsid w:val="00300FE1"/>
    <w:rsid w:val="00323D9E"/>
    <w:rsid w:val="003349DE"/>
    <w:rsid w:val="003420DC"/>
    <w:rsid w:val="0034585B"/>
    <w:rsid w:val="00345966"/>
    <w:rsid w:val="00346393"/>
    <w:rsid w:val="003546CE"/>
    <w:rsid w:val="0038122A"/>
    <w:rsid w:val="00383FD7"/>
    <w:rsid w:val="0039008F"/>
    <w:rsid w:val="00396DB1"/>
    <w:rsid w:val="003970BC"/>
    <w:rsid w:val="003A367D"/>
    <w:rsid w:val="003A4C60"/>
    <w:rsid w:val="003A4F51"/>
    <w:rsid w:val="003B775A"/>
    <w:rsid w:val="003B77F0"/>
    <w:rsid w:val="003C1D98"/>
    <w:rsid w:val="003D0B62"/>
    <w:rsid w:val="003D0CFC"/>
    <w:rsid w:val="003D24F8"/>
    <w:rsid w:val="003E7203"/>
    <w:rsid w:val="003F383C"/>
    <w:rsid w:val="004007A9"/>
    <w:rsid w:val="0041223F"/>
    <w:rsid w:val="004210C1"/>
    <w:rsid w:val="004307A0"/>
    <w:rsid w:val="00444D4D"/>
    <w:rsid w:val="00450CEE"/>
    <w:rsid w:val="00451F14"/>
    <w:rsid w:val="00455505"/>
    <w:rsid w:val="0045705D"/>
    <w:rsid w:val="00462020"/>
    <w:rsid w:val="00463254"/>
    <w:rsid w:val="004657DA"/>
    <w:rsid w:val="00465F09"/>
    <w:rsid w:val="00474A56"/>
    <w:rsid w:val="00474FF2"/>
    <w:rsid w:val="00475D4A"/>
    <w:rsid w:val="00484434"/>
    <w:rsid w:val="004923BA"/>
    <w:rsid w:val="00494B1B"/>
    <w:rsid w:val="00495691"/>
    <w:rsid w:val="00495BF5"/>
    <w:rsid w:val="00496F02"/>
    <w:rsid w:val="004A00D8"/>
    <w:rsid w:val="004B5693"/>
    <w:rsid w:val="004C449A"/>
    <w:rsid w:val="004C682D"/>
    <w:rsid w:val="004D01BE"/>
    <w:rsid w:val="004D557A"/>
    <w:rsid w:val="004D6F34"/>
    <w:rsid w:val="004E0E68"/>
    <w:rsid w:val="004E112F"/>
    <w:rsid w:val="004E1B70"/>
    <w:rsid w:val="004E59B2"/>
    <w:rsid w:val="004F343B"/>
    <w:rsid w:val="00500A4A"/>
    <w:rsid w:val="0050232F"/>
    <w:rsid w:val="005131AE"/>
    <w:rsid w:val="005228C9"/>
    <w:rsid w:val="00526981"/>
    <w:rsid w:val="00534B6E"/>
    <w:rsid w:val="0053548F"/>
    <w:rsid w:val="00547391"/>
    <w:rsid w:val="0055409B"/>
    <w:rsid w:val="00557104"/>
    <w:rsid w:val="00560C77"/>
    <w:rsid w:val="00560EB9"/>
    <w:rsid w:val="0056111B"/>
    <w:rsid w:val="00561F49"/>
    <w:rsid w:val="00562BF6"/>
    <w:rsid w:val="00563BBF"/>
    <w:rsid w:val="0056575E"/>
    <w:rsid w:val="00565DBC"/>
    <w:rsid w:val="00566AE6"/>
    <w:rsid w:val="00567845"/>
    <w:rsid w:val="00571EBE"/>
    <w:rsid w:val="00572013"/>
    <w:rsid w:val="00580AC4"/>
    <w:rsid w:val="005835C9"/>
    <w:rsid w:val="00592192"/>
    <w:rsid w:val="005C31B7"/>
    <w:rsid w:val="005C5164"/>
    <w:rsid w:val="005C7160"/>
    <w:rsid w:val="005D0E72"/>
    <w:rsid w:val="005D37A8"/>
    <w:rsid w:val="005D7135"/>
    <w:rsid w:val="005E43F1"/>
    <w:rsid w:val="005E4A79"/>
    <w:rsid w:val="005F4FF2"/>
    <w:rsid w:val="005F6AF5"/>
    <w:rsid w:val="005F7AAE"/>
    <w:rsid w:val="00604BB4"/>
    <w:rsid w:val="006078D2"/>
    <w:rsid w:val="006172B8"/>
    <w:rsid w:val="00630B8E"/>
    <w:rsid w:val="00636E7B"/>
    <w:rsid w:val="0064635F"/>
    <w:rsid w:val="006503B7"/>
    <w:rsid w:val="00654C54"/>
    <w:rsid w:val="006637BE"/>
    <w:rsid w:val="00664B71"/>
    <w:rsid w:val="00664F78"/>
    <w:rsid w:val="006839B1"/>
    <w:rsid w:val="0068408B"/>
    <w:rsid w:val="006843EE"/>
    <w:rsid w:val="00685085"/>
    <w:rsid w:val="00690219"/>
    <w:rsid w:val="00692928"/>
    <w:rsid w:val="00693EFB"/>
    <w:rsid w:val="00697C12"/>
    <w:rsid w:val="006A4F06"/>
    <w:rsid w:val="006A670D"/>
    <w:rsid w:val="006A6E4C"/>
    <w:rsid w:val="006B17CF"/>
    <w:rsid w:val="006B2407"/>
    <w:rsid w:val="006B4850"/>
    <w:rsid w:val="006C54BF"/>
    <w:rsid w:val="006D53EB"/>
    <w:rsid w:val="006D7175"/>
    <w:rsid w:val="006E03F2"/>
    <w:rsid w:val="006E1F47"/>
    <w:rsid w:val="006F05E0"/>
    <w:rsid w:val="006F6792"/>
    <w:rsid w:val="007014CC"/>
    <w:rsid w:val="007043B2"/>
    <w:rsid w:val="00707821"/>
    <w:rsid w:val="00707A78"/>
    <w:rsid w:val="0071218F"/>
    <w:rsid w:val="00712E36"/>
    <w:rsid w:val="0073297B"/>
    <w:rsid w:val="00732BCB"/>
    <w:rsid w:val="007339E0"/>
    <w:rsid w:val="00737B72"/>
    <w:rsid w:val="00741BF7"/>
    <w:rsid w:val="00742412"/>
    <w:rsid w:val="007469F7"/>
    <w:rsid w:val="0075183B"/>
    <w:rsid w:val="0075254C"/>
    <w:rsid w:val="007550B1"/>
    <w:rsid w:val="0075753F"/>
    <w:rsid w:val="007622BC"/>
    <w:rsid w:val="0076605B"/>
    <w:rsid w:val="007661D8"/>
    <w:rsid w:val="00766756"/>
    <w:rsid w:val="007706B3"/>
    <w:rsid w:val="00773657"/>
    <w:rsid w:val="007748DE"/>
    <w:rsid w:val="007861C7"/>
    <w:rsid w:val="00790530"/>
    <w:rsid w:val="00790747"/>
    <w:rsid w:val="0079442F"/>
    <w:rsid w:val="007A1ACB"/>
    <w:rsid w:val="007A43BF"/>
    <w:rsid w:val="007B164D"/>
    <w:rsid w:val="007B290A"/>
    <w:rsid w:val="007B3AAD"/>
    <w:rsid w:val="007C04D7"/>
    <w:rsid w:val="007C0E84"/>
    <w:rsid w:val="007C1E43"/>
    <w:rsid w:val="007C6B5B"/>
    <w:rsid w:val="007C6EC4"/>
    <w:rsid w:val="007C6EEB"/>
    <w:rsid w:val="007C754F"/>
    <w:rsid w:val="007D6FD1"/>
    <w:rsid w:val="007D7777"/>
    <w:rsid w:val="007E5811"/>
    <w:rsid w:val="007E6830"/>
    <w:rsid w:val="007E6912"/>
    <w:rsid w:val="007F743C"/>
    <w:rsid w:val="00812CB4"/>
    <w:rsid w:val="00814197"/>
    <w:rsid w:val="00816406"/>
    <w:rsid w:val="0082042B"/>
    <w:rsid w:val="00850077"/>
    <w:rsid w:val="00850270"/>
    <w:rsid w:val="00854E00"/>
    <w:rsid w:val="00856393"/>
    <w:rsid w:val="00857017"/>
    <w:rsid w:val="00865CDB"/>
    <w:rsid w:val="00872258"/>
    <w:rsid w:val="00872BC0"/>
    <w:rsid w:val="008732C9"/>
    <w:rsid w:val="008738A2"/>
    <w:rsid w:val="00876132"/>
    <w:rsid w:val="00887814"/>
    <w:rsid w:val="008975DA"/>
    <w:rsid w:val="008A1CF6"/>
    <w:rsid w:val="008A3F64"/>
    <w:rsid w:val="008B005C"/>
    <w:rsid w:val="008B059B"/>
    <w:rsid w:val="008B2781"/>
    <w:rsid w:val="008B5888"/>
    <w:rsid w:val="008B5B63"/>
    <w:rsid w:val="008B6328"/>
    <w:rsid w:val="008C61A8"/>
    <w:rsid w:val="008C62D0"/>
    <w:rsid w:val="008D19D9"/>
    <w:rsid w:val="008D39F1"/>
    <w:rsid w:val="008D5ED1"/>
    <w:rsid w:val="008D7DA2"/>
    <w:rsid w:val="008E0213"/>
    <w:rsid w:val="008E5869"/>
    <w:rsid w:val="009074C3"/>
    <w:rsid w:val="0091133D"/>
    <w:rsid w:val="00913FA1"/>
    <w:rsid w:val="00914879"/>
    <w:rsid w:val="009152C2"/>
    <w:rsid w:val="00915303"/>
    <w:rsid w:val="00924C8D"/>
    <w:rsid w:val="009411FA"/>
    <w:rsid w:val="0094160C"/>
    <w:rsid w:val="009443D0"/>
    <w:rsid w:val="00951C73"/>
    <w:rsid w:val="00955FC1"/>
    <w:rsid w:val="00962D86"/>
    <w:rsid w:val="00965CBE"/>
    <w:rsid w:val="0096600E"/>
    <w:rsid w:val="00966548"/>
    <w:rsid w:val="00980F43"/>
    <w:rsid w:val="00981B65"/>
    <w:rsid w:val="00981FFC"/>
    <w:rsid w:val="009853C3"/>
    <w:rsid w:val="0099717A"/>
    <w:rsid w:val="009A218B"/>
    <w:rsid w:val="009B1EB7"/>
    <w:rsid w:val="009C1A38"/>
    <w:rsid w:val="009C35E0"/>
    <w:rsid w:val="009D0DE6"/>
    <w:rsid w:val="009D4D91"/>
    <w:rsid w:val="009D6833"/>
    <w:rsid w:val="009D7C9D"/>
    <w:rsid w:val="009E22F2"/>
    <w:rsid w:val="009E4C67"/>
    <w:rsid w:val="009E538F"/>
    <w:rsid w:val="009E7D84"/>
    <w:rsid w:val="009F117C"/>
    <w:rsid w:val="009F3393"/>
    <w:rsid w:val="00A062B0"/>
    <w:rsid w:val="00A133DD"/>
    <w:rsid w:val="00A152C7"/>
    <w:rsid w:val="00A17FD0"/>
    <w:rsid w:val="00A216E0"/>
    <w:rsid w:val="00A26D2F"/>
    <w:rsid w:val="00A32540"/>
    <w:rsid w:val="00A37633"/>
    <w:rsid w:val="00A37642"/>
    <w:rsid w:val="00A430CB"/>
    <w:rsid w:val="00A5580B"/>
    <w:rsid w:val="00A61323"/>
    <w:rsid w:val="00A66A3F"/>
    <w:rsid w:val="00A75793"/>
    <w:rsid w:val="00A82146"/>
    <w:rsid w:val="00A83B6A"/>
    <w:rsid w:val="00A86A17"/>
    <w:rsid w:val="00A86EB4"/>
    <w:rsid w:val="00A90CDD"/>
    <w:rsid w:val="00AA1C21"/>
    <w:rsid w:val="00AA32D9"/>
    <w:rsid w:val="00AA4306"/>
    <w:rsid w:val="00AA7063"/>
    <w:rsid w:val="00AB5CC3"/>
    <w:rsid w:val="00AB68B4"/>
    <w:rsid w:val="00AE0573"/>
    <w:rsid w:val="00AE0AEE"/>
    <w:rsid w:val="00AE3BDD"/>
    <w:rsid w:val="00B138A7"/>
    <w:rsid w:val="00B161AA"/>
    <w:rsid w:val="00B20151"/>
    <w:rsid w:val="00B302C4"/>
    <w:rsid w:val="00B31B8F"/>
    <w:rsid w:val="00B327A9"/>
    <w:rsid w:val="00B362B3"/>
    <w:rsid w:val="00B37272"/>
    <w:rsid w:val="00B450FC"/>
    <w:rsid w:val="00B461AA"/>
    <w:rsid w:val="00B526D2"/>
    <w:rsid w:val="00B55413"/>
    <w:rsid w:val="00B65010"/>
    <w:rsid w:val="00B65F2B"/>
    <w:rsid w:val="00B70FEC"/>
    <w:rsid w:val="00B75728"/>
    <w:rsid w:val="00B779B2"/>
    <w:rsid w:val="00B84C6B"/>
    <w:rsid w:val="00B850AA"/>
    <w:rsid w:val="00B90344"/>
    <w:rsid w:val="00B94341"/>
    <w:rsid w:val="00B96D86"/>
    <w:rsid w:val="00BA21CF"/>
    <w:rsid w:val="00BA28DA"/>
    <w:rsid w:val="00BB1803"/>
    <w:rsid w:val="00BB2F53"/>
    <w:rsid w:val="00BB606F"/>
    <w:rsid w:val="00BB7189"/>
    <w:rsid w:val="00BB7C75"/>
    <w:rsid w:val="00BC1EE5"/>
    <w:rsid w:val="00BC2374"/>
    <w:rsid w:val="00BC564A"/>
    <w:rsid w:val="00BD5783"/>
    <w:rsid w:val="00BE2B83"/>
    <w:rsid w:val="00BE6DC9"/>
    <w:rsid w:val="00BF07B3"/>
    <w:rsid w:val="00BF1B3D"/>
    <w:rsid w:val="00BF405D"/>
    <w:rsid w:val="00BF6B79"/>
    <w:rsid w:val="00BF7F06"/>
    <w:rsid w:val="00C047D9"/>
    <w:rsid w:val="00C06E1D"/>
    <w:rsid w:val="00C1004C"/>
    <w:rsid w:val="00C10A0A"/>
    <w:rsid w:val="00C14105"/>
    <w:rsid w:val="00C148BC"/>
    <w:rsid w:val="00C23322"/>
    <w:rsid w:val="00C26193"/>
    <w:rsid w:val="00C379DD"/>
    <w:rsid w:val="00C5094E"/>
    <w:rsid w:val="00C55D6D"/>
    <w:rsid w:val="00C62379"/>
    <w:rsid w:val="00C70161"/>
    <w:rsid w:val="00C705C6"/>
    <w:rsid w:val="00C737F8"/>
    <w:rsid w:val="00C850BB"/>
    <w:rsid w:val="00C95E90"/>
    <w:rsid w:val="00CA2181"/>
    <w:rsid w:val="00CA6376"/>
    <w:rsid w:val="00CD376A"/>
    <w:rsid w:val="00CD5986"/>
    <w:rsid w:val="00CD67DC"/>
    <w:rsid w:val="00CD79D8"/>
    <w:rsid w:val="00CE6C7D"/>
    <w:rsid w:val="00CF02F3"/>
    <w:rsid w:val="00CF309F"/>
    <w:rsid w:val="00CF3805"/>
    <w:rsid w:val="00D01216"/>
    <w:rsid w:val="00D1262A"/>
    <w:rsid w:val="00D12BC3"/>
    <w:rsid w:val="00D12BE5"/>
    <w:rsid w:val="00D24942"/>
    <w:rsid w:val="00D334B9"/>
    <w:rsid w:val="00D36007"/>
    <w:rsid w:val="00D36DFA"/>
    <w:rsid w:val="00D41D66"/>
    <w:rsid w:val="00D45F14"/>
    <w:rsid w:val="00D46358"/>
    <w:rsid w:val="00D5106E"/>
    <w:rsid w:val="00D652C6"/>
    <w:rsid w:val="00D82095"/>
    <w:rsid w:val="00D84A57"/>
    <w:rsid w:val="00D85539"/>
    <w:rsid w:val="00D94A79"/>
    <w:rsid w:val="00D969F8"/>
    <w:rsid w:val="00DA2978"/>
    <w:rsid w:val="00DA4ABA"/>
    <w:rsid w:val="00DA7F63"/>
    <w:rsid w:val="00DB29FC"/>
    <w:rsid w:val="00DD1B9D"/>
    <w:rsid w:val="00DD4EE1"/>
    <w:rsid w:val="00DD50D6"/>
    <w:rsid w:val="00DE54E1"/>
    <w:rsid w:val="00DF1EA7"/>
    <w:rsid w:val="00E01DF4"/>
    <w:rsid w:val="00E02FAE"/>
    <w:rsid w:val="00E0468A"/>
    <w:rsid w:val="00E16F1E"/>
    <w:rsid w:val="00E25C80"/>
    <w:rsid w:val="00E30214"/>
    <w:rsid w:val="00E33B02"/>
    <w:rsid w:val="00E35932"/>
    <w:rsid w:val="00E55787"/>
    <w:rsid w:val="00E65D09"/>
    <w:rsid w:val="00E749AE"/>
    <w:rsid w:val="00E82F8B"/>
    <w:rsid w:val="00E84FB8"/>
    <w:rsid w:val="00EB00FB"/>
    <w:rsid w:val="00EB2CBD"/>
    <w:rsid w:val="00EB7006"/>
    <w:rsid w:val="00EC2F08"/>
    <w:rsid w:val="00EC4782"/>
    <w:rsid w:val="00EC4B52"/>
    <w:rsid w:val="00ED14DD"/>
    <w:rsid w:val="00ED2A48"/>
    <w:rsid w:val="00ED5045"/>
    <w:rsid w:val="00ED5BD2"/>
    <w:rsid w:val="00EE4968"/>
    <w:rsid w:val="00EE4B2A"/>
    <w:rsid w:val="00EE5292"/>
    <w:rsid w:val="00EE7E1E"/>
    <w:rsid w:val="00EF13F7"/>
    <w:rsid w:val="00EF259F"/>
    <w:rsid w:val="00EF25AB"/>
    <w:rsid w:val="00EF4903"/>
    <w:rsid w:val="00F01268"/>
    <w:rsid w:val="00F01A64"/>
    <w:rsid w:val="00F07F6A"/>
    <w:rsid w:val="00F1313A"/>
    <w:rsid w:val="00F16F03"/>
    <w:rsid w:val="00F23FDC"/>
    <w:rsid w:val="00F2500D"/>
    <w:rsid w:val="00F25160"/>
    <w:rsid w:val="00F31467"/>
    <w:rsid w:val="00F46B10"/>
    <w:rsid w:val="00F50081"/>
    <w:rsid w:val="00F53CA0"/>
    <w:rsid w:val="00F66FD5"/>
    <w:rsid w:val="00F7228E"/>
    <w:rsid w:val="00F73D70"/>
    <w:rsid w:val="00F751A2"/>
    <w:rsid w:val="00F83AF9"/>
    <w:rsid w:val="00F8554F"/>
    <w:rsid w:val="00F85744"/>
    <w:rsid w:val="00F94326"/>
    <w:rsid w:val="00FC0691"/>
    <w:rsid w:val="00FC2F22"/>
    <w:rsid w:val="00FC43EC"/>
    <w:rsid w:val="00FD1D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57017"/>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9411FA"/>
    <w:pPr>
      <w:spacing w:after="0" w:line="240" w:lineRule="auto"/>
    </w:pPr>
  </w:style>
  <w:style w:type="character" w:styleId="Hipersaite">
    <w:name w:val="Hyperlink"/>
    <w:basedOn w:val="Noklusjumarindkopasfonts"/>
    <w:uiPriority w:val="99"/>
    <w:unhideWhenUsed/>
    <w:rsid w:val="009411FA"/>
    <w:rPr>
      <w:color w:val="0000FF" w:themeColor="hyperlink"/>
      <w:u w:val="single"/>
    </w:rPr>
  </w:style>
  <w:style w:type="paragraph" w:styleId="Vresteksts">
    <w:name w:val="footnote text"/>
    <w:basedOn w:val="Parasts"/>
    <w:link w:val="VrestekstsRakstz"/>
    <w:unhideWhenUsed/>
    <w:rsid w:val="00857017"/>
    <w:pPr>
      <w:spacing w:after="0" w:line="240" w:lineRule="auto"/>
    </w:pPr>
    <w:rPr>
      <w:rFonts w:ascii="Times New Roman" w:eastAsia="Times New Roman" w:hAnsi="Times New Roman"/>
      <w:sz w:val="20"/>
      <w:szCs w:val="20"/>
      <w:lang w:val="en-US"/>
    </w:rPr>
  </w:style>
  <w:style w:type="character" w:customStyle="1" w:styleId="VrestekstsRakstz">
    <w:name w:val="Vēres teksts Rakstz."/>
    <w:basedOn w:val="Noklusjumarindkopasfonts"/>
    <w:link w:val="Vresteksts"/>
    <w:rsid w:val="00857017"/>
    <w:rPr>
      <w:rFonts w:ascii="Times New Roman" w:eastAsia="Times New Roman" w:hAnsi="Times New Roman" w:cs="Times New Roman"/>
      <w:sz w:val="20"/>
      <w:szCs w:val="20"/>
      <w:lang w:val="en-US"/>
    </w:rPr>
  </w:style>
  <w:style w:type="character" w:styleId="Vresatsauce">
    <w:name w:val="footnote reference"/>
    <w:aliases w:val="Footnote Reference Superscript,Footnote Reference text,Footnote symbol,Voetnootverwijzing,footnote ref,FR,Fußnotenzeichen diss neu,Times 10 Point,Exposant 3 Point,Odwołanie przypisu,BVI fnr,Footnote,Footnotes refss,SUPERS,Re"/>
    <w:unhideWhenUsed/>
    <w:rsid w:val="00857017"/>
    <w:rPr>
      <w:vertAlign w:val="superscript"/>
    </w:rPr>
  </w:style>
  <w:style w:type="character" w:styleId="Komentraatsauce">
    <w:name w:val="annotation reference"/>
    <w:basedOn w:val="Noklusjumarindkopasfonts"/>
    <w:uiPriority w:val="99"/>
    <w:semiHidden/>
    <w:unhideWhenUsed/>
    <w:rsid w:val="00DF1EA7"/>
    <w:rPr>
      <w:sz w:val="16"/>
      <w:szCs w:val="16"/>
    </w:rPr>
  </w:style>
  <w:style w:type="paragraph" w:styleId="Komentrateksts">
    <w:name w:val="annotation text"/>
    <w:basedOn w:val="Parasts"/>
    <w:link w:val="KomentratekstsRakstz"/>
    <w:uiPriority w:val="99"/>
    <w:semiHidden/>
    <w:unhideWhenUsed/>
    <w:rsid w:val="00DF1EA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F1EA7"/>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DF1EA7"/>
    <w:rPr>
      <w:b/>
      <w:bCs/>
    </w:rPr>
  </w:style>
  <w:style w:type="character" w:customStyle="1" w:styleId="KomentratmaRakstz">
    <w:name w:val="Komentāra tēma Rakstz."/>
    <w:basedOn w:val="KomentratekstsRakstz"/>
    <w:link w:val="Komentratma"/>
    <w:uiPriority w:val="99"/>
    <w:semiHidden/>
    <w:rsid w:val="00DF1EA7"/>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DF1EA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1EA7"/>
    <w:rPr>
      <w:rFonts w:ascii="Tahoma" w:eastAsia="Calibri" w:hAnsi="Tahoma" w:cs="Tahoma"/>
      <w:sz w:val="16"/>
      <w:szCs w:val="16"/>
    </w:rPr>
  </w:style>
  <w:style w:type="paragraph" w:styleId="Pamattekstsaratkpi">
    <w:name w:val="Body Text Indent"/>
    <w:basedOn w:val="Parasts"/>
    <w:link w:val="PamattekstsaratkpiRakstz"/>
    <w:uiPriority w:val="99"/>
    <w:semiHidden/>
    <w:unhideWhenUsed/>
    <w:rsid w:val="00816406"/>
    <w:pPr>
      <w:spacing w:after="120"/>
      <w:ind w:left="283"/>
    </w:pPr>
  </w:style>
  <w:style w:type="character" w:customStyle="1" w:styleId="PamattekstsaratkpiRakstz">
    <w:name w:val="Pamatteksts ar atkāpi Rakstz."/>
    <w:basedOn w:val="Noklusjumarindkopasfonts"/>
    <w:link w:val="Pamattekstsaratkpi"/>
    <w:uiPriority w:val="99"/>
    <w:semiHidden/>
    <w:rsid w:val="00816406"/>
    <w:rPr>
      <w:rFonts w:ascii="Calibri" w:eastAsia="Calibri" w:hAnsi="Calibri" w:cs="Times New Roman"/>
    </w:rPr>
  </w:style>
  <w:style w:type="paragraph" w:styleId="Galvene">
    <w:name w:val="header"/>
    <w:basedOn w:val="Parasts"/>
    <w:link w:val="GalveneRakstz"/>
    <w:uiPriority w:val="99"/>
    <w:unhideWhenUsed/>
    <w:rsid w:val="008500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50077"/>
    <w:rPr>
      <w:rFonts w:ascii="Calibri" w:eastAsia="Calibri" w:hAnsi="Calibri" w:cs="Times New Roman"/>
    </w:rPr>
  </w:style>
  <w:style w:type="paragraph" w:styleId="Kjene">
    <w:name w:val="footer"/>
    <w:basedOn w:val="Parasts"/>
    <w:link w:val="KjeneRakstz"/>
    <w:uiPriority w:val="99"/>
    <w:unhideWhenUsed/>
    <w:rsid w:val="008500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50077"/>
    <w:rPr>
      <w:rFonts w:ascii="Calibri" w:eastAsia="Calibri" w:hAnsi="Calibri" w:cs="Times New Roman"/>
    </w:rPr>
  </w:style>
  <w:style w:type="character" w:styleId="Izclums">
    <w:name w:val="Emphasis"/>
    <w:basedOn w:val="Noklusjumarindkopasfonts"/>
    <w:uiPriority w:val="20"/>
    <w:qFormat/>
    <w:rsid w:val="00465F09"/>
    <w:rPr>
      <w:i/>
      <w:iCs/>
    </w:rPr>
  </w:style>
  <w:style w:type="character" w:customStyle="1" w:styleId="vard12">
    <w:name w:val="vard12"/>
    <w:basedOn w:val="Noklusjumarindkopasfonts"/>
    <w:rsid w:val="003D0CFC"/>
    <w:rPr>
      <w:b/>
      <w:bCs/>
    </w:rPr>
  </w:style>
  <w:style w:type="paragraph" w:styleId="Paraststmeklis">
    <w:name w:val="Normal (Web)"/>
    <w:basedOn w:val="Parasts"/>
    <w:uiPriority w:val="99"/>
    <w:semiHidden/>
    <w:unhideWhenUsed/>
    <w:rsid w:val="004657D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abojumupamats">
    <w:name w:val="labojumu_pamats"/>
    <w:basedOn w:val="Parasts"/>
    <w:rsid w:val="00C06E1D"/>
    <w:pPr>
      <w:spacing w:before="100" w:beforeAutospacing="1" w:after="100" w:afterAutospacing="1" w:line="240" w:lineRule="auto"/>
    </w:pPr>
    <w:rPr>
      <w:rFonts w:ascii="Times New Roman" w:eastAsia="Times New Roman" w:hAnsi="Times New Roman"/>
      <w:sz w:val="24"/>
      <w:szCs w:val="24"/>
      <w:lang w:eastAsia="lv-LV"/>
    </w:rPr>
  </w:style>
  <w:style w:type="paragraph" w:styleId="Sarakstarindkopa">
    <w:name w:val="List Paragraph"/>
    <w:basedOn w:val="Parasts"/>
    <w:uiPriority w:val="34"/>
    <w:qFormat/>
    <w:rsid w:val="00C06E1D"/>
    <w:pPr>
      <w:spacing w:after="160" w:line="259"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57017"/>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9411FA"/>
    <w:pPr>
      <w:spacing w:after="0" w:line="240" w:lineRule="auto"/>
    </w:pPr>
  </w:style>
  <w:style w:type="character" w:styleId="Hipersaite">
    <w:name w:val="Hyperlink"/>
    <w:basedOn w:val="Noklusjumarindkopasfonts"/>
    <w:uiPriority w:val="99"/>
    <w:unhideWhenUsed/>
    <w:rsid w:val="009411FA"/>
    <w:rPr>
      <w:color w:val="0000FF" w:themeColor="hyperlink"/>
      <w:u w:val="single"/>
    </w:rPr>
  </w:style>
  <w:style w:type="paragraph" w:styleId="Vresteksts">
    <w:name w:val="footnote text"/>
    <w:basedOn w:val="Parasts"/>
    <w:link w:val="VrestekstsRakstz"/>
    <w:unhideWhenUsed/>
    <w:rsid w:val="00857017"/>
    <w:pPr>
      <w:spacing w:after="0" w:line="240" w:lineRule="auto"/>
    </w:pPr>
    <w:rPr>
      <w:rFonts w:ascii="Times New Roman" w:eastAsia="Times New Roman" w:hAnsi="Times New Roman"/>
      <w:sz w:val="20"/>
      <w:szCs w:val="20"/>
      <w:lang w:val="en-US"/>
    </w:rPr>
  </w:style>
  <w:style w:type="character" w:customStyle="1" w:styleId="VrestekstsRakstz">
    <w:name w:val="Vēres teksts Rakstz."/>
    <w:basedOn w:val="Noklusjumarindkopasfonts"/>
    <w:link w:val="Vresteksts"/>
    <w:rsid w:val="00857017"/>
    <w:rPr>
      <w:rFonts w:ascii="Times New Roman" w:eastAsia="Times New Roman" w:hAnsi="Times New Roman" w:cs="Times New Roman"/>
      <w:sz w:val="20"/>
      <w:szCs w:val="20"/>
      <w:lang w:val="en-US"/>
    </w:rPr>
  </w:style>
  <w:style w:type="character" w:styleId="Vresatsauce">
    <w:name w:val="footnote reference"/>
    <w:aliases w:val="Footnote Reference Superscript,Footnote Reference text,Footnote symbol,Voetnootverwijzing,footnote ref,FR,Fußnotenzeichen diss neu,Times 10 Point,Exposant 3 Point,Odwołanie przypisu,BVI fnr,Footnote,Footnotes refss,SUPERS,Re"/>
    <w:unhideWhenUsed/>
    <w:rsid w:val="00857017"/>
    <w:rPr>
      <w:vertAlign w:val="superscript"/>
    </w:rPr>
  </w:style>
  <w:style w:type="character" w:styleId="Komentraatsauce">
    <w:name w:val="annotation reference"/>
    <w:basedOn w:val="Noklusjumarindkopasfonts"/>
    <w:uiPriority w:val="99"/>
    <w:semiHidden/>
    <w:unhideWhenUsed/>
    <w:rsid w:val="00DF1EA7"/>
    <w:rPr>
      <w:sz w:val="16"/>
      <w:szCs w:val="16"/>
    </w:rPr>
  </w:style>
  <w:style w:type="paragraph" w:styleId="Komentrateksts">
    <w:name w:val="annotation text"/>
    <w:basedOn w:val="Parasts"/>
    <w:link w:val="KomentratekstsRakstz"/>
    <w:uiPriority w:val="99"/>
    <w:semiHidden/>
    <w:unhideWhenUsed/>
    <w:rsid w:val="00DF1EA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F1EA7"/>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DF1EA7"/>
    <w:rPr>
      <w:b/>
      <w:bCs/>
    </w:rPr>
  </w:style>
  <w:style w:type="character" w:customStyle="1" w:styleId="KomentratmaRakstz">
    <w:name w:val="Komentāra tēma Rakstz."/>
    <w:basedOn w:val="KomentratekstsRakstz"/>
    <w:link w:val="Komentratma"/>
    <w:uiPriority w:val="99"/>
    <w:semiHidden/>
    <w:rsid w:val="00DF1EA7"/>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DF1EA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F1EA7"/>
    <w:rPr>
      <w:rFonts w:ascii="Tahoma" w:eastAsia="Calibri" w:hAnsi="Tahoma" w:cs="Tahoma"/>
      <w:sz w:val="16"/>
      <w:szCs w:val="16"/>
    </w:rPr>
  </w:style>
  <w:style w:type="paragraph" w:styleId="Pamattekstsaratkpi">
    <w:name w:val="Body Text Indent"/>
    <w:basedOn w:val="Parasts"/>
    <w:link w:val="PamattekstsaratkpiRakstz"/>
    <w:uiPriority w:val="99"/>
    <w:semiHidden/>
    <w:unhideWhenUsed/>
    <w:rsid w:val="00816406"/>
    <w:pPr>
      <w:spacing w:after="120"/>
      <w:ind w:left="283"/>
    </w:pPr>
  </w:style>
  <w:style w:type="character" w:customStyle="1" w:styleId="PamattekstsaratkpiRakstz">
    <w:name w:val="Pamatteksts ar atkāpi Rakstz."/>
    <w:basedOn w:val="Noklusjumarindkopasfonts"/>
    <w:link w:val="Pamattekstsaratkpi"/>
    <w:uiPriority w:val="99"/>
    <w:semiHidden/>
    <w:rsid w:val="00816406"/>
    <w:rPr>
      <w:rFonts w:ascii="Calibri" w:eastAsia="Calibri" w:hAnsi="Calibri" w:cs="Times New Roman"/>
    </w:rPr>
  </w:style>
  <w:style w:type="paragraph" w:styleId="Galvene">
    <w:name w:val="header"/>
    <w:basedOn w:val="Parasts"/>
    <w:link w:val="GalveneRakstz"/>
    <w:uiPriority w:val="99"/>
    <w:unhideWhenUsed/>
    <w:rsid w:val="008500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50077"/>
    <w:rPr>
      <w:rFonts w:ascii="Calibri" w:eastAsia="Calibri" w:hAnsi="Calibri" w:cs="Times New Roman"/>
    </w:rPr>
  </w:style>
  <w:style w:type="paragraph" w:styleId="Kjene">
    <w:name w:val="footer"/>
    <w:basedOn w:val="Parasts"/>
    <w:link w:val="KjeneRakstz"/>
    <w:uiPriority w:val="99"/>
    <w:unhideWhenUsed/>
    <w:rsid w:val="008500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50077"/>
    <w:rPr>
      <w:rFonts w:ascii="Calibri" w:eastAsia="Calibri" w:hAnsi="Calibri" w:cs="Times New Roman"/>
    </w:rPr>
  </w:style>
  <w:style w:type="character" w:styleId="Izclums">
    <w:name w:val="Emphasis"/>
    <w:basedOn w:val="Noklusjumarindkopasfonts"/>
    <w:uiPriority w:val="20"/>
    <w:qFormat/>
    <w:rsid w:val="00465F09"/>
    <w:rPr>
      <w:i/>
      <w:iCs/>
    </w:rPr>
  </w:style>
  <w:style w:type="character" w:customStyle="1" w:styleId="vard12">
    <w:name w:val="vard12"/>
    <w:basedOn w:val="Noklusjumarindkopasfonts"/>
    <w:rsid w:val="003D0CFC"/>
    <w:rPr>
      <w:b/>
      <w:bCs/>
    </w:rPr>
  </w:style>
  <w:style w:type="paragraph" w:styleId="Paraststmeklis">
    <w:name w:val="Normal (Web)"/>
    <w:basedOn w:val="Parasts"/>
    <w:uiPriority w:val="99"/>
    <w:semiHidden/>
    <w:unhideWhenUsed/>
    <w:rsid w:val="004657DA"/>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abojumupamats">
    <w:name w:val="labojumu_pamats"/>
    <w:basedOn w:val="Parasts"/>
    <w:rsid w:val="00C06E1D"/>
    <w:pPr>
      <w:spacing w:before="100" w:beforeAutospacing="1" w:after="100" w:afterAutospacing="1" w:line="240" w:lineRule="auto"/>
    </w:pPr>
    <w:rPr>
      <w:rFonts w:ascii="Times New Roman" w:eastAsia="Times New Roman" w:hAnsi="Times New Roman"/>
      <w:sz w:val="24"/>
      <w:szCs w:val="24"/>
      <w:lang w:eastAsia="lv-LV"/>
    </w:rPr>
  </w:style>
  <w:style w:type="paragraph" w:styleId="Sarakstarindkopa">
    <w:name w:val="List Paragraph"/>
    <w:basedOn w:val="Parasts"/>
    <w:uiPriority w:val="34"/>
    <w:qFormat/>
    <w:rsid w:val="00C06E1D"/>
    <w:pPr>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91440">
      <w:bodyDiv w:val="1"/>
      <w:marLeft w:val="0"/>
      <w:marRight w:val="0"/>
      <w:marTop w:val="0"/>
      <w:marBottom w:val="0"/>
      <w:divBdr>
        <w:top w:val="none" w:sz="0" w:space="0" w:color="auto"/>
        <w:left w:val="none" w:sz="0" w:space="0" w:color="auto"/>
        <w:bottom w:val="none" w:sz="0" w:space="0" w:color="auto"/>
        <w:right w:val="none" w:sz="0" w:space="0" w:color="auto"/>
      </w:divBdr>
    </w:div>
    <w:div w:id="793673203">
      <w:bodyDiv w:val="1"/>
      <w:marLeft w:val="0"/>
      <w:marRight w:val="0"/>
      <w:marTop w:val="0"/>
      <w:marBottom w:val="0"/>
      <w:divBdr>
        <w:top w:val="none" w:sz="0" w:space="0" w:color="auto"/>
        <w:left w:val="none" w:sz="0" w:space="0" w:color="auto"/>
        <w:bottom w:val="none" w:sz="0" w:space="0" w:color="auto"/>
        <w:right w:val="none" w:sz="0" w:space="0" w:color="auto"/>
      </w:divBdr>
    </w:div>
    <w:div w:id="935207323">
      <w:bodyDiv w:val="1"/>
      <w:marLeft w:val="0"/>
      <w:marRight w:val="0"/>
      <w:marTop w:val="0"/>
      <w:marBottom w:val="0"/>
      <w:divBdr>
        <w:top w:val="none" w:sz="0" w:space="0" w:color="auto"/>
        <w:left w:val="none" w:sz="0" w:space="0" w:color="auto"/>
        <w:bottom w:val="none" w:sz="0" w:space="0" w:color="auto"/>
        <w:right w:val="none" w:sz="0" w:space="0" w:color="auto"/>
      </w:divBdr>
    </w:div>
    <w:div w:id="986475523">
      <w:bodyDiv w:val="1"/>
      <w:marLeft w:val="0"/>
      <w:marRight w:val="0"/>
      <w:marTop w:val="0"/>
      <w:marBottom w:val="0"/>
      <w:divBdr>
        <w:top w:val="none" w:sz="0" w:space="0" w:color="auto"/>
        <w:left w:val="none" w:sz="0" w:space="0" w:color="auto"/>
        <w:bottom w:val="none" w:sz="0" w:space="0" w:color="auto"/>
        <w:right w:val="none" w:sz="0" w:space="0" w:color="auto"/>
      </w:divBdr>
    </w:div>
    <w:div w:id="1838614910">
      <w:bodyDiv w:val="1"/>
      <w:marLeft w:val="0"/>
      <w:marRight w:val="0"/>
      <w:marTop w:val="0"/>
      <w:marBottom w:val="0"/>
      <w:divBdr>
        <w:top w:val="none" w:sz="0" w:space="0" w:color="auto"/>
        <w:left w:val="none" w:sz="0" w:space="0" w:color="auto"/>
        <w:bottom w:val="none" w:sz="0" w:space="0" w:color="auto"/>
        <w:right w:val="none" w:sz="0" w:space="0" w:color="auto"/>
      </w:divBdr>
    </w:div>
    <w:div w:id="1894610606">
      <w:bodyDiv w:val="1"/>
      <w:marLeft w:val="0"/>
      <w:marRight w:val="0"/>
      <w:marTop w:val="0"/>
      <w:marBottom w:val="0"/>
      <w:divBdr>
        <w:top w:val="none" w:sz="0" w:space="0" w:color="auto"/>
        <w:left w:val="none" w:sz="0" w:space="0" w:color="auto"/>
        <w:bottom w:val="none" w:sz="0" w:space="0" w:color="auto"/>
        <w:right w:val="none" w:sz="0" w:space="0" w:color="auto"/>
      </w:divBdr>
      <w:divsChild>
        <w:div w:id="947468368">
          <w:marLeft w:val="0"/>
          <w:marRight w:val="0"/>
          <w:marTop w:val="0"/>
          <w:marBottom w:val="0"/>
          <w:divBdr>
            <w:top w:val="none" w:sz="0" w:space="0" w:color="auto"/>
            <w:left w:val="none" w:sz="0" w:space="0" w:color="auto"/>
            <w:bottom w:val="none" w:sz="0" w:space="0" w:color="auto"/>
            <w:right w:val="none" w:sz="0" w:space="0" w:color="auto"/>
          </w:divBdr>
          <w:divsChild>
            <w:div w:id="1517378558">
              <w:marLeft w:val="0"/>
              <w:marRight w:val="0"/>
              <w:marTop w:val="0"/>
              <w:marBottom w:val="0"/>
              <w:divBdr>
                <w:top w:val="none" w:sz="0" w:space="0" w:color="auto"/>
                <w:left w:val="none" w:sz="0" w:space="0" w:color="auto"/>
                <w:bottom w:val="none" w:sz="0" w:space="0" w:color="auto"/>
                <w:right w:val="none" w:sz="0" w:space="0" w:color="auto"/>
              </w:divBdr>
              <w:divsChild>
                <w:div w:id="780684159">
                  <w:marLeft w:val="0"/>
                  <w:marRight w:val="0"/>
                  <w:marTop w:val="0"/>
                  <w:marBottom w:val="0"/>
                  <w:divBdr>
                    <w:top w:val="none" w:sz="0" w:space="0" w:color="auto"/>
                    <w:left w:val="none" w:sz="0" w:space="0" w:color="auto"/>
                    <w:bottom w:val="none" w:sz="0" w:space="0" w:color="auto"/>
                    <w:right w:val="none" w:sz="0" w:space="0" w:color="auto"/>
                  </w:divBdr>
                  <w:divsChild>
                    <w:div w:id="632754705">
                      <w:marLeft w:val="0"/>
                      <w:marRight w:val="0"/>
                      <w:marTop w:val="0"/>
                      <w:marBottom w:val="0"/>
                      <w:divBdr>
                        <w:top w:val="none" w:sz="0" w:space="0" w:color="auto"/>
                        <w:left w:val="none" w:sz="0" w:space="0" w:color="auto"/>
                        <w:bottom w:val="none" w:sz="0" w:space="0" w:color="auto"/>
                        <w:right w:val="none" w:sz="0" w:space="0" w:color="auto"/>
                      </w:divBdr>
                      <w:divsChild>
                        <w:div w:id="2074816229">
                          <w:marLeft w:val="0"/>
                          <w:marRight w:val="0"/>
                          <w:marTop w:val="0"/>
                          <w:marBottom w:val="0"/>
                          <w:divBdr>
                            <w:top w:val="none" w:sz="0" w:space="0" w:color="auto"/>
                            <w:left w:val="none" w:sz="0" w:space="0" w:color="auto"/>
                            <w:bottom w:val="none" w:sz="0" w:space="0" w:color="auto"/>
                            <w:right w:val="none" w:sz="0" w:space="0" w:color="auto"/>
                          </w:divBdr>
                          <w:divsChild>
                            <w:div w:id="1192722058">
                              <w:marLeft w:val="0"/>
                              <w:marRight w:val="0"/>
                              <w:marTop w:val="400"/>
                              <w:marBottom w:val="0"/>
                              <w:divBdr>
                                <w:top w:val="none" w:sz="0" w:space="0" w:color="auto"/>
                                <w:left w:val="none" w:sz="0" w:space="0" w:color="auto"/>
                                <w:bottom w:val="none" w:sz="0" w:space="0" w:color="auto"/>
                                <w:right w:val="none" w:sz="0" w:space="0" w:color="auto"/>
                              </w:divBdr>
                            </w:div>
                            <w:div w:id="16359522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929037">
      <w:bodyDiv w:val="1"/>
      <w:marLeft w:val="0"/>
      <w:marRight w:val="0"/>
      <w:marTop w:val="0"/>
      <w:marBottom w:val="0"/>
      <w:divBdr>
        <w:top w:val="none" w:sz="0" w:space="0" w:color="auto"/>
        <w:left w:val="none" w:sz="0" w:space="0" w:color="auto"/>
        <w:bottom w:val="none" w:sz="0" w:space="0" w:color="auto"/>
        <w:right w:val="none" w:sz="0" w:space="0" w:color="auto"/>
      </w:divBdr>
      <w:divsChild>
        <w:div w:id="664553026">
          <w:marLeft w:val="0"/>
          <w:marRight w:val="0"/>
          <w:marTop w:val="0"/>
          <w:marBottom w:val="0"/>
          <w:divBdr>
            <w:top w:val="none" w:sz="0" w:space="0" w:color="auto"/>
            <w:left w:val="none" w:sz="0" w:space="0" w:color="auto"/>
            <w:bottom w:val="none" w:sz="0" w:space="0" w:color="auto"/>
            <w:right w:val="none" w:sz="0" w:space="0" w:color="auto"/>
          </w:divBdr>
          <w:divsChild>
            <w:div w:id="1048602749">
              <w:marLeft w:val="0"/>
              <w:marRight w:val="0"/>
              <w:marTop w:val="0"/>
              <w:marBottom w:val="0"/>
              <w:divBdr>
                <w:top w:val="none" w:sz="0" w:space="0" w:color="auto"/>
                <w:left w:val="none" w:sz="0" w:space="0" w:color="auto"/>
                <w:bottom w:val="none" w:sz="0" w:space="0" w:color="auto"/>
                <w:right w:val="none" w:sz="0" w:space="0" w:color="auto"/>
              </w:divBdr>
              <w:divsChild>
                <w:div w:id="1114788454">
                  <w:marLeft w:val="0"/>
                  <w:marRight w:val="0"/>
                  <w:marTop w:val="0"/>
                  <w:marBottom w:val="0"/>
                  <w:divBdr>
                    <w:top w:val="none" w:sz="0" w:space="0" w:color="auto"/>
                    <w:left w:val="none" w:sz="0" w:space="0" w:color="auto"/>
                    <w:bottom w:val="none" w:sz="0" w:space="0" w:color="auto"/>
                    <w:right w:val="none" w:sz="0" w:space="0" w:color="auto"/>
                  </w:divBdr>
                  <w:divsChild>
                    <w:div w:id="1695959297">
                      <w:marLeft w:val="0"/>
                      <w:marRight w:val="0"/>
                      <w:marTop w:val="0"/>
                      <w:marBottom w:val="0"/>
                      <w:divBdr>
                        <w:top w:val="none" w:sz="0" w:space="0" w:color="auto"/>
                        <w:left w:val="none" w:sz="0" w:space="0" w:color="auto"/>
                        <w:bottom w:val="none" w:sz="0" w:space="0" w:color="auto"/>
                        <w:right w:val="none" w:sz="0" w:space="0" w:color="auto"/>
                      </w:divBdr>
                      <w:divsChild>
                        <w:div w:id="189535863">
                          <w:marLeft w:val="0"/>
                          <w:marRight w:val="0"/>
                          <w:marTop w:val="0"/>
                          <w:marBottom w:val="0"/>
                          <w:divBdr>
                            <w:top w:val="none" w:sz="0" w:space="0" w:color="auto"/>
                            <w:left w:val="none" w:sz="0" w:space="0" w:color="auto"/>
                            <w:bottom w:val="none" w:sz="0" w:space="0" w:color="auto"/>
                            <w:right w:val="none" w:sz="0" w:space="0" w:color="auto"/>
                          </w:divBdr>
                          <w:divsChild>
                            <w:div w:id="1093012946">
                              <w:marLeft w:val="0"/>
                              <w:marRight w:val="0"/>
                              <w:marTop w:val="400"/>
                              <w:marBottom w:val="0"/>
                              <w:divBdr>
                                <w:top w:val="none" w:sz="0" w:space="0" w:color="auto"/>
                                <w:left w:val="none" w:sz="0" w:space="0" w:color="auto"/>
                                <w:bottom w:val="none" w:sz="0" w:space="0" w:color="auto"/>
                                <w:right w:val="none" w:sz="0" w:space="0" w:color="auto"/>
                              </w:divBdr>
                            </w:div>
                            <w:div w:id="100408640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4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lina.Feldmane@tm.gov.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0A66F-E795-4C4B-B84B-4841A9B7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Pages>
  <Words>8601</Words>
  <Characters>4903</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Tieslietu Sektors</Company>
  <LinksUpToDate>false</LinksUpToDate>
  <CharactersWithSpaces>13478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Dzalbe</dc:creator>
  <cp:lastModifiedBy>Elina Feldmane</cp:lastModifiedBy>
  <cp:revision>42</cp:revision>
  <cp:lastPrinted>2017-02-15T12:04:00Z</cp:lastPrinted>
  <dcterms:created xsi:type="dcterms:W3CDTF">2017-02-24T12:57:00Z</dcterms:created>
  <dcterms:modified xsi:type="dcterms:W3CDTF">2017-03-27T13:57:00Z</dcterms:modified>
</cp:coreProperties>
</file>