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55" w:rsidRPr="00176E0E" w:rsidRDefault="00067955" w:rsidP="00067955">
      <w:pPr>
        <w:pStyle w:val="Virsraksts3"/>
        <w:rPr>
          <w:b/>
          <w:bCs/>
          <w:sz w:val="24"/>
        </w:rPr>
      </w:pPr>
      <w:bookmarkStart w:id="0" w:name="OLE_LINK7"/>
      <w:bookmarkStart w:id="1" w:name="OLE_LINK8"/>
      <w:r w:rsidRPr="00176E0E">
        <w:rPr>
          <w:b/>
          <w:bCs/>
          <w:sz w:val="24"/>
        </w:rPr>
        <w:t>Minis</w:t>
      </w:r>
      <w:bookmarkStart w:id="2" w:name="OLE_LINK1"/>
      <w:bookmarkStart w:id="3" w:name="OLE_LINK2"/>
      <w:bookmarkStart w:id="4" w:name="OLE_LINK3"/>
      <w:r w:rsidRPr="00176E0E">
        <w:rPr>
          <w:b/>
          <w:bCs/>
          <w:sz w:val="24"/>
        </w:rPr>
        <w:t xml:space="preserve">tru kabineta noteikumu projekta </w:t>
      </w:r>
      <w:bookmarkEnd w:id="2"/>
      <w:bookmarkEnd w:id="3"/>
      <w:bookmarkEnd w:id="4"/>
      <w:r w:rsidRPr="00176E0E">
        <w:rPr>
          <w:b/>
          <w:bCs/>
          <w:sz w:val="24"/>
        </w:rPr>
        <w:t>“</w:t>
      </w:r>
      <w:r w:rsidR="003B2387" w:rsidRPr="003B2387">
        <w:rPr>
          <w:b/>
          <w:sz w:val="24"/>
        </w:rPr>
        <w:t xml:space="preserve">Noteikumi par </w:t>
      </w:r>
      <w:r w:rsidR="008E5A4C">
        <w:rPr>
          <w:b/>
          <w:sz w:val="24"/>
        </w:rPr>
        <w:t>atlīdzināmiem tulka izdevumiem</w:t>
      </w:r>
      <w:r w:rsidR="003B2387" w:rsidRPr="003B2387">
        <w:rPr>
          <w:b/>
          <w:sz w:val="24"/>
        </w:rPr>
        <w:t xml:space="preserve"> civilprocesā</w:t>
      </w:r>
      <w:r w:rsidRPr="00176E0E">
        <w:rPr>
          <w:b/>
          <w:sz w:val="24"/>
        </w:rPr>
        <w:t>”</w:t>
      </w:r>
      <w:r w:rsidRPr="00176E0E">
        <w:rPr>
          <w:b/>
          <w:color w:val="000000" w:themeColor="text1"/>
          <w:sz w:val="24"/>
        </w:rPr>
        <w:t xml:space="preserve"> sākotnējās ietekmes novērtējuma ziņojums</w:t>
      </w:r>
      <w:r w:rsidRPr="00176E0E">
        <w:rPr>
          <w:b/>
          <w:bCs/>
          <w:color w:val="000000" w:themeColor="text1"/>
          <w:sz w:val="24"/>
        </w:rPr>
        <w:t xml:space="preserve"> </w:t>
      </w:r>
    </w:p>
    <w:p w:rsidR="00067955" w:rsidRPr="00176E0E" w:rsidRDefault="00067955" w:rsidP="00067955">
      <w:pPr>
        <w:jc w:val="center"/>
        <w:rPr>
          <w:b/>
          <w:bCs/>
          <w:color w:val="000000" w:themeColor="text1"/>
          <w:lang w:val="lv-LV"/>
        </w:rPr>
      </w:pPr>
      <w:r w:rsidRPr="00176E0E">
        <w:rPr>
          <w:b/>
          <w:bCs/>
          <w:color w:val="000000" w:themeColor="text1"/>
          <w:lang w:val="lv-LV"/>
        </w:rPr>
        <w:t>(anotācija)</w:t>
      </w:r>
    </w:p>
    <w:p w:rsidR="00067955" w:rsidRPr="00176E0E" w:rsidRDefault="00067955" w:rsidP="00067955">
      <w:pPr>
        <w:jc w:val="center"/>
        <w:rPr>
          <w:b/>
          <w:lang w:val="lv-LV"/>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6"/>
        <w:gridCol w:w="2552"/>
        <w:gridCol w:w="6125"/>
      </w:tblGrid>
      <w:tr w:rsidR="00067955" w:rsidRPr="00176E0E" w:rsidTr="00627BC9">
        <w:tc>
          <w:tcPr>
            <w:tcW w:w="5000" w:type="pct"/>
            <w:gridSpan w:val="3"/>
            <w:vAlign w:val="center"/>
          </w:tcPr>
          <w:bookmarkEnd w:id="0"/>
          <w:bookmarkEnd w:id="1"/>
          <w:p w:rsidR="00067955" w:rsidRPr="00176E0E" w:rsidRDefault="00067955" w:rsidP="007E08E3">
            <w:pPr>
              <w:jc w:val="center"/>
              <w:rPr>
                <w:b/>
                <w:bCs/>
                <w:color w:val="000000" w:themeColor="text1"/>
                <w:lang w:val="lv-LV" w:eastAsia="lv-LV"/>
              </w:rPr>
            </w:pPr>
            <w:r w:rsidRPr="00176E0E">
              <w:rPr>
                <w:b/>
                <w:bCs/>
                <w:color w:val="000000" w:themeColor="text1"/>
                <w:lang w:val="lv-LV" w:eastAsia="lv-LV"/>
              </w:rPr>
              <w:t>I. Tiesību akta projekta izstrādes nepieciešamība</w:t>
            </w:r>
          </w:p>
        </w:tc>
      </w:tr>
      <w:tr w:rsidR="00067955" w:rsidRPr="002E44F2" w:rsidTr="00627BC9">
        <w:tc>
          <w:tcPr>
            <w:tcW w:w="250" w:type="pct"/>
          </w:tcPr>
          <w:p w:rsidR="00067955" w:rsidRPr="00176E0E" w:rsidRDefault="00067955" w:rsidP="007E08E3">
            <w:pPr>
              <w:jc w:val="center"/>
              <w:rPr>
                <w:color w:val="000000" w:themeColor="text1"/>
                <w:lang w:val="lv-LV" w:eastAsia="lv-LV"/>
              </w:rPr>
            </w:pPr>
            <w:r w:rsidRPr="00176E0E">
              <w:rPr>
                <w:color w:val="000000" w:themeColor="text1"/>
                <w:lang w:val="lv-LV" w:eastAsia="lv-LV"/>
              </w:rPr>
              <w:t>1.</w:t>
            </w:r>
          </w:p>
        </w:tc>
        <w:tc>
          <w:tcPr>
            <w:tcW w:w="1397" w:type="pct"/>
          </w:tcPr>
          <w:p w:rsidR="00067955" w:rsidRPr="00176E0E" w:rsidRDefault="00067955" w:rsidP="007E08E3">
            <w:pPr>
              <w:jc w:val="both"/>
              <w:rPr>
                <w:color w:val="000000" w:themeColor="text1"/>
                <w:lang w:val="lv-LV" w:eastAsia="lv-LV"/>
              </w:rPr>
            </w:pPr>
            <w:r w:rsidRPr="00176E0E">
              <w:rPr>
                <w:color w:val="000000" w:themeColor="text1"/>
                <w:lang w:val="lv-LV" w:eastAsia="lv-LV"/>
              </w:rPr>
              <w:t>Pamatojums</w:t>
            </w:r>
          </w:p>
        </w:tc>
        <w:tc>
          <w:tcPr>
            <w:tcW w:w="3353" w:type="pct"/>
          </w:tcPr>
          <w:p w:rsidR="00067955" w:rsidRPr="00176E0E" w:rsidRDefault="00067955" w:rsidP="008E5A4C">
            <w:pPr>
              <w:ind w:firstLine="394"/>
              <w:jc w:val="both"/>
              <w:rPr>
                <w:lang w:val="lv-LV"/>
              </w:rPr>
            </w:pPr>
            <w:r w:rsidRPr="00176E0E">
              <w:rPr>
                <w:lang w:val="lv-LV"/>
              </w:rPr>
              <w:t xml:space="preserve">Ministru kabineta noteikumu projekts </w:t>
            </w:r>
            <w:r w:rsidR="003B2387" w:rsidRPr="003B2387">
              <w:rPr>
                <w:bCs/>
                <w:lang w:val="lv-LV"/>
              </w:rPr>
              <w:t>“</w:t>
            </w:r>
            <w:r w:rsidR="003B2387" w:rsidRPr="003B2387">
              <w:rPr>
                <w:lang w:val="lv-LV"/>
              </w:rPr>
              <w:t xml:space="preserve">Noteikumi par </w:t>
            </w:r>
            <w:r w:rsidR="008E5A4C">
              <w:rPr>
                <w:lang w:val="lv-LV"/>
              </w:rPr>
              <w:t>atlīdzināmiem tulka izdevumiem</w:t>
            </w:r>
            <w:r w:rsidR="003B2387" w:rsidRPr="003B2387">
              <w:rPr>
                <w:lang w:val="lv-LV"/>
              </w:rPr>
              <w:t xml:space="preserve"> civilprocesā”</w:t>
            </w:r>
            <w:r w:rsidRPr="00176E0E">
              <w:rPr>
                <w:lang w:val="lv-LV"/>
              </w:rPr>
              <w:t xml:space="preserve"> (turpmāk – Ministru kabineta noteikumi) izstrādāts, pamatojoties uz Civilprocesa likuma </w:t>
            </w:r>
            <w:proofErr w:type="gramStart"/>
            <w:r w:rsidRPr="00176E0E">
              <w:rPr>
                <w:lang w:val="lv-LV"/>
              </w:rPr>
              <w:t>44.panta</w:t>
            </w:r>
            <w:proofErr w:type="gramEnd"/>
            <w:r w:rsidRPr="00176E0E">
              <w:rPr>
                <w:lang w:val="lv-LV"/>
              </w:rPr>
              <w:t xml:space="preserve"> pirmās daļas 4. un 5.punktu (redakcijas stājas spēkā 2016.gada 31.jūlijā).</w:t>
            </w:r>
          </w:p>
        </w:tc>
      </w:tr>
      <w:tr w:rsidR="00067955" w:rsidRPr="002E44F2" w:rsidTr="00627BC9">
        <w:tc>
          <w:tcPr>
            <w:tcW w:w="250" w:type="pct"/>
          </w:tcPr>
          <w:p w:rsidR="00067955" w:rsidRPr="00176E0E" w:rsidRDefault="00067955" w:rsidP="007E08E3">
            <w:pPr>
              <w:jc w:val="center"/>
              <w:rPr>
                <w:color w:val="000000" w:themeColor="text1"/>
                <w:lang w:val="lv-LV" w:eastAsia="lv-LV"/>
              </w:rPr>
            </w:pPr>
            <w:r w:rsidRPr="00176E0E">
              <w:rPr>
                <w:color w:val="000000" w:themeColor="text1"/>
                <w:lang w:val="lv-LV" w:eastAsia="lv-LV"/>
              </w:rPr>
              <w:t>2.</w:t>
            </w:r>
          </w:p>
        </w:tc>
        <w:tc>
          <w:tcPr>
            <w:tcW w:w="1397" w:type="pct"/>
          </w:tcPr>
          <w:p w:rsidR="00067955" w:rsidRPr="00176E0E" w:rsidRDefault="00067955" w:rsidP="007E08E3">
            <w:pPr>
              <w:jc w:val="both"/>
              <w:rPr>
                <w:color w:val="000000" w:themeColor="text1"/>
                <w:lang w:val="lv-LV" w:eastAsia="lv-LV"/>
              </w:rPr>
            </w:pPr>
            <w:r w:rsidRPr="00176E0E">
              <w:rPr>
                <w:color w:val="000000"/>
                <w:lang w:val="lv-LV"/>
              </w:rPr>
              <w:t>Pašreizējā situācija un problēmas, kuru risināšanai tiesību akta projekts izstrādāts, tiesiskā regulējuma mērķis un būtība</w:t>
            </w:r>
          </w:p>
        </w:tc>
        <w:tc>
          <w:tcPr>
            <w:tcW w:w="3353" w:type="pct"/>
          </w:tcPr>
          <w:p w:rsidR="00067955" w:rsidRPr="00176E0E" w:rsidRDefault="00067955" w:rsidP="007E08E3">
            <w:pPr>
              <w:tabs>
                <w:tab w:val="left" w:pos="1252"/>
              </w:tabs>
              <w:jc w:val="both"/>
              <w:rPr>
                <w:lang w:val="lv-LV"/>
              </w:rPr>
            </w:pPr>
            <w:r w:rsidRPr="00F54EB7">
              <w:rPr>
                <w:lang w:val="lv-LV"/>
              </w:rPr>
              <w:t xml:space="preserve">       Civilprocesa likuma </w:t>
            </w:r>
            <w:proofErr w:type="gramStart"/>
            <w:r w:rsidRPr="00F54EB7">
              <w:rPr>
                <w:lang w:val="lv-LV"/>
              </w:rPr>
              <w:t>33.panta</w:t>
            </w:r>
            <w:proofErr w:type="gramEnd"/>
            <w:r w:rsidRPr="00F54EB7">
              <w:rPr>
                <w:lang w:val="lv-LV"/>
              </w:rPr>
              <w:t xml:space="preserve"> trešās daļas 5.punkts paredz, ka ar lietas vešanu saistītie izdevumi tostarp ir izdevumi par tulka palīdzību tiesas sēdē, kurus varēs piedzīt no lietā zaudējušās puses saskaņā ar Civilprocesa likuma 44.panta pirmās daļas 4.un 5.punktā pieļauto. Proti, Civilprocesa likuma </w:t>
            </w:r>
            <w:proofErr w:type="gramStart"/>
            <w:r w:rsidRPr="00F54EB7">
              <w:rPr>
                <w:lang w:val="lv-LV"/>
              </w:rPr>
              <w:t>44.panta</w:t>
            </w:r>
            <w:proofErr w:type="gramEnd"/>
            <w:r w:rsidRPr="00F54EB7">
              <w:rPr>
                <w:lang w:val="lv-LV"/>
              </w:rPr>
              <w:t xml:space="preserve"> pirmās daļas 4. un 5.punkts nosaka, ka tulka izdevumi sakarā ar pušu piedalīšanos tiesas sēdē un pušu vai to pārstāvju klātbūtni vai piedalīšanos pierādījumu iegūšanā, pēc Latvijas lūguma pierādījumus iegūstot ārvalstī, - atlīdzināmi to faktiskajā apmērā, tomēr ne vairāk par Ministru kabineta noteikumos noteikto. Līdz ar ko likumdevējs ir deleģējis Ministru kabinetam ar Ministru kabineta noteikumiem noteikt </w:t>
            </w:r>
            <w:r w:rsidR="008E5A4C">
              <w:rPr>
                <w:lang w:val="lv-LV"/>
              </w:rPr>
              <w:t>atlīdzināmos tulka izdevumus</w:t>
            </w:r>
            <w:r w:rsidR="00FC2D6C" w:rsidRPr="00F54EB7">
              <w:rPr>
                <w:lang w:val="lv-LV"/>
              </w:rPr>
              <w:t xml:space="preserve"> jeb likmes par tulka izdevumiem</w:t>
            </w:r>
            <w:r w:rsidRPr="00F54EB7">
              <w:rPr>
                <w:lang w:val="lv-LV"/>
              </w:rPr>
              <w:t xml:space="preserve">, kuras būs iespējams noteiktā kārtībā piedzīt no lietā zaudējušās puses. Taču vienlaikus attiecībā uz atlīdzināmiem tulka izdevumiem likumdevējs ir noteicis ne tikai </w:t>
            </w:r>
            <w:r w:rsidR="008E5A4C">
              <w:rPr>
                <w:lang w:val="lv-LV"/>
              </w:rPr>
              <w:t>atlīdzināmos tulka izdevumus</w:t>
            </w:r>
            <w:r w:rsidR="0060334C" w:rsidRPr="00F54EB7">
              <w:rPr>
                <w:lang w:val="lv-LV"/>
              </w:rPr>
              <w:t xml:space="preserve">, bet arīdzan to, ka </w:t>
            </w:r>
            <w:r w:rsidRPr="00F54EB7">
              <w:rPr>
                <w:lang w:val="lv-LV"/>
              </w:rPr>
              <w:t>tikai tādus tulka izdevumus varēs piedzīt no lietā zaudējušās puses - izdevumus, kas radušies</w:t>
            </w:r>
            <w:r w:rsidRPr="00176E0E">
              <w:rPr>
                <w:lang w:val="lv-LV"/>
              </w:rPr>
              <w:t xml:space="preserve"> sakarā ar pušu piedalīšanos tiesas sēdē un pušu vai to pārstāvju klātbūtni vai piedalīšanos pierādījumu iegūšanā, pēc Latvijas lūguma pierādījumus iegūstot ārvalstīs. </w:t>
            </w:r>
          </w:p>
          <w:p w:rsidR="00627BC9" w:rsidRPr="00176E0E" w:rsidRDefault="00067955" w:rsidP="007E08E3">
            <w:pPr>
              <w:tabs>
                <w:tab w:val="left" w:pos="1252"/>
              </w:tabs>
              <w:jc w:val="both"/>
              <w:rPr>
                <w:lang w:val="lv-LV"/>
              </w:rPr>
            </w:pPr>
            <w:r w:rsidRPr="00176E0E">
              <w:rPr>
                <w:lang w:val="lv-LV"/>
              </w:rPr>
              <w:t xml:space="preserve">      Ministru kabineta noteikumos ietvertās </w:t>
            </w:r>
            <w:r w:rsidR="008E5A4C">
              <w:rPr>
                <w:lang w:val="lv-LV"/>
              </w:rPr>
              <w:t>atlīdzināmās tulka izmaksas</w:t>
            </w:r>
            <w:r w:rsidRPr="00176E0E">
              <w:rPr>
                <w:lang w:val="lv-LV"/>
              </w:rPr>
              <w:t xml:space="preserve"> par tulka pakalpojumiem nav attiecināmas uz tulka sniegtajiem pakalpojumiem, kas ir sniegti ārpus Ministru kabineta noteikumos noteiktā tvēru</w:t>
            </w:r>
            <w:r w:rsidR="0060334C">
              <w:rPr>
                <w:lang w:val="lv-LV"/>
              </w:rPr>
              <w:t>ma. Proti, Ministru kabineta no</w:t>
            </w:r>
            <w:r w:rsidRPr="00176E0E">
              <w:rPr>
                <w:lang w:val="lv-LV"/>
              </w:rPr>
              <w:t>teikumi nav attiecināmi uz jebkādiem citiem tulka izdevum</w:t>
            </w:r>
            <w:r w:rsidR="008E5A4C">
              <w:rPr>
                <w:lang w:val="lv-LV"/>
              </w:rPr>
              <w:t>iem</w:t>
            </w:r>
            <w:r w:rsidRPr="00176E0E">
              <w:rPr>
                <w:lang w:val="lv-LV"/>
              </w:rPr>
              <w:t xml:space="preserve"> ārpus tiesas sēdes vai neiegūstot pierādījumus ārvalstīs. </w:t>
            </w:r>
            <w:r w:rsidR="00627BC9" w:rsidRPr="00ED42DA">
              <w:rPr>
                <w:lang w:val="lv-LV"/>
              </w:rPr>
              <w:t>Tas nozīmē, ka tulku faktiski noteiktie izcenojumi par sniegto pakalpojumu var pārsniegt Ministru kabineta noteikumos n</w:t>
            </w:r>
            <w:r w:rsidR="00ED42DA" w:rsidRPr="00ED42DA">
              <w:rPr>
                <w:lang w:val="lv-LV"/>
              </w:rPr>
              <w:t>oteikt</w:t>
            </w:r>
            <w:r w:rsidR="008E5A4C">
              <w:rPr>
                <w:lang w:val="lv-LV"/>
              </w:rPr>
              <w:t>os atlīdzināmos</w:t>
            </w:r>
            <w:r w:rsidR="00ED42DA" w:rsidRPr="00ED42DA">
              <w:rPr>
                <w:lang w:val="lv-LV"/>
              </w:rPr>
              <w:t xml:space="preserve"> tulk</w:t>
            </w:r>
            <w:r w:rsidR="008E5A4C">
              <w:rPr>
                <w:lang w:val="lv-LV"/>
              </w:rPr>
              <w:t>a</w:t>
            </w:r>
            <w:r w:rsidR="00ED42DA" w:rsidRPr="00ED42DA">
              <w:rPr>
                <w:lang w:val="lv-LV"/>
              </w:rPr>
              <w:t xml:space="preserve"> </w:t>
            </w:r>
            <w:r w:rsidR="008E5A4C">
              <w:rPr>
                <w:lang w:val="lv-LV"/>
              </w:rPr>
              <w:t>izdevumus</w:t>
            </w:r>
            <w:r w:rsidR="00627BC9" w:rsidRPr="00ED42DA">
              <w:rPr>
                <w:lang w:val="lv-LV"/>
              </w:rPr>
              <w:t>.</w:t>
            </w:r>
            <w:r w:rsidR="005F1BDB">
              <w:rPr>
                <w:lang w:val="lv-LV"/>
              </w:rPr>
              <w:t xml:space="preserve"> </w:t>
            </w:r>
            <w:r w:rsidR="005F1BDB" w:rsidRPr="005F1BDB">
              <w:rPr>
                <w:lang w:val="lv-LV"/>
              </w:rPr>
              <w:t xml:space="preserve">Proti, nav izslēgts tas, ka pusei var nākties segt radušos starpību starp tulka sniegtā pakalpojuma faktisko izcenojumu un no lietā zaudējušās puses </w:t>
            </w:r>
            <w:r w:rsidR="00625F25" w:rsidRPr="005F1BDB">
              <w:rPr>
                <w:lang w:val="lv-LV"/>
              </w:rPr>
              <w:t>piedz</w:t>
            </w:r>
            <w:r w:rsidR="00625F25">
              <w:rPr>
                <w:lang w:val="lv-LV"/>
              </w:rPr>
              <w:t>ītās</w:t>
            </w:r>
            <w:r w:rsidR="00625F25" w:rsidRPr="005F1BDB">
              <w:rPr>
                <w:lang w:val="lv-LV"/>
              </w:rPr>
              <w:t xml:space="preserve"> </w:t>
            </w:r>
            <w:r w:rsidR="005F1BDB" w:rsidRPr="005F1BDB">
              <w:rPr>
                <w:lang w:val="lv-LV"/>
              </w:rPr>
              <w:t xml:space="preserve">summas. </w:t>
            </w:r>
            <w:r w:rsidR="00627BC9">
              <w:rPr>
                <w:lang w:val="lv-LV"/>
              </w:rPr>
              <w:t xml:space="preserve"> </w:t>
            </w:r>
          </w:p>
          <w:p w:rsidR="00067955" w:rsidRPr="00176E0E" w:rsidRDefault="00067955" w:rsidP="008E5A4C">
            <w:pPr>
              <w:tabs>
                <w:tab w:val="left" w:pos="1252"/>
              </w:tabs>
              <w:jc w:val="both"/>
              <w:rPr>
                <w:lang w:val="lv-LV"/>
              </w:rPr>
            </w:pPr>
            <w:r w:rsidRPr="00176E0E">
              <w:rPr>
                <w:lang w:val="lv-LV"/>
              </w:rPr>
              <w:t xml:space="preserve">        Ievērojot, ka izdevumus, kas pusei radušies</w:t>
            </w:r>
            <w:r>
              <w:rPr>
                <w:lang w:val="lv-LV"/>
              </w:rPr>
              <w:t>,</w:t>
            </w:r>
            <w:r w:rsidRPr="00176E0E">
              <w:rPr>
                <w:lang w:val="lv-LV"/>
              </w:rPr>
              <w:t xml:space="preserve"> izmantojot tulka pakalpojumus</w:t>
            </w:r>
            <w:r>
              <w:rPr>
                <w:lang w:val="lv-LV"/>
              </w:rPr>
              <w:t>,</w:t>
            </w:r>
            <w:r w:rsidRPr="00176E0E">
              <w:rPr>
                <w:lang w:val="lv-LV"/>
              </w:rPr>
              <w:t xml:space="preserve"> varēs piedzīt no lietā zaudējušās puses, jo īpaši ir svarīgi novērst jebkādas pārmērīgas, iespējams, negodprātīg</w:t>
            </w:r>
            <w:r>
              <w:rPr>
                <w:lang w:val="lv-LV"/>
              </w:rPr>
              <w:t>i aprēķinātas</w:t>
            </w:r>
            <w:r w:rsidRPr="00176E0E">
              <w:rPr>
                <w:lang w:val="lv-LV"/>
              </w:rPr>
              <w:t xml:space="preserve"> izmaksas </w:t>
            </w:r>
            <w:r>
              <w:rPr>
                <w:lang w:val="lv-LV"/>
              </w:rPr>
              <w:t xml:space="preserve">par </w:t>
            </w:r>
            <w:r w:rsidRPr="00176E0E">
              <w:rPr>
                <w:lang w:val="lv-LV"/>
              </w:rPr>
              <w:t>tulka</w:t>
            </w:r>
            <w:r>
              <w:rPr>
                <w:lang w:val="lv-LV"/>
              </w:rPr>
              <w:t xml:space="preserve"> sniegtajiem pakalpojumiem tiesas sēdē vai iegūstot pierādījumus ārvalstīs</w:t>
            </w:r>
            <w:r w:rsidRPr="00176E0E">
              <w:rPr>
                <w:lang w:val="lv-LV"/>
              </w:rPr>
              <w:t xml:space="preserve">. Tādējādi Ministru kabineta noteikumi nosaka </w:t>
            </w:r>
            <w:r w:rsidR="008E5A4C">
              <w:rPr>
                <w:lang w:val="lv-LV"/>
              </w:rPr>
              <w:t xml:space="preserve">atlīdzināmos </w:t>
            </w:r>
            <w:r w:rsidR="008E5A4C">
              <w:rPr>
                <w:lang w:val="lv-LV"/>
              </w:rPr>
              <w:lastRenderedPageBreak/>
              <w:t>tulka izdevumus</w:t>
            </w:r>
            <w:r w:rsidR="009F3E9F">
              <w:rPr>
                <w:lang w:val="lv-LV"/>
              </w:rPr>
              <w:t xml:space="preserve"> </w:t>
            </w:r>
            <w:r w:rsidRPr="00176E0E">
              <w:rPr>
                <w:lang w:val="lv-LV"/>
              </w:rPr>
              <w:t>par secīgās tulkošanas stundu konkrētā valodu grupā, kuru tiesai jāņem vērā</w:t>
            </w:r>
            <w:r w:rsidR="004C4D0F">
              <w:rPr>
                <w:lang w:val="lv-LV"/>
              </w:rPr>
              <w:t>,</w:t>
            </w:r>
            <w:r w:rsidRPr="00176E0E">
              <w:rPr>
                <w:lang w:val="lv-LV"/>
              </w:rPr>
              <w:t xml:space="preserve"> aprēķinot piedzenamo summu no lietā zaudējušās puses, pamatojoties uz puses iesniegtajiem </w:t>
            </w:r>
            <w:r w:rsidR="009F3E9F">
              <w:rPr>
                <w:lang w:val="lv-LV"/>
              </w:rPr>
              <w:t xml:space="preserve">apliecinošiem </w:t>
            </w:r>
            <w:r w:rsidRPr="00176E0E">
              <w:rPr>
                <w:lang w:val="lv-LV"/>
              </w:rPr>
              <w:t>attaisnojuma dokumentiem. Tulka izdevumi atlīdzināmi to faktiskajā apmērā, bet ne vairāk par Ministru kabineta noteikumu Pielikumā noteikt</w:t>
            </w:r>
            <w:r w:rsidR="008E5A4C">
              <w:rPr>
                <w:lang w:val="lv-LV"/>
              </w:rPr>
              <w:t>ām</w:t>
            </w:r>
            <w:r w:rsidRPr="00176E0E">
              <w:rPr>
                <w:lang w:val="lv-LV"/>
              </w:rPr>
              <w:t xml:space="preserve"> </w:t>
            </w:r>
            <w:r w:rsidR="008E5A4C">
              <w:rPr>
                <w:lang w:val="lv-LV"/>
              </w:rPr>
              <w:t>atlīdzināmām tulka izmaksām</w:t>
            </w:r>
            <w:r w:rsidRPr="00176E0E">
              <w:rPr>
                <w:lang w:val="lv-LV"/>
              </w:rPr>
              <w:t xml:space="preserve">.  </w:t>
            </w:r>
          </w:p>
        </w:tc>
      </w:tr>
      <w:tr w:rsidR="00067955" w:rsidRPr="002E44F2" w:rsidTr="00627BC9">
        <w:tc>
          <w:tcPr>
            <w:tcW w:w="250" w:type="pct"/>
          </w:tcPr>
          <w:p w:rsidR="00067955" w:rsidRPr="00176E0E" w:rsidRDefault="00067955" w:rsidP="007E08E3">
            <w:pPr>
              <w:jc w:val="center"/>
              <w:rPr>
                <w:color w:val="000000" w:themeColor="text1"/>
                <w:lang w:val="lv-LV" w:eastAsia="lv-LV"/>
              </w:rPr>
            </w:pPr>
            <w:r w:rsidRPr="00176E0E">
              <w:rPr>
                <w:color w:val="000000" w:themeColor="text1"/>
                <w:lang w:val="lv-LV" w:eastAsia="lv-LV"/>
              </w:rPr>
              <w:lastRenderedPageBreak/>
              <w:t>3.</w:t>
            </w:r>
          </w:p>
        </w:tc>
        <w:tc>
          <w:tcPr>
            <w:tcW w:w="1397" w:type="pct"/>
          </w:tcPr>
          <w:p w:rsidR="00067955" w:rsidRPr="00176E0E" w:rsidRDefault="00067955" w:rsidP="007E08E3">
            <w:pPr>
              <w:jc w:val="both"/>
              <w:rPr>
                <w:color w:val="000000" w:themeColor="text1"/>
                <w:lang w:val="lv-LV" w:eastAsia="lv-LV"/>
              </w:rPr>
            </w:pPr>
            <w:r w:rsidRPr="00176E0E">
              <w:rPr>
                <w:color w:val="000000" w:themeColor="text1"/>
                <w:lang w:val="lv-LV" w:eastAsia="lv-LV"/>
              </w:rPr>
              <w:t>Projekta izstrādē iesaistītās institūcijas</w:t>
            </w:r>
          </w:p>
        </w:tc>
        <w:tc>
          <w:tcPr>
            <w:tcW w:w="3353" w:type="pct"/>
          </w:tcPr>
          <w:p w:rsidR="00067955" w:rsidRPr="00176E0E" w:rsidRDefault="00067955" w:rsidP="007E08E3">
            <w:pPr>
              <w:jc w:val="both"/>
              <w:rPr>
                <w:color w:val="000000" w:themeColor="text1"/>
                <w:highlight w:val="yellow"/>
                <w:lang w:val="lv-LV" w:eastAsia="lv-LV"/>
              </w:rPr>
            </w:pPr>
            <w:r>
              <w:rPr>
                <w:color w:val="000000"/>
                <w:lang w:val="lv-LV"/>
              </w:rPr>
              <w:t xml:space="preserve">Tieslietu ministrija, tiesu varas pārstāvji, </w:t>
            </w:r>
            <w:r w:rsidRPr="00176E0E">
              <w:rPr>
                <w:color w:val="000000"/>
                <w:lang w:val="lv-LV"/>
              </w:rPr>
              <w:t>Latvijas Tulku un tulkotāju biedrība.</w:t>
            </w:r>
          </w:p>
        </w:tc>
      </w:tr>
      <w:tr w:rsidR="00067955" w:rsidRPr="00176E0E" w:rsidTr="00627BC9">
        <w:tc>
          <w:tcPr>
            <w:tcW w:w="250" w:type="pct"/>
          </w:tcPr>
          <w:p w:rsidR="00067955" w:rsidRPr="00176E0E" w:rsidRDefault="00067955" w:rsidP="007E08E3">
            <w:pPr>
              <w:jc w:val="center"/>
              <w:rPr>
                <w:color w:val="000000" w:themeColor="text1"/>
                <w:lang w:val="lv-LV" w:eastAsia="lv-LV"/>
              </w:rPr>
            </w:pPr>
            <w:r w:rsidRPr="00176E0E">
              <w:rPr>
                <w:color w:val="000000" w:themeColor="text1"/>
                <w:lang w:val="lv-LV" w:eastAsia="lv-LV"/>
              </w:rPr>
              <w:t>4.</w:t>
            </w:r>
          </w:p>
        </w:tc>
        <w:tc>
          <w:tcPr>
            <w:tcW w:w="1397" w:type="pct"/>
          </w:tcPr>
          <w:p w:rsidR="00067955" w:rsidRPr="00176E0E" w:rsidRDefault="00067955" w:rsidP="007E08E3">
            <w:pPr>
              <w:jc w:val="both"/>
              <w:rPr>
                <w:color w:val="000000" w:themeColor="text1"/>
                <w:lang w:val="lv-LV" w:eastAsia="lv-LV"/>
              </w:rPr>
            </w:pPr>
            <w:r w:rsidRPr="00176E0E">
              <w:rPr>
                <w:color w:val="000000" w:themeColor="text1"/>
                <w:lang w:val="lv-LV" w:eastAsia="lv-LV"/>
              </w:rPr>
              <w:t>Cita informācija</w:t>
            </w:r>
          </w:p>
        </w:tc>
        <w:tc>
          <w:tcPr>
            <w:tcW w:w="3353" w:type="pct"/>
          </w:tcPr>
          <w:p w:rsidR="00067955" w:rsidRPr="00176E0E" w:rsidRDefault="00067955" w:rsidP="007E08E3">
            <w:pPr>
              <w:jc w:val="both"/>
              <w:rPr>
                <w:color w:val="000000" w:themeColor="text1"/>
                <w:highlight w:val="yellow"/>
                <w:lang w:val="lv-LV"/>
              </w:rPr>
            </w:pPr>
            <w:r w:rsidRPr="00176E0E">
              <w:rPr>
                <w:color w:val="000000"/>
                <w:lang w:val="lv-LV"/>
              </w:rPr>
              <w:t xml:space="preserve">Ministru kabineta noteikumi stājās spēkā </w:t>
            </w:r>
            <w:proofErr w:type="gramStart"/>
            <w:r w:rsidRPr="00176E0E">
              <w:rPr>
                <w:color w:val="000000"/>
                <w:lang w:val="lv-LV"/>
              </w:rPr>
              <w:t>2016.gada</w:t>
            </w:r>
            <w:proofErr w:type="gramEnd"/>
            <w:r w:rsidRPr="00176E0E">
              <w:rPr>
                <w:color w:val="000000"/>
                <w:lang w:val="lv-LV"/>
              </w:rPr>
              <w:t xml:space="preserve"> 31.jūlijā.</w:t>
            </w:r>
          </w:p>
        </w:tc>
      </w:tr>
    </w:tbl>
    <w:p w:rsidR="00067955" w:rsidRPr="00176E0E" w:rsidRDefault="00067955" w:rsidP="00067955">
      <w:pPr>
        <w:rPr>
          <w:color w:val="000000" w:themeColor="text1"/>
          <w:lang w:val="lv-LV"/>
        </w:rPr>
      </w:pPr>
    </w:p>
    <w:tbl>
      <w:tblPr>
        <w:tblW w:w="4920" w:type="pct"/>
        <w:tblInd w:w="7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56"/>
        <w:gridCol w:w="2552"/>
        <w:gridCol w:w="6125"/>
      </w:tblGrid>
      <w:tr w:rsidR="00067955" w:rsidRPr="002E44F2" w:rsidTr="007E08E3">
        <w:tc>
          <w:tcPr>
            <w:tcW w:w="0" w:type="auto"/>
            <w:gridSpan w:val="3"/>
            <w:tcBorders>
              <w:top w:val="outset" w:sz="6" w:space="0" w:color="auto"/>
              <w:left w:val="outset" w:sz="6" w:space="0" w:color="auto"/>
              <w:bottom w:val="outset" w:sz="6" w:space="0" w:color="auto"/>
              <w:right w:val="outset" w:sz="6" w:space="0" w:color="auto"/>
            </w:tcBorders>
          </w:tcPr>
          <w:p w:rsidR="00067955" w:rsidRPr="00176E0E" w:rsidRDefault="00067955" w:rsidP="007E08E3">
            <w:pPr>
              <w:jc w:val="center"/>
              <w:rPr>
                <w:b/>
                <w:color w:val="000000" w:themeColor="text1"/>
                <w:lang w:val="lv-LV"/>
              </w:rPr>
            </w:pPr>
            <w:r w:rsidRPr="00176E0E">
              <w:rPr>
                <w:b/>
                <w:color w:val="000000" w:themeColor="text1"/>
                <w:lang w:val="lv-LV"/>
              </w:rPr>
              <w:t>II. Tiesību akta projekta ietekme uz sabiedrību,</w:t>
            </w:r>
            <w:r w:rsidRPr="00176E0E">
              <w:rPr>
                <w:b/>
                <w:bCs/>
                <w:color w:val="000000" w:themeColor="text1"/>
                <w:lang w:val="lv-LV"/>
              </w:rPr>
              <w:t xml:space="preserve"> tautsaimniecības attīstību un administratīvo slogu</w:t>
            </w:r>
          </w:p>
        </w:tc>
      </w:tr>
      <w:tr w:rsidR="00067955" w:rsidRPr="002E44F2" w:rsidTr="007E08E3">
        <w:tc>
          <w:tcPr>
            <w:tcW w:w="250" w:type="pct"/>
            <w:tcBorders>
              <w:top w:val="outset" w:sz="6" w:space="0" w:color="auto"/>
              <w:left w:val="outset" w:sz="6" w:space="0" w:color="auto"/>
              <w:right w:val="outset" w:sz="6" w:space="0" w:color="auto"/>
            </w:tcBorders>
          </w:tcPr>
          <w:p w:rsidR="00067955" w:rsidRPr="00176E0E" w:rsidRDefault="00067955" w:rsidP="007E08E3">
            <w:pPr>
              <w:jc w:val="center"/>
              <w:rPr>
                <w:color w:val="000000" w:themeColor="text1"/>
                <w:lang w:val="lv-LV"/>
              </w:rPr>
            </w:pPr>
            <w:r w:rsidRPr="00176E0E">
              <w:rPr>
                <w:color w:val="000000" w:themeColor="text1"/>
                <w:lang w:val="lv-LV"/>
              </w:rPr>
              <w:t>1.</w:t>
            </w:r>
          </w:p>
        </w:tc>
        <w:tc>
          <w:tcPr>
            <w:tcW w:w="1397" w:type="pct"/>
            <w:tcBorders>
              <w:top w:val="outset" w:sz="6" w:space="0" w:color="auto"/>
              <w:left w:val="outset" w:sz="6" w:space="0" w:color="auto"/>
              <w:right w:val="outset" w:sz="6" w:space="0" w:color="auto"/>
            </w:tcBorders>
          </w:tcPr>
          <w:p w:rsidR="00067955" w:rsidRPr="00176E0E" w:rsidRDefault="00067955" w:rsidP="007E08E3">
            <w:pPr>
              <w:jc w:val="both"/>
              <w:rPr>
                <w:color w:val="000000" w:themeColor="text1"/>
                <w:lang w:val="lv-LV"/>
              </w:rPr>
            </w:pPr>
            <w:r w:rsidRPr="00176E0E">
              <w:rPr>
                <w:color w:val="000000" w:themeColor="text1"/>
                <w:lang w:val="lv-LV"/>
              </w:rPr>
              <w:t xml:space="preserve">Sabiedrības </w:t>
            </w:r>
            <w:proofErr w:type="spellStart"/>
            <w:r w:rsidRPr="00176E0E">
              <w:rPr>
                <w:color w:val="000000" w:themeColor="text1"/>
                <w:lang w:val="lv-LV"/>
              </w:rPr>
              <w:t>mērķgrupas</w:t>
            </w:r>
            <w:proofErr w:type="spellEnd"/>
            <w:r w:rsidRPr="00176E0E">
              <w:rPr>
                <w:color w:val="000000" w:themeColor="text1"/>
                <w:lang w:val="lv-LV"/>
              </w:rPr>
              <w:t>, kuras tiesiskais regulējums ietekmē vai varētu ietekmēt</w:t>
            </w:r>
          </w:p>
        </w:tc>
        <w:tc>
          <w:tcPr>
            <w:tcW w:w="3354" w:type="pct"/>
            <w:tcBorders>
              <w:top w:val="outset" w:sz="6" w:space="0" w:color="auto"/>
              <w:left w:val="outset" w:sz="6" w:space="0" w:color="auto"/>
              <w:right w:val="outset" w:sz="6" w:space="0" w:color="auto"/>
            </w:tcBorders>
          </w:tcPr>
          <w:p w:rsidR="009E2D4D" w:rsidRDefault="00067955" w:rsidP="009E2D4D">
            <w:pPr>
              <w:ind w:firstLine="461"/>
              <w:jc w:val="both"/>
              <w:rPr>
                <w:color w:val="000000"/>
                <w:lang w:val="lv-LV"/>
              </w:rPr>
            </w:pPr>
            <w:r w:rsidRPr="00176E0E">
              <w:rPr>
                <w:color w:val="000000"/>
                <w:lang w:val="lv-LV"/>
              </w:rPr>
              <w:t xml:space="preserve">Ministru kabineta noteikumi radīs ietekmi uz personām, kuras ir iesaistītas </w:t>
            </w:r>
            <w:r>
              <w:rPr>
                <w:color w:val="000000"/>
                <w:lang w:val="lv-LV"/>
              </w:rPr>
              <w:t xml:space="preserve">civilās </w:t>
            </w:r>
            <w:r w:rsidRPr="00176E0E">
              <w:rPr>
                <w:color w:val="000000"/>
                <w:lang w:val="lv-LV"/>
              </w:rPr>
              <w:t>tiesvedības procesos</w:t>
            </w:r>
            <w:r>
              <w:rPr>
                <w:color w:val="000000"/>
                <w:lang w:val="lv-LV"/>
              </w:rPr>
              <w:t xml:space="preserve"> un neprot tiesvedības valodu (valsts valodu)</w:t>
            </w:r>
            <w:r w:rsidRPr="00176E0E">
              <w:rPr>
                <w:color w:val="000000"/>
                <w:lang w:val="lv-LV"/>
              </w:rPr>
              <w:t xml:space="preserve">. Lielāka ietekme </w:t>
            </w:r>
            <w:r>
              <w:rPr>
                <w:color w:val="000000"/>
                <w:lang w:val="lv-LV"/>
              </w:rPr>
              <w:t>tiks radīta uz</w:t>
            </w:r>
            <w:r w:rsidRPr="00176E0E">
              <w:rPr>
                <w:color w:val="000000"/>
                <w:lang w:val="lv-LV"/>
              </w:rPr>
              <w:t xml:space="preserve"> zaudējušo pusi, jo </w:t>
            </w:r>
            <w:r>
              <w:rPr>
                <w:color w:val="000000"/>
                <w:lang w:val="lv-LV"/>
              </w:rPr>
              <w:t>tai ir</w:t>
            </w:r>
            <w:r w:rsidRPr="00176E0E">
              <w:rPr>
                <w:color w:val="000000"/>
                <w:lang w:val="lv-LV"/>
              </w:rPr>
              <w:t xml:space="preserve"> pienākums </w:t>
            </w:r>
            <w:r>
              <w:rPr>
                <w:color w:val="000000"/>
                <w:lang w:val="lv-LV"/>
              </w:rPr>
              <w:t xml:space="preserve">tulka izdevumus </w:t>
            </w:r>
            <w:r w:rsidRPr="00176E0E">
              <w:rPr>
                <w:color w:val="000000"/>
                <w:lang w:val="lv-LV"/>
              </w:rPr>
              <w:t>atlīdzināt. Ministru kabineta noteikumu Pielikumā ir not</w:t>
            </w:r>
            <w:r>
              <w:rPr>
                <w:color w:val="000000"/>
                <w:lang w:val="lv-LV"/>
              </w:rPr>
              <w:t>eikt</w:t>
            </w:r>
            <w:r w:rsidR="008E5A4C">
              <w:rPr>
                <w:color w:val="000000"/>
                <w:lang w:val="lv-LV"/>
              </w:rPr>
              <w:t>i atlīdzināmās tulka izmaksas</w:t>
            </w:r>
            <w:r w:rsidR="00A9311F">
              <w:rPr>
                <w:color w:val="000000"/>
                <w:lang w:val="lv-LV"/>
              </w:rPr>
              <w:t xml:space="preserve"> </w:t>
            </w:r>
            <w:r>
              <w:rPr>
                <w:color w:val="000000"/>
                <w:lang w:val="lv-LV"/>
              </w:rPr>
              <w:t>par</w:t>
            </w:r>
            <w:r w:rsidRPr="00176E0E">
              <w:rPr>
                <w:color w:val="000000"/>
                <w:lang w:val="lv-LV"/>
              </w:rPr>
              <w:t xml:space="preserve"> secīgās tulkošanas stundu konkrētā val</w:t>
            </w:r>
            <w:r w:rsidR="00C5094D">
              <w:rPr>
                <w:color w:val="000000"/>
                <w:lang w:val="lv-LV"/>
              </w:rPr>
              <w:t>o</w:t>
            </w:r>
            <w:r w:rsidRPr="00176E0E">
              <w:rPr>
                <w:color w:val="000000"/>
                <w:lang w:val="lv-LV"/>
              </w:rPr>
              <w:t>du grupā</w:t>
            </w:r>
            <w:r>
              <w:rPr>
                <w:color w:val="000000"/>
                <w:lang w:val="lv-LV"/>
              </w:rPr>
              <w:t xml:space="preserve"> (valodas sagrupētas alfabētiskā secībā)</w:t>
            </w:r>
            <w:r w:rsidRPr="00176E0E">
              <w:rPr>
                <w:color w:val="000000"/>
                <w:lang w:val="lv-LV"/>
              </w:rPr>
              <w:t xml:space="preserve">.  </w:t>
            </w:r>
            <w:r w:rsidR="008E5A4C">
              <w:rPr>
                <w:color w:val="000000"/>
                <w:lang w:val="lv-LV"/>
              </w:rPr>
              <w:t>Atlīdzināmās izmaksas</w:t>
            </w:r>
            <w:r w:rsidRPr="00176E0E">
              <w:rPr>
                <w:color w:val="000000"/>
                <w:lang w:val="lv-LV"/>
              </w:rPr>
              <w:t xml:space="preserve"> tulkam par secīgās tulkošanas stundu konkrētā val</w:t>
            </w:r>
            <w:r w:rsidR="006F2CDD">
              <w:rPr>
                <w:color w:val="000000"/>
                <w:lang w:val="lv-LV"/>
              </w:rPr>
              <w:t>o</w:t>
            </w:r>
            <w:r w:rsidRPr="00176E0E">
              <w:rPr>
                <w:color w:val="000000"/>
                <w:lang w:val="lv-LV"/>
              </w:rPr>
              <w:t>du grupā ir noteikta vadoties pēc iegūtās informācijas</w:t>
            </w:r>
            <w:r>
              <w:rPr>
                <w:color w:val="000000"/>
                <w:lang w:val="lv-LV"/>
              </w:rPr>
              <w:t xml:space="preserve">, kādi izcenojumi pastāv īstenojot valsts pasūtījumu </w:t>
            </w:r>
            <w:r w:rsidR="006D2DB8">
              <w:rPr>
                <w:color w:val="000000"/>
                <w:lang w:val="lv-LV"/>
              </w:rPr>
              <w:t>secīgās tulko</w:t>
            </w:r>
            <w:r w:rsidRPr="00176E0E">
              <w:rPr>
                <w:color w:val="000000"/>
                <w:lang w:val="lv-LV"/>
              </w:rPr>
              <w:t>šanas rajona (pilsētas) tiesu, apgabaltiesu un administra</w:t>
            </w:r>
            <w:r w:rsidR="007F7984">
              <w:rPr>
                <w:color w:val="000000"/>
                <w:lang w:val="lv-LV"/>
              </w:rPr>
              <w:t xml:space="preserve">tīvo tiesu darba nodrošināšanā, kā </w:t>
            </w:r>
            <w:r w:rsidR="009E2D4D">
              <w:rPr>
                <w:color w:val="000000"/>
                <w:lang w:val="lv-LV"/>
              </w:rPr>
              <w:t>pēc iegūtās informācijas no Latvijas Tulku un tulkotāju biedrības, proti, kādas</w:t>
            </w:r>
            <w:r w:rsidR="007F7984">
              <w:rPr>
                <w:color w:val="000000"/>
                <w:lang w:val="lv-LV"/>
              </w:rPr>
              <w:t xml:space="preserve"> </w:t>
            </w:r>
            <w:r w:rsidR="009E2D4D">
              <w:rPr>
                <w:color w:val="000000"/>
                <w:lang w:val="lv-LV"/>
              </w:rPr>
              <w:t>cenas</w:t>
            </w:r>
            <w:r w:rsidR="007F7984">
              <w:rPr>
                <w:color w:val="000000"/>
                <w:lang w:val="lv-LV"/>
              </w:rPr>
              <w:t xml:space="preserve"> par tulka sniegtajiem pakalpojumiem </w:t>
            </w:r>
            <w:r w:rsidR="009E2D4D">
              <w:rPr>
                <w:color w:val="000000"/>
                <w:lang w:val="lv-LV"/>
              </w:rPr>
              <w:t xml:space="preserve">pastāv </w:t>
            </w:r>
            <w:r w:rsidR="007F7984">
              <w:rPr>
                <w:color w:val="000000"/>
                <w:lang w:val="lv-LV"/>
              </w:rPr>
              <w:t xml:space="preserve">brīvajā tirgū. Salīdzinot tulka izcenojumus, kādi fiksēti īstenojot valsts pasūtījumu ar tiem izcenojumiem, kādi faktiski pastāv brīvajā tirgū – nākas secināt, ka šie izcenojumi atšķiras. Proti, </w:t>
            </w:r>
            <w:r w:rsidR="009E2D4D">
              <w:rPr>
                <w:color w:val="000000"/>
                <w:lang w:val="lv-LV"/>
              </w:rPr>
              <w:t xml:space="preserve">kad tiek sniegts pakalpojums īstenojot valsts pasūtījumu </w:t>
            </w:r>
            <w:r w:rsidR="007F7984">
              <w:rPr>
                <w:color w:val="000000"/>
                <w:lang w:val="lv-LV"/>
              </w:rPr>
              <w:t>vidējais izcenojums</w:t>
            </w:r>
            <w:r w:rsidR="0082566C">
              <w:rPr>
                <w:color w:val="000000"/>
                <w:lang w:val="lv-LV"/>
              </w:rPr>
              <w:t xml:space="preserve"> ir</w:t>
            </w:r>
            <w:r w:rsidR="007F7984">
              <w:rPr>
                <w:color w:val="000000"/>
                <w:lang w:val="lv-LV"/>
              </w:rPr>
              <w:t xml:space="preserve"> robežās </w:t>
            </w:r>
            <w:proofErr w:type="gramStart"/>
            <w:r w:rsidR="007F7984">
              <w:rPr>
                <w:color w:val="000000"/>
                <w:lang w:val="lv-LV"/>
              </w:rPr>
              <w:t>no 20</w:t>
            </w:r>
            <w:r w:rsidR="005B2C37">
              <w:rPr>
                <w:color w:val="000000"/>
                <w:lang w:val="lv-LV"/>
              </w:rPr>
              <w:t xml:space="preserve"> </w:t>
            </w:r>
            <w:r w:rsidR="007F7984">
              <w:rPr>
                <w:color w:val="000000"/>
                <w:lang w:val="lv-LV"/>
              </w:rPr>
              <w:t>-</w:t>
            </w:r>
            <w:r w:rsidR="005B2C37">
              <w:rPr>
                <w:color w:val="000000"/>
                <w:lang w:val="lv-LV"/>
              </w:rPr>
              <w:t xml:space="preserve"> </w:t>
            </w:r>
            <w:r w:rsidR="007F7984">
              <w:rPr>
                <w:color w:val="000000"/>
                <w:lang w:val="lv-LV"/>
              </w:rPr>
              <w:t>25</w:t>
            </w:r>
            <w:proofErr w:type="gramEnd"/>
            <w:r w:rsidR="007F7984">
              <w:rPr>
                <w:color w:val="000000"/>
                <w:lang w:val="lv-LV"/>
              </w:rPr>
              <w:t xml:space="preserve"> </w:t>
            </w:r>
            <w:proofErr w:type="spellStart"/>
            <w:r w:rsidR="007F7984" w:rsidRPr="005B2C37">
              <w:rPr>
                <w:i/>
                <w:color w:val="000000"/>
                <w:lang w:val="lv-LV"/>
              </w:rPr>
              <w:t>euro</w:t>
            </w:r>
            <w:proofErr w:type="spellEnd"/>
            <w:r w:rsidR="007F7984">
              <w:rPr>
                <w:color w:val="000000"/>
                <w:lang w:val="lv-LV"/>
              </w:rPr>
              <w:t xml:space="preserve"> (bez PVN) par vienu stundu</w:t>
            </w:r>
            <w:r w:rsidR="0082566C">
              <w:rPr>
                <w:color w:val="000000"/>
                <w:lang w:val="lv-LV"/>
              </w:rPr>
              <w:t xml:space="preserve"> savukārt, kad</w:t>
            </w:r>
            <w:r w:rsidR="007F7984">
              <w:rPr>
                <w:color w:val="000000"/>
                <w:lang w:val="lv-LV"/>
              </w:rPr>
              <w:t xml:space="preserve"> </w:t>
            </w:r>
            <w:r w:rsidR="009E2D4D">
              <w:rPr>
                <w:color w:val="000000"/>
                <w:lang w:val="lv-LV"/>
              </w:rPr>
              <w:t xml:space="preserve">tulka pakalpojumi tiek sniegti ārpus valsts pasūtījuma </w:t>
            </w:r>
            <w:r w:rsidR="0082566C">
              <w:rPr>
                <w:color w:val="000000"/>
                <w:lang w:val="lv-LV"/>
              </w:rPr>
              <w:t>- to</w:t>
            </w:r>
            <w:r w:rsidR="009E2D4D">
              <w:rPr>
                <w:color w:val="000000"/>
                <w:lang w:val="lv-LV"/>
              </w:rPr>
              <w:t xml:space="preserve"> vidējais izcenojums </w:t>
            </w:r>
            <w:r w:rsidR="007F7984">
              <w:rPr>
                <w:color w:val="000000"/>
                <w:lang w:val="lv-LV"/>
              </w:rPr>
              <w:t xml:space="preserve">variē no 30 </w:t>
            </w:r>
            <w:proofErr w:type="spellStart"/>
            <w:r w:rsidR="007F7984" w:rsidRPr="005B2C37">
              <w:rPr>
                <w:i/>
                <w:color w:val="000000"/>
                <w:lang w:val="lv-LV"/>
              </w:rPr>
              <w:t>euro</w:t>
            </w:r>
            <w:proofErr w:type="spellEnd"/>
            <w:r w:rsidR="007F7984">
              <w:rPr>
                <w:color w:val="000000"/>
                <w:lang w:val="lv-LV"/>
              </w:rPr>
              <w:t xml:space="preserve"> (bez PVN) par stundu un vairāk. </w:t>
            </w:r>
          </w:p>
          <w:p w:rsidR="007F7984" w:rsidRDefault="0082566C" w:rsidP="009E2D4D">
            <w:pPr>
              <w:ind w:firstLine="461"/>
              <w:jc w:val="both"/>
              <w:rPr>
                <w:color w:val="000000"/>
                <w:lang w:val="lv-LV"/>
              </w:rPr>
            </w:pPr>
            <w:r>
              <w:rPr>
                <w:color w:val="000000"/>
                <w:lang w:val="lv-LV"/>
              </w:rPr>
              <w:t xml:space="preserve">Nosakot </w:t>
            </w:r>
            <w:r w:rsidR="008E5A4C">
              <w:rPr>
                <w:color w:val="000000"/>
                <w:lang w:val="lv-LV"/>
              </w:rPr>
              <w:t>atlīdzināmās tulka izmaksas</w:t>
            </w:r>
            <w:r>
              <w:rPr>
                <w:color w:val="000000"/>
                <w:lang w:val="lv-LV"/>
              </w:rPr>
              <w:t>, ir v</w:t>
            </w:r>
            <w:r w:rsidR="009E2D4D">
              <w:rPr>
                <w:color w:val="000000"/>
                <w:lang w:val="lv-LV"/>
              </w:rPr>
              <w:t xml:space="preserve">ērtējams </w:t>
            </w:r>
            <w:r w:rsidR="00067955">
              <w:rPr>
                <w:color w:val="000000"/>
                <w:lang w:val="lv-LV"/>
              </w:rPr>
              <w:t xml:space="preserve">tas, ka puse var izvēlēties jebkāda </w:t>
            </w:r>
            <w:r w:rsidR="00067955" w:rsidRPr="00AB603C">
              <w:rPr>
                <w:i/>
                <w:color w:val="000000"/>
                <w:lang w:val="lv-LV"/>
              </w:rPr>
              <w:t>“izcenojuma”</w:t>
            </w:r>
            <w:r w:rsidR="00067955">
              <w:rPr>
                <w:color w:val="000000"/>
                <w:lang w:val="lv-LV"/>
              </w:rPr>
              <w:t xml:space="preserve"> tulku, gan arī aspekts, ka tulka izdevumi ir piedzenami no lietā zaudējušās puses. </w:t>
            </w:r>
            <w:r>
              <w:rPr>
                <w:color w:val="000000"/>
                <w:lang w:val="lv-LV"/>
              </w:rPr>
              <w:t>Taču, ja</w:t>
            </w:r>
            <w:r w:rsidR="00067955">
              <w:rPr>
                <w:color w:val="000000"/>
                <w:lang w:val="lv-LV"/>
              </w:rPr>
              <w:t xml:space="preserve"> tulka izdevumi ir piedzenami no lietā zaudējušās puses, ievērojot tiesiskum</w:t>
            </w:r>
            <w:r w:rsidR="004C4D0F">
              <w:rPr>
                <w:color w:val="000000"/>
                <w:lang w:val="lv-LV"/>
              </w:rPr>
              <w:t>a principus, tiem ir jābūt saprā</w:t>
            </w:r>
            <w:r w:rsidR="00067955">
              <w:rPr>
                <w:color w:val="000000"/>
                <w:lang w:val="lv-LV"/>
              </w:rPr>
              <w:t xml:space="preserve">tīgiem.  Ministru kabineta noteikumu Pielikumā ir rasts līdzsvars starp tulka izcenojumiem, kādi tiek piemēroti </w:t>
            </w:r>
            <w:r>
              <w:rPr>
                <w:color w:val="000000"/>
                <w:lang w:val="lv-LV"/>
              </w:rPr>
              <w:t>īstenojot valsts pasūtījumu</w:t>
            </w:r>
            <w:r w:rsidR="00067955">
              <w:rPr>
                <w:color w:val="000000"/>
                <w:lang w:val="lv-LV"/>
              </w:rPr>
              <w:t xml:space="preserve"> un izcenojumiem</w:t>
            </w:r>
            <w:r w:rsidR="004C4D0F">
              <w:rPr>
                <w:color w:val="000000"/>
                <w:lang w:val="lv-LV"/>
              </w:rPr>
              <w:t>,</w:t>
            </w:r>
            <w:r w:rsidR="00067955">
              <w:rPr>
                <w:color w:val="000000"/>
                <w:lang w:val="lv-LV"/>
              </w:rPr>
              <w:t xml:space="preserve"> kādi eksistē brīvajā tirgū par tulka sniegt</w:t>
            </w:r>
            <w:r w:rsidR="00FC2D6C">
              <w:rPr>
                <w:color w:val="000000"/>
                <w:lang w:val="lv-LV"/>
              </w:rPr>
              <w:t xml:space="preserve">ajiem pakalpojumiem klientiem. </w:t>
            </w:r>
            <w:r>
              <w:rPr>
                <w:color w:val="000000"/>
                <w:lang w:val="lv-LV"/>
              </w:rPr>
              <w:t xml:space="preserve">Tādējādi Ministru kabineta </w:t>
            </w:r>
            <w:r w:rsidR="00DB6AF3">
              <w:rPr>
                <w:color w:val="000000"/>
                <w:lang w:val="lv-LV"/>
              </w:rPr>
              <w:t>P</w:t>
            </w:r>
            <w:r>
              <w:rPr>
                <w:color w:val="000000"/>
                <w:lang w:val="lv-LV"/>
              </w:rPr>
              <w:t>ielikumā ir noteikts, ka</w:t>
            </w:r>
            <w:r w:rsidR="007F7984">
              <w:rPr>
                <w:color w:val="000000"/>
                <w:lang w:val="lv-LV"/>
              </w:rPr>
              <w:t xml:space="preserve"> </w:t>
            </w:r>
            <w:r>
              <w:rPr>
                <w:color w:val="000000"/>
                <w:lang w:val="lv-LV"/>
              </w:rPr>
              <w:t xml:space="preserve">visām valodu grupām </w:t>
            </w:r>
            <w:r w:rsidR="008E5A4C">
              <w:rPr>
                <w:color w:val="000000"/>
                <w:lang w:val="lv-LV"/>
              </w:rPr>
              <w:t>atlīdzināmās tulka izmaksas</w:t>
            </w:r>
            <w:r>
              <w:rPr>
                <w:color w:val="000000"/>
                <w:lang w:val="lv-LV"/>
              </w:rPr>
              <w:t xml:space="preserve"> ir</w:t>
            </w:r>
            <w:r w:rsidR="007F7984">
              <w:rPr>
                <w:color w:val="000000"/>
                <w:lang w:val="lv-LV"/>
              </w:rPr>
              <w:t xml:space="preserve"> 30 </w:t>
            </w:r>
            <w:proofErr w:type="spellStart"/>
            <w:r w:rsidR="007F7984" w:rsidRPr="005B2C37">
              <w:rPr>
                <w:i/>
                <w:color w:val="000000"/>
                <w:lang w:val="lv-LV"/>
              </w:rPr>
              <w:t>euro</w:t>
            </w:r>
            <w:proofErr w:type="spellEnd"/>
            <w:r w:rsidR="007F7984">
              <w:rPr>
                <w:color w:val="000000"/>
                <w:lang w:val="lv-LV"/>
              </w:rPr>
              <w:t xml:space="preserve"> (bez PVN) apmērā</w:t>
            </w:r>
            <w:r>
              <w:rPr>
                <w:color w:val="000000"/>
                <w:lang w:val="lv-LV"/>
              </w:rPr>
              <w:t xml:space="preserve"> par vienu</w:t>
            </w:r>
            <w:r w:rsidR="00A9311F">
              <w:rPr>
                <w:color w:val="000000"/>
                <w:lang w:val="lv-LV"/>
              </w:rPr>
              <w:t xml:space="preserve"> secīgās tulkošanas</w:t>
            </w:r>
            <w:r>
              <w:rPr>
                <w:color w:val="000000"/>
                <w:lang w:val="lv-LV"/>
              </w:rPr>
              <w:t xml:space="preserve"> stundu un</w:t>
            </w:r>
            <w:r w:rsidR="000A2705">
              <w:rPr>
                <w:color w:val="000000"/>
                <w:lang w:val="lv-LV"/>
              </w:rPr>
              <w:t xml:space="preserve"> </w:t>
            </w:r>
            <w:r w:rsidR="007F7984">
              <w:rPr>
                <w:color w:val="000000"/>
                <w:lang w:val="lv-LV"/>
              </w:rPr>
              <w:t xml:space="preserve">Urdu, </w:t>
            </w:r>
            <w:proofErr w:type="spellStart"/>
            <w:r w:rsidR="007F7984">
              <w:rPr>
                <w:color w:val="000000"/>
                <w:lang w:val="lv-LV"/>
              </w:rPr>
              <w:t>Pu</w:t>
            </w:r>
            <w:r w:rsidR="000A2705">
              <w:rPr>
                <w:color w:val="000000"/>
                <w:lang w:val="lv-LV"/>
              </w:rPr>
              <w:t>štu</w:t>
            </w:r>
            <w:proofErr w:type="spellEnd"/>
            <w:r w:rsidR="000A2705">
              <w:rPr>
                <w:color w:val="000000"/>
                <w:lang w:val="lv-LV"/>
              </w:rPr>
              <w:t xml:space="preserve"> un citām</w:t>
            </w:r>
            <w:r w:rsidR="007F7984">
              <w:rPr>
                <w:color w:val="000000"/>
                <w:lang w:val="lv-LV"/>
              </w:rPr>
              <w:t xml:space="preserve"> neminēt</w:t>
            </w:r>
            <w:r w:rsidR="000A2705">
              <w:rPr>
                <w:color w:val="000000"/>
                <w:lang w:val="lv-LV"/>
              </w:rPr>
              <w:t>ām valodā</w:t>
            </w:r>
            <w:r>
              <w:rPr>
                <w:color w:val="000000"/>
                <w:lang w:val="lv-LV"/>
              </w:rPr>
              <w:t>m</w:t>
            </w:r>
            <w:r w:rsidR="000A2705">
              <w:rPr>
                <w:color w:val="000000"/>
                <w:lang w:val="lv-LV"/>
              </w:rPr>
              <w:t xml:space="preserve"> </w:t>
            </w:r>
            <w:r w:rsidR="008E5A4C">
              <w:rPr>
                <w:color w:val="000000"/>
                <w:lang w:val="lv-LV"/>
              </w:rPr>
              <w:t>-</w:t>
            </w:r>
            <w:r w:rsidR="007F7984">
              <w:rPr>
                <w:color w:val="000000"/>
                <w:lang w:val="lv-LV"/>
              </w:rPr>
              <w:t xml:space="preserve"> 70 </w:t>
            </w:r>
            <w:proofErr w:type="spellStart"/>
            <w:r w:rsidR="007F7984" w:rsidRPr="005B2C37">
              <w:rPr>
                <w:i/>
                <w:color w:val="000000"/>
                <w:lang w:val="lv-LV"/>
              </w:rPr>
              <w:t>euro</w:t>
            </w:r>
            <w:proofErr w:type="spellEnd"/>
            <w:r w:rsidR="007F7984">
              <w:rPr>
                <w:color w:val="000000"/>
                <w:lang w:val="lv-LV"/>
              </w:rPr>
              <w:t xml:space="preserve"> (bez PVN) </w:t>
            </w:r>
            <w:r w:rsidR="007F7984">
              <w:rPr>
                <w:color w:val="000000"/>
                <w:lang w:val="lv-LV"/>
              </w:rPr>
              <w:lastRenderedPageBreak/>
              <w:t>apmērā</w:t>
            </w:r>
            <w:r>
              <w:rPr>
                <w:color w:val="000000"/>
                <w:lang w:val="lv-LV"/>
              </w:rPr>
              <w:t xml:space="preserve"> par vienu </w:t>
            </w:r>
            <w:r w:rsidR="00A9311F">
              <w:rPr>
                <w:color w:val="000000"/>
                <w:lang w:val="lv-LV"/>
              </w:rPr>
              <w:t xml:space="preserve">secīgās tulkošanas </w:t>
            </w:r>
            <w:r>
              <w:rPr>
                <w:color w:val="000000"/>
                <w:lang w:val="lv-LV"/>
              </w:rPr>
              <w:t>stundu</w:t>
            </w:r>
            <w:r w:rsidR="007F7984">
              <w:rPr>
                <w:color w:val="000000"/>
                <w:lang w:val="lv-LV"/>
              </w:rPr>
              <w:t>.</w:t>
            </w:r>
          </w:p>
          <w:p w:rsidR="00067955" w:rsidRPr="00176E0E" w:rsidRDefault="00FC2D6C" w:rsidP="007F7984">
            <w:pPr>
              <w:ind w:firstLine="461"/>
              <w:jc w:val="both"/>
              <w:rPr>
                <w:color w:val="000000"/>
                <w:lang w:val="lv-LV"/>
              </w:rPr>
            </w:pPr>
            <w:r>
              <w:rPr>
                <w:color w:val="000000"/>
                <w:lang w:val="lv-LV"/>
              </w:rPr>
              <w:t>Ministru kabineta noteikumi</w:t>
            </w:r>
            <w:r w:rsidR="00067955">
              <w:rPr>
                <w:color w:val="000000"/>
                <w:lang w:val="lv-LV"/>
              </w:rPr>
              <w:t xml:space="preserve"> </w:t>
            </w:r>
            <w:r>
              <w:rPr>
                <w:color w:val="000000"/>
                <w:lang w:val="lv-LV"/>
              </w:rPr>
              <w:t xml:space="preserve">nerada šķēršļus pusēm piesaistīt tulkus un vienlaikus pasargā lietā zaudējušo pusi no </w:t>
            </w:r>
            <w:r w:rsidR="00067955">
              <w:rPr>
                <w:color w:val="000000"/>
                <w:lang w:val="lv-LV"/>
              </w:rPr>
              <w:t xml:space="preserve">nesamērīgu izmaksu piedziņas. </w:t>
            </w:r>
            <w:r w:rsidR="00067955" w:rsidRPr="00176E0E">
              <w:rPr>
                <w:color w:val="000000"/>
                <w:lang w:val="lv-LV"/>
              </w:rPr>
              <w:t xml:space="preserve"> </w:t>
            </w:r>
          </w:p>
        </w:tc>
      </w:tr>
      <w:tr w:rsidR="00067955" w:rsidRPr="002E44F2" w:rsidTr="007E08E3">
        <w:tc>
          <w:tcPr>
            <w:tcW w:w="250" w:type="pct"/>
            <w:tcBorders>
              <w:top w:val="outset" w:sz="6" w:space="0" w:color="auto"/>
              <w:left w:val="outset" w:sz="6" w:space="0" w:color="auto"/>
              <w:right w:val="outset" w:sz="6" w:space="0" w:color="auto"/>
            </w:tcBorders>
          </w:tcPr>
          <w:p w:rsidR="00067955" w:rsidRPr="00176E0E" w:rsidRDefault="00067955" w:rsidP="007E08E3">
            <w:pPr>
              <w:jc w:val="center"/>
              <w:rPr>
                <w:color w:val="000000" w:themeColor="text1"/>
                <w:lang w:val="lv-LV"/>
              </w:rPr>
            </w:pPr>
            <w:r w:rsidRPr="00176E0E">
              <w:rPr>
                <w:color w:val="000000" w:themeColor="text1"/>
                <w:lang w:val="lv-LV"/>
              </w:rPr>
              <w:lastRenderedPageBreak/>
              <w:t>2.</w:t>
            </w:r>
          </w:p>
        </w:tc>
        <w:tc>
          <w:tcPr>
            <w:tcW w:w="1397" w:type="pct"/>
            <w:tcBorders>
              <w:top w:val="outset" w:sz="6" w:space="0" w:color="auto"/>
              <w:left w:val="outset" w:sz="6" w:space="0" w:color="auto"/>
              <w:right w:val="outset" w:sz="6" w:space="0" w:color="auto"/>
            </w:tcBorders>
          </w:tcPr>
          <w:p w:rsidR="00067955" w:rsidRPr="00176E0E" w:rsidRDefault="00067955" w:rsidP="007E08E3">
            <w:pPr>
              <w:widowControl w:val="0"/>
              <w:jc w:val="both"/>
              <w:rPr>
                <w:color w:val="000000" w:themeColor="text1"/>
                <w:lang w:val="lv-LV"/>
              </w:rPr>
            </w:pPr>
            <w:r w:rsidRPr="00176E0E">
              <w:rPr>
                <w:color w:val="000000" w:themeColor="text1"/>
                <w:lang w:val="lv-LV"/>
              </w:rPr>
              <w:t>Tiesiskā regulējuma ietekme uz tautsaimniecību un administratīvo slogu</w:t>
            </w:r>
          </w:p>
        </w:tc>
        <w:tc>
          <w:tcPr>
            <w:tcW w:w="3354" w:type="pct"/>
            <w:tcBorders>
              <w:top w:val="outset" w:sz="6" w:space="0" w:color="auto"/>
              <w:left w:val="outset" w:sz="6" w:space="0" w:color="auto"/>
              <w:right w:val="outset" w:sz="6" w:space="0" w:color="auto"/>
            </w:tcBorders>
          </w:tcPr>
          <w:p w:rsidR="00067955" w:rsidRPr="0054399A" w:rsidRDefault="00067955" w:rsidP="008E5A4C">
            <w:pPr>
              <w:widowControl w:val="0"/>
              <w:jc w:val="both"/>
              <w:rPr>
                <w:lang w:val="lv-LV" w:eastAsia="lv-LV"/>
              </w:rPr>
            </w:pPr>
            <w:r>
              <w:rPr>
                <w:lang w:val="lv-LV" w:eastAsia="lv-LV"/>
              </w:rPr>
              <w:t xml:space="preserve">Sabiedrības grupas tas ietekmēs tādējādi, ka tiesiskais regulējums pusei (kura nepārvalda tiesvedības valodu) uzliek par pienākumu pašai nodrošināt tulka palīdzību un segt no saviem līdzekļiem tulka izdevumu starpību, kas radīsies starp faktisko izmaksu un Ministru kabineta noteikumu Pielikumā pieļauto atlīdzināmo </w:t>
            </w:r>
            <w:r w:rsidR="00FC2D6C">
              <w:rPr>
                <w:lang w:val="lv-LV" w:eastAsia="lv-LV"/>
              </w:rPr>
              <w:t xml:space="preserve">tulku </w:t>
            </w:r>
            <w:r w:rsidR="009F3E9F">
              <w:rPr>
                <w:lang w:val="lv-LV" w:eastAsia="lv-LV"/>
              </w:rPr>
              <w:t xml:space="preserve">izdevumu </w:t>
            </w:r>
            <w:r w:rsidR="008E5A4C">
              <w:rPr>
                <w:lang w:val="lv-LV" w:eastAsia="lv-LV"/>
              </w:rPr>
              <w:t>apmēru</w:t>
            </w:r>
            <w:r w:rsidR="00FC2D6C">
              <w:rPr>
                <w:lang w:val="lv-LV" w:eastAsia="lv-LV"/>
              </w:rPr>
              <w:t xml:space="preserve">. </w:t>
            </w:r>
            <w:r>
              <w:rPr>
                <w:lang w:val="lv-LV" w:eastAsia="lv-LV"/>
              </w:rPr>
              <w:t xml:space="preserve"> </w:t>
            </w:r>
            <w:r w:rsidR="0054399A">
              <w:rPr>
                <w:lang w:val="lv-LV" w:eastAsia="lv-LV"/>
              </w:rPr>
              <w:t xml:space="preserve">Savukārt attiecībā uz institūcijām norādāms, ka Ministru kabineta noteikumu tiesiskais regulējums nemaina to tiesības un pienākumus, kā arī veicamās darbības. </w:t>
            </w:r>
          </w:p>
        </w:tc>
      </w:tr>
      <w:tr w:rsidR="00067955" w:rsidRPr="002E44F2" w:rsidTr="007E08E3">
        <w:tc>
          <w:tcPr>
            <w:tcW w:w="250" w:type="pct"/>
            <w:tcBorders>
              <w:top w:val="outset" w:sz="6" w:space="0" w:color="auto"/>
              <w:left w:val="outset" w:sz="6" w:space="0" w:color="auto"/>
              <w:right w:val="outset" w:sz="6" w:space="0" w:color="auto"/>
            </w:tcBorders>
          </w:tcPr>
          <w:p w:rsidR="00067955" w:rsidRPr="00176E0E" w:rsidRDefault="00067955" w:rsidP="007E08E3">
            <w:pPr>
              <w:pStyle w:val="Paraststmeklis"/>
              <w:spacing w:before="0" w:beforeAutospacing="0" w:after="0" w:afterAutospacing="0"/>
              <w:rPr>
                <w:color w:val="000000" w:themeColor="text1"/>
                <w:lang w:val="lv-LV"/>
              </w:rPr>
            </w:pPr>
            <w:r w:rsidRPr="00176E0E">
              <w:rPr>
                <w:color w:val="000000" w:themeColor="text1"/>
                <w:lang w:val="lv-LV"/>
              </w:rPr>
              <w:t>3.</w:t>
            </w:r>
          </w:p>
        </w:tc>
        <w:tc>
          <w:tcPr>
            <w:tcW w:w="1397" w:type="pct"/>
            <w:tcBorders>
              <w:top w:val="outset" w:sz="6" w:space="0" w:color="auto"/>
              <w:left w:val="outset" w:sz="6" w:space="0" w:color="auto"/>
              <w:right w:val="outset" w:sz="6" w:space="0" w:color="auto"/>
            </w:tcBorders>
          </w:tcPr>
          <w:p w:rsidR="00067955" w:rsidRPr="00176E0E" w:rsidRDefault="00067955" w:rsidP="007E08E3">
            <w:pPr>
              <w:pStyle w:val="Paraststmeklis"/>
              <w:spacing w:before="0" w:beforeAutospacing="0" w:after="0" w:afterAutospacing="0"/>
              <w:jc w:val="both"/>
              <w:rPr>
                <w:color w:val="000000" w:themeColor="text1"/>
                <w:lang w:val="lv-LV"/>
              </w:rPr>
            </w:pPr>
            <w:r w:rsidRPr="00176E0E">
              <w:rPr>
                <w:color w:val="000000" w:themeColor="text1"/>
                <w:lang w:val="lv-LV"/>
              </w:rPr>
              <w:t>Administratīvo izmaksu monetārs novērtējums</w:t>
            </w:r>
          </w:p>
        </w:tc>
        <w:tc>
          <w:tcPr>
            <w:tcW w:w="3354" w:type="pct"/>
            <w:tcBorders>
              <w:top w:val="outset" w:sz="6" w:space="0" w:color="auto"/>
              <w:left w:val="outset" w:sz="6" w:space="0" w:color="auto"/>
              <w:right w:val="outset" w:sz="6" w:space="0" w:color="auto"/>
            </w:tcBorders>
          </w:tcPr>
          <w:p w:rsidR="00067955" w:rsidRPr="00176E0E" w:rsidRDefault="0054399A" w:rsidP="008E5A4C">
            <w:pPr>
              <w:jc w:val="both"/>
              <w:rPr>
                <w:lang w:val="lv-LV" w:eastAsia="lv-LV"/>
              </w:rPr>
            </w:pPr>
            <w:r>
              <w:rPr>
                <w:lang w:val="lv-LV" w:eastAsia="lv-LV"/>
              </w:rPr>
              <w:t xml:space="preserve">Tiesiskais regulējums pusei (kura nepārvalda tiesvedības valodu) uzliek par pienākumu pašai nodrošināt tulka palīdzību un segt no saviem līdzekļiem tulka izdevumu starpību, kas radīsies starp faktisko izmaksu un Ministru kabineta noteikumu Pielikumā pieļauto atlīdzināmo </w:t>
            </w:r>
            <w:r w:rsidR="00FC2D6C">
              <w:rPr>
                <w:lang w:val="lv-LV" w:eastAsia="lv-LV"/>
              </w:rPr>
              <w:t xml:space="preserve">tulka izdevumu </w:t>
            </w:r>
            <w:r w:rsidR="008E5A4C">
              <w:rPr>
                <w:lang w:val="lv-LV" w:eastAsia="lv-LV"/>
              </w:rPr>
              <w:t>apmēra</w:t>
            </w:r>
            <w:r>
              <w:rPr>
                <w:lang w:val="lv-LV" w:eastAsia="lv-LV"/>
              </w:rPr>
              <w:t xml:space="preserve">. Savukārt attiecībā uz institūcijām </w:t>
            </w:r>
            <w:r w:rsidR="00067955" w:rsidRPr="00176E0E">
              <w:rPr>
                <w:lang w:val="lv-LV" w:eastAsia="lv-LV"/>
              </w:rPr>
              <w:t xml:space="preserve">Ministru kabineta noteikumi </w:t>
            </w:r>
            <w:r>
              <w:rPr>
                <w:lang w:val="lv-LV" w:eastAsia="lv-LV"/>
              </w:rPr>
              <w:t xml:space="preserve">nerada administratīvās izmaksas, kā arī </w:t>
            </w:r>
            <w:r w:rsidR="00067955" w:rsidRPr="00176E0E">
              <w:rPr>
                <w:lang w:val="lv-LV" w:eastAsia="lv-LV"/>
              </w:rPr>
              <w:t>nemaina</w:t>
            </w:r>
            <w:r>
              <w:rPr>
                <w:lang w:val="lv-LV" w:eastAsia="lv-LV"/>
              </w:rPr>
              <w:t xml:space="preserve"> to</w:t>
            </w:r>
            <w:r w:rsidR="00067955" w:rsidRPr="00176E0E">
              <w:rPr>
                <w:lang w:val="lv-LV" w:eastAsia="lv-LV"/>
              </w:rPr>
              <w:t xml:space="preserve"> tiesības un pienākumus, kā arī veicamās darbības.</w:t>
            </w:r>
          </w:p>
        </w:tc>
      </w:tr>
      <w:tr w:rsidR="00067955" w:rsidRPr="00176E0E" w:rsidTr="007E08E3">
        <w:tc>
          <w:tcPr>
            <w:tcW w:w="250" w:type="pct"/>
            <w:tcBorders>
              <w:top w:val="outset" w:sz="6" w:space="0" w:color="auto"/>
              <w:left w:val="outset" w:sz="6" w:space="0" w:color="auto"/>
              <w:right w:val="outset" w:sz="6" w:space="0" w:color="auto"/>
            </w:tcBorders>
          </w:tcPr>
          <w:p w:rsidR="00067955" w:rsidRPr="00176E0E" w:rsidRDefault="00067955" w:rsidP="007E08E3">
            <w:pPr>
              <w:pStyle w:val="Paraststmeklis"/>
              <w:spacing w:before="0" w:beforeAutospacing="0" w:after="0" w:afterAutospacing="0"/>
              <w:rPr>
                <w:color w:val="000000" w:themeColor="text1"/>
                <w:lang w:val="lv-LV"/>
              </w:rPr>
            </w:pPr>
            <w:r w:rsidRPr="00176E0E">
              <w:rPr>
                <w:color w:val="000000" w:themeColor="text1"/>
                <w:lang w:val="lv-LV"/>
              </w:rPr>
              <w:t>4.</w:t>
            </w:r>
          </w:p>
        </w:tc>
        <w:tc>
          <w:tcPr>
            <w:tcW w:w="1397" w:type="pct"/>
            <w:tcBorders>
              <w:top w:val="outset" w:sz="6" w:space="0" w:color="auto"/>
              <w:left w:val="outset" w:sz="6" w:space="0" w:color="auto"/>
              <w:right w:val="outset" w:sz="6" w:space="0" w:color="auto"/>
            </w:tcBorders>
          </w:tcPr>
          <w:p w:rsidR="00067955" w:rsidRPr="00176E0E" w:rsidRDefault="00067955" w:rsidP="007E08E3">
            <w:pPr>
              <w:jc w:val="both"/>
              <w:rPr>
                <w:color w:val="000000" w:themeColor="text1"/>
                <w:lang w:val="lv-LV"/>
              </w:rPr>
            </w:pPr>
            <w:r w:rsidRPr="00176E0E">
              <w:rPr>
                <w:color w:val="000000" w:themeColor="text1"/>
                <w:lang w:val="lv-LV"/>
              </w:rPr>
              <w:t>Cita informācija</w:t>
            </w:r>
          </w:p>
        </w:tc>
        <w:tc>
          <w:tcPr>
            <w:tcW w:w="3354" w:type="pct"/>
            <w:tcBorders>
              <w:top w:val="outset" w:sz="6" w:space="0" w:color="auto"/>
              <w:left w:val="outset" w:sz="6" w:space="0" w:color="auto"/>
              <w:right w:val="outset" w:sz="6" w:space="0" w:color="auto"/>
            </w:tcBorders>
            <w:shd w:val="clear" w:color="auto" w:fill="auto"/>
          </w:tcPr>
          <w:p w:rsidR="00067955" w:rsidRPr="00176E0E" w:rsidRDefault="00067955" w:rsidP="007E08E3">
            <w:pPr>
              <w:widowControl w:val="0"/>
              <w:jc w:val="both"/>
              <w:rPr>
                <w:color w:val="000000" w:themeColor="text1"/>
                <w:lang w:val="lv-LV"/>
              </w:rPr>
            </w:pPr>
            <w:r w:rsidRPr="00176E0E">
              <w:rPr>
                <w:color w:val="000000" w:themeColor="text1"/>
                <w:lang w:val="lv-LV"/>
              </w:rPr>
              <w:t>Nav.</w:t>
            </w:r>
          </w:p>
        </w:tc>
      </w:tr>
    </w:tbl>
    <w:p w:rsidR="00067955" w:rsidRPr="00176E0E" w:rsidRDefault="00067955" w:rsidP="00067955">
      <w:pPr>
        <w:jc w:val="both"/>
        <w:rPr>
          <w:color w:val="000000" w:themeColor="text1"/>
          <w:lang w:val="lv-LV" w:eastAsia="lv-LV"/>
        </w:rPr>
      </w:pPr>
    </w:p>
    <w:p w:rsidR="00067955" w:rsidRPr="00176E0E" w:rsidRDefault="00067955" w:rsidP="00067955">
      <w:pPr>
        <w:jc w:val="both"/>
        <w:rPr>
          <w:i/>
          <w:color w:val="000000" w:themeColor="text1"/>
          <w:lang w:val="lv-LV" w:eastAsia="lv-LV"/>
        </w:rPr>
      </w:pPr>
      <w:r w:rsidRPr="00176E0E">
        <w:rPr>
          <w:color w:val="000000" w:themeColor="text1"/>
          <w:lang w:val="lv-LV"/>
        </w:rPr>
        <w:tab/>
      </w:r>
      <w:r w:rsidRPr="00176E0E">
        <w:rPr>
          <w:i/>
          <w:color w:val="000000" w:themeColor="text1"/>
          <w:lang w:val="lv-LV" w:eastAsia="lv-LV"/>
        </w:rPr>
        <w:t>Anotācijas III, IV, V sadaļa – projekts šo jomu neskar.</w:t>
      </w:r>
    </w:p>
    <w:tbl>
      <w:tblPr>
        <w:tblW w:w="5067" w:type="pct"/>
        <w:tblInd w:w="2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00"/>
        <w:gridCol w:w="3488"/>
        <w:gridCol w:w="5365"/>
      </w:tblGrid>
      <w:tr w:rsidR="00067955" w:rsidRPr="002E44F2" w:rsidTr="007E08E3">
        <w:trPr>
          <w:trHeight w:val="222"/>
        </w:trPr>
        <w:tc>
          <w:tcPr>
            <w:tcW w:w="5000" w:type="pct"/>
            <w:gridSpan w:val="3"/>
            <w:tcBorders>
              <w:top w:val="outset" w:sz="6" w:space="0" w:color="000000"/>
              <w:left w:val="outset" w:sz="6" w:space="0" w:color="000000"/>
              <w:bottom w:val="outset" w:sz="6" w:space="0" w:color="000000"/>
              <w:right w:val="outset" w:sz="6" w:space="0" w:color="000000"/>
            </w:tcBorders>
          </w:tcPr>
          <w:p w:rsidR="00067955" w:rsidRPr="00176E0E" w:rsidRDefault="00067955" w:rsidP="007E08E3">
            <w:pPr>
              <w:jc w:val="center"/>
              <w:rPr>
                <w:b/>
                <w:bCs/>
                <w:color w:val="000000" w:themeColor="text1"/>
                <w:lang w:val="lv-LV" w:eastAsia="lv-LV"/>
              </w:rPr>
            </w:pPr>
            <w:r w:rsidRPr="00176E0E">
              <w:rPr>
                <w:b/>
                <w:bCs/>
                <w:color w:val="000000" w:themeColor="text1"/>
                <w:lang w:val="lv-LV" w:eastAsia="lv-LV"/>
              </w:rPr>
              <w:t xml:space="preserve">VI. Sabiedrības līdzdalība </w:t>
            </w:r>
            <w:r w:rsidRPr="00176E0E">
              <w:rPr>
                <w:b/>
                <w:bCs/>
                <w:color w:val="000000" w:themeColor="text1"/>
                <w:lang w:val="lv-LV"/>
              </w:rPr>
              <w:t>un komunikācijas aktivitātes</w:t>
            </w:r>
          </w:p>
        </w:tc>
      </w:tr>
      <w:tr w:rsidR="00067955" w:rsidRPr="00176E0E" w:rsidTr="007E0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16" w:type="pct"/>
          </w:tcPr>
          <w:p w:rsidR="00067955" w:rsidRPr="00176E0E" w:rsidRDefault="00067955" w:rsidP="007E08E3">
            <w:pPr>
              <w:pStyle w:val="naiskr"/>
              <w:spacing w:before="0" w:beforeAutospacing="0" w:after="0" w:afterAutospacing="0"/>
              <w:rPr>
                <w:color w:val="000000" w:themeColor="text1"/>
              </w:rPr>
            </w:pPr>
            <w:r w:rsidRPr="00176E0E">
              <w:rPr>
                <w:color w:val="000000" w:themeColor="text1"/>
              </w:rPr>
              <w:t>1.</w:t>
            </w:r>
          </w:p>
        </w:tc>
        <w:tc>
          <w:tcPr>
            <w:tcW w:w="1885" w:type="pct"/>
          </w:tcPr>
          <w:p w:rsidR="00067955" w:rsidRPr="00176E0E" w:rsidRDefault="00067955" w:rsidP="007E08E3">
            <w:pPr>
              <w:pStyle w:val="naiskr"/>
              <w:spacing w:before="0" w:beforeAutospacing="0" w:after="0" w:afterAutospacing="0"/>
              <w:jc w:val="both"/>
              <w:rPr>
                <w:color w:val="000000" w:themeColor="text1"/>
              </w:rPr>
            </w:pPr>
            <w:r w:rsidRPr="00176E0E">
              <w:rPr>
                <w:color w:val="000000" w:themeColor="text1"/>
              </w:rPr>
              <w:t>Plānotās sabiedrības līdzdalības un komunikācijas aktivitātes saistībā ar projektu</w:t>
            </w:r>
          </w:p>
        </w:tc>
        <w:tc>
          <w:tcPr>
            <w:tcW w:w="2899" w:type="pct"/>
          </w:tcPr>
          <w:p w:rsidR="00067955" w:rsidRPr="00176E0E" w:rsidRDefault="00067955" w:rsidP="007E08E3">
            <w:pPr>
              <w:jc w:val="both"/>
              <w:rPr>
                <w:color w:val="000000" w:themeColor="text1"/>
                <w:lang w:val="lv-LV"/>
              </w:rPr>
            </w:pPr>
            <w:r w:rsidRPr="00176E0E">
              <w:rPr>
                <w:lang w:val="lv-LV"/>
              </w:rPr>
              <w:t>Noteikumu projekts tika ievietots Tieslietu ministrijas mājas lapā.</w:t>
            </w:r>
          </w:p>
        </w:tc>
      </w:tr>
      <w:tr w:rsidR="00067955" w:rsidRPr="002E44F2" w:rsidTr="007E0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16" w:type="pct"/>
          </w:tcPr>
          <w:p w:rsidR="00067955" w:rsidRPr="00176E0E" w:rsidRDefault="00067955" w:rsidP="007E08E3">
            <w:pPr>
              <w:pStyle w:val="naiskr"/>
              <w:spacing w:before="0" w:beforeAutospacing="0" w:after="0" w:afterAutospacing="0"/>
              <w:rPr>
                <w:color w:val="000000" w:themeColor="text1"/>
              </w:rPr>
            </w:pPr>
            <w:r w:rsidRPr="00176E0E">
              <w:rPr>
                <w:color w:val="000000" w:themeColor="text1"/>
              </w:rPr>
              <w:t>2.</w:t>
            </w:r>
          </w:p>
        </w:tc>
        <w:tc>
          <w:tcPr>
            <w:tcW w:w="1885" w:type="pct"/>
          </w:tcPr>
          <w:p w:rsidR="00067955" w:rsidRPr="00176E0E" w:rsidRDefault="00067955" w:rsidP="007E08E3">
            <w:pPr>
              <w:pStyle w:val="naiskr"/>
              <w:spacing w:before="0" w:beforeAutospacing="0" w:after="0" w:afterAutospacing="0"/>
              <w:jc w:val="both"/>
              <w:rPr>
                <w:color w:val="000000" w:themeColor="text1"/>
              </w:rPr>
            </w:pPr>
            <w:r w:rsidRPr="00176E0E">
              <w:rPr>
                <w:color w:val="000000" w:themeColor="text1"/>
              </w:rPr>
              <w:t>Sabiedrības līdzdalība projekta izstrādē</w:t>
            </w:r>
          </w:p>
        </w:tc>
        <w:tc>
          <w:tcPr>
            <w:tcW w:w="2899" w:type="pct"/>
          </w:tcPr>
          <w:p w:rsidR="00067955" w:rsidRPr="00176E0E" w:rsidRDefault="00067955" w:rsidP="007E08E3">
            <w:pPr>
              <w:pStyle w:val="naiskr"/>
              <w:spacing w:before="0" w:beforeAutospacing="0" w:after="0" w:afterAutospacing="0"/>
              <w:jc w:val="both"/>
            </w:pPr>
            <w:r w:rsidRPr="00176E0E">
              <w:t xml:space="preserve">Noteikumu projekta izstrādē un apspriešanā iesaistīta </w:t>
            </w:r>
            <w:r w:rsidRPr="00176E0E">
              <w:rPr>
                <w:color w:val="000000"/>
              </w:rPr>
              <w:t>Latvijas Tulku un tulkotāju biedrība</w:t>
            </w:r>
            <w:r w:rsidR="00EA1883">
              <w:rPr>
                <w:color w:val="000000"/>
              </w:rPr>
              <w:t>.</w:t>
            </w:r>
            <w:r w:rsidRPr="00176E0E">
              <w:t xml:space="preserve"> </w:t>
            </w:r>
          </w:p>
        </w:tc>
      </w:tr>
      <w:tr w:rsidR="00067955" w:rsidRPr="002E44F2" w:rsidTr="007E0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16" w:type="pct"/>
          </w:tcPr>
          <w:p w:rsidR="00067955" w:rsidRPr="00176E0E" w:rsidRDefault="00067955" w:rsidP="007E08E3">
            <w:pPr>
              <w:pStyle w:val="naiskr"/>
              <w:spacing w:before="0" w:beforeAutospacing="0" w:after="0" w:afterAutospacing="0"/>
              <w:rPr>
                <w:color w:val="000000" w:themeColor="text1"/>
              </w:rPr>
            </w:pPr>
            <w:r w:rsidRPr="00176E0E">
              <w:rPr>
                <w:color w:val="000000" w:themeColor="text1"/>
              </w:rPr>
              <w:t>3.</w:t>
            </w:r>
          </w:p>
        </w:tc>
        <w:tc>
          <w:tcPr>
            <w:tcW w:w="1885" w:type="pct"/>
          </w:tcPr>
          <w:p w:rsidR="00067955" w:rsidRPr="00176E0E" w:rsidRDefault="00067955" w:rsidP="007E08E3">
            <w:pPr>
              <w:pStyle w:val="naiskr"/>
              <w:spacing w:before="0" w:beforeAutospacing="0" w:after="0" w:afterAutospacing="0"/>
              <w:jc w:val="both"/>
              <w:rPr>
                <w:color w:val="000000" w:themeColor="text1"/>
              </w:rPr>
            </w:pPr>
            <w:r w:rsidRPr="00176E0E">
              <w:rPr>
                <w:color w:val="000000" w:themeColor="text1"/>
              </w:rPr>
              <w:t>Sabiedrības līdzdalības rezultāti</w:t>
            </w:r>
          </w:p>
        </w:tc>
        <w:tc>
          <w:tcPr>
            <w:tcW w:w="2899" w:type="pct"/>
          </w:tcPr>
          <w:p w:rsidR="00067955" w:rsidRPr="00176E0E" w:rsidRDefault="00556916" w:rsidP="00A9311F">
            <w:pPr>
              <w:pStyle w:val="naiskr"/>
              <w:spacing w:before="0" w:beforeAutospacing="0" w:after="0" w:afterAutospacing="0"/>
              <w:jc w:val="both"/>
              <w:rPr>
                <w:rFonts w:eastAsia="Arial Unicode MS"/>
                <w:color w:val="000000" w:themeColor="text1"/>
              </w:rPr>
            </w:pPr>
            <w:r w:rsidRPr="00176E0E">
              <w:rPr>
                <w:color w:val="000000"/>
              </w:rPr>
              <w:t>Latvijas Tulku un tulkotāju biedrība</w:t>
            </w:r>
            <w:r>
              <w:rPr>
                <w:rFonts w:eastAsia="Arial Unicode MS"/>
                <w:color w:val="000000" w:themeColor="text1"/>
              </w:rPr>
              <w:t xml:space="preserve"> Ministru kabineta noteikumu projektu saskaņoja bez iebildumiem</w:t>
            </w:r>
            <w:r w:rsidR="00A9311F">
              <w:rPr>
                <w:rFonts w:eastAsia="Arial Unicode MS"/>
                <w:color w:val="000000" w:themeColor="text1"/>
              </w:rPr>
              <w:t>, izsakot atsevišķus priekšlikumus, kuri daļēji tika ņemti vērā.</w:t>
            </w:r>
          </w:p>
        </w:tc>
      </w:tr>
      <w:tr w:rsidR="00067955" w:rsidRPr="00A9311F" w:rsidTr="007E0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16" w:type="pct"/>
          </w:tcPr>
          <w:p w:rsidR="00067955" w:rsidRPr="00176E0E" w:rsidRDefault="00067955" w:rsidP="007E08E3">
            <w:pPr>
              <w:pStyle w:val="naiskr"/>
              <w:spacing w:before="0" w:beforeAutospacing="0" w:after="0" w:afterAutospacing="0"/>
              <w:rPr>
                <w:color w:val="000000" w:themeColor="text1"/>
              </w:rPr>
            </w:pPr>
            <w:r w:rsidRPr="00176E0E">
              <w:rPr>
                <w:color w:val="000000" w:themeColor="text1"/>
              </w:rPr>
              <w:t>4.</w:t>
            </w:r>
          </w:p>
        </w:tc>
        <w:tc>
          <w:tcPr>
            <w:tcW w:w="1885" w:type="pct"/>
          </w:tcPr>
          <w:p w:rsidR="00067955" w:rsidRPr="00176E0E" w:rsidRDefault="00067955" w:rsidP="007E08E3">
            <w:pPr>
              <w:pStyle w:val="naiskr"/>
              <w:spacing w:before="0" w:beforeAutospacing="0" w:after="0" w:afterAutospacing="0"/>
              <w:jc w:val="both"/>
              <w:rPr>
                <w:color w:val="000000" w:themeColor="text1"/>
              </w:rPr>
            </w:pPr>
            <w:r w:rsidRPr="00176E0E">
              <w:rPr>
                <w:color w:val="000000" w:themeColor="text1"/>
              </w:rPr>
              <w:t>Cita informācija</w:t>
            </w:r>
          </w:p>
        </w:tc>
        <w:tc>
          <w:tcPr>
            <w:tcW w:w="2899" w:type="pct"/>
          </w:tcPr>
          <w:p w:rsidR="00067955" w:rsidRPr="00176E0E" w:rsidRDefault="00067955" w:rsidP="007E08E3">
            <w:pPr>
              <w:pStyle w:val="naisc"/>
              <w:spacing w:before="0" w:beforeAutospacing="0" w:after="0" w:afterAutospacing="0"/>
              <w:jc w:val="left"/>
              <w:rPr>
                <w:color w:val="000000" w:themeColor="text1"/>
                <w:sz w:val="24"/>
                <w:szCs w:val="24"/>
                <w:lang w:val="lv-LV"/>
              </w:rPr>
            </w:pPr>
            <w:r w:rsidRPr="00176E0E">
              <w:rPr>
                <w:color w:val="000000" w:themeColor="text1"/>
                <w:sz w:val="24"/>
                <w:szCs w:val="24"/>
                <w:lang w:val="lv-LV"/>
              </w:rPr>
              <w:t>Nav.</w:t>
            </w:r>
          </w:p>
        </w:tc>
      </w:tr>
      <w:tr w:rsidR="00067955" w:rsidRPr="00A9311F" w:rsidTr="007E08E3">
        <w:trPr>
          <w:trHeight w:val="222"/>
        </w:trPr>
        <w:tc>
          <w:tcPr>
            <w:tcW w:w="5000" w:type="pct"/>
            <w:gridSpan w:val="3"/>
            <w:tcBorders>
              <w:top w:val="outset" w:sz="6" w:space="0" w:color="000000"/>
              <w:left w:val="outset" w:sz="6" w:space="0" w:color="000000"/>
              <w:bottom w:val="outset" w:sz="6" w:space="0" w:color="000000"/>
              <w:right w:val="outset" w:sz="6" w:space="0" w:color="000000"/>
            </w:tcBorders>
          </w:tcPr>
          <w:p w:rsidR="00067955" w:rsidRDefault="00067955" w:rsidP="007E08E3">
            <w:pPr>
              <w:jc w:val="center"/>
              <w:rPr>
                <w:b/>
                <w:bCs/>
                <w:color w:val="000000" w:themeColor="text1"/>
                <w:lang w:val="lv-LV" w:eastAsia="lv-LV"/>
              </w:rPr>
            </w:pPr>
          </w:p>
          <w:p w:rsidR="00067955" w:rsidRPr="00176E0E" w:rsidRDefault="00067955" w:rsidP="007E08E3">
            <w:pPr>
              <w:jc w:val="center"/>
              <w:rPr>
                <w:b/>
                <w:bCs/>
                <w:color w:val="000000" w:themeColor="text1"/>
                <w:lang w:val="lv-LV" w:eastAsia="lv-LV"/>
              </w:rPr>
            </w:pPr>
            <w:r w:rsidRPr="00176E0E">
              <w:rPr>
                <w:b/>
                <w:bCs/>
                <w:color w:val="000000" w:themeColor="text1"/>
                <w:lang w:val="lv-LV" w:eastAsia="lv-LV"/>
              </w:rPr>
              <w:t>VII. Tiesību akta projekta izpildes nodrošināšana un tās ietekme uz institūcijām</w:t>
            </w:r>
          </w:p>
        </w:tc>
      </w:tr>
      <w:tr w:rsidR="00067955" w:rsidRPr="00176E0E" w:rsidTr="007E08E3">
        <w:tc>
          <w:tcPr>
            <w:tcW w:w="216" w:type="pct"/>
            <w:tcBorders>
              <w:top w:val="outset" w:sz="6" w:space="0" w:color="000000"/>
              <w:left w:val="outset" w:sz="6" w:space="0" w:color="000000"/>
              <w:bottom w:val="outset" w:sz="6" w:space="0" w:color="000000"/>
              <w:right w:val="outset" w:sz="6" w:space="0" w:color="000000"/>
            </w:tcBorders>
          </w:tcPr>
          <w:p w:rsidR="00067955" w:rsidRPr="00176E0E" w:rsidRDefault="00067955" w:rsidP="007E08E3">
            <w:pPr>
              <w:rPr>
                <w:color w:val="000000" w:themeColor="text1"/>
                <w:lang w:val="lv-LV" w:eastAsia="lv-LV"/>
              </w:rPr>
            </w:pPr>
            <w:r w:rsidRPr="00176E0E">
              <w:rPr>
                <w:color w:val="000000" w:themeColor="text1"/>
                <w:lang w:val="lv-LV" w:eastAsia="lv-LV"/>
              </w:rPr>
              <w:t>1.</w:t>
            </w:r>
          </w:p>
        </w:tc>
        <w:tc>
          <w:tcPr>
            <w:tcW w:w="1885" w:type="pct"/>
            <w:tcBorders>
              <w:top w:val="outset" w:sz="6" w:space="0" w:color="000000"/>
              <w:left w:val="outset" w:sz="6" w:space="0" w:color="000000"/>
              <w:bottom w:val="outset" w:sz="6" w:space="0" w:color="000000"/>
              <w:right w:val="outset" w:sz="6" w:space="0" w:color="000000"/>
            </w:tcBorders>
          </w:tcPr>
          <w:p w:rsidR="00067955" w:rsidRPr="00176E0E" w:rsidRDefault="00067955" w:rsidP="007E08E3">
            <w:pPr>
              <w:jc w:val="both"/>
              <w:rPr>
                <w:color w:val="000000" w:themeColor="text1"/>
                <w:lang w:val="lv-LV" w:eastAsia="lv-LV"/>
              </w:rPr>
            </w:pPr>
            <w:r w:rsidRPr="00176E0E">
              <w:rPr>
                <w:color w:val="000000" w:themeColor="text1"/>
                <w:lang w:val="lv-LV" w:eastAsia="lv-LV"/>
              </w:rPr>
              <w:t>Projekta izpildē iesaistītās institūcijas</w:t>
            </w:r>
          </w:p>
        </w:tc>
        <w:tc>
          <w:tcPr>
            <w:tcW w:w="2899" w:type="pct"/>
            <w:tcBorders>
              <w:top w:val="outset" w:sz="6" w:space="0" w:color="000000"/>
              <w:left w:val="outset" w:sz="6" w:space="0" w:color="000000"/>
              <w:bottom w:val="outset" w:sz="6" w:space="0" w:color="000000"/>
              <w:right w:val="outset" w:sz="6" w:space="0" w:color="000000"/>
            </w:tcBorders>
          </w:tcPr>
          <w:p w:rsidR="00067955" w:rsidRPr="00176E0E" w:rsidRDefault="00067955" w:rsidP="007E08E3">
            <w:pPr>
              <w:pStyle w:val="Kjene"/>
              <w:tabs>
                <w:tab w:val="clear" w:pos="4153"/>
                <w:tab w:val="clear" w:pos="8306"/>
              </w:tabs>
              <w:snapToGrid/>
              <w:jc w:val="both"/>
              <w:rPr>
                <w:rFonts w:ascii="Times New Roman" w:hAnsi="Times New Roman"/>
                <w:color w:val="000000" w:themeColor="text1"/>
                <w:sz w:val="24"/>
                <w:szCs w:val="24"/>
              </w:rPr>
            </w:pPr>
            <w:r w:rsidRPr="00176E0E">
              <w:rPr>
                <w:rFonts w:ascii="Times New Roman" w:hAnsi="Times New Roman"/>
                <w:sz w:val="24"/>
                <w:szCs w:val="24"/>
              </w:rPr>
              <w:t>Latvijas Republikas tiesas.</w:t>
            </w:r>
          </w:p>
        </w:tc>
      </w:tr>
      <w:tr w:rsidR="00067955" w:rsidRPr="002E44F2" w:rsidTr="007E08E3">
        <w:tc>
          <w:tcPr>
            <w:tcW w:w="216" w:type="pct"/>
            <w:tcBorders>
              <w:top w:val="outset" w:sz="6" w:space="0" w:color="000000"/>
              <w:left w:val="outset" w:sz="6" w:space="0" w:color="000000"/>
              <w:bottom w:val="outset" w:sz="6" w:space="0" w:color="000000"/>
              <w:right w:val="outset" w:sz="6" w:space="0" w:color="000000"/>
            </w:tcBorders>
          </w:tcPr>
          <w:p w:rsidR="00067955" w:rsidRPr="00176E0E" w:rsidRDefault="00067955" w:rsidP="007E08E3">
            <w:pPr>
              <w:rPr>
                <w:color w:val="000000" w:themeColor="text1"/>
                <w:lang w:val="lv-LV" w:eastAsia="lv-LV"/>
              </w:rPr>
            </w:pPr>
            <w:r w:rsidRPr="00176E0E">
              <w:rPr>
                <w:color w:val="000000" w:themeColor="text1"/>
                <w:lang w:val="lv-LV" w:eastAsia="lv-LV"/>
              </w:rPr>
              <w:t>2.</w:t>
            </w:r>
          </w:p>
        </w:tc>
        <w:tc>
          <w:tcPr>
            <w:tcW w:w="1885" w:type="pct"/>
            <w:tcBorders>
              <w:top w:val="outset" w:sz="6" w:space="0" w:color="000000"/>
              <w:left w:val="outset" w:sz="6" w:space="0" w:color="000000"/>
              <w:bottom w:val="outset" w:sz="6" w:space="0" w:color="000000"/>
              <w:right w:val="outset" w:sz="6" w:space="0" w:color="000000"/>
            </w:tcBorders>
          </w:tcPr>
          <w:p w:rsidR="00067955" w:rsidRPr="00176E0E" w:rsidRDefault="00067955" w:rsidP="007E08E3">
            <w:pPr>
              <w:jc w:val="both"/>
              <w:rPr>
                <w:color w:val="000000" w:themeColor="text1"/>
                <w:lang w:val="lv-LV"/>
              </w:rPr>
            </w:pPr>
            <w:r w:rsidRPr="00176E0E">
              <w:rPr>
                <w:color w:val="000000" w:themeColor="text1"/>
                <w:lang w:val="lv-LV"/>
              </w:rPr>
              <w:t xml:space="preserve">Projekta izpildes ietekme uz pārvaldes funkcijām un institucionālo struktūru. </w:t>
            </w:r>
          </w:p>
          <w:p w:rsidR="00067955" w:rsidRPr="00176E0E" w:rsidRDefault="00067955" w:rsidP="007E08E3">
            <w:pPr>
              <w:ind w:firstLine="300"/>
              <w:jc w:val="both"/>
              <w:rPr>
                <w:color w:val="000000" w:themeColor="text1"/>
                <w:lang w:val="lv-LV"/>
              </w:rPr>
            </w:pPr>
            <w:r w:rsidRPr="00176E0E">
              <w:rPr>
                <w:color w:val="000000" w:themeColor="text1"/>
                <w:lang w:val="lv-LV"/>
              </w:rPr>
              <w:t>Jaunu institūciju izveide, esošu institūciju likvidācija vai reorganizācija, to ietekme uz institūcijas cilvēkresursiem</w:t>
            </w:r>
          </w:p>
        </w:tc>
        <w:tc>
          <w:tcPr>
            <w:tcW w:w="2899" w:type="pct"/>
            <w:tcBorders>
              <w:top w:val="outset" w:sz="6" w:space="0" w:color="000000"/>
              <w:left w:val="outset" w:sz="6" w:space="0" w:color="000000"/>
              <w:bottom w:val="outset" w:sz="6" w:space="0" w:color="000000"/>
              <w:right w:val="outset" w:sz="6" w:space="0" w:color="000000"/>
            </w:tcBorders>
          </w:tcPr>
          <w:p w:rsidR="00067955" w:rsidRPr="006E7DB7" w:rsidRDefault="00067955" w:rsidP="007E08E3">
            <w:pPr>
              <w:pStyle w:val="naisnod"/>
              <w:jc w:val="both"/>
              <w:rPr>
                <w:b w:val="0"/>
                <w:color w:val="000000" w:themeColor="text1"/>
              </w:rPr>
            </w:pPr>
            <w:r w:rsidRPr="006E7DB7">
              <w:rPr>
                <w:b w:val="0"/>
                <w:color w:val="000000" w:themeColor="text1"/>
              </w:rPr>
              <w:t>Iesaistītās institūcijas Ministru kabineta noteikumu projekta izpildi nodrošina to esošo funkciju un uzdevumus ietvaros.</w:t>
            </w:r>
          </w:p>
          <w:p w:rsidR="00067955" w:rsidRPr="00176E0E" w:rsidRDefault="00067955" w:rsidP="007E08E3">
            <w:pPr>
              <w:pStyle w:val="naiskr"/>
              <w:spacing w:before="0" w:beforeAutospacing="0" w:after="0" w:afterAutospacing="0"/>
              <w:jc w:val="both"/>
              <w:rPr>
                <w:color w:val="000000" w:themeColor="text1"/>
              </w:rPr>
            </w:pPr>
            <w:r w:rsidRPr="006E7DB7">
              <w:rPr>
                <w:color w:val="000000" w:themeColor="text1"/>
              </w:rPr>
              <w:t xml:space="preserve">Ministru kabineta noteikumu projekta izpildei nav nepieciešams radīt jaunas vai likvidēt esošās institūcijas, kā arī nav nepieciešams reorganizēt esošās </w:t>
            </w:r>
            <w:r w:rsidRPr="006E7DB7">
              <w:rPr>
                <w:color w:val="000000" w:themeColor="text1"/>
              </w:rPr>
              <w:lastRenderedPageBreak/>
              <w:t>institūcijas.</w:t>
            </w:r>
          </w:p>
        </w:tc>
      </w:tr>
      <w:tr w:rsidR="00067955" w:rsidRPr="00176E0E" w:rsidTr="007E08E3">
        <w:tc>
          <w:tcPr>
            <w:tcW w:w="216" w:type="pct"/>
            <w:tcBorders>
              <w:top w:val="outset" w:sz="6" w:space="0" w:color="000000"/>
              <w:left w:val="outset" w:sz="6" w:space="0" w:color="000000"/>
              <w:bottom w:val="outset" w:sz="6" w:space="0" w:color="000000"/>
              <w:right w:val="outset" w:sz="6" w:space="0" w:color="000000"/>
            </w:tcBorders>
          </w:tcPr>
          <w:p w:rsidR="00067955" w:rsidRPr="00176E0E" w:rsidRDefault="00067955" w:rsidP="007E08E3">
            <w:pPr>
              <w:rPr>
                <w:color w:val="000000" w:themeColor="text1"/>
                <w:lang w:val="lv-LV" w:eastAsia="lv-LV"/>
              </w:rPr>
            </w:pPr>
            <w:r w:rsidRPr="00176E0E">
              <w:rPr>
                <w:color w:val="000000" w:themeColor="text1"/>
                <w:lang w:val="lv-LV" w:eastAsia="lv-LV"/>
              </w:rPr>
              <w:lastRenderedPageBreak/>
              <w:t>3.</w:t>
            </w:r>
          </w:p>
        </w:tc>
        <w:tc>
          <w:tcPr>
            <w:tcW w:w="1885" w:type="pct"/>
            <w:tcBorders>
              <w:top w:val="outset" w:sz="6" w:space="0" w:color="000000"/>
              <w:left w:val="outset" w:sz="6" w:space="0" w:color="000000"/>
              <w:bottom w:val="outset" w:sz="6" w:space="0" w:color="000000"/>
              <w:right w:val="outset" w:sz="6" w:space="0" w:color="000000"/>
            </w:tcBorders>
          </w:tcPr>
          <w:p w:rsidR="00067955" w:rsidRPr="00176E0E" w:rsidRDefault="00067955" w:rsidP="007E08E3">
            <w:pPr>
              <w:jc w:val="both"/>
              <w:rPr>
                <w:color w:val="000000" w:themeColor="text1"/>
                <w:lang w:val="lv-LV" w:eastAsia="lv-LV"/>
              </w:rPr>
            </w:pPr>
            <w:r w:rsidRPr="00176E0E">
              <w:rPr>
                <w:color w:val="000000" w:themeColor="text1"/>
                <w:lang w:val="lv-LV" w:eastAsia="lv-LV"/>
              </w:rPr>
              <w:t>Cita informācija</w:t>
            </w:r>
          </w:p>
        </w:tc>
        <w:tc>
          <w:tcPr>
            <w:tcW w:w="2899" w:type="pct"/>
            <w:tcBorders>
              <w:top w:val="outset" w:sz="6" w:space="0" w:color="000000"/>
              <w:left w:val="outset" w:sz="6" w:space="0" w:color="000000"/>
              <w:bottom w:val="outset" w:sz="6" w:space="0" w:color="000000"/>
              <w:right w:val="outset" w:sz="6" w:space="0" w:color="000000"/>
            </w:tcBorders>
          </w:tcPr>
          <w:p w:rsidR="00067955" w:rsidRPr="00176E0E" w:rsidRDefault="00067955" w:rsidP="007E08E3">
            <w:pPr>
              <w:pStyle w:val="Kjene"/>
              <w:tabs>
                <w:tab w:val="clear" w:pos="4153"/>
                <w:tab w:val="clear" w:pos="8306"/>
              </w:tabs>
              <w:snapToGrid/>
              <w:jc w:val="both"/>
              <w:rPr>
                <w:rFonts w:ascii="Times New Roman" w:hAnsi="Times New Roman"/>
                <w:color w:val="000000" w:themeColor="text1"/>
                <w:sz w:val="24"/>
                <w:szCs w:val="24"/>
              </w:rPr>
            </w:pPr>
            <w:r w:rsidRPr="00176E0E">
              <w:rPr>
                <w:rFonts w:ascii="Times New Roman" w:hAnsi="Times New Roman"/>
                <w:color w:val="000000" w:themeColor="text1"/>
                <w:sz w:val="24"/>
                <w:szCs w:val="24"/>
              </w:rPr>
              <w:t>Nav</w:t>
            </w:r>
          </w:p>
        </w:tc>
      </w:tr>
    </w:tbl>
    <w:p w:rsidR="00067955" w:rsidRPr="00176E0E" w:rsidRDefault="00067955" w:rsidP="00067955">
      <w:pPr>
        <w:pStyle w:val="naisf"/>
        <w:spacing w:before="0" w:beforeAutospacing="0" w:after="0" w:afterAutospacing="0"/>
        <w:rPr>
          <w:color w:val="000000" w:themeColor="text1"/>
          <w:lang w:val="lv-LV"/>
        </w:rPr>
      </w:pPr>
    </w:p>
    <w:p w:rsidR="00067955" w:rsidRPr="00176E0E" w:rsidRDefault="00067955" w:rsidP="00067955">
      <w:pPr>
        <w:pStyle w:val="naisf"/>
        <w:spacing w:before="0" w:beforeAutospacing="0" w:after="0" w:afterAutospacing="0"/>
        <w:rPr>
          <w:color w:val="000000" w:themeColor="text1"/>
          <w:lang w:val="lv-LV"/>
        </w:rPr>
      </w:pPr>
    </w:p>
    <w:p w:rsidR="00067955" w:rsidRPr="00176E0E" w:rsidRDefault="00067955" w:rsidP="00067955">
      <w:pPr>
        <w:pStyle w:val="Virsraksts1"/>
        <w:keepNext w:val="0"/>
        <w:widowControl w:val="0"/>
        <w:jc w:val="left"/>
        <w:rPr>
          <w:b w:val="0"/>
          <w:color w:val="000000" w:themeColor="text1"/>
          <w:sz w:val="24"/>
        </w:rPr>
      </w:pPr>
      <w:r w:rsidRPr="00176E0E">
        <w:rPr>
          <w:b w:val="0"/>
          <w:color w:val="000000" w:themeColor="text1"/>
          <w:sz w:val="24"/>
        </w:rPr>
        <w:t xml:space="preserve">Tieslietu ministrs </w:t>
      </w:r>
      <w:r w:rsidRPr="00176E0E">
        <w:rPr>
          <w:b w:val="0"/>
          <w:color w:val="000000" w:themeColor="text1"/>
          <w:sz w:val="24"/>
        </w:rPr>
        <w:tab/>
      </w:r>
      <w:r w:rsidRPr="00176E0E">
        <w:rPr>
          <w:b w:val="0"/>
          <w:color w:val="000000" w:themeColor="text1"/>
          <w:sz w:val="24"/>
        </w:rPr>
        <w:tab/>
      </w:r>
      <w:r w:rsidRPr="00176E0E">
        <w:rPr>
          <w:b w:val="0"/>
          <w:color w:val="000000" w:themeColor="text1"/>
          <w:sz w:val="24"/>
        </w:rPr>
        <w:tab/>
      </w:r>
      <w:r w:rsidRPr="00176E0E">
        <w:rPr>
          <w:b w:val="0"/>
          <w:color w:val="000000" w:themeColor="text1"/>
          <w:sz w:val="24"/>
        </w:rPr>
        <w:tab/>
      </w:r>
      <w:r w:rsidRPr="00176E0E">
        <w:rPr>
          <w:b w:val="0"/>
          <w:color w:val="000000" w:themeColor="text1"/>
          <w:sz w:val="24"/>
        </w:rPr>
        <w:tab/>
      </w:r>
      <w:r w:rsidRPr="00176E0E">
        <w:rPr>
          <w:b w:val="0"/>
          <w:color w:val="000000" w:themeColor="text1"/>
          <w:sz w:val="24"/>
        </w:rPr>
        <w:tab/>
      </w:r>
      <w:r w:rsidRPr="00176E0E">
        <w:rPr>
          <w:b w:val="0"/>
          <w:color w:val="000000" w:themeColor="text1"/>
          <w:sz w:val="24"/>
        </w:rPr>
        <w:tab/>
      </w:r>
      <w:proofErr w:type="gramStart"/>
      <w:r>
        <w:rPr>
          <w:b w:val="0"/>
          <w:color w:val="000000" w:themeColor="text1"/>
          <w:sz w:val="24"/>
        </w:rPr>
        <w:t xml:space="preserve">       </w:t>
      </w:r>
      <w:proofErr w:type="gramEnd"/>
      <w:r>
        <w:rPr>
          <w:b w:val="0"/>
          <w:color w:val="000000" w:themeColor="text1"/>
          <w:sz w:val="24"/>
        </w:rPr>
        <w:t>Dzintars Rasnač</w:t>
      </w:r>
      <w:r w:rsidRPr="00176E0E">
        <w:rPr>
          <w:b w:val="0"/>
          <w:color w:val="000000" w:themeColor="text1"/>
          <w:sz w:val="24"/>
        </w:rPr>
        <w:t>s</w:t>
      </w:r>
    </w:p>
    <w:p w:rsidR="00067955" w:rsidRPr="00176E0E" w:rsidRDefault="00067955" w:rsidP="00067955">
      <w:pPr>
        <w:rPr>
          <w:color w:val="000000" w:themeColor="text1"/>
          <w:lang w:val="lv-LV"/>
        </w:rPr>
      </w:pPr>
    </w:p>
    <w:p w:rsidR="00067955" w:rsidRPr="00176E0E" w:rsidRDefault="00067955" w:rsidP="00067955">
      <w:pPr>
        <w:rPr>
          <w:color w:val="000000" w:themeColor="text1"/>
          <w:lang w:val="lv-LV"/>
        </w:rPr>
      </w:pPr>
    </w:p>
    <w:p w:rsidR="00067955" w:rsidRPr="00176E0E" w:rsidRDefault="00A9311F" w:rsidP="00067955">
      <w:pPr>
        <w:pStyle w:val="Bezatstarpm"/>
        <w:rPr>
          <w:rFonts w:ascii="Times New Roman" w:hAnsi="Times New Roman"/>
          <w:sz w:val="24"/>
          <w:szCs w:val="24"/>
        </w:rPr>
      </w:pPr>
      <w:r>
        <w:rPr>
          <w:rFonts w:ascii="Times New Roman" w:hAnsi="Times New Roman"/>
          <w:sz w:val="24"/>
          <w:szCs w:val="24"/>
        </w:rPr>
        <w:t>21</w:t>
      </w:r>
      <w:r w:rsidR="00556916">
        <w:rPr>
          <w:rFonts w:ascii="Times New Roman" w:hAnsi="Times New Roman"/>
          <w:sz w:val="24"/>
          <w:szCs w:val="24"/>
        </w:rPr>
        <w:t>.03</w:t>
      </w:r>
      <w:r w:rsidR="00067955" w:rsidRPr="00176E0E">
        <w:rPr>
          <w:rFonts w:ascii="Times New Roman" w:hAnsi="Times New Roman"/>
          <w:sz w:val="24"/>
          <w:szCs w:val="24"/>
        </w:rPr>
        <w:t>.2016. 18:54</w:t>
      </w:r>
    </w:p>
    <w:p w:rsidR="00067955" w:rsidRPr="00176E0E" w:rsidRDefault="002E44F2" w:rsidP="00067955">
      <w:pPr>
        <w:pStyle w:val="Bezatstarpm"/>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70</w:t>
      </w:r>
    </w:p>
    <w:p w:rsidR="00067955" w:rsidRPr="00176E0E" w:rsidRDefault="00067955" w:rsidP="00067955">
      <w:pPr>
        <w:pStyle w:val="Bezatstarpm"/>
        <w:rPr>
          <w:rFonts w:ascii="Times New Roman" w:hAnsi="Times New Roman"/>
          <w:sz w:val="24"/>
          <w:szCs w:val="24"/>
        </w:rPr>
      </w:pPr>
      <w:proofErr w:type="spellStart"/>
      <w:r w:rsidRPr="00176E0E">
        <w:rPr>
          <w:rFonts w:ascii="Times New Roman" w:hAnsi="Times New Roman"/>
          <w:sz w:val="24"/>
          <w:szCs w:val="24"/>
        </w:rPr>
        <w:t>I.Pelša</w:t>
      </w:r>
      <w:bookmarkStart w:id="5" w:name="_GoBack"/>
      <w:bookmarkEnd w:id="5"/>
      <w:proofErr w:type="spellEnd"/>
    </w:p>
    <w:p w:rsidR="00067955" w:rsidRPr="00176E0E" w:rsidRDefault="00067955" w:rsidP="00067955">
      <w:pPr>
        <w:pStyle w:val="Bezatstarpm"/>
        <w:rPr>
          <w:rFonts w:ascii="Times New Roman" w:hAnsi="Times New Roman"/>
          <w:sz w:val="24"/>
          <w:szCs w:val="24"/>
        </w:rPr>
      </w:pPr>
      <w:r w:rsidRPr="00176E0E">
        <w:rPr>
          <w:rFonts w:ascii="Times New Roman" w:hAnsi="Times New Roman"/>
          <w:sz w:val="24"/>
          <w:szCs w:val="24"/>
        </w:rPr>
        <w:t>67036994, Ilze.Pelsa@tm.gov.lv</w:t>
      </w:r>
    </w:p>
    <w:p w:rsidR="00A1726F" w:rsidRDefault="00A1726F"/>
    <w:sectPr w:rsidR="00A1726F" w:rsidSect="00F64D69">
      <w:headerReference w:type="even" r:id="rId8"/>
      <w:headerReference w:type="default" r:id="rId9"/>
      <w:footerReference w:type="default" r:id="rId10"/>
      <w:footerReference w:type="first" r:id="rId11"/>
      <w:pgSz w:w="11906" w:h="16838" w:code="9"/>
      <w:pgMar w:top="1418" w:right="1134" w:bottom="1134" w:left="1701" w:header="72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5EC" w:rsidRDefault="00EA1883">
      <w:r>
        <w:separator/>
      </w:r>
    </w:p>
  </w:endnote>
  <w:endnote w:type="continuationSeparator" w:id="0">
    <w:p w:rsidR="005005EC" w:rsidRDefault="00EA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9B" w:rsidRPr="00A254BE" w:rsidRDefault="00A254BE" w:rsidP="00A254BE">
    <w:pPr>
      <w:pStyle w:val="Virsraksts3"/>
      <w:jc w:val="both"/>
      <w:rPr>
        <w:bCs/>
        <w:sz w:val="20"/>
        <w:szCs w:val="20"/>
      </w:rPr>
    </w:pPr>
    <w:r>
      <w:rPr>
        <w:sz w:val="20"/>
        <w:szCs w:val="20"/>
      </w:rPr>
      <w:t>TM</w:t>
    </w:r>
    <w:r w:rsidRPr="00F43ED9">
      <w:rPr>
        <w:sz w:val="20"/>
        <w:szCs w:val="20"/>
      </w:rPr>
      <w:t>Anot_</w:t>
    </w:r>
    <w:r w:rsidR="00A9311F">
      <w:rPr>
        <w:sz w:val="20"/>
        <w:szCs w:val="20"/>
      </w:rPr>
      <w:t>2</w:t>
    </w:r>
    <w:r w:rsidR="002E44F2">
      <w:rPr>
        <w:sz w:val="20"/>
        <w:szCs w:val="20"/>
      </w:rPr>
      <w:t>9</w:t>
    </w:r>
    <w:r w:rsidR="005A04CE">
      <w:rPr>
        <w:sz w:val="20"/>
        <w:szCs w:val="20"/>
      </w:rPr>
      <w:t>0316</w:t>
    </w:r>
    <w:r w:rsidRPr="00F43ED9">
      <w:rPr>
        <w:sz w:val="20"/>
        <w:szCs w:val="20"/>
      </w:rPr>
      <w:t>_</w:t>
    </w:r>
    <w:r>
      <w:rPr>
        <w:sz w:val="20"/>
        <w:szCs w:val="20"/>
      </w:rPr>
      <w:t>tulkizdanot</w:t>
    </w:r>
    <w:r w:rsidRPr="00F43ED9">
      <w:rPr>
        <w:sz w:val="20"/>
        <w:szCs w:val="20"/>
      </w:rPr>
      <w:t xml:space="preserve">; </w:t>
    </w:r>
    <w:r w:rsidRPr="00F43ED9">
      <w:rPr>
        <w:bCs/>
        <w:sz w:val="20"/>
        <w:szCs w:val="20"/>
      </w:rPr>
      <w:t xml:space="preserve">Ministru kabineta noteikumu projekta </w:t>
    </w:r>
    <w:r w:rsidR="00A9311F" w:rsidRPr="00A254BE">
      <w:rPr>
        <w:bCs/>
        <w:sz w:val="20"/>
        <w:szCs w:val="20"/>
      </w:rPr>
      <w:t>“</w:t>
    </w:r>
    <w:r w:rsidR="00A9311F" w:rsidRPr="00A9311F">
      <w:rPr>
        <w:sz w:val="20"/>
        <w:szCs w:val="20"/>
      </w:rPr>
      <w:t>Noteikumi par atlīdzināmiem tulka izdevumiem civilprocesā</w:t>
    </w:r>
    <w:r w:rsidR="00A9311F" w:rsidRPr="00A254BE">
      <w:rPr>
        <w:sz w:val="20"/>
        <w:szCs w:val="20"/>
      </w:rPr>
      <w:t>”</w:t>
    </w:r>
    <w:proofErr w:type="gramStart"/>
    <w:r w:rsidR="00A9311F" w:rsidRPr="00F43ED9">
      <w:rPr>
        <w:color w:val="000000" w:themeColor="text1"/>
        <w:sz w:val="20"/>
        <w:szCs w:val="20"/>
      </w:rPr>
      <w:t xml:space="preserve"> </w:t>
    </w:r>
    <w:r w:rsidRPr="00F43ED9">
      <w:rPr>
        <w:color w:val="000000" w:themeColor="text1"/>
        <w:sz w:val="20"/>
        <w:szCs w:val="20"/>
      </w:rPr>
      <w:t xml:space="preserve"> </w:t>
    </w:r>
    <w:proofErr w:type="gramEnd"/>
    <w:r w:rsidRPr="00F43ED9">
      <w:rPr>
        <w:color w:val="000000" w:themeColor="text1"/>
        <w:sz w:val="20"/>
        <w:szCs w:val="20"/>
      </w:rPr>
      <w:t>sākotnējās ietekmes novērtējuma ziņojums</w:t>
    </w:r>
    <w:r w:rsidRPr="00F43ED9">
      <w:rPr>
        <w:bCs/>
        <w:color w:val="000000" w:themeColor="text1"/>
        <w:sz w:val="20"/>
        <w:szCs w:val="20"/>
      </w:rPr>
      <w:t xml:space="preserve">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ED9" w:rsidRPr="00F43ED9" w:rsidRDefault="00EA1883" w:rsidP="00F43ED9">
    <w:pPr>
      <w:pStyle w:val="Virsraksts3"/>
      <w:jc w:val="both"/>
      <w:rPr>
        <w:bCs/>
        <w:sz w:val="20"/>
        <w:szCs w:val="20"/>
      </w:rPr>
    </w:pPr>
    <w:r>
      <w:rPr>
        <w:sz w:val="20"/>
        <w:szCs w:val="20"/>
      </w:rPr>
      <w:t>TM</w:t>
    </w:r>
    <w:r w:rsidRPr="00F43ED9">
      <w:rPr>
        <w:sz w:val="20"/>
        <w:szCs w:val="20"/>
      </w:rPr>
      <w:t>Anot_</w:t>
    </w:r>
    <w:r w:rsidR="00A9311F">
      <w:rPr>
        <w:sz w:val="20"/>
        <w:szCs w:val="20"/>
      </w:rPr>
      <w:t>2</w:t>
    </w:r>
    <w:r w:rsidR="002E44F2">
      <w:rPr>
        <w:sz w:val="20"/>
        <w:szCs w:val="20"/>
      </w:rPr>
      <w:t>9</w:t>
    </w:r>
    <w:r w:rsidR="005A04CE">
      <w:rPr>
        <w:sz w:val="20"/>
        <w:szCs w:val="20"/>
      </w:rPr>
      <w:t>0316</w:t>
    </w:r>
    <w:r w:rsidRPr="00F43ED9">
      <w:rPr>
        <w:sz w:val="20"/>
        <w:szCs w:val="20"/>
      </w:rPr>
      <w:t>_</w:t>
    </w:r>
    <w:r>
      <w:rPr>
        <w:sz w:val="20"/>
        <w:szCs w:val="20"/>
      </w:rPr>
      <w:t>tulkizdanot</w:t>
    </w:r>
    <w:r w:rsidRPr="00F43ED9">
      <w:rPr>
        <w:sz w:val="20"/>
        <w:szCs w:val="20"/>
      </w:rPr>
      <w:t xml:space="preserve">; </w:t>
    </w:r>
    <w:r w:rsidRPr="00F43ED9">
      <w:rPr>
        <w:bCs/>
        <w:sz w:val="20"/>
        <w:szCs w:val="20"/>
      </w:rPr>
      <w:t xml:space="preserve">Ministru kabineta noteikumu projekta </w:t>
    </w:r>
    <w:r w:rsidRPr="00A254BE">
      <w:rPr>
        <w:bCs/>
        <w:sz w:val="20"/>
        <w:szCs w:val="20"/>
      </w:rPr>
      <w:t>“</w:t>
    </w:r>
    <w:r w:rsidR="00A9311F" w:rsidRPr="00A9311F">
      <w:rPr>
        <w:sz w:val="20"/>
        <w:szCs w:val="20"/>
      </w:rPr>
      <w:t>Noteikumi par atlīdzināmiem tulka izdevumiem civilprocesā</w:t>
    </w:r>
    <w:r w:rsidR="00A254BE" w:rsidRPr="00A254BE">
      <w:rPr>
        <w:sz w:val="20"/>
        <w:szCs w:val="20"/>
      </w:rPr>
      <w:t>”</w:t>
    </w:r>
    <w:r w:rsidRPr="00F43ED9">
      <w:rPr>
        <w:color w:val="000000" w:themeColor="text1"/>
        <w:sz w:val="20"/>
        <w:szCs w:val="20"/>
      </w:rPr>
      <w:t xml:space="preserve"> sākotnējās ietekmes novērtējuma ziņojums</w:t>
    </w:r>
    <w:r w:rsidRPr="00F43ED9">
      <w:rPr>
        <w:bCs/>
        <w:color w:val="000000" w:themeColor="text1"/>
        <w:sz w:val="20"/>
        <w:szCs w:val="20"/>
      </w:rPr>
      <w:t xml:space="preserve"> (anotācija)</w:t>
    </w:r>
  </w:p>
  <w:p w:rsidR="0091769B" w:rsidRPr="00FD0F9B" w:rsidRDefault="002E44F2" w:rsidP="0088195E">
    <w:pPr>
      <w:jc w:val="both"/>
      <w:rPr>
        <w:sz w:val="20"/>
        <w:szCs w:val="20"/>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5EC" w:rsidRDefault="00EA1883">
      <w:r>
        <w:separator/>
      </w:r>
    </w:p>
  </w:footnote>
  <w:footnote w:type="continuationSeparator" w:id="0">
    <w:p w:rsidR="005005EC" w:rsidRDefault="00EA1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9B" w:rsidRDefault="00EA188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1769B" w:rsidRDefault="002E44F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9B" w:rsidRDefault="00EA188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E44F2">
      <w:rPr>
        <w:rStyle w:val="Lappusesnumurs"/>
        <w:noProof/>
      </w:rPr>
      <w:t>2</w:t>
    </w:r>
    <w:r>
      <w:rPr>
        <w:rStyle w:val="Lappusesnumurs"/>
      </w:rPr>
      <w:fldChar w:fldCharType="end"/>
    </w:r>
  </w:p>
  <w:p w:rsidR="0091769B" w:rsidRDefault="002E44F2">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55"/>
    <w:rsid w:val="000207C1"/>
    <w:rsid w:val="00041D4B"/>
    <w:rsid w:val="00053837"/>
    <w:rsid w:val="00067955"/>
    <w:rsid w:val="00081C03"/>
    <w:rsid w:val="00091E11"/>
    <w:rsid w:val="000A2705"/>
    <w:rsid w:val="000D5C4D"/>
    <w:rsid w:val="00123903"/>
    <w:rsid w:val="0013317C"/>
    <w:rsid w:val="001806E9"/>
    <w:rsid w:val="001851DF"/>
    <w:rsid w:val="001F3F95"/>
    <w:rsid w:val="002325AF"/>
    <w:rsid w:val="00265BC2"/>
    <w:rsid w:val="00273779"/>
    <w:rsid w:val="002A6355"/>
    <w:rsid w:val="002B6A50"/>
    <w:rsid w:val="002E44F2"/>
    <w:rsid w:val="0039324B"/>
    <w:rsid w:val="003B2387"/>
    <w:rsid w:val="003D09AF"/>
    <w:rsid w:val="00471A41"/>
    <w:rsid w:val="004A5154"/>
    <w:rsid w:val="004B20BE"/>
    <w:rsid w:val="004B409B"/>
    <w:rsid w:val="004C4D0F"/>
    <w:rsid w:val="004C50C6"/>
    <w:rsid w:val="005005EC"/>
    <w:rsid w:val="00512133"/>
    <w:rsid w:val="00513CA3"/>
    <w:rsid w:val="0054399A"/>
    <w:rsid w:val="00556916"/>
    <w:rsid w:val="005A04CE"/>
    <w:rsid w:val="005B2C37"/>
    <w:rsid w:val="005D0EC8"/>
    <w:rsid w:val="005D14C4"/>
    <w:rsid w:val="005F1BDB"/>
    <w:rsid w:val="0060334C"/>
    <w:rsid w:val="00605CB1"/>
    <w:rsid w:val="00625F25"/>
    <w:rsid w:val="00627BC9"/>
    <w:rsid w:val="00630E9B"/>
    <w:rsid w:val="006426B9"/>
    <w:rsid w:val="00670E87"/>
    <w:rsid w:val="00694DCD"/>
    <w:rsid w:val="006A54F8"/>
    <w:rsid w:val="006A7CCB"/>
    <w:rsid w:val="006B4A2C"/>
    <w:rsid w:val="006D2DB8"/>
    <w:rsid w:val="006F2CDD"/>
    <w:rsid w:val="00706572"/>
    <w:rsid w:val="007557A0"/>
    <w:rsid w:val="0076358B"/>
    <w:rsid w:val="00796A8C"/>
    <w:rsid w:val="007B46F1"/>
    <w:rsid w:val="007F7984"/>
    <w:rsid w:val="0082566C"/>
    <w:rsid w:val="00831E97"/>
    <w:rsid w:val="0084281C"/>
    <w:rsid w:val="00865F88"/>
    <w:rsid w:val="008A2650"/>
    <w:rsid w:val="008D758C"/>
    <w:rsid w:val="008E5A4C"/>
    <w:rsid w:val="00926773"/>
    <w:rsid w:val="009A4E01"/>
    <w:rsid w:val="009B7D1F"/>
    <w:rsid w:val="009D4DDA"/>
    <w:rsid w:val="009E2D4D"/>
    <w:rsid w:val="009E51FC"/>
    <w:rsid w:val="009F0480"/>
    <w:rsid w:val="009F3E9F"/>
    <w:rsid w:val="00A1726F"/>
    <w:rsid w:val="00A254BE"/>
    <w:rsid w:val="00A45D28"/>
    <w:rsid w:val="00A71490"/>
    <w:rsid w:val="00A7269F"/>
    <w:rsid w:val="00A9311F"/>
    <w:rsid w:val="00AB1B41"/>
    <w:rsid w:val="00AB2C9B"/>
    <w:rsid w:val="00AE0C66"/>
    <w:rsid w:val="00AE5617"/>
    <w:rsid w:val="00B015C8"/>
    <w:rsid w:val="00B22D04"/>
    <w:rsid w:val="00B428FE"/>
    <w:rsid w:val="00BB206F"/>
    <w:rsid w:val="00BC0F26"/>
    <w:rsid w:val="00C06693"/>
    <w:rsid w:val="00C34902"/>
    <w:rsid w:val="00C45186"/>
    <w:rsid w:val="00C5094D"/>
    <w:rsid w:val="00CA401C"/>
    <w:rsid w:val="00CA6A96"/>
    <w:rsid w:val="00CC47CB"/>
    <w:rsid w:val="00DB6AF3"/>
    <w:rsid w:val="00DD1B14"/>
    <w:rsid w:val="00DD7F27"/>
    <w:rsid w:val="00DF1DDB"/>
    <w:rsid w:val="00EA1883"/>
    <w:rsid w:val="00EB6238"/>
    <w:rsid w:val="00ED42DA"/>
    <w:rsid w:val="00EF6F0A"/>
    <w:rsid w:val="00F45D35"/>
    <w:rsid w:val="00F54EB7"/>
    <w:rsid w:val="00F61248"/>
    <w:rsid w:val="00FB5C31"/>
    <w:rsid w:val="00FC2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6795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067955"/>
    <w:pPr>
      <w:keepNext/>
      <w:jc w:val="center"/>
      <w:outlineLvl w:val="0"/>
    </w:pPr>
    <w:rPr>
      <w:b/>
      <w:bCs/>
      <w:sz w:val="28"/>
      <w:lang w:val="lv-LV"/>
    </w:rPr>
  </w:style>
  <w:style w:type="paragraph" w:styleId="Virsraksts3">
    <w:name w:val="heading 3"/>
    <w:basedOn w:val="Parasts"/>
    <w:next w:val="Parasts"/>
    <w:link w:val="Virsraksts3Rakstz"/>
    <w:qFormat/>
    <w:rsid w:val="00067955"/>
    <w:pPr>
      <w:keepNext/>
      <w:jc w:val="center"/>
      <w:outlineLvl w:val="2"/>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67955"/>
    <w:rPr>
      <w:rFonts w:ascii="Times New Roman" w:eastAsia="Times New Roman" w:hAnsi="Times New Roman" w:cs="Times New Roman"/>
      <w:b/>
      <w:bCs/>
      <w:sz w:val="28"/>
      <w:szCs w:val="24"/>
    </w:rPr>
  </w:style>
  <w:style w:type="character" w:customStyle="1" w:styleId="Virsraksts3Rakstz">
    <w:name w:val="Virsraksts 3 Rakstz."/>
    <w:basedOn w:val="Noklusjumarindkopasfonts"/>
    <w:link w:val="Virsraksts3"/>
    <w:rsid w:val="00067955"/>
    <w:rPr>
      <w:rFonts w:ascii="Times New Roman" w:eastAsia="Times New Roman" w:hAnsi="Times New Roman" w:cs="Times New Roman"/>
      <w:sz w:val="28"/>
      <w:szCs w:val="24"/>
    </w:rPr>
  </w:style>
  <w:style w:type="paragraph" w:customStyle="1" w:styleId="naisc">
    <w:name w:val="naisc"/>
    <w:basedOn w:val="Parasts"/>
    <w:rsid w:val="00067955"/>
    <w:pPr>
      <w:spacing w:before="100" w:beforeAutospacing="1" w:after="100" w:afterAutospacing="1"/>
      <w:jc w:val="center"/>
    </w:pPr>
    <w:rPr>
      <w:rFonts w:eastAsia="Arial Unicode MS"/>
      <w:sz w:val="26"/>
      <w:szCs w:val="26"/>
    </w:rPr>
  </w:style>
  <w:style w:type="paragraph" w:customStyle="1" w:styleId="naisf">
    <w:name w:val="naisf"/>
    <w:basedOn w:val="Parasts"/>
    <w:rsid w:val="00067955"/>
    <w:pPr>
      <w:spacing w:before="100" w:beforeAutospacing="1" w:after="100" w:afterAutospacing="1"/>
      <w:jc w:val="both"/>
    </w:pPr>
    <w:rPr>
      <w:rFonts w:eastAsia="Arial Unicode MS"/>
    </w:rPr>
  </w:style>
  <w:style w:type="paragraph" w:styleId="Paraststmeklis">
    <w:name w:val="Normal (Web)"/>
    <w:basedOn w:val="Parasts"/>
    <w:rsid w:val="00067955"/>
    <w:pPr>
      <w:spacing w:before="100" w:beforeAutospacing="1" w:after="100" w:afterAutospacing="1"/>
    </w:pPr>
    <w:rPr>
      <w:rFonts w:eastAsia="Arial Unicode MS"/>
    </w:rPr>
  </w:style>
  <w:style w:type="paragraph" w:styleId="Kjene">
    <w:name w:val="footer"/>
    <w:basedOn w:val="Parasts"/>
    <w:link w:val="KjeneRakstz"/>
    <w:rsid w:val="00067955"/>
    <w:pPr>
      <w:tabs>
        <w:tab w:val="center" w:pos="4153"/>
        <w:tab w:val="right" w:pos="8306"/>
      </w:tabs>
      <w:snapToGrid w:val="0"/>
    </w:pPr>
    <w:rPr>
      <w:rFonts w:ascii="RimTimes" w:hAnsi="RimTimes"/>
      <w:sz w:val="28"/>
      <w:szCs w:val="20"/>
      <w:lang w:val="lv-LV"/>
    </w:rPr>
  </w:style>
  <w:style w:type="character" w:customStyle="1" w:styleId="KjeneRakstz">
    <w:name w:val="Kājene Rakstz."/>
    <w:basedOn w:val="Noklusjumarindkopasfonts"/>
    <w:link w:val="Kjene"/>
    <w:rsid w:val="00067955"/>
    <w:rPr>
      <w:rFonts w:ascii="RimTimes" w:eastAsia="Times New Roman" w:hAnsi="RimTimes" w:cs="Times New Roman"/>
      <w:sz w:val="28"/>
      <w:szCs w:val="20"/>
    </w:rPr>
  </w:style>
  <w:style w:type="character" w:styleId="Komentraatsauce">
    <w:name w:val="annotation reference"/>
    <w:basedOn w:val="Noklusjumarindkopasfonts"/>
    <w:semiHidden/>
    <w:rsid w:val="00067955"/>
    <w:rPr>
      <w:sz w:val="16"/>
      <w:szCs w:val="16"/>
    </w:rPr>
  </w:style>
  <w:style w:type="paragraph" w:styleId="Galvene">
    <w:name w:val="header"/>
    <w:basedOn w:val="Parasts"/>
    <w:link w:val="GalveneRakstz"/>
    <w:rsid w:val="00067955"/>
    <w:pPr>
      <w:tabs>
        <w:tab w:val="center" w:pos="4153"/>
        <w:tab w:val="right" w:pos="8306"/>
      </w:tabs>
    </w:pPr>
  </w:style>
  <w:style w:type="character" w:customStyle="1" w:styleId="GalveneRakstz">
    <w:name w:val="Galvene Rakstz."/>
    <w:basedOn w:val="Noklusjumarindkopasfonts"/>
    <w:link w:val="Galvene"/>
    <w:rsid w:val="00067955"/>
    <w:rPr>
      <w:rFonts w:ascii="Times New Roman" w:eastAsia="Times New Roman" w:hAnsi="Times New Roman" w:cs="Times New Roman"/>
      <w:sz w:val="24"/>
      <w:szCs w:val="24"/>
      <w:lang w:val="en-GB"/>
    </w:rPr>
  </w:style>
  <w:style w:type="character" w:styleId="Lappusesnumurs">
    <w:name w:val="page number"/>
    <w:basedOn w:val="Noklusjumarindkopasfonts"/>
    <w:rsid w:val="00067955"/>
  </w:style>
  <w:style w:type="paragraph" w:styleId="Komentrateksts">
    <w:name w:val="annotation text"/>
    <w:basedOn w:val="Parasts"/>
    <w:link w:val="KomentratekstsRakstz"/>
    <w:rsid w:val="00067955"/>
    <w:rPr>
      <w:sz w:val="20"/>
      <w:szCs w:val="20"/>
    </w:rPr>
  </w:style>
  <w:style w:type="character" w:customStyle="1" w:styleId="KomentratekstsRakstz">
    <w:name w:val="Komentāra teksts Rakstz."/>
    <w:basedOn w:val="Noklusjumarindkopasfonts"/>
    <w:link w:val="Komentrateksts"/>
    <w:rsid w:val="00067955"/>
    <w:rPr>
      <w:rFonts w:ascii="Times New Roman" w:eastAsia="Times New Roman" w:hAnsi="Times New Roman" w:cs="Times New Roman"/>
      <w:sz w:val="20"/>
      <w:szCs w:val="20"/>
      <w:lang w:val="en-GB"/>
    </w:rPr>
  </w:style>
  <w:style w:type="paragraph" w:customStyle="1" w:styleId="naiskr">
    <w:name w:val="naiskr"/>
    <w:basedOn w:val="Parasts"/>
    <w:rsid w:val="00067955"/>
    <w:pPr>
      <w:spacing w:before="100" w:beforeAutospacing="1" w:after="100" w:afterAutospacing="1"/>
    </w:pPr>
    <w:rPr>
      <w:lang w:val="lv-LV" w:eastAsia="lv-LV"/>
    </w:rPr>
  </w:style>
  <w:style w:type="paragraph" w:styleId="Bezatstarpm">
    <w:name w:val="No Spacing"/>
    <w:uiPriority w:val="1"/>
    <w:qFormat/>
    <w:rsid w:val="00067955"/>
    <w:pPr>
      <w:spacing w:after="0" w:line="240" w:lineRule="auto"/>
    </w:pPr>
    <w:rPr>
      <w:rFonts w:ascii="Calibri" w:eastAsia="Calibri" w:hAnsi="Calibri" w:cs="Times New Roman"/>
    </w:rPr>
  </w:style>
  <w:style w:type="paragraph" w:customStyle="1" w:styleId="naisnod">
    <w:name w:val="naisnod"/>
    <w:basedOn w:val="Parasts"/>
    <w:rsid w:val="00067955"/>
    <w:pPr>
      <w:spacing w:before="150" w:after="150"/>
      <w:jc w:val="center"/>
    </w:pPr>
    <w:rPr>
      <w:b/>
      <w:bCs/>
      <w:lang w:val="lv-LV" w:eastAsia="lv-LV"/>
    </w:rPr>
  </w:style>
  <w:style w:type="paragraph" w:styleId="Balonteksts">
    <w:name w:val="Balloon Text"/>
    <w:basedOn w:val="Parasts"/>
    <w:link w:val="BalontekstsRakstz"/>
    <w:uiPriority w:val="99"/>
    <w:semiHidden/>
    <w:unhideWhenUsed/>
    <w:rsid w:val="0006795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7955"/>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6795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067955"/>
    <w:pPr>
      <w:keepNext/>
      <w:jc w:val="center"/>
      <w:outlineLvl w:val="0"/>
    </w:pPr>
    <w:rPr>
      <w:b/>
      <w:bCs/>
      <w:sz w:val="28"/>
      <w:lang w:val="lv-LV"/>
    </w:rPr>
  </w:style>
  <w:style w:type="paragraph" w:styleId="Virsraksts3">
    <w:name w:val="heading 3"/>
    <w:basedOn w:val="Parasts"/>
    <w:next w:val="Parasts"/>
    <w:link w:val="Virsraksts3Rakstz"/>
    <w:qFormat/>
    <w:rsid w:val="00067955"/>
    <w:pPr>
      <w:keepNext/>
      <w:jc w:val="center"/>
      <w:outlineLvl w:val="2"/>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67955"/>
    <w:rPr>
      <w:rFonts w:ascii="Times New Roman" w:eastAsia="Times New Roman" w:hAnsi="Times New Roman" w:cs="Times New Roman"/>
      <w:b/>
      <w:bCs/>
      <w:sz w:val="28"/>
      <w:szCs w:val="24"/>
    </w:rPr>
  </w:style>
  <w:style w:type="character" w:customStyle="1" w:styleId="Virsraksts3Rakstz">
    <w:name w:val="Virsraksts 3 Rakstz."/>
    <w:basedOn w:val="Noklusjumarindkopasfonts"/>
    <w:link w:val="Virsraksts3"/>
    <w:rsid w:val="00067955"/>
    <w:rPr>
      <w:rFonts w:ascii="Times New Roman" w:eastAsia="Times New Roman" w:hAnsi="Times New Roman" w:cs="Times New Roman"/>
      <w:sz w:val="28"/>
      <w:szCs w:val="24"/>
    </w:rPr>
  </w:style>
  <w:style w:type="paragraph" w:customStyle="1" w:styleId="naisc">
    <w:name w:val="naisc"/>
    <w:basedOn w:val="Parasts"/>
    <w:rsid w:val="00067955"/>
    <w:pPr>
      <w:spacing w:before="100" w:beforeAutospacing="1" w:after="100" w:afterAutospacing="1"/>
      <w:jc w:val="center"/>
    </w:pPr>
    <w:rPr>
      <w:rFonts w:eastAsia="Arial Unicode MS"/>
      <w:sz w:val="26"/>
      <w:szCs w:val="26"/>
    </w:rPr>
  </w:style>
  <w:style w:type="paragraph" w:customStyle="1" w:styleId="naisf">
    <w:name w:val="naisf"/>
    <w:basedOn w:val="Parasts"/>
    <w:rsid w:val="00067955"/>
    <w:pPr>
      <w:spacing w:before="100" w:beforeAutospacing="1" w:after="100" w:afterAutospacing="1"/>
      <w:jc w:val="both"/>
    </w:pPr>
    <w:rPr>
      <w:rFonts w:eastAsia="Arial Unicode MS"/>
    </w:rPr>
  </w:style>
  <w:style w:type="paragraph" w:styleId="Paraststmeklis">
    <w:name w:val="Normal (Web)"/>
    <w:basedOn w:val="Parasts"/>
    <w:rsid w:val="00067955"/>
    <w:pPr>
      <w:spacing w:before="100" w:beforeAutospacing="1" w:after="100" w:afterAutospacing="1"/>
    </w:pPr>
    <w:rPr>
      <w:rFonts w:eastAsia="Arial Unicode MS"/>
    </w:rPr>
  </w:style>
  <w:style w:type="paragraph" w:styleId="Kjene">
    <w:name w:val="footer"/>
    <w:basedOn w:val="Parasts"/>
    <w:link w:val="KjeneRakstz"/>
    <w:rsid w:val="00067955"/>
    <w:pPr>
      <w:tabs>
        <w:tab w:val="center" w:pos="4153"/>
        <w:tab w:val="right" w:pos="8306"/>
      </w:tabs>
      <w:snapToGrid w:val="0"/>
    </w:pPr>
    <w:rPr>
      <w:rFonts w:ascii="RimTimes" w:hAnsi="RimTimes"/>
      <w:sz w:val="28"/>
      <w:szCs w:val="20"/>
      <w:lang w:val="lv-LV"/>
    </w:rPr>
  </w:style>
  <w:style w:type="character" w:customStyle="1" w:styleId="KjeneRakstz">
    <w:name w:val="Kājene Rakstz."/>
    <w:basedOn w:val="Noklusjumarindkopasfonts"/>
    <w:link w:val="Kjene"/>
    <w:rsid w:val="00067955"/>
    <w:rPr>
      <w:rFonts w:ascii="RimTimes" w:eastAsia="Times New Roman" w:hAnsi="RimTimes" w:cs="Times New Roman"/>
      <w:sz w:val="28"/>
      <w:szCs w:val="20"/>
    </w:rPr>
  </w:style>
  <w:style w:type="character" w:styleId="Komentraatsauce">
    <w:name w:val="annotation reference"/>
    <w:basedOn w:val="Noklusjumarindkopasfonts"/>
    <w:semiHidden/>
    <w:rsid w:val="00067955"/>
    <w:rPr>
      <w:sz w:val="16"/>
      <w:szCs w:val="16"/>
    </w:rPr>
  </w:style>
  <w:style w:type="paragraph" w:styleId="Galvene">
    <w:name w:val="header"/>
    <w:basedOn w:val="Parasts"/>
    <w:link w:val="GalveneRakstz"/>
    <w:rsid w:val="00067955"/>
    <w:pPr>
      <w:tabs>
        <w:tab w:val="center" w:pos="4153"/>
        <w:tab w:val="right" w:pos="8306"/>
      </w:tabs>
    </w:pPr>
  </w:style>
  <w:style w:type="character" w:customStyle="1" w:styleId="GalveneRakstz">
    <w:name w:val="Galvene Rakstz."/>
    <w:basedOn w:val="Noklusjumarindkopasfonts"/>
    <w:link w:val="Galvene"/>
    <w:rsid w:val="00067955"/>
    <w:rPr>
      <w:rFonts w:ascii="Times New Roman" w:eastAsia="Times New Roman" w:hAnsi="Times New Roman" w:cs="Times New Roman"/>
      <w:sz w:val="24"/>
      <w:szCs w:val="24"/>
      <w:lang w:val="en-GB"/>
    </w:rPr>
  </w:style>
  <w:style w:type="character" w:styleId="Lappusesnumurs">
    <w:name w:val="page number"/>
    <w:basedOn w:val="Noklusjumarindkopasfonts"/>
    <w:rsid w:val="00067955"/>
  </w:style>
  <w:style w:type="paragraph" w:styleId="Komentrateksts">
    <w:name w:val="annotation text"/>
    <w:basedOn w:val="Parasts"/>
    <w:link w:val="KomentratekstsRakstz"/>
    <w:rsid w:val="00067955"/>
    <w:rPr>
      <w:sz w:val="20"/>
      <w:szCs w:val="20"/>
    </w:rPr>
  </w:style>
  <w:style w:type="character" w:customStyle="1" w:styleId="KomentratekstsRakstz">
    <w:name w:val="Komentāra teksts Rakstz."/>
    <w:basedOn w:val="Noklusjumarindkopasfonts"/>
    <w:link w:val="Komentrateksts"/>
    <w:rsid w:val="00067955"/>
    <w:rPr>
      <w:rFonts w:ascii="Times New Roman" w:eastAsia="Times New Roman" w:hAnsi="Times New Roman" w:cs="Times New Roman"/>
      <w:sz w:val="20"/>
      <w:szCs w:val="20"/>
      <w:lang w:val="en-GB"/>
    </w:rPr>
  </w:style>
  <w:style w:type="paragraph" w:customStyle="1" w:styleId="naiskr">
    <w:name w:val="naiskr"/>
    <w:basedOn w:val="Parasts"/>
    <w:rsid w:val="00067955"/>
    <w:pPr>
      <w:spacing w:before="100" w:beforeAutospacing="1" w:after="100" w:afterAutospacing="1"/>
    </w:pPr>
    <w:rPr>
      <w:lang w:val="lv-LV" w:eastAsia="lv-LV"/>
    </w:rPr>
  </w:style>
  <w:style w:type="paragraph" w:styleId="Bezatstarpm">
    <w:name w:val="No Spacing"/>
    <w:uiPriority w:val="1"/>
    <w:qFormat/>
    <w:rsid w:val="00067955"/>
    <w:pPr>
      <w:spacing w:after="0" w:line="240" w:lineRule="auto"/>
    </w:pPr>
    <w:rPr>
      <w:rFonts w:ascii="Calibri" w:eastAsia="Calibri" w:hAnsi="Calibri" w:cs="Times New Roman"/>
    </w:rPr>
  </w:style>
  <w:style w:type="paragraph" w:customStyle="1" w:styleId="naisnod">
    <w:name w:val="naisnod"/>
    <w:basedOn w:val="Parasts"/>
    <w:rsid w:val="00067955"/>
    <w:pPr>
      <w:spacing w:before="150" w:after="150"/>
      <w:jc w:val="center"/>
    </w:pPr>
    <w:rPr>
      <w:b/>
      <w:bCs/>
      <w:lang w:val="lv-LV" w:eastAsia="lv-LV"/>
    </w:rPr>
  </w:style>
  <w:style w:type="paragraph" w:styleId="Balonteksts">
    <w:name w:val="Balloon Text"/>
    <w:basedOn w:val="Parasts"/>
    <w:link w:val="BalontekstsRakstz"/>
    <w:uiPriority w:val="99"/>
    <w:semiHidden/>
    <w:unhideWhenUsed/>
    <w:rsid w:val="0006795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7955"/>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30C3-1135-4626-B3A3-6C3C5D34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5401</Words>
  <Characters>3079</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Pelsa</dc:creator>
  <cp:lastModifiedBy>Ilze Pelsa</cp:lastModifiedBy>
  <cp:revision>38</cp:revision>
  <cp:lastPrinted>2016-03-18T11:54:00Z</cp:lastPrinted>
  <dcterms:created xsi:type="dcterms:W3CDTF">2016-02-24T09:27:00Z</dcterms:created>
  <dcterms:modified xsi:type="dcterms:W3CDTF">2016-03-30T07:00:00Z</dcterms:modified>
</cp:coreProperties>
</file>