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DD8C2" w14:textId="49A66DF2" w:rsidR="66994169" w:rsidRPr="00F13E2B" w:rsidRDefault="66994169" w:rsidP="00F13E2B">
      <w:pPr>
        <w:spacing w:after="0" w:line="240" w:lineRule="auto"/>
        <w:jc w:val="center"/>
        <w:rPr>
          <w:rFonts w:ascii="Times New Roman" w:eastAsia="Times New Roman" w:hAnsi="Times New Roman" w:cs="Times New Roman"/>
          <w:b/>
          <w:bCs/>
          <w:sz w:val="24"/>
          <w:szCs w:val="24"/>
          <w:lang w:eastAsia="lv-LV"/>
        </w:rPr>
      </w:pPr>
    </w:p>
    <w:p w14:paraId="1372215F" w14:textId="1F34D3C2" w:rsidR="004D15A9" w:rsidRPr="00487D95" w:rsidRDefault="000437CF" w:rsidP="00F13E2B">
      <w:pPr>
        <w:spacing w:after="0" w:line="240" w:lineRule="auto"/>
        <w:jc w:val="center"/>
        <w:rPr>
          <w:rFonts w:ascii="Times New Roman" w:eastAsia="Times New Roman" w:hAnsi="Times New Roman" w:cs="Times New Roman"/>
          <w:b/>
          <w:bCs/>
          <w:sz w:val="24"/>
          <w:szCs w:val="24"/>
          <w:lang w:eastAsia="lv-LV"/>
        </w:rPr>
      </w:pPr>
      <w:r w:rsidRPr="00487D95">
        <w:rPr>
          <w:rFonts w:ascii="Times New Roman" w:eastAsia="Times New Roman" w:hAnsi="Times New Roman" w:cs="Times New Roman"/>
          <w:b/>
          <w:bCs/>
          <w:sz w:val="24"/>
          <w:szCs w:val="24"/>
          <w:lang w:eastAsia="lv-LV"/>
        </w:rPr>
        <w:t xml:space="preserve">Likumprojekta </w:t>
      </w:r>
      <w:r w:rsidR="00F37099" w:rsidRPr="00F13E2B">
        <w:rPr>
          <w:rFonts w:ascii="Times New Roman" w:hAnsi="Times New Roman" w:cs="Times New Roman"/>
          <w:b/>
          <w:bCs/>
          <w:sz w:val="24"/>
          <w:szCs w:val="24"/>
        </w:rPr>
        <w:t>"</w:t>
      </w:r>
      <w:r w:rsidRPr="00487D95">
        <w:rPr>
          <w:rFonts w:ascii="Times New Roman" w:eastAsia="Times New Roman" w:hAnsi="Times New Roman" w:cs="Times New Roman"/>
          <w:b/>
          <w:bCs/>
          <w:sz w:val="24"/>
          <w:szCs w:val="24"/>
          <w:lang w:eastAsia="lv-LV"/>
        </w:rPr>
        <w:t>Grozījumi Finanšu instrumentu tirgus likumā</w:t>
      </w:r>
      <w:r w:rsidR="00F37099" w:rsidRPr="00F13E2B">
        <w:rPr>
          <w:rFonts w:ascii="Times New Roman" w:hAnsi="Times New Roman" w:cs="Times New Roman"/>
          <w:b/>
          <w:bCs/>
          <w:sz w:val="24"/>
          <w:szCs w:val="24"/>
        </w:rPr>
        <w:t>"</w:t>
      </w:r>
      <w:r w:rsidR="004D15A9" w:rsidRPr="00487D95">
        <w:rPr>
          <w:rFonts w:ascii="Times New Roman" w:eastAsia="Times New Roman" w:hAnsi="Times New Roman" w:cs="Times New Roman"/>
          <w:b/>
          <w:bCs/>
          <w:sz w:val="24"/>
          <w:szCs w:val="24"/>
          <w:lang w:eastAsia="lv-LV"/>
        </w:rPr>
        <w:t xml:space="preserve"> sākotnējās ietekmes novērtējuma ziņojums (anotācija)</w:t>
      </w:r>
    </w:p>
    <w:p w14:paraId="1C76E832" w14:textId="0385E507" w:rsidR="00DA596D" w:rsidRDefault="00DA596D" w:rsidP="00DA596D">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830"/>
        <w:gridCol w:w="6231"/>
      </w:tblGrid>
      <w:tr w:rsidR="00A1552F" w:rsidRPr="002D7166" w14:paraId="70BDCC6E" w14:textId="77777777" w:rsidTr="00F13E2B">
        <w:trPr>
          <w:cantSplit/>
        </w:trPr>
        <w:tc>
          <w:tcPr>
            <w:tcW w:w="9061" w:type="dxa"/>
            <w:gridSpan w:val="2"/>
            <w:shd w:val="clear" w:color="auto" w:fill="FFFFFF" w:themeFill="background1"/>
            <w:vAlign w:val="center"/>
            <w:hideMark/>
          </w:tcPr>
          <w:p w14:paraId="2E3635E1" w14:textId="77777777" w:rsidR="00A1552F" w:rsidRPr="002D7166" w:rsidRDefault="00A1552F" w:rsidP="00A1552F">
            <w:pPr>
              <w:spacing w:after="0" w:line="240" w:lineRule="auto"/>
              <w:ind w:firstLine="300"/>
              <w:jc w:val="center"/>
              <w:rPr>
                <w:rFonts w:ascii="Cambria" w:hAnsi="Cambria"/>
                <w:b/>
                <w:iCs/>
                <w:sz w:val="19"/>
                <w:szCs w:val="19"/>
              </w:rPr>
            </w:pPr>
            <w:r w:rsidRPr="00A1552F">
              <w:rPr>
                <w:rFonts w:ascii="Times New Roman" w:eastAsia="Times New Roman" w:hAnsi="Times New Roman" w:cs="Times New Roman"/>
                <w:b/>
                <w:bCs/>
                <w:sz w:val="24"/>
                <w:szCs w:val="24"/>
                <w:lang w:eastAsia="lv-LV"/>
              </w:rPr>
              <w:t>Tiesību akta projekta anotācijas kopsavilkums</w:t>
            </w:r>
          </w:p>
        </w:tc>
      </w:tr>
      <w:tr w:rsidR="00A1552F" w:rsidRPr="002D7166" w14:paraId="47F047DD" w14:textId="77777777" w:rsidTr="0D37C6C2">
        <w:trPr>
          <w:cantSplit/>
          <w:trHeight w:val="3885"/>
        </w:trPr>
        <w:tc>
          <w:tcPr>
            <w:tcW w:w="2830" w:type="dxa"/>
            <w:shd w:val="clear" w:color="auto" w:fill="FFFFFF" w:themeFill="background1"/>
            <w:hideMark/>
          </w:tcPr>
          <w:p w14:paraId="3C58940B" w14:textId="77777777" w:rsidR="00A1552F" w:rsidRPr="00A1552F" w:rsidRDefault="00A1552F" w:rsidP="0043541A">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Mērķis, risinājums un projekta spēkā stāšanās laiks (500 zīmes bez atstarpēm)</w:t>
            </w:r>
          </w:p>
        </w:tc>
        <w:tc>
          <w:tcPr>
            <w:tcW w:w="6231" w:type="dxa"/>
            <w:shd w:val="clear" w:color="auto" w:fill="FFFFFF" w:themeFill="background1"/>
            <w:hideMark/>
          </w:tcPr>
          <w:p w14:paraId="36C26E3E" w14:textId="1C838B10" w:rsidR="00B103C5" w:rsidRPr="00D05FAA" w:rsidRDefault="72A7F619" w:rsidP="00B103C5">
            <w:pPr>
              <w:pStyle w:val="doc-ti2"/>
              <w:spacing w:before="0" w:after="0" w:line="240" w:lineRule="auto"/>
              <w:ind w:firstLine="284"/>
              <w:jc w:val="both"/>
              <w:rPr>
                <w:b w:val="0"/>
                <w:bCs w:val="0"/>
              </w:rPr>
            </w:pPr>
            <w:bookmarkStart w:id="0" w:name="_Hlk528306371"/>
            <w:r>
              <w:rPr>
                <w:b w:val="0"/>
                <w:bCs w:val="0"/>
              </w:rPr>
              <w:t>Likumprojekta "Grozījumi Finanšu instrumentu tirgus likumā" (</w:t>
            </w:r>
            <w:r w:rsidRPr="00D43D86">
              <w:rPr>
                <w:b w:val="0"/>
                <w:bCs w:val="0"/>
              </w:rPr>
              <w:t>turpmāk – projekts)</w:t>
            </w:r>
            <w:r w:rsidRPr="00D43D86">
              <w:t xml:space="preserve"> </w:t>
            </w:r>
            <w:r w:rsidRPr="00D43D86">
              <w:rPr>
                <w:rFonts w:eastAsiaTheme="minorEastAsia"/>
                <w:b w:val="0"/>
                <w:bCs w:val="0"/>
                <w:lang w:eastAsia="en-US"/>
              </w:rPr>
              <w:t>mērķis ir ieviest Eiropas Parlamenta un Padomes Direktīvas (ES) 2017/828 (2017. gada 17. maijs), ar ko groza Direktīvu 2007/36/EK attiecībā uz akcionāru ilgtermiņa iesaistīšanas veicināšanu</w:t>
            </w:r>
            <w:r w:rsidR="003943A8">
              <w:rPr>
                <w:rFonts w:eastAsiaTheme="minorEastAsia"/>
                <w:b w:val="0"/>
                <w:bCs w:val="0"/>
                <w:lang w:eastAsia="en-US"/>
              </w:rPr>
              <w:t>,</w:t>
            </w:r>
            <w:r w:rsidRPr="00D43D86">
              <w:rPr>
                <w:rFonts w:eastAsiaTheme="minorEastAsia"/>
                <w:b w:val="0"/>
                <w:bCs w:val="0"/>
                <w:lang w:eastAsia="en-US"/>
              </w:rPr>
              <w:t xml:space="preserve"> (turpmāk – Direktīva) pr</w:t>
            </w:r>
            <w:r w:rsidRPr="72A7F619">
              <w:rPr>
                <w:rFonts w:eastAsiaTheme="minorEastAsia"/>
                <w:b w:val="0"/>
                <w:bCs w:val="0"/>
                <w:lang w:eastAsia="en-US"/>
              </w:rPr>
              <w:t>asības attiecībā uz</w:t>
            </w:r>
            <w:r w:rsidR="00D43D86">
              <w:rPr>
                <w:rFonts w:eastAsiaTheme="minorEastAsia"/>
                <w:b w:val="0"/>
                <w:bCs w:val="0"/>
                <w:lang w:eastAsia="en-US"/>
              </w:rPr>
              <w:t xml:space="preserve"> šādiem jautājumiem:</w:t>
            </w:r>
            <w:r w:rsidRPr="72A7F619">
              <w:rPr>
                <w:rFonts w:eastAsiaTheme="minorEastAsia"/>
                <w:b w:val="0"/>
                <w:bCs w:val="0"/>
                <w:lang w:eastAsia="en-US"/>
              </w:rPr>
              <w:t xml:space="preserve"> </w:t>
            </w:r>
            <w:r w:rsidR="00B103C5" w:rsidRPr="00D05FAA">
              <w:rPr>
                <w:rFonts w:eastAsia="Calibri"/>
                <w:b w:val="0"/>
                <w:bCs w:val="0"/>
                <w:lang w:eastAsia="en-US"/>
              </w:rPr>
              <w:t>1) a</w:t>
            </w:r>
            <w:r w:rsidR="00B103C5" w:rsidRPr="00D05FAA">
              <w:rPr>
                <w:b w:val="0"/>
                <w:bCs w:val="0"/>
              </w:rPr>
              <w:t>kcionāru identificēšana, informācijas nodošana un akcionāru tiesību izlietošanas veicināšana</w:t>
            </w:r>
            <w:r w:rsidR="00B103C5" w:rsidRPr="00D05FAA">
              <w:rPr>
                <w:b w:val="0"/>
              </w:rPr>
              <w:t>; 2) i</w:t>
            </w:r>
            <w:r w:rsidR="00B103C5" w:rsidRPr="00D05FAA">
              <w:rPr>
                <w:b w:val="0"/>
                <w:bCs w:val="0"/>
              </w:rPr>
              <w:t>nstitucionālo investoru, aktīvu pārvaldītāju un pilnvaroto padomdevēju pārredzamība</w:t>
            </w:r>
            <w:r w:rsidR="00B103C5" w:rsidRPr="00D05FAA">
              <w:rPr>
                <w:b w:val="0"/>
              </w:rPr>
              <w:t>;</w:t>
            </w:r>
            <w:r w:rsidR="00D43D86">
              <w:rPr>
                <w:b w:val="0"/>
              </w:rPr>
              <w:t xml:space="preserve"> </w:t>
            </w:r>
            <w:r w:rsidR="00B103C5" w:rsidRPr="00D05FAA">
              <w:rPr>
                <w:b w:val="0"/>
                <w:bCs w:val="0"/>
              </w:rPr>
              <w:t>3) akcionāru tiesības balsot par vadītāju atlīdzības politiku un atlīdzības ziņojumu;</w:t>
            </w:r>
            <w:r w:rsidR="00D43D86">
              <w:rPr>
                <w:b w:val="0"/>
                <w:bCs w:val="0"/>
              </w:rPr>
              <w:t xml:space="preserve"> </w:t>
            </w:r>
            <w:r w:rsidR="00B103C5" w:rsidRPr="00D05FAA">
              <w:rPr>
                <w:b w:val="0"/>
                <w:bCs w:val="0"/>
              </w:rPr>
              <w:t>4) akcionāru iesaiste saistīto pušu darījumu apstiprināšanā.</w:t>
            </w:r>
          </w:p>
          <w:p w14:paraId="3CB59E8D" w14:textId="77777777" w:rsidR="00EF7667" w:rsidRPr="00EF7667" w:rsidRDefault="00EF7667" w:rsidP="00EF7667">
            <w:pPr>
              <w:pStyle w:val="doc-ti2"/>
              <w:spacing w:before="0" w:after="0" w:line="240" w:lineRule="auto"/>
              <w:ind w:firstLine="567"/>
              <w:jc w:val="both"/>
              <w:rPr>
                <w:b w:val="0"/>
                <w:lang w:val="lv"/>
              </w:rPr>
            </w:pPr>
            <w:r w:rsidRPr="00EF7667">
              <w:rPr>
                <w:b w:val="0"/>
                <w:lang w:val="lv"/>
              </w:rPr>
              <w:t>Projekts paredz akciju sabiedrībām tiesības noskaidrot savus akcionārus, kā arī iegūt to kontaktinformāciju. Akciju sabiedrībai ir tiesības prasīt informāciju par tās akcionāriem no jebkura starpnieku ķēdē esoša starpnieka. Projektā vispārīgi nostiprināts pienākums starpniekam veikt visus iespējamos pasākumus, lai veicinātu akcionāra tiesību izlietošanu, t. sk. piedalīšanos akcionāru sapulcē.</w:t>
            </w:r>
          </w:p>
          <w:p w14:paraId="1E90493D" w14:textId="77777777" w:rsidR="00EF7667" w:rsidRPr="00EF7667" w:rsidRDefault="00EF7667" w:rsidP="00EF7667">
            <w:pPr>
              <w:pStyle w:val="doc-ti2"/>
              <w:spacing w:before="0" w:after="0" w:line="240" w:lineRule="auto"/>
              <w:ind w:firstLine="567"/>
              <w:jc w:val="both"/>
              <w:rPr>
                <w:rFonts w:eastAsiaTheme="minorEastAsia"/>
                <w:b w:val="0"/>
                <w:bCs w:val="0"/>
                <w:lang w:eastAsia="en-US"/>
              </w:rPr>
            </w:pPr>
            <w:r w:rsidRPr="00EF7667">
              <w:rPr>
                <w:b w:val="0"/>
                <w:lang w:val="lv"/>
              </w:rPr>
              <w:t>Projekts paredz veicināt institucionālo ieguldītāju un aktīvu pārvaldnieku darbības caurskatāmību jautājumos, kas saistīti ar ieguldījumiem akciju sabiedrību akcijās.</w:t>
            </w:r>
            <w:r>
              <w:rPr>
                <w:b w:val="0"/>
                <w:lang w:val="lv"/>
              </w:rPr>
              <w:t xml:space="preserve"> </w:t>
            </w:r>
            <w:r w:rsidRPr="00EF7667">
              <w:rPr>
                <w:b w:val="0"/>
                <w:lang w:val="lv"/>
              </w:rPr>
              <w:t>Sniedzot portfeļa pārvaldības pakalpojumus un piedāvājot ieguldījumu veikšanu akciju sabiedrības akcijās, pakalpojuma sniedzējam būs pienākums izstrādāt un publiskot politiku, kurā tiks aprakstīts un skaidrots, kā investīciju stratēģijā tiek iekļauta akcionāra tiesību izmantošana šādu akciju sabiedrības pārvaldē. Projekts paredz arī pienākumu pilnvarotajiem padomdevējiem publiskot informāciju par tā darbībā piemērojamo kodeksu.</w:t>
            </w:r>
          </w:p>
          <w:p w14:paraId="20565D9D" w14:textId="77777777" w:rsidR="00EF7667" w:rsidRDefault="00EF7667" w:rsidP="00EF7667">
            <w:pPr>
              <w:pStyle w:val="doc-ti2"/>
              <w:spacing w:before="0" w:after="0" w:line="240" w:lineRule="auto"/>
              <w:ind w:firstLine="567"/>
              <w:jc w:val="both"/>
              <w:rPr>
                <w:rFonts w:eastAsiaTheme="minorEastAsia"/>
                <w:b w:val="0"/>
                <w:bCs w:val="0"/>
                <w:lang w:eastAsia="en-US"/>
              </w:rPr>
            </w:pPr>
            <w:r w:rsidRPr="72A7F619">
              <w:rPr>
                <w:rFonts w:eastAsiaTheme="minorEastAsia"/>
                <w:b w:val="0"/>
                <w:bCs w:val="0"/>
                <w:lang w:eastAsia="en-US"/>
              </w:rPr>
              <w:t xml:space="preserve">Projekts </w:t>
            </w:r>
            <w:r>
              <w:rPr>
                <w:rFonts w:eastAsiaTheme="minorEastAsia"/>
                <w:b w:val="0"/>
                <w:bCs w:val="0"/>
                <w:lang w:eastAsia="en-US"/>
              </w:rPr>
              <w:t xml:space="preserve">saistībā ar vadītāju atlīdzības politiku un ziņojumu, kā arī saistīto pušu darījumiem </w:t>
            </w:r>
            <w:r w:rsidRPr="72A7F619">
              <w:rPr>
                <w:rFonts w:eastAsiaTheme="minorEastAsia"/>
                <w:b w:val="0"/>
                <w:bCs w:val="0"/>
                <w:lang w:eastAsia="en-US"/>
              </w:rPr>
              <w:t xml:space="preserve">attiecas tikai uz tām akciju sabiedrībām, kuru akcijas ir iekļautas regulētajā tirgū. Projekts paredz, ka šādas </w:t>
            </w:r>
            <w:r>
              <w:rPr>
                <w:rFonts w:eastAsiaTheme="minorEastAsia"/>
                <w:b w:val="0"/>
                <w:bCs w:val="0"/>
                <w:lang w:eastAsia="en-US"/>
              </w:rPr>
              <w:t>akciju sabiedrības</w:t>
            </w:r>
            <w:r w:rsidRPr="72A7F619">
              <w:rPr>
                <w:rFonts w:eastAsiaTheme="minorEastAsia"/>
                <w:b w:val="0"/>
                <w:bCs w:val="0"/>
                <w:lang w:eastAsia="en-US"/>
              </w:rPr>
              <w:t xml:space="preserve"> izstrādā valdes un padomes atalgojuma politiku un ziņojumu, kā arī publisko to. </w:t>
            </w:r>
          </w:p>
          <w:p w14:paraId="2C520935" w14:textId="77777777" w:rsidR="00EF7667" w:rsidRDefault="00EF7667" w:rsidP="00EF7667">
            <w:pPr>
              <w:pStyle w:val="doc-ti2"/>
              <w:spacing w:before="0" w:after="0" w:line="240" w:lineRule="auto"/>
              <w:ind w:firstLine="567"/>
              <w:jc w:val="both"/>
              <w:rPr>
                <w:rFonts w:eastAsiaTheme="minorEastAsia"/>
                <w:b w:val="0"/>
                <w:bCs w:val="0"/>
                <w:lang w:eastAsia="en-US"/>
              </w:rPr>
            </w:pPr>
            <w:r w:rsidRPr="72A7F619">
              <w:rPr>
                <w:rFonts w:eastAsiaTheme="minorEastAsia"/>
                <w:b w:val="0"/>
                <w:bCs w:val="0"/>
                <w:lang w:eastAsia="en-US"/>
              </w:rPr>
              <w:t xml:space="preserve">Projekts precizē saistīto pušu darījumu publiskošanas termiņu un paredz pienākumu publiskot arī saistīto pušu darījumus ar meitas </w:t>
            </w:r>
            <w:r w:rsidRPr="00D43D86">
              <w:rPr>
                <w:rFonts w:eastAsiaTheme="minorEastAsia"/>
                <w:b w:val="0"/>
                <w:bCs w:val="0"/>
                <w:lang w:eastAsia="en-US"/>
              </w:rPr>
              <w:t>sabiedrību.</w:t>
            </w:r>
          </w:p>
          <w:p w14:paraId="1B0AC307" w14:textId="17AEDC93" w:rsidR="00757522" w:rsidRPr="00D43D86" w:rsidRDefault="00757522" w:rsidP="00757522">
            <w:pPr>
              <w:pStyle w:val="Bezatstarpm"/>
              <w:ind w:firstLine="567"/>
              <w:jc w:val="both"/>
              <w:rPr>
                <w:rFonts w:ascii="Times New Roman" w:hAnsi="Times New Roman" w:cs="Times New Roman"/>
                <w:sz w:val="24"/>
                <w:szCs w:val="24"/>
              </w:rPr>
            </w:pPr>
            <w:r w:rsidRPr="00D43D86">
              <w:rPr>
                <w:rFonts w:ascii="Times New Roman" w:hAnsi="Times New Roman" w:cs="Times New Roman"/>
                <w:sz w:val="24"/>
                <w:szCs w:val="24"/>
              </w:rPr>
              <w:t xml:space="preserve">Projekts stāsies spēkā </w:t>
            </w:r>
            <w:r w:rsidR="00196BBF" w:rsidRPr="00D43D86">
              <w:rPr>
                <w:rFonts w:ascii="Times New Roman" w:hAnsi="Times New Roman" w:cs="Times New Roman"/>
                <w:sz w:val="24"/>
                <w:szCs w:val="24"/>
              </w:rPr>
              <w:t xml:space="preserve">ne vēlāk kā </w:t>
            </w:r>
            <w:r w:rsidRPr="00D43D86">
              <w:rPr>
                <w:rFonts w:ascii="Times New Roman" w:hAnsi="Times New Roman" w:cs="Times New Roman"/>
                <w:sz w:val="24"/>
                <w:szCs w:val="24"/>
              </w:rPr>
              <w:t>2019. gad</w:t>
            </w:r>
            <w:r w:rsidR="00196BBF" w:rsidRPr="00D43D86">
              <w:rPr>
                <w:rFonts w:ascii="Times New Roman" w:hAnsi="Times New Roman" w:cs="Times New Roman"/>
                <w:sz w:val="24"/>
                <w:szCs w:val="24"/>
              </w:rPr>
              <w:t>a 10. jūnijā.</w:t>
            </w:r>
          </w:p>
          <w:bookmarkEnd w:id="0"/>
          <w:p w14:paraId="2D343C0B" w14:textId="4BF767E0" w:rsidR="00F37099" w:rsidRPr="00A1552F" w:rsidRDefault="00F37099" w:rsidP="00F37099">
            <w:pPr>
              <w:spacing w:after="0" w:line="240" w:lineRule="auto"/>
              <w:jc w:val="both"/>
              <w:rPr>
                <w:rFonts w:ascii="Times New Roman" w:eastAsia="Times New Roman" w:hAnsi="Times New Roman" w:cs="Times New Roman"/>
                <w:sz w:val="24"/>
                <w:szCs w:val="24"/>
                <w:lang w:eastAsia="lv-LV"/>
              </w:rPr>
            </w:pPr>
          </w:p>
        </w:tc>
      </w:tr>
    </w:tbl>
    <w:p w14:paraId="38674108" w14:textId="77777777" w:rsidR="00A1552F" w:rsidRPr="00BC2633" w:rsidRDefault="00A1552F" w:rsidP="006641E1">
      <w:pPr>
        <w:spacing w:after="0" w:line="240" w:lineRule="auto"/>
        <w:jc w:val="center"/>
        <w:rPr>
          <w:rFonts w:ascii="Times New Roman" w:eastAsia="Times New Roman" w:hAnsi="Times New Roman" w:cs="Times New Roman"/>
          <w:b/>
          <w:bCs/>
          <w:sz w:val="24"/>
          <w:szCs w:val="24"/>
          <w:lang w:eastAsia="lv-LV"/>
        </w:rPr>
      </w:pPr>
    </w:p>
    <w:tbl>
      <w:tblPr>
        <w:tblW w:w="5004" w:type="pct"/>
        <w:tblInd w:w="-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362"/>
        <w:gridCol w:w="2902"/>
        <w:gridCol w:w="5798"/>
      </w:tblGrid>
      <w:tr w:rsidR="00BC2633" w:rsidRPr="00BC2633" w14:paraId="2C53EF84" w14:textId="77777777" w:rsidTr="00F13E2B">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8B67FDD"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 Tiesību akta projekta izstrādes nepieciešamība</w:t>
            </w:r>
          </w:p>
        </w:tc>
      </w:tr>
      <w:tr w:rsidR="00DA326E" w:rsidRPr="00BC2633" w14:paraId="22687615" w14:textId="77777777" w:rsidTr="00F13E2B">
        <w:trPr>
          <w:trHeight w:val="405"/>
        </w:trPr>
        <w:tc>
          <w:tcPr>
            <w:tcW w:w="200" w:type="pct"/>
            <w:tcBorders>
              <w:top w:val="outset" w:sz="6" w:space="0" w:color="414142"/>
              <w:left w:val="outset" w:sz="6" w:space="0" w:color="414142"/>
              <w:bottom w:val="outset" w:sz="6" w:space="0" w:color="414142"/>
              <w:right w:val="outset" w:sz="6" w:space="0" w:color="414142"/>
            </w:tcBorders>
            <w:hideMark/>
          </w:tcPr>
          <w:p w14:paraId="2B187791"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601" w:type="pct"/>
            <w:tcBorders>
              <w:top w:val="outset" w:sz="6" w:space="0" w:color="414142"/>
              <w:left w:val="outset" w:sz="6" w:space="0" w:color="414142"/>
              <w:bottom w:val="outset" w:sz="6" w:space="0" w:color="414142"/>
              <w:right w:val="outset" w:sz="6" w:space="0" w:color="414142"/>
            </w:tcBorders>
            <w:hideMark/>
          </w:tcPr>
          <w:p w14:paraId="64AFBCA2"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Pamatojums</w:t>
            </w:r>
          </w:p>
        </w:tc>
        <w:tc>
          <w:tcPr>
            <w:tcW w:w="3199" w:type="pct"/>
            <w:tcBorders>
              <w:top w:val="outset" w:sz="6" w:space="0" w:color="414142"/>
              <w:left w:val="outset" w:sz="6" w:space="0" w:color="414142"/>
              <w:bottom w:val="outset" w:sz="6" w:space="0" w:color="414142"/>
              <w:right w:val="outset" w:sz="6" w:space="0" w:color="414142"/>
            </w:tcBorders>
            <w:hideMark/>
          </w:tcPr>
          <w:p w14:paraId="0A3EB312" w14:textId="55632987" w:rsidR="004D15A9" w:rsidRPr="00BC2633" w:rsidRDefault="00757522"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Projekts ievieš Direktīvas prasības. Direktīvas prasības ir jāievieš līdz 2019. gada 10. jūnijam. </w:t>
            </w:r>
          </w:p>
        </w:tc>
      </w:tr>
      <w:tr w:rsidR="00DA326E" w:rsidRPr="00BC2633" w14:paraId="5FF7B6AF" w14:textId="77777777" w:rsidTr="00F13E2B">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1C86D47B"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601" w:type="pct"/>
            <w:tcBorders>
              <w:top w:val="outset" w:sz="6" w:space="0" w:color="414142"/>
              <w:left w:val="outset" w:sz="6" w:space="0" w:color="414142"/>
              <w:bottom w:val="outset" w:sz="6" w:space="0" w:color="414142"/>
              <w:right w:val="outset" w:sz="6" w:space="0" w:color="414142"/>
            </w:tcBorders>
            <w:hideMark/>
          </w:tcPr>
          <w:p w14:paraId="7B9225C8"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xml:space="preserve">Pašreizējā situācija un problēmas, kuru risināšanai </w:t>
            </w:r>
            <w:r w:rsidRPr="00BC2633">
              <w:rPr>
                <w:rFonts w:ascii="Times New Roman" w:eastAsia="Times New Roman" w:hAnsi="Times New Roman" w:cs="Times New Roman"/>
                <w:sz w:val="24"/>
                <w:szCs w:val="24"/>
                <w:lang w:eastAsia="lv-LV"/>
              </w:rPr>
              <w:lastRenderedPageBreak/>
              <w:t>tiesību akta projekts izstrādāts, tiesiskā regulējuma mērķis un būtība</w:t>
            </w:r>
          </w:p>
        </w:tc>
        <w:tc>
          <w:tcPr>
            <w:tcW w:w="3199" w:type="pct"/>
            <w:tcBorders>
              <w:top w:val="outset" w:sz="6" w:space="0" w:color="414142"/>
              <w:left w:val="outset" w:sz="6" w:space="0" w:color="414142"/>
              <w:bottom w:val="outset" w:sz="6" w:space="0" w:color="414142"/>
              <w:right w:val="outset" w:sz="6" w:space="0" w:color="414142"/>
            </w:tcBorders>
            <w:hideMark/>
          </w:tcPr>
          <w:p w14:paraId="4027A806" w14:textId="77777777" w:rsidR="00443949" w:rsidRPr="00D05FAA" w:rsidRDefault="00443949" w:rsidP="00443949">
            <w:pPr>
              <w:spacing w:after="0" w:line="240" w:lineRule="auto"/>
              <w:ind w:firstLine="284"/>
              <w:jc w:val="both"/>
              <w:rPr>
                <w:rFonts w:ascii="Times New Roman" w:eastAsia="Calibri" w:hAnsi="Times New Roman" w:cs="Times New Roman"/>
                <w:bCs/>
                <w:sz w:val="24"/>
                <w:szCs w:val="24"/>
              </w:rPr>
            </w:pPr>
            <w:r w:rsidRPr="00D05FAA">
              <w:rPr>
                <w:rFonts w:ascii="Times New Roman" w:eastAsia="Calibri" w:hAnsi="Times New Roman" w:cs="Times New Roman"/>
                <w:color w:val="000000"/>
                <w:sz w:val="24"/>
                <w:szCs w:val="24"/>
              </w:rPr>
              <w:lastRenderedPageBreak/>
              <w:t xml:space="preserve">Direktīvas regulējums ir vērsts uz to, lai sekmētu akcionāru ilgtermiņa iesaisti akciju sabiedrību pārvaldībā. </w:t>
            </w:r>
            <w:r w:rsidRPr="00D05FAA">
              <w:rPr>
                <w:rFonts w:ascii="Times New Roman" w:hAnsi="Times New Roman" w:cs="Times New Roman"/>
                <w:sz w:val="24"/>
                <w:szCs w:val="24"/>
              </w:rPr>
              <w:lastRenderedPageBreak/>
              <w:t xml:space="preserve">Direktīvas minimālā prasība ir šo regulējumu attiecināt tikai uz tām sabiedrībām, kuras juridiskā adrese ir dalībvalstī un kuras akcijas atļauts tirgot regulētajā tirgū. </w:t>
            </w:r>
            <w:r w:rsidRPr="00D05FAA">
              <w:rPr>
                <w:rFonts w:ascii="Times New Roman" w:eastAsia="Calibri" w:hAnsi="Times New Roman" w:cs="Times New Roman"/>
                <w:color w:val="000000"/>
                <w:sz w:val="24"/>
                <w:szCs w:val="24"/>
              </w:rPr>
              <w:t xml:space="preserve"> </w:t>
            </w:r>
            <w:r w:rsidRPr="00D05FAA">
              <w:rPr>
                <w:rFonts w:ascii="Times New Roman" w:eastAsia="Calibri" w:hAnsi="Times New Roman" w:cs="Times New Roman"/>
                <w:sz w:val="24"/>
                <w:szCs w:val="24"/>
              </w:rPr>
              <w:t xml:space="preserve">Direktīva ietver vairākus jautājumu blokus, t. sk.: </w:t>
            </w:r>
          </w:p>
          <w:p w14:paraId="4C65CFF6" w14:textId="77777777" w:rsidR="00443949" w:rsidRPr="00D05FAA" w:rsidRDefault="00443949" w:rsidP="00443949">
            <w:pPr>
              <w:pStyle w:val="doc-ti2"/>
              <w:spacing w:before="0" w:after="0" w:line="240" w:lineRule="auto"/>
              <w:ind w:firstLine="284"/>
              <w:jc w:val="both"/>
              <w:rPr>
                <w:b w:val="0"/>
              </w:rPr>
            </w:pPr>
            <w:r w:rsidRPr="00D05FAA">
              <w:rPr>
                <w:rFonts w:eastAsia="Calibri"/>
                <w:b w:val="0"/>
                <w:bCs w:val="0"/>
                <w:lang w:eastAsia="en-US"/>
              </w:rPr>
              <w:t>1) a</w:t>
            </w:r>
            <w:r w:rsidRPr="00D05FAA">
              <w:rPr>
                <w:b w:val="0"/>
                <w:bCs w:val="0"/>
              </w:rPr>
              <w:t>kcionāru identificēšana, informācijas nodošana un akcionāru tiesību izlietošanas veicināšana</w:t>
            </w:r>
            <w:r w:rsidRPr="00D05FAA">
              <w:rPr>
                <w:b w:val="0"/>
              </w:rPr>
              <w:t xml:space="preserve">; </w:t>
            </w:r>
          </w:p>
          <w:p w14:paraId="78E7EBC7" w14:textId="77777777" w:rsidR="00443949" w:rsidRPr="00D05FAA" w:rsidRDefault="00443949" w:rsidP="00443949">
            <w:pPr>
              <w:pStyle w:val="doc-ti2"/>
              <w:spacing w:before="0" w:after="0" w:line="240" w:lineRule="auto"/>
              <w:ind w:firstLine="284"/>
              <w:jc w:val="both"/>
              <w:rPr>
                <w:b w:val="0"/>
              </w:rPr>
            </w:pPr>
            <w:r w:rsidRPr="00D05FAA">
              <w:rPr>
                <w:b w:val="0"/>
              </w:rPr>
              <w:t>2) i</w:t>
            </w:r>
            <w:r w:rsidRPr="00D05FAA">
              <w:rPr>
                <w:b w:val="0"/>
                <w:bCs w:val="0"/>
              </w:rPr>
              <w:t>nstitucionālo investoru, aktīvu pārvaldītāju un pilnvaroto padomdevēju pārredzamība</w:t>
            </w:r>
            <w:r w:rsidRPr="00D05FAA">
              <w:rPr>
                <w:b w:val="0"/>
              </w:rPr>
              <w:t>;</w:t>
            </w:r>
          </w:p>
          <w:p w14:paraId="744D2235" w14:textId="77777777" w:rsidR="00443949" w:rsidRPr="00D05FAA" w:rsidRDefault="00443949" w:rsidP="00443949">
            <w:pPr>
              <w:pStyle w:val="doc-ti2"/>
              <w:spacing w:before="0" w:after="0" w:line="240" w:lineRule="auto"/>
              <w:ind w:firstLine="284"/>
              <w:jc w:val="both"/>
              <w:rPr>
                <w:b w:val="0"/>
                <w:bCs w:val="0"/>
              </w:rPr>
            </w:pPr>
            <w:r w:rsidRPr="00D05FAA">
              <w:rPr>
                <w:b w:val="0"/>
                <w:bCs w:val="0"/>
              </w:rPr>
              <w:t>3) akcionāru tiesības balsot par vadītāju atlīdzības politiku un atlīdzības ziņojumu;</w:t>
            </w:r>
          </w:p>
          <w:p w14:paraId="4E264144" w14:textId="77777777" w:rsidR="00443949" w:rsidRPr="00D05FAA" w:rsidRDefault="00443949" w:rsidP="00443949">
            <w:pPr>
              <w:pStyle w:val="doc-ti2"/>
              <w:spacing w:before="0" w:after="0" w:line="240" w:lineRule="auto"/>
              <w:ind w:firstLine="284"/>
              <w:jc w:val="both"/>
              <w:rPr>
                <w:b w:val="0"/>
                <w:bCs w:val="0"/>
              </w:rPr>
            </w:pPr>
            <w:r w:rsidRPr="00D05FAA">
              <w:rPr>
                <w:b w:val="0"/>
                <w:bCs w:val="0"/>
              </w:rPr>
              <w:t>4) akcionāru iesaiste saistīto pušu darījumu apstiprināšanā.</w:t>
            </w:r>
          </w:p>
          <w:p w14:paraId="2CA2AAD7" w14:textId="32A4DE22" w:rsidR="00443949" w:rsidRPr="00B103C5" w:rsidRDefault="72A7F619" w:rsidP="72A7F619">
            <w:pPr>
              <w:spacing w:after="0" w:line="240" w:lineRule="auto"/>
              <w:ind w:firstLine="284"/>
              <w:jc w:val="both"/>
              <w:rPr>
                <w:rFonts w:ascii="Times New Roman" w:hAnsi="Times New Roman" w:cs="Times New Roman"/>
                <w:sz w:val="24"/>
                <w:szCs w:val="24"/>
              </w:rPr>
            </w:pPr>
            <w:r w:rsidRPr="72A7F619">
              <w:rPr>
                <w:rFonts w:ascii="Times New Roman" w:eastAsia="Calibri" w:hAnsi="Times New Roman" w:cs="Times New Roman"/>
                <w:sz w:val="24"/>
                <w:szCs w:val="24"/>
              </w:rPr>
              <w:t xml:space="preserve">Direktīvas prasības ieviešamas nacionālajā normatīvajā regulējumā līdz 2019. gada 10. jūnijam. Vienlaikus Direktīvas regulējums saistībā ar akcionāru identificēšanu, informācijas nodošanu un akcionāru tiesību izlietošanas veicināšanu (Direktīvas 2007/36/EK 3.a, 3.b un 3.c pants) ir ieviešams 24 mēnešu laikā pēc tam, kad Eiropas Komisija ir izstrādājusi attiecīgus </w:t>
            </w:r>
            <w:r w:rsidRPr="00B103C5">
              <w:rPr>
                <w:rFonts w:ascii="Times New Roman" w:eastAsia="Calibri" w:hAnsi="Times New Roman" w:cs="Times New Roman"/>
                <w:sz w:val="24"/>
                <w:szCs w:val="24"/>
              </w:rPr>
              <w:t xml:space="preserve">īstenošanas aktus. Eiropas Komisija pieņēma īstenošanas aktu </w:t>
            </w:r>
            <w:r w:rsidRPr="00B103C5">
              <w:rPr>
                <w:rFonts w:ascii="Times New Roman" w:hAnsi="Times New Roman" w:cs="Times New Roman"/>
                <w:sz w:val="24"/>
                <w:szCs w:val="24"/>
              </w:rPr>
              <w:t xml:space="preserve">2018. gada </w:t>
            </w:r>
            <w:r w:rsidR="00F13E2B" w:rsidRPr="00B103C5">
              <w:rPr>
                <w:rFonts w:ascii="Times New Roman" w:hAnsi="Times New Roman" w:cs="Times New Roman"/>
                <w:sz w:val="24"/>
                <w:szCs w:val="24"/>
              </w:rPr>
              <w:t>3. septembrī</w:t>
            </w:r>
            <w:r w:rsidRPr="00B103C5">
              <w:rPr>
                <w:rFonts w:ascii="Times New Roman" w:hAnsi="Times New Roman" w:cs="Times New Roman"/>
                <w:sz w:val="24"/>
                <w:szCs w:val="24"/>
              </w:rPr>
              <w:t xml:space="preserve">, tāpēc šie Direktīvas aspekti ir ieviešami ne vēlāk kā 2020. gada </w:t>
            </w:r>
            <w:r w:rsidR="00F13E2B" w:rsidRPr="00B103C5">
              <w:rPr>
                <w:rFonts w:ascii="Times New Roman" w:hAnsi="Times New Roman" w:cs="Times New Roman"/>
                <w:sz w:val="24"/>
                <w:szCs w:val="24"/>
              </w:rPr>
              <w:t>3. septembrī</w:t>
            </w:r>
            <w:r w:rsidRPr="00B103C5">
              <w:rPr>
                <w:rFonts w:ascii="Times New Roman" w:hAnsi="Times New Roman" w:cs="Times New Roman"/>
                <w:sz w:val="24"/>
                <w:szCs w:val="24"/>
              </w:rPr>
              <w:t>.</w:t>
            </w:r>
          </w:p>
          <w:p w14:paraId="7780CB79" w14:textId="77777777" w:rsidR="00443949" w:rsidRPr="00D05FAA" w:rsidRDefault="00443949" w:rsidP="00443949">
            <w:pPr>
              <w:spacing w:after="0" w:line="240" w:lineRule="auto"/>
              <w:ind w:firstLine="284"/>
              <w:jc w:val="both"/>
              <w:rPr>
                <w:rFonts w:ascii="Times New Roman" w:eastAsia="Arial Unicode MS" w:hAnsi="Times New Roman" w:cs="Times New Roman"/>
                <w:sz w:val="24"/>
                <w:szCs w:val="24"/>
              </w:rPr>
            </w:pPr>
            <w:r w:rsidRPr="00D05FAA">
              <w:rPr>
                <w:rFonts w:ascii="Times New Roman" w:hAnsi="Times New Roman" w:cs="Times New Roman"/>
                <w:sz w:val="24"/>
                <w:szCs w:val="24"/>
              </w:rPr>
              <w:t xml:space="preserve">Šobrīd Latvijā ir 21 akciju sabiedrība, kuras akcijas ir iekļautas regulētajā tirgū (Baltijas oficiālais saraksts un Baltijas otrais saraksts). </w:t>
            </w:r>
            <w:r w:rsidRPr="00D05FAA">
              <w:rPr>
                <w:rFonts w:ascii="Times New Roman" w:eastAsia="Arial Unicode MS" w:hAnsi="Times New Roman" w:cs="Times New Roman"/>
                <w:sz w:val="24"/>
                <w:szCs w:val="24"/>
              </w:rPr>
              <w:t xml:space="preserve">Īpašais regulējums attiecībā uz regulētajā tirgū iekļautajiem finanšu instrumentiem, kā arī emitentiem ir iekļauts </w:t>
            </w:r>
            <w:r w:rsidRPr="00EF7667">
              <w:rPr>
                <w:rFonts w:ascii="Times New Roman" w:eastAsia="Arial Unicode MS" w:hAnsi="Times New Roman" w:cs="Times New Roman"/>
                <w:sz w:val="24"/>
                <w:szCs w:val="24"/>
              </w:rPr>
              <w:t>Finanšu instrumentu tirgus likumā (turpmāk – FITL). Sa</w:t>
            </w:r>
            <w:r w:rsidRPr="00D05FAA">
              <w:rPr>
                <w:rFonts w:ascii="Times New Roman" w:eastAsia="Arial Unicode MS" w:hAnsi="Times New Roman" w:cs="Times New Roman"/>
                <w:sz w:val="24"/>
                <w:szCs w:val="24"/>
              </w:rPr>
              <w:t xml:space="preserve">vukārt Komerclikumā ietverts vispārīgs regulējums, kas attiecas uz visām akciju sabiedrībām un to akcionāru tiesībām. </w:t>
            </w:r>
          </w:p>
          <w:p w14:paraId="230AEB34" w14:textId="77777777" w:rsidR="00443949" w:rsidRPr="00D05FAA" w:rsidRDefault="00443949" w:rsidP="00443949">
            <w:pPr>
              <w:spacing w:after="0" w:line="240" w:lineRule="auto"/>
              <w:ind w:firstLine="284"/>
              <w:jc w:val="both"/>
              <w:rPr>
                <w:rFonts w:ascii="Times New Roman" w:eastAsia="Times New Roman" w:hAnsi="Times New Roman" w:cs="Times New Roman"/>
                <w:b/>
                <w:sz w:val="24"/>
                <w:szCs w:val="24"/>
                <w:lang w:eastAsia="lv-LV"/>
              </w:rPr>
            </w:pPr>
          </w:p>
          <w:p w14:paraId="74EDE24F" w14:textId="77777777" w:rsidR="00443949" w:rsidRPr="00D05FAA" w:rsidRDefault="00443949" w:rsidP="00443949">
            <w:pPr>
              <w:spacing w:after="0" w:line="240" w:lineRule="auto"/>
              <w:ind w:firstLine="284"/>
              <w:jc w:val="both"/>
              <w:rPr>
                <w:rFonts w:ascii="Times New Roman" w:eastAsia="Times New Roman" w:hAnsi="Times New Roman" w:cs="Times New Roman"/>
                <w:b/>
                <w:sz w:val="24"/>
                <w:szCs w:val="24"/>
                <w:lang w:eastAsia="lv-LV"/>
              </w:rPr>
            </w:pPr>
            <w:r w:rsidRPr="00D05FAA">
              <w:rPr>
                <w:rFonts w:ascii="Times New Roman" w:eastAsia="Times New Roman" w:hAnsi="Times New Roman" w:cs="Times New Roman"/>
                <w:b/>
                <w:sz w:val="24"/>
                <w:szCs w:val="24"/>
                <w:lang w:eastAsia="lv-LV"/>
              </w:rPr>
              <w:t>Atalgojuma politika un atalgojuma ziņojums</w:t>
            </w:r>
          </w:p>
          <w:p w14:paraId="650FE848" w14:textId="36ACAF2F" w:rsidR="00443949" w:rsidRPr="00D05FAA" w:rsidRDefault="00443949" w:rsidP="00443949">
            <w:pPr>
              <w:autoSpaceDE w:val="0"/>
              <w:autoSpaceDN w:val="0"/>
              <w:adjustRightInd w:val="0"/>
              <w:spacing w:after="0" w:line="240" w:lineRule="auto"/>
              <w:ind w:firstLine="284"/>
              <w:jc w:val="both"/>
              <w:rPr>
                <w:rFonts w:ascii="Times New Roman" w:eastAsia="Times New Roman" w:hAnsi="Times New Roman" w:cs="Times New Roman"/>
                <w:sz w:val="24"/>
                <w:szCs w:val="24"/>
                <w:lang w:eastAsia="lv-LV"/>
              </w:rPr>
            </w:pPr>
            <w:r w:rsidRPr="00D05FAA">
              <w:rPr>
                <w:rFonts w:ascii="Times New Roman" w:hAnsi="Times New Roman" w:cs="Times New Roman"/>
                <w:color w:val="000000"/>
                <w:sz w:val="24"/>
                <w:szCs w:val="24"/>
                <w:lang w:eastAsia="lv-LV"/>
              </w:rPr>
              <w:t xml:space="preserve">Direktīva paredz regulējumu, kas vērsts uz akcionāru iesaisti vadītāju atlīdzības politikas noteikšanā, kā arī paredzēts </w:t>
            </w:r>
            <w:r w:rsidRPr="00D05FAA">
              <w:rPr>
                <w:rFonts w:ascii="Times New Roman" w:hAnsi="Times New Roman" w:cs="Times New Roman"/>
                <w:sz w:val="24"/>
                <w:szCs w:val="24"/>
                <w:lang w:eastAsia="lv-LV"/>
              </w:rPr>
              <w:t xml:space="preserve">pienākums sagatavot ikgadēju ziņojumu par iepriekšējo pārskata gadu attiecībā uz </w:t>
            </w:r>
            <w:r>
              <w:rPr>
                <w:rFonts w:ascii="Times New Roman" w:hAnsi="Times New Roman" w:cs="Times New Roman"/>
                <w:sz w:val="24"/>
                <w:szCs w:val="24"/>
                <w:lang w:eastAsia="lv-LV"/>
              </w:rPr>
              <w:t xml:space="preserve">katram </w:t>
            </w:r>
            <w:r w:rsidR="006746E7" w:rsidRPr="00D05FAA">
              <w:rPr>
                <w:rFonts w:ascii="Times New Roman" w:hAnsi="Times New Roman" w:cs="Times New Roman"/>
                <w:sz w:val="24"/>
                <w:szCs w:val="24"/>
                <w:lang w:eastAsia="lv-LV"/>
              </w:rPr>
              <w:t>vadītāj</w:t>
            </w:r>
            <w:r w:rsidR="006746E7">
              <w:rPr>
                <w:rFonts w:ascii="Times New Roman" w:hAnsi="Times New Roman" w:cs="Times New Roman"/>
                <w:sz w:val="24"/>
                <w:szCs w:val="24"/>
                <w:lang w:eastAsia="lv-LV"/>
              </w:rPr>
              <w:t>a</w:t>
            </w:r>
            <w:r w:rsidR="006746E7" w:rsidRPr="00D05FAA">
              <w:rPr>
                <w:rFonts w:ascii="Times New Roman" w:hAnsi="Times New Roman" w:cs="Times New Roman"/>
                <w:sz w:val="24"/>
                <w:szCs w:val="24"/>
                <w:lang w:eastAsia="lv-LV"/>
              </w:rPr>
              <w:t xml:space="preserve">m </w:t>
            </w:r>
            <w:r>
              <w:rPr>
                <w:rFonts w:ascii="Times New Roman" w:hAnsi="Times New Roman" w:cs="Times New Roman"/>
                <w:sz w:val="24"/>
                <w:szCs w:val="24"/>
                <w:lang w:eastAsia="lv-LV"/>
              </w:rPr>
              <w:t xml:space="preserve">individuāli </w:t>
            </w:r>
            <w:r w:rsidRPr="00D05FAA">
              <w:rPr>
                <w:rFonts w:ascii="Times New Roman" w:hAnsi="Times New Roman" w:cs="Times New Roman"/>
                <w:sz w:val="24"/>
                <w:szCs w:val="24"/>
                <w:lang w:eastAsia="lv-LV"/>
              </w:rPr>
              <w:t xml:space="preserve">izmaksāto atlīdzību. </w:t>
            </w:r>
            <w:r w:rsidRPr="00D05FAA">
              <w:rPr>
                <w:rFonts w:ascii="Times New Roman" w:eastAsia="Times New Roman" w:hAnsi="Times New Roman" w:cs="Times New Roman"/>
                <w:sz w:val="24"/>
                <w:szCs w:val="24"/>
                <w:lang w:eastAsia="lv-LV"/>
              </w:rPr>
              <w:t xml:space="preserve">Direktīva paredz regulējumu sabiedrības vadītāju atalgojumam, jo atalgojums ir viens no </w:t>
            </w:r>
            <w:r w:rsidR="00BE3EA3" w:rsidRPr="00D05FAA">
              <w:rPr>
                <w:rFonts w:ascii="Times New Roman" w:eastAsia="Times New Roman" w:hAnsi="Times New Roman" w:cs="Times New Roman"/>
                <w:sz w:val="24"/>
                <w:szCs w:val="24"/>
                <w:lang w:eastAsia="lv-LV"/>
              </w:rPr>
              <w:t>sabiedrīb</w:t>
            </w:r>
            <w:r w:rsidR="00BE3EA3">
              <w:rPr>
                <w:rFonts w:ascii="Times New Roman" w:eastAsia="Times New Roman" w:hAnsi="Times New Roman" w:cs="Times New Roman"/>
                <w:sz w:val="24"/>
                <w:szCs w:val="24"/>
                <w:lang w:eastAsia="lv-LV"/>
              </w:rPr>
              <w:t>as</w:t>
            </w:r>
            <w:r w:rsidR="00BE3EA3" w:rsidRPr="00D05FAA">
              <w:rPr>
                <w:rFonts w:ascii="Times New Roman" w:eastAsia="Times New Roman" w:hAnsi="Times New Roman" w:cs="Times New Roman"/>
                <w:sz w:val="24"/>
                <w:szCs w:val="24"/>
                <w:lang w:eastAsia="lv-LV"/>
              </w:rPr>
              <w:t xml:space="preserve"> </w:t>
            </w:r>
            <w:r w:rsidRPr="00D05FAA">
              <w:rPr>
                <w:rFonts w:ascii="Times New Roman" w:eastAsia="Times New Roman" w:hAnsi="Times New Roman" w:cs="Times New Roman"/>
                <w:sz w:val="24"/>
                <w:szCs w:val="24"/>
                <w:lang w:eastAsia="lv-LV"/>
              </w:rPr>
              <w:t>galvenajiem instrumentiem</w:t>
            </w:r>
            <w:r w:rsidR="00BE3EA3">
              <w:rPr>
                <w:rFonts w:ascii="Times New Roman" w:eastAsia="Times New Roman" w:hAnsi="Times New Roman" w:cs="Times New Roman"/>
                <w:sz w:val="24"/>
                <w:szCs w:val="24"/>
                <w:lang w:eastAsia="lv-LV"/>
              </w:rPr>
              <w:t xml:space="preserve">, </w:t>
            </w:r>
            <w:r w:rsidR="00BE3EA3" w:rsidRPr="00F13E2B">
              <w:rPr>
                <w:rFonts w:ascii="Times New Roman" w:eastAsia="Times New Roman" w:hAnsi="Times New Roman" w:cs="Times New Roman"/>
                <w:sz w:val="24"/>
                <w:szCs w:val="24"/>
                <w:lang w:eastAsia="lv-LV"/>
              </w:rPr>
              <w:t>kā tiek ie</w:t>
            </w:r>
            <w:r w:rsidR="008714D4" w:rsidRPr="00F13E2B">
              <w:rPr>
                <w:rFonts w:ascii="Times New Roman" w:eastAsia="Times New Roman" w:hAnsi="Times New Roman" w:cs="Times New Roman"/>
                <w:sz w:val="24"/>
                <w:szCs w:val="24"/>
                <w:lang w:eastAsia="lv-LV"/>
              </w:rPr>
              <w:t>tekmēta un novērtēta sabiedrības vadītāju darbība</w:t>
            </w:r>
            <w:r w:rsidR="008714D4">
              <w:rPr>
                <w:rFonts w:ascii="Times New Roman" w:eastAsia="Times New Roman" w:hAnsi="Times New Roman" w:cs="Times New Roman"/>
                <w:sz w:val="24"/>
                <w:szCs w:val="24"/>
                <w:lang w:eastAsia="lv-LV"/>
              </w:rPr>
              <w:t>,</w:t>
            </w:r>
            <w:r w:rsidRPr="00D05FAA">
              <w:rPr>
                <w:rFonts w:ascii="Times New Roman" w:eastAsia="Times New Roman" w:hAnsi="Times New Roman" w:cs="Times New Roman"/>
                <w:sz w:val="24"/>
                <w:szCs w:val="24"/>
                <w:lang w:eastAsia="lv-LV"/>
              </w:rPr>
              <w:t xml:space="preserve"> un ir svarīgi, ka kompetentās struktūras sabiedrībā atbilstīgā veidā nosaka atalgojuma politiku sabiedrībās un ka akcionāriem ir iespēja paust viedokli par savas sabiedrības atalgojuma politiku. Direktīva rada priekšnoteikumus akcionāru tiesību izmantošanai un akcionāru iesaistīšanai atalgojuma jautājumā. Informācijas atklāšana akcionāriem par vadītāju atalgojumu ir jo īpaši nepieciešama, lai viņi varētu novērtēt vadītāju atalgojumu un paust viedokli par vadītāju algas nosacījumiem un līmeni, kā arī par saikni starp algu un katra atsevišķa vadītāja sniegumu nolūkā nepieļaut tādas iespējamas situācijas, kad vadītāja </w:t>
            </w:r>
            <w:r w:rsidRPr="00D05FAA">
              <w:rPr>
                <w:rFonts w:ascii="Times New Roman" w:eastAsia="Times New Roman" w:hAnsi="Times New Roman" w:cs="Times New Roman"/>
                <w:sz w:val="24"/>
                <w:szCs w:val="24"/>
                <w:lang w:eastAsia="lv-LV"/>
              </w:rPr>
              <w:lastRenderedPageBreak/>
              <w:t xml:space="preserve">atalgojuma apjoms nav pamatots, ņemot vērā konkrētā vadītāja sniegumu un sabiedrības darbības rādītājus. Savukārt atalgojuma politikas un ziņojuma publicēšana ir vajadzīga, lai ne tikai akcionāri, bet arī iespējamie ieguldītāji un ieinteresētās personas varētu novērtēt </w:t>
            </w:r>
            <w:r w:rsidR="00290466" w:rsidRPr="00F13E2B">
              <w:rPr>
                <w:rFonts w:ascii="Times New Roman" w:eastAsia="Times New Roman" w:hAnsi="Times New Roman" w:cs="Times New Roman"/>
                <w:sz w:val="24"/>
                <w:szCs w:val="24"/>
                <w:lang w:eastAsia="lv-LV"/>
              </w:rPr>
              <w:t>katra</w:t>
            </w:r>
            <w:r w:rsidR="00290466">
              <w:rPr>
                <w:rFonts w:ascii="Times New Roman" w:eastAsia="Times New Roman" w:hAnsi="Times New Roman" w:cs="Times New Roman"/>
                <w:sz w:val="24"/>
                <w:szCs w:val="24"/>
                <w:lang w:eastAsia="lv-LV"/>
              </w:rPr>
              <w:t xml:space="preserve"> </w:t>
            </w:r>
            <w:r w:rsidRPr="00D05FAA">
              <w:rPr>
                <w:rFonts w:ascii="Times New Roman" w:eastAsia="Times New Roman" w:hAnsi="Times New Roman" w:cs="Times New Roman"/>
                <w:sz w:val="24"/>
                <w:szCs w:val="24"/>
                <w:lang w:eastAsia="lv-LV"/>
              </w:rPr>
              <w:t>vadītāju atalgojumu, cik lielā mērā minētais atalgojums ir saistīts ar sabiedrības darbības rādītājiem un kā sabiedrība īsteno praksē savu atalgojuma politiku. Anonīmu atalgojuma ziņojumu publiskošana un publicēšana neļautu sasniegt minētos mērķus.</w:t>
            </w:r>
          </w:p>
          <w:p w14:paraId="2E4F0E77" w14:textId="05FE1867" w:rsidR="00443949" w:rsidRPr="00D05FAA" w:rsidRDefault="00443949" w:rsidP="00443949">
            <w:pPr>
              <w:autoSpaceDE w:val="0"/>
              <w:autoSpaceDN w:val="0"/>
              <w:adjustRightInd w:val="0"/>
              <w:spacing w:after="0" w:line="240" w:lineRule="auto"/>
              <w:ind w:firstLine="284"/>
              <w:jc w:val="both"/>
              <w:rPr>
                <w:rFonts w:ascii="Times New Roman" w:hAnsi="Times New Roman" w:cs="Times New Roman"/>
                <w:color w:val="000000"/>
                <w:sz w:val="24"/>
                <w:szCs w:val="24"/>
              </w:rPr>
            </w:pPr>
            <w:r w:rsidRPr="00B103C5">
              <w:rPr>
                <w:rFonts w:ascii="Times New Roman" w:eastAsia="Times New Roman" w:hAnsi="Times New Roman" w:cs="Times New Roman"/>
                <w:sz w:val="24"/>
                <w:szCs w:val="24"/>
                <w:lang w:eastAsia="lv-LV"/>
              </w:rPr>
              <w:t xml:space="preserve">Atbilstoši Direktīvas 1. panta 2. punkta i) apakšpunktam ar terminu </w:t>
            </w:r>
            <w:r w:rsidR="00B103C5" w:rsidRPr="00B103C5">
              <w:rPr>
                <w:rFonts w:ascii="Times New Roman" w:hAnsi="Times New Roman" w:cs="Times New Roman"/>
                <w:sz w:val="24"/>
                <w:szCs w:val="24"/>
              </w:rPr>
              <w:t>"</w:t>
            </w:r>
            <w:r w:rsidRPr="00B103C5">
              <w:rPr>
                <w:rFonts w:ascii="Times New Roman" w:eastAsia="Times New Roman" w:hAnsi="Times New Roman" w:cs="Times New Roman"/>
                <w:sz w:val="24"/>
                <w:szCs w:val="24"/>
                <w:lang w:eastAsia="lv-LV"/>
              </w:rPr>
              <w:t>vadītājs</w:t>
            </w:r>
            <w:r w:rsidR="00B103C5" w:rsidRPr="00B103C5">
              <w:rPr>
                <w:rFonts w:ascii="Times New Roman" w:hAnsi="Times New Roman" w:cs="Times New Roman"/>
                <w:sz w:val="24"/>
                <w:szCs w:val="24"/>
              </w:rPr>
              <w:t>"</w:t>
            </w:r>
            <w:r w:rsidRPr="00B103C5">
              <w:rPr>
                <w:rFonts w:ascii="Times New Roman" w:eastAsia="Times New Roman" w:hAnsi="Times New Roman" w:cs="Times New Roman"/>
                <w:sz w:val="24"/>
                <w:szCs w:val="24"/>
                <w:lang w:eastAsia="lv-LV"/>
              </w:rPr>
              <w:t xml:space="preserve"> Latvijas izpratnē ir saprotams kapitālsabiedrības valdes un padomes loceklis. Attiecībā uz akciju sabiedrībām, kuru akcijas iekļautas regulētajā tirgū, tiek piemēroti gan</w:t>
            </w:r>
            <w:r w:rsidRPr="00D05FAA">
              <w:rPr>
                <w:rFonts w:ascii="Times New Roman" w:eastAsia="Times New Roman" w:hAnsi="Times New Roman" w:cs="Times New Roman"/>
                <w:sz w:val="24"/>
                <w:szCs w:val="24"/>
                <w:lang w:eastAsia="lv-LV"/>
              </w:rPr>
              <w:t xml:space="preserve"> FITL, gan Komerclikuma noteikumi. Komerclikuma 268. panta pirmās daļas 9. un 11. punkts jau šobrīd paredz, ka tikai akcionāru sapulce ir tiesīga paredzēt atlīdzību padomes locekļiem, kā arī noteikt vispārējos principus veidus un kritērijus valdes un padomes locekļu atlīdzības noteikšanai. Līdz ar to, ja akciju sabiedrībā </w:t>
            </w:r>
            <w:r>
              <w:rPr>
                <w:rFonts w:ascii="Times New Roman" w:eastAsia="Times New Roman" w:hAnsi="Times New Roman" w:cs="Times New Roman"/>
                <w:sz w:val="24"/>
                <w:szCs w:val="24"/>
                <w:lang w:eastAsia="lv-LV"/>
              </w:rPr>
              <w:t>tiek</w:t>
            </w:r>
            <w:r w:rsidRPr="00D05FAA">
              <w:rPr>
                <w:rFonts w:ascii="Times New Roman" w:eastAsia="Times New Roman" w:hAnsi="Times New Roman" w:cs="Times New Roman"/>
                <w:sz w:val="24"/>
                <w:szCs w:val="24"/>
                <w:lang w:eastAsia="lv-LV"/>
              </w:rPr>
              <w:t xml:space="preserve"> izstrādāta valdes vai padomes atalgojuma politika, tad tās apstiprināšana jau šobrīd ir akcionāru sapulces kompetencē. Vienlaikus ne Komerclikums, ne FITL neparedz, ka atalgojuma politika būtu obligāti izstrādājama. </w:t>
            </w:r>
            <w:r w:rsidRPr="00D05FAA">
              <w:rPr>
                <w:rFonts w:ascii="Times New Roman" w:hAnsi="Times New Roman" w:cs="Times New Roman"/>
                <w:sz w:val="24"/>
                <w:szCs w:val="24"/>
              </w:rPr>
              <w:t xml:space="preserve">Akciju sabiedrībām, kura akcijas iekļautas regulētajā tirgū, ir pienākums sagatavot paziņojumu par korporatīvo pārvaldību (FITL </w:t>
            </w:r>
            <w:r w:rsidRPr="00D05FAA">
              <w:rPr>
                <w:rFonts w:ascii="Times New Roman" w:hAnsi="Times New Roman" w:cs="Times New Roman"/>
                <w:bCs/>
                <w:sz w:val="24"/>
                <w:szCs w:val="24"/>
              </w:rPr>
              <w:t>56.</w:t>
            </w:r>
            <w:r w:rsidRPr="00D05FAA">
              <w:rPr>
                <w:rFonts w:ascii="Times New Roman" w:hAnsi="Times New Roman" w:cs="Times New Roman"/>
                <w:bCs/>
                <w:sz w:val="24"/>
                <w:szCs w:val="24"/>
                <w:vertAlign w:val="superscript"/>
              </w:rPr>
              <w:t>2</w:t>
            </w:r>
            <w:r>
              <w:rPr>
                <w:rFonts w:ascii="Times New Roman" w:hAnsi="Times New Roman" w:cs="Times New Roman"/>
                <w:bCs/>
                <w:sz w:val="24"/>
                <w:szCs w:val="24"/>
              </w:rPr>
              <w:t> </w:t>
            </w:r>
            <w:r w:rsidRPr="00D05FAA">
              <w:rPr>
                <w:rFonts w:ascii="Times New Roman" w:hAnsi="Times New Roman" w:cs="Times New Roman"/>
                <w:bCs/>
                <w:sz w:val="24"/>
                <w:szCs w:val="24"/>
              </w:rPr>
              <w:t>pants</w:t>
            </w:r>
            <w:r w:rsidRPr="00D05FAA">
              <w:rPr>
                <w:rFonts w:ascii="Times New Roman" w:hAnsi="Times New Roman" w:cs="Times New Roman"/>
                <w:sz w:val="24"/>
                <w:szCs w:val="24"/>
              </w:rPr>
              <w:t xml:space="preserve">), iekļaujot atsauci uz korporatīvās pārvaldības ieteikumiem, kurus akciju sabiedrība piemēro. NASDAQ Korporatīvās pārvaldības </w:t>
            </w:r>
            <w:r w:rsidRPr="00D05FAA">
              <w:rPr>
                <w:rFonts w:ascii="Times New Roman" w:hAnsi="Times New Roman" w:cs="Times New Roman"/>
                <w:color w:val="000000"/>
                <w:sz w:val="24"/>
                <w:szCs w:val="24"/>
              </w:rPr>
              <w:t xml:space="preserve">principi un ieteikumi to ieviešanā paredz akciju sabiedrībai </w:t>
            </w:r>
            <w:r w:rsidR="003E18D3">
              <w:rPr>
                <w:rFonts w:ascii="Times New Roman" w:hAnsi="Times New Roman" w:cs="Times New Roman"/>
                <w:color w:val="000000"/>
                <w:sz w:val="24"/>
                <w:szCs w:val="24"/>
              </w:rPr>
              <w:t>ieteikumu (</w:t>
            </w:r>
            <w:r w:rsidR="004263E7" w:rsidRPr="00B103C5">
              <w:rPr>
                <w:rFonts w:ascii="Times New Roman" w:hAnsi="Times New Roman" w:cs="Times New Roman"/>
                <w:sz w:val="24"/>
                <w:szCs w:val="24"/>
              </w:rPr>
              <w:t>"</w:t>
            </w:r>
            <w:r w:rsidR="003E18D3">
              <w:rPr>
                <w:rFonts w:ascii="Times New Roman" w:hAnsi="Times New Roman" w:cs="Times New Roman"/>
                <w:color w:val="000000"/>
                <w:sz w:val="24"/>
                <w:szCs w:val="24"/>
              </w:rPr>
              <w:t>ievēro vai paskaidro</w:t>
            </w:r>
            <w:r w:rsidR="004263E7" w:rsidRPr="00B103C5">
              <w:rPr>
                <w:rFonts w:ascii="Times New Roman" w:hAnsi="Times New Roman" w:cs="Times New Roman"/>
                <w:sz w:val="24"/>
                <w:szCs w:val="24"/>
              </w:rPr>
              <w:t>"</w:t>
            </w:r>
            <w:r w:rsidR="004263E7">
              <w:rPr>
                <w:rFonts w:ascii="Times New Roman" w:hAnsi="Times New Roman" w:cs="Times New Roman"/>
                <w:sz w:val="24"/>
                <w:szCs w:val="24"/>
              </w:rPr>
              <w:t xml:space="preserve"> princips</w:t>
            </w:r>
            <w:r w:rsidR="003E18D3">
              <w:rPr>
                <w:rFonts w:ascii="Times New Roman" w:hAnsi="Times New Roman" w:cs="Times New Roman"/>
                <w:color w:val="000000"/>
                <w:sz w:val="24"/>
                <w:szCs w:val="24"/>
              </w:rPr>
              <w:t xml:space="preserve">) </w:t>
            </w:r>
            <w:r w:rsidRPr="00D05FAA">
              <w:rPr>
                <w:rFonts w:ascii="Times New Roman" w:hAnsi="Times New Roman" w:cs="Times New Roman"/>
                <w:color w:val="000000"/>
                <w:sz w:val="24"/>
                <w:szCs w:val="24"/>
              </w:rPr>
              <w:t xml:space="preserve">izstrādāt atalgojuma politiku, kurā nosaka valdes un padomes locekļiem piešķiramā atalgojuma vispārējos principus, veidus un kritērijus. Atbilstoši NASDAQ Korporatīvās pārvaldības principiem un ieteikumiem akcionāriem jābūt nodrošinātiem ar skaidru un izsmeļošu pārskatu par akciju sabiedrības pārvaldes institūciju locekļiem piemērojamo atalgojuma politiku. Akciju sabiedrībai </w:t>
            </w:r>
            <w:r w:rsidR="003E18D3">
              <w:rPr>
                <w:rFonts w:ascii="Times New Roman" w:hAnsi="Times New Roman" w:cs="Times New Roman"/>
                <w:color w:val="000000"/>
                <w:sz w:val="24"/>
                <w:szCs w:val="24"/>
              </w:rPr>
              <w:t>būtu ieteicams</w:t>
            </w:r>
            <w:r w:rsidRPr="00D05FAA">
              <w:rPr>
                <w:rFonts w:ascii="Times New Roman" w:hAnsi="Times New Roman" w:cs="Times New Roman"/>
                <w:color w:val="000000"/>
                <w:sz w:val="24"/>
                <w:szCs w:val="24"/>
              </w:rPr>
              <w:t xml:space="preserve"> reizi gadā sagatavot un publiskot atalgojuma ziņojumu. Ja kapitālsabiedrība nepiemēro kādu korporatīvās pārvaldības ieteikumu, tai ir pienākums norādīt pamatojumu šāda principa neievērošanai. </w:t>
            </w:r>
          </w:p>
          <w:p w14:paraId="29EAABD2" w14:textId="7A5F95C0" w:rsidR="00443949" w:rsidRPr="00D05FAA" w:rsidRDefault="00443949" w:rsidP="00443949">
            <w:pPr>
              <w:autoSpaceDE w:val="0"/>
              <w:autoSpaceDN w:val="0"/>
              <w:adjustRightInd w:val="0"/>
              <w:spacing w:after="0" w:line="240" w:lineRule="auto"/>
              <w:ind w:firstLine="284"/>
              <w:jc w:val="both"/>
              <w:rPr>
                <w:rFonts w:ascii="Times New Roman" w:hAnsi="Times New Roman" w:cs="Times New Roman"/>
                <w:color w:val="000000"/>
                <w:sz w:val="24"/>
                <w:szCs w:val="24"/>
              </w:rPr>
            </w:pPr>
            <w:r w:rsidRPr="00D05FAA">
              <w:rPr>
                <w:rFonts w:ascii="Times New Roman" w:hAnsi="Times New Roman" w:cs="Times New Roman"/>
                <w:color w:val="000000"/>
                <w:sz w:val="24"/>
                <w:szCs w:val="24"/>
              </w:rPr>
              <w:t xml:space="preserve">Atbilstoši NASDAQ mājaslapā pieejamai informācijai par emitentu finanšu pārskatiem ir redzams, ka šobrīd tikai dažas akciju sabiedrības pilnībā ievēro NASDAQ Korporatīvās pārvaldības principus attiecībā uz vadītāju atalgojumu. Lielākajai daļai emitentu nav izstrādāta atalgojuma politika vai arī šī informācija ir uzskatāma par konfidenciālu un netiek publiskota. Atbilstoši Gada pārskatu un konsolidēto gada pārskatu likuma 53. panta pirmās daļas 3. punktam arī emitenti finanšu pārskatos publisko tikai </w:t>
            </w:r>
            <w:r w:rsidRPr="00D05FAA">
              <w:rPr>
                <w:rFonts w:ascii="Times New Roman" w:hAnsi="Times New Roman" w:cs="Times New Roman"/>
                <w:color w:val="000000"/>
                <w:sz w:val="24"/>
                <w:szCs w:val="24"/>
              </w:rPr>
              <w:lastRenderedPageBreak/>
              <w:t xml:space="preserve">kopējo atalgojuma apmēru valdes un padomes locekļiem. Šobrīd lielākā daļa emitentu uzskata, ka informācija par katram padomes un valdes loceklim </w:t>
            </w:r>
            <w:r>
              <w:rPr>
                <w:rFonts w:ascii="Times New Roman" w:hAnsi="Times New Roman" w:cs="Times New Roman"/>
                <w:color w:val="000000"/>
                <w:sz w:val="24"/>
                <w:szCs w:val="24"/>
              </w:rPr>
              <w:t xml:space="preserve">individuāli izmaksāto </w:t>
            </w:r>
            <w:r w:rsidRPr="00D05FAA">
              <w:rPr>
                <w:rFonts w:ascii="Times New Roman" w:hAnsi="Times New Roman" w:cs="Times New Roman"/>
                <w:color w:val="000000"/>
                <w:sz w:val="24"/>
                <w:szCs w:val="24"/>
              </w:rPr>
              <w:t>atalgojumu nav atklājama, jo tā ir konfidenciāla.</w:t>
            </w:r>
          </w:p>
          <w:p w14:paraId="4A642CDA" w14:textId="77777777" w:rsidR="00443949" w:rsidRDefault="00443949" w:rsidP="00443949">
            <w:pPr>
              <w:spacing w:after="0" w:line="240" w:lineRule="auto"/>
              <w:ind w:firstLine="284"/>
              <w:jc w:val="both"/>
              <w:rPr>
                <w:rFonts w:ascii="Times New Roman" w:hAnsi="Times New Roman" w:cs="Times New Roman"/>
                <w:color w:val="000000"/>
                <w:sz w:val="24"/>
                <w:szCs w:val="24"/>
              </w:rPr>
            </w:pPr>
            <w:r w:rsidRPr="00D05FAA">
              <w:rPr>
                <w:rFonts w:ascii="Times New Roman" w:hAnsi="Times New Roman" w:cs="Times New Roman"/>
                <w:color w:val="000000"/>
                <w:sz w:val="24"/>
                <w:szCs w:val="24"/>
              </w:rPr>
              <w:t>Projekts paredz, ka akciju sabiedrības, kuras akcijas ir iekļautas regulētajā tirgū, izstrādā, apstiprina un publicē atalgojuma politiku</w:t>
            </w:r>
            <w:r>
              <w:rPr>
                <w:rFonts w:ascii="Times New Roman" w:hAnsi="Times New Roman" w:cs="Times New Roman"/>
                <w:color w:val="000000"/>
                <w:sz w:val="24"/>
                <w:szCs w:val="24"/>
              </w:rPr>
              <w:t xml:space="preserve">, kā arī izstrādā un publicē </w:t>
            </w:r>
            <w:r w:rsidRPr="00D05FAA">
              <w:rPr>
                <w:rFonts w:ascii="Times New Roman" w:hAnsi="Times New Roman" w:cs="Times New Roman"/>
                <w:color w:val="000000"/>
                <w:sz w:val="24"/>
                <w:szCs w:val="24"/>
              </w:rPr>
              <w:t>atalgojuma ziņojumu</w:t>
            </w:r>
            <w:r>
              <w:rPr>
                <w:rFonts w:ascii="Times New Roman" w:hAnsi="Times New Roman" w:cs="Times New Roman"/>
                <w:color w:val="000000"/>
                <w:sz w:val="24"/>
                <w:szCs w:val="24"/>
              </w:rPr>
              <w:t xml:space="preserve">. </w:t>
            </w:r>
            <w:r w:rsidRPr="00D05FAA">
              <w:rPr>
                <w:rFonts w:ascii="Times New Roman" w:hAnsi="Times New Roman" w:cs="Times New Roman"/>
                <w:color w:val="000000"/>
                <w:sz w:val="24"/>
                <w:szCs w:val="24"/>
              </w:rPr>
              <w:t>Atalgojuma ziņojumā ietver detalizētu informāciju par iepriekšējā finanšu gadā katram esošajam un bijušajam valdes un padomes loceklim izmaksāto atlīdzību</w:t>
            </w:r>
            <w:r>
              <w:rPr>
                <w:rFonts w:ascii="Times New Roman" w:hAnsi="Times New Roman" w:cs="Times New Roman"/>
                <w:color w:val="000000"/>
                <w:sz w:val="24"/>
                <w:szCs w:val="24"/>
              </w:rPr>
              <w:t>, piešķirto atlīdzību un atlīdzību, kas pienākas par iepriekšējo finanšu gadu</w:t>
            </w:r>
            <w:r w:rsidRPr="00D05FAA">
              <w:rPr>
                <w:rFonts w:ascii="Times New Roman" w:hAnsi="Times New Roman" w:cs="Times New Roman"/>
                <w:color w:val="000000"/>
                <w:sz w:val="24"/>
                <w:szCs w:val="24"/>
              </w:rPr>
              <w:t>.</w:t>
            </w:r>
            <w:r>
              <w:rPr>
                <w:rFonts w:ascii="Times New Roman" w:hAnsi="Times New Roman" w:cs="Times New Roman"/>
                <w:color w:val="000000"/>
                <w:sz w:val="24"/>
                <w:szCs w:val="24"/>
              </w:rPr>
              <w:t xml:space="preserve"> Atalgojuma politikā ietver visas iespējamās atalgojuma sastāvdaļas valdes un padomes locekļiem. </w:t>
            </w:r>
            <w:r w:rsidRPr="00D05FAA">
              <w:rPr>
                <w:rFonts w:ascii="Times New Roman" w:hAnsi="Times New Roman" w:cs="Times New Roman"/>
                <w:color w:val="000000"/>
                <w:sz w:val="24"/>
                <w:szCs w:val="24"/>
              </w:rPr>
              <w:t xml:space="preserve"> Projekts detalizēti paredz kritērijus, kas obligāti ietverami atalgojuma politikā</w:t>
            </w:r>
            <w:r>
              <w:rPr>
                <w:rFonts w:ascii="Times New Roman" w:hAnsi="Times New Roman" w:cs="Times New Roman"/>
                <w:color w:val="000000"/>
                <w:sz w:val="24"/>
                <w:szCs w:val="24"/>
              </w:rPr>
              <w:t xml:space="preserve"> un atalgojuma ziņojumā</w:t>
            </w:r>
            <w:r w:rsidRPr="00D05FAA">
              <w:rPr>
                <w:rFonts w:ascii="Times New Roman" w:hAnsi="Times New Roman" w:cs="Times New Roman"/>
                <w:color w:val="000000"/>
                <w:sz w:val="24"/>
                <w:szCs w:val="24"/>
              </w:rPr>
              <w:t xml:space="preserve">. </w:t>
            </w:r>
          </w:p>
          <w:p w14:paraId="001990A0" w14:textId="7EBB1125" w:rsidR="00443949" w:rsidRPr="00D05FAA" w:rsidRDefault="00443949" w:rsidP="00443949">
            <w:pPr>
              <w:spacing w:after="0" w:line="240" w:lineRule="auto"/>
              <w:ind w:firstLine="284"/>
              <w:jc w:val="both"/>
              <w:rPr>
                <w:rFonts w:ascii="Times New Roman" w:hAnsi="Times New Roman" w:cs="Times New Roman"/>
                <w:color w:val="000000"/>
                <w:sz w:val="24"/>
                <w:szCs w:val="24"/>
              </w:rPr>
            </w:pPr>
            <w:r w:rsidRPr="00D05FAA">
              <w:rPr>
                <w:rFonts w:ascii="Times New Roman" w:hAnsi="Times New Roman" w:cs="Times New Roman"/>
                <w:color w:val="000000"/>
                <w:sz w:val="24"/>
                <w:szCs w:val="24"/>
              </w:rPr>
              <w:t>Atalgojumu valdes un padomes locekļiem var maksāt tikai atbilstoši atalgojuma politikai. Ja tādas nav, tad atalgojumu var maksāt atbilstoši iepriekšējai akciju sabiedrības praksei. Ja akcionāru sapulce neapstiprina valdes izstrādāto atalgojuma politiku, tad valdei ir pienākums nākamajā akcionāru sapulcē atkal ietvert darba kārtības jautājumu par atalgojuma politikas apstiprināšanu, skaidrojot atalgojuma politikā veiktās izmaiņas. Ja apstiprinātajā atalgojuma politikā ir paredzēta tāda iespēja un ir izpildīti citi kritēriji, tad izņēmuma gadījumos</w:t>
            </w:r>
            <w:r w:rsidR="003E18D3">
              <w:rPr>
                <w:rFonts w:ascii="Times New Roman" w:hAnsi="Times New Roman" w:cs="Times New Roman"/>
                <w:color w:val="000000"/>
                <w:sz w:val="24"/>
                <w:szCs w:val="24"/>
              </w:rPr>
              <w:t xml:space="preserve"> (piemēram, krīzes apstākļos ir jāsamazina atalgojums arī vadītājiem vai arī gluži pretēji par lielāku atalgojumu jāpiesaista īpaši speciālisti krīzes situāciju novēršanai)</w:t>
            </w:r>
            <w:r w:rsidRPr="00D05FAA">
              <w:rPr>
                <w:rFonts w:ascii="Times New Roman" w:hAnsi="Times New Roman" w:cs="Times New Roman"/>
                <w:color w:val="000000"/>
                <w:sz w:val="24"/>
                <w:szCs w:val="24"/>
              </w:rPr>
              <w:t xml:space="preserve"> akciju sabiedrība, sniedzot atbilstošu pamatojumu, var piemērot pagaidu atkāpi no atalgojuma politikas. Tomēr šāds izņēmums ir pieļaujams tikai gadījumos, ja tas atbilst kapitālsabiedrības interesēm. Ikvienu šādu izņēmuma gadījumu ir jāatspoguļo arī atalgojuma ziņojumā.</w:t>
            </w:r>
          </w:p>
          <w:p w14:paraId="6FCDED0A" w14:textId="5F053A3A" w:rsidR="00443949" w:rsidRPr="00D05FAA" w:rsidRDefault="00443949" w:rsidP="00443949">
            <w:pPr>
              <w:spacing w:after="0" w:line="240" w:lineRule="auto"/>
              <w:ind w:firstLine="284"/>
              <w:jc w:val="both"/>
              <w:rPr>
                <w:rFonts w:ascii="Times New Roman" w:hAnsi="Times New Roman" w:cs="Times New Roman"/>
                <w:sz w:val="24"/>
                <w:szCs w:val="24"/>
              </w:rPr>
            </w:pPr>
            <w:r w:rsidRPr="00D05FAA">
              <w:rPr>
                <w:rFonts w:ascii="Times New Roman" w:hAnsi="Times New Roman" w:cs="Times New Roman"/>
                <w:sz w:val="24"/>
                <w:szCs w:val="24"/>
              </w:rPr>
              <w:t xml:space="preserve">Atalgojuma politiku ir jāapstiprina akcionāru sapulcē vismaz reizi četros gados. Šāds pienākums ir arī gadījumā, ja atalgojuma politika </w:t>
            </w:r>
            <w:r w:rsidRPr="00B103C5">
              <w:rPr>
                <w:rFonts w:ascii="Times New Roman" w:hAnsi="Times New Roman" w:cs="Times New Roman"/>
                <w:sz w:val="24"/>
                <w:szCs w:val="24"/>
              </w:rPr>
              <w:t xml:space="preserve">netiek grozīta, proti, nav aizliegts </w:t>
            </w:r>
            <w:r w:rsidR="00B103C5" w:rsidRPr="00B103C5">
              <w:rPr>
                <w:rFonts w:ascii="Times New Roman" w:hAnsi="Times New Roman" w:cs="Times New Roman"/>
                <w:sz w:val="24"/>
                <w:szCs w:val="24"/>
              </w:rPr>
              <w:t>"</w:t>
            </w:r>
            <w:r w:rsidRPr="00B103C5">
              <w:rPr>
                <w:rFonts w:ascii="Times New Roman" w:hAnsi="Times New Roman" w:cs="Times New Roman"/>
                <w:sz w:val="24"/>
                <w:szCs w:val="24"/>
              </w:rPr>
              <w:t>pārapstiprināt</w:t>
            </w:r>
            <w:r w:rsidR="00B103C5" w:rsidRPr="00B103C5">
              <w:rPr>
                <w:rFonts w:ascii="Times New Roman" w:hAnsi="Times New Roman" w:cs="Times New Roman"/>
                <w:sz w:val="24"/>
                <w:szCs w:val="24"/>
              </w:rPr>
              <w:t>"</w:t>
            </w:r>
            <w:r w:rsidRPr="00B103C5">
              <w:rPr>
                <w:rFonts w:ascii="Times New Roman" w:hAnsi="Times New Roman" w:cs="Times New Roman"/>
                <w:sz w:val="24"/>
                <w:szCs w:val="24"/>
              </w:rPr>
              <w:t xml:space="preserve"> atalgojuma politiku tādā pašā redakcijā. Piemēram, ja atalgojuma</w:t>
            </w:r>
            <w:r w:rsidRPr="00D05FAA">
              <w:rPr>
                <w:rFonts w:ascii="Times New Roman" w:hAnsi="Times New Roman" w:cs="Times New Roman"/>
                <w:sz w:val="24"/>
                <w:szCs w:val="24"/>
              </w:rPr>
              <w:t xml:space="preserve"> politika ir apstiprināta 2019. gada 1. novembra akcionāru sapulcē, tad nākamreiz ir jāveic apstiprināšana vismaz līdz 2023. gada 1. novembrim. Publiskojot atalgojuma politiku, norāda arī datumu, kad tika apstiprināta atalgojuma politika. Vienlaikus arī ikviens atalgojuma politikas grozījums ir uzskatāms par atalgojuma politikas apstiprinājumu, kas atkal atjauno četru gadu termiņu. Ja šo četru gadu termiņu neievēro, tad uzskatāms, ka atalgojuma politika nav spēkā un akciju sabiedrīb</w:t>
            </w:r>
            <w:r>
              <w:rPr>
                <w:rFonts w:ascii="Times New Roman" w:hAnsi="Times New Roman" w:cs="Times New Roman"/>
                <w:sz w:val="24"/>
                <w:szCs w:val="24"/>
              </w:rPr>
              <w:t>ai var piemērot</w:t>
            </w:r>
            <w:r w:rsidRPr="00D05FAA">
              <w:rPr>
                <w:rFonts w:ascii="Times New Roman" w:hAnsi="Times New Roman" w:cs="Times New Roman"/>
                <w:sz w:val="24"/>
                <w:szCs w:val="24"/>
              </w:rPr>
              <w:t xml:space="preserve"> sod</w:t>
            </w:r>
            <w:r>
              <w:rPr>
                <w:rFonts w:ascii="Times New Roman" w:hAnsi="Times New Roman" w:cs="Times New Roman"/>
                <w:sz w:val="24"/>
                <w:szCs w:val="24"/>
              </w:rPr>
              <w:t>u</w:t>
            </w:r>
            <w:r w:rsidRPr="00D05FAA">
              <w:rPr>
                <w:rFonts w:ascii="Times New Roman" w:hAnsi="Times New Roman" w:cs="Times New Roman"/>
                <w:sz w:val="24"/>
                <w:szCs w:val="24"/>
              </w:rPr>
              <w:t xml:space="preserve"> FITL paredzētajā kārtībā. </w:t>
            </w:r>
          </w:p>
          <w:p w14:paraId="4A0B8B33" w14:textId="77777777" w:rsidR="00443949" w:rsidRPr="00D05FAA" w:rsidRDefault="00443949" w:rsidP="00443949">
            <w:pPr>
              <w:spacing w:after="0" w:line="240" w:lineRule="auto"/>
              <w:ind w:firstLine="284"/>
              <w:jc w:val="both"/>
              <w:rPr>
                <w:rFonts w:ascii="Times New Roman" w:hAnsi="Times New Roman" w:cs="Times New Roman"/>
                <w:color w:val="000000"/>
                <w:sz w:val="24"/>
                <w:szCs w:val="24"/>
              </w:rPr>
            </w:pPr>
            <w:r w:rsidRPr="00D05FAA">
              <w:rPr>
                <w:rFonts w:ascii="Times New Roman" w:hAnsi="Times New Roman" w:cs="Times New Roman"/>
                <w:color w:val="000000"/>
                <w:sz w:val="24"/>
                <w:szCs w:val="24"/>
              </w:rPr>
              <w:t xml:space="preserve">Projekta regulējums par atalgojuma politiku netiešā veidā ierobežo arī pašas akcionāru sapulces rīcību. Akcionāru sapulce atbilstoši Komerclikuma 286. panta pirmās daļas 9. punktam ir tiesīga noteikt atalgojumu padomes locekļiem. </w:t>
            </w:r>
            <w:r w:rsidRPr="00D05FAA">
              <w:rPr>
                <w:rFonts w:ascii="Times New Roman" w:hAnsi="Times New Roman" w:cs="Times New Roman"/>
                <w:color w:val="000000"/>
                <w:sz w:val="24"/>
                <w:szCs w:val="24"/>
              </w:rPr>
              <w:lastRenderedPageBreak/>
              <w:t>Projekts paredz, ka atlīdzība padomes locekļiem nevar būt pretrunā ar atalgojuma politiku. Līdz ar to, ja akcionāru sapulce padomes loceklim noteiks atlīdzīb</w:t>
            </w:r>
            <w:r>
              <w:rPr>
                <w:rFonts w:ascii="Times New Roman" w:hAnsi="Times New Roman" w:cs="Times New Roman"/>
                <w:color w:val="000000"/>
                <w:sz w:val="24"/>
                <w:szCs w:val="24"/>
              </w:rPr>
              <w:t>u</w:t>
            </w:r>
            <w:r w:rsidRPr="00D05FAA">
              <w:rPr>
                <w:rFonts w:ascii="Times New Roman" w:hAnsi="Times New Roman" w:cs="Times New Roman"/>
                <w:color w:val="000000"/>
                <w:sz w:val="24"/>
                <w:szCs w:val="24"/>
              </w:rPr>
              <w:t xml:space="preserve">, kas neatbildīs atalgojuma politikai (arī politikā paredzētajam izņēmuma gadījumam), tad šāds akcionāru sapulces lēmums atbilstoši Komerclikuma 286. panta pirmās daļas 3. punktam būs prettiesisks. Ja akcionāru sapulce tomēr vēlas paredzēt citādāku atalgojumu padomes locekļiem, tad akcionāru sapulces darba kārtībā ir jāietver </w:t>
            </w:r>
            <w:r>
              <w:rPr>
                <w:rFonts w:ascii="Times New Roman" w:hAnsi="Times New Roman" w:cs="Times New Roman"/>
                <w:color w:val="000000"/>
                <w:sz w:val="24"/>
                <w:szCs w:val="24"/>
              </w:rPr>
              <w:t xml:space="preserve">arī jautājums par atalgojuma politikas grozījumiem </w:t>
            </w:r>
            <w:r w:rsidRPr="00D05FAA">
              <w:rPr>
                <w:rFonts w:ascii="Times New Roman" w:hAnsi="Times New Roman" w:cs="Times New Roman"/>
                <w:color w:val="000000"/>
                <w:sz w:val="24"/>
                <w:szCs w:val="24"/>
              </w:rPr>
              <w:t>un jāpieņem attiecīgi</w:t>
            </w:r>
            <w:r>
              <w:rPr>
                <w:rFonts w:ascii="Times New Roman" w:hAnsi="Times New Roman" w:cs="Times New Roman"/>
                <w:color w:val="000000"/>
                <w:sz w:val="24"/>
                <w:szCs w:val="24"/>
              </w:rPr>
              <w:t xml:space="preserve"> grozījumi</w:t>
            </w:r>
            <w:r w:rsidRPr="00D05FAA">
              <w:rPr>
                <w:rFonts w:ascii="Times New Roman" w:hAnsi="Times New Roman" w:cs="Times New Roman"/>
                <w:color w:val="000000"/>
                <w:sz w:val="24"/>
                <w:szCs w:val="24"/>
              </w:rPr>
              <w:t>.</w:t>
            </w:r>
          </w:p>
          <w:p w14:paraId="37E800AA" w14:textId="73DDB3DD" w:rsidR="00443949" w:rsidRPr="00D05FAA" w:rsidRDefault="00443949" w:rsidP="00443949">
            <w:pPr>
              <w:spacing w:after="0" w:line="240" w:lineRule="auto"/>
              <w:ind w:firstLine="284"/>
              <w:jc w:val="both"/>
              <w:rPr>
                <w:rFonts w:ascii="Times New Roman" w:hAnsi="Times New Roman" w:cs="Times New Roman"/>
                <w:sz w:val="24"/>
                <w:szCs w:val="24"/>
              </w:rPr>
            </w:pPr>
            <w:r w:rsidRPr="00D05FAA">
              <w:rPr>
                <w:rFonts w:ascii="Times New Roman" w:eastAsia="Times New Roman" w:hAnsi="Times New Roman" w:cs="Times New Roman"/>
                <w:sz w:val="24"/>
                <w:szCs w:val="24"/>
                <w:lang w:eastAsia="lv-LV"/>
              </w:rPr>
              <w:t xml:space="preserve">Lai nodrošinātu akcionāriem un potenciālajiem investoriem vieglu piekļuvi atalgojuma politikai un atalgojuma ziņojumam un lai iespējamie ieguldītāji un akcionāri būtu informēti par valdes un padomes locekļu atalgojumu, atalgojuma politika un ziņojums ir jāpublisko. </w:t>
            </w:r>
            <w:r w:rsidRPr="00D05FAA">
              <w:rPr>
                <w:rFonts w:ascii="Times New Roman" w:hAnsi="Times New Roman" w:cs="Times New Roman"/>
                <w:sz w:val="24"/>
                <w:szCs w:val="24"/>
              </w:rPr>
              <w:t xml:space="preserve">Investoram pirms investīciju veikšanas (akciju pirkšanas) ir iespēja apskatīt atalgojuma politiku un ziņojumu un saprast, vai nepastāv risks, ka ir nesamērīgi liels atalgojums vadītājiem, kas varētu </w:t>
            </w:r>
            <w:r w:rsidR="00315E7A" w:rsidRPr="00F50CE9">
              <w:rPr>
                <w:rFonts w:ascii="Times New Roman" w:hAnsi="Times New Roman" w:cs="Times New Roman"/>
                <w:sz w:val="24"/>
                <w:szCs w:val="24"/>
              </w:rPr>
              <w:t>radīt risku investoru tiesību aizs</w:t>
            </w:r>
            <w:r w:rsidR="0007048A" w:rsidRPr="00F50CE9">
              <w:rPr>
                <w:rFonts w:ascii="Times New Roman" w:hAnsi="Times New Roman" w:cs="Times New Roman"/>
                <w:sz w:val="24"/>
                <w:szCs w:val="24"/>
              </w:rPr>
              <w:t>ardzībai vai pat</w:t>
            </w:r>
            <w:r w:rsidR="0007048A">
              <w:rPr>
                <w:rFonts w:ascii="Times New Roman" w:hAnsi="Times New Roman" w:cs="Times New Roman"/>
                <w:sz w:val="24"/>
                <w:szCs w:val="24"/>
              </w:rPr>
              <w:t xml:space="preserve"> </w:t>
            </w:r>
            <w:r w:rsidRPr="00D05FAA">
              <w:rPr>
                <w:rFonts w:ascii="Times New Roman" w:hAnsi="Times New Roman" w:cs="Times New Roman"/>
                <w:sz w:val="24"/>
                <w:szCs w:val="24"/>
              </w:rPr>
              <w:t>liecināt par slēptajām dividendēm. Piemēram, akciju vērtība varētu būt mazāka, ja potenciālie investori savlaicīgi redzētu, ka lielākie akcionāri vienlaikus ir padomē vai valdē un līdzšinējā atalgojuma politika un ziņojums liecina, ka tas varētu būt veids, kā tiek apieta dividenžu izmaksa</w:t>
            </w:r>
            <w:r>
              <w:rPr>
                <w:rFonts w:ascii="Times New Roman" w:hAnsi="Times New Roman" w:cs="Times New Roman"/>
                <w:sz w:val="24"/>
                <w:szCs w:val="24"/>
              </w:rPr>
              <w:t>,</w:t>
            </w:r>
            <w:r w:rsidRPr="00D05FAA">
              <w:rPr>
                <w:rFonts w:ascii="Times New Roman" w:hAnsi="Times New Roman" w:cs="Times New Roman"/>
                <w:sz w:val="24"/>
                <w:szCs w:val="24"/>
              </w:rPr>
              <w:t xml:space="preserve"> </w:t>
            </w:r>
            <w:r>
              <w:rPr>
                <w:rFonts w:ascii="Times New Roman" w:hAnsi="Times New Roman" w:cs="Times New Roman"/>
                <w:sz w:val="24"/>
                <w:szCs w:val="24"/>
              </w:rPr>
              <w:t>p</w:t>
            </w:r>
            <w:r w:rsidRPr="00D05FAA">
              <w:rPr>
                <w:rFonts w:ascii="Times New Roman" w:hAnsi="Times New Roman" w:cs="Times New Roman"/>
                <w:sz w:val="24"/>
                <w:szCs w:val="24"/>
              </w:rPr>
              <w:t>roti, pastāv risks par mazākuma dalībnieku tiesību aizskārumu.</w:t>
            </w:r>
            <w:r w:rsidRPr="008A4A88">
              <w:rPr>
                <w:rFonts w:ascii="Times New Roman" w:eastAsia="Times New Roman" w:hAnsi="Times New Roman" w:cs="Times New Roman"/>
                <w:sz w:val="24"/>
                <w:szCs w:val="24"/>
                <w:lang w:eastAsia="lv-LV"/>
              </w:rPr>
              <w:t xml:space="preserve"> </w:t>
            </w:r>
            <w:r w:rsidRPr="00D05FAA">
              <w:rPr>
                <w:rFonts w:ascii="Times New Roman" w:eastAsia="Times New Roman" w:hAnsi="Times New Roman" w:cs="Times New Roman"/>
                <w:sz w:val="24"/>
                <w:szCs w:val="24"/>
                <w:lang w:eastAsia="lv-LV"/>
              </w:rPr>
              <w:t xml:space="preserve">Direktīva paredz, ka publiskošanas minimālā prasība attiecas uz akciju sabiedrības mājaslapu, tomēr Direktīvas preambulas 32. apsvērums arī paredz iespēju dalībvalstīm noteikt papildu līdzekļus atalgojuma politikas un ziņojuma publiskošanai.  </w:t>
            </w:r>
          </w:p>
          <w:p w14:paraId="5A6E4B21" w14:textId="4F3A5E80" w:rsidR="00443949" w:rsidRDefault="00443949" w:rsidP="00443949">
            <w:pPr>
              <w:autoSpaceDE w:val="0"/>
              <w:autoSpaceDN w:val="0"/>
              <w:adjustRightInd w:val="0"/>
              <w:spacing w:after="0" w:line="240" w:lineRule="auto"/>
              <w:ind w:firstLine="284"/>
              <w:jc w:val="both"/>
              <w:rPr>
                <w:rFonts w:ascii="Times New Roman" w:hAnsi="Times New Roman" w:cs="Times New Roman"/>
                <w:sz w:val="24"/>
                <w:szCs w:val="24"/>
              </w:rPr>
            </w:pPr>
            <w:r w:rsidRPr="00D05FAA">
              <w:rPr>
                <w:rFonts w:ascii="Times New Roman" w:eastAsia="Times New Roman" w:hAnsi="Times New Roman" w:cs="Times New Roman"/>
                <w:sz w:val="24"/>
                <w:szCs w:val="24"/>
                <w:lang w:eastAsia="lv-LV"/>
              </w:rPr>
              <w:t>Projekts paredz, ka atalgojuma politika tiek publiskota akciju sabiedrības mājaslapā</w:t>
            </w:r>
            <w:r>
              <w:rPr>
                <w:rFonts w:ascii="Times New Roman" w:eastAsia="Times New Roman" w:hAnsi="Times New Roman" w:cs="Times New Roman"/>
                <w:sz w:val="24"/>
                <w:szCs w:val="24"/>
                <w:lang w:eastAsia="lv-LV"/>
              </w:rPr>
              <w:t>.</w:t>
            </w:r>
            <w:r w:rsidRPr="00D05FA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Akciju sabiedrības aktuālā atalgojuma politika vienmēr ir bez maksas un publiski pieejama akciju sabiedrības mājaslapā. </w:t>
            </w:r>
            <w:r w:rsidRPr="00D05FAA">
              <w:rPr>
                <w:rFonts w:ascii="Times New Roman" w:hAnsi="Times New Roman" w:cs="Times New Roman"/>
                <w:sz w:val="24"/>
                <w:szCs w:val="24"/>
              </w:rPr>
              <w:t>Vienlaikus ar atalgojuma politiku akciju sabiedrības mājaslapā tiek publiskots arī akcionāru sapulces balsojuma datums un balsojuma rezultāti. Projekts atšķirībā no FITL 54. panta trīspadsmitās daļas paredz, ka par balsojuma rezultātiem vienmēr ir sniedzama plašāka informācija</w:t>
            </w:r>
            <w:r w:rsidR="003F69C2">
              <w:rPr>
                <w:rFonts w:ascii="Times New Roman" w:hAnsi="Times New Roman" w:cs="Times New Roman"/>
                <w:sz w:val="24"/>
                <w:szCs w:val="24"/>
              </w:rPr>
              <w:t xml:space="preserve"> </w:t>
            </w:r>
            <w:r w:rsidR="003F69C2" w:rsidRPr="00F50CE9">
              <w:rPr>
                <w:rFonts w:ascii="Times New Roman" w:hAnsi="Times New Roman" w:cs="Times New Roman"/>
                <w:sz w:val="24"/>
                <w:szCs w:val="24"/>
              </w:rPr>
              <w:t>(</w:t>
            </w:r>
            <w:r w:rsidR="00F50CE9" w:rsidRPr="00F50CE9">
              <w:rPr>
                <w:rFonts w:ascii="Times New Roman" w:hAnsi="Times New Roman" w:cs="Times New Roman"/>
                <w:sz w:val="24"/>
                <w:szCs w:val="24"/>
              </w:rPr>
              <w:t xml:space="preserve">t. sk. </w:t>
            </w:r>
            <w:r w:rsidR="00F50CE9" w:rsidRPr="00B103C5">
              <w:rPr>
                <w:rFonts w:ascii="Times New Roman" w:hAnsi="Times New Roman" w:cs="Times New Roman"/>
                <w:sz w:val="24"/>
                <w:szCs w:val="24"/>
              </w:rPr>
              <w:t xml:space="preserve">balsstiesīgo akciju skaits, nodoto balsu skaits, nodoto </w:t>
            </w:r>
            <w:r w:rsidR="00B103C5" w:rsidRPr="00B103C5">
              <w:rPr>
                <w:rFonts w:ascii="Times New Roman" w:hAnsi="Times New Roman" w:cs="Times New Roman"/>
                <w:sz w:val="24"/>
                <w:szCs w:val="24"/>
              </w:rPr>
              <w:t>"</w:t>
            </w:r>
            <w:r w:rsidR="00F50CE9" w:rsidRPr="00B103C5">
              <w:rPr>
                <w:rFonts w:ascii="Times New Roman" w:hAnsi="Times New Roman" w:cs="Times New Roman"/>
                <w:sz w:val="24"/>
                <w:szCs w:val="24"/>
              </w:rPr>
              <w:t>par</w:t>
            </w:r>
            <w:r w:rsidR="00B103C5" w:rsidRPr="00B103C5">
              <w:rPr>
                <w:rFonts w:ascii="Times New Roman" w:hAnsi="Times New Roman" w:cs="Times New Roman"/>
                <w:sz w:val="24"/>
                <w:szCs w:val="24"/>
              </w:rPr>
              <w:t>"</w:t>
            </w:r>
            <w:r w:rsidR="00F50CE9" w:rsidRPr="00B103C5">
              <w:rPr>
                <w:rFonts w:ascii="Times New Roman" w:hAnsi="Times New Roman" w:cs="Times New Roman"/>
                <w:sz w:val="24"/>
                <w:szCs w:val="24"/>
              </w:rPr>
              <w:t xml:space="preserve"> un </w:t>
            </w:r>
            <w:r w:rsidR="00B103C5" w:rsidRPr="00B103C5">
              <w:rPr>
                <w:rFonts w:ascii="Times New Roman" w:hAnsi="Times New Roman" w:cs="Times New Roman"/>
                <w:sz w:val="24"/>
                <w:szCs w:val="24"/>
              </w:rPr>
              <w:t>"</w:t>
            </w:r>
            <w:r w:rsidR="00F50CE9" w:rsidRPr="00B103C5">
              <w:rPr>
                <w:rFonts w:ascii="Times New Roman" w:hAnsi="Times New Roman" w:cs="Times New Roman"/>
                <w:sz w:val="24"/>
                <w:szCs w:val="24"/>
              </w:rPr>
              <w:t>pret</w:t>
            </w:r>
            <w:r w:rsidR="00B103C5" w:rsidRPr="00B103C5">
              <w:rPr>
                <w:rFonts w:ascii="Times New Roman" w:hAnsi="Times New Roman" w:cs="Times New Roman"/>
                <w:sz w:val="24"/>
                <w:szCs w:val="24"/>
              </w:rPr>
              <w:t>"</w:t>
            </w:r>
            <w:r w:rsidR="00F50CE9" w:rsidRPr="00B103C5">
              <w:rPr>
                <w:rFonts w:ascii="Times New Roman" w:hAnsi="Times New Roman" w:cs="Times New Roman"/>
                <w:sz w:val="24"/>
                <w:szCs w:val="24"/>
              </w:rPr>
              <w:t xml:space="preserve"> balsu skaits)</w:t>
            </w:r>
            <w:r w:rsidRPr="00B103C5">
              <w:rPr>
                <w:rFonts w:ascii="Times New Roman" w:hAnsi="Times New Roman" w:cs="Times New Roman"/>
                <w:sz w:val="24"/>
                <w:szCs w:val="24"/>
              </w:rPr>
              <w:t>, jo šajā gadījumā informācija par balsojuma</w:t>
            </w:r>
            <w:r w:rsidRPr="00D05FAA">
              <w:rPr>
                <w:rFonts w:ascii="Times New Roman" w:hAnsi="Times New Roman" w:cs="Times New Roman"/>
                <w:sz w:val="24"/>
                <w:szCs w:val="24"/>
              </w:rPr>
              <w:t xml:space="preserve"> rezultātiem ir nepieciešama ne tikai esošajiem akcionāriem, bet arī potenciālajiem investoriem.</w:t>
            </w:r>
            <w:r>
              <w:rPr>
                <w:rFonts w:ascii="Times New Roman" w:hAnsi="Times New Roman" w:cs="Times New Roman"/>
                <w:sz w:val="24"/>
                <w:szCs w:val="24"/>
              </w:rPr>
              <w:t xml:space="preserve"> Akciju sabiedrībai nav pienākums mājaslapā publiskot vēsturiskās (neaktuālās) atalgojuma politikas</w:t>
            </w:r>
            <w:r w:rsidR="00D359CA">
              <w:rPr>
                <w:rFonts w:ascii="Times New Roman" w:hAnsi="Times New Roman" w:cs="Times New Roman"/>
                <w:sz w:val="24"/>
                <w:szCs w:val="24"/>
              </w:rPr>
              <w:t xml:space="preserve">, </w:t>
            </w:r>
            <w:r w:rsidR="00D359CA" w:rsidRPr="00F50CE9">
              <w:rPr>
                <w:rFonts w:ascii="Times New Roman" w:hAnsi="Times New Roman" w:cs="Times New Roman"/>
                <w:sz w:val="24"/>
                <w:szCs w:val="24"/>
              </w:rPr>
              <w:t>tomēr tas netiek arī liegts</w:t>
            </w:r>
            <w:r>
              <w:rPr>
                <w:rFonts w:ascii="Times New Roman" w:hAnsi="Times New Roman" w:cs="Times New Roman"/>
                <w:sz w:val="24"/>
                <w:szCs w:val="24"/>
              </w:rPr>
              <w:t>.</w:t>
            </w:r>
          </w:p>
          <w:p w14:paraId="544514DE" w14:textId="2642CA3D" w:rsidR="00443949" w:rsidRPr="00D05FAA" w:rsidRDefault="00443949" w:rsidP="00443949">
            <w:pPr>
              <w:autoSpaceDE w:val="0"/>
              <w:autoSpaceDN w:val="0"/>
              <w:adjustRightInd w:val="0"/>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paredz, ka atalgojuma ziņojums ir bez maksas un publiski pieejams akciju sabiedrības mājaslapā, kā arī</w:t>
            </w:r>
            <w:r w:rsidRPr="00D05FAA">
              <w:rPr>
                <w:rFonts w:ascii="Times New Roman" w:eastAsia="Times New Roman" w:hAnsi="Times New Roman" w:cs="Times New Roman"/>
                <w:sz w:val="24"/>
                <w:szCs w:val="24"/>
                <w:lang w:eastAsia="lv-LV"/>
              </w:rPr>
              <w:t xml:space="preserve"> atalgojuma ziņojums vienlaikus ar </w:t>
            </w:r>
            <w:r w:rsidRPr="00B103C5">
              <w:rPr>
                <w:rFonts w:ascii="Times New Roman" w:eastAsia="Times New Roman" w:hAnsi="Times New Roman" w:cs="Times New Roman"/>
                <w:sz w:val="24"/>
                <w:szCs w:val="24"/>
                <w:lang w:eastAsia="lv-LV"/>
              </w:rPr>
              <w:t xml:space="preserve">gada pārskatu tiek iesniegts Finanšu un kapitāla tirgus komisijai (turpmāk – </w:t>
            </w:r>
            <w:r w:rsidRPr="00B103C5">
              <w:rPr>
                <w:rFonts w:ascii="Times New Roman" w:eastAsia="Times New Roman" w:hAnsi="Times New Roman" w:cs="Times New Roman"/>
                <w:sz w:val="24"/>
                <w:szCs w:val="24"/>
                <w:lang w:eastAsia="lv-LV"/>
              </w:rPr>
              <w:lastRenderedPageBreak/>
              <w:t xml:space="preserve">FKTK) un tiek publiskots arī </w:t>
            </w:r>
            <w:r w:rsidRPr="00B103C5">
              <w:rPr>
                <w:rFonts w:ascii="Times New Roman" w:hAnsi="Times New Roman" w:cs="Times New Roman"/>
                <w:sz w:val="24"/>
                <w:szCs w:val="24"/>
              </w:rPr>
              <w:t xml:space="preserve">oficiālajā regulētās informācijas centralizētās glabāšanas sistēmā </w:t>
            </w:r>
            <w:r w:rsidRPr="00D05FAA">
              <w:rPr>
                <w:rFonts w:ascii="Times New Roman" w:hAnsi="Times New Roman" w:cs="Times New Roman"/>
                <w:sz w:val="24"/>
                <w:szCs w:val="24"/>
              </w:rPr>
              <w:t xml:space="preserve">(turpmāk – ORICGS), kas ir publiski pieejama bez maksas portālā </w:t>
            </w:r>
            <w:hyperlink r:id="rId8" w:history="1">
              <w:r w:rsidRPr="00D05FAA">
                <w:rPr>
                  <w:rStyle w:val="Hipersaite"/>
                  <w:rFonts w:ascii="Times New Roman" w:hAnsi="Times New Roman" w:cs="Times New Roman"/>
                  <w:sz w:val="24"/>
                  <w:szCs w:val="24"/>
                </w:rPr>
                <w:t>www.oricgs.lv</w:t>
              </w:r>
            </w:hyperlink>
            <w:r w:rsidRPr="00D05FAA">
              <w:rPr>
                <w:rFonts w:ascii="Times New Roman" w:hAnsi="Times New Roman" w:cs="Times New Roman"/>
                <w:sz w:val="24"/>
                <w:szCs w:val="24"/>
              </w:rPr>
              <w:t xml:space="preserve">. </w:t>
            </w:r>
            <w:r w:rsidRPr="00D05FAA">
              <w:rPr>
                <w:rFonts w:ascii="Times New Roman" w:eastAsia="Times New Roman" w:hAnsi="Times New Roman" w:cs="Times New Roman"/>
                <w:sz w:val="24"/>
                <w:szCs w:val="24"/>
                <w:lang w:eastAsia="lv-LV"/>
              </w:rPr>
              <w:t>Projekts atbilstoši Direktīvas prasībām paredz, ka atalgojuma ziņojums ir publiski pieejams akciju sabiedrības mājaslapā 10 gadus. Daudzos gadījumos tikai pēc vairākiem gadiem ir iespējams novērtēt, vai piešķirtais atalgojums ir bijis atbilstīgs sabiedrības ilgtermiņa interesēm. Ir arī svarīgi spēt novērtēt valdes un padomes loceklim piešķirto atalgojumu visā laikposmā, kad viņš ir atradies konkrētas akciju sabiedrības valdē vai padomē. Vienlaikus, lai ierobežotu iejaukšanos valdes un padomes locekļu tiesībās uz privātumu un aizsargātu viņu personas datus, sabiedrības nedrīkst publiskot atalgojuma ziņojumā ietvertos personas datus ilgāk nekā 10 gadus. Pēc 10 gadu laikposma akciju sabiedrībai ir jādzēš no atalgojuma ziņojuma visi personas dati vai jāpārtrauc visa atalgojuma ziņojuma publiskošana mājaslapā.</w:t>
            </w:r>
            <w:r w:rsidR="003065DE">
              <w:rPr>
                <w:rFonts w:ascii="Times New Roman" w:eastAsia="Times New Roman" w:hAnsi="Times New Roman" w:cs="Times New Roman"/>
                <w:sz w:val="24"/>
                <w:szCs w:val="24"/>
                <w:lang w:eastAsia="lv-LV"/>
              </w:rPr>
              <w:t xml:space="preserve"> </w:t>
            </w:r>
            <w:r w:rsidR="003065DE" w:rsidRPr="00F50CE9">
              <w:rPr>
                <w:rFonts w:ascii="Times New Roman" w:eastAsia="Times New Roman" w:hAnsi="Times New Roman" w:cs="Times New Roman"/>
                <w:sz w:val="24"/>
                <w:szCs w:val="24"/>
                <w:lang w:eastAsia="lv-LV"/>
              </w:rPr>
              <w:t xml:space="preserve">Tomēr tas neliedz sabiedrībai mājaslapā turpināt publiskot vispārēju informāciju par atalgojumu, </w:t>
            </w:r>
            <w:r w:rsidR="003065DE" w:rsidRPr="00401BD5">
              <w:rPr>
                <w:rFonts w:ascii="Times New Roman" w:eastAsia="Times New Roman" w:hAnsi="Times New Roman" w:cs="Times New Roman"/>
                <w:sz w:val="24"/>
                <w:szCs w:val="24"/>
                <w:lang w:eastAsia="lv-LV"/>
              </w:rPr>
              <w:t xml:space="preserve">kāds ir ticis maksāts vadītājiem </w:t>
            </w:r>
            <w:r w:rsidR="00684A8B" w:rsidRPr="00401BD5">
              <w:rPr>
                <w:rFonts w:ascii="Times New Roman" w:eastAsia="Times New Roman" w:hAnsi="Times New Roman" w:cs="Times New Roman"/>
                <w:sz w:val="24"/>
                <w:szCs w:val="24"/>
                <w:lang w:eastAsia="lv-LV"/>
              </w:rPr>
              <w:t>(neatklājot vadītājus identificējošu informāciju).</w:t>
            </w:r>
          </w:p>
          <w:p w14:paraId="793E675B" w14:textId="65657BE2" w:rsidR="00443949" w:rsidRPr="00D05FAA" w:rsidRDefault="00443949" w:rsidP="00443949">
            <w:pPr>
              <w:spacing w:after="0" w:line="240" w:lineRule="auto"/>
              <w:ind w:firstLine="284"/>
              <w:jc w:val="both"/>
              <w:rPr>
                <w:rFonts w:ascii="Times New Roman" w:hAnsi="Times New Roman" w:cs="Times New Roman"/>
                <w:sz w:val="24"/>
                <w:szCs w:val="24"/>
              </w:rPr>
            </w:pPr>
            <w:r w:rsidRPr="00D05FAA">
              <w:rPr>
                <w:rFonts w:ascii="Times New Roman" w:hAnsi="Times New Roman" w:cs="Times New Roman"/>
                <w:sz w:val="24"/>
                <w:szCs w:val="24"/>
              </w:rPr>
              <w:t xml:space="preserve">Direktīva paredz, ka atalgojuma ziņojums tiek izstrādāts par iepriekšējo finanšu gadu, tiek izskatīts ikgadējā akcionāru sapulcē un to pārbauda revidents. Atbilstoši Komerclikuma 269. pantam kārtējā (ikgadējā) akcionāru sapulce ir tā, kurā pieņem lēmumu par gada pārskatu, kā arī </w:t>
            </w:r>
            <w:r>
              <w:rPr>
                <w:rFonts w:ascii="Times New Roman" w:hAnsi="Times New Roman" w:cs="Times New Roman"/>
                <w:sz w:val="24"/>
                <w:szCs w:val="24"/>
              </w:rPr>
              <w:t xml:space="preserve">atbilstoši Komerclikuma 176. panta pirmajai daļai un Gada pārskatu un konsolidēto gada pārskatu 91. panta pirmajai daļai akciju sabiedrības, kuras akcijas ir iekļautas regulētajā tirgū, </w:t>
            </w:r>
            <w:r w:rsidRPr="00D05FAA">
              <w:rPr>
                <w:rFonts w:ascii="Times New Roman" w:hAnsi="Times New Roman" w:cs="Times New Roman"/>
                <w:sz w:val="24"/>
                <w:szCs w:val="24"/>
              </w:rPr>
              <w:t>gada pārskat</w:t>
            </w:r>
            <w:r>
              <w:rPr>
                <w:rFonts w:ascii="Times New Roman" w:hAnsi="Times New Roman" w:cs="Times New Roman"/>
                <w:sz w:val="24"/>
                <w:szCs w:val="24"/>
              </w:rPr>
              <w:t>u revidē (pārbauda) zvērināts revidents</w:t>
            </w:r>
            <w:r w:rsidRPr="00D05FAA">
              <w:rPr>
                <w:rFonts w:ascii="Times New Roman" w:hAnsi="Times New Roman" w:cs="Times New Roman"/>
                <w:sz w:val="24"/>
                <w:szCs w:val="24"/>
              </w:rPr>
              <w:t xml:space="preserve">. Līdz ar to </w:t>
            </w:r>
            <w:r w:rsidR="00063AB4">
              <w:rPr>
                <w:rFonts w:ascii="Times New Roman" w:hAnsi="Times New Roman" w:cs="Times New Roman"/>
                <w:sz w:val="24"/>
                <w:szCs w:val="24"/>
              </w:rPr>
              <w:t>p</w:t>
            </w:r>
            <w:r w:rsidRPr="00D05FAA">
              <w:rPr>
                <w:rFonts w:ascii="Times New Roman" w:hAnsi="Times New Roman" w:cs="Times New Roman"/>
                <w:sz w:val="24"/>
                <w:szCs w:val="24"/>
              </w:rPr>
              <w:t xml:space="preserve">rojekts paredz atalgojuma ziņojuma izstrādi nesaraujami sasaistīt ar gada pārskata izstrādi, lai </w:t>
            </w:r>
            <w:r>
              <w:rPr>
                <w:rFonts w:ascii="Times New Roman" w:hAnsi="Times New Roman" w:cs="Times New Roman"/>
                <w:sz w:val="24"/>
                <w:szCs w:val="24"/>
              </w:rPr>
              <w:t xml:space="preserve">vienlaikus: </w:t>
            </w:r>
            <w:r w:rsidRPr="00D05FAA">
              <w:rPr>
                <w:rFonts w:ascii="Times New Roman" w:hAnsi="Times New Roman" w:cs="Times New Roman"/>
                <w:sz w:val="24"/>
                <w:szCs w:val="24"/>
              </w:rPr>
              <w:t>izpildītu Direktīvā paredzētās prasības</w:t>
            </w:r>
            <w:r>
              <w:rPr>
                <w:rFonts w:ascii="Times New Roman" w:hAnsi="Times New Roman" w:cs="Times New Roman"/>
                <w:sz w:val="24"/>
                <w:szCs w:val="24"/>
              </w:rPr>
              <w:t>;</w:t>
            </w:r>
            <w:r w:rsidRPr="00D05FAA">
              <w:rPr>
                <w:rFonts w:ascii="Times New Roman" w:hAnsi="Times New Roman" w:cs="Times New Roman"/>
                <w:sz w:val="24"/>
                <w:szCs w:val="24"/>
              </w:rPr>
              <w:t xml:space="preserve"> </w:t>
            </w:r>
            <w:r>
              <w:rPr>
                <w:rFonts w:ascii="Times New Roman" w:hAnsi="Times New Roman" w:cs="Times New Roman"/>
                <w:sz w:val="24"/>
                <w:szCs w:val="24"/>
              </w:rPr>
              <w:t>samazinātu izdevumus un atvieglotu revīzijas veikšanu (</w:t>
            </w:r>
            <w:r w:rsidRPr="00D05FAA">
              <w:rPr>
                <w:rFonts w:ascii="Times New Roman" w:hAnsi="Times New Roman" w:cs="Times New Roman"/>
                <w:sz w:val="24"/>
                <w:szCs w:val="24"/>
              </w:rPr>
              <w:t>atalgojuma ziņojuma un gada pārskata revīziju var veikt viens un tas pats zvērināts revidents</w:t>
            </w:r>
            <w:r>
              <w:rPr>
                <w:rFonts w:ascii="Times New Roman" w:hAnsi="Times New Roman" w:cs="Times New Roman"/>
                <w:sz w:val="24"/>
                <w:szCs w:val="24"/>
              </w:rPr>
              <w:t>);</w:t>
            </w:r>
            <w:r w:rsidRPr="00D05FAA">
              <w:rPr>
                <w:rFonts w:ascii="Times New Roman" w:hAnsi="Times New Roman" w:cs="Times New Roman"/>
                <w:sz w:val="24"/>
                <w:szCs w:val="24"/>
              </w:rPr>
              <w:t xml:space="preserve"> atvieglotu akcionāriem, investoriem un uzraudzības iestādēm vienotu izpratni par atalgojuma ziņojuma izstrādes termiņiem</w:t>
            </w:r>
            <w:r>
              <w:rPr>
                <w:rFonts w:ascii="Times New Roman" w:hAnsi="Times New Roman" w:cs="Times New Roman"/>
                <w:sz w:val="24"/>
                <w:szCs w:val="24"/>
              </w:rPr>
              <w:t>; atvieglotu akcionāriem lēmumu pieņemšanu</w:t>
            </w:r>
            <w:r w:rsidRPr="00D05FAA">
              <w:rPr>
                <w:rFonts w:ascii="Times New Roman" w:hAnsi="Times New Roman" w:cs="Times New Roman"/>
                <w:sz w:val="24"/>
                <w:szCs w:val="24"/>
              </w:rPr>
              <w:t xml:space="preserve"> </w:t>
            </w:r>
            <w:r>
              <w:rPr>
                <w:rFonts w:ascii="Times New Roman" w:hAnsi="Times New Roman" w:cs="Times New Roman"/>
                <w:sz w:val="24"/>
                <w:szCs w:val="24"/>
              </w:rPr>
              <w:t>(</w:t>
            </w:r>
            <w:r w:rsidRPr="00D05FAA">
              <w:rPr>
                <w:rFonts w:ascii="Times New Roman" w:hAnsi="Times New Roman" w:cs="Times New Roman"/>
                <w:sz w:val="24"/>
                <w:szCs w:val="24"/>
              </w:rPr>
              <w:t>izskatīšan</w:t>
            </w:r>
            <w:r>
              <w:rPr>
                <w:rFonts w:ascii="Times New Roman" w:hAnsi="Times New Roman" w:cs="Times New Roman"/>
                <w:sz w:val="24"/>
                <w:szCs w:val="24"/>
              </w:rPr>
              <w:t>a</w:t>
            </w:r>
            <w:r w:rsidRPr="00D05FAA">
              <w:rPr>
                <w:rFonts w:ascii="Times New Roman" w:hAnsi="Times New Roman" w:cs="Times New Roman"/>
                <w:sz w:val="24"/>
                <w:szCs w:val="24"/>
              </w:rPr>
              <w:t xml:space="preserve"> </w:t>
            </w:r>
            <w:r>
              <w:rPr>
                <w:rFonts w:ascii="Times New Roman" w:hAnsi="Times New Roman" w:cs="Times New Roman"/>
                <w:sz w:val="24"/>
                <w:szCs w:val="24"/>
              </w:rPr>
              <w:t xml:space="preserve">kārtējā </w:t>
            </w:r>
            <w:r w:rsidRPr="00D05FAA">
              <w:rPr>
                <w:rFonts w:ascii="Times New Roman" w:hAnsi="Times New Roman" w:cs="Times New Roman"/>
                <w:sz w:val="24"/>
                <w:szCs w:val="24"/>
              </w:rPr>
              <w:t>akcionāru sapulcē</w:t>
            </w:r>
            <w:r>
              <w:rPr>
                <w:rFonts w:ascii="Times New Roman" w:hAnsi="Times New Roman" w:cs="Times New Roman"/>
                <w:sz w:val="24"/>
                <w:szCs w:val="24"/>
              </w:rPr>
              <w:t xml:space="preserve"> vienlaikus ar gada pārskatu)</w:t>
            </w:r>
            <w:r w:rsidRPr="00D05FAA">
              <w:rPr>
                <w:rFonts w:ascii="Times New Roman" w:hAnsi="Times New Roman" w:cs="Times New Roman"/>
                <w:sz w:val="24"/>
                <w:szCs w:val="24"/>
              </w:rPr>
              <w:t xml:space="preserve">. </w:t>
            </w:r>
          </w:p>
          <w:p w14:paraId="6A0FFEAC" w14:textId="380C7183" w:rsidR="00443949" w:rsidRPr="00D05FAA" w:rsidRDefault="00443949" w:rsidP="00443949">
            <w:pPr>
              <w:spacing w:after="0" w:line="240" w:lineRule="auto"/>
              <w:ind w:firstLine="284"/>
              <w:jc w:val="both"/>
              <w:rPr>
                <w:rFonts w:ascii="Times New Roman" w:hAnsi="Times New Roman" w:cs="Times New Roman"/>
                <w:sz w:val="24"/>
                <w:szCs w:val="24"/>
              </w:rPr>
            </w:pPr>
            <w:r w:rsidRPr="00D05FAA">
              <w:rPr>
                <w:rFonts w:ascii="Times New Roman" w:hAnsi="Times New Roman" w:cs="Times New Roman"/>
                <w:sz w:val="24"/>
                <w:szCs w:val="24"/>
              </w:rPr>
              <w:t xml:space="preserve">Projekts papildina FITL 56. panta uzskaitījumu un paredz, ka atalgojuma ziņojums tiek sagatavots kā atsevišķs dokuments </w:t>
            </w:r>
            <w:r>
              <w:rPr>
                <w:rFonts w:ascii="Times New Roman" w:hAnsi="Times New Roman" w:cs="Times New Roman"/>
                <w:sz w:val="24"/>
                <w:szCs w:val="24"/>
              </w:rPr>
              <w:t xml:space="preserve">un </w:t>
            </w:r>
            <w:r w:rsidRPr="00D05FAA">
              <w:rPr>
                <w:rFonts w:ascii="Times New Roman" w:hAnsi="Times New Roman" w:cs="Times New Roman"/>
                <w:sz w:val="24"/>
                <w:szCs w:val="24"/>
              </w:rPr>
              <w:t xml:space="preserve">ir gada pārskata sastāvdaļa FITL izpratnē. Atalgojuma ziņojums </w:t>
            </w:r>
            <w:r>
              <w:rPr>
                <w:rFonts w:ascii="Times New Roman" w:hAnsi="Times New Roman" w:cs="Times New Roman"/>
                <w:sz w:val="24"/>
                <w:szCs w:val="24"/>
              </w:rPr>
              <w:t>nav uzskatāms par</w:t>
            </w:r>
            <w:r w:rsidRPr="00D05FAA">
              <w:rPr>
                <w:rFonts w:ascii="Times New Roman" w:hAnsi="Times New Roman" w:cs="Times New Roman"/>
                <w:sz w:val="24"/>
                <w:szCs w:val="24"/>
              </w:rPr>
              <w:t xml:space="preserve"> gada pārskata sastāvdaļ</w:t>
            </w:r>
            <w:r>
              <w:rPr>
                <w:rFonts w:ascii="Times New Roman" w:hAnsi="Times New Roman" w:cs="Times New Roman"/>
                <w:sz w:val="24"/>
                <w:szCs w:val="24"/>
              </w:rPr>
              <w:t>u</w:t>
            </w:r>
            <w:r w:rsidRPr="00D05FAA">
              <w:rPr>
                <w:rFonts w:ascii="Times New Roman" w:hAnsi="Times New Roman" w:cs="Times New Roman"/>
                <w:sz w:val="24"/>
                <w:szCs w:val="24"/>
              </w:rPr>
              <w:t xml:space="preserve"> Gada pārskatu un konsolidēto gada pārskatu likuma izpratnē. </w:t>
            </w:r>
            <w:r>
              <w:rPr>
                <w:rFonts w:ascii="Times New Roman" w:hAnsi="Times New Roman" w:cs="Times New Roman"/>
                <w:sz w:val="24"/>
                <w:szCs w:val="24"/>
              </w:rPr>
              <w:t>Jau šobrīd</w:t>
            </w:r>
            <w:r w:rsidRPr="00D05FAA">
              <w:rPr>
                <w:rFonts w:ascii="Times New Roman" w:hAnsi="Times New Roman" w:cs="Times New Roman"/>
                <w:sz w:val="24"/>
                <w:szCs w:val="24"/>
              </w:rPr>
              <w:t xml:space="preserve"> informācijas un dokumentu apjoms, kas tiek iesniegts FKTK un Valsts ieņēmumu dienestam saistībā ar gada pārskatu, ir atšķirīgs</w:t>
            </w:r>
            <w:r>
              <w:rPr>
                <w:rFonts w:ascii="Times New Roman" w:hAnsi="Times New Roman" w:cs="Times New Roman"/>
                <w:sz w:val="24"/>
                <w:szCs w:val="24"/>
              </w:rPr>
              <w:t>, jo FKTK var iesniegt tikai revidētu gada pārskatu, bet</w:t>
            </w:r>
            <w:r w:rsidRPr="00D05FAA">
              <w:rPr>
                <w:rFonts w:ascii="Times New Roman" w:hAnsi="Times New Roman" w:cs="Times New Roman"/>
                <w:sz w:val="24"/>
                <w:szCs w:val="24"/>
              </w:rPr>
              <w:t xml:space="preserve"> Valsts ieņēmumu dienestam tiek iesniegts tikai akcionāru sapulcē apstiprināts </w:t>
            </w:r>
            <w:r>
              <w:rPr>
                <w:rFonts w:ascii="Times New Roman" w:hAnsi="Times New Roman" w:cs="Times New Roman"/>
                <w:sz w:val="24"/>
                <w:szCs w:val="24"/>
              </w:rPr>
              <w:t xml:space="preserve">un revidēts </w:t>
            </w:r>
            <w:r w:rsidRPr="00D05FAA">
              <w:rPr>
                <w:rFonts w:ascii="Times New Roman" w:hAnsi="Times New Roman" w:cs="Times New Roman"/>
                <w:sz w:val="24"/>
                <w:szCs w:val="24"/>
              </w:rPr>
              <w:t xml:space="preserve">gada pārskats. </w:t>
            </w:r>
            <w:r>
              <w:rPr>
                <w:rFonts w:ascii="Times New Roman" w:hAnsi="Times New Roman" w:cs="Times New Roman"/>
                <w:sz w:val="24"/>
                <w:szCs w:val="24"/>
              </w:rPr>
              <w:t xml:space="preserve">Atšķiras arī gada </w:t>
            </w:r>
            <w:r>
              <w:rPr>
                <w:rFonts w:ascii="Times New Roman" w:hAnsi="Times New Roman" w:cs="Times New Roman"/>
                <w:sz w:val="24"/>
                <w:szCs w:val="24"/>
              </w:rPr>
              <w:lastRenderedPageBreak/>
              <w:t xml:space="preserve">pārskatu iesniegšanas termiņš. </w:t>
            </w:r>
            <w:r w:rsidRPr="00D05FAA">
              <w:rPr>
                <w:rFonts w:ascii="Times New Roman" w:hAnsi="Times New Roman" w:cs="Times New Roman"/>
                <w:sz w:val="24"/>
                <w:szCs w:val="24"/>
              </w:rPr>
              <w:t xml:space="preserve">Projekts paredz, ka atalgojuma ziņojums ir gada pārskata sastāvdaļa </w:t>
            </w:r>
            <w:r>
              <w:rPr>
                <w:rFonts w:ascii="Times New Roman" w:hAnsi="Times New Roman" w:cs="Times New Roman"/>
                <w:sz w:val="24"/>
                <w:szCs w:val="24"/>
              </w:rPr>
              <w:t xml:space="preserve">tikai </w:t>
            </w:r>
            <w:r w:rsidRPr="00D05FAA">
              <w:rPr>
                <w:rFonts w:ascii="Times New Roman" w:hAnsi="Times New Roman" w:cs="Times New Roman"/>
                <w:sz w:val="24"/>
                <w:szCs w:val="24"/>
              </w:rPr>
              <w:t xml:space="preserve">FITL izpratnē divu iemeslu dēļ. Pirmkārt, lai ievērotu fizisko personas datu aizsardzības prasības. Atalgojuma ziņojumu nevar iesniegt Valsts ieņēmumu dienestam kā gada pārskata sastāvdaļa, jo tas ar Uzņēmumu reģistra starpniecību tiktu publiskots un tehniski un juridiski nebūtu iespējams nodrošināt ietverto fizisko personas datu izslēgšanu pēc Direktīvā un projektā paredzētā 10 gadu termiņa. </w:t>
            </w:r>
            <w:r w:rsidRPr="00D2036B">
              <w:rPr>
                <w:rFonts w:ascii="Times New Roman" w:hAnsi="Times New Roman" w:cs="Times New Roman"/>
                <w:sz w:val="24"/>
                <w:szCs w:val="24"/>
              </w:rPr>
              <w:t>Savukārt ORICGS ir iespējams tehniski un juridiski paredzēt, ka pēc 10 gadu termiņa akciju sabiedrības atalgojuma ziņojums tiek automātiski izslēgts no ORICGS.</w:t>
            </w:r>
            <w:r w:rsidRPr="00D05FAA">
              <w:rPr>
                <w:rFonts w:ascii="Times New Roman" w:hAnsi="Times New Roman" w:cs="Times New Roman"/>
                <w:sz w:val="24"/>
                <w:szCs w:val="24"/>
              </w:rPr>
              <w:t xml:space="preserve"> Otrkārt, Direktīva paredz, ka par atalgojuma ziņojumu notiek tikai “konsultatīvs balsojums”. Proti, akcionāru sapulce nevar noraidīt atalgojuma ziņojumu. Līdz ar to akciju sabiedrība var iesniegt FKTK revidētu atalgojuma ziņojumu kopā ar gada pārskatu vēl pirms tā apstiprināšanas akcionāru sapulcē</w:t>
            </w:r>
            <w:r>
              <w:rPr>
                <w:rFonts w:ascii="Times New Roman" w:hAnsi="Times New Roman" w:cs="Times New Roman"/>
                <w:sz w:val="24"/>
                <w:szCs w:val="24"/>
              </w:rPr>
              <w:t xml:space="preserve">, kas arī vairāk atbilst Direktīvā un </w:t>
            </w:r>
            <w:r w:rsidR="00063AB4">
              <w:rPr>
                <w:rFonts w:ascii="Times New Roman" w:hAnsi="Times New Roman" w:cs="Times New Roman"/>
                <w:sz w:val="24"/>
                <w:szCs w:val="24"/>
              </w:rPr>
              <w:t>p</w:t>
            </w:r>
            <w:r>
              <w:rPr>
                <w:rFonts w:ascii="Times New Roman" w:hAnsi="Times New Roman" w:cs="Times New Roman"/>
                <w:sz w:val="24"/>
                <w:szCs w:val="24"/>
              </w:rPr>
              <w:t xml:space="preserve">rojektā paredzētajiem mērķiem, jo </w:t>
            </w:r>
            <w:r w:rsidR="00A274AD">
              <w:rPr>
                <w:rFonts w:ascii="Times New Roman" w:hAnsi="Times New Roman" w:cs="Times New Roman"/>
                <w:sz w:val="24"/>
                <w:szCs w:val="24"/>
              </w:rPr>
              <w:t xml:space="preserve">akcionāri </w:t>
            </w:r>
            <w:r>
              <w:rPr>
                <w:rFonts w:ascii="Times New Roman" w:hAnsi="Times New Roman" w:cs="Times New Roman"/>
                <w:sz w:val="24"/>
                <w:szCs w:val="24"/>
              </w:rPr>
              <w:t>un potenciālie investori saņem informāciju pēc iespējas ātrāk.</w:t>
            </w:r>
            <w:r w:rsidRPr="00D05FAA">
              <w:rPr>
                <w:rFonts w:ascii="Times New Roman" w:hAnsi="Times New Roman" w:cs="Times New Roman"/>
                <w:sz w:val="24"/>
                <w:szCs w:val="24"/>
              </w:rPr>
              <w:t xml:space="preserve"> </w:t>
            </w:r>
          </w:p>
          <w:p w14:paraId="02AA0CFE" w14:textId="0F84C131" w:rsidR="00443949" w:rsidRPr="00D05FAA" w:rsidRDefault="00443949" w:rsidP="00443949">
            <w:pPr>
              <w:spacing w:after="0" w:line="240" w:lineRule="auto"/>
              <w:ind w:firstLine="284"/>
              <w:jc w:val="both"/>
              <w:rPr>
                <w:rFonts w:ascii="Times New Roman" w:hAnsi="Times New Roman" w:cs="Times New Roman"/>
                <w:sz w:val="24"/>
                <w:szCs w:val="24"/>
              </w:rPr>
            </w:pPr>
            <w:r w:rsidRPr="00D05FAA">
              <w:rPr>
                <w:rFonts w:ascii="Times New Roman" w:hAnsi="Times New Roman" w:cs="Times New Roman"/>
                <w:sz w:val="24"/>
                <w:szCs w:val="24"/>
              </w:rPr>
              <w:t xml:space="preserve">Direktīva paredz, ka par atalgojuma ziņojumu ir nepieciešams </w:t>
            </w:r>
            <w:r w:rsidR="00B103C5" w:rsidRPr="00B103C5">
              <w:rPr>
                <w:rFonts w:ascii="Times New Roman" w:hAnsi="Times New Roman" w:cs="Times New Roman"/>
                <w:sz w:val="24"/>
                <w:szCs w:val="24"/>
              </w:rPr>
              <w:t>"</w:t>
            </w:r>
            <w:r w:rsidRPr="00D05FAA">
              <w:rPr>
                <w:rFonts w:ascii="Times New Roman" w:hAnsi="Times New Roman" w:cs="Times New Roman"/>
                <w:sz w:val="24"/>
                <w:szCs w:val="24"/>
              </w:rPr>
              <w:t>konsultatīvs balsojums</w:t>
            </w:r>
            <w:r w:rsidR="00B103C5" w:rsidRPr="00B103C5">
              <w:rPr>
                <w:rFonts w:ascii="Times New Roman" w:hAnsi="Times New Roman" w:cs="Times New Roman"/>
                <w:sz w:val="24"/>
                <w:szCs w:val="24"/>
              </w:rPr>
              <w:t>"</w:t>
            </w:r>
            <w:r w:rsidRPr="00D05FAA">
              <w:rPr>
                <w:rFonts w:ascii="Times New Roman" w:hAnsi="Times New Roman" w:cs="Times New Roman"/>
                <w:sz w:val="24"/>
                <w:szCs w:val="24"/>
              </w:rPr>
              <w:t xml:space="preserve">, savukārt maziem un vidējiem uzņēmumiem ir jābūt iespējai atalgojuma ziņojumu vismaz apspriest ikgadējā akcionāru sapulcē. Šādu prasību mērķis ir paredzēt, ka akcionāri ir pienācīgi informēti un tiem ir iespēja paust savu viedokli, tomēr akcionāru sapulces negatīvs viedoklis (balsojums) nevar būt šķērslis atalgojuma ziņojuma izstrādei un publiskošanai. Latvijā nepastāv regulējums, kas paredzētu un definētu </w:t>
            </w:r>
            <w:r w:rsidR="00B103C5" w:rsidRPr="00B103C5">
              <w:rPr>
                <w:rFonts w:ascii="Times New Roman" w:hAnsi="Times New Roman" w:cs="Times New Roman"/>
                <w:sz w:val="24"/>
                <w:szCs w:val="24"/>
              </w:rPr>
              <w:t>"</w:t>
            </w:r>
            <w:r w:rsidRPr="00D05FAA">
              <w:rPr>
                <w:rFonts w:ascii="Times New Roman" w:hAnsi="Times New Roman" w:cs="Times New Roman"/>
                <w:sz w:val="24"/>
                <w:szCs w:val="24"/>
              </w:rPr>
              <w:t>konsultatīva balsojuma</w:t>
            </w:r>
            <w:r w:rsidR="00B103C5" w:rsidRPr="00B103C5">
              <w:rPr>
                <w:rFonts w:ascii="Times New Roman" w:hAnsi="Times New Roman" w:cs="Times New Roman"/>
                <w:sz w:val="24"/>
                <w:szCs w:val="24"/>
              </w:rPr>
              <w:t>"</w:t>
            </w:r>
            <w:r w:rsidRPr="00D05FAA">
              <w:rPr>
                <w:rFonts w:ascii="Times New Roman" w:hAnsi="Times New Roman" w:cs="Times New Roman"/>
                <w:sz w:val="24"/>
                <w:szCs w:val="24"/>
              </w:rPr>
              <w:t xml:space="preserve"> izpratni.  </w:t>
            </w:r>
            <w:r w:rsidRPr="00D05FAA">
              <w:rPr>
                <w:rFonts w:ascii="Times New Roman" w:eastAsia="Times New Roman" w:hAnsi="Times New Roman" w:cs="Times New Roman"/>
                <w:sz w:val="24"/>
                <w:szCs w:val="24"/>
                <w:lang w:eastAsia="lv-LV"/>
              </w:rPr>
              <w:t xml:space="preserve">Latvijā ir iespējams iekļaut akcionāru sapulces darba kārtībā jautājumus, par kuriem nenotiek balsošana, bet tos tikai pieņem zināšanai. Par darba kārtībā iekļautiem jautājumiem ikvienam akcionāram ir iespēja saņemt papildu informāciju, uzdot jautājumus un paust savu viedokli. Līdz ar to Direktīvā lietotais termins </w:t>
            </w:r>
            <w:r w:rsidR="00B103C5" w:rsidRPr="00B103C5">
              <w:rPr>
                <w:rFonts w:ascii="Times New Roman" w:hAnsi="Times New Roman" w:cs="Times New Roman"/>
                <w:sz w:val="24"/>
                <w:szCs w:val="24"/>
              </w:rPr>
              <w:t>"</w:t>
            </w:r>
            <w:r w:rsidRPr="00D05FAA">
              <w:rPr>
                <w:rFonts w:ascii="Times New Roman" w:eastAsia="Times New Roman" w:hAnsi="Times New Roman" w:cs="Times New Roman"/>
                <w:sz w:val="24"/>
                <w:szCs w:val="24"/>
                <w:lang w:eastAsia="lv-LV"/>
              </w:rPr>
              <w:t>konsultatīvs balsojums</w:t>
            </w:r>
            <w:r w:rsidR="00B103C5" w:rsidRPr="00B103C5">
              <w:rPr>
                <w:rFonts w:ascii="Times New Roman" w:hAnsi="Times New Roman" w:cs="Times New Roman"/>
                <w:sz w:val="24"/>
                <w:szCs w:val="24"/>
              </w:rPr>
              <w:t>"</w:t>
            </w:r>
            <w:r w:rsidRPr="00D05FAA">
              <w:rPr>
                <w:rFonts w:ascii="Times New Roman" w:eastAsia="Times New Roman" w:hAnsi="Times New Roman" w:cs="Times New Roman"/>
                <w:sz w:val="24"/>
                <w:szCs w:val="24"/>
                <w:lang w:eastAsia="lv-LV"/>
              </w:rPr>
              <w:t xml:space="preserve"> Latvijas regulējuma izpratnē faktiski nozīmē, ka konkrētais jautājums tiek iekļauts akcionāru sapulces darba kārtībā un tiek izskatīts akcionāru sapulcē. </w:t>
            </w:r>
            <w:r w:rsidRPr="00D05FAA">
              <w:rPr>
                <w:rFonts w:ascii="Times New Roman" w:hAnsi="Times New Roman" w:cs="Times New Roman"/>
                <w:sz w:val="24"/>
                <w:szCs w:val="24"/>
              </w:rPr>
              <w:t xml:space="preserve">Arī komerctiesību eksperti projekta izstrādes gaitā atzina, ka par atalgojuma ziņojumu nav nepieciešams paredzēt atsevišķu balsojumu, jo balso par visu gada pārskatu (kopā ar pielikumiem) kopumā. Ja akcionāri vēlēsies īpaši diskutēt par atalgojuma ziņojumu, tad tas jau tāpat ir iespējams atbilstoši Komerclikuma vispārējam regulējumam, kā arī ir iespēja paust akcionāru viedokli un nostāju arī balsojuma veidā, vai pievienojot savus iebildumus protokolam. Akcionāru sapulces balsojums, ja tāds ir, neietekmē (balsojums ir tikai </w:t>
            </w:r>
            <w:r w:rsidR="00B103C5" w:rsidRPr="00B103C5">
              <w:rPr>
                <w:rFonts w:ascii="Times New Roman" w:hAnsi="Times New Roman" w:cs="Times New Roman"/>
                <w:sz w:val="24"/>
                <w:szCs w:val="24"/>
              </w:rPr>
              <w:t>"</w:t>
            </w:r>
            <w:r w:rsidRPr="00D05FAA">
              <w:rPr>
                <w:rFonts w:ascii="Times New Roman" w:hAnsi="Times New Roman" w:cs="Times New Roman"/>
                <w:sz w:val="24"/>
                <w:szCs w:val="24"/>
              </w:rPr>
              <w:t>konsultatīvs</w:t>
            </w:r>
            <w:r w:rsidR="00B103C5" w:rsidRPr="00B103C5">
              <w:rPr>
                <w:rFonts w:ascii="Times New Roman" w:hAnsi="Times New Roman" w:cs="Times New Roman"/>
                <w:sz w:val="24"/>
                <w:szCs w:val="24"/>
              </w:rPr>
              <w:t>"</w:t>
            </w:r>
            <w:r w:rsidRPr="00D05FAA">
              <w:rPr>
                <w:rFonts w:ascii="Times New Roman" w:hAnsi="Times New Roman" w:cs="Times New Roman"/>
                <w:sz w:val="24"/>
                <w:szCs w:val="24"/>
              </w:rPr>
              <w:t xml:space="preserve">) arī atalgojuma ziņojuma publiskošanu, jo akciju sabiedrība revidēto atalgojuma ziņojumu kopā ar gada pārskatu var publiskot ORICGS pirms akcionāru </w:t>
            </w:r>
            <w:r w:rsidRPr="00D05FAA">
              <w:rPr>
                <w:rFonts w:ascii="Times New Roman" w:hAnsi="Times New Roman" w:cs="Times New Roman"/>
                <w:sz w:val="24"/>
                <w:szCs w:val="24"/>
              </w:rPr>
              <w:lastRenderedPageBreak/>
              <w:t>sapulces balsojuma (FKTK tiek iesniegts revidētais gada pārskats, nevis akcionāru sapulces apstiprinātais). Savukārt akciju sabiedrība savā mājaslapā atalgojuma ziņojumu publisko kā atsevišķu dokumentu ne vēlāk kā pēc akcionāru sapulces neatkarīgi no tā, vai akcionāri ir pauduši iebildumus un vai kopumā gada pārskats tika apstiprināts.</w:t>
            </w:r>
          </w:p>
          <w:p w14:paraId="50C10D17" w14:textId="3A0E6CC3" w:rsidR="00443949" w:rsidRPr="00D05FAA" w:rsidRDefault="00443949" w:rsidP="00443949">
            <w:pPr>
              <w:spacing w:after="0" w:line="240" w:lineRule="auto"/>
              <w:ind w:firstLine="284"/>
              <w:jc w:val="both"/>
              <w:rPr>
                <w:rFonts w:ascii="Times New Roman" w:hAnsi="Times New Roman" w:cs="Times New Roman"/>
                <w:sz w:val="24"/>
                <w:szCs w:val="24"/>
              </w:rPr>
            </w:pPr>
            <w:r w:rsidRPr="00D05FAA">
              <w:rPr>
                <w:rFonts w:ascii="Times New Roman" w:hAnsi="Times New Roman" w:cs="Times New Roman"/>
                <w:sz w:val="24"/>
                <w:szCs w:val="24"/>
              </w:rPr>
              <w:t xml:space="preserve">Projekts paredz, ka FKTK var noteikt sodus akciju sabiedrībai tikai par </w:t>
            </w:r>
            <w:r w:rsidR="00983B4A" w:rsidRPr="00F50CE9">
              <w:rPr>
                <w:rFonts w:ascii="Times New Roman" w:hAnsi="Times New Roman" w:cs="Times New Roman"/>
                <w:sz w:val="24"/>
                <w:szCs w:val="24"/>
              </w:rPr>
              <w:t>objektīvi</w:t>
            </w:r>
            <w:r w:rsidR="00983B4A" w:rsidRPr="00D05FAA">
              <w:rPr>
                <w:rFonts w:ascii="Times New Roman" w:hAnsi="Times New Roman" w:cs="Times New Roman"/>
                <w:sz w:val="24"/>
                <w:szCs w:val="24"/>
              </w:rPr>
              <w:t xml:space="preserve"> </w:t>
            </w:r>
            <w:r w:rsidRPr="00D05FAA">
              <w:rPr>
                <w:rFonts w:ascii="Times New Roman" w:hAnsi="Times New Roman" w:cs="Times New Roman"/>
                <w:sz w:val="24"/>
                <w:szCs w:val="24"/>
              </w:rPr>
              <w:t xml:space="preserve">konstatējamiem faktiem – atalgojuma politika vai atalgojuma ziņojums nav publiskots </w:t>
            </w:r>
            <w:r w:rsidR="00063AB4">
              <w:rPr>
                <w:rFonts w:ascii="Times New Roman" w:hAnsi="Times New Roman" w:cs="Times New Roman"/>
                <w:sz w:val="24"/>
                <w:szCs w:val="24"/>
              </w:rPr>
              <w:t>p</w:t>
            </w:r>
            <w:r w:rsidRPr="00D05FAA">
              <w:rPr>
                <w:rFonts w:ascii="Times New Roman" w:hAnsi="Times New Roman" w:cs="Times New Roman"/>
                <w:sz w:val="24"/>
                <w:szCs w:val="24"/>
              </w:rPr>
              <w:t>rojektā paredzētajā kārtībā. Projekts paredz, ka FKTK piemēros sodu tikai pašai akciju sabiedrībai, jo FKTK bez tiesvedības procesa nav iespējams viennozīmīgi konstatēt, vai par atalgojuma politikas vai ziņojuma publiskošanas pārkāpumiem ir vainojama valde, padome, akcionāru sapulce, zvērināts revidents vai pastāv citi iemesli. Vienlaikus akciju sabiedrībai būs iespēja vērst regresa prasību (piemērotā soda apmērā), ja par atalgojuma politikas vai ziņojuma nesagatavošanu ir vainojami valdes locekļi vai citas personas. FKTK nevērtēs iespējamos privāttiesiskus strīdus starp akciju sabiedrību un tās akcionāriem vai citām ieinteresētajām personām saistībā ar atalgojuma politikas vai ziņojuma kvalitāti</w:t>
            </w:r>
            <w:r w:rsidR="009D60E2">
              <w:rPr>
                <w:rFonts w:ascii="Times New Roman" w:hAnsi="Times New Roman" w:cs="Times New Roman"/>
                <w:sz w:val="24"/>
                <w:szCs w:val="24"/>
              </w:rPr>
              <w:t xml:space="preserve"> </w:t>
            </w:r>
            <w:r w:rsidR="009D60E2" w:rsidRPr="00F50CE9">
              <w:rPr>
                <w:rFonts w:ascii="Times New Roman" w:hAnsi="Times New Roman" w:cs="Times New Roman"/>
                <w:sz w:val="24"/>
                <w:szCs w:val="24"/>
              </w:rPr>
              <w:t>un saturu</w:t>
            </w:r>
            <w:r w:rsidRPr="00D05FAA">
              <w:rPr>
                <w:rFonts w:ascii="Times New Roman" w:hAnsi="Times New Roman" w:cs="Times New Roman"/>
                <w:sz w:val="24"/>
                <w:szCs w:val="24"/>
              </w:rPr>
              <w:t xml:space="preserve">. Turklāt gan </w:t>
            </w:r>
            <w:r w:rsidR="00063AB4">
              <w:rPr>
                <w:rFonts w:ascii="Times New Roman" w:hAnsi="Times New Roman" w:cs="Times New Roman"/>
                <w:sz w:val="24"/>
                <w:szCs w:val="24"/>
              </w:rPr>
              <w:t>p</w:t>
            </w:r>
            <w:r w:rsidRPr="00D05FAA">
              <w:rPr>
                <w:rFonts w:ascii="Times New Roman" w:hAnsi="Times New Roman" w:cs="Times New Roman"/>
                <w:sz w:val="24"/>
                <w:szCs w:val="24"/>
              </w:rPr>
              <w:t>rojekts, gan vispārējais Komerclikuma regulējums jau paredz citus aizsardzības līdzekļus un mehānismus atalgojuma politikas un ziņojuma kvalitātes kontrolei.</w:t>
            </w:r>
          </w:p>
          <w:p w14:paraId="19201AA1" w14:textId="77777777" w:rsidR="00443949" w:rsidRPr="00D05FAA" w:rsidRDefault="00443949" w:rsidP="00443949">
            <w:pPr>
              <w:spacing w:after="0" w:line="240" w:lineRule="auto"/>
              <w:ind w:firstLine="284"/>
              <w:jc w:val="both"/>
              <w:rPr>
                <w:rFonts w:ascii="Times New Roman" w:hAnsi="Times New Roman" w:cs="Times New Roman"/>
                <w:sz w:val="24"/>
                <w:szCs w:val="24"/>
              </w:rPr>
            </w:pPr>
            <w:r w:rsidRPr="00D05FAA">
              <w:rPr>
                <w:rFonts w:ascii="Times New Roman" w:hAnsi="Times New Roman" w:cs="Times New Roman"/>
                <w:sz w:val="24"/>
                <w:szCs w:val="24"/>
              </w:rPr>
              <w:t>Atalgojuma politikas izstrāde primāri ir valdes pienākums, jo valde ir vienīgā institūcija, kurai ir visa nepieciešamā informācija, lai ņemtu vērā visus kritērijus un izstrādātu kvalitatīvu atalgojuma politiku. Atbilstoši Komerclikuma 292. panta pirmās daļas 6. punktam arī padome sniedz savu viedokli (atzinumu) par valdes izstrādāto atalgojuma politiku, t. sk. kontrolē, lai atalgojuma politika būtu skaidra un saprotam</w:t>
            </w:r>
            <w:r>
              <w:rPr>
                <w:rFonts w:ascii="Times New Roman" w:hAnsi="Times New Roman" w:cs="Times New Roman"/>
                <w:sz w:val="24"/>
                <w:szCs w:val="24"/>
              </w:rPr>
              <w:t>a</w:t>
            </w:r>
            <w:r w:rsidRPr="00D05FAA">
              <w:rPr>
                <w:rFonts w:ascii="Times New Roman" w:hAnsi="Times New Roman" w:cs="Times New Roman"/>
                <w:sz w:val="24"/>
                <w:szCs w:val="24"/>
              </w:rPr>
              <w:t xml:space="preserve"> un atbilstu kapitālsabiedrības interesēm. Savukārt atbilstoši Komerclikuma 283. pantam akcionāriem ir tiesības akcionāru sapulces laikā uzdot jautājumus par atalgojuma politiku, kā arī akcionāri var neapstiprināt atalgojuma politiku un likt pārstrādāt, ja atalgojuma politika ir izstrādāta nekvalitatīvi vai neatbilst kapitālsabiedrības interesēm. Pārstrādātajā atalgojuma politik</w:t>
            </w:r>
            <w:r>
              <w:rPr>
                <w:rFonts w:ascii="Times New Roman" w:hAnsi="Times New Roman" w:cs="Times New Roman"/>
                <w:sz w:val="24"/>
                <w:szCs w:val="24"/>
              </w:rPr>
              <w:t>ā</w:t>
            </w:r>
            <w:r w:rsidRPr="00D05FAA">
              <w:rPr>
                <w:rFonts w:ascii="Times New Roman" w:hAnsi="Times New Roman" w:cs="Times New Roman"/>
                <w:sz w:val="24"/>
                <w:szCs w:val="24"/>
              </w:rPr>
              <w:t xml:space="preserve"> arī skaidro, kā ir ņemti vērā akcionāru viedokļi. Nepieciešamības gadījumā akcionāri vai valde atbilstoši Komerclikuma 285. panta pirmās daļas 7. punktam un 287. panta pirmās daļas 2. punktam var lūgt akcionāru iebildumus vai atšķirīgos viedokļus norādīt arī akcionāru sapulces protokolā, lai būtu nepārprotami skaidrs, kādi aspekti atalgojuma politikā ir pārstrādājami.</w:t>
            </w:r>
          </w:p>
          <w:p w14:paraId="7FAA52D9" w14:textId="051952AF" w:rsidR="00443949" w:rsidRPr="00D05FAA" w:rsidRDefault="00443949" w:rsidP="00443949">
            <w:pPr>
              <w:spacing w:after="0" w:line="240" w:lineRule="auto"/>
              <w:ind w:firstLine="284"/>
              <w:jc w:val="both"/>
              <w:rPr>
                <w:rFonts w:ascii="Times New Roman" w:hAnsi="Times New Roman" w:cs="Times New Roman"/>
                <w:sz w:val="24"/>
                <w:szCs w:val="24"/>
              </w:rPr>
            </w:pPr>
            <w:r w:rsidRPr="00D05FAA">
              <w:rPr>
                <w:rFonts w:ascii="Times New Roman" w:eastAsia="Times New Roman" w:hAnsi="Times New Roman" w:cs="Times New Roman"/>
                <w:sz w:val="24"/>
                <w:szCs w:val="24"/>
                <w:lang w:eastAsia="lv-LV"/>
              </w:rPr>
              <w:t xml:space="preserve">Atalgojuma ziņojuma izstrāde ir valdes pienākums, jo </w:t>
            </w:r>
            <w:r w:rsidRPr="00D05FAA">
              <w:rPr>
                <w:rFonts w:ascii="Times New Roman" w:hAnsi="Times New Roman" w:cs="Times New Roman"/>
                <w:sz w:val="24"/>
                <w:szCs w:val="24"/>
              </w:rPr>
              <w:t xml:space="preserve">valde ir vienīgā institūcija, kurai ir visa nepieciešamā informācija atalgojuma ziņojuma sagatavošanai. Atbilstoši Komerclikuma 174. pantam un 292. panta pirmās daļas </w:t>
            </w:r>
            <w:r w:rsidRPr="00D05FAA">
              <w:rPr>
                <w:rFonts w:ascii="Times New Roman" w:hAnsi="Times New Roman" w:cs="Times New Roman"/>
                <w:sz w:val="24"/>
                <w:szCs w:val="24"/>
              </w:rPr>
              <w:lastRenderedPageBreak/>
              <w:t xml:space="preserve">6. punktam viedokli par atalgojuma ziņojumu pauž arī padome, kā arī finanšu datu pareizību pārbauda zvērināts revidents. Akcionāri var vērsties pret akciju sabiedrību vai tās valdi, ja atalgojuma politikā vai ziņojumā ietvertā informācija faktiski neatbilst patiesībai vai arī tā ir izstrādāta nekvalitatīvi vai neatbilstoši </w:t>
            </w:r>
            <w:r w:rsidR="00063AB4">
              <w:rPr>
                <w:rFonts w:ascii="Times New Roman" w:hAnsi="Times New Roman" w:cs="Times New Roman"/>
                <w:sz w:val="24"/>
                <w:szCs w:val="24"/>
              </w:rPr>
              <w:t>p</w:t>
            </w:r>
            <w:r w:rsidRPr="00D05FAA">
              <w:rPr>
                <w:rFonts w:ascii="Times New Roman" w:hAnsi="Times New Roman" w:cs="Times New Roman"/>
                <w:sz w:val="24"/>
                <w:szCs w:val="24"/>
              </w:rPr>
              <w:t>rojektā paredzētajām prasībām. Vienlaikus atalgojuma politikā un ziņojumā ietvertā informācija un tās kvalitāte var iespaidot esošo un potenciālo investoru attieksmi pret kapitālsabiedrību un investīciju politiku, kas ilgtermiņā atspoguļojas akciju sabiedrības un tās akciju tirgus vērtībā. Savukārt Direktīva paredz, ka Eiropas Komisija izstrādās pamatnostādnes (nesaistošas vadlīnijas), lai skaidrotu atalgojuma ziņojumā ietveramo informāciju. Šīs pamatnostādnes varētu palīdzēt akciju sabiedrībām izstrādāt kvalitatīvu atalgojuma politiku un ziņojumu.</w:t>
            </w:r>
          </w:p>
          <w:p w14:paraId="44395029" w14:textId="6BE293D3" w:rsidR="00443949" w:rsidRPr="001173D3" w:rsidRDefault="00443949" w:rsidP="00443949">
            <w:pPr>
              <w:spacing w:after="0" w:line="240" w:lineRule="auto"/>
              <w:ind w:firstLine="284"/>
              <w:jc w:val="both"/>
              <w:rPr>
                <w:rFonts w:ascii="Times New Roman" w:eastAsia="Times New Roman" w:hAnsi="Times New Roman" w:cs="Times New Roman"/>
                <w:sz w:val="24"/>
                <w:szCs w:val="24"/>
                <w:lang w:eastAsia="lv-LV"/>
              </w:rPr>
            </w:pPr>
            <w:r w:rsidRPr="00E8622A">
              <w:rPr>
                <w:rFonts w:ascii="Times New Roman" w:eastAsia="Times New Roman" w:hAnsi="Times New Roman" w:cs="Times New Roman"/>
                <w:sz w:val="24"/>
                <w:szCs w:val="24"/>
                <w:lang w:eastAsia="lv-LV"/>
              </w:rPr>
              <w:t xml:space="preserve">Projekta pārejas noteikumi paredz, ka atalgojuma politika ir jāizstrādā, jāapstiprina un jāpublisko ne vēlāk kā līdz noteiktajam termiņam. Ja akcionāru sapulcē tiek izskatīts šis jautājums, tomēr atalgojuma politika netiek apstiprināta, tad valdei būs pienākums nākamajā akcionāru sapulcē iesniegt pārskatītu atalgojuma politiku. Proti, pēc minētā termiņa visām akciju sabiedrībām, </w:t>
            </w:r>
            <w:r w:rsidR="00072CA6" w:rsidRPr="00E8622A">
              <w:rPr>
                <w:rFonts w:ascii="Times New Roman" w:eastAsia="Times New Roman" w:hAnsi="Times New Roman" w:cs="Times New Roman"/>
                <w:sz w:val="24"/>
                <w:szCs w:val="24"/>
                <w:lang w:eastAsia="lv-LV"/>
              </w:rPr>
              <w:t>kur</w:t>
            </w:r>
            <w:r w:rsidR="00072CA6">
              <w:rPr>
                <w:rFonts w:ascii="Times New Roman" w:eastAsia="Times New Roman" w:hAnsi="Times New Roman" w:cs="Times New Roman"/>
                <w:sz w:val="24"/>
                <w:szCs w:val="24"/>
                <w:lang w:eastAsia="lv-LV"/>
              </w:rPr>
              <w:t>u</w:t>
            </w:r>
            <w:r w:rsidR="00072CA6" w:rsidRPr="00E8622A">
              <w:rPr>
                <w:rFonts w:ascii="Times New Roman" w:eastAsia="Times New Roman" w:hAnsi="Times New Roman" w:cs="Times New Roman"/>
                <w:sz w:val="24"/>
                <w:szCs w:val="24"/>
                <w:lang w:eastAsia="lv-LV"/>
              </w:rPr>
              <w:t xml:space="preserve"> </w:t>
            </w:r>
            <w:r w:rsidRPr="00E8622A">
              <w:rPr>
                <w:rFonts w:ascii="Times New Roman" w:eastAsia="Times New Roman" w:hAnsi="Times New Roman" w:cs="Times New Roman"/>
                <w:sz w:val="24"/>
                <w:szCs w:val="24"/>
                <w:lang w:eastAsia="lv-LV"/>
              </w:rPr>
              <w:t xml:space="preserve">akcijas ir iekļautas regulētajā tirgū, ir jābūt mājaslapā publiskotai aktuālajai atalgojuma </w:t>
            </w:r>
            <w:r w:rsidRPr="001173D3">
              <w:rPr>
                <w:rFonts w:ascii="Times New Roman" w:eastAsia="Times New Roman" w:hAnsi="Times New Roman" w:cs="Times New Roman"/>
                <w:sz w:val="24"/>
                <w:szCs w:val="24"/>
                <w:lang w:eastAsia="lv-LV"/>
              </w:rPr>
              <w:t>politikai.</w:t>
            </w:r>
          </w:p>
          <w:p w14:paraId="65C4FC26" w14:textId="552E1829" w:rsidR="00443949" w:rsidRPr="001173D3" w:rsidRDefault="00443949" w:rsidP="00443949">
            <w:pPr>
              <w:spacing w:after="0" w:line="240" w:lineRule="auto"/>
              <w:ind w:firstLine="284"/>
              <w:jc w:val="both"/>
              <w:rPr>
                <w:rFonts w:ascii="Times New Roman" w:eastAsia="Times New Roman" w:hAnsi="Times New Roman" w:cs="Times New Roman"/>
                <w:sz w:val="24"/>
                <w:szCs w:val="24"/>
                <w:lang w:eastAsia="lv-LV"/>
              </w:rPr>
            </w:pPr>
            <w:r w:rsidRPr="001173D3">
              <w:rPr>
                <w:rFonts w:ascii="Times New Roman" w:eastAsia="Times New Roman" w:hAnsi="Times New Roman" w:cs="Times New Roman"/>
                <w:sz w:val="24"/>
                <w:szCs w:val="24"/>
                <w:lang w:eastAsia="lv-LV"/>
              </w:rPr>
              <w:t xml:space="preserve">Projekts paredz, ka </w:t>
            </w:r>
            <w:bookmarkStart w:id="1" w:name="_Hlk526766386"/>
            <w:r w:rsidRPr="001173D3">
              <w:rPr>
                <w:rFonts w:ascii="Times New Roman" w:eastAsia="Times New Roman" w:hAnsi="Times New Roman" w:cs="Times New Roman"/>
                <w:sz w:val="24"/>
                <w:szCs w:val="24"/>
                <w:lang w:eastAsia="lv-LV"/>
              </w:rPr>
              <w:t xml:space="preserve">akciju sabiedrībai būs pienākums izstrādāt atalgojuma ziņojumu par to finanšu gadu, kas </w:t>
            </w:r>
            <w:r w:rsidR="00E8622A" w:rsidRPr="001173D3">
              <w:rPr>
                <w:rFonts w:ascii="Times New Roman" w:eastAsia="Times New Roman" w:hAnsi="Times New Roman" w:cs="Times New Roman"/>
                <w:sz w:val="24"/>
                <w:szCs w:val="24"/>
                <w:lang w:eastAsia="lv-LV"/>
              </w:rPr>
              <w:t>sāksies pēc</w:t>
            </w:r>
            <w:r w:rsidRPr="001173D3">
              <w:rPr>
                <w:rFonts w:ascii="Times New Roman" w:eastAsia="Times New Roman" w:hAnsi="Times New Roman" w:cs="Times New Roman"/>
                <w:sz w:val="24"/>
                <w:szCs w:val="24"/>
                <w:lang w:eastAsia="lv-LV"/>
              </w:rPr>
              <w:t xml:space="preserve"> </w:t>
            </w:r>
            <w:r w:rsidR="00063AB4">
              <w:rPr>
                <w:rFonts w:ascii="Times New Roman" w:eastAsia="Times New Roman" w:hAnsi="Times New Roman" w:cs="Times New Roman"/>
                <w:sz w:val="24"/>
                <w:szCs w:val="24"/>
                <w:lang w:eastAsia="lv-LV"/>
              </w:rPr>
              <w:t>p</w:t>
            </w:r>
            <w:r w:rsidRPr="001173D3">
              <w:rPr>
                <w:rFonts w:ascii="Times New Roman" w:eastAsia="Times New Roman" w:hAnsi="Times New Roman" w:cs="Times New Roman"/>
                <w:sz w:val="24"/>
                <w:szCs w:val="24"/>
                <w:lang w:eastAsia="lv-LV"/>
              </w:rPr>
              <w:t xml:space="preserve">rojekta spēkā stāšanās. </w:t>
            </w:r>
            <w:bookmarkEnd w:id="1"/>
            <w:r w:rsidRPr="001173D3">
              <w:rPr>
                <w:rFonts w:ascii="Times New Roman" w:eastAsia="Times New Roman" w:hAnsi="Times New Roman" w:cs="Times New Roman"/>
                <w:sz w:val="24"/>
                <w:szCs w:val="24"/>
                <w:lang w:eastAsia="lv-LV"/>
              </w:rPr>
              <w:t xml:space="preserve">Atalgojuma ziņojums ir jāizstrādā arī gadījumā, ja akciju sabiedrībai vēl nav apstiprināta atalgojuma politika. Vienlaikus </w:t>
            </w:r>
            <w:r w:rsidR="00063AB4">
              <w:rPr>
                <w:rFonts w:ascii="Times New Roman" w:eastAsia="Times New Roman" w:hAnsi="Times New Roman" w:cs="Times New Roman"/>
                <w:sz w:val="24"/>
                <w:szCs w:val="24"/>
                <w:lang w:eastAsia="lv-LV"/>
              </w:rPr>
              <w:t>p</w:t>
            </w:r>
            <w:r w:rsidRPr="001173D3">
              <w:rPr>
                <w:rFonts w:ascii="Times New Roman" w:eastAsia="Times New Roman" w:hAnsi="Times New Roman" w:cs="Times New Roman"/>
                <w:sz w:val="24"/>
                <w:szCs w:val="24"/>
                <w:lang w:eastAsia="lv-LV"/>
              </w:rPr>
              <w:t xml:space="preserve">rojektā ietvertie pārejas noteikumi paredz, ka informācija par pēdējo piecu finanšu gadu ikgadējo </w:t>
            </w:r>
            <w:r w:rsidRPr="00D43D86">
              <w:rPr>
                <w:rFonts w:ascii="Times New Roman" w:eastAsia="Times New Roman" w:hAnsi="Times New Roman" w:cs="Times New Roman"/>
                <w:sz w:val="24"/>
                <w:szCs w:val="24"/>
                <w:lang w:eastAsia="lv-LV"/>
              </w:rPr>
              <w:t>salīdzinājumu</w:t>
            </w:r>
            <w:r w:rsidR="001173D3" w:rsidRPr="00D43D86">
              <w:rPr>
                <w:rFonts w:ascii="Times New Roman" w:eastAsia="Times New Roman" w:hAnsi="Times New Roman" w:cs="Times New Roman"/>
                <w:sz w:val="24"/>
                <w:szCs w:val="24"/>
                <w:lang w:eastAsia="lv-LV"/>
              </w:rPr>
              <w:t xml:space="preserve"> (</w:t>
            </w:r>
            <w:r w:rsidR="00063AB4" w:rsidRPr="00D43D86">
              <w:rPr>
                <w:rFonts w:ascii="Times New Roman" w:eastAsia="Times New Roman" w:hAnsi="Times New Roman" w:cs="Times New Roman"/>
                <w:sz w:val="24"/>
                <w:szCs w:val="24"/>
                <w:lang w:eastAsia="lv-LV"/>
              </w:rPr>
              <w:t>p</w:t>
            </w:r>
            <w:r w:rsidR="001173D3" w:rsidRPr="00D43D86">
              <w:rPr>
                <w:rFonts w:ascii="Times New Roman" w:eastAsia="Times New Roman" w:hAnsi="Times New Roman" w:cs="Times New Roman"/>
                <w:sz w:val="24"/>
                <w:szCs w:val="24"/>
                <w:lang w:eastAsia="lv-LV"/>
              </w:rPr>
              <w:t>rojektā ietvertā FITL 56.</w:t>
            </w:r>
            <w:r w:rsidR="001173D3" w:rsidRPr="00D43D86">
              <w:rPr>
                <w:rFonts w:ascii="Times New Roman" w:eastAsia="Times New Roman" w:hAnsi="Times New Roman" w:cs="Times New Roman"/>
                <w:sz w:val="24"/>
                <w:szCs w:val="24"/>
                <w:vertAlign w:val="superscript"/>
                <w:lang w:eastAsia="lv-LV"/>
              </w:rPr>
              <w:t>8</w:t>
            </w:r>
            <w:r w:rsidR="001173D3" w:rsidRPr="00D43D86">
              <w:rPr>
                <w:rFonts w:ascii="Times New Roman" w:eastAsia="Times New Roman" w:hAnsi="Times New Roman" w:cs="Times New Roman"/>
                <w:sz w:val="24"/>
                <w:szCs w:val="24"/>
                <w:lang w:eastAsia="lv-LV"/>
              </w:rPr>
              <w:t> panta 3. punkts)</w:t>
            </w:r>
            <w:r w:rsidRPr="00D43D86">
              <w:rPr>
                <w:rFonts w:ascii="Times New Roman" w:eastAsia="Times New Roman" w:hAnsi="Times New Roman" w:cs="Times New Roman"/>
                <w:sz w:val="24"/>
                <w:szCs w:val="24"/>
                <w:lang w:eastAsia="lv-LV"/>
              </w:rPr>
              <w:t xml:space="preserve"> i</w:t>
            </w:r>
            <w:r w:rsidRPr="001173D3">
              <w:rPr>
                <w:rFonts w:ascii="Times New Roman" w:eastAsia="Times New Roman" w:hAnsi="Times New Roman" w:cs="Times New Roman"/>
                <w:sz w:val="24"/>
                <w:szCs w:val="24"/>
                <w:lang w:eastAsia="lv-LV"/>
              </w:rPr>
              <w:t xml:space="preserve">r jāatklāj pakāpeniski. Piemēram, 2020. gadā ir pienākums sniegt informāciju tikai par 2019. gada finanšu gadu, 2021. gadā – par 2019. un 2020. gadu, bet 2024. gadā jau tiek pilnībā izpildīta prasība par 5 gadu salīdzinājumu. </w:t>
            </w:r>
            <w:r w:rsidR="001173D3" w:rsidRPr="001173D3">
              <w:rPr>
                <w:rFonts w:ascii="Times New Roman" w:eastAsia="Times New Roman" w:hAnsi="Times New Roman" w:cs="Times New Roman"/>
                <w:sz w:val="24"/>
                <w:szCs w:val="24"/>
                <w:lang w:eastAsia="lv-LV"/>
              </w:rPr>
              <w:t>T</w:t>
            </w:r>
            <w:r w:rsidRPr="001173D3">
              <w:rPr>
                <w:rFonts w:ascii="Times New Roman" w:eastAsia="Times New Roman" w:hAnsi="Times New Roman" w:cs="Times New Roman"/>
                <w:sz w:val="24"/>
                <w:szCs w:val="24"/>
                <w:lang w:eastAsia="lv-LV"/>
              </w:rPr>
              <w:t xml:space="preserve">ām akciju sabiedrībām, kuru akcijas tiek iekļautas regulētajā tirgū pēc </w:t>
            </w:r>
            <w:r w:rsidR="00063AB4">
              <w:rPr>
                <w:rFonts w:ascii="Times New Roman" w:eastAsia="Times New Roman" w:hAnsi="Times New Roman" w:cs="Times New Roman"/>
                <w:sz w:val="24"/>
                <w:szCs w:val="24"/>
                <w:lang w:eastAsia="lv-LV"/>
              </w:rPr>
              <w:t>p</w:t>
            </w:r>
            <w:r w:rsidRPr="001173D3">
              <w:rPr>
                <w:rFonts w:ascii="Times New Roman" w:eastAsia="Times New Roman" w:hAnsi="Times New Roman" w:cs="Times New Roman"/>
                <w:sz w:val="24"/>
                <w:szCs w:val="24"/>
                <w:lang w:eastAsia="lv-LV"/>
              </w:rPr>
              <w:t>rojekta spēkā stāšanās</w:t>
            </w:r>
            <w:r w:rsidR="001173D3" w:rsidRPr="001173D3">
              <w:rPr>
                <w:rFonts w:ascii="Times New Roman" w:eastAsia="Times New Roman" w:hAnsi="Times New Roman" w:cs="Times New Roman"/>
                <w:sz w:val="24"/>
                <w:szCs w:val="24"/>
                <w:lang w:eastAsia="lv-LV"/>
              </w:rPr>
              <w:t xml:space="preserve"> tik piemērots līdzīgs princips</w:t>
            </w:r>
            <w:r w:rsidRPr="001173D3">
              <w:rPr>
                <w:rFonts w:ascii="Times New Roman" w:eastAsia="Times New Roman" w:hAnsi="Times New Roman" w:cs="Times New Roman"/>
                <w:sz w:val="24"/>
                <w:szCs w:val="24"/>
                <w:lang w:eastAsia="lv-LV"/>
              </w:rPr>
              <w:t>.</w:t>
            </w:r>
            <w:r w:rsidR="001173D3" w:rsidRPr="001173D3">
              <w:rPr>
                <w:rFonts w:ascii="Times New Roman" w:eastAsia="Times New Roman" w:hAnsi="Times New Roman" w:cs="Times New Roman"/>
                <w:sz w:val="24"/>
                <w:szCs w:val="24"/>
                <w:lang w:eastAsia="lv-LV"/>
              </w:rPr>
              <w:t xml:space="preserve"> Proti,</w:t>
            </w:r>
            <w:r w:rsidRPr="001173D3">
              <w:rPr>
                <w:rFonts w:ascii="Times New Roman" w:eastAsia="Times New Roman" w:hAnsi="Times New Roman" w:cs="Times New Roman"/>
                <w:sz w:val="24"/>
                <w:szCs w:val="24"/>
                <w:lang w:eastAsia="lv-LV"/>
              </w:rPr>
              <w:t xml:space="preserve"> </w:t>
            </w:r>
            <w:r w:rsidR="001173D3" w:rsidRPr="001173D3">
              <w:rPr>
                <w:rFonts w:ascii="Times New Roman" w:eastAsia="Times New Roman" w:hAnsi="Times New Roman" w:cs="Times New Roman"/>
                <w:sz w:val="24"/>
                <w:szCs w:val="24"/>
                <w:lang w:eastAsia="lv-LV"/>
              </w:rPr>
              <w:t>š</w:t>
            </w:r>
            <w:r w:rsidRPr="001173D3">
              <w:rPr>
                <w:rFonts w:ascii="Times New Roman" w:eastAsia="Times New Roman" w:hAnsi="Times New Roman" w:cs="Times New Roman"/>
                <w:sz w:val="24"/>
                <w:szCs w:val="24"/>
                <w:lang w:eastAsia="lv-LV"/>
              </w:rPr>
              <w:t xml:space="preserve">ādām akciju sabiedrībām </w:t>
            </w:r>
            <w:r w:rsidR="007D2656" w:rsidRPr="001173D3">
              <w:rPr>
                <w:rFonts w:ascii="Times New Roman" w:eastAsia="Times New Roman" w:hAnsi="Times New Roman" w:cs="Times New Roman"/>
                <w:sz w:val="24"/>
                <w:szCs w:val="24"/>
                <w:lang w:eastAsia="lv-LV"/>
              </w:rPr>
              <w:t xml:space="preserve">atalgojuma ziņojumu un </w:t>
            </w:r>
            <w:r w:rsidRPr="001173D3">
              <w:rPr>
                <w:rFonts w:ascii="Times New Roman" w:eastAsia="Times New Roman" w:hAnsi="Times New Roman" w:cs="Times New Roman"/>
                <w:sz w:val="24"/>
                <w:szCs w:val="24"/>
                <w:lang w:eastAsia="lv-LV"/>
              </w:rPr>
              <w:t>ikgadējo izmaiņu salīdzinājum</w:t>
            </w:r>
            <w:r w:rsidR="007D2656" w:rsidRPr="001173D3">
              <w:rPr>
                <w:rFonts w:ascii="Times New Roman" w:eastAsia="Times New Roman" w:hAnsi="Times New Roman" w:cs="Times New Roman"/>
                <w:sz w:val="24"/>
                <w:szCs w:val="24"/>
                <w:lang w:eastAsia="lv-LV"/>
              </w:rPr>
              <w:t>u</w:t>
            </w:r>
            <w:r w:rsidRPr="001173D3">
              <w:rPr>
                <w:rFonts w:ascii="Times New Roman" w:eastAsia="Times New Roman" w:hAnsi="Times New Roman" w:cs="Times New Roman"/>
                <w:sz w:val="24"/>
                <w:szCs w:val="24"/>
                <w:lang w:eastAsia="lv-LV"/>
              </w:rPr>
              <w:t xml:space="preserve"> ir jāsniedz tikai par tiem finanšu gadiem, kas sākušies pēc akciju iekļaušanas regulētajā tirgū. Pretējā gadījumā jaunajām akciju sabiedrībām būtu nelabvēlīgāki noteikumi un lielāks administratīvais slogs.</w:t>
            </w:r>
          </w:p>
          <w:p w14:paraId="510A340A" w14:textId="77777777" w:rsidR="00443949" w:rsidRPr="00D05FAA" w:rsidRDefault="00443949" w:rsidP="00443949">
            <w:pPr>
              <w:spacing w:after="0" w:line="240" w:lineRule="auto"/>
              <w:ind w:firstLine="284"/>
              <w:jc w:val="both"/>
              <w:rPr>
                <w:rFonts w:ascii="Times New Roman" w:eastAsia="Times New Roman" w:hAnsi="Times New Roman" w:cs="Times New Roman"/>
                <w:sz w:val="24"/>
                <w:szCs w:val="24"/>
                <w:lang w:eastAsia="lv-LV"/>
              </w:rPr>
            </w:pPr>
          </w:p>
          <w:p w14:paraId="0F7B559A" w14:textId="77777777" w:rsidR="00443949" w:rsidRPr="00D05FAA" w:rsidRDefault="00443949" w:rsidP="00443949">
            <w:pPr>
              <w:spacing w:after="0" w:line="240" w:lineRule="auto"/>
              <w:ind w:firstLine="284"/>
              <w:jc w:val="both"/>
              <w:rPr>
                <w:rFonts w:ascii="Times New Roman" w:hAnsi="Times New Roman" w:cs="Times New Roman"/>
                <w:b/>
                <w:sz w:val="24"/>
                <w:szCs w:val="24"/>
              </w:rPr>
            </w:pPr>
            <w:r w:rsidRPr="00D05FAA">
              <w:rPr>
                <w:rFonts w:ascii="Times New Roman" w:hAnsi="Times New Roman" w:cs="Times New Roman"/>
                <w:b/>
                <w:sz w:val="24"/>
                <w:szCs w:val="24"/>
              </w:rPr>
              <w:t>Saistīto pušu darījumi</w:t>
            </w:r>
          </w:p>
          <w:p w14:paraId="098FB2FD" w14:textId="581D0509" w:rsidR="00443949" w:rsidRPr="00D05FAA" w:rsidRDefault="00443949" w:rsidP="00443949">
            <w:pPr>
              <w:spacing w:after="0" w:line="240" w:lineRule="auto"/>
              <w:ind w:firstLine="284"/>
              <w:jc w:val="both"/>
              <w:rPr>
                <w:rFonts w:ascii="Times New Roman" w:eastAsia="Times New Roman" w:hAnsi="Times New Roman" w:cs="Times New Roman"/>
                <w:sz w:val="24"/>
                <w:szCs w:val="24"/>
                <w:lang w:eastAsia="lv-LV"/>
              </w:rPr>
            </w:pPr>
            <w:r w:rsidRPr="00D05FAA">
              <w:rPr>
                <w:rFonts w:ascii="Times New Roman" w:eastAsia="Times New Roman" w:hAnsi="Times New Roman" w:cs="Times New Roman"/>
                <w:sz w:val="24"/>
                <w:szCs w:val="24"/>
                <w:lang w:eastAsia="lv-LV"/>
              </w:rPr>
              <w:t xml:space="preserve">Direktīvas preambulas apsvērumi skaidro, ka darījumi ar saistītām pusēm var kaitēt sabiedrībām un to akcionāriem, jo tie var sniegt saistītajai pusei iespēju piesavināties vērtību, kas pieder sabiedrībai. Tādējādi ir svarīgi atbilstīgi drošības pasākumi sabiedrību un akcionāru interešu </w:t>
            </w:r>
            <w:r w:rsidRPr="00D05FAA">
              <w:rPr>
                <w:rFonts w:ascii="Times New Roman" w:eastAsia="Times New Roman" w:hAnsi="Times New Roman" w:cs="Times New Roman"/>
                <w:sz w:val="24"/>
                <w:szCs w:val="24"/>
                <w:lang w:eastAsia="lv-LV"/>
              </w:rPr>
              <w:lastRenderedPageBreak/>
              <w:t xml:space="preserve">aizsardzībai. Sabiedrībai ir publiski jāpaziņo par </w:t>
            </w:r>
            <w:r w:rsidRPr="001173D3">
              <w:rPr>
                <w:rFonts w:ascii="Times New Roman" w:eastAsia="Times New Roman" w:hAnsi="Times New Roman" w:cs="Times New Roman"/>
                <w:sz w:val="24"/>
                <w:szCs w:val="24"/>
                <w:lang w:eastAsia="lv-LV"/>
              </w:rPr>
              <w:t xml:space="preserve">nozīmīgiem </w:t>
            </w:r>
            <w:r w:rsidR="00FA5740" w:rsidRPr="001173D3">
              <w:rPr>
                <w:rFonts w:ascii="Times New Roman" w:eastAsia="Times New Roman" w:hAnsi="Times New Roman" w:cs="Times New Roman"/>
                <w:sz w:val="24"/>
                <w:szCs w:val="24"/>
                <w:lang w:eastAsia="lv-LV"/>
              </w:rPr>
              <w:t>un netipiskiem</w:t>
            </w:r>
            <w:r w:rsidR="00FA5740">
              <w:rPr>
                <w:rFonts w:ascii="Times New Roman" w:eastAsia="Times New Roman" w:hAnsi="Times New Roman" w:cs="Times New Roman"/>
                <w:sz w:val="24"/>
                <w:szCs w:val="24"/>
                <w:lang w:eastAsia="lv-LV"/>
              </w:rPr>
              <w:t xml:space="preserve"> </w:t>
            </w:r>
            <w:r w:rsidRPr="00D05FAA">
              <w:rPr>
                <w:rFonts w:ascii="Times New Roman" w:eastAsia="Times New Roman" w:hAnsi="Times New Roman" w:cs="Times New Roman"/>
                <w:sz w:val="24"/>
                <w:szCs w:val="24"/>
                <w:lang w:eastAsia="lv-LV"/>
              </w:rPr>
              <w:t>darījumiem, vēlākais, darījuma noslēgšanas brīdī, norādot saistīto pusi, darījuma datumu un vērtību un jebkuru citu informāciju, kas nepieciešama, lai novērtētu darījuma godīgumu. Šāda veida darījuma publiskošana, piemēram, sabiedrības tīmekļa vietnē vai citos viegli pieejamos līdzekļos, ir nepieciešama, lai akcionāri, kreditori, darbinieki un citas ieinteresētās personas būtu informētas par šādu darījumu iespējamo ietekmi uz sabiedrības vērtību. Precīza saistītās puses identifikācija ir nepieciešama, lai labāk novērtētu ar darījumu saistītos riskus un ļautu apstrīdēt darījumu.</w:t>
            </w:r>
          </w:p>
          <w:p w14:paraId="68D256AB" w14:textId="1538CA20" w:rsidR="00443949" w:rsidRPr="00D05FAA" w:rsidRDefault="00443949" w:rsidP="00443949">
            <w:pPr>
              <w:spacing w:after="0" w:line="240" w:lineRule="auto"/>
              <w:ind w:firstLine="284"/>
              <w:jc w:val="both"/>
              <w:rPr>
                <w:rFonts w:ascii="Times New Roman" w:hAnsi="Times New Roman" w:cs="Times New Roman"/>
                <w:sz w:val="24"/>
                <w:szCs w:val="24"/>
              </w:rPr>
            </w:pPr>
            <w:r w:rsidRPr="00D05FAA">
              <w:rPr>
                <w:rFonts w:ascii="Times New Roman" w:hAnsi="Times New Roman" w:cs="Times New Roman"/>
                <w:sz w:val="24"/>
                <w:szCs w:val="24"/>
              </w:rPr>
              <w:t>Latvijā regulējums par saistīto pušu darījumiem tika ieviests vēl pirms Direktīvas spēkā stāšanās. Komerclikumā sākotnējais regulējums (139.</w:t>
            </w:r>
            <w:r w:rsidRPr="00D05FAA">
              <w:rPr>
                <w:rFonts w:ascii="Times New Roman" w:hAnsi="Times New Roman" w:cs="Times New Roman"/>
                <w:sz w:val="24"/>
                <w:szCs w:val="24"/>
                <w:vertAlign w:val="superscript"/>
              </w:rPr>
              <w:t>1</w:t>
            </w:r>
            <w:r w:rsidRPr="00D05FAA">
              <w:rPr>
                <w:rFonts w:ascii="Times New Roman" w:hAnsi="Times New Roman" w:cs="Times New Roman"/>
                <w:sz w:val="24"/>
                <w:szCs w:val="24"/>
              </w:rPr>
              <w:t xml:space="preserve"> un 139.</w:t>
            </w:r>
            <w:r w:rsidRPr="00D05FAA">
              <w:rPr>
                <w:rFonts w:ascii="Times New Roman" w:hAnsi="Times New Roman" w:cs="Times New Roman"/>
                <w:sz w:val="24"/>
                <w:szCs w:val="24"/>
                <w:vertAlign w:val="superscript"/>
              </w:rPr>
              <w:t>3</w:t>
            </w:r>
            <w:r w:rsidRPr="00D05FAA">
              <w:rPr>
                <w:rFonts w:ascii="Times New Roman" w:hAnsi="Times New Roman" w:cs="Times New Roman"/>
                <w:sz w:val="24"/>
                <w:szCs w:val="24"/>
              </w:rPr>
              <w:t xml:space="preserve"> pants) bija jau no 2012. gada, bet saistībā </w:t>
            </w:r>
            <w:r w:rsidRPr="008B10D4">
              <w:rPr>
                <w:rFonts w:ascii="Times New Roman" w:hAnsi="Times New Roman" w:cs="Times New Roman"/>
                <w:sz w:val="24"/>
                <w:szCs w:val="24"/>
              </w:rPr>
              <w:t>ar</w:t>
            </w:r>
            <w:r w:rsidRPr="008B10D4">
              <w:rPr>
                <w:rFonts w:ascii="Times New Roman" w:hAnsi="Times New Roman" w:cs="Times New Roman"/>
                <w:b/>
                <w:sz w:val="24"/>
                <w:szCs w:val="24"/>
              </w:rPr>
              <w:t xml:space="preserve"> </w:t>
            </w:r>
            <w:r w:rsidRPr="008B10D4">
              <w:rPr>
                <w:rStyle w:val="Izteiksmgs"/>
                <w:rFonts w:ascii="Times New Roman" w:hAnsi="Times New Roman" w:cs="Times New Roman"/>
                <w:b w:val="0"/>
                <w:sz w:val="24"/>
                <w:szCs w:val="24"/>
              </w:rPr>
              <w:t>Ekonomiskās sadarbības un attīstības organizācijas</w:t>
            </w:r>
            <w:r w:rsidRPr="008B10D4">
              <w:rPr>
                <w:rFonts w:ascii="Times New Roman" w:hAnsi="Times New Roman" w:cs="Times New Roman"/>
                <w:sz w:val="24"/>
                <w:szCs w:val="24"/>
              </w:rPr>
              <w:t xml:space="preserve"> jeb</w:t>
            </w:r>
            <w:r w:rsidRPr="00D05FAA">
              <w:rPr>
                <w:rFonts w:ascii="Times New Roman" w:hAnsi="Times New Roman" w:cs="Times New Roman"/>
                <w:sz w:val="24"/>
                <w:szCs w:val="24"/>
              </w:rPr>
              <w:t xml:space="preserve"> OECD (angliski - </w:t>
            </w:r>
            <w:r w:rsidRPr="00D05FAA">
              <w:rPr>
                <w:rFonts w:ascii="Times New Roman" w:hAnsi="Times New Roman" w:cs="Times New Roman"/>
                <w:i/>
                <w:sz w:val="24"/>
                <w:szCs w:val="24"/>
              </w:rPr>
              <w:t>Organisation for Economic Co-operation and Development</w:t>
            </w:r>
            <w:r w:rsidRPr="00D05FAA">
              <w:rPr>
                <w:rFonts w:ascii="Times New Roman" w:hAnsi="Times New Roman" w:cs="Times New Roman"/>
                <w:sz w:val="24"/>
                <w:szCs w:val="24"/>
              </w:rPr>
              <w:t>) rekomendācijām tika pārstrādāts un jaunais regulējums (184.</w:t>
            </w:r>
            <w:r w:rsidRPr="00D05FAA">
              <w:rPr>
                <w:rFonts w:ascii="Times New Roman" w:hAnsi="Times New Roman" w:cs="Times New Roman"/>
                <w:sz w:val="24"/>
                <w:szCs w:val="24"/>
                <w:vertAlign w:val="superscript"/>
              </w:rPr>
              <w:t xml:space="preserve">1 </w:t>
            </w:r>
            <w:r w:rsidRPr="00D05FAA">
              <w:rPr>
                <w:rFonts w:ascii="Times New Roman" w:hAnsi="Times New Roman" w:cs="Times New Roman"/>
                <w:sz w:val="24"/>
                <w:szCs w:val="24"/>
              </w:rPr>
              <w:t>un 184.</w:t>
            </w:r>
            <w:r w:rsidRPr="00D05FAA">
              <w:rPr>
                <w:rFonts w:ascii="Times New Roman" w:hAnsi="Times New Roman" w:cs="Times New Roman"/>
                <w:sz w:val="24"/>
                <w:szCs w:val="24"/>
                <w:vertAlign w:val="superscript"/>
              </w:rPr>
              <w:t>2</w:t>
            </w:r>
            <w:r w:rsidRPr="00D05FAA">
              <w:rPr>
                <w:rFonts w:ascii="Times New Roman" w:hAnsi="Times New Roman" w:cs="Times New Roman"/>
                <w:sz w:val="24"/>
                <w:szCs w:val="24"/>
              </w:rPr>
              <w:t> pants) stājās spēkā 2017. gada 13. jūlijā.</w:t>
            </w:r>
            <w:r>
              <w:rPr>
                <w:rFonts w:ascii="Times New Roman" w:hAnsi="Times New Roman" w:cs="Times New Roman"/>
                <w:sz w:val="24"/>
                <w:szCs w:val="24"/>
              </w:rPr>
              <w:t xml:space="preserve"> </w:t>
            </w:r>
            <w:r w:rsidRPr="00D05FAA">
              <w:rPr>
                <w:rFonts w:ascii="Times New Roman" w:hAnsi="Times New Roman" w:cs="Times New Roman"/>
                <w:sz w:val="24"/>
                <w:szCs w:val="24"/>
              </w:rPr>
              <w:t>Saistībā ar OECD rekomendācijām tika izstrādāti un 2017. gada 4. oktobrī stājās spēkā arī attiecīgi grozījumi FITL (59.</w:t>
            </w:r>
            <w:r w:rsidRPr="00D05FAA">
              <w:rPr>
                <w:rFonts w:ascii="Times New Roman" w:hAnsi="Times New Roman" w:cs="Times New Roman"/>
                <w:sz w:val="24"/>
                <w:szCs w:val="24"/>
                <w:vertAlign w:val="superscript"/>
              </w:rPr>
              <w:t>1</w:t>
            </w:r>
            <w:r w:rsidRPr="00D05FAA">
              <w:rPr>
                <w:rFonts w:ascii="Times New Roman" w:hAnsi="Times New Roman" w:cs="Times New Roman"/>
                <w:sz w:val="24"/>
                <w:szCs w:val="24"/>
              </w:rPr>
              <w:t xml:space="preserve"> pants). OECD rekomendāciju ieviešanas laikā tika pēc iespējas ņemtas vērā arī Direktīvas projektā ietvertās prasības, tomēr Direktīvas gala redakcijā tika veikti grozījumi. Līdz ar to </w:t>
            </w:r>
            <w:r w:rsidR="00063AB4">
              <w:rPr>
                <w:rFonts w:ascii="Times New Roman" w:hAnsi="Times New Roman" w:cs="Times New Roman"/>
                <w:sz w:val="24"/>
                <w:szCs w:val="24"/>
              </w:rPr>
              <w:t>p</w:t>
            </w:r>
            <w:r w:rsidRPr="00D05FAA">
              <w:rPr>
                <w:rFonts w:ascii="Times New Roman" w:hAnsi="Times New Roman" w:cs="Times New Roman"/>
                <w:sz w:val="24"/>
                <w:szCs w:val="24"/>
              </w:rPr>
              <w:t>rojekts paredz tikai tādus FITL grozījumus, kas novērš neatbilstības ar Direktīvas minimālajām prasībām:</w:t>
            </w:r>
          </w:p>
          <w:p w14:paraId="6853D841" w14:textId="1938B8B0" w:rsidR="00443949" w:rsidRPr="001173D3" w:rsidRDefault="00443949" w:rsidP="00443949">
            <w:pPr>
              <w:spacing w:after="0" w:line="240" w:lineRule="auto"/>
              <w:ind w:firstLine="284"/>
              <w:jc w:val="both"/>
              <w:rPr>
                <w:rFonts w:ascii="Times New Roman" w:hAnsi="Times New Roman" w:cs="Times New Roman"/>
                <w:sz w:val="24"/>
                <w:szCs w:val="24"/>
              </w:rPr>
            </w:pPr>
            <w:r w:rsidRPr="00D05FAA">
              <w:rPr>
                <w:rFonts w:ascii="Times New Roman" w:hAnsi="Times New Roman" w:cs="Times New Roman"/>
                <w:sz w:val="24"/>
                <w:szCs w:val="24"/>
              </w:rPr>
              <w:t>1) </w:t>
            </w:r>
            <w:r>
              <w:rPr>
                <w:rFonts w:ascii="Times New Roman" w:hAnsi="Times New Roman" w:cs="Times New Roman"/>
                <w:sz w:val="24"/>
                <w:szCs w:val="24"/>
              </w:rPr>
              <w:t xml:space="preserve">pienākums </w:t>
            </w:r>
            <w:r w:rsidRPr="001173D3">
              <w:rPr>
                <w:rFonts w:ascii="Times New Roman" w:hAnsi="Times New Roman" w:cs="Times New Roman"/>
                <w:sz w:val="24"/>
                <w:szCs w:val="24"/>
              </w:rPr>
              <w:t xml:space="preserve">paziņot par </w:t>
            </w:r>
            <w:r w:rsidR="00322A62" w:rsidRPr="001173D3">
              <w:rPr>
                <w:rFonts w:ascii="Times New Roman" w:hAnsi="Times New Roman" w:cs="Times New Roman"/>
                <w:sz w:val="24"/>
                <w:szCs w:val="24"/>
              </w:rPr>
              <w:t xml:space="preserve">nozīmīgu un netipisku </w:t>
            </w:r>
            <w:r w:rsidRPr="001173D3">
              <w:rPr>
                <w:rFonts w:ascii="Times New Roman" w:hAnsi="Times New Roman" w:cs="Times New Roman"/>
                <w:sz w:val="24"/>
                <w:szCs w:val="24"/>
              </w:rPr>
              <w:t>saistīto pušu darījumu ne vēlāk kā darījuma noslēgšanas brīdī;</w:t>
            </w:r>
          </w:p>
          <w:p w14:paraId="739C124C" w14:textId="28500788" w:rsidR="00443949" w:rsidRPr="001173D3" w:rsidRDefault="00443949" w:rsidP="00443949">
            <w:pPr>
              <w:spacing w:after="0" w:line="240" w:lineRule="auto"/>
              <w:ind w:firstLine="284"/>
              <w:jc w:val="both"/>
              <w:rPr>
                <w:rFonts w:ascii="Times New Roman" w:hAnsi="Times New Roman" w:cs="Times New Roman"/>
                <w:sz w:val="24"/>
                <w:szCs w:val="24"/>
              </w:rPr>
            </w:pPr>
            <w:r w:rsidRPr="001173D3">
              <w:rPr>
                <w:rFonts w:ascii="Times New Roman" w:hAnsi="Times New Roman" w:cs="Times New Roman"/>
                <w:sz w:val="24"/>
                <w:szCs w:val="24"/>
              </w:rPr>
              <w:t xml:space="preserve">2) pienākums </w:t>
            </w:r>
            <w:r w:rsidR="00322A62" w:rsidRPr="001173D3">
              <w:rPr>
                <w:rFonts w:ascii="Times New Roman" w:hAnsi="Times New Roman" w:cs="Times New Roman"/>
                <w:sz w:val="24"/>
                <w:szCs w:val="24"/>
              </w:rPr>
              <w:t xml:space="preserve">publiskojamajā informācijā </w:t>
            </w:r>
            <w:r w:rsidRPr="001173D3">
              <w:rPr>
                <w:rFonts w:ascii="Times New Roman" w:hAnsi="Times New Roman" w:cs="Times New Roman"/>
                <w:sz w:val="24"/>
                <w:szCs w:val="24"/>
              </w:rPr>
              <w:t>norādīt arī darījuma datumu;</w:t>
            </w:r>
          </w:p>
          <w:p w14:paraId="4576E1E6" w14:textId="00A4B6DA" w:rsidR="00443949" w:rsidRPr="001173D3" w:rsidRDefault="00443949" w:rsidP="00443949">
            <w:pPr>
              <w:spacing w:after="0" w:line="240" w:lineRule="auto"/>
              <w:ind w:firstLine="284"/>
              <w:jc w:val="both"/>
              <w:rPr>
                <w:rFonts w:ascii="Times New Roman" w:hAnsi="Times New Roman" w:cs="Times New Roman"/>
                <w:sz w:val="24"/>
                <w:szCs w:val="24"/>
              </w:rPr>
            </w:pPr>
            <w:r w:rsidRPr="001173D3">
              <w:rPr>
                <w:rFonts w:ascii="Times New Roman" w:hAnsi="Times New Roman" w:cs="Times New Roman"/>
                <w:sz w:val="24"/>
                <w:szCs w:val="24"/>
              </w:rPr>
              <w:t xml:space="preserve">3) pienākums publiskot arī meitas sabiedrības </w:t>
            </w:r>
            <w:r w:rsidR="008837F0" w:rsidRPr="001173D3">
              <w:rPr>
                <w:rFonts w:ascii="Times New Roman" w:hAnsi="Times New Roman" w:cs="Times New Roman"/>
                <w:sz w:val="24"/>
                <w:szCs w:val="24"/>
              </w:rPr>
              <w:t xml:space="preserve">nozīmīgos un netipiskos </w:t>
            </w:r>
            <w:r w:rsidRPr="001173D3">
              <w:rPr>
                <w:rFonts w:ascii="Times New Roman" w:hAnsi="Times New Roman" w:cs="Times New Roman"/>
                <w:sz w:val="24"/>
                <w:szCs w:val="24"/>
              </w:rPr>
              <w:t>darījumus ar mātes sabiedrības saistīto pusi.</w:t>
            </w:r>
          </w:p>
          <w:p w14:paraId="7CC50ACB" w14:textId="73BA1D77" w:rsidR="00443949" w:rsidRPr="00D05FAA" w:rsidRDefault="00443949" w:rsidP="00443949">
            <w:pPr>
              <w:spacing w:after="0" w:line="240" w:lineRule="auto"/>
              <w:ind w:firstLine="284"/>
              <w:jc w:val="both"/>
              <w:rPr>
                <w:rFonts w:ascii="Times New Roman" w:hAnsi="Times New Roman" w:cs="Times New Roman"/>
                <w:sz w:val="24"/>
                <w:szCs w:val="24"/>
              </w:rPr>
            </w:pPr>
            <w:r w:rsidRPr="001173D3">
              <w:rPr>
                <w:rFonts w:ascii="Times New Roman" w:hAnsi="Times New Roman" w:cs="Times New Roman"/>
                <w:sz w:val="24"/>
                <w:szCs w:val="24"/>
              </w:rPr>
              <w:t xml:space="preserve">Direktīva nepārprotami paredz, ka par </w:t>
            </w:r>
            <w:r w:rsidR="001373E6" w:rsidRPr="001173D3">
              <w:rPr>
                <w:rFonts w:ascii="Times New Roman" w:hAnsi="Times New Roman" w:cs="Times New Roman"/>
                <w:sz w:val="24"/>
                <w:szCs w:val="24"/>
              </w:rPr>
              <w:t xml:space="preserve">netipisku un nozīmīgu </w:t>
            </w:r>
            <w:r w:rsidRPr="001173D3">
              <w:rPr>
                <w:rFonts w:ascii="Times New Roman" w:hAnsi="Times New Roman" w:cs="Times New Roman"/>
                <w:sz w:val="24"/>
                <w:szCs w:val="24"/>
              </w:rPr>
              <w:t>saistīto pušu darījumu paziņo vēl pirms tā galīgas noslēgšanas, bet ne vēlāk kā darījuma</w:t>
            </w:r>
            <w:r w:rsidRPr="00D05FAA">
              <w:rPr>
                <w:rFonts w:ascii="Times New Roman" w:hAnsi="Times New Roman" w:cs="Times New Roman"/>
                <w:sz w:val="24"/>
                <w:szCs w:val="24"/>
              </w:rPr>
              <w:t xml:space="preserve"> noslēgšanas brīdi. Projekta izstrādes gaitā tika identificēts, ka praksē varētu būt grūtības identificēt konkrēto brīdi, kad darījums ir uzskatāms par noslēgtu. Atbilstoši Civillikuma 1533. pantam darījums varētu tikt uzskatīts par noslēgtu, kad ir notikusi vienošanās par darījuma būtiskajām sastāvdaļām. Darījums ir uzskatāms par noslēgtu arī tad, ja ir paredzēti atliekoši nosacījumi, proti, tas vēl nav stājies spēkā, bet jau ir </w:t>
            </w:r>
            <w:r w:rsidR="00FA259D">
              <w:rPr>
                <w:rFonts w:ascii="Times New Roman" w:hAnsi="Times New Roman" w:cs="Times New Roman"/>
                <w:sz w:val="24"/>
                <w:szCs w:val="24"/>
              </w:rPr>
              <w:t>panākta galīga vienošanās</w:t>
            </w:r>
            <w:r w:rsidRPr="00D05FAA">
              <w:rPr>
                <w:rFonts w:ascii="Times New Roman" w:hAnsi="Times New Roman" w:cs="Times New Roman"/>
                <w:sz w:val="24"/>
                <w:szCs w:val="24"/>
              </w:rPr>
              <w:t>. Savukārt atbilstoši Dokumentu juridiskā spēkā likuma 4. pantam, lai dokumentam būtu juridisks spēks</w:t>
            </w:r>
            <w:r w:rsidR="0005362A">
              <w:rPr>
                <w:rFonts w:ascii="Times New Roman" w:hAnsi="Times New Roman" w:cs="Times New Roman"/>
                <w:sz w:val="24"/>
                <w:szCs w:val="24"/>
              </w:rPr>
              <w:t>,</w:t>
            </w:r>
            <w:r w:rsidRPr="00D05FAA">
              <w:rPr>
                <w:rFonts w:ascii="Times New Roman" w:hAnsi="Times New Roman" w:cs="Times New Roman"/>
                <w:sz w:val="24"/>
                <w:szCs w:val="24"/>
              </w:rPr>
              <w:t xml:space="preserve"> ir jānorāda dokumenta datums. Proti, darījuma puses līgum</w:t>
            </w:r>
            <w:r>
              <w:rPr>
                <w:rFonts w:ascii="Times New Roman" w:hAnsi="Times New Roman" w:cs="Times New Roman"/>
                <w:sz w:val="24"/>
                <w:szCs w:val="24"/>
              </w:rPr>
              <w:t>ā</w:t>
            </w:r>
            <w:r w:rsidRPr="00D05FAA">
              <w:rPr>
                <w:rFonts w:ascii="Times New Roman" w:hAnsi="Times New Roman" w:cs="Times New Roman"/>
                <w:sz w:val="24"/>
                <w:szCs w:val="24"/>
              </w:rPr>
              <w:t xml:space="preserve"> var nenorādīt konkrētu noslēgšanas brīdi (pulksteņa laiku), bet tikai datumu. Līdz ar to Latvijas tiesību sistēmas izpratnē nebūtu atbilstoši lietot terminu </w:t>
            </w:r>
            <w:r w:rsidR="00B103C5" w:rsidRPr="00B103C5">
              <w:rPr>
                <w:rFonts w:ascii="Times New Roman" w:hAnsi="Times New Roman" w:cs="Times New Roman"/>
                <w:sz w:val="24"/>
                <w:szCs w:val="24"/>
              </w:rPr>
              <w:t>"</w:t>
            </w:r>
            <w:r w:rsidRPr="00D05FAA">
              <w:rPr>
                <w:rFonts w:ascii="Times New Roman" w:hAnsi="Times New Roman" w:cs="Times New Roman"/>
                <w:sz w:val="24"/>
                <w:szCs w:val="24"/>
              </w:rPr>
              <w:t>brīdis</w:t>
            </w:r>
            <w:r w:rsidR="00B103C5" w:rsidRPr="00B103C5">
              <w:rPr>
                <w:rFonts w:ascii="Times New Roman" w:hAnsi="Times New Roman" w:cs="Times New Roman"/>
                <w:sz w:val="24"/>
                <w:szCs w:val="24"/>
              </w:rPr>
              <w:t>"</w:t>
            </w:r>
            <w:r w:rsidRPr="00D05FAA">
              <w:rPr>
                <w:rFonts w:ascii="Times New Roman" w:hAnsi="Times New Roman" w:cs="Times New Roman"/>
                <w:sz w:val="24"/>
                <w:szCs w:val="24"/>
              </w:rPr>
              <w:t xml:space="preserve">, kas arī praksē ir grūti konstatējams </w:t>
            </w:r>
            <w:r w:rsidRPr="00D05FAA">
              <w:rPr>
                <w:rFonts w:ascii="Times New Roman" w:hAnsi="Times New Roman" w:cs="Times New Roman"/>
                <w:sz w:val="24"/>
                <w:szCs w:val="24"/>
              </w:rPr>
              <w:lastRenderedPageBreak/>
              <w:t>termiņš. Vienlaikus arī FKTK uzraudzības funkcijas ietvaros parasti nevar kategoriski pārliecināties par darījuma noslēgšanas brīdi, tāpēc nebūtisku pārkāpumu gadījumā strīds par neatbilstoš</w:t>
            </w:r>
            <w:r>
              <w:rPr>
                <w:rFonts w:ascii="Times New Roman" w:hAnsi="Times New Roman" w:cs="Times New Roman"/>
                <w:sz w:val="24"/>
                <w:szCs w:val="24"/>
              </w:rPr>
              <w:t>ā termiņā</w:t>
            </w:r>
            <w:r w:rsidRPr="00D05FAA">
              <w:rPr>
                <w:rFonts w:ascii="Times New Roman" w:hAnsi="Times New Roman" w:cs="Times New Roman"/>
                <w:sz w:val="24"/>
                <w:szCs w:val="24"/>
              </w:rPr>
              <w:t xml:space="preserve"> publiskotu saistīto pušu darījumu jebkurā gadījumā varētu tikt risināts civiltiesiskā kārtībā.</w:t>
            </w:r>
          </w:p>
          <w:p w14:paraId="2E3C1093" w14:textId="56EFE941" w:rsidR="00443949" w:rsidRPr="00D05FAA" w:rsidRDefault="00443949" w:rsidP="00443949">
            <w:pPr>
              <w:spacing w:after="0" w:line="240" w:lineRule="auto"/>
              <w:ind w:firstLine="284"/>
              <w:jc w:val="both"/>
              <w:rPr>
                <w:rFonts w:ascii="Times New Roman" w:hAnsi="Times New Roman" w:cs="Times New Roman"/>
                <w:sz w:val="24"/>
                <w:szCs w:val="24"/>
              </w:rPr>
            </w:pPr>
            <w:r w:rsidRPr="00D05FAA">
              <w:rPr>
                <w:rFonts w:ascii="Times New Roman" w:hAnsi="Times New Roman" w:cs="Times New Roman"/>
                <w:sz w:val="24"/>
                <w:szCs w:val="24"/>
              </w:rPr>
              <w:t xml:space="preserve">Direktīvas minimālā prasība ir šo regulējumu attiecināt tikai uz tādiem saistīto pušu darījumiem, kas (atbilstoši FITL terminoloģijai) vienlaikus ir netipiski un nozīmīga apjoma. FITL regulējums </w:t>
            </w:r>
            <w:r>
              <w:rPr>
                <w:rFonts w:ascii="Times New Roman" w:hAnsi="Times New Roman" w:cs="Times New Roman"/>
                <w:sz w:val="24"/>
                <w:szCs w:val="24"/>
              </w:rPr>
              <w:t xml:space="preserve">jau šobrīd ir stingrāks un </w:t>
            </w:r>
            <w:r w:rsidRPr="00D05FAA">
              <w:rPr>
                <w:rFonts w:ascii="Times New Roman" w:hAnsi="Times New Roman" w:cs="Times New Roman"/>
                <w:sz w:val="24"/>
                <w:szCs w:val="24"/>
              </w:rPr>
              <w:t>paredz publiskot gan netipiskus, gan nozīmīgus darījumus. Netipiskiem darījumiem (</w:t>
            </w:r>
            <w:r w:rsidR="00687E59" w:rsidRPr="00FA259D">
              <w:rPr>
                <w:rFonts w:ascii="Times New Roman" w:hAnsi="Times New Roman" w:cs="Times New Roman"/>
                <w:sz w:val="24"/>
                <w:szCs w:val="24"/>
              </w:rPr>
              <w:t>neatkarīgi no tā, vai tie ir</w:t>
            </w:r>
            <w:r w:rsidR="00687E59">
              <w:rPr>
                <w:rFonts w:ascii="Times New Roman" w:hAnsi="Times New Roman" w:cs="Times New Roman"/>
                <w:sz w:val="24"/>
                <w:szCs w:val="24"/>
              </w:rPr>
              <w:t xml:space="preserve"> </w:t>
            </w:r>
            <w:r w:rsidRPr="00D05FAA">
              <w:rPr>
                <w:rFonts w:ascii="Times New Roman" w:hAnsi="Times New Roman" w:cs="Times New Roman"/>
                <w:sz w:val="24"/>
                <w:szCs w:val="24"/>
              </w:rPr>
              <w:t>nozīmīgi) atbilstoši FITL 59.</w:t>
            </w:r>
            <w:r w:rsidRPr="00FA259D">
              <w:rPr>
                <w:rFonts w:ascii="Times New Roman" w:hAnsi="Times New Roman" w:cs="Times New Roman"/>
                <w:sz w:val="24"/>
                <w:szCs w:val="24"/>
                <w:vertAlign w:val="superscript"/>
              </w:rPr>
              <w:t>1</w:t>
            </w:r>
            <w:r w:rsidRPr="00D05FAA">
              <w:rPr>
                <w:rFonts w:ascii="Times New Roman" w:hAnsi="Times New Roman" w:cs="Times New Roman"/>
                <w:sz w:val="24"/>
                <w:szCs w:val="24"/>
              </w:rPr>
              <w:t> panta otrajai un trešajai daļai un Komerclikuma 184.</w:t>
            </w:r>
            <w:r w:rsidRPr="00D05FAA">
              <w:rPr>
                <w:rFonts w:ascii="Times New Roman" w:hAnsi="Times New Roman" w:cs="Times New Roman"/>
                <w:sz w:val="24"/>
                <w:szCs w:val="24"/>
                <w:vertAlign w:val="superscript"/>
              </w:rPr>
              <w:t>2</w:t>
            </w:r>
            <w:r w:rsidRPr="00D05FAA">
              <w:rPr>
                <w:rFonts w:ascii="Times New Roman" w:hAnsi="Times New Roman" w:cs="Times New Roman"/>
                <w:sz w:val="24"/>
                <w:szCs w:val="24"/>
              </w:rPr>
              <w:t> panta pirmajai daļai ir jāsaņem padomes piekrišanas pirms darījuma noslēgšanas. Nozīmīgiem darījumiem (kuri vienlaikus nav netipiski) ir piemērojama tikai publiskošanas prasība. Savukārt darījumiem, kas vienlaikus ir gan netipiski, gan nozīmīgi ir nepieciešama gan padomes piekrišana, gan publiskošana FITL paredzētajā kārtībā. Lai saistīto pušu darījumu varētu apstiprināt padomē, valdei atbilstoši Komerclikuma 184.</w:t>
            </w:r>
            <w:r w:rsidRPr="00D05FAA">
              <w:rPr>
                <w:rFonts w:ascii="Times New Roman" w:hAnsi="Times New Roman" w:cs="Times New Roman"/>
                <w:sz w:val="24"/>
                <w:szCs w:val="24"/>
                <w:vertAlign w:val="superscript"/>
              </w:rPr>
              <w:t>2</w:t>
            </w:r>
            <w:r w:rsidRPr="00D05FAA">
              <w:rPr>
                <w:rFonts w:ascii="Times New Roman" w:hAnsi="Times New Roman" w:cs="Times New Roman"/>
                <w:sz w:val="24"/>
                <w:szCs w:val="24"/>
              </w:rPr>
              <w:t xml:space="preserve"> panta trešajai daļai jau ir jāsniedz padomei visa informācija, kas faktiski nepieciešama arī publiskošanai. Šādas informācijas sniegšana padomei arī nozīmē, ka valde jau ir panākusi vienošanos par visām darījuma būtiskajām sastāvdaļām. Arī praksē, slēdzot netipisku saistīto pušu darījumu, līgumā var paredzēt, ka tas stājas spēkā līdz ar apstiprināšanu padomē. Savukārt nozīmīga apjoma darījumiem, kuri vienlaikus nav netipiski, nav obligāti jāsaņem padomes piekrišana, tāpēc šādos gadījumos nebūtu samērīgi prasīt obligātu informācijas publiskošanu vēl pirms darījuma noslēgšanas. Līdz ar to, lai ieviestu Direktīvas minimālās prasības, </w:t>
            </w:r>
            <w:r w:rsidR="00063AB4">
              <w:rPr>
                <w:rFonts w:ascii="Times New Roman" w:hAnsi="Times New Roman" w:cs="Times New Roman"/>
                <w:sz w:val="24"/>
                <w:szCs w:val="24"/>
              </w:rPr>
              <w:t>p</w:t>
            </w:r>
            <w:r w:rsidRPr="00D05FAA">
              <w:rPr>
                <w:rFonts w:ascii="Times New Roman" w:hAnsi="Times New Roman" w:cs="Times New Roman"/>
                <w:sz w:val="24"/>
                <w:szCs w:val="24"/>
              </w:rPr>
              <w:t>rojekts paredz, ka attiecībā uz nozīmīga apjoma darījumiem tiek saglabāts esošais publiskošanas termiņš (</w:t>
            </w:r>
            <w:r w:rsidRPr="00B103C5">
              <w:rPr>
                <w:rFonts w:ascii="Times New Roman" w:hAnsi="Times New Roman" w:cs="Times New Roman"/>
                <w:sz w:val="24"/>
                <w:szCs w:val="24"/>
              </w:rPr>
              <w:t xml:space="preserve">nekavējoties pēc darījuma noslēgšanas), savukārt darījumiem, kas ir netipiski </w:t>
            </w:r>
            <w:r w:rsidR="00FA259D" w:rsidRPr="00B103C5">
              <w:rPr>
                <w:rFonts w:ascii="Times New Roman" w:hAnsi="Times New Roman" w:cs="Times New Roman"/>
                <w:sz w:val="24"/>
                <w:szCs w:val="24"/>
              </w:rPr>
              <w:t>(neatkarīgi no tā, vai tie vienlaikus ir nozīmīgi)</w:t>
            </w:r>
            <w:r w:rsidRPr="00B103C5">
              <w:rPr>
                <w:rFonts w:ascii="Times New Roman" w:hAnsi="Times New Roman" w:cs="Times New Roman"/>
                <w:sz w:val="24"/>
                <w:szCs w:val="24"/>
              </w:rPr>
              <w:t xml:space="preserve">, tiek paredzēts ātrāks publiskošanas termiņš </w:t>
            </w:r>
            <w:r w:rsidRPr="00FA259D">
              <w:rPr>
                <w:rFonts w:ascii="Times New Roman" w:hAnsi="Times New Roman" w:cs="Times New Roman"/>
                <w:sz w:val="24"/>
                <w:szCs w:val="24"/>
              </w:rPr>
              <w:t xml:space="preserve">- ne vēlāk kā dienā, kad saistīto pušu darījums ir apstiprināts Komerclikumā noteiktajā kārtībā (padomē vai akcionāru sapulcē). </w:t>
            </w:r>
          </w:p>
          <w:p w14:paraId="51549092" w14:textId="04EC4225" w:rsidR="00443949" w:rsidRPr="00D05FAA" w:rsidRDefault="00443949" w:rsidP="00443949">
            <w:pPr>
              <w:spacing w:after="0" w:line="240" w:lineRule="auto"/>
              <w:ind w:firstLine="284"/>
              <w:jc w:val="both"/>
              <w:rPr>
                <w:rFonts w:ascii="Times New Roman" w:hAnsi="Times New Roman" w:cs="Times New Roman"/>
                <w:sz w:val="24"/>
                <w:szCs w:val="24"/>
              </w:rPr>
            </w:pPr>
            <w:r w:rsidRPr="00D05FAA">
              <w:rPr>
                <w:rFonts w:ascii="Times New Roman" w:hAnsi="Times New Roman" w:cs="Times New Roman"/>
                <w:sz w:val="24"/>
                <w:szCs w:val="24"/>
              </w:rPr>
              <w:t>Direktīva paredz ziņot arī par meitas sabiedrību darījumiem ar mātes sabiedrības saistīto pusi. Vienlaikus, mātes sabiedrībai varētu būt grūtības iegūt informāciju par šādu darījumu esamību</w:t>
            </w:r>
            <w:r w:rsidR="00312898">
              <w:rPr>
                <w:rFonts w:ascii="Times New Roman" w:hAnsi="Times New Roman" w:cs="Times New Roman"/>
                <w:sz w:val="24"/>
                <w:szCs w:val="24"/>
              </w:rPr>
              <w:t>.</w:t>
            </w:r>
            <w:r w:rsidRPr="00D05FAA">
              <w:rPr>
                <w:rFonts w:ascii="Times New Roman" w:hAnsi="Times New Roman" w:cs="Times New Roman"/>
                <w:sz w:val="24"/>
                <w:szCs w:val="24"/>
              </w:rPr>
              <w:t xml:space="preserve"> </w:t>
            </w:r>
            <w:r w:rsidR="00312898">
              <w:rPr>
                <w:rFonts w:ascii="Times New Roman" w:hAnsi="Times New Roman" w:cs="Times New Roman"/>
                <w:sz w:val="24"/>
                <w:szCs w:val="24"/>
              </w:rPr>
              <w:t xml:space="preserve">Tomēr netipisku darījumu noslēgšanai ar saistīto pusi ir jāsaņem padomes vai, ja tādas nav, dalībnieku sapulces piekrišana. Dalībnieku sapulcē piedalās mātes sabiedrības valde, tāpēc parasti mātes sabiedrība ir informēta par šāda veida darījumiem. Papildus mātes sabiedrība var nodrošināt šādas informācijas iegūšanu, paredzot atbilstošas prasības meitas sabiedrības statūtos (papildu prasības darījumu noslēgšanai). Līdz ar to </w:t>
            </w:r>
            <w:r w:rsidR="00063AB4">
              <w:rPr>
                <w:rFonts w:ascii="Times New Roman" w:hAnsi="Times New Roman" w:cs="Times New Roman"/>
                <w:sz w:val="24"/>
                <w:szCs w:val="24"/>
              </w:rPr>
              <w:lastRenderedPageBreak/>
              <w:t>p</w:t>
            </w:r>
            <w:r w:rsidRPr="00D05FAA">
              <w:rPr>
                <w:rFonts w:ascii="Times New Roman" w:hAnsi="Times New Roman" w:cs="Times New Roman"/>
                <w:sz w:val="24"/>
                <w:szCs w:val="24"/>
              </w:rPr>
              <w:t>rojekts paredz, ka prasība</w:t>
            </w:r>
            <w:r w:rsidR="00312898">
              <w:rPr>
                <w:rFonts w:ascii="Times New Roman" w:hAnsi="Times New Roman" w:cs="Times New Roman"/>
                <w:sz w:val="24"/>
                <w:szCs w:val="24"/>
              </w:rPr>
              <w:t xml:space="preserve"> </w:t>
            </w:r>
            <w:r w:rsidR="00312898" w:rsidRPr="00D05FAA">
              <w:rPr>
                <w:rFonts w:ascii="Times New Roman" w:hAnsi="Times New Roman" w:cs="Times New Roman"/>
                <w:sz w:val="24"/>
                <w:szCs w:val="24"/>
              </w:rPr>
              <w:t>ziņot par meitas sabiedrību darījumiem ar mātes sabiedrības saistīto pusi</w:t>
            </w:r>
            <w:r w:rsidRPr="00D05FAA">
              <w:rPr>
                <w:rFonts w:ascii="Times New Roman" w:hAnsi="Times New Roman" w:cs="Times New Roman"/>
                <w:sz w:val="24"/>
                <w:szCs w:val="24"/>
              </w:rPr>
              <w:t xml:space="preserve"> ir attiecināma uz minimālo Direktīvas tvērumu, proti, mātes sabiedrībai ir jāziņo FITL paredzētajā kārtībā tikai par tādiem meitas sabiedrības darījumiem ar mātes sabiedrības saistīto pusi, kas vienlaikus ir netipiski un nozīmīgi.</w:t>
            </w:r>
            <w:r w:rsidR="00FA259D">
              <w:rPr>
                <w:rFonts w:ascii="Times New Roman" w:hAnsi="Times New Roman" w:cs="Times New Roman"/>
                <w:sz w:val="24"/>
                <w:szCs w:val="24"/>
              </w:rPr>
              <w:t xml:space="preserve"> </w:t>
            </w:r>
          </w:p>
          <w:p w14:paraId="343B2195" w14:textId="4EA49BAB" w:rsidR="00443949" w:rsidRPr="00D05FAA" w:rsidRDefault="00443949" w:rsidP="00443949">
            <w:pPr>
              <w:spacing w:after="0" w:line="240" w:lineRule="auto"/>
              <w:ind w:firstLine="284"/>
              <w:jc w:val="both"/>
              <w:rPr>
                <w:rFonts w:ascii="Times New Roman" w:hAnsi="Times New Roman" w:cs="Times New Roman"/>
                <w:sz w:val="24"/>
                <w:szCs w:val="24"/>
              </w:rPr>
            </w:pPr>
            <w:r w:rsidRPr="00D05FAA">
              <w:rPr>
                <w:rFonts w:ascii="Times New Roman" w:hAnsi="Times New Roman" w:cs="Times New Roman"/>
                <w:sz w:val="24"/>
                <w:szCs w:val="24"/>
              </w:rPr>
              <w:t xml:space="preserve">Direktīva saistīto pušu darījumu kontekstā nedefinē un neskaidro terminu </w:t>
            </w:r>
            <w:r w:rsidR="00B103C5" w:rsidRPr="00B103C5">
              <w:rPr>
                <w:rFonts w:ascii="Times New Roman" w:hAnsi="Times New Roman" w:cs="Times New Roman"/>
                <w:sz w:val="24"/>
                <w:szCs w:val="24"/>
              </w:rPr>
              <w:t>"</w:t>
            </w:r>
            <w:r w:rsidRPr="00D05FAA">
              <w:rPr>
                <w:rFonts w:ascii="Times New Roman" w:hAnsi="Times New Roman" w:cs="Times New Roman"/>
                <w:sz w:val="24"/>
                <w:szCs w:val="24"/>
              </w:rPr>
              <w:t>meitas sabiedrība</w:t>
            </w:r>
            <w:r w:rsidR="00B103C5" w:rsidRPr="00B103C5">
              <w:rPr>
                <w:rFonts w:ascii="Times New Roman" w:hAnsi="Times New Roman" w:cs="Times New Roman"/>
                <w:sz w:val="24"/>
                <w:szCs w:val="24"/>
              </w:rPr>
              <w:t>"</w:t>
            </w:r>
            <w:r w:rsidRPr="00D05FAA">
              <w:rPr>
                <w:rFonts w:ascii="Times New Roman" w:hAnsi="Times New Roman" w:cs="Times New Roman"/>
                <w:sz w:val="24"/>
                <w:szCs w:val="24"/>
              </w:rPr>
              <w:t>. Projekts paredz lietot terminu “meitas sabiedrība” FITL 1. panta otrās daļas 2. punkta izpratnē. Minētais termins pēc būtības arī sakrīt ar Gada pārskatu un konsolidēto gada pārskatu likuma 61. un 62. pantā lietoto terminoloģiju. Šāda “meitas sabiedrības” izpratne ir vērsta arī uz mazākuma dalībnieku un potenciālo investoru aizsardzību, jo aptver jebkuru kontrolē esošu sabiedrību. Šāda izpratne arī atvieglos informācijas norādīšanu finanšu pārskatos, jo būs vienota izpratne par meitas sabiedrībām.</w:t>
            </w:r>
          </w:p>
          <w:p w14:paraId="3B293AEC" w14:textId="77777777" w:rsidR="006914CD" w:rsidRPr="00312898" w:rsidRDefault="00443949" w:rsidP="00443949">
            <w:pPr>
              <w:spacing w:after="0" w:line="240" w:lineRule="auto"/>
              <w:ind w:firstLine="284"/>
              <w:jc w:val="both"/>
              <w:rPr>
                <w:rFonts w:ascii="Times New Roman" w:hAnsi="Times New Roman" w:cs="Times New Roman"/>
                <w:sz w:val="24"/>
                <w:szCs w:val="24"/>
              </w:rPr>
            </w:pPr>
            <w:r w:rsidRPr="00D05FAA">
              <w:rPr>
                <w:rFonts w:ascii="Times New Roman" w:hAnsi="Times New Roman" w:cs="Times New Roman"/>
                <w:sz w:val="24"/>
                <w:szCs w:val="24"/>
              </w:rPr>
              <w:t xml:space="preserve">Direktīva (9.c panta 6. punkts) pieļauj paredzēt konkrētus </w:t>
            </w:r>
            <w:r w:rsidRPr="00312898">
              <w:rPr>
                <w:rFonts w:ascii="Times New Roman" w:hAnsi="Times New Roman" w:cs="Times New Roman"/>
                <w:sz w:val="24"/>
                <w:szCs w:val="24"/>
              </w:rPr>
              <w:t xml:space="preserve">izņēmumus attiecībā uz darījumu veidiem vai darījumu subjektiem. Projekts neparedz izņēmumus, jo jebkurš izņēmums samazinātu mazākuma akcionāru interešu aizsardzību. Turklāt esošais saistīto pušu darījumu regulējums pastāv jau no 2017. gada un līdz šim nav identificētas būtiskas prakses problēmas saistībā ar izņēmumu neesamību. </w:t>
            </w:r>
          </w:p>
          <w:p w14:paraId="4AD0D74B" w14:textId="77777777" w:rsidR="007D2656" w:rsidRPr="00312898" w:rsidRDefault="007D2656" w:rsidP="00443949">
            <w:pPr>
              <w:spacing w:after="0" w:line="240" w:lineRule="auto"/>
              <w:ind w:firstLine="284"/>
              <w:jc w:val="both"/>
              <w:rPr>
                <w:rFonts w:ascii="Times New Roman" w:hAnsi="Times New Roman" w:cs="Times New Roman"/>
                <w:sz w:val="24"/>
                <w:szCs w:val="24"/>
              </w:rPr>
            </w:pPr>
          </w:p>
          <w:p w14:paraId="7773D49C" w14:textId="77777777" w:rsidR="007D2656" w:rsidRPr="00312898" w:rsidRDefault="007D2656" w:rsidP="00443949">
            <w:pPr>
              <w:spacing w:after="0" w:line="240" w:lineRule="auto"/>
              <w:ind w:firstLine="284"/>
              <w:jc w:val="both"/>
              <w:rPr>
                <w:rFonts w:ascii="Times New Roman" w:hAnsi="Times New Roman" w:cs="Times New Roman"/>
                <w:b/>
                <w:sz w:val="24"/>
                <w:szCs w:val="24"/>
              </w:rPr>
            </w:pPr>
            <w:r w:rsidRPr="00312898">
              <w:rPr>
                <w:rFonts w:ascii="Times New Roman" w:hAnsi="Times New Roman" w:cs="Times New Roman"/>
                <w:b/>
                <w:sz w:val="24"/>
                <w:szCs w:val="24"/>
              </w:rPr>
              <w:t>Balsošanas rezultāti</w:t>
            </w:r>
          </w:p>
          <w:p w14:paraId="3C4CEA57" w14:textId="2DCB6638" w:rsidR="007D2656" w:rsidRPr="00312898" w:rsidRDefault="1CB73AEC" w:rsidP="1CB73AEC">
            <w:pPr>
              <w:spacing w:after="0" w:line="240" w:lineRule="auto"/>
              <w:ind w:firstLine="284"/>
              <w:jc w:val="both"/>
              <w:rPr>
                <w:rFonts w:ascii="Times New Roman" w:hAnsi="Times New Roman" w:cs="Times New Roman"/>
                <w:sz w:val="24"/>
                <w:szCs w:val="24"/>
              </w:rPr>
            </w:pPr>
            <w:r w:rsidRPr="00312898">
              <w:rPr>
                <w:rFonts w:ascii="Times New Roman" w:hAnsi="Times New Roman" w:cs="Times New Roman"/>
                <w:sz w:val="24"/>
                <w:szCs w:val="24"/>
              </w:rPr>
              <w:t xml:space="preserve">FITL 54. panta trīspadsmitā daļa šobrīd paredz stingrākas prasības nekā Direktīvas 2007/36/EK 14. panta 1. punkts, jo paredz norādīt arī akcionāru sapulcē piedalījušos balsstiesīgo akcionāru skaitu. Atbilstoši Komerclikuma 285. pantam akcionāru skaits arī nav akcionāru sapulces protokolā obligāti norādāmā informācija. Līdz ar to šāds pienākums varētu radīt papildu slogu akciju sabiedrībām. Grozījumi FITL 54. pantā paredz, ka turpmāk ir jānorāda nevis akcionāru skaits, bet tikai piedalījušos balsstiesīgo akciju skaits. Šāda prasība </w:t>
            </w:r>
            <w:r w:rsidR="00063AB4">
              <w:rPr>
                <w:rFonts w:ascii="Times New Roman" w:hAnsi="Times New Roman" w:cs="Times New Roman"/>
                <w:sz w:val="24"/>
                <w:szCs w:val="24"/>
              </w:rPr>
              <w:t>p</w:t>
            </w:r>
            <w:r w:rsidRPr="00312898">
              <w:rPr>
                <w:rFonts w:ascii="Times New Roman" w:hAnsi="Times New Roman" w:cs="Times New Roman"/>
                <w:sz w:val="24"/>
                <w:szCs w:val="24"/>
              </w:rPr>
              <w:t>rojektā ietverta arī attiecībā uz balsojumu par atalgojuma politiku.</w:t>
            </w:r>
          </w:p>
          <w:p w14:paraId="3880F05A" w14:textId="0E4378C9" w:rsidR="007D2656" w:rsidRPr="008B10D4" w:rsidRDefault="007D2656" w:rsidP="1CB73AEC">
            <w:pPr>
              <w:spacing w:after="0" w:line="240" w:lineRule="auto"/>
              <w:ind w:firstLine="284"/>
              <w:jc w:val="both"/>
              <w:rPr>
                <w:rFonts w:ascii="Times New Roman" w:hAnsi="Times New Roman" w:cs="Times New Roman"/>
                <w:color w:val="FF0000"/>
                <w:sz w:val="24"/>
                <w:szCs w:val="24"/>
              </w:rPr>
            </w:pPr>
          </w:p>
          <w:p w14:paraId="55CE8BBA" w14:textId="3E8B3151" w:rsidR="007D2656" w:rsidRPr="008B10D4" w:rsidRDefault="1CB73AEC" w:rsidP="1CB73AEC">
            <w:pPr>
              <w:spacing w:after="0" w:line="240" w:lineRule="auto"/>
              <w:ind w:firstLine="270"/>
              <w:jc w:val="both"/>
            </w:pPr>
            <w:r w:rsidRPr="1CB73AEC">
              <w:rPr>
                <w:rFonts w:ascii="Times New Roman" w:eastAsia="Times New Roman" w:hAnsi="Times New Roman" w:cs="Times New Roman"/>
                <w:b/>
                <w:bCs/>
                <w:sz w:val="24"/>
                <w:szCs w:val="24"/>
                <w:lang w:val="lv"/>
              </w:rPr>
              <w:t>Akcionāru identitātes noskaidrošana</w:t>
            </w:r>
          </w:p>
          <w:p w14:paraId="6B35E6BB" w14:textId="169CA529" w:rsidR="007D2656" w:rsidRPr="008B10D4" w:rsidRDefault="1CB73AEC" w:rsidP="1CB73AEC">
            <w:pPr>
              <w:spacing w:after="0" w:line="240" w:lineRule="auto"/>
              <w:ind w:firstLine="270"/>
              <w:jc w:val="both"/>
            </w:pPr>
            <w:r w:rsidRPr="1CB73AEC">
              <w:rPr>
                <w:rFonts w:ascii="Times New Roman" w:eastAsia="Times New Roman" w:hAnsi="Times New Roman" w:cs="Times New Roman"/>
                <w:sz w:val="24"/>
                <w:szCs w:val="24"/>
                <w:lang w:val="lv"/>
              </w:rPr>
              <w:t xml:space="preserve">Lai veicinātu akcionāru ilgtermiņa iesaisti </w:t>
            </w:r>
            <w:r w:rsidR="00E67149">
              <w:rPr>
                <w:rFonts w:ascii="Times New Roman" w:eastAsia="Times New Roman" w:hAnsi="Times New Roman" w:cs="Times New Roman"/>
                <w:sz w:val="24"/>
                <w:szCs w:val="24"/>
                <w:lang w:val="lv"/>
              </w:rPr>
              <w:t>akciju</w:t>
            </w:r>
            <w:r w:rsidR="00052720">
              <w:rPr>
                <w:rFonts w:ascii="Times New Roman" w:eastAsia="Times New Roman" w:hAnsi="Times New Roman" w:cs="Times New Roman"/>
                <w:sz w:val="24"/>
                <w:szCs w:val="24"/>
                <w:lang w:val="lv"/>
              </w:rPr>
              <w:t xml:space="preserve"> </w:t>
            </w:r>
            <w:r w:rsidRPr="1CB73AEC">
              <w:rPr>
                <w:rFonts w:ascii="Times New Roman" w:eastAsia="Times New Roman" w:hAnsi="Times New Roman" w:cs="Times New Roman"/>
                <w:sz w:val="24"/>
                <w:szCs w:val="24"/>
                <w:lang w:val="lv"/>
              </w:rPr>
              <w:t xml:space="preserve">sabiedrību pārvaldē, projekts paredz </w:t>
            </w:r>
            <w:r w:rsidR="00052720">
              <w:rPr>
                <w:rFonts w:ascii="Times New Roman" w:eastAsia="Times New Roman" w:hAnsi="Times New Roman" w:cs="Times New Roman"/>
                <w:sz w:val="24"/>
                <w:szCs w:val="24"/>
                <w:lang w:val="lv"/>
              </w:rPr>
              <w:t xml:space="preserve">akciju </w:t>
            </w:r>
            <w:r w:rsidRPr="1CB73AEC">
              <w:rPr>
                <w:rFonts w:ascii="Times New Roman" w:eastAsia="Times New Roman" w:hAnsi="Times New Roman" w:cs="Times New Roman"/>
                <w:sz w:val="24"/>
                <w:szCs w:val="24"/>
                <w:lang w:val="lv"/>
              </w:rPr>
              <w:t xml:space="preserve">sabiedrībām tiesības noskaidrot savus akcionārus, kā arī iegūt to kontaktinformāciju (adresi vai e-pasta adresi, ja tāda ir pieejama, kā arī citu informāciju). Plānots, ka </w:t>
            </w:r>
            <w:r w:rsidR="00052720">
              <w:rPr>
                <w:rFonts w:ascii="Times New Roman" w:eastAsia="Times New Roman" w:hAnsi="Times New Roman" w:cs="Times New Roman"/>
                <w:sz w:val="24"/>
                <w:szCs w:val="24"/>
                <w:lang w:val="lv"/>
              </w:rPr>
              <w:t xml:space="preserve">akciju </w:t>
            </w:r>
            <w:r w:rsidRPr="1CB73AEC">
              <w:rPr>
                <w:rFonts w:ascii="Times New Roman" w:eastAsia="Times New Roman" w:hAnsi="Times New Roman" w:cs="Times New Roman"/>
                <w:sz w:val="24"/>
                <w:szCs w:val="24"/>
                <w:lang w:val="lv"/>
              </w:rPr>
              <w:t xml:space="preserve">sabiedrības iespējas noskaidrot savus akcionārus un tieši komunicēt ar tiem sekmēs akcionāru ilgtermiņa iesaisti </w:t>
            </w:r>
            <w:r w:rsidR="00052720">
              <w:rPr>
                <w:rFonts w:ascii="Times New Roman" w:eastAsia="Times New Roman" w:hAnsi="Times New Roman" w:cs="Times New Roman"/>
                <w:sz w:val="24"/>
                <w:szCs w:val="24"/>
                <w:lang w:val="lv"/>
              </w:rPr>
              <w:t xml:space="preserve">akciju </w:t>
            </w:r>
            <w:r w:rsidRPr="1CB73AEC">
              <w:rPr>
                <w:rFonts w:ascii="Times New Roman" w:eastAsia="Times New Roman" w:hAnsi="Times New Roman" w:cs="Times New Roman"/>
                <w:sz w:val="24"/>
                <w:szCs w:val="24"/>
                <w:lang w:val="lv"/>
              </w:rPr>
              <w:t xml:space="preserve">sabiedrības pārvaldībā. </w:t>
            </w:r>
          </w:p>
          <w:p w14:paraId="061AC199" w14:textId="0A3E0F0C" w:rsidR="007D2656" w:rsidRPr="008B10D4" w:rsidRDefault="1CB73AEC" w:rsidP="1CB73AEC">
            <w:pPr>
              <w:spacing w:after="0" w:line="240" w:lineRule="auto"/>
              <w:ind w:firstLine="270"/>
              <w:jc w:val="both"/>
            </w:pPr>
            <w:r w:rsidRPr="1CB73AEC">
              <w:rPr>
                <w:rFonts w:ascii="Times New Roman" w:eastAsia="Times New Roman" w:hAnsi="Times New Roman" w:cs="Times New Roman"/>
                <w:sz w:val="24"/>
                <w:szCs w:val="24"/>
                <w:lang w:val="lv"/>
              </w:rPr>
              <w:t>Direktīva paredz iespēju noteikt minimālo līdzdalības slieksni attiecībā uz akcionāru identificēšanu. Šis slieksnis nevar pārsniegt 0,5</w:t>
            </w:r>
            <w:r w:rsidR="00401BD5">
              <w:rPr>
                <w:rFonts w:ascii="Times New Roman" w:eastAsia="Times New Roman" w:hAnsi="Times New Roman" w:cs="Times New Roman"/>
                <w:sz w:val="24"/>
                <w:szCs w:val="24"/>
                <w:lang w:val="lv"/>
              </w:rPr>
              <w:t> </w:t>
            </w:r>
            <w:r w:rsidRPr="1CB73AEC">
              <w:rPr>
                <w:rFonts w:ascii="Times New Roman" w:eastAsia="Times New Roman" w:hAnsi="Times New Roman" w:cs="Times New Roman"/>
                <w:sz w:val="24"/>
                <w:szCs w:val="24"/>
                <w:lang w:val="lv"/>
              </w:rPr>
              <w:t xml:space="preserve">% no sabiedrības balsstiesīgo akciju </w:t>
            </w:r>
            <w:r w:rsidRPr="1CB73AEC">
              <w:rPr>
                <w:rFonts w:ascii="Times New Roman" w:eastAsia="Times New Roman" w:hAnsi="Times New Roman" w:cs="Times New Roman"/>
                <w:sz w:val="24"/>
                <w:szCs w:val="24"/>
                <w:lang w:val="lv"/>
              </w:rPr>
              <w:lastRenderedPageBreak/>
              <w:t xml:space="preserve">skaita. Ņemot vērā Latvijā reģistrētu sabiedrību akcionāru struktūru (lielai daļai akcionāru pieder niecīgs balsstiesīgo akciju skaits), kā arī vairumu citu dalībvalstu plānus neizmantot </w:t>
            </w:r>
            <w:r w:rsidR="009C65D1">
              <w:rPr>
                <w:rFonts w:ascii="Times New Roman" w:eastAsia="Times New Roman" w:hAnsi="Times New Roman" w:cs="Times New Roman"/>
                <w:sz w:val="24"/>
                <w:szCs w:val="24"/>
                <w:lang w:val="lv"/>
              </w:rPr>
              <w:t>D</w:t>
            </w:r>
            <w:r w:rsidR="009C65D1" w:rsidRPr="1CB73AEC">
              <w:rPr>
                <w:rFonts w:ascii="Times New Roman" w:eastAsia="Times New Roman" w:hAnsi="Times New Roman" w:cs="Times New Roman"/>
                <w:sz w:val="24"/>
                <w:szCs w:val="24"/>
                <w:lang w:val="lv"/>
              </w:rPr>
              <w:t xml:space="preserve">irektīvā </w:t>
            </w:r>
            <w:r w:rsidRPr="1CB73AEC">
              <w:rPr>
                <w:rFonts w:ascii="Times New Roman" w:eastAsia="Times New Roman" w:hAnsi="Times New Roman" w:cs="Times New Roman"/>
                <w:sz w:val="24"/>
                <w:szCs w:val="24"/>
                <w:lang w:val="lv"/>
              </w:rPr>
              <w:t xml:space="preserve">paredzēto izvēles iespēju, projekts paredz, ka tiesības identificēt sabiedrības akcionārus attieksies uz ikvienu </w:t>
            </w:r>
            <w:r w:rsidR="00052720">
              <w:rPr>
                <w:rFonts w:ascii="Times New Roman" w:eastAsia="Times New Roman" w:hAnsi="Times New Roman" w:cs="Times New Roman"/>
                <w:sz w:val="24"/>
                <w:szCs w:val="24"/>
                <w:lang w:val="lv"/>
              </w:rPr>
              <w:t xml:space="preserve">akciju </w:t>
            </w:r>
            <w:r w:rsidRPr="1CB73AEC">
              <w:rPr>
                <w:rFonts w:ascii="Times New Roman" w:eastAsia="Times New Roman" w:hAnsi="Times New Roman" w:cs="Times New Roman"/>
                <w:sz w:val="24"/>
                <w:szCs w:val="24"/>
                <w:lang w:val="lv"/>
              </w:rPr>
              <w:t>sabiedrības akcionāru neatkarīgi no tam piederošo balsstiesīgo akciju skaita.</w:t>
            </w:r>
          </w:p>
          <w:p w14:paraId="1102742C" w14:textId="5414F2A5" w:rsidR="007D2656" w:rsidRPr="008B10D4" w:rsidRDefault="1CB73AEC" w:rsidP="1CB73AEC">
            <w:pPr>
              <w:spacing w:after="0" w:line="240" w:lineRule="auto"/>
              <w:ind w:firstLine="270"/>
              <w:jc w:val="both"/>
            </w:pPr>
            <w:r w:rsidRPr="1CB73AEC">
              <w:rPr>
                <w:rFonts w:ascii="Times New Roman" w:eastAsia="Times New Roman" w:hAnsi="Times New Roman" w:cs="Times New Roman"/>
                <w:sz w:val="24"/>
                <w:szCs w:val="24"/>
                <w:lang w:val="lv"/>
              </w:rPr>
              <w:t xml:space="preserve">Ievērojama daļa no </w:t>
            </w:r>
            <w:r w:rsidR="00052720">
              <w:rPr>
                <w:rFonts w:ascii="Times New Roman" w:eastAsia="Times New Roman" w:hAnsi="Times New Roman" w:cs="Times New Roman"/>
                <w:sz w:val="24"/>
                <w:szCs w:val="24"/>
                <w:lang w:val="lv"/>
              </w:rPr>
              <w:t xml:space="preserve">akciju </w:t>
            </w:r>
            <w:r w:rsidRPr="1CB73AEC">
              <w:rPr>
                <w:rFonts w:ascii="Times New Roman" w:eastAsia="Times New Roman" w:hAnsi="Times New Roman" w:cs="Times New Roman"/>
                <w:sz w:val="24"/>
                <w:szCs w:val="24"/>
                <w:lang w:val="lv"/>
              </w:rPr>
              <w:t xml:space="preserve">sabiedrības akcionāriem vēl joprojām ir iekļauti sākotnējā reģistrā, kuru uztur Nasdaq CSD SE. Proti, personas ir ieguvušas </w:t>
            </w:r>
            <w:r w:rsidR="00052720">
              <w:rPr>
                <w:rFonts w:ascii="Times New Roman" w:eastAsia="Times New Roman" w:hAnsi="Times New Roman" w:cs="Times New Roman"/>
                <w:sz w:val="24"/>
                <w:szCs w:val="24"/>
                <w:lang w:val="lv"/>
              </w:rPr>
              <w:t xml:space="preserve">akciju </w:t>
            </w:r>
            <w:r w:rsidRPr="1CB73AEC">
              <w:rPr>
                <w:rFonts w:ascii="Times New Roman" w:eastAsia="Times New Roman" w:hAnsi="Times New Roman" w:cs="Times New Roman"/>
                <w:sz w:val="24"/>
                <w:szCs w:val="24"/>
                <w:lang w:val="lv"/>
              </w:rPr>
              <w:t xml:space="preserve">sabiedrības akcijas sākotnējās izvietošanas rezultātā vai pēc akciju laišanas publiskajā apgrozībā un nav šīs akcijas pārvedušas uz sev piederošu finanšu instrumentu kontu, piemēram, kredītiestādē vai ieguldījumu brokeru sabiedrībā. Tā kā ieraksti sākotnējā reģistrā par šiem akcionāriem var būt veikti sen, tad informācija par šiem akcionāriem var būt nepilnīga vai pat neaktuāla. Līdz ar to var būt situācijas, kad Nasdaq CSD SE kā par sākotnējā reģistra uzturēšanu atbildīgā iestāde nevar </w:t>
            </w:r>
            <w:r w:rsidR="00052720">
              <w:rPr>
                <w:rFonts w:ascii="Times New Roman" w:eastAsia="Times New Roman" w:hAnsi="Times New Roman" w:cs="Times New Roman"/>
                <w:sz w:val="24"/>
                <w:szCs w:val="24"/>
                <w:lang w:val="lv"/>
              </w:rPr>
              <w:t xml:space="preserve">akciju </w:t>
            </w:r>
            <w:r w:rsidRPr="1CB73AEC">
              <w:rPr>
                <w:rFonts w:ascii="Times New Roman" w:eastAsia="Times New Roman" w:hAnsi="Times New Roman" w:cs="Times New Roman"/>
                <w:sz w:val="24"/>
                <w:szCs w:val="24"/>
                <w:lang w:val="lv"/>
              </w:rPr>
              <w:t>sabiedrībai sniegt to informāciju par akcionāriem, kas izriet no Komisijas 2018.</w:t>
            </w:r>
            <w:r w:rsidR="00052720">
              <w:rPr>
                <w:rFonts w:ascii="Times New Roman" w:eastAsia="Times New Roman" w:hAnsi="Times New Roman" w:cs="Times New Roman"/>
                <w:sz w:val="24"/>
                <w:szCs w:val="24"/>
                <w:lang w:val="lv"/>
              </w:rPr>
              <w:t> </w:t>
            </w:r>
            <w:r w:rsidR="29AE8489" w:rsidRPr="1CB73AEC">
              <w:rPr>
                <w:rFonts w:ascii="Times New Roman" w:eastAsia="Times New Roman" w:hAnsi="Times New Roman" w:cs="Times New Roman"/>
                <w:sz w:val="24"/>
                <w:szCs w:val="24"/>
                <w:lang w:val="lv"/>
              </w:rPr>
              <w:t>gada 3. septembra ī</w:t>
            </w:r>
            <w:r w:rsidRPr="1CB73AEC">
              <w:rPr>
                <w:rFonts w:ascii="Times New Roman" w:eastAsia="Times New Roman" w:hAnsi="Times New Roman" w:cs="Times New Roman"/>
                <w:sz w:val="24"/>
                <w:szCs w:val="24"/>
                <w:lang w:val="lv"/>
              </w:rPr>
              <w:t>stenošanas regulas Nr. 2018/1212</w:t>
            </w:r>
            <w:r w:rsidR="00264B18">
              <w:rPr>
                <w:rFonts w:ascii="Times New Roman" w:eastAsia="Times New Roman" w:hAnsi="Times New Roman" w:cs="Times New Roman"/>
                <w:sz w:val="24"/>
                <w:szCs w:val="24"/>
                <w:lang w:val="lv"/>
              </w:rPr>
              <w:t>,</w:t>
            </w:r>
            <w:r w:rsidRPr="1CB73AEC">
              <w:rPr>
                <w:rFonts w:ascii="Times New Roman" w:eastAsia="Times New Roman" w:hAnsi="Times New Roman" w:cs="Times New Roman"/>
                <w:sz w:val="24"/>
                <w:szCs w:val="24"/>
                <w:lang w:val="lv"/>
              </w:rPr>
              <w:t xml:space="preserve"> ar ko nosaka minimālās prasības, lai attiecībā uz akcionāru identifikāciju, informācijas nodošanu un akcionāru tiesību izmantošanas veicināšanu īstenotu Eiropas Parlamenta un Padomes Direktīvu 2007/36/EK (turpmāk - Īstenošanas regula).</w:t>
            </w:r>
            <w:r w:rsidRPr="1CB73AEC">
              <w:rPr>
                <w:rFonts w:ascii="Times New Roman" w:eastAsia="Times New Roman" w:hAnsi="Times New Roman" w:cs="Times New Roman"/>
                <w:b/>
                <w:bCs/>
                <w:sz w:val="24"/>
                <w:szCs w:val="24"/>
                <w:lang w:val="lv"/>
              </w:rPr>
              <w:t xml:space="preserve"> </w:t>
            </w:r>
            <w:r w:rsidRPr="1CB73AEC">
              <w:rPr>
                <w:rFonts w:ascii="Times New Roman" w:eastAsia="Times New Roman" w:hAnsi="Times New Roman" w:cs="Times New Roman"/>
                <w:sz w:val="24"/>
                <w:szCs w:val="24"/>
                <w:lang w:val="lv"/>
              </w:rPr>
              <w:t xml:space="preserve">Līdz ar to Nasdaq CSD SE informāciju par sākotnējā reģistrā iekļautajiem </w:t>
            </w:r>
            <w:r w:rsidR="00052720">
              <w:rPr>
                <w:rFonts w:ascii="Times New Roman" w:eastAsia="Times New Roman" w:hAnsi="Times New Roman" w:cs="Times New Roman"/>
                <w:sz w:val="24"/>
                <w:szCs w:val="24"/>
                <w:lang w:val="lv"/>
              </w:rPr>
              <w:t xml:space="preserve">akciju </w:t>
            </w:r>
            <w:r w:rsidRPr="1CB73AEC">
              <w:rPr>
                <w:rFonts w:ascii="Times New Roman" w:eastAsia="Times New Roman" w:hAnsi="Times New Roman" w:cs="Times New Roman"/>
                <w:sz w:val="24"/>
                <w:szCs w:val="24"/>
                <w:lang w:val="lv"/>
              </w:rPr>
              <w:t>sabiedrību akcionāriem var sniegt tikai tādā apjomā, kādā Nasdaq CSD šī informācija ir pieejama.</w:t>
            </w:r>
          </w:p>
          <w:p w14:paraId="00D54CE6" w14:textId="27C5C2D4" w:rsidR="007D2656" w:rsidRPr="00312898" w:rsidRDefault="1CB73AEC" w:rsidP="00312898">
            <w:pPr>
              <w:spacing w:after="0" w:line="240" w:lineRule="auto"/>
              <w:ind w:firstLine="270"/>
              <w:jc w:val="both"/>
              <w:rPr>
                <w:rFonts w:ascii="Times New Roman" w:eastAsia="Times New Roman" w:hAnsi="Times New Roman" w:cs="Times New Roman"/>
                <w:sz w:val="24"/>
                <w:szCs w:val="24"/>
                <w:lang w:val="lv"/>
              </w:rPr>
            </w:pPr>
            <w:r w:rsidRPr="1CB73AEC">
              <w:rPr>
                <w:rFonts w:ascii="Times New Roman" w:eastAsia="Times New Roman" w:hAnsi="Times New Roman" w:cs="Times New Roman"/>
                <w:sz w:val="24"/>
                <w:szCs w:val="24"/>
                <w:lang w:val="lv"/>
              </w:rPr>
              <w:t xml:space="preserve">Projekts paredz, ka </w:t>
            </w:r>
            <w:r w:rsidR="00052720">
              <w:rPr>
                <w:rFonts w:ascii="Times New Roman" w:eastAsia="Times New Roman" w:hAnsi="Times New Roman" w:cs="Times New Roman"/>
                <w:sz w:val="24"/>
                <w:szCs w:val="24"/>
                <w:lang w:val="lv"/>
              </w:rPr>
              <w:t xml:space="preserve">akciju </w:t>
            </w:r>
            <w:r w:rsidRPr="1CB73AEC">
              <w:rPr>
                <w:rFonts w:ascii="Times New Roman" w:eastAsia="Times New Roman" w:hAnsi="Times New Roman" w:cs="Times New Roman"/>
                <w:sz w:val="24"/>
                <w:szCs w:val="24"/>
                <w:lang w:val="lv"/>
              </w:rPr>
              <w:t xml:space="preserve">sabiedrībai ir tiesības prasīt informāciju par tās akcionāriem no jebkura starpnieku ķēdē esoša starpnieka (finanšu instrumentu konta uzturētāja). Ja akcijas tiek turētas ar vairāku starpnieku starpniecību, tad pēc </w:t>
            </w:r>
            <w:r w:rsidR="00052720">
              <w:rPr>
                <w:rFonts w:ascii="Times New Roman" w:eastAsia="Times New Roman" w:hAnsi="Times New Roman" w:cs="Times New Roman"/>
                <w:sz w:val="24"/>
                <w:szCs w:val="24"/>
                <w:lang w:val="lv"/>
              </w:rPr>
              <w:t xml:space="preserve">akciju </w:t>
            </w:r>
            <w:r w:rsidRPr="1CB73AEC">
              <w:rPr>
                <w:rFonts w:ascii="Times New Roman" w:eastAsia="Times New Roman" w:hAnsi="Times New Roman" w:cs="Times New Roman"/>
                <w:sz w:val="24"/>
                <w:szCs w:val="24"/>
                <w:lang w:val="lv"/>
              </w:rPr>
              <w:t xml:space="preserve">sabiedrības pieprasījuma šī informācija secīgi starpnieku ķēdes ietvaros tiek nodota nākamajam starpniekam. Ja starpniekam ir informācija par </w:t>
            </w:r>
            <w:r w:rsidR="00052720">
              <w:rPr>
                <w:rFonts w:ascii="Times New Roman" w:eastAsia="Times New Roman" w:hAnsi="Times New Roman" w:cs="Times New Roman"/>
                <w:sz w:val="24"/>
                <w:szCs w:val="24"/>
                <w:lang w:val="lv"/>
              </w:rPr>
              <w:t xml:space="preserve">akciju </w:t>
            </w:r>
            <w:r w:rsidR="27962BB6" w:rsidRPr="1CB73AEC">
              <w:rPr>
                <w:rFonts w:ascii="Times New Roman" w:eastAsia="Times New Roman" w:hAnsi="Times New Roman" w:cs="Times New Roman"/>
                <w:sz w:val="24"/>
                <w:szCs w:val="24"/>
                <w:lang w:val="lv"/>
              </w:rPr>
              <w:t>sabiedrības</w:t>
            </w:r>
            <w:r w:rsidRPr="1CB73AEC">
              <w:rPr>
                <w:rFonts w:ascii="Times New Roman" w:eastAsia="Times New Roman" w:hAnsi="Times New Roman" w:cs="Times New Roman"/>
                <w:sz w:val="24"/>
                <w:szCs w:val="24"/>
                <w:lang w:val="lv"/>
              </w:rPr>
              <w:t xml:space="preserve"> akcionāru, tas šo informāciju nodod tieši </w:t>
            </w:r>
            <w:r w:rsidR="00052720">
              <w:rPr>
                <w:rFonts w:ascii="Times New Roman" w:eastAsia="Times New Roman" w:hAnsi="Times New Roman" w:cs="Times New Roman"/>
                <w:sz w:val="24"/>
                <w:szCs w:val="24"/>
                <w:lang w:val="lv"/>
              </w:rPr>
              <w:t xml:space="preserve">akciju </w:t>
            </w:r>
            <w:r w:rsidRPr="1CB73AEC">
              <w:rPr>
                <w:rFonts w:ascii="Times New Roman" w:eastAsia="Times New Roman" w:hAnsi="Times New Roman" w:cs="Times New Roman"/>
                <w:sz w:val="24"/>
                <w:szCs w:val="24"/>
                <w:lang w:val="lv"/>
              </w:rPr>
              <w:t xml:space="preserve">sabiedrībai vai </w:t>
            </w:r>
            <w:r w:rsidR="00052720">
              <w:rPr>
                <w:rFonts w:ascii="Times New Roman" w:eastAsia="Times New Roman" w:hAnsi="Times New Roman" w:cs="Times New Roman"/>
                <w:sz w:val="24"/>
                <w:szCs w:val="24"/>
                <w:lang w:val="lv"/>
              </w:rPr>
              <w:t>tās</w:t>
            </w:r>
            <w:r w:rsidRPr="1CB73AEC">
              <w:rPr>
                <w:rFonts w:ascii="Times New Roman" w:eastAsia="Times New Roman" w:hAnsi="Times New Roman" w:cs="Times New Roman"/>
                <w:sz w:val="24"/>
                <w:szCs w:val="24"/>
                <w:lang w:val="lv"/>
              </w:rPr>
              <w:t xml:space="preserve"> pilnvarotai personai. Vienlaikus ar projektu ieviesta </w:t>
            </w:r>
            <w:r w:rsidR="00EA01D2">
              <w:rPr>
                <w:rFonts w:ascii="Times New Roman" w:eastAsia="Times New Roman" w:hAnsi="Times New Roman" w:cs="Times New Roman"/>
                <w:sz w:val="24"/>
                <w:szCs w:val="24"/>
                <w:lang w:val="lv"/>
              </w:rPr>
              <w:t>D</w:t>
            </w:r>
            <w:r w:rsidR="00EA01D2" w:rsidRPr="1CB73AEC">
              <w:rPr>
                <w:rFonts w:ascii="Times New Roman" w:eastAsia="Times New Roman" w:hAnsi="Times New Roman" w:cs="Times New Roman"/>
                <w:sz w:val="24"/>
                <w:szCs w:val="24"/>
                <w:lang w:val="lv"/>
              </w:rPr>
              <w:t xml:space="preserve">irektīvā </w:t>
            </w:r>
            <w:r w:rsidRPr="1CB73AEC">
              <w:rPr>
                <w:rFonts w:ascii="Times New Roman" w:eastAsia="Times New Roman" w:hAnsi="Times New Roman" w:cs="Times New Roman"/>
                <w:sz w:val="24"/>
                <w:szCs w:val="24"/>
                <w:lang w:val="lv"/>
              </w:rPr>
              <w:t xml:space="preserve">paredzētā iespēja noteikt centrālo vērstpapīru depozitāriju, kurā sākotnēji iegrāmatotas </w:t>
            </w:r>
            <w:r w:rsidR="00052720">
              <w:rPr>
                <w:rFonts w:ascii="Times New Roman" w:eastAsia="Times New Roman" w:hAnsi="Times New Roman" w:cs="Times New Roman"/>
                <w:sz w:val="24"/>
                <w:szCs w:val="24"/>
                <w:lang w:val="lv"/>
              </w:rPr>
              <w:t xml:space="preserve">akciju </w:t>
            </w:r>
            <w:r w:rsidRPr="1CB73AEC">
              <w:rPr>
                <w:rFonts w:ascii="Times New Roman" w:eastAsia="Times New Roman" w:hAnsi="Times New Roman" w:cs="Times New Roman"/>
                <w:sz w:val="24"/>
                <w:szCs w:val="24"/>
                <w:lang w:val="lv"/>
              </w:rPr>
              <w:t xml:space="preserve">sabiedrības akcijas, kā atbildīgo </w:t>
            </w:r>
            <w:r w:rsidR="0F31D732" w:rsidRPr="1CB73AEC">
              <w:rPr>
                <w:rFonts w:ascii="Times New Roman" w:eastAsia="Times New Roman" w:hAnsi="Times New Roman" w:cs="Times New Roman"/>
                <w:sz w:val="24"/>
                <w:szCs w:val="24"/>
                <w:lang w:val="lv"/>
              </w:rPr>
              <w:t>a</w:t>
            </w:r>
            <w:r w:rsidR="5C054864" w:rsidRPr="00312898">
              <w:rPr>
                <w:rFonts w:ascii="Times New Roman" w:eastAsia="Times New Roman" w:hAnsi="Times New Roman" w:cs="Times New Roman"/>
                <w:sz w:val="24"/>
                <w:szCs w:val="24"/>
                <w:lang w:val="lv"/>
              </w:rPr>
              <w:t>ttiecībā uz akcionāru identificējošās informācijas apkopošanu</w:t>
            </w:r>
            <w:r w:rsidRPr="1CB73AEC">
              <w:rPr>
                <w:rFonts w:ascii="Times New Roman" w:eastAsia="Times New Roman" w:hAnsi="Times New Roman" w:cs="Times New Roman"/>
                <w:sz w:val="24"/>
                <w:szCs w:val="24"/>
                <w:lang w:val="lv"/>
              </w:rPr>
              <w:t xml:space="preserve">. Lai gan šī ir dalībvalsts izvēle, secināms, ka </w:t>
            </w:r>
            <w:r w:rsidR="00052720">
              <w:rPr>
                <w:rFonts w:ascii="Times New Roman" w:eastAsia="Times New Roman" w:hAnsi="Times New Roman" w:cs="Times New Roman"/>
                <w:sz w:val="24"/>
                <w:szCs w:val="24"/>
                <w:lang w:val="lv"/>
              </w:rPr>
              <w:t xml:space="preserve">akciju </w:t>
            </w:r>
            <w:r w:rsidRPr="1CB73AEC">
              <w:rPr>
                <w:rFonts w:ascii="Times New Roman" w:eastAsia="Times New Roman" w:hAnsi="Times New Roman" w:cs="Times New Roman"/>
                <w:sz w:val="24"/>
                <w:szCs w:val="24"/>
                <w:lang w:val="lv"/>
              </w:rPr>
              <w:t xml:space="preserve">sabiedrībai, pieprasot informāciju no ķēdē esošiem starpniekiem, būtu ļoti sarežģīti vai pat neiespējami noskaidrot visus savus akcionārus. Proti, </w:t>
            </w:r>
            <w:r w:rsidR="00052720">
              <w:rPr>
                <w:rFonts w:ascii="Times New Roman" w:eastAsia="Times New Roman" w:hAnsi="Times New Roman" w:cs="Times New Roman"/>
                <w:sz w:val="24"/>
                <w:szCs w:val="24"/>
                <w:lang w:val="lv"/>
              </w:rPr>
              <w:t xml:space="preserve">akciju </w:t>
            </w:r>
            <w:r w:rsidRPr="1CB73AEC">
              <w:rPr>
                <w:rFonts w:ascii="Times New Roman" w:eastAsia="Times New Roman" w:hAnsi="Times New Roman" w:cs="Times New Roman"/>
                <w:sz w:val="24"/>
                <w:szCs w:val="24"/>
                <w:lang w:val="lv"/>
              </w:rPr>
              <w:t xml:space="preserve">sabiedrība akcionāru identificēšanā var "izlaist" centrālo vērtspapīru depozitāriju un ar </w:t>
            </w:r>
            <w:r w:rsidR="00F81FF6" w:rsidRPr="00312898">
              <w:rPr>
                <w:rFonts w:ascii="Times New Roman" w:eastAsia="Times New Roman" w:hAnsi="Times New Roman" w:cs="Times New Roman"/>
                <w:sz w:val="24"/>
                <w:szCs w:val="24"/>
                <w:lang w:val="lv"/>
              </w:rPr>
              <w:t>informācijas pieprasījumu</w:t>
            </w:r>
            <w:r w:rsidR="00F81FF6" w:rsidRPr="1CB73AEC">
              <w:rPr>
                <w:rFonts w:ascii="Times New Roman" w:eastAsia="Times New Roman" w:hAnsi="Times New Roman" w:cs="Times New Roman"/>
                <w:sz w:val="24"/>
                <w:szCs w:val="24"/>
                <w:lang w:val="lv"/>
              </w:rPr>
              <w:t xml:space="preserve"> </w:t>
            </w:r>
            <w:r w:rsidRPr="1CB73AEC">
              <w:rPr>
                <w:rFonts w:ascii="Times New Roman" w:eastAsia="Times New Roman" w:hAnsi="Times New Roman" w:cs="Times New Roman"/>
                <w:sz w:val="24"/>
                <w:szCs w:val="24"/>
                <w:lang w:val="lv"/>
              </w:rPr>
              <w:t>vērsties pie katra centrālā vērtspapīru depozitārija dalībnieka (</w:t>
            </w:r>
            <w:hyperlink r:id="rId9">
              <w:r w:rsidRPr="1CB73AEC">
                <w:rPr>
                  <w:rStyle w:val="Hipersaite"/>
                  <w:rFonts w:ascii="Times New Roman" w:eastAsia="Times New Roman" w:hAnsi="Times New Roman" w:cs="Times New Roman"/>
                  <w:color w:val="0000FF"/>
                  <w:sz w:val="24"/>
                  <w:szCs w:val="24"/>
                  <w:lang w:val="lv"/>
                </w:rPr>
                <w:t>https://nasdaqcsd.com/services/services-to-account-operators/list-of-account-operators/</w:t>
              </w:r>
            </w:hyperlink>
            <w:r w:rsidRPr="1CB73AEC">
              <w:rPr>
                <w:rFonts w:ascii="Times New Roman" w:eastAsia="Times New Roman" w:hAnsi="Times New Roman" w:cs="Times New Roman"/>
                <w:color w:val="000000" w:themeColor="text1"/>
                <w:sz w:val="24"/>
                <w:szCs w:val="24"/>
                <w:lang w:val="lv"/>
              </w:rPr>
              <w:t>),</w:t>
            </w:r>
            <w:r w:rsidRPr="1CB73AEC">
              <w:rPr>
                <w:rFonts w:ascii="Times New Roman" w:eastAsia="Times New Roman" w:hAnsi="Times New Roman" w:cs="Times New Roman"/>
                <w:sz w:val="24"/>
                <w:szCs w:val="24"/>
                <w:lang w:val="lv"/>
              </w:rPr>
              <w:t xml:space="preserve"> tomēr garākas </w:t>
            </w:r>
            <w:r w:rsidRPr="1CB73AEC">
              <w:rPr>
                <w:rFonts w:ascii="Times New Roman" w:eastAsia="Times New Roman" w:hAnsi="Times New Roman" w:cs="Times New Roman"/>
                <w:sz w:val="24"/>
                <w:szCs w:val="24"/>
                <w:lang w:val="lv"/>
              </w:rPr>
              <w:lastRenderedPageBreak/>
              <w:t xml:space="preserve">starpnieku ķēdes gadījumā akciju sabiedrībai nebūs pieejama informācija par citiem starpniekiem starpnieku ķēdē. Līdz ar to </w:t>
            </w:r>
            <w:r w:rsidR="00052720">
              <w:rPr>
                <w:rFonts w:ascii="Times New Roman" w:eastAsia="Times New Roman" w:hAnsi="Times New Roman" w:cs="Times New Roman"/>
                <w:sz w:val="24"/>
                <w:szCs w:val="24"/>
                <w:lang w:val="lv"/>
              </w:rPr>
              <w:t xml:space="preserve">akciju </w:t>
            </w:r>
            <w:r w:rsidRPr="1CB73AEC">
              <w:rPr>
                <w:rFonts w:ascii="Times New Roman" w:eastAsia="Times New Roman" w:hAnsi="Times New Roman" w:cs="Times New Roman"/>
                <w:sz w:val="24"/>
                <w:szCs w:val="24"/>
                <w:lang w:val="lv"/>
              </w:rPr>
              <w:t xml:space="preserve">sabiedrībai būtu jāiegulda lieli resursi, lai noskaidrotu visus iespējamos starpniekus, kuri tur attiecīgās sabiedrības akcijas. Tādējādi secināms, ka centrālā vērtspapīru depozitārija noteikšana par atbildīgo attiecībā uz akcionāru identificējošās informācijas apkopošanu ir </w:t>
            </w:r>
            <w:r w:rsidR="00052720">
              <w:rPr>
                <w:rFonts w:ascii="Times New Roman" w:eastAsia="Times New Roman" w:hAnsi="Times New Roman" w:cs="Times New Roman"/>
                <w:sz w:val="24"/>
                <w:szCs w:val="24"/>
                <w:lang w:val="lv"/>
              </w:rPr>
              <w:t xml:space="preserve">akciju </w:t>
            </w:r>
            <w:r w:rsidRPr="1CB73AEC">
              <w:rPr>
                <w:rFonts w:ascii="Times New Roman" w:eastAsia="Times New Roman" w:hAnsi="Times New Roman" w:cs="Times New Roman"/>
                <w:sz w:val="24"/>
                <w:szCs w:val="24"/>
                <w:lang w:val="lv"/>
              </w:rPr>
              <w:t>sabiedrībai ērtākais un reālākais veids akcionāru noskaidrošanai.</w:t>
            </w:r>
          </w:p>
          <w:p w14:paraId="0A0325C6" w14:textId="27870627" w:rsidR="007D2656" w:rsidRPr="008B10D4" w:rsidRDefault="64DB5A0C" w:rsidP="00401BD5">
            <w:pPr>
              <w:spacing w:after="0" w:line="240" w:lineRule="auto"/>
              <w:ind w:firstLine="284"/>
              <w:jc w:val="both"/>
              <w:rPr>
                <w:rFonts w:ascii="Times New Roman" w:eastAsia="Times New Roman" w:hAnsi="Times New Roman" w:cs="Times New Roman"/>
                <w:sz w:val="24"/>
                <w:szCs w:val="24"/>
                <w:lang w:val="lv"/>
              </w:rPr>
            </w:pPr>
            <w:r w:rsidRPr="64DB5A0C">
              <w:rPr>
                <w:rFonts w:ascii="Times New Roman" w:eastAsia="Times New Roman" w:hAnsi="Times New Roman" w:cs="Times New Roman"/>
                <w:sz w:val="24"/>
                <w:szCs w:val="24"/>
                <w:lang w:val="lv"/>
              </w:rPr>
              <w:t xml:space="preserve">Projekts paredz ierobežojumus attiecībā uz to, cik ilgi </w:t>
            </w:r>
            <w:r w:rsidR="00052720">
              <w:rPr>
                <w:rFonts w:ascii="Times New Roman" w:eastAsia="Times New Roman" w:hAnsi="Times New Roman" w:cs="Times New Roman"/>
                <w:sz w:val="24"/>
                <w:szCs w:val="24"/>
                <w:lang w:val="lv"/>
              </w:rPr>
              <w:t xml:space="preserve">akciju </w:t>
            </w:r>
            <w:r w:rsidRPr="64DB5A0C">
              <w:rPr>
                <w:rFonts w:ascii="Times New Roman" w:eastAsia="Times New Roman" w:hAnsi="Times New Roman" w:cs="Times New Roman"/>
                <w:sz w:val="24"/>
                <w:szCs w:val="24"/>
                <w:lang w:val="lv"/>
              </w:rPr>
              <w:t xml:space="preserve">sabiedrība un starpnieks var glabāt informāciju par akcionāriem. Akcionāru identificējošās informācijas noskaidrošana un šīs informācijas glabāšana ir saistīta </w:t>
            </w:r>
            <w:r w:rsidR="0006465E">
              <w:rPr>
                <w:rFonts w:ascii="Times New Roman" w:eastAsia="Times New Roman" w:hAnsi="Times New Roman" w:cs="Times New Roman"/>
                <w:sz w:val="24"/>
                <w:szCs w:val="24"/>
                <w:lang w:val="lv"/>
              </w:rPr>
              <w:t xml:space="preserve">ar </w:t>
            </w:r>
            <w:r w:rsidRPr="64DB5A0C">
              <w:rPr>
                <w:rFonts w:ascii="Times New Roman" w:eastAsia="Times New Roman" w:hAnsi="Times New Roman" w:cs="Times New Roman"/>
                <w:sz w:val="24"/>
                <w:szCs w:val="24"/>
                <w:lang w:val="lv"/>
              </w:rPr>
              <w:t xml:space="preserve">mērķi veicināt saziņu ar akcionāriem un to tiesību realizēšanu. Ņemot vērā minēto, projekts paredz, ka informāciju par akcionāriem var glabāt ne ilgāk par 12 mēnešiem no brīža, kad </w:t>
            </w:r>
            <w:r w:rsidR="00052720">
              <w:rPr>
                <w:rFonts w:ascii="Times New Roman" w:eastAsia="Times New Roman" w:hAnsi="Times New Roman" w:cs="Times New Roman"/>
                <w:sz w:val="24"/>
                <w:szCs w:val="24"/>
                <w:lang w:val="lv"/>
              </w:rPr>
              <w:t>akciju sabiedrība</w:t>
            </w:r>
            <w:r w:rsidRPr="64DB5A0C">
              <w:rPr>
                <w:rFonts w:ascii="Times New Roman" w:eastAsia="Times New Roman" w:hAnsi="Times New Roman" w:cs="Times New Roman"/>
                <w:sz w:val="24"/>
                <w:szCs w:val="24"/>
                <w:lang w:val="lv"/>
              </w:rPr>
              <w:t xml:space="preserve"> ir uzzinājusi, ka persona ir </w:t>
            </w:r>
            <w:r w:rsidR="0006465E">
              <w:rPr>
                <w:rFonts w:ascii="Times New Roman" w:eastAsia="Times New Roman" w:hAnsi="Times New Roman" w:cs="Times New Roman"/>
                <w:sz w:val="24"/>
                <w:szCs w:val="24"/>
                <w:lang w:val="lv"/>
              </w:rPr>
              <w:t>zaudējusi</w:t>
            </w:r>
            <w:r w:rsidR="0006465E" w:rsidRPr="64DB5A0C">
              <w:rPr>
                <w:rFonts w:ascii="Times New Roman" w:eastAsia="Times New Roman" w:hAnsi="Times New Roman" w:cs="Times New Roman"/>
                <w:sz w:val="24"/>
                <w:szCs w:val="24"/>
                <w:lang w:val="lv"/>
              </w:rPr>
              <w:t xml:space="preserve"> </w:t>
            </w:r>
            <w:r w:rsidRPr="64DB5A0C">
              <w:rPr>
                <w:rFonts w:ascii="Times New Roman" w:eastAsia="Times New Roman" w:hAnsi="Times New Roman" w:cs="Times New Roman"/>
                <w:sz w:val="24"/>
                <w:szCs w:val="24"/>
                <w:lang w:val="lv"/>
              </w:rPr>
              <w:t xml:space="preserve">akcionāra </w:t>
            </w:r>
            <w:r w:rsidR="0006465E" w:rsidRPr="64DB5A0C">
              <w:rPr>
                <w:rFonts w:ascii="Times New Roman" w:eastAsia="Times New Roman" w:hAnsi="Times New Roman" w:cs="Times New Roman"/>
                <w:sz w:val="24"/>
                <w:szCs w:val="24"/>
                <w:lang w:val="lv"/>
              </w:rPr>
              <w:t>status</w:t>
            </w:r>
            <w:r w:rsidR="0006465E">
              <w:rPr>
                <w:rFonts w:ascii="Times New Roman" w:eastAsia="Times New Roman" w:hAnsi="Times New Roman" w:cs="Times New Roman"/>
                <w:sz w:val="24"/>
                <w:szCs w:val="24"/>
                <w:lang w:val="lv"/>
              </w:rPr>
              <w:t>u</w:t>
            </w:r>
            <w:r w:rsidRPr="64DB5A0C">
              <w:rPr>
                <w:rFonts w:ascii="Times New Roman" w:eastAsia="Times New Roman" w:hAnsi="Times New Roman" w:cs="Times New Roman"/>
                <w:sz w:val="24"/>
                <w:szCs w:val="24"/>
                <w:lang w:val="lv"/>
              </w:rPr>
              <w:t xml:space="preserve">. Šādas normas esamība neliedz </w:t>
            </w:r>
            <w:r w:rsidR="00052720">
              <w:rPr>
                <w:rFonts w:ascii="Times New Roman" w:eastAsia="Times New Roman" w:hAnsi="Times New Roman" w:cs="Times New Roman"/>
                <w:sz w:val="24"/>
                <w:szCs w:val="24"/>
                <w:lang w:val="lv"/>
              </w:rPr>
              <w:t xml:space="preserve">akciju </w:t>
            </w:r>
            <w:r w:rsidRPr="64DB5A0C">
              <w:rPr>
                <w:rFonts w:ascii="Times New Roman" w:eastAsia="Times New Roman" w:hAnsi="Times New Roman" w:cs="Times New Roman"/>
                <w:sz w:val="24"/>
                <w:szCs w:val="24"/>
                <w:lang w:val="lv"/>
              </w:rPr>
              <w:t xml:space="preserve">sabiedrībai datus glabāt ilgāk, ja tas ir pamatojams un atļauts ar citiem normatīvajiem aktiem. </w:t>
            </w:r>
          </w:p>
          <w:p w14:paraId="73407231" w14:textId="13514C75" w:rsidR="64DB5A0C" w:rsidRDefault="64DB5A0C" w:rsidP="00401BD5">
            <w:pPr>
              <w:spacing w:after="0" w:line="240" w:lineRule="auto"/>
              <w:ind w:firstLine="284"/>
              <w:jc w:val="both"/>
              <w:rPr>
                <w:rFonts w:ascii="Times New Roman" w:eastAsia="Times New Roman" w:hAnsi="Times New Roman" w:cs="Times New Roman"/>
                <w:sz w:val="24"/>
                <w:szCs w:val="24"/>
                <w:lang w:val="lv"/>
              </w:rPr>
            </w:pPr>
          </w:p>
          <w:p w14:paraId="33D722A3" w14:textId="77ADAB31" w:rsidR="007D2656" w:rsidRPr="008B10D4" w:rsidRDefault="1CB73AEC" w:rsidP="00401BD5">
            <w:pPr>
              <w:spacing w:after="0" w:line="240" w:lineRule="auto"/>
              <w:ind w:firstLine="284"/>
              <w:jc w:val="both"/>
              <w:rPr>
                <w:rFonts w:ascii="Times New Roman" w:eastAsia="Times New Roman" w:hAnsi="Times New Roman" w:cs="Times New Roman"/>
                <w:sz w:val="24"/>
                <w:szCs w:val="24"/>
                <w:lang w:val="lv"/>
              </w:rPr>
            </w:pPr>
            <w:r w:rsidRPr="1CB73AEC">
              <w:rPr>
                <w:rFonts w:ascii="Times New Roman" w:eastAsia="Times New Roman" w:hAnsi="Times New Roman" w:cs="Times New Roman"/>
                <w:b/>
                <w:bCs/>
                <w:sz w:val="24"/>
                <w:szCs w:val="24"/>
                <w:lang w:val="lv"/>
              </w:rPr>
              <w:t>Starpnieka pienākums nosūtīt informāciju</w:t>
            </w:r>
          </w:p>
          <w:p w14:paraId="3FAB791B" w14:textId="24D98235" w:rsidR="1BA5E260" w:rsidRDefault="1BA5E260" w:rsidP="00401BD5">
            <w:pPr>
              <w:spacing w:after="0" w:line="240" w:lineRule="auto"/>
              <w:ind w:firstLine="284"/>
              <w:jc w:val="both"/>
            </w:pPr>
            <w:r w:rsidRPr="00312898">
              <w:rPr>
                <w:rFonts w:ascii="Times New Roman" w:eastAsia="Times New Roman" w:hAnsi="Times New Roman" w:cs="Times New Roman"/>
                <w:sz w:val="24"/>
                <w:szCs w:val="24"/>
                <w:lang w:val="lv"/>
              </w:rPr>
              <w:t xml:space="preserve">Projekts paredz </w:t>
            </w:r>
            <w:r w:rsidR="00052720">
              <w:rPr>
                <w:rFonts w:ascii="Times New Roman" w:eastAsia="Times New Roman" w:hAnsi="Times New Roman" w:cs="Times New Roman"/>
                <w:sz w:val="24"/>
                <w:szCs w:val="24"/>
                <w:lang w:val="lv"/>
              </w:rPr>
              <w:t xml:space="preserve">akciju </w:t>
            </w:r>
            <w:r w:rsidRPr="00312898">
              <w:rPr>
                <w:rFonts w:ascii="Times New Roman" w:eastAsia="Times New Roman" w:hAnsi="Times New Roman" w:cs="Times New Roman"/>
                <w:sz w:val="24"/>
                <w:szCs w:val="24"/>
                <w:lang w:val="lv"/>
              </w:rPr>
              <w:t xml:space="preserve">sabiedrībai tiesības prasīt starpniekam, lai tas pārsūta akcionāriem informāciju, kas nepieciešama akcionāra tiesību izmantošanai, piemēram, informāciju par tiesībām piedalīties akcionāru sapulcē, noteikt darba kārtību, kā arī informāciju par korporatīvajiem notikumiem (dividenžu izmaksu, akciju konversiju).  Ja informācija, kas nepieciešama akcionāra tiesību izmantošanai ir publicēta </w:t>
            </w:r>
            <w:r w:rsidR="00052720">
              <w:rPr>
                <w:rFonts w:ascii="Times New Roman" w:eastAsia="Times New Roman" w:hAnsi="Times New Roman" w:cs="Times New Roman"/>
                <w:sz w:val="24"/>
                <w:szCs w:val="24"/>
                <w:lang w:val="lv"/>
              </w:rPr>
              <w:t xml:space="preserve">akciju </w:t>
            </w:r>
            <w:r w:rsidRPr="00312898">
              <w:rPr>
                <w:rFonts w:ascii="Times New Roman" w:eastAsia="Times New Roman" w:hAnsi="Times New Roman" w:cs="Times New Roman"/>
                <w:sz w:val="24"/>
                <w:szCs w:val="24"/>
                <w:lang w:val="lv"/>
              </w:rPr>
              <w:t xml:space="preserve">sabiedrības mājaslapā, </w:t>
            </w:r>
            <w:r w:rsidR="00052720">
              <w:rPr>
                <w:rFonts w:ascii="Times New Roman" w:eastAsia="Times New Roman" w:hAnsi="Times New Roman" w:cs="Times New Roman"/>
                <w:sz w:val="24"/>
                <w:szCs w:val="24"/>
                <w:lang w:val="lv"/>
              </w:rPr>
              <w:t xml:space="preserve">akciju </w:t>
            </w:r>
            <w:r w:rsidRPr="00312898">
              <w:rPr>
                <w:rFonts w:ascii="Times New Roman" w:eastAsia="Times New Roman" w:hAnsi="Times New Roman" w:cs="Times New Roman"/>
                <w:sz w:val="24"/>
                <w:szCs w:val="24"/>
                <w:lang w:val="lv"/>
              </w:rPr>
              <w:t xml:space="preserve">sabiedrība var prasīt starpniekiem, lai akcionāram tiktu nosūtīts paziņojums ar norādi, kur </w:t>
            </w:r>
            <w:r w:rsidR="00052720">
              <w:rPr>
                <w:rFonts w:ascii="Times New Roman" w:eastAsia="Times New Roman" w:hAnsi="Times New Roman" w:cs="Times New Roman"/>
                <w:sz w:val="24"/>
                <w:szCs w:val="24"/>
                <w:lang w:val="lv"/>
              </w:rPr>
              <w:t xml:space="preserve">akciju </w:t>
            </w:r>
            <w:r w:rsidRPr="00312898">
              <w:rPr>
                <w:rFonts w:ascii="Times New Roman" w:eastAsia="Times New Roman" w:hAnsi="Times New Roman" w:cs="Times New Roman"/>
                <w:sz w:val="24"/>
                <w:szCs w:val="24"/>
                <w:lang w:val="lv"/>
              </w:rPr>
              <w:t>sabiedrības mājaslapā šī informācija ir pieejama (pi</w:t>
            </w:r>
            <w:r w:rsidR="7AC721E9" w:rsidRPr="00312898">
              <w:rPr>
                <w:rFonts w:ascii="Times New Roman" w:eastAsia="Times New Roman" w:hAnsi="Times New Roman" w:cs="Times New Roman"/>
                <w:sz w:val="24"/>
                <w:szCs w:val="24"/>
                <w:lang w:val="lv"/>
              </w:rPr>
              <w:t>e</w:t>
            </w:r>
            <w:r w:rsidRPr="00312898">
              <w:rPr>
                <w:rFonts w:ascii="Times New Roman" w:eastAsia="Times New Roman" w:hAnsi="Times New Roman" w:cs="Times New Roman"/>
                <w:sz w:val="24"/>
                <w:szCs w:val="24"/>
                <w:lang w:val="lv"/>
              </w:rPr>
              <w:t>mēram, saite uz attiecīgo informāciju vai precīzs mājasl</w:t>
            </w:r>
            <w:r w:rsidR="00EBE697" w:rsidRPr="00312898">
              <w:rPr>
                <w:rFonts w:ascii="Times New Roman" w:eastAsia="Times New Roman" w:hAnsi="Times New Roman" w:cs="Times New Roman"/>
                <w:sz w:val="24"/>
                <w:szCs w:val="24"/>
                <w:lang w:val="lv"/>
              </w:rPr>
              <w:t>a</w:t>
            </w:r>
            <w:r w:rsidRPr="00312898">
              <w:rPr>
                <w:rFonts w:ascii="Times New Roman" w:eastAsia="Times New Roman" w:hAnsi="Times New Roman" w:cs="Times New Roman"/>
                <w:sz w:val="24"/>
                <w:szCs w:val="24"/>
                <w:lang w:val="lv"/>
              </w:rPr>
              <w:t xml:space="preserve">pas sadaļas apraksts, kas ļauj akcionāram viegli atrast </w:t>
            </w:r>
            <w:r w:rsidR="00EBE697" w:rsidRPr="00312898">
              <w:rPr>
                <w:rFonts w:ascii="Times New Roman" w:eastAsia="Times New Roman" w:hAnsi="Times New Roman" w:cs="Times New Roman"/>
                <w:sz w:val="24"/>
                <w:szCs w:val="24"/>
                <w:lang w:val="lv"/>
              </w:rPr>
              <w:t xml:space="preserve">vajadzīgo </w:t>
            </w:r>
            <w:r w:rsidRPr="00312898">
              <w:rPr>
                <w:rFonts w:ascii="Times New Roman" w:eastAsia="Times New Roman" w:hAnsi="Times New Roman" w:cs="Times New Roman"/>
                <w:sz w:val="24"/>
                <w:szCs w:val="24"/>
                <w:lang w:val="lv"/>
              </w:rPr>
              <w:t>informāciju). Projekt</w:t>
            </w:r>
            <w:r w:rsidR="138C0969" w:rsidRPr="00312898">
              <w:rPr>
                <w:rFonts w:ascii="Times New Roman" w:eastAsia="Times New Roman" w:hAnsi="Times New Roman" w:cs="Times New Roman"/>
                <w:sz w:val="24"/>
                <w:szCs w:val="24"/>
                <w:lang w:val="lv"/>
              </w:rPr>
              <w:t>ā vispārīgi nostiprināt</w:t>
            </w:r>
            <w:r w:rsidR="257706D1" w:rsidRPr="00312898">
              <w:rPr>
                <w:rFonts w:ascii="Times New Roman" w:eastAsia="Times New Roman" w:hAnsi="Times New Roman" w:cs="Times New Roman"/>
                <w:sz w:val="24"/>
                <w:szCs w:val="24"/>
                <w:lang w:val="lv"/>
              </w:rPr>
              <w:t>a</w:t>
            </w:r>
            <w:r w:rsidR="138C0969" w:rsidRPr="00312898">
              <w:rPr>
                <w:rFonts w:ascii="Times New Roman" w:eastAsia="Times New Roman" w:hAnsi="Times New Roman" w:cs="Times New Roman"/>
                <w:sz w:val="24"/>
                <w:szCs w:val="24"/>
                <w:lang w:val="lv"/>
              </w:rPr>
              <w:t>s</w:t>
            </w:r>
            <w:r w:rsidRPr="00312898">
              <w:rPr>
                <w:rFonts w:ascii="Times New Roman" w:eastAsia="Times New Roman" w:hAnsi="Times New Roman" w:cs="Times New Roman"/>
                <w:sz w:val="24"/>
                <w:szCs w:val="24"/>
                <w:lang w:val="lv"/>
              </w:rPr>
              <w:t xml:space="preserve"> arī akcionāra </w:t>
            </w:r>
            <w:r w:rsidR="12956E20" w:rsidRPr="00312898">
              <w:rPr>
                <w:rFonts w:ascii="Times New Roman" w:eastAsia="Times New Roman" w:hAnsi="Times New Roman" w:cs="Times New Roman"/>
                <w:sz w:val="24"/>
                <w:szCs w:val="24"/>
                <w:lang w:val="lv"/>
              </w:rPr>
              <w:t xml:space="preserve">tiesības </w:t>
            </w:r>
            <w:r w:rsidRPr="00312898">
              <w:rPr>
                <w:rFonts w:ascii="Times New Roman" w:eastAsia="Times New Roman" w:hAnsi="Times New Roman" w:cs="Times New Roman"/>
                <w:sz w:val="24"/>
                <w:szCs w:val="24"/>
                <w:lang w:val="lv"/>
              </w:rPr>
              <w:t xml:space="preserve">nodot informāciju </w:t>
            </w:r>
            <w:r w:rsidR="00052720">
              <w:rPr>
                <w:rFonts w:ascii="Times New Roman" w:eastAsia="Times New Roman" w:hAnsi="Times New Roman" w:cs="Times New Roman"/>
                <w:sz w:val="24"/>
                <w:szCs w:val="24"/>
                <w:lang w:val="lv"/>
              </w:rPr>
              <w:t xml:space="preserve">akciju </w:t>
            </w:r>
            <w:r w:rsidRPr="00312898">
              <w:rPr>
                <w:rFonts w:ascii="Times New Roman" w:eastAsia="Times New Roman" w:hAnsi="Times New Roman" w:cs="Times New Roman"/>
                <w:sz w:val="24"/>
                <w:szCs w:val="24"/>
                <w:lang w:val="lv"/>
              </w:rPr>
              <w:t>sabiedrībai. Detalizēta kārtība informācijas nosūtīšanai noteikta Īstenošanas regulā.</w:t>
            </w:r>
          </w:p>
          <w:p w14:paraId="34BCDFF2" w14:textId="77777777" w:rsidR="00401BD5" w:rsidRDefault="00401BD5" w:rsidP="00401BD5">
            <w:pPr>
              <w:spacing w:after="0" w:line="240" w:lineRule="auto"/>
              <w:ind w:firstLine="284"/>
              <w:jc w:val="both"/>
              <w:rPr>
                <w:rFonts w:ascii="Times New Roman" w:eastAsia="Times New Roman" w:hAnsi="Times New Roman" w:cs="Times New Roman"/>
                <w:b/>
                <w:bCs/>
                <w:sz w:val="24"/>
                <w:szCs w:val="24"/>
                <w:lang w:val="lv"/>
              </w:rPr>
            </w:pPr>
          </w:p>
          <w:p w14:paraId="5237A4C3" w14:textId="3BB89F1D" w:rsidR="00401BD5" w:rsidRDefault="2F97DE69" w:rsidP="00401BD5">
            <w:pPr>
              <w:spacing w:after="0" w:line="240" w:lineRule="auto"/>
              <w:ind w:firstLine="284"/>
              <w:jc w:val="both"/>
              <w:rPr>
                <w:rFonts w:ascii="Times New Roman" w:eastAsia="Times New Roman" w:hAnsi="Times New Roman" w:cs="Times New Roman"/>
                <w:b/>
                <w:bCs/>
                <w:sz w:val="24"/>
                <w:szCs w:val="24"/>
                <w:lang w:val="lv"/>
              </w:rPr>
            </w:pPr>
            <w:r w:rsidRPr="00312898">
              <w:rPr>
                <w:rFonts w:ascii="Times New Roman" w:eastAsia="Times New Roman" w:hAnsi="Times New Roman" w:cs="Times New Roman"/>
                <w:b/>
                <w:bCs/>
                <w:sz w:val="24"/>
                <w:szCs w:val="24"/>
                <w:lang w:val="lv"/>
              </w:rPr>
              <w:t>Akcionāru tiesību izmantošanas veicināšana</w:t>
            </w:r>
          </w:p>
          <w:p w14:paraId="74C3900F" w14:textId="33DD7754" w:rsidR="7EE11621" w:rsidRPr="00312898" w:rsidRDefault="01528445" w:rsidP="00401BD5">
            <w:pPr>
              <w:spacing w:after="0" w:line="240" w:lineRule="auto"/>
              <w:ind w:firstLine="284"/>
              <w:jc w:val="both"/>
              <w:rPr>
                <w:rFonts w:ascii="Times New Roman" w:eastAsia="Times New Roman" w:hAnsi="Times New Roman" w:cs="Times New Roman"/>
                <w:sz w:val="24"/>
                <w:szCs w:val="24"/>
                <w:lang w:val="lv"/>
              </w:rPr>
            </w:pPr>
            <w:r w:rsidRPr="00312898">
              <w:rPr>
                <w:rFonts w:ascii="Times New Roman" w:eastAsia="Times New Roman" w:hAnsi="Times New Roman" w:cs="Times New Roman"/>
                <w:sz w:val="24"/>
                <w:szCs w:val="24"/>
                <w:lang w:val="lv"/>
              </w:rPr>
              <w:t>Projekta mērķis ir panākt, lai starpnieki sekmētu akcionāra tiesību izmantošanu. Projektā vispārīgi nostiprināts pienākums starpniekam veikt visus iespējamos pasākumus, lai veicinātu akcionāra tiesību izlietošanu, t.</w:t>
            </w:r>
            <w:r w:rsidR="00401BD5">
              <w:rPr>
                <w:rFonts w:ascii="Times New Roman" w:eastAsia="Times New Roman" w:hAnsi="Times New Roman" w:cs="Times New Roman"/>
                <w:sz w:val="24"/>
                <w:szCs w:val="24"/>
                <w:lang w:val="lv"/>
              </w:rPr>
              <w:t> </w:t>
            </w:r>
            <w:r w:rsidRPr="00312898">
              <w:rPr>
                <w:rFonts w:ascii="Times New Roman" w:eastAsia="Times New Roman" w:hAnsi="Times New Roman" w:cs="Times New Roman"/>
                <w:sz w:val="24"/>
                <w:szCs w:val="24"/>
                <w:lang w:val="lv"/>
              </w:rPr>
              <w:t xml:space="preserve">sk. piedalīšanos akcionāru sapulcē. Starpnieks pats akcionāru sapulcē var piedalīties tikai akcionāra tiešā uzdevumā. Projekts nosaka arī vispārīgas prasības attiecībā </w:t>
            </w:r>
            <w:r w:rsidR="22068EA8" w:rsidRPr="00312898">
              <w:rPr>
                <w:rFonts w:ascii="Times New Roman" w:eastAsia="Times New Roman" w:hAnsi="Times New Roman" w:cs="Times New Roman"/>
                <w:sz w:val="24"/>
                <w:szCs w:val="24"/>
                <w:lang w:val="lv"/>
              </w:rPr>
              <w:t>apstiprinājum</w:t>
            </w:r>
            <w:r w:rsidR="2B5FE02D" w:rsidRPr="00312898">
              <w:rPr>
                <w:rFonts w:ascii="Times New Roman" w:eastAsia="Times New Roman" w:hAnsi="Times New Roman" w:cs="Times New Roman"/>
                <w:sz w:val="24"/>
                <w:szCs w:val="24"/>
                <w:lang w:val="lv"/>
              </w:rPr>
              <w:t>iem</w:t>
            </w:r>
            <w:r w:rsidR="22068EA8" w:rsidRPr="00312898">
              <w:rPr>
                <w:rFonts w:ascii="Times New Roman" w:eastAsia="Times New Roman" w:hAnsi="Times New Roman" w:cs="Times New Roman"/>
                <w:sz w:val="24"/>
                <w:szCs w:val="24"/>
                <w:lang w:val="lv"/>
              </w:rPr>
              <w:t xml:space="preserve"> </w:t>
            </w:r>
            <w:r w:rsidRPr="00312898">
              <w:rPr>
                <w:rFonts w:ascii="Times New Roman" w:eastAsia="Times New Roman" w:hAnsi="Times New Roman" w:cs="Times New Roman"/>
                <w:sz w:val="24"/>
                <w:szCs w:val="24"/>
                <w:lang w:val="lv"/>
              </w:rPr>
              <w:t>elektroniska balsojuma saņemša</w:t>
            </w:r>
            <w:r w:rsidR="5B7455AB" w:rsidRPr="00312898">
              <w:rPr>
                <w:rFonts w:ascii="Times New Roman" w:eastAsia="Times New Roman" w:hAnsi="Times New Roman" w:cs="Times New Roman"/>
                <w:sz w:val="24"/>
                <w:szCs w:val="24"/>
                <w:lang w:val="lv"/>
              </w:rPr>
              <w:t>nā</w:t>
            </w:r>
            <w:r w:rsidR="2B5FE02D" w:rsidRPr="00312898">
              <w:rPr>
                <w:rFonts w:ascii="Times New Roman" w:eastAsia="Times New Roman" w:hAnsi="Times New Roman" w:cs="Times New Roman"/>
                <w:sz w:val="24"/>
                <w:szCs w:val="24"/>
                <w:lang w:val="lv"/>
              </w:rPr>
              <w:t>, kā arī</w:t>
            </w:r>
            <w:r w:rsidRPr="00312898">
              <w:rPr>
                <w:rFonts w:ascii="Times New Roman" w:eastAsia="Times New Roman" w:hAnsi="Times New Roman" w:cs="Times New Roman"/>
                <w:sz w:val="24"/>
                <w:szCs w:val="24"/>
                <w:lang w:val="lv"/>
              </w:rPr>
              <w:t xml:space="preserve"> </w:t>
            </w:r>
            <w:r w:rsidR="5B7455AB" w:rsidRPr="00312898">
              <w:rPr>
                <w:rFonts w:ascii="Times New Roman" w:eastAsia="Times New Roman" w:hAnsi="Times New Roman" w:cs="Times New Roman"/>
                <w:sz w:val="24"/>
                <w:szCs w:val="24"/>
                <w:lang w:val="lv"/>
              </w:rPr>
              <w:t xml:space="preserve">attiecībā uz </w:t>
            </w:r>
            <w:r w:rsidRPr="00312898">
              <w:rPr>
                <w:rFonts w:ascii="Times New Roman" w:eastAsia="Times New Roman" w:hAnsi="Times New Roman" w:cs="Times New Roman"/>
                <w:sz w:val="24"/>
                <w:szCs w:val="24"/>
                <w:lang w:val="lv"/>
              </w:rPr>
              <w:t>nodoto balsu reģistrēšan</w:t>
            </w:r>
            <w:r w:rsidR="5B7455AB" w:rsidRPr="00312898">
              <w:rPr>
                <w:rFonts w:ascii="Times New Roman" w:eastAsia="Times New Roman" w:hAnsi="Times New Roman" w:cs="Times New Roman"/>
                <w:sz w:val="24"/>
                <w:szCs w:val="24"/>
                <w:lang w:val="lv"/>
              </w:rPr>
              <w:t>u</w:t>
            </w:r>
            <w:r w:rsidRPr="00312898">
              <w:rPr>
                <w:rFonts w:ascii="Times New Roman" w:eastAsia="Times New Roman" w:hAnsi="Times New Roman" w:cs="Times New Roman"/>
                <w:sz w:val="24"/>
                <w:szCs w:val="24"/>
                <w:lang w:val="lv"/>
              </w:rPr>
              <w:t xml:space="preserve"> likumā noteiktajā kārtībā. Detalizēta kārtība attiecībā uz akcionāra tiesību izmantošanas veicināšanu noteikta Īstenošanas regulā.</w:t>
            </w:r>
          </w:p>
          <w:p w14:paraId="33A3070E" w14:textId="0DA7ADDF" w:rsidR="7EE11621" w:rsidRPr="00312898" w:rsidRDefault="7EE11621" w:rsidP="00401BD5">
            <w:pPr>
              <w:spacing w:after="0" w:line="240" w:lineRule="auto"/>
              <w:ind w:firstLine="284"/>
              <w:jc w:val="both"/>
              <w:rPr>
                <w:rFonts w:ascii="Times New Roman" w:eastAsia="Times New Roman" w:hAnsi="Times New Roman" w:cs="Times New Roman"/>
                <w:b/>
                <w:bCs/>
                <w:sz w:val="24"/>
                <w:szCs w:val="24"/>
                <w:lang w:val="lv"/>
              </w:rPr>
            </w:pPr>
          </w:p>
          <w:p w14:paraId="66D7088F" w14:textId="77777777" w:rsidR="00401BD5" w:rsidRDefault="3824561D" w:rsidP="00401BD5">
            <w:pPr>
              <w:spacing w:after="0" w:line="240" w:lineRule="auto"/>
              <w:ind w:firstLine="284"/>
              <w:jc w:val="both"/>
              <w:rPr>
                <w:rFonts w:ascii="Times New Roman" w:eastAsia="Times New Roman" w:hAnsi="Times New Roman" w:cs="Times New Roman"/>
                <w:b/>
                <w:bCs/>
                <w:sz w:val="24"/>
                <w:szCs w:val="24"/>
                <w:lang w:val="lv"/>
              </w:rPr>
            </w:pPr>
            <w:r w:rsidRPr="00312898">
              <w:rPr>
                <w:rFonts w:ascii="Times New Roman" w:eastAsia="Times New Roman" w:hAnsi="Times New Roman" w:cs="Times New Roman"/>
                <w:b/>
                <w:bCs/>
                <w:sz w:val="24"/>
                <w:szCs w:val="24"/>
                <w:lang w:val="lv"/>
              </w:rPr>
              <w:t>Trešo valstu starpnieki</w:t>
            </w:r>
          </w:p>
          <w:p w14:paraId="09016B56" w14:textId="77777777" w:rsidR="00401BD5" w:rsidRDefault="7F3E9DF5" w:rsidP="00401BD5">
            <w:pPr>
              <w:spacing w:after="0" w:line="240" w:lineRule="auto"/>
              <w:ind w:firstLine="284"/>
              <w:jc w:val="both"/>
              <w:rPr>
                <w:rFonts w:ascii="Times New Roman" w:eastAsia="Times New Roman" w:hAnsi="Times New Roman" w:cs="Times New Roman"/>
                <w:sz w:val="24"/>
                <w:szCs w:val="24"/>
                <w:lang w:val="lv"/>
              </w:rPr>
            </w:pPr>
            <w:r w:rsidRPr="00312898">
              <w:rPr>
                <w:rFonts w:ascii="Times New Roman" w:eastAsia="Times New Roman" w:hAnsi="Times New Roman" w:cs="Times New Roman"/>
                <w:sz w:val="24"/>
                <w:szCs w:val="24"/>
                <w:lang w:val="lv"/>
              </w:rPr>
              <w:t xml:space="preserve">Projekts noteic, ka par starpnieku ir uzskatāms centrālais vērtspapīru depozitārijs, kredītiestāde, ieguldījumu brokeru sabiedrība, kā arī citu persona, kas sniedz finanšu instrumenta konta uzturēšanas un sabiedrības akciju turēšanas pakalpojumus neatkarīgi no </w:t>
            </w:r>
            <w:r w:rsidR="1F8A6398" w:rsidRPr="00312898">
              <w:rPr>
                <w:rFonts w:ascii="Times New Roman" w:eastAsia="Times New Roman" w:hAnsi="Times New Roman" w:cs="Times New Roman"/>
                <w:sz w:val="24"/>
                <w:szCs w:val="24"/>
                <w:lang w:val="lv"/>
              </w:rPr>
              <w:t>star</w:t>
            </w:r>
            <w:r w:rsidR="00401BD5">
              <w:rPr>
                <w:rFonts w:ascii="Times New Roman" w:eastAsia="Times New Roman" w:hAnsi="Times New Roman" w:cs="Times New Roman"/>
                <w:sz w:val="24"/>
                <w:szCs w:val="24"/>
                <w:lang w:val="lv"/>
              </w:rPr>
              <w:t>pnieka</w:t>
            </w:r>
            <w:r w:rsidRPr="00312898">
              <w:rPr>
                <w:rFonts w:ascii="Times New Roman" w:eastAsia="Times New Roman" w:hAnsi="Times New Roman" w:cs="Times New Roman"/>
                <w:sz w:val="24"/>
                <w:szCs w:val="24"/>
                <w:lang w:val="lv"/>
              </w:rPr>
              <w:t xml:space="preserve"> juridiskās adreses vai galvenā biroja atrašanās vietas. Eiropas Ekonomikas zonas ietvaros visiem starpniekiem būs līdzīgas prasības attiecībā uz akcionāru identificēšanas nodrošināšanu</w:t>
            </w:r>
            <w:r w:rsidR="692B0BCC" w:rsidRPr="00312898">
              <w:rPr>
                <w:rFonts w:ascii="Times New Roman" w:eastAsia="Times New Roman" w:hAnsi="Times New Roman" w:cs="Times New Roman"/>
                <w:sz w:val="24"/>
                <w:szCs w:val="24"/>
                <w:lang w:val="lv"/>
              </w:rPr>
              <w:t xml:space="preserve"> un informācijas pārsūtīšanu</w:t>
            </w:r>
            <w:r w:rsidRPr="00312898">
              <w:rPr>
                <w:rFonts w:ascii="Times New Roman" w:eastAsia="Times New Roman" w:hAnsi="Times New Roman" w:cs="Times New Roman"/>
                <w:sz w:val="24"/>
                <w:szCs w:val="24"/>
                <w:lang w:val="lv"/>
              </w:rPr>
              <w:t xml:space="preserve">, savukārt gadījumā, ja būs iesaistīts trešās valsts starpnieks, tad jaunā regulējuma prasību izpilde var būt daudz sarežģītāka. Lai nodrošinātu, ka arī trešo valstu starpniekam pēc būtības ir saistošs projektā noteiktais regulējums par informācijas sniegšanu un pārsūtīšanu, projekts paredz, ka </w:t>
            </w:r>
            <w:r w:rsidR="3F2947A4" w:rsidRPr="00312898">
              <w:rPr>
                <w:rFonts w:ascii="Times New Roman" w:eastAsia="Times New Roman" w:hAnsi="Times New Roman" w:cs="Times New Roman"/>
                <w:sz w:val="24"/>
                <w:szCs w:val="24"/>
                <w:lang w:val="lv"/>
              </w:rPr>
              <w:t>Latvijā reģistrē</w:t>
            </w:r>
            <w:r w:rsidR="0D37C6C2" w:rsidRPr="00312898">
              <w:rPr>
                <w:rFonts w:ascii="Times New Roman" w:eastAsia="Times New Roman" w:hAnsi="Times New Roman" w:cs="Times New Roman"/>
                <w:sz w:val="24"/>
                <w:szCs w:val="24"/>
                <w:lang w:val="lv"/>
              </w:rPr>
              <w:t xml:space="preserve"> </w:t>
            </w:r>
            <w:r w:rsidRPr="00312898">
              <w:rPr>
                <w:rFonts w:ascii="Times New Roman" w:eastAsia="Times New Roman" w:hAnsi="Times New Roman" w:cs="Times New Roman"/>
                <w:sz w:val="24"/>
                <w:szCs w:val="24"/>
                <w:lang w:val="lv"/>
              </w:rPr>
              <w:t>starpnieks līgumos ar trešo valstu starpniekiem iekļauj noteikumus, kas nodrošina šī</w:t>
            </w:r>
            <w:r w:rsidR="0D37C6C2" w:rsidRPr="00312898">
              <w:rPr>
                <w:rFonts w:ascii="Times New Roman" w:eastAsia="Times New Roman" w:hAnsi="Times New Roman" w:cs="Times New Roman"/>
                <w:sz w:val="24"/>
                <w:szCs w:val="24"/>
                <w:lang w:val="lv"/>
              </w:rPr>
              <w:t xml:space="preserve"> projekta</w:t>
            </w:r>
            <w:r w:rsidRPr="00312898">
              <w:rPr>
                <w:rFonts w:ascii="Times New Roman" w:eastAsia="Times New Roman" w:hAnsi="Times New Roman" w:cs="Times New Roman"/>
                <w:sz w:val="24"/>
                <w:szCs w:val="24"/>
                <w:lang w:val="lv"/>
              </w:rPr>
              <w:t xml:space="preserve"> izpildi. Gadījumā, ja trešās valsts starpniekam būs līgumiskas attiecības ar citu trešās valsts starpnieku, tad, lai nodrošinātu līgumisko attiecību izpildi ar pirmo starpnieku, tam šāds noteikums būs jāiekļauj arī savstarpējā līgumā.</w:t>
            </w:r>
          </w:p>
          <w:p w14:paraId="3471D2E5" w14:textId="77777777" w:rsidR="00401BD5" w:rsidRDefault="00401BD5" w:rsidP="00401BD5">
            <w:pPr>
              <w:spacing w:after="0" w:line="240" w:lineRule="auto"/>
              <w:ind w:firstLine="284"/>
              <w:jc w:val="both"/>
              <w:rPr>
                <w:rFonts w:ascii="Times New Roman" w:eastAsia="Times New Roman" w:hAnsi="Times New Roman" w:cs="Times New Roman"/>
                <w:b/>
                <w:bCs/>
                <w:sz w:val="24"/>
                <w:szCs w:val="24"/>
                <w:lang w:val="lv"/>
              </w:rPr>
            </w:pPr>
          </w:p>
          <w:p w14:paraId="64DB8378" w14:textId="167F8083" w:rsidR="48D7C7F9" w:rsidRPr="00401BD5" w:rsidDel="451C62BF" w:rsidRDefault="12167E6F" w:rsidP="00401BD5">
            <w:pPr>
              <w:spacing w:after="0" w:line="240" w:lineRule="auto"/>
              <w:ind w:firstLine="284"/>
              <w:jc w:val="both"/>
              <w:rPr>
                <w:rFonts w:ascii="Times New Roman" w:eastAsia="Times New Roman" w:hAnsi="Times New Roman" w:cs="Times New Roman"/>
                <w:sz w:val="24"/>
                <w:szCs w:val="24"/>
                <w:lang w:val="lv"/>
              </w:rPr>
            </w:pPr>
            <w:r w:rsidRPr="00401BD5">
              <w:rPr>
                <w:rFonts w:ascii="Times New Roman" w:eastAsia="Times New Roman" w:hAnsi="Times New Roman" w:cs="Times New Roman"/>
                <w:b/>
                <w:bCs/>
                <w:sz w:val="24"/>
                <w:szCs w:val="24"/>
                <w:lang w:val="lv"/>
              </w:rPr>
              <w:t>A</w:t>
            </w:r>
            <w:r w:rsidR="6AC822AB" w:rsidRPr="00401BD5">
              <w:rPr>
                <w:rFonts w:ascii="Times New Roman" w:eastAsia="Times New Roman" w:hAnsi="Times New Roman" w:cs="Times New Roman"/>
                <w:b/>
                <w:bCs/>
                <w:sz w:val="24"/>
                <w:szCs w:val="24"/>
                <w:lang w:val="lv"/>
              </w:rPr>
              <w:t>ktīvu pārvaldnieku darbības caurskatāmība</w:t>
            </w:r>
            <w:r w:rsidRPr="00401BD5">
              <w:rPr>
                <w:rFonts w:ascii="Times New Roman" w:eastAsia="Times New Roman" w:hAnsi="Times New Roman" w:cs="Times New Roman"/>
                <w:b/>
                <w:bCs/>
                <w:sz w:val="24"/>
                <w:szCs w:val="24"/>
                <w:lang w:val="lv"/>
              </w:rPr>
              <w:t xml:space="preserve"> (iesaistīšanās politika</w:t>
            </w:r>
            <w:r w:rsidR="7074FE11" w:rsidRPr="00401BD5">
              <w:rPr>
                <w:rFonts w:ascii="Times New Roman" w:eastAsia="Times New Roman" w:hAnsi="Times New Roman" w:cs="Times New Roman"/>
                <w:b/>
                <w:bCs/>
                <w:sz w:val="24"/>
                <w:szCs w:val="24"/>
                <w:lang w:val="lv"/>
              </w:rPr>
              <w:t>s izstrāde)</w:t>
            </w:r>
            <w:r w:rsidR="6AC822AB" w:rsidRPr="00401BD5">
              <w:rPr>
                <w:rFonts w:ascii="Times New Roman" w:eastAsia="Times New Roman" w:hAnsi="Times New Roman" w:cs="Times New Roman"/>
                <w:sz w:val="24"/>
                <w:szCs w:val="24"/>
                <w:lang w:val="lv"/>
              </w:rPr>
              <w:t xml:space="preserve"> </w:t>
            </w:r>
          </w:p>
          <w:p w14:paraId="5A5E9C21" w14:textId="25D24BCF" w:rsidR="48D7C7F9" w:rsidRPr="00401BD5" w:rsidDel="451C62BF" w:rsidRDefault="6AC822AB" w:rsidP="00401BD5">
            <w:pPr>
              <w:spacing w:after="0" w:line="240" w:lineRule="auto"/>
              <w:ind w:firstLine="284"/>
              <w:jc w:val="both"/>
              <w:rPr>
                <w:rFonts w:ascii="Times New Roman" w:eastAsia="Times New Roman" w:hAnsi="Times New Roman" w:cs="Times New Roman"/>
                <w:sz w:val="24"/>
                <w:szCs w:val="24"/>
                <w:lang w:val="lv"/>
              </w:rPr>
            </w:pPr>
            <w:r w:rsidRPr="00401BD5">
              <w:rPr>
                <w:rFonts w:ascii="Times New Roman" w:eastAsia="Times New Roman" w:hAnsi="Times New Roman" w:cs="Times New Roman"/>
                <w:sz w:val="24"/>
                <w:szCs w:val="24"/>
                <w:lang w:val="lv"/>
              </w:rPr>
              <w:t xml:space="preserve">Institucionālie investori un aktīvu pārvaldnieki var būt ietekmīgi </w:t>
            </w:r>
            <w:r w:rsidR="00052720">
              <w:rPr>
                <w:rFonts w:ascii="Times New Roman" w:eastAsia="Times New Roman" w:hAnsi="Times New Roman" w:cs="Times New Roman"/>
                <w:sz w:val="24"/>
                <w:szCs w:val="24"/>
                <w:lang w:val="lv"/>
              </w:rPr>
              <w:t xml:space="preserve">akciju </w:t>
            </w:r>
            <w:r w:rsidRPr="00401BD5">
              <w:rPr>
                <w:rFonts w:ascii="Times New Roman" w:eastAsia="Times New Roman" w:hAnsi="Times New Roman" w:cs="Times New Roman"/>
                <w:sz w:val="24"/>
                <w:szCs w:val="24"/>
                <w:lang w:val="lv"/>
              </w:rPr>
              <w:t xml:space="preserve">sabiedrību akcionāri, tāpēc tie spēlē būtisku lomu </w:t>
            </w:r>
            <w:r w:rsidR="00052720">
              <w:rPr>
                <w:rFonts w:ascii="Times New Roman" w:eastAsia="Times New Roman" w:hAnsi="Times New Roman" w:cs="Times New Roman"/>
                <w:sz w:val="24"/>
                <w:szCs w:val="24"/>
                <w:lang w:val="lv"/>
              </w:rPr>
              <w:t xml:space="preserve">akciju </w:t>
            </w:r>
            <w:r w:rsidRPr="00401BD5">
              <w:rPr>
                <w:rFonts w:ascii="Times New Roman" w:eastAsia="Times New Roman" w:hAnsi="Times New Roman" w:cs="Times New Roman"/>
                <w:sz w:val="24"/>
                <w:szCs w:val="24"/>
                <w:lang w:val="lv"/>
              </w:rPr>
              <w:t xml:space="preserve">sabiedrību korporatīvajā pārvaldē un </w:t>
            </w:r>
            <w:r w:rsidR="00052720">
              <w:rPr>
                <w:rFonts w:ascii="Times New Roman" w:eastAsia="Times New Roman" w:hAnsi="Times New Roman" w:cs="Times New Roman"/>
                <w:sz w:val="24"/>
                <w:szCs w:val="24"/>
                <w:lang w:val="lv"/>
              </w:rPr>
              <w:t>tās</w:t>
            </w:r>
            <w:r w:rsidRPr="00401BD5">
              <w:rPr>
                <w:rFonts w:ascii="Times New Roman" w:eastAsia="Times New Roman" w:hAnsi="Times New Roman" w:cs="Times New Roman"/>
                <w:sz w:val="24"/>
                <w:szCs w:val="24"/>
                <w:lang w:val="lv"/>
              </w:rPr>
              <w:t xml:space="preserve"> ilgtermiņa interešu veicināšanā. Projekts paredz veicināt institucionālo ieguldītāju un aktīvu pārvaldnieku darbības caurskatāmību jautājumos, kas saistīti ar ieguldījumiem </w:t>
            </w:r>
            <w:r w:rsidR="00415104">
              <w:rPr>
                <w:rFonts w:ascii="Times New Roman" w:eastAsia="Times New Roman" w:hAnsi="Times New Roman" w:cs="Times New Roman"/>
                <w:sz w:val="24"/>
                <w:szCs w:val="24"/>
                <w:lang w:val="lv"/>
              </w:rPr>
              <w:t xml:space="preserve">akciju </w:t>
            </w:r>
            <w:r w:rsidRPr="00401BD5">
              <w:rPr>
                <w:rFonts w:ascii="Times New Roman" w:eastAsia="Times New Roman" w:hAnsi="Times New Roman" w:cs="Times New Roman"/>
                <w:sz w:val="24"/>
                <w:szCs w:val="24"/>
                <w:lang w:val="lv"/>
              </w:rPr>
              <w:t xml:space="preserve">sabiedrību akcijās. Plānots, ka institucionālo ieguldītāju un aktīvu pārvaldnieku darbības caurskatāmība veicinās dialogu starp </w:t>
            </w:r>
            <w:r w:rsidR="00415104">
              <w:rPr>
                <w:rFonts w:ascii="Times New Roman" w:eastAsia="Times New Roman" w:hAnsi="Times New Roman" w:cs="Times New Roman"/>
                <w:sz w:val="24"/>
                <w:szCs w:val="24"/>
                <w:lang w:val="lv"/>
              </w:rPr>
              <w:t xml:space="preserve">akciju </w:t>
            </w:r>
            <w:r w:rsidRPr="00401BD5">
              <w:rPr>
                <w:rFonts w:ascii="Times New Roman" w:eastAsia="Times New Roman" w:hAnsi="Times New Roman" w:cs="Times New Roman"/>
                <w:sz w:val="24"/>
                <w:szCs w:val="24"/>
                <w:lang w:val="lv"/>
              </w:rPr>
              <w:t xml:space="preserve">sabiedrību un tās akcionāriem, kā arī atvieglos ar ieguldījumiem saistīto lēmumu pieņemšanu tām personām, kas izmanto institucionālo investoru vai aktīvu pārvaldnieku sniegtos pakalpojumus. </w:t>
            </w:r>
          </w:p>
          <w:p w14:paraId="7642C404" w14:textId="4F0EF718" w:rsidR="48D7C7F9" w:rsidRPr="00401BD5" w:rsidDel="451C62BF" w:rsidRDefault="6AC822AB" w:rsidP="00401BD5">
            <w:pPr>
              <w:spacing w:after="0" w:line="240" w:lineRule="auto"/>
              <w:ind w:firstLine="284"/>
              <w:jc w:val="both"/>
              <w:rPr>
                <w:rFonts w:ascii="Times New Roman" w:eastAsia="Times New Roman" w:hAnsi="Times New Roman" w:cs="Times New Roman"/>
                <w:sz w:val="24"/>
                <w:szCs w:val="24"/>
                <w:lang w:val="lv"/>
              </w:rPr>
            </w:pPr>
            <w:r w:rsidRPr="00401BD5">
              <w:rPr>
                <w:rFonts w:ascii="Times New Roman" w:eastAsia="Times New Roman" w:hAnsi="Times New Roman" w:cs="Times New Roman"/>
                <w:sz w:val="24"/>
                <w:szCs w:val="24"/>
                <w:lang w:val="lv"/>
              </w:rPr>
              <w:t>Projekts attiecas uz tiem aktīvu pārvaldniekiem, kas uzskatāmi par ieguldījuma sabiedrībām Eiropas Parlamenta un Padomes 2014. gada 15.</w:t>
            </w:r>
            <w:r w:rsidR="00415104">
              <w:rPr>
                <w:rFonts w:ascii="Times New Roman" w:eastAsia="Times New Roman" w:hAnsi="Times New Roman" w:cs="Times New Roman"/>
                <w:sz w:val="24"/>
                <w:szCs w:val="24"/>
                <w:lang w:val="lv"/>
              </w:rPr>
              <w:t> </w:t>
            </w:r>
            <w:r w:rsidRPr="00401BD5">
              <w:rPr>
                <w:rFonts w:ascii="Times New Roman" w:eastAsia="Times New Roman" w:hAnsi="Times New Roman" w:cs="Times New Roman"/>
                <w:sz w:val="24"/>
                <w:szCs w:val="24"/>
                <w:lang w:val="lv"/>
              </w:rPr>
              <w:t xml:space="preserve">maija direktīvas 2014/65/ES par finanšu instrumentu tirgiem un ar ko groza Direktīvu 2002/92/ES un Direktīvu 2011/61/ES (MiFID II) un kas sniedz portfeļa pārvaldības pakalpojumus un piedāvā ieguldījumu veikšanu tādas </w:t>
            </w:r>
            <w:r w:rsidR="00415104">
              <w:rPr>
                <w:rFonts w:ascii="Times New Roman" w:eastAsia="Times New Roman" w:hAnsi="Times New Roman" w:cs="Times New Roman"/>
                <w:sz w:val="24"/>
                <w:szCs w:val="24"/>
                <w:lang w:val="lv"/>
              </w:rPr>
              <w:t xml:space="preserve">akciju </w:t>
            </w:r>
            <w:r w:rsidRPr="00401BD5">
              <w:rPr>
                <w:rFonts w:ascii="Times New Roman" w:eastAsia="Times New Roman" w:hAnsi="Times New Roman" w:cs="Times New Roman"/>
                <w:sz w:val="24"/>
                <w:szCs w:val="24"/>
                <w:lang w:val="lv"/>
              </w:rPr>
              <w:t xml:space="preserve">sabiedrības akcijās, kuras juridiskā adrese ir dalībvalstī un kuras akcijas iekļautas dalībvalsts regulētajā tirgū. </w:t>
            </w:r>
          </w:p>
          <w:p w14:paraId="2465363E" w14:textId="5439970D" w:rsidR="48D7C7F9" w:rsidRPr="00401BD5" w:rsidDel="451C62BF" w:rsidRDefault="6AC822AB" w:rsidP="00401BD5">
            <w:pPr>
              <w:spacing w:after="0" w:line="240" w:lineRule="auto"/>
              <w:ind w:firstLine="284"/>
              <w:jc w:val="both"/>
              <w:rPr>
                <w:rFonts w:ascii="Times New Roman" w:eastAsia="Times New Roman" w:hAnsi="Times New Roman" w:cs="Times New Roman"/>
                <w:sz w:val="24"/>
                <w:szCs w:val="24"/>
                <w:lang w:val="lv"/>
              </w:rPr>
            </w:pPr>
            <w:r w:rsidRPr="00401BD5">
              <w:rPr>
                <w:rFonts w:ascii="Times New Roman" w:eastAsia="Times New Roman" w:hAnsi="Times New Roman" w:cs="Times New Roman"/>
                <w:sz w:val="24"/>
                <w:szCs w:val="24"/>
                <w:lang w:val="lv"/>
              </w:rPr>
              <w:t>Atbilstoši FITL likuma 101.</w:t>
            </w:r>
            <w:r w:rsidR="00401BD5">
              <w:rPr>
                <w:rFonts w:ascii="Times New Roman" w:eastAsia="Times New Roman" w:hAnsi="Times New Roman" w:cs="Times New Roman"/>
                <w:sz w:val="24"/>
                <w:szCs w:val="24"/>
                <w:lang w:val="lv"/>
              </w:rPr>
              <w:t> </w:t>
            </w:r>
            <w:r w:rsidRPr="00401BD5">
              <w:rPr>
                <w:rFonts w:ascii="Times New Roman" w:eastAsia="Times New Roman" w:hAnsi="Times New Roman" w:cs="Times New Roman"/>
                <w:sz w:val="24"/>
                <w:szCs w:val="24"/>
                <w:lang w:val="lv"/>
              </w:rPr>
              <w:t xml:space="preserve">pantam ieguldījumu pakalpojumus (portfeļa pārvaldību) Latvijas Republikā ir tiesīgas sniegt ieguldījumu brokeru sabiedrības, kredītiestādes, apdrošināšanas brokeri — juridiskās personas, kā arī ieguldījumu pārvaldes sabiedrības to </w:t>
            </w:r>
            <w:r w:rsidRPr="00401BD5">
              <w:rPr>
                <w:rFonts w:ascii="Times New Roman" w:eastAsia="Times New Roman" w:hAnsi="Times New Roman" w:cs="Times New Roman"/>
                <w:sz w:val="24"/>
                <w:szCs w:val="24"/>
                <w:lang w:val="lv"/>
              </w:rPr>
              <w:lastRenderedPageBreak/>
              <w:t>darbību regulējošos normatīvajos aktos noteiktajā kārtībā. Tāpat atbilstoši Alternatīvo ieguldījumu fondu un to pārvaldnieku likuma 5.</w:t>
            </w:r>
            <w:r w:rsidR="00401BD5">
              <w:rPr>
                <w:rFonts w:ascii="Times New Roman" w:eastAsia="Times New Roman" w:hAnsi="Times New Roman" w:cs="Times New Roman"/>
                <w:sz w:val="24"/>
                <w:szCs w:val="24"/>
                <w:lang w:val="lv"/>
              </w:rPr>
              <w:t> </w:t>
            </w:r>
            <w:r w:rsidRPr="00401BD5">
              <w:rPr>
                <w:rFonts w:ascii="Times New Roman" w:eastAsia="Times New Roman" w:hAnsi="Times New Roman" w:cs="Times New Roman"/>
                <w:sz w:val="24"/>
                <w:szCs w:val="24"/>
                <w:lang w:val="lv"/>
              </w:rPr>
              <w:t>panta septītajai daļai finanšu instrumentu portfeļa individuālu pārvaldīšanu ir tiesīgs veikt arī licencēts ārējais pārvaldnieks.</w:t>
            </w:r>
          </w:p>
          <w:p w14:paraId="5D68DB7C" w14:textId="4064B2E0" w:rsidR="48D7C7F9" w:rsidRPr="00401BD5" w:rsidDel="451C62BF" w:rsidRDefault="6AC822AB" w:rsidP="00401BD5">
            <w:pPr>
              <w:spacing w:after="0" w:line="240" w:lineRule="auto"/>
              <w:ind w:firstLine="284"/>
              <w:jc w:val="both"/>
              <w:rPr>
                <w:rFonts w:ascii="Times New Roman" w:eastAsia="Times New Roman" w:hAnsi="Times New Roman" w:cs="Times New Roman"/>
                <w:sz w:val="24"/>
                <w:szCs w:val="24"/>
                <w:lang w:val="lv"/>
              </w:rPr>
            </w:pPr>
            <w:r w:rsidRPr="00401BD5">
              <w:rPr>
                <w:rFonts w:ascii="Times New Roman" w:eastAsia="Times New Roman" w:hAnsi="Times New Roman" w:cs="Times New Roman"/>
                <w:sz w:val="24"/>
                <w:szCs w:val="24"/>
                <w:lang w:val="lv"/>
              </w:rPr>
              <w:t>Atbilstoši FITL 101.</w:t>
            </w:r>
            <w:r w:rsidR="00401BD5">
              <w:rPr>
                <w:rFonts w:ascii="Times New Roman" w:eastAsia="Times New Roman" w:hAnsi="Times New Roman" w:cs="Times New Roman"/>
                <w:sz w:val="24"/>
                <w:szCs w:val="24"/>
                <w:lang w:val="lv"/>
              </w:rPr>
              <w:t> </w:t>
            </w:r>
            <w:r w:rsidRPr="00401BD5">
              <w:rPr>
                <w:rFonts w:ascii="Times New Roman" w:eastAsia="Times New Roman" w:hAnsi="Times New Roman" w:cs="Times New Roman"/>
                <w:sz w:val="24"/>
                <w:szCs w:val="24"/>
                <w:lang w:val="lv"/>
              </w:rPr>
              <w:t>panta 1.</w:t>
            </w:r>
            <w:r w:rsidRPr="00401BD5">
              <w:rPr>
                <w:rFonts w:ascii="Times New Roman" w:eastAsia="Times New Roman" w:hAnsi="Times New Roman" w:cs="Times New Roman"/>
                <w:sz w:val="24"/>
                <w:szCs w:val="24"/>
                <w:vertAlign w:val="superscript"/>
                <w:lang w:val="lv"/>
              </w:rPr>
              <w:t>1</w:t>
            </w:r>
            <w:r w:rsidR="00401BD5">
              <w:rPr>
                <w:rFonts w:ascii="Times New Roman" w:eastAsia="Times New Roman" w:hAnsi="Times New Roman" w:cs="Times New Roman"/>
                <w:sz w:val="24"/>
                <w:szCs w:val="24"/>
                <w:lang w:val="lv"/>
              </w:rPr>
              <w:t> </w:t>
            </w:r>
            <w:r w:rsidRPr="00401BD5">
              <w:rPr>
                <w:rFonts w:ascii="Times New Roman" w:eastAsia="Times New Roman" w:hAnsi="Times New Roman" w:cs="Times New Roman"/>
                <w:sz w:val="24"/>
                <w:szCs w:val="24"/>
                <w:lang w:val="lv"/>
              </w:rPr>
              <w:t xml:space="preserve">daļai apdrošināšanas brokeris - juridiskā persona ieguldījumu pakalpojumu sniegšanai saņem licenci </w:t>
            </w:r>
            <w:r w:rsidR="61145BAC" w:rsidRPr="00401BD5">
              <w:rPr>
                <w:rFonts w:ascii="Times New Roman" w:eastAsia="Times New Roman" w:hAnsi="Times New Roman" w:cs="Times New Roman"/>
                <w:sz w:val="24"/>
                <w:szCs w:val="24"/>
                <w:lang w:val="lv"/>
              </w:rPr>
              <w:t>FITL</w:t>
            </w:r>
            <w:r w:rsidRPr="00401BD5">
              <w:rPr>
                <w:rFonts w:ascii="Times New Roman" w:eastAsia="Times New Roman" w:hAnsi="Times New Roman" w:cs="Times New Roman"/>
                <w:sz w:val="24"/>
                <w:szCs w:val="24"/>
                <w:lang w:val="lv"/>
              </w:rPr>
              <w:t xml:space="preserve"> VIII nodaļā noteiktajā kārtībā un ievēro ieguldījumu brokeru sabiedrības darbībai izvirzītās prasības. Saskaņā ar Ieguldījumu pārvaldes sabiedrību likuma 13.</w:t>
            </w:r>
            <w:r w:rsidR="00401BD5">
              <w:rPr>
                <w:rFonts w:ascii="Times New Roman" w:eastAsia="Times New Roman" w:hAnsi="Times New Roman" w:cs="Times New Roman"/>
                <w:sz w:val="24"/>
                <w:szCs w:val="24"/>
                <w:lang w:val="lv"/>
              </w:rPr>
              <w:t> </w:t>
            </w:r>
            <w:r w:rsidRPr="00401BD5">
              <w:rPr>
                <w:rFonts w:ascii="Times New Roman" w:eastAsia="Times New Roman" w:hAnsi="Times New Roman" w:cs="Times New Roman"/>
                <w:sz w:val="24"/>
                <w:szCs w:val="24"/>
                <w:lang w:val="lv"/>
              </w:rPr>
              <w:t>panta otrās daļas 6.</w:t>
            </w:r>
            <w:r w:rsidR="00401BD5">
              <w:rPr>
                <w:rFonts w:ascii="Times New Roman" w:eastAsia="Times New Roman" w:hAnsi="Times New Roman" w:cs="Times New Roman"/>
                <w:sz w:val="24"/>
                <w:szCs w:val="24"/>
                <w:lang w:val="lv"/>
              </w:rPr>
              <w:t> </w:t>
            </w:r>
            <w:r w:rsidRPr="00401BD5">
              <w:rPr>
                <w:rFonts w:ascii="Times New Roman" w:eastAsia="Times New Roman" w:hAnsi="Times New Roman" w:cs="Times New Roman"/>
                <w:sz w:val="24"/>
                <w:szCs w:val="24"/>
                <w:lang w:val="lv"/>
              </w:rPr>
              <w:t xml:space="preserve">punktu  gadījumā, ja ieguldījumu pārvaldes sabiedrība papildus fondu pārvaldei </w:t>
            </w:r>
            <w:r w:rsidR="2334293E" w:rsidRPr="00401BD5">
              <w:rPr>
                <w:rFonts w:ascii="Times New Roman" w:eastAsia="Times New Roman" w:hAnsi="Times New Roman" w:cs="Times New Roman"/>
                <w:sz w:val="24"/>
                <w:szCs w:val="24"/>
                <w:lang w:val="lv"/>
              </w:rPr>
              <w:t>veic</w:t>
            </w:r>
            <w:r w:rsidRPr="00401BD5">
              <w:rPr>
                <w:rFonts w:ascii="Times New Roman" w:eastAsia="Times New Roman" w:hAnsi="Times New Roman" w:cs="Times New Roman"/>
                <w:sz w:val="24"/>
                <w:szCs w:val="24"/>
                <w:lang w:val="lv"/>
              </w:rPr>
              <w:t xml:space="preserve"> ieguldītāja finanšu instrumentu portfeļa individuālu pārvaldīšanu, tad tā ievēro un izpilda prasības, kas saskaņā ar FITL XII</w:t>
            </w:r>
            <w:r w:rsidR="00401BD5">
              <w:rPr>
                <w:rFonts w:ascii="Times New Roman" w:eastAsia="Times New Roman" w:hAnsi="Times New Roman" w:cs="Times New Roman"/>
                <w:sz w:val="24"/>
                <w:szCs w:val="24"/>
                <w:lang w:val="lv"/>
              </w:rPr>
              <w:t> </w:t>
            </w:r>
            <w:r w:rsidRPr="00401BD5">
              <w:rPr>
                <w:rFonts w:ascii="Times New Roman" w:eastAsia="Times New Roman" w:hAnsi="Times New Roman" w:cs="Times New Roman"/>
                <w:sz w:val="24"/>
                <w:szCs w:val="24"/>
                <w:lang w:val="lv"/>
              </w:rPr>
              <w:t>nodaļu ir noteiktas ieguldījumu brokeru sabiedrībām, kuras veic finanšu instrumentu individuālu portfeļa pārvaldīšanu. Līdzīgs regulējums noteikts arī Alternatīvo ieguldījumu fondu un to pārvaldnieku likuma 22.</w:t>
            </w:r>
            <w:r w:rsidR="00401BD5">
              <w:rPr>
                <w:rFonts w:ascii="Times New Roman" w:eastAsia="Times New Roman" w:hAnsi="Times New Roman" w:cs="Times New Roman"/>
                <w:sz w:val="24"/>
                <w:szCs w:val="24"/>
                <w:lang w:val="lv"/>
              </w:rPr>
              <w:t> </w:t>
            </w:r>
            <w:r w:rsidRPr="00401BD5">
              <w:rPr>
                <w:rFonts w:ascii="Times New Roman" w:eastAsia="Times New Roman" w:hAnsi="Times New Roman" w:cs="Times New Roman"/>
                <w:sz w:val="24"/>
                <w:szCs w:val="24"/>
                <w:lang w:val="lv"/>
              </w:rPr>
              <w:t>panta ceturtās daļas 5.</w:t>
            </w:r>
            <w:r w:rsidR="00401BD5">
              <w:rPr>
                <w:rFonts w:ascii="Times New Roman" w:eastAsia="Times New Roman" w:hAnsi="Times New Roman" w:cs="Times New Roman"/>
                <w:sz w:val="24"/>
                <w:szCs w:val="24"/>
                <w:lang w:val="lv"/>
              </w:rPr>
              <w:t> </w:t>
            </w:r>
            <w:r w:rsidRPr="00401BD5">
              <w:rPr>
                <w:rFonts w:ascii="Times New Roman" w:eastAsia="Times New Roman" w:hAnsi="Times New Roman" w:cs="Times New Roman"/>
                <w:sz w:val="24"/>
                <w:szCs w:val="24"/>
                <w:lang w:val="lv"/>
              </w:rPr>
              <w:t>punktā. Proti, ja licencētam ārējam pārvaldniekam atļauts veikt finanšu instrumentu portfeļa individuālu pārvaldīšanu, tad tas ievēro un izpilda citas prasības, kas saskaņā ar FITL ir noteiktas ieguldījumu brokeru sabiedrībai, kura veic ieguldītāju finanšu instrumentu portfeļu individuālu pārvaldīšanu saskaņā ar ieguldītāju pilnvarojumu. Ņemot vērā, ka apdrošināšanas brokerim, ieguldījumu sabiedrībai, alternatīvo ieguldījumu fondu ārējam pārvaldniekam, kuri veic portfeļa pārvaldīšanu, piemēr</w:t>
            </w:r>
            <w:r w:rsidR="04F8EBCF" w:rsidRPr="00401BD5">
              <w:rPr>
                <w:rFonts w:ascii="Times New Roman" w:eastAsia="Times New Roman" w:hAnsi="Times New Roman" w:cs="Times New Roman"/>
                <w:sz w:val="24"/>
                <w:szCs w:val="24"/>
                <w:lang w:val="lv"/>
              </w:rPr>
              <w:t>o</w:t>
            </w:r>
            <w:r w:rsidRPr="00401BD5">
              <w:rPr>
                <w:rFonts w:ascii="Times New Roman" w:eastAsia="Times New Roman" w:hAnsi="Times New Roman" w:cs="Times New Roman"/>
                <w:sz w:val="24"/>
                <w:szCs w:val="24"/>
                <w:lang w:val="lv"/>
              </w:rPr>
              <w:t xml:space="preserve">jams ieguldījumu brokeru sabiedrību regulējums, projekts paredz izmaiņas tikai attiecībā uz kredītiestāžu un ieguldījumu brokeru sabiedrību regulējumu. </w:t>
            </w:r>
          </w:p>
          <w:p w14:paraId="199D4766" w14:textId="4D238037" w:rsidR="48D7C7F9" w:rsidRPr="00401BD5" w:rsidDel="451C62BF" w:rsidRDefault="6AC822AB" w:rsidP="00401BD5">
            <w:pPr>
              <w:spacing w:after="0" w:line="240" w:lineRule="auto"/>
              <w:ind w:firstLine="284"/>
              <w:jc w:val="both"/>
              <w:rPr>
                <w:rFonts w:ascii="Times New Roman" w:eastAsia="Times New Roman" w:hAnsi="Times New Roman" w:cs="Times New Roman"/>
                <w:sz w:val="24"/>
                <w:szCs w:val="24"/>
                <w:lang w:val="lv"/>
              </w:rPr>
            </w:pPr>
            <w:r w:rsidRPr="00401BD5">
              <w:rPr>
                <w:rFonts w:ascii="Times New Roman" w:eastAsia="Times New Roman" w:hAnsi="Times New Roman" w:cs="Times New Roman"/>
                <w:sz w:val="24"/>
                <w:szCs w:val="24"/>
                <w:lang w:val="lv"/>
              </w:rPr>
              <w:t xml:space="preserve">Projekts </w:t>
            </w:r>
            <w:r w:rsidR="153FED0D" w:rsidRPr="00401BD5">
              <w:rPr>
                <w:rFonts w:ascii="Times New Roman" w:eastAsia="Times New Roman" w:hAnsi="Times New Roman" w:cs="Times New Roman"/>
                <w:sz w:val="24"/>
                <w:szCs w:val="24"/>
                <w:lang w:val="lv"/>
              </w:rPr>
              <w:t>noteic</w:t>
            </w:r>
            <w:r w:rsidRPr="00401BD5">
              <w:rPr>
                <w:rFonts w:ascii="Times New Roman" w:eastAsia="Times New Roman" w:hAnsi="Times New Roman" w:cs="Times New Roman"/>
                <w:sz w:val="24"/>
                <w:szCs w:val="24"/>
                <w:lang w:val="lv"/>
              </w:rPr>
              <w:t xml:space="preserve">, ka gadījumā, ja ieguldījumu brokeru sabiedrība un kredītiestāde paredz sniegt portfeļa pārvaldības pakalpojumus un piedāvā ieguldījumu veikšanu tādas </w:t>
            </w:r>
            <w:r w:rsidR="00415104">
              <w:rPr>
                <w:rFonts w:ascii="Times New Roman" w:eastAsia="Times New Roman" w:hAnsi="Times New Roman" w:cs="Times New Roman"/>
                <w:sz w:val="24"/>
                <w:szCs w:val="24"/>
                <w:lang w:val="lv"/>
              </w:rPr>
              <w:t xml:space="preserve">akciju </w:t>
            </w:r>
            <w:r w:rsidRPr="00401BD5">
              <w:rPr>
                <w:rFonts w:ascii="Times New Roman" w:eastAsia="Times New Roman" w:hAnsi="Times New Roman" w:cs="Times New Roman"/>
                <w:sz w:val="24"/>
                <w:szCs w:val="24"/>
                <w:lang w:val="lv"/>
              </w:rPr>
              <w:t xml:space="preserve">sabiedrības akcijās, kuras juridiskā adrese ir dalībvalstī un kuras akcijas iekļautas dalībvalsts regulētajā tirgū, ieguldījumu brokeru sabiedrībām un kredītiestādēm būs pienākums izstrādāt politiku, kurā tiks aprakstīts un skaidrots, kā ieguldījumu brokeru sabiedrības un kredītiestādes stratēģijā tiek iekļauta akcionāra tiesību izmantošana šīs </w:t>
            </w:r>
            <w:r w:rsidR="00415104">
              <w:rPr>
                <w:rFonts w:ascii="Times New Roman" w:eastAsia="Times New Roman" w:hAnsi="Times New Roman" w:cs="Times New Roman"/>
                <w:sz w:val="24"/>
                <w:szCs w:val="24"/>
                <w:lang w:val="lv"/>
              </w:rPr>
              <w:t xml:space="preserve">akciju </w:t>
            </w:r>
            <w:r w:rsidRPr="00401BD5">
              <w:rPr>
                <w:rFonts w:ascii="Times New Roman" w:eastAsia="Times New Roman" w:hAnsi="Times New Roman" w:cs="Times New Roman"/>
                <w:sz w:val="24"/>
                <w:szCs w:val="24"/>
                <w:lang w:val="lv"/>
              </w:rPr>
              <w:t>sabiedrības pārvaldē. Projekts paredz, ka kredītiestādēm un ieguldījumu brokeru sabiedrībām, jau iesniedzot dokumentu licences iegūšanai, būs pienākums izstrādāt iesaistīšanās politiku. Lai nodrošinātu, ka arī līdz projekta spēkā stāšanās brīdim jau licencētas ieguldījumu brokeru sabiedrības un kredītiestādes izstrādā iesaistīšanās politiku, projekts paredz pārejas noteikumus, kas uzliek par pienākumu šādiem jau licencētiem aktīvu pārvaldniekiem izstrādāt un publiskot iesaistīšanās politiku līdz 2019.</w:t>
            </w:r>
            <w:r w:rsidR="002D6AFB">
              <w:rPr>
                <w:rFonts w:ascii="Times New Roman" w:eastAsia="Times New Roman" w:hAnsi="Times New Roman" w:cs="Times New Roman"/>
                <w:sz w:val="24"/>
                <w:szCs w:val="24"/>
                <w:lang w:val="lv"/>
              </w:rPr>
              <w:t> </w:t>
            </w:r>
            <w:r w:rsidRPr="00401BD5">
              <w:rPr>
                <w:rFonts w:ascii="Times New Roman" w:eastAsia="Times New Roman" w:hAnsi="Times New Roman" w:cs="Times New Roman"/>
                <w:sz w:val="24"/>
                <w:szCs w:val="24"/>
                <w:lang w:val="lv"/>
              </w:rPr>
              <w:t>gada 1.</w:t>
            </w:r>
            <w:r w:rsidR="002D6AFB">
              <w:rPr>
                <w:rFonts w:ascii="Times New Roman" w:eastAsia="Times New Roman" w:hAnsi="Times New Roman" w:cs="Times New Roman"/>
                <w:sz w:val="24"/>
                <w:szCs w:val="24"/>
                <w:lang w:val="lv"/>
              </w:rPr>
              <w:t> </w:t>
            </w:r>
            <w:r w:rsidRPr="00401BD5">
              <w:rPr>
                <w:rFonts w:ascii="Times New Roman" w:eastAsia="Times New Roman" w:hAnsi="Times New Roman" w:cs="Times New Roman"/>
                <w:sz w:val="24"/>
                <w:szCs w:val="24"/>
                <w:lang w:val="lv"/>
              </w:rPr>
              <w:t xml:space="preserve">novembrim. </w:t>
            </w:r>
          </w:p>
          <w:p w14:paraId="3E483823" w14:textId="61F85164" w:rsidR="48D7C7F9" w:rsidRPr="00401BD5" w:rsidDel="451C62BF" w:rsidRDefault="6AC822AB" w:rsidP="00401BD5">
            <w:pPr>
              <w:spacing w:after="0" w:line="240" w:lineRule="auto"/>
              <w:ind w:firstLine="284"/>
              <w:jc w:val="both"/>
              <w:rPr>
                <w:rFonts w:ascii="Times New Roman" w:eastAsia="Times New Roman" w:hAnsi="Times New Roman" w:cs="Times New Roman"/>
                <w:sz w:val="24"/>
                <w:szCs w:val="24"/>
                <w:lang w:val="lv"/>
              </w:rPr>
            </w:pPr>
            <w:r w:rsidRPr="00401BD5">
              <w:rPr>
                <w:rFonts w:ascii="Times New Roman" w:eastAsia="Times New Roman" w:hAnsi="Times New Roman" w:cs="Times New Roman"/>
                <w:sz w:val="24"/>
                <w:szCs w:val="24"/>
                <w:lang w:val="lv"/>
              </w:rPr>
              <w:lastRenderedPageBreak/>
              <w:t xml:space="preserve">Projekts paredz, ka iesaistīšanās politikā ieguldījumu brokeru sabiedrības un kredītiestādes atklās informāciju par to, kā tās pārrauga tās </w:t>
            </w:r>
            <w:r w:rsidR="00415104">
              <w:rPr>
                <w:rFonts w:ascii="Times New Roman" w:eastAsia="Times New Roman" w:hAnsi="Times New Roman" w:cs="Times New Roman"/>
                <w:sz w:val="24"/>
                <w:szCs w:val="24"/>
                <w:lang w:val="lv"/>
              </w:rPr>
              <w:t xml:space="preserve">akciju </w:t>
            </w:r>
            <w:r w:rsidRPr="00401BD5">
              <w:rPr>
                <w:rFonts w:ascii="Times New Roman" w:eastAsia="Times New Roman" w:hAnsi="Times New Roman" w:cs="Times New Roman"/>
                <w:sz w:val="24"/>
                <w:szCs w:val="24"/>
                <w:lang w:val="lv"/>
              </w:rPr>
              <w:t>sabiedrības darbību, kuras akcijās veikts ieguldījums (piemēram, cik un kādā veidā tās iesaistās sabiedrības pārvaldībā, kā tiek ņemta vērā sabiedrības ietekme uz vidi u.</w:t>
            </w:r>
            <w:r w:rsidR="002D6AFB">
              <w:rPr>
                <w:rFonts w:ascii="Times New Roman" w:eastAsia="Times New Roman" w:hAnsi="Times New Roman" w:cs="Times New Roman"/>
                <w:sz w:val="24"/>
                <w:szCs w:val="24"/>
                <w:lang w:val="lv"/>
              </w:rPr>
              <w:t> </w:t>
            </w:r>
            <w:r w:rsidRPr="00401BD5">
              <w:rPr>
                <w:rFonts w:ascii="Times New Roman" w:eastAsia="Times New Roman" w:hAnsi="Times New Roman" w:cs="Times New Roman"/>
                <w:sz w:val="24"/>
                <w:szCs w:val="24"/>
                <w:lang w:val="lv"/>
              </w:rPr>
              <w:t xml:space="preserve">c. jautājumi). </w:t>
            </w:r>
            <w:r w:rsidR="19592FF7" w:rsidRPr="00401BD5">
              <w:rPr>
                <w:rFonts w:ascii="Times New Roman" w:eastAsia="Times New Roman" w:hAnsi="Times New Roman" w:cs="Times New Roman"/>
                <w:sz w:val="24"/>
                <w:szCs w:val="24"/>
                <w:lang w:val="lv"/>
              </w:rPr>
              <w:t>Tāpat i</w:t>
            </w:r>
            <w:r w:rsidRPr="00401BD5">
              <w:rPr>
                <w:rFonts w:ascii="Times New Roman" w:eastAsia="Times New Roman" w:hAnsi="Times New Roman" w:cs="Times New Roman"/>
                <w:sz w:val="24"/>
                <w:szCs w:val="24"/>
                <w:lang w:val="lv"/>
              </w:rPr>
              <w:t>eguldījumu brokeru sabiedrībām un kredītiestādēm katru gadu  līdz 1. jūlijam būs pienākums publiskot ziņojumu par iesaistīšanās politikas īstenošanu, sniedzot vispārīgu informāciju par to, kā ieguldījumu brokeru sabiedrības un kredītiestādes īsteno bals</w:t>
            </w:r>
            <w:r w:rsidR="529A8841" w:rsidRPr="00401BD5">
              <w:rPr>
                <w:rFonts w:ascii="Times New Roman" w:eastAsia="Times New Roman" w:hAnsi="Times New Roman" w:cs="Times New Roman"/>
                <w:sz w:val="24"/>
                <w:szCs w:val="24"/>
                <w:lang w:val="lv"/>
              </w:rPr>
              <w:t>s</w:t>
            </w:r>
            <w:r w:rsidRPr="00401BD5">
              <w:rPr>
                <w:rFonts w:ascii="Times New Roman" w:eastAsia="Times New Roman" w:hAnsi="Times New Roman" w:cs="Times New Roman"/>
                <w:sz w:val="24"/>
                <w:szCs w:val="24"/>
                <w:lang w:val="lv"/>
              </w:rPr>
              <w:t xml:space="preserve">tiesības, </w:t>
            </w:r>
            <w:r w:rsidR="529A8841" w:rsidRPr="00401BD5">
              <w:rPr>
                <w:rFonts w:ascii="Times New Roman" w:eastAsia="Times New Roman" w:hAnsi="Times New Roman" w:cs="Times New Roman"/>
                <w:sz w:val="24"/>
                <w:szCs w:val="24"/>
                <w:lang w:val="lv"/>
              </w:rPr>
              <w:t xml:space="preserve">šajā ziņojumā </w:t>
            </w:r>
            <w:r w:rsidRPr="00401BD5">
              <w:rPr>
                <w:rFonts w:ascii="Times New Roman" w:eastAsia="Times New Roman" w:hAnsi="Times New Roman" w:cs="Times New Roman"/>
                <w:sz w:val="24"/>
                <w:szCs w:val="24"/>
                <w:lang w:val="lv"/>
              </w:rPr>
              <w:t xml:space="preserve">iekļaujot skaidrojumu par svarīgākajiem balsojumiem. Tāpat ieguldījumu brokeru sabiedrībām un kredītiestādēm būs jāpublisko savus balsojumus </w:t>
            </w:r>
            <w:r w:rsidR="00415104">
              <w:rPr>
                <w:rFonts w:ascii="Times New Roman" w:eastAsia="Times New Roman" w:hAnsi="Times New Roman" w:cs="Times New Roman"/>
                <w:sz w:val="24"/>
                <w:szCs w:val="24"/>
                <w:lang w:val="lv"/>
              </w:rPr>
              <w:t xml:space="preserve">akciju </w:t>
            </w:r>
            <w:r w:rsidRPr="00401BD5">
              <w:rPr>
                <w:rFonts w:ascii="Times New Roman" w:eastAsia="Times New Roman" w:hAnsi="Times New Roman" w:cs="Times New Roman"/>
                <w:sz w:val="24"/>
                <w:szCs w:val="24"/>
                <w:lang w:val="lv"/>
              </w:rPr>
              <w:t xml:space="preserve">sabiedrību akcionāru sapulcēs. Lai izvairītos no nevajadzīga administratīvā sloga, projekts ļauj nepubliskot balsojumus, kas atbilstoši iesaistīšanās politikai ir uzskatāmi par maznozīmīgiem (piemēram, aktīvu pārvaldnieka līdzdalība attiecīgās sabiedrības pamatkapitālā ir ļoti niecīga salīdzinājumā ar citiem šīs sabiedrības akcionāriem). </w:t>
            </w:r>
          </w:p>
          <w:p w14:paraId="0EC735AE" w14:textId="5FB599B5" w:rsidR="69DAB32C" w:rsidRPr="00401BD5" w:rsidRDefault="69DAB32C" w:rsidP="00401BD5">
            <w:pPr>
              <w:spacing w:after="0" w:line="240" w:lineRule="auto"/>
              <w:ind w:firstLine="284"/>
              <w:jc w:val="both"/>
              <w:rPr>
                <w:rFonts w:ascii="Times New Roman" w:eastAsia="Times New Roman" w:hAnsi="Times New Roman" w:cs="Times New Roman"/>
                <w:sz w:val="24"/>
                <w:szCs w:val="24"/>
                <w:lang w:val="lv"/>
              </w:rPr>
            </w:pPr>
            <w:r w:rsidRPr="00401BD5">
              <w:rPr>
                <w:rFonts w:ascii="Times New Roman" w:eastAsia="Times New Roman" w:hAnsi="Times New Roman" w:cs="Times New Roman"/>
                <w:sz w:val="24"/>
                <w:szCs w:val="24"/>
                <w:lang w:val="lv"/>
              </w:rPr>
              <w:t xml:space="preserve">Attiecībā uz iesaistīšanās politikas izstrādi un tās izpildi nostiprināts </w:t>
            </w:r>
            <w:r w:rsidR="00B103C5" w:rsidRPr="00B103C5">
              <w:rPr>
                <w:rFonts w:ascii="Times New Roman" w:hAnsi="Times New Roman" w:cs="Times New Roman"/>
                <w:sz w:val="24"/>
                <w:szCs w:val="24"/>
              </w:rPr>
              <w:t>"</w:t>
            </w:r>
            <w:r w:rsidRPr="00401BD5">
              <w:rPr>
                <w:rFonts w:ascii="Times New Roman" w:eastAsia="Times New Roman" w:hAnsi="Times New Roman" w:cs="Times New Roman"/>
                <w:sz w:val="24"/>
                <w:szCs w:val="24"/>
                <w:lang w:val="lv"/>
              </w:rPr>
              <w:t>ievēro vai paskaidro</w:t>
            </w:r>
            <w:r w:rsidR="00B103C5" w:rsidRPr="00B103C5">
              <w:rPr>
                <w:rFonts w:ascii="Times New Roman" w:hAnsi="Times New Roman" w:cs="Times New Roman"/>
                <w:sz w:val="24"/>
                <w:szCs w:val="24"/>
              </w:rPr>
              <w:t>"</w:t>
            </w:r>
            <w:r w:rsidRPr="00401BD5">
              <w:rPr>
                <w:rFonts w:ascii="Times New Roman" w:eastAsia="Times New Roman" w:hAnsi="Times New Roman" w:cs="Times New Roman"/>
                <w:sz w:val="24"/>
                <w:szCs w:val="24"/>
                <w:lang w:val="lv"/>
              </w:rPr>
              <w:t xml:space="preserve"> princips, proti, ieguldījumu brokeru sabiedrībām un kredītiestādēm būs tiesības neatklāt informāciju par iesaistīšanās aktivitātēm, tomēr šādā gadījumā tām būs pienākums sniegt detalizētu skaidrojumu šādai rīcībai. Projekta mērķis ir nodrošināt, ka personām, kuras izmanto minēto aktīvu pārvaldnieku pakalpojumus, būs iespējams iegūt informāciju par to iesaistīšanās aktivitātēm </w:t>
            </w:r>
            <w:r w:rsidR="00415104">
              <w:rPr>
                <w:rFonts w:ascii="Times New Roman" w:eastAsia="Times New Roman" w:hAnsi="Times New Roman" w:cs="Times New Roman"/>
                <w:sz w:val="24"/>
                <w:szCs w:val="24"/>
                <w:lang w:val="lv"/>
              </w:rPr>
              <w:t xml:space="preserve">akciju </w:t>
            </w:r>
            <w:r w:rsidRPr="00401BD5">
              <w:rPr>
                <w:rFonts w:ascii="Times New Roman" w:eastAsia="Times New Roman" w:hAnsi="Times New Roman" w:cs="Times New Roman"/>
                <w:sz w:val="24"/>
                <w:szCs w:val="24"/>
                <w:lang w:val="lv"/>
              </w:rPr>
              <w:t xml:space="preserve">sabiedrības pārvaldē. Arī tad, ja aktīvu pārvaldnieks būs norādījis, ka tas nekādā veidā neiesaistās </w:t>
            </w:r>
            <w:r w:rsidR="00415104">
              <w:rPr>
                <w:rFonts w:ascii="Times New Roman" w:eastAsia="Times New Roman" w:hAnsi="Times New Roman" w:cs="Times New Roman"/>
                <w:sz w:val="24"/>
                <w:szCs w:val="24"/>
                <w:lang w:val="lv"/>
              </w:rPr>
              <w:t xml:space="preserve">akciju </w:t>
            </w:r>
            <w:r w:rsidRPr="00401BD5">
              <w:rPr>
                <w:rFonts w:ascii="Times New Roman" w:eastAsia="Times New Roman" w:hAnsi="Times New Roman" w:cs="Times New Roman"/>
                <w:sz w:val="24"/>
                <w:szCs w:val="24"/>
                <w:lang w:val="lv"/>
              </w:rPr>
              <w:t xml:space="preserve">sabiedrības pārvaldē, personām, kuras izmanto vai plāno izmantot šāda aktīvu pārvaldnieka pakalpojumus, būs iegūta vajadzīgā informācija, ko izmantot turpmāko ar ieguldījumiem saistīto lēmumu pieņemšanā. </w:t>
            </w:r>
          </w:p>
          <w:p w14:paraId="06D0C810" w14:textId="4C87E4CC" w:rsidR="48D7C7F9" w:rsidRPr="00401BD5" w:rsidDel="451C62BF" w:rsidRDefault="6AC822AB" w:rsidP="00401BD5">
            <w:pPr>
              <w:spacing w:after="0" w:line="240" w:lineRule="auto"/>
              <w:ind w:firstLine="284"/>
              <w:jc w:val="both"/>
              <w:rPr>
                <w:rFonts w:ascii="Times New Roman" w:eastAsia="Times New Roman" w:hAnsi="Times New Roman" w:cs="Times New Roman"/>
                <w:sz w:val="24"/>
                <w:szCs w:val="24"/>
                <w:lang w:val="lv"/>
              </w:rPr>
            </w:pPr>
            <w:r w:rsidRPr="00401BD5">
              <w:rPr>
                <w:rFonts w:ascii="Times New Roman" w:eastAsia="Times New Roman" w:hAnsi="Times New Roman" w:cs="Times New Roman"/>
                <w:sz w:val="24"/>
                <w:szCs w:val="24"/>
                <w:lang w:val="lv"/>
              </w:rPr>
              <w:t xml:space="preserve">Projekts paredz, ka ieguldījumu brokeru sabiedrības un kredītiestādes </w:t>
            </w:r>
            <w:r w:rsidR="25FDFF57" w:rsidRPr="00401BD5">
              <w:rPr>
                <w:rFonts w:ascii="Times New Roman" w:eastAsia="Times New Roman" w:hAnsi="Times New Roman" w:cs="Times New Roman"/>
                <w:sz w:val="24"/>
                <w:szCs w:val="24"/>
                <w:lang w:val="lv"/>
              </w:rPr>
              <w:t xml:space="preserve">to mājaslapā </w:t>
            </w:r>
            <w:r w:rsidRPr="00401BD5">
              <w:rPr>
                <w:rFonts w:ascii="Times New Roman" w:eastAsia="Times New Roman" w:hAnsi="Times New Roman" w:cs="Times New Roman"/>
                <w:sz w:val="24"/>
                <w:szCs w:val="24"/>
                <w:lang w:val="lv"/>
              </w:rPr>
              <w:t xml:space="preserve">publisko informāciju par iesaistīšanās politiku, tās izpildi vai arī atkāpšanos no viena vai vairākiem ar iesaistīšanās politiku saistītā regulējuma  noteikumiem. Šādai informācijai ir jābūt bez maksas viegli pieejamai visām ieinteresētajām personām. </w:t>
            </w:r>
          </w:p>
          <w:p w14:paraId="5184E880" w14:textId="19FF4F88" w:rsidR="66994169" w:rsidRPr="00401BD5" w:rsidRDefault="66994169" w:rsidP="00401BD5">
            <w:pPr>
              <w:spacing w:after="0" w:line="240" w:lineRule="auto"/>
              <w:ind w:firstLine="284"/>
              <w:jc w:val="both"/>
              <w:rPr>
                <w:rFonts w:ascii="Times New Roman" w:eastAsia="Times New Roman" w:hAnsi="Times New Roman" w:cs="Times New Roman"/>
                <w:sz w:val="24"/>
                <w:szCs w:val="24"/>
                <w:lang w:val="lv"/>
              </w:rPr>
            </w:pPr>
          </w:p>
          <w:p w14:paraId="18178248" w14:textId="1CFA2BA3" w:rsidR="66994169" w:rsidRPr="00401BD5" w:rsidRDefault="66994169" w:rsidP="00401BD5">
            <w:pPr>
              <w:spacing w:after="0" w:line="240" w:lineRule="auto"/>
              <w:ind w:firstLine="284"/>
              <w:jc w:val="both"/>
              <w:rPr>
                <w:rFonts w:ascii="Times New Roman" w:eastAsia="Times New Roman" w:hAnsi="Times New Roman" w:cs="Times New Roman"/>
                <w:b/>
                <w:bCs/>
                <w:sz w:val="24"/>
                <w:szCs w:val="24"/>
                <w:lang w:val="lv"/>
              </w:rPr>
            </w:pPr>
            <w:r w:rsidRPr="00401BD5">
              <w:rPr>
                <w:rFonts w:ascii="Times New Roman" w:eastAsia="Times New Roman" w:hAnsi="Times New Roman" w:cs="Times New Roman"/>
                <w:b/>
                <w:bCs/>
                <w:sz w:val="24"/>
                <w:szCs w:val="24"/>
                <w:lang w:val="lv"/>
              </w:rPr>
              <w:t>Pilnvaroto padomdevēju darbī</w:t>
            </w:r>
            <w:r w:rsidR="285ABB24" w:rsidRPr="00401BD5">
              <w:rPr>
                <w:rFonts w:ascii="Times New Roman" w:eastAsia="Times New Roman" w:hAnsi="Times New Roman" w:cs="Times New Roman"/>
                <w:b/>
                <w:bCs/>
                <w:sz w:val="24"/>
                <w:szCs w:val="24"/>
                <w:lang w:val="lv"/>
              </w:rPr>
              <w:t>bas caurskatāmība</w:t>
            </w:r>
          </w:p>
          <w:p w14:paraId="4BC30A5C" w14:textId="403CDD68" w:rsidR="00401BD5" w:rsidRDefault="31AFF83E" w:rsidP="00401BD5">
            <w:pPr>
              <w:spacing w:after="0" w:line="240" w:lineRule="auto"/>
              <w:ind w:firstLine="284"/>
              <w:jc w:val="both"/>
              <w:rPr>
                <w:rFonts w:ascii="Times New Roman" w:eastAsia="Times New Roman" w:hAnsi="Times New Roman" w:cs="Times New Roman"/>
                <w:sz w:val="24"/>
                <w:szCs w:val="24"/>
                <w:lang w:val="lv"/>
              </w:rPr>
            </w:pPr>
            <w:r w:rsidRPr="00401BD5">
              <w:rPr>
                <w:rFonts w:ascii="Times New Roman" w:eastAsia="Times New Roman" w:hAnsi="Times New Roman" w:cs="Times New Roman"/>
                <w:sz w:val="24"/>
                <w:szCs w:val="24"/>
                <w:lang w:val="lv"/>
              </w:rPr>
              <w:t xml:space="preserve">Aktīvu pārvaldnieki un institucionālie ieguldītāji nereti izmanto pilnvaroto padomdevēju pakalpojumus, lai saņemtu ieteikumus un rekomendācijas attiecībā uz balsošanas  tiesību izmantošanu </w:t>
            </w:r>
            <w:r w:rsidR="00415104">
              <w:rPr>
                <w:rFonts w:ascii="Times New Roman" w:eastAsia="Times New Roman" w:hAnsi="Times New Roman" w:cs="Times New Roman"/>
                <w:sz w:val="24"/>
                <w:szCs w:val="24"/>
                <w:lang w:val="lv"/>
              </w:rPr>
              <w:t xml:space="preserve">akciju </w:t>
            </w:r>
            <w:r w:rsidRPr="00401BD5">
              <w:rPr>
                <w:rFonts w:ascii="Times New Roman" w:eastAsia="Times New Roman" w:hAnsi="Times New Roman" w:cs="Times New Roman"/>
                <w:sz w:val="24"/>
                <w:szCs w:val="24"/>
                <w:lang w:val="lv"/>
              </w:rPr>
              <w:t xml:space="preserve">sabiedrību akcionāru sapulcēs. Tādējādi pilnvarotajiem padomdevējiem var būt nozīmīga loma </w:t>
            </w:r>
            <w:r w:rsidR="00415104">
              <w:rPr>
                <w:rFonts w:ascii="Times New Roman" w:eastAsia="Times New Roman" w:hAnsi="Times New Roman" w:cs="Times New Roman"/>
                <w:sz w:val="24"/>
                <w:szCs w:val="24"/>
                <w:lang w:val="lv"/>
              </w:rPr>
              <w:t xml:space="preserve">akciju </w:t>
            </w:r>
            <w:r w:rsidRPr="00401BD5">
              <w:rPr>
                <w:rFonts w:ascii="Times New Roman" w:eastAsia="Times New Roman" w:hAnsi="Times New Roman" w:cs="Times New Roman"/>
                <w:sz w:val="24"/>
                <w:szCs w:val="24"/>
                <w:lang w:val="lv"/>
              </w:rPr>
              <w:t xml:space="preserve">sabiedrību korporatīvajā pārvaldībā un ieguldītāju balsošanas uzvedības veidošanā. Ieviešot Direktīvas prasības, projekts paredz pienākumu </w:t>
            </w:r>
            <w:r w:rsidRPr="00401BD5">
              <w:rPr>
                <w:rFonts w:ascii="Times New Roman" w:eastAsia="Times New Roman" w:hAnsi="Times New Roman" w:cs="Times New Roman"/>
                <w:sz w:val="24"/>
                <w:szCs w:val="24"/>
                <w:lang w:val="lv"/>
              </w:rPr>
              <w:lastRenderedPageBreak/>
              <w:t>pilnvarotajiem padomdevējiem publisko</w:t>
            </w:r>
            <w:r w:rsidR="105F8C99" w:rsidRPr="00401BD5">
              <w:rPr>
                <w:rFonts w:ascii="Times New Roman" w:eastAsia="Times New Roman" w:hAnsi="Times New Roman" w:cs="Times New Roman"/>
                <w:sz w:val="24"/>
                <w:szCs w:val="24"/>
                <w:lang w:val="lv"/>
              </w:rPr>
              <w:t>t</w:t>
            </w:r>
            <w:r w:rsidRPr="00401BD5">
              <w:rPr>
                <w:rFonts w:ascii="Times New Roman" w:eastAsia="Times New Roman" w:hAnsi="Times New Roman" w:cs="Times New Roman"/>
                <w:sz w:val="24"/>
                <w:szCs w:val="24"/>
                <w:lang w:val="lv"/>
              </w:rPr>
              <w:t xml:space="preserve"> informāciju par tā darbībā piemērojamo kodeksu. </w:t>
            </w:r>
            <w:r w:rsidR="105F8C99" w:rsidRPr="00401BD5">
              <w:rPr>
                <w:rFonts w:ascii="Times New Roman" w:eastAsia="Times New Roman" w:hAnsi="Times New Roman" w:cs="Times New Roman"/>
                <w:sz w:val="24"/>
                <w:szCs w:val="24"/>
                <w:lang w:val="lv"/>
              </w:rPr>
              <w:t>A</w:t>
            </w:r>
            <w:r w:rsidRPr="00401BD5">
              <w:rPr>
                <w:rFonts w:ascii="Times New Roman" w:eastAsia="Times New Roman" w:hAnsi="Times New Roman" w:cs="Times New Roman"/>
                <w:sz w:val="24"/>
                <w:szCs w:val="24"/>
                <w:lang w:val="lv"/>
              </w:rPr>
              <w:t xml:space="preserve">ttiecībā uz pilnvaroto padomdevēju darbības kodeksa piemērošanu noteikts “ievēro vai paskaidro” princips, proti, ja pilnvarotais padomdevējs nepiemēro darbības kodeksu, tas sniedz detalizētu šādas rīcības </w:t>
            </w:r>
            <w:r w:rsidR="21239330" w:rsidRPr="00401BD5">
              <w:rPr>
                <w:rFonts w:ascii="Times New Roman" w:eastAsia="Times New Roman" w:hAnsi="Times New Roman" w:cs="Times New Roman"/>
                <w:sz w:val="24"/>
                <w:szCs w:val="24"/>
                <w:lang w:val="lv"/>
              </w:rPr>
              <w:t>skaidr</w:t>
            </w:r>
            <w:r w:rsidRPr="00401BD5">
              <w:rPr>
                <w:rFonts w:ascii="Times New Roman" w:eastAsia="Times New Roman" w:hAnsi="Times New Roman" w:cs="Times New Roman"/>
                <w:sz w:val="24"/>
                <w:szCs w:val="24"/>
                <w:lang w:val="lv"/>
              </w:rPr>
              <w:t xml:space="preserve">ojumu. Gadījumā, ja tas savā darbībā piemēro kodeksu, tomēr atkāpjas no kāda </w:t>
            </w:r>
            <w:r w:rsidR="27C11B6E" w:rsidRPr="00401BD5">
              <w:rPr>
                <w:rFonts w:ascii="Times New Roman" w:eastAsia="Times New Roman" w:hAnsi="Times New Roman" w:cs="Times New Roman"/>
                <w:sz w:val="24"/>
                <w:szCs w:val="24"/>
                <w:lang w:val="lv"/>
              </w:rPr>
              <w:t>tā ieteikuma</w:t>
            </w:r>
            <w:r w:rsidRPr="00401BD5">
              <w:rPr>
                <w:rFonts w:ascii="Times New Roman" w:eastAsia="Times New Roman" w:hAnsi="Times New Roman" w:cs="Times New Roman"/>
                <w:sz w:val="24"/>
                <w:szCs w:val="24"/>
                <w:lang w:val="lv"/>
              </w:rPr>
              <w:t>, tad pilnvarotajam padomdevējam ir pienākums sniegt šādas rīcības pamatojumu. Informācija par pilnvarotā padomdevēja darbībā piemērojamo kodeksu ir publicējama tā mājaslapā un atjaunojama vismaz reizi gadā.</w:t>
            </w:r>
          </w:p>
          <w:p w14:paraId="6ADA7B0F" w14:textId="63364582" w:rsidR="00401BD5" w:rsidRDefault="31AFF83E" w:rsidP="00401BD5">
            <w:pPr>
              <w:spacing w:after="0" w:line="240" w:lineRule="auto"/>
              <w:ind w:firstLine="284"/>
              <w:jc w:val="both"/>
              <w:rPr>
                <w:rFonts w:ascii="Times New Roman" w:eastAsia="Times New Roman" w:hAnsi="Times New Roman" w:cs="Times New Roman"/>
                <w:sz w:val="24"/>
                <w:szCs w:val="24"/>
                <w:lang w:val="lv"/>
              </w:rPr>
            </w:pPr>
            <w:r w:rsidRPr="00401BD5">
              <w:rPr>
                <w:rFonts w:ascii="Times New Roman" w:eastAsia="Times New Roman" w:hAnsi="Times New Roman" w:cs="Times New Roman"/>
                <w:sz w:val="24"/>
                <w:szCs w:val="24"/>
                <w:lang w:val="lv"/>
              </w:rPr>
              <w:t>Projekts paredz pienākumu pilnvarotajiem padomdevējiem katru gadu atklāt informāciju par iespējamajiem interešu konfl</w:t>
            </w:r>
            <w:r w:rsidR="3A7A91E2" w:rsidRPr="00401BD5">
              <w:rPr>
                <w:rFonts w:ascii="Times New Roman" w:eastAsia="Times New Roman" w:hAnsi="Times New Roman" w:cs="Times New Roman"/>
                <w:sz w:val="24"/>
                <w:szCs w:val="24"/>
                <w:lang w:val="lv"/>
              </w:rPr>
              <w:t>i</w:t>
            </w:r>
            <w:r w:rsidRPr="00401BD5">
              <w:rPr>
                <w:rFonts w:ascii="Times New Roman" w:eastAsia="Times New Roman" w:hAnsi="Times New Roman" w:cs="Times New Roman"/>
                <w:sz w:val="24"/>
                <w:szCs w:val="24"/>
                <w:lang w:val="lv"/>
              </w:rPr>
              <w:t>ktiem, kā arī publiskot noteiktu informāciju par pilnvaroto padomdevēju sniegtajiem pakalpojumiem, piemēram, par to, kā pilnvarotais p</w:t>
            </w:r>
            <w:r w:rsidR="1D2FEED0" w:rsidRPr="00401BD5">
              <w:rPr>
                <w:rFonts w:ascii="Times New Roman" w:eastAsia="Times New Roman" w:hAnsi="Times New Roman" w:cs="Times New Roman"/>
                <w:sz w:val="24"/>
                <w:szCs w:val="24"/>
                <w:lang w:val="lv"/>
              </w:rPr>
              <w:t>a</w:t>
            </w:r>
            <w:r w:rsidRPr="00401BD5">
              <w:rPr>
                <w:rFonts w:ascii="Times New Roman" w:eastAsia="Times New Roman" w:hAnsi="Times New Roman" w:cs="Times New Roman"/>
                <w:sz w:val="24"/>
                <w:szCs w:val="24"/>
                <w:lang w:val="lv"/>
              </w:rPr>
              <w:t xml:space="preserve">domdevējs komunicē ar </w:t>
            </w:r>
            <w:r w:rsidR="00415104">
              <w:rPr>
                <w:rFonts w:ascii="Times New Roman" w:eastAsia="Times New Roman" w:hAnsi="Times New Roman" w:cs="Times New Roman"/>
                <w:sz w:val="24"/>
                <w:szCs w:val="24"/>
                <w:lang w:val="lv"/>
              </w:rPr>
              <w:t xml:space="preserve">akciju </w:t>
            </w:r>
            <w:r w:rsidRPr="00401BD5">
              <w:rPr>
                <w:rFonts w:ascii="Times New Roman" w:eastAsia="Times New Roman" w:hAnsi="Times New Roman" w:cs="Times New Roman"/>
                <w:sz w:val="24"/>
                <w:szCs w:val="24"/>
                <w:lang w:val="lv"/>
              </w:rPr>
              <w:t>sabiedrību, kādus informācijas avotus izmanto u.</w:t>
            </w:r>
            <w:r w:rsidR="002D6AFB">
              <w:rPr>
                <w:rFonts w:ascii="Times New Roman" w:eastAsia="Times New Roman" w:hAnsi="Times New Roman" w:cs="Times New Roman"/>
                <w:sz w:val="24"/>
                <w:szCs w:val="24"/>
                <w:lang w:val="lv"/>
              </w:rPr>
              <w:t> </w:t>
            </w:r>
            <w:r w:rsidRPr="00401BD5">
              <w:rPr>
                <w:rFonts w:ascii="Times New Roman" w:eastAsia="Times New Roman" w:hAnsi="Times New Roman" w:cs="Times New Roman"/>
                <w:sz w:val="24"/>
                <w:szCs w:val="24"/>
                <w:lang w:val="lv"/>
              </w:rPr>
              <w:t>c. informāciju, kas ļauj pilnvaroto padomdevēju pakalpojumu saņēmējiem izvērtēt to darbību. Šādai informācijai jābūt publiski pieejamai pilnvaroto padomdevēju mājaslapā vismaz trīs gadus no to publicēšanas brīža</w:t>
            </w:r>
            <w:r w:rsidR="1D2FEED0" w:rsidRPr="00401BD5">
              <w:rPr>
                <w:rFonts w:ascii="Times New Roman" w:eastAsia="Times New Roman" w:hAnsi="Times New Roman" w:cs="Times New Roman"/>
                <w:sz w:val="24"/>
                <w:szCs w:val="24"/>
                <w:lang w:val="lv"/>
              </w:rPr>
              <w:t>.</w:t>
            </w:r>
          </w:p>
          <w:p w14:paraId="30C06537" w14:textId="4C6CF772" w:rsidR="007D2656" w:rsidRPr="00401BD5" w:rsidRDefault="31AFF83E" w:rsidP="00401BD5">
            <w:pPr>
              <w:spacing w:after="0" w:line="240" w:lineRule="auto"/>
              <w:ind w:firstLine="284"/>
              <w:jc w:val="both"/>
              <w:rPr>
                <w:rFonts w:ascii="Times New Roman" w:eastAsia="Times New Roman" w:hAnsi="Times New Roman" w:cs="Times New Roman"/>
                <w:b/>
                <w:bCs/>
                <w:sz w:val="24"/>
                <w:szCs w:val="24"/>
                <w:lang w:val="lv"/>
              </w:rPr>
            </w:pPr>
            <w:r w:rsidRPr="00401BD5">
              <w:rPr>
                <w:rFonts w:ascii="Times New Roman" w:eastAsia="Times New Roman" w:hAnsi="Times New Roman" w:cs="Times New Roman"/>
                <w:sz w:val="24"/>
                <w:szCs w:val="24"/>
                <w:lang w:val="lv"/>
              </w:rPr>
              <w:t xml:space="preserve">Regulējums par pilnvarotajiem padomdevējiem attiecas uz ikvienu pilnvaroto padomdevēju, kas sniedz pakalpojumus attiecībā </w:t>
            </w:r>
            <w:r w:rsidR="34663612" w:rsidRPr="00401BD5">
              <w:rPr>
                <w:rFonts w:ascii="Times New Roman" w:eastAsia="Times New Roman" w:hAnsi="Times New Roman" w:cs="Times New Roman"/>
                <w:sz w:val="24"/>
                <w:szCs w:val="24"/>
                <w:lang w:val="lv"/>
              </w:rPr>
              <w:t>tādu</w:t>
            </w:r>
            <w:r w:rsidRPr="00401BD5">
              <w:rPr>
                <w:rFonts w:ascii="Times New Roman" w:eastAsia="Times New Roman" w:hAnsi="Times New Roman" w:cs="Times New Roman"/>
                <w:sz w:val="24"/>
                <w:szCs w:val="24"/>
                <w:lang w:val="lv"/>
              </w:rPr>
              <w:t xml:space="preserve"> </w:t>
            </w:r>
            <w:r w:rsidR="00415104">
              <w:rPr>
                <w:rFonts w:ascii="Times New Roman" w:eastAsia="Times New Roman" w:hAnsi="Times New Roman" w:cs="Times New Roman"/>
                <w:sz w:val="24"/>
                <w:szCs w:val="24"/>
                <w:lang w:val="lv"/>
              </w:rPr>
              <w:t xml:space="preserve">akciju </w:t>
            </w:r>
            <w:r w:rsidRPr="00401BD5">
              <w:rPr>
                <w:rFonts w:ascii="Times New Roman" w:eastAsia="Times New Roman" w:hAnsi="Times New Roman" w:cs="Times New Roman"/>
                <w:sz w:val="24"/>
                <w:szCs w:val="24"/>
                <w:lang w:val="lv"/>
              </w:rPr>
              <w:t xml:space="preserve">sabiedrību akcijām, </w:t>
            </w:r>
            <w:r w:rsidR="34663612" w:rsidRPr="00401BD5">
              <w:rPr>
                <w:rFonts w:ascii="Times New Roman" w:eastAsia="Times New Roman" w:hAnsi="Times New Roman" w:cs="Times New Roman"/>
                <w:sz w:val="24"/>
                <w:szCs w:val="24"/>
                <w:lang w:val="lv"/>
              </w:rPr>
              <w:t>kuru juridiskā adrese ir Lat</w:t>
            </w:r>
            <w:r w:rsidR="4B3F64AE" w:rsidRPr="00401BD5">
              <w:rPr>
                <w:rFonts w:ascii="Times New Roman" w:eastAsia="Times New Roman" w:hAnsi="Times New Roman" w:cs="Times New Roman"/>
                <w:sz w:val="24"/>
                <w:szCs w:val="24"/>
                <w:lang w:val="lv"/>
              </w:rPr>
              <w:t xml:space="preserve">vijā, </w:t>
            </w:r>
            <w:r w:rsidRPr="00401BD5">
              <w:rPr>
                <w:rFonts w:ascii="Times New Roman" w:eastAsia="Times New Roman" w:hAnsi="Times New Roman" w:cs="Times New Roman"/>
                <w:sz w:val="24"/>
                <w:szCs w:val="24"/>
                <w:lang w:val="lv"/>
              </w:rPr>
              <w:t xml:space="preserve">neatkarīgi no pilnvaroto padomdevēju juridiskās adreses vai galvenā biroja atrašanās vietas. </w:t>
            </w:r>
          </w:p>
        </w:tc>
      </w:tr>
      <w:tr w:rsidR="006914CD" w:rsidRPr="00BC2633" w14:paraId="1AA028D9" w14:textId="77777777" w:rsidTr="00F13E2B">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3D285142" w14:textId="77777777" w:rsidR="006914CD" w:rsidRPr="00BC2633" w:rsidRDefault="006914CD" w:rsidP="006914C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3.</w:t>
            </w:r>
          </w:p>
        </w:tc>
        <w:tc>
          <w:tcPr>
            <w:tcW w:w="1601" w:type="pct"/>
            <w:tcBorders>
              <w:top w:val="outset" w:sz="6" w:space="0" w:color="414142"/>
              <w:left w:val="outset" w:sz="6" w:space="0" w:color="414142"/>
              <w:bottom w:val="outset" w:sz="6" w:space="0" w:color="414142"/>
              <w:right w:val="outset" w:sz="6" w:space="0" w:color="414142"/>
            </w:tcBorders>
            <w:hideMark/>
          </w:tcPr>
          <w:p w14:paraId="4EC22A37" w14:textId="51CE741F" w:rsidR="006914CD" w:rsidRPr="00BC2633" w:rsidRDefault="006914CD" w:rsidP="006914C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Projekta izstrādē iesaistītās institūcijas</w:t>
            </w:r>
            <w:r>
              <w:rPr>
                <w:rFonts w:ascii="Times New Roman" w:eastAsia="Times New Roman" w:hAnsi="Times New Roman" w:cs="Times New Roman"/>
                <w:sz w:val="24"/>
                <w:szCs w:val="24"/>
                <w:lang w:eastAsia="lv-LV"/>
              </w:rPr>
              <w:t xml:space="preserve"> </w:t>
            </w:r>
            <w:r w:rsidRPr="00A1552F">
              <w:rPr>
                <w:rFonts w:ascii="Times New Roman" w:eastAsia="Times New Roman" w:hAnsi="Times New Roman" w:cs="Times New Roman"/>
                <w:sz w:val="24"/>
                <w:szCs w:val="24"/>
                <w:lang w:eastAsia="lv-LV"/>
              </w:rPr>
              <w:t>un publiskas personas kapitālsabiedrības</w:t>
            </w:r>
          </w:p>
        </w:tc>
        <w:tc>
          <w:tcPr>
            <w:tcW w:w="3199" w:type="pct"/>
            <w:tcBorders>
              <w:top w:val="outset" w:sz="6" w:space="0" w:color="414142"/>
              <w:left w:val="outset" w:sz="6" w:space="0" w:color="414142"/>
              <w:bottom w:val="outset" w:sz="6" w:space="0" w:color="414142"/>
              <w:right w:val="outset" w:sz="6" w:space="0" w:color="414142"/>
            </w:tcBorders>
            <w:hideMark/>
          </w:tcPr>
          <w:p w14:paraId="5BCE42A8" w14:textId="215294BB" w:rsidR="00CF69CA" w:rsidRDefault="00FA2A06" w:rsidP="006914CD">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Tieslietu</w:t>
            </w:r>
            <w:r w:rsidR="00CF69CA">
              <w:rPr>
                <w:rFonts w:ascii="Times New Roman" w:hAnsi="Times New Roman" w:cs="Times New Roman"/>
                <w:sz w:val="24"/>
                <w:szCs w:val="24"/>
                <w:lang w:eastAsia="lv-LV"/>
              </w:rPr>
              <w:t xml:space="preserve"> ministrija</w:t>
            </w:r>
            <w:r w:rsidR="00586AE8">
              <w:rPr>
                <w:rFonts w:ascii="Times New Roman" w:hAnsi="Times New Roman" w:cs="Times New Roman"/>
                <w:sz w:val="24"/>
                <w:szCs w:val="24"/>
                <w:lang w:eastAsia="lv-LV"/>
              </w:rPr>
              <w:t xml:space="preserve"> un</w:t>
            </w:r>
            <w:r w:rsidR="00FB41B8">
              <w:rPr>
                <w:rFonts w:ascii="Times New Roman" w:hAnsi="Times New Roman" w:cs="Times New Roman"/>
                <w:sz w:val="24"/>
                <w:szCs w:val="24"/>
                <w:lang w:eastAsia="lv-LV"/>
              </w:rPr>
              <w:t xml:space="preserve"> Finanšu un kapitāla tirgus komisija</w:t>
            </w:r>
            <w:r w:rsidR="00CF69CA">
              <w:rPr>
                <w:rFonts w:ascii="Times New Roman" w:hAnsi="Times New Roman" w:cs="Times New Roman"/>
                <w:sz w:val="24"/>
                <w:szCs w:val="24"/>
                <w:lang w:eastAsia="lv-LV"/>
              </w:rPr>
              <w:t>.</w:t>
            </w:r>
          </w:p>
          <w:p w14:paraId="15B61DA6" w14:textId="77777777" w:rsidR="00FB41B8" w:rsidRDefault="00FB41B8" w:rsidP="006914CD">
            <w:pPr>
              <w:spacing w:after="0" w:line="240" w:lineRule="auto"/>
              <w:jc w:val="both"/>
              <w:rPr>
                <w:rFonts w:ascii="Times New Roman" w:hAnsi="Times New Roman" w:cs="Times New Roman"/>
                <w:sz w:val="24"/>
                <w:szCs w:val="24"/>
                <w:lang w:eastAsia="lv-LV"/>
              </w:rPr>
            </w:pPr>
          </w:p>
          <w:p w14:paraId="09DA66A3" w14:textId="36A81B85" w:rsidR="006914CD" w:rsidRPr="00BC2633" w:rsidRDefault="006914CD" w:rsidP="006914CD">
            <w:pPr>
              <w:spacing w:after="0" w:line="240" w:lineRule="auto"/>
              <w:jc w:val="both"/>
              <w:rPr>
                <w:rFonts w:ascii="Times New Roman" w:eastAsia="Times New Roman" w:hAnsi="Times New Roman" w:cs="Times New Roman"/>
                <w:sz w:val="24"/>
                <w:szCs w:val="24"/>
                <w:lang w:eastAsia="lv-LV"/>
              </w:rPr>
            </w:pPr>
            <w:r w:rsidRPr="00053739">
              <w:rPr>
                <w:rFonts w:ascii="Times New Roman" w:hAnsi="Times New Roman" w:cs="Times New Roman"/>
                <w:sz w:val="24"/>
                <w:szCs w:val="24"/>
                <w:lang w:eastAsia="lv-LV"/>
              </w:rPr>
              <w:t xml:space="preserve"> </w:t>
            </w:r>
          </w:p>
        </w:tc>
      </w:tr>
      <w:tr w:rsidR="006914CD" w:rsidRPr="00BC2633" w14:paraId="4416C82A" w14:textId="77777777" w:rsidTr="00F13E2B">
        <w:tc>
          <w:tcPr>
            <w:tcW w:w="200" w:type="pct"/>
            <w:tcBorders>
              <w:top w:val="outset" w:sz="6" w:space="0" w:color="414142"/>
              <w:left w:val="outset" w:sz="6" w:space="0" w:color="414142"/>
              <w:bottom w:val="outset" w:sz="6" w:space="0" w:color="414142"/>
              <w:right w:val="outset" w:sz="6" w:space="0" w:color="414142"/>
            </w:tcBorders>
            <w:hideMark/>
          </w:tcPr>
          <w:p w14:paraId="0D4BD810" w14:textId="77777777" w:rsidR="006914CD" w:rsidRPr="00BC2633" w:rsidRDefault="006914CD" w:rsidP="006914C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4.</w:t>
            </w:r>
          </w:p>
        </w:tc>
        <w:tc>
          <w:tcPr>
            <w:tcW w:w="1601" w:type="pct"/>
            <w:tcBorders>
              <w:top w:val="outset" w:sz="6" w:space="0" w:color="414142"/>
              <w:left w:val="outset" w:sz="6" w:space="0" w:color="414142"/>
              <w:bottom w:val="outset" w:sz="6" w:space="0" w:color="414142"/>
              <w:right w:val="outset" w:sz="6" w:space="0" w:color="414142"/>
            </w:tcBorders>
            <w:hideMark/>
          </w:tcPr>
          <w:p w14:paraId="31AC9F60" w14:textId="77777777" w:rsidR="006914CD" w:rsidRPr="00BC2633" w:rsidRDefault="006914CD" w:rsidP="006914C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199" w:type="pct"/>
            <w:tcBorders>
              <w:top w:val="outset" w:sz="6" w:space="0" w:color="414142"/>
              <w:left w:val="outset" w:sz="6" w:space="0" w:color="414142"/>
              <w:bottom w:val="outset" w:sz="6" w:space="0" w:color="414142"/>
              <w:right w:val="outset" w:sz="6" w:space="0" w:color="414142"/>
            </w:tcBorders>
            <w:hideMark/>
          </w:tcPr>
          <w:p w14:paraId="1182056C" w14:textId="57BBF5E7" w:rsidR="006914CD" w:rsidRPr="00FA2A06" w:rsidRDefault="1CB73AEC" w:rsidP="00FA2A06">
            <w:pPr>
              <w:spacing w:after="0" w:line="240" w:lineRule="auto"/>
              <w:jc w:val="both"/>
            </w:pPr>
            <w:r w:rsidRPr="00401BD5">
              <w:rPr>
                <w:rFonts w:ascii="Times New Roman" w:eastAsia="Times New Roman" w:hAnsi="Times New Roman" w:cs="Times New Roman"/>
                <w:sz w:val="24"/>
                <w:szCs w:val="24"/>
                <w:lang w:eastAsia="lv-LV"/>
              </w:rPr>
              <w:t>Projekts daļa</w:t>
            </w:r>
            <w:r w:rsidR="00401BD5" w:rsidRPr="00401BD5">
              <w:rPr>
                <w:rFonts w:ascii="Times New Roman" w:eastAsia="Times New Roman" w:hAnsi="Times New Roman" w:cs="Times New Roman"/>
                <w:sz w:val="24"/>
                <w:szCs w:val="24"/>
                <w:lang w:eastAsia="lv-LV"/>
              </w:rPr>
              <w:t xml:space="preserve"> par vadītāju atalgojumu un saistīto pušu darījumiem</w:t>
            </w:r>
            <w:r w:rsidRPr="00401BD5">
              <w:rPr>
                <w:rFonts w:ascii="Times New Roman" w:eastAsia="Times New Roman" w:hAnsi="Times New Roman" w:cs="Times New Roman"/>
                <w:sz w:val="24"/>
                <w:szCs w:val="24"/>
                <w:lang w:eastAsia="lv-LV"/>
              </w:rPr>
              <w:t xml:space="preserve"> ir izskatīt</w:t>
            </w:r>
            <w:r w:rsidR="00401BD5" w:rsidRPr="00401BD5">
              <w:rPr>
                <w:rFonts w:ascii="Times New Roman" w:eastAsia="Times New Roman" w:hAnsi="Times New Roman" w:cs="Times New Roman"/>
                <w:sz w:val="24"/>
                <w:szCs w:val="24"/>
                <w:lang w:eastAsia="lv-LV"/>
              </w:rPr>
              <w:t>a</w:t>
            </w:r>
            <w:r w:rsidRPr="1CB73AEC">
              <w:rPr>
                <w:rFonts w:ascii="Times New Roman" w:eastAsia="Times New Roman" w:hAnsi="Times New Roman" w:cs="Times New Roman"/>
                <w:sz w:val="24"/>
                <w:szCs w:val="24"/>
                <w:lang w:eastAsia="lv-LV"/>
              </w:rPr>
              <w:t xml:space="preserve"> arī Tieslietu ministrijas </w:t>
            </w:r>
            <w:r w:rsidRPr="1CB73AEC">
              <w:rPr>
                <w:rFonts w:ascii="Times New Roman" w:hAnsi="Times New Roman" w:cs="Times New Roman"/>
                <w:sz w:val="24"/>
                <w:szCs w:val="24"/>
                <w:lang w:eastAsia="lv-LV"/>
              </w:rPr>
              <w:t xml:space="preserve">izveidotajā pastāvīgajā darba grupā </w:t>
            </w:r>
            <w:r w:rsidRPr="1CB73AEC">
              <w:rPr>
                <w:rFonts w:ascii="Times New Roman" w:eastAsia="Times New Roman" w:hAnsi="Times New Roman" w:cs="Times New Roman"/>
                <w:sz w:val="24"/>
                <w:szCs w:val="24"/>
                <w:lang w:eastAsia="lv-LV"/>
              </w:rPr>
              <w:t>Komerclikuma grozījumu izstrādei, kuras sastāvā ir komerctiesību eksperti un praktiķi, kā arī pārstāvji no sociālajiem partneriem.</w:t>
            </w:r>
            <w:r>
              <w:t xml:space="preserve"> </w:t>
            </w:r>
          </w:p>
        </w:tc>
      </w:tr>
      <w:tr w:rsidR="005D4E8A" w:rsidRPr="00BC2633" w14:paraId="4A35F0EC" w14:textId="77777777" w:rsidTr="00F13E2B">
        <w:trPr>
          <w:trHeight w:val="128"/>
        </w:trPr>
        <w:tc>
          <w:tcPr>
            <w:tcW w:w="5000" w:type="pct"/>
            <w:gridSpan w:val="3"/>
            <w:tcBorders>
              <w:top w:val="outset" w:sz="6" w:space="0" w:color="414142"/>
              <w:left w:val="nil"/>
              <w:bottom w:val="outset" w:sz="6" w:space="0" w:color="414142"/>
              <w:right w:val="nil"/>
            </w:tcBorders>
          </w:tcPr>
          <w:p w14:paraId="3909DB7C" w14:textId="77777777" w:rsidR="00031256" w:rsidRPr="00BC2633" w:rsidRDefault="0081203F" w:rsidP="0081203F">
            <w:pPr>
              <w:tabs>
                <w:tab w:val="left" w:pos="990"/>
              </w:tabs>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b/>
            </w:r>
          </w:p>
        </w:tc>
      </w:tr>
      <w:tr w:rsidR="00BC2633" w:rsidRPr="00BC2633" w14:paraId="231B55F5" w14:textId="77777777" w:rsidTr="00F13E2B">
        <w:trPr>
          <w:trHeight w:val="555"/>
        </w:trPr>
        <w:tc>
          <w:tcPr>
            <w:tcW w:w="5000" w:type="pct"/>
            <w:gridSpan w:val="3"/>
            <w:tcBorders>
              <w:top w:val="nil"/>
              <w:left w:val="outset" w:sz="6" w:space="0" w:color="414142"/>
              <w:bottom w:val="outset" w:sz="6" w:space="0" w:color="414142"/>
              <w:right w:val="outset" w:sz="6" w:space="0" w:color="414142"/>
            </w:tcBorders>
            <w:vAlign w:val="center"/>
            <w:hideMark/>
          </w:tcPr>
          <w:p w14:paraId="4C70EC05"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DA326E" w:rsidRPr="00BC2633" w14:paraId="2C9F3255" w14:textId="77777777" w:rsidTr="00F13E2B">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6ABD5F2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601" w:type="pct"/>
            <w:tcBorders>
              <w:top w:val="outset" w:sz="6" w:space="0" w:color="414142"/>
              <w:left w:val="outset" w:sz="6" w:space="0" w:color="414142"/>
              <w:bottom w:val="outset" w:sz="6" w:space="0" w:color="414142"/>
              <w:right w:val="outset" w:sz="6" w:space="0" w:color="414142"/>
            </w:tcBorders>
            <w:hideMark/>
          </w:tcPr>
          <w:p w14:paraId="7DF97D57"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mērķgrupas, kuras tiesiskais regulējums ietekmē vai varētu ietekmēt</w:t>
            </w:r>
          </w:p>
        </w:tc>
        <w:tc>
          <w:tcPr>
            <w:tcW w:w="3199" w:type="pct"/>
            <w:tcBorders>
              <w:top w:val="outset" w:sz="6" w:space="0" w:color="414142"/>
              <w:left w:val="outset" w:sz="6" w:space="0" w:color="414142"/>
              <w:bottom w:val="outset" w:sz="6" w:space="0" w:color="414142"/>
              <w:right w:val="outset" w:sz="6" w:space="0" w:color="414142"/>
            </w:tcBorders>
            <w:hideMark/>
          </w:tcPr>
          <w:p w14:paraId="674A68B1" w14:textId="09C658C7" w:rsidR="003661B4" w:rsidRPr="003661B4" w:rsidRDefault="003661B4" w:rsidP="003661B4">
            <w:pPr>
              <w:spacing w:after="0" w:line="240" w:lineRule="auto"/>
              <w:jc w:val="both"/>
              <w:rPr>
                <w:rFonts w:ascii="Times New Roman" w:eastAsia="Times New Roman" w:hAnsi="Times New Roman" w:cs="Times New Roman"/>
                <w:sz w:val="24"/>
                <w:szCs w:val="24"/>
                <w:lang w:eastAsia="lv-LV"/>
              </w:rPr>
            </w:pPr>
            <w:r w:rsidRPr="003661B4">
              <w:rPr>
                <w:rFonts w:ascii="Times New Roman" w:hAnsi="Times New Roman" w:cs="Times New Roman"/>
                <w:sz w:val="24"/>
                <w:szCs w:val="24"/>
              </w:rPr>
              <w:t xml:space="preserve">Akciju sabiedrības, kuru akcijas </w:t>
            </w:r>
            <w:r w:rsidRPr="00B103C5">
              <w:rPr>
                <w:rFonts w:ascii="Times New Roman" w:hAnsi="Times New Roman" w:cs="Times New Roman"/>
                <w:sz w:val="24"/>
                <w:szCs w:val="24"/>
              </w:rPr>
              <w:t xml:space="preserve">ir iekļautas regulētajā tirgū Latvijā (šobrīd tāda ir 21 akciju sabiedrība), </w:t>
            </w:r>
            <w:r w:rsidR="00283E1C" w:rsidRPr="00283E1C">
              <w:rPr>
                <w:rFonts w:ascii="Times New Roman" w:eastAsia="Times New Roman" w:hAnsi="Times New Roman"/>
                <w:sz w:val="24"/>
                <w:szCs w:val="24"/>
                <w:lang w:val="lv"/>
              </w:rPr>
              <w:t>i</w:t>
            </w:r>
            <w:r w:rsidR="00283E1C" w:rsidRPr="00283E1C">
              <w:rPr>
                <w:rFonts w:ascii="Times New Roman" w:eastAsia="Times New Roman" w:hAnsi="Times New Roman" w:cs="Times New Roman"/>
                <w:sz w:val="24"/>
                <w:szCs w:val="24"/>
                <w:lang w:val="lv"/>
              </w:rPr>
              <w:t>nstitucionālie investori un aktīvu pārvaldnieki</w:t>
            </w:r>
            <w:r w:rsidR="00283E1C" w:rsidRPr="00283E1C">
              <w:rPr>
                <w:rFonts w:ascii="Times New Roman" w:eastAsia="Times New Roman" w:hAnsi="Times New Roman"/>
                <w:sz w:val="24"/>
                <w:szCs w:val="24"/>
                <w:lang w:val="lv"/>
              </w:rPr>
              <w:t xml:space="preserve">, </w:t>
            </w:r>
            <w:r w:rsidR="00283E1C" w:rsidRPr="00283E1C">
              <w:rPr>
                <w:rFonts w:ascii="Times New Roman" w:eastAsia="Times New Roman" w:hAnsi="Times New Roman" w:cs="Times New Roman"/>
                <w:sz w:val="24"/>
                <w:szCs w:val="24"/>
                <w:lang w:val="lv"/>
              </w:rPr>
              <w:t>pilnvarot</w:t>
            </w:r>
            <w:r w:rsidR="00283E1C" w:rsidRPr="00283E1C">
              <w:rPr>
                <w:rFonts w:ascii="Times New Roman" w:eastAsia="Times New Roman" w:hAnsi="Times New Roman"/>
                <w:sz w:val="24"/>
                <w:szCs w:val="24"/>
                <w:lang w:val="lv"/>
              </w:rPr>
              <w:t>ie</w:t>
            </w:r>
            <w:r w:rsidR="00283E1C" w:rsidRPr="00283E1C">
              <w:rPr>
                <w:rFonts w:ascii="Times New Roman" w:eastAsia="Times New Roman" w:hAnsi="Times New Roman" w:cs="Times New Roman"/>
                <w:sz w:val="24"/>
                <w:szCs w:val="24"/>
                <w:lang w:val="lv"/>
              </w:rPr>
              <w:t xml:space="preserve"> padomdevēj</w:t>
            </w:r>
            <w:r w:rsidR="00283E1C" w:rsidRPr="00283E1C">
              <w:rPr>
                <w:rFonts w:ascii="Times New Roman" w:eastAsia="Times New Roman" w:hAnsi="Times New Roman"/>
                <w:sz w:val="24"/>
                <w:szCs w:val="24"/>
                <w:lang w:val="lv"/>
              </w:rPr>
              <w:t>i</w:t>
            </w:r>
            <w:r w:rsidR="00283E1C" w:rsidRPr="00283E1C">
              <w:rPr>
                <w:rFonts w:ascii="Times New Roman" w:eastAsia="Times New Roman" w:hAnsi="Times New Roman" w:cs="Times New Roman"/>
                <w:sz w:val="24"/>
                <w:szCs w:val="24"/>
                <w:lang w:eastAsia="lv-LV"/>
              </w:rPr>
              <w:t xml:space="preserve">, </w:t>
            </w:r>
            <w:r w:rsidR="00283E1C" w:rsidRPr="00283E1C">
              <w:rPr>
                <w:rFonts w:ascii="Times New Roman" w:eastAsia="Times New Roman" w:hAnsi="Times New Roman" w:cs="Times New Roman"/>
                <w:sz w:val="24"/>
                <w:szCs w:val="24"/>
                <w:lang w:val="lv"/>
              </w:rPr>
              <w:t>starpniek</w:t>
            </w:r>
            <w:r w:rsidR="00283E1C" w:rsidRPr="00283E1C">
              <w:rPr>
                <w:rFonts w:ascii="Times New Roman" w:eastAsia="Times New Roman" w:hAnsi="Times New Roman"/>
                <w:sz w:val="24"/>
                <w:szCs w:val="24"/>
                <w:lang w:val="lv"/>
              </w:rPr>
              <w:t xml:space="preserve">i, </w:t>
            </w:r>
            <w:r w:rsidRPr="00283E1C">
              <w:rPr>
                <w:rFonts w:ascii="Times New Roman" w:hAnsi="Times New Roman" w:cs="Times New Roman"/>
                <w:sz w:val="24"/>
                <w:szCs w:val="24"/>
              </w:rPr>
              <w:t>z</w:t>
            </w:r>
            <w:r w:rsidRPr="00283E1C">
              <w:rPr>
                <w:rFonts w:ascii="Times New Roman" w:eastAsia="Times New Roman" w:hAnsi="Times New Roman" w:cs="Times New Roman"/>
                <w:sz w:val="24"/>
                <w:szCs w:val="24"/>
                <w:lang w:eastAsia="lv-LV"/>
              </w:rPr>
              <w:t xml:space="preserve">vērināti revidenti, </w:t>
            </w:r>
            <w:r w:rsidR="00283E1C" w:rsidRPr="00283E1C">
              <w:rPr>
                <w:rFonts w:ascii="Times New Roman" w:eastAsia="Times New Roman" w:hAnsi="Times New Roman" w:cs="Times New Roman"/>
                <w:sz w:val="24"/>
                <w:szCs w:val="24"/>
                <w:lang w:val="lv"/>
              </w:rPr>
              <w:t>Nasdaq CSD SE,</w:t>
            </w:r>
            <w:r w:rsidR="00283E1C" w:rsidRPr="00283E1C">
              <w:rPr>
                <w:rFonts w:ascii="Times New Roman" w:eastAsia="Times New Roman" w:hAnsi="Times New Roman" w:cs="Times New Roman"/>
                <w:sz w:val="24"/>
                <w:szCs w:val="24"/>
                <w:lang w:eastAsia="lv-LV"/>
              </w:rPr>
              <w:t xml:space="preserve"> </w:t>
            </w:r>
            <w:r w:rsidRPr="00283E1C">
              <w:rPr>
                <w:rFonts w:ascii="Times New Roman" w:eastAsia="Times New Roman" w:hAnsi="Times New Roman" w:cs="Times New Roman"/>
                <w:sz w:val="24"/>
                <w:szCs w:val="24"/>
                <w:lang w:eastAsia="lv-LV"/>
              </w:rPr>
              <w:t>Finanšu un kapitāla tirgus komisija</w:t>
            </w:r>
            <w:r w:rsidR="00283E1C" w:rsidRPr="00283E1C">
              <w:rPr>
                <w:rFonts w:ascii="Times New Roman" w:eastAsia="Times New Roman" w:hAnsi="Times New Roman" w:cs="Times New Roman"/>
                <w:sz w:val="24"/>
                <w:szCs w:val="24"/>
                <w:lang w:eastAsia="lv-LV"/>
              </w:rPr>
              <w:t>.</w:t>
            </w:r>
            <w:r w:rsidR="00283E1C">
              <w:rPr>
                <w:rFonts w:ascii="Times New Roman" w:eastAsia="Times New Roman" w:hAnsi="Times New Roman"/>
                <w:b/>
                <w:sz w:val="24"/>
                <w:szCs w:val="24"/>
                <w:lang w:val="lv"/>
              </w:rPr>
              <w:t xml:space="preserve"> </w:t>
            </w:r>
            <w:r w:rsidR="00283E1C">
              <w:rPr>
                <w:rFonts w:ascii="Times New Roman" w:eastAsia="Times New Roman" w:hAnsi="Times New Roman"/>
                <w:sz w:val="24"/>
                <w:szCs w:val="24"/>
                <w:lang w:val="lv"/>
              </w:rPr>
              <w:t xml:space="preserve"> </w:t>
            </w:r>
          </w:p>
        </w:tc>
      </w:tr>
      <w:tr w:rsidR="00DA326E" w:rsidRPr="00BC2633" w14:paraId="135FDA25" w14:textId="77777777" w:rsidTr="00F13E2B">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725AAD29"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601" w:type="pct"/>
            <w:tcBorders>
              <w:top w:val="outset" w:sz="6" w:space="0" w:color="414142"/>
              <w:left w:val="outset" w:sz="6" w:space="0" w:color="414142"/>
              <w:bottom w:val="outset" w:sz="6" w:space="0" w:color="414142"/>
              <w:right w:val="outset" w:sz="6" w:space="0" w:color="414142"/>
            </w:tcBorders>
            <w:hideMark/>
          </w:tcPr>
          <w:p w14:paraId="1BB1E646"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Tiesiskā regulējuma ietekme uz tautsaimniecību un administratīvo slogu</w:t>
            </w:r>
          </w:p>
        </w:tc>
        <w:tc>
          <w:tcPr>
            <w:tcW w:w="3199" w:type="pct"/>
            <w:tcBorders>
              <w:top w:val="outset" w:sz="6" w:space="0" w:color="414142"/>
              <w:left w:val="outset" w:sz="6" w:space="0" w:color="414142"/>
              <w:bottom w:val="outset" w:sz="6" w:space="0" w:color="414142"/>
              <w:right w:val="outset" w:sz="6" w:space="0" w:color="414142"/>
            </w:tcBorders>
            <w:hideMark/>
          </w:tcPr>
          <w:p w14:paraId="5D0DAFB2" w14:textId="6241D14F" w:rsidR="004D15A9" w:rsidRPr="00B103C5" w:rsidRDefault="003661B4" w:rsidP="002D6AFB">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Akciju sabiedrībām, kuru akcijas iekļautas regulētajā tirgū, palielinās administratīvais slogs – projekts paredz izstrādā</w:t>
            </w:r>
            <w:r w:rsidR="006C7052">
              <w:rPr>
                <w:rFonts w:ascii="Times New Roman" w:eastAsia="Times New Roman" w:hAnsi="Times New Roman" w:cs="Times New Roman"/>
                <w:sz w:val="24"/>
                <w:szCs w:val="24"/>
                <w:lang w:eastAsia="lv-LV"/>
              </w:rPr>
              <w:t>t</w:t>
            </w:r>
            <w:r>
              <w:rPr>
                <w:rFonts w:ascii="Times New Roman" w:eastAsia="Times New Roman" w:hAnsi="Times New Roman" w:cs="Times New Roman"/>
                <w:sz w:val="24"/>
                <w:szCs w:val="24"/>
                <w:lang w:eastAsia="lv-LV"/>
              </w:rPr>
              <w:t xml:space="preserve"> un publiskot atalgojuma politiku un ziņojumu</w:t>
            </w:r>
            <w:r w:rsidR="00282F7D">
              <w:rPr>
                <w:rFonts w:ascii="Times New Roman" w:eastAsia="Times New Roman" w:hAnsi="Times New Roman" w:cs="Times New Roman"/>
                <w:sz w:val="24"/>
                <w:szCs w:val="24"/>
                <w:lang w:eastAsia="lv-LV"/>
              </w:rPr>
              <w:t xml:space="preserve">, </w:t>
            </w:r>
            <w:r w:rsidR="00D61E0D">
              <w:rPr>
                <w:rFonts w:ascii="Times New Roman" w:eastAsia="Times New Roman" w:hAnsi="Times New Roman" w:cs="Times New Roman"/>
                <w:sz w:val="24"/>
                <w:szCs w:val="24"/>
                <w:lang w:eastAsia="lv-LV"/>
              </w:rPr>
              <w:t xml:space="preserve">iesniegt atalgojuma ziņojumu FKTK, </w:t>
            </w:r>
            <w:r w:rsidR="00282F7D">
              <w:rPr>
                <w:rFonts w:ascii="Times New Roman" w:eastAsia="Times New Roman" w:hAnsi="Times New Roman" w:cs="Times New Roman"/>
                <w:sz w:val="24"/>
                <w:szCs w:val="24"/>
                <w:lang w:eastAsia="lv-LV"/>
              </w:rPr>
              <w:t xml:space="preserve">kā arī paredz ziņot par </w:t>
            </w:r>
            <w:r w:rsidR="00282F7D">
              <w:rPr>
                <w:rFonts w:ascii="Times New Roman" w:eastAsia="Times New Roman" w:hAnsi="Times New Roman" w:cs="Times New Roman"/>
                <w:sz w:val="24"/>
                <w:szCs w:val="24"/>
                <w:lang w:eastAsia="lv-LV"/>
              </w:rPr>
              <w:lastRenderedPageBreak/>
              <w:t xml:space="preserve">meitas sabiedrības noslēgtajiem darījumiem ar akciju sabiedrības </w:t>
            </w:r>
            <w:r w:rsidR="00282F7D" w:rsidRPr="00B103C5">
              <w:rPr>
                <w:rFonts w:ascii="Times New Roman" w:eastAsia="Times New Roman" w:hAnsi="Times New Roman" w:cs="Times New Roman"/>
                <w:sz w:val="24"/>
                <w:szCs w:val="24"/>
                <w:lang w:eastAsia="lv-LV"/>
              </w:rPr>
              <w:t>saistīto pusi.</w:t>
            </w:r>
          </w:p>
          <w:p w14:paraId="711A36B9" w14:textId="1F3E757C" w:rsidR="003661B4" w:rsidRPr="00B103C5" w:rsidRDefault="003661B4" w:rsidP="002D6AFB">
            <w:pPr>
              <w:spacing w:after="0" w:line="240" w:lineRule="auto"/>
              <w:ind w:firstLine="284"/>
              <w:jc w:val="both"/>
              <w:rPr>
                <w:rFonts w:ascii="Times New Roman" w:eastAsia="Times New Roman" w:hAnsi="Times New Roman" w:cs="Times New Roman"/>
                <w:sz w:val="24"/>
                <w:szCs w:val="24"/>
                <w:lang w:eastAsia="lv-LV"/>
              </w:rPr>
            </w:pPr>
            <w:r w:rsidRPr="00B103C5">
              <w:rPr>
                <w:rFonts w:ascii="Times New Roman" w:eastAsia="Times New Roman" w:hAnsi="Times New Roman" w:cs="Times New Roman"/>
                <w:sz w:val="24"/>
                <w:szCs w:val="24"/>
                <w:lang w:eastAsia="lv-LV"/>
              </w:rPr>
              <w:t>Zvērināti revidenti - tiek paplašināts to dokumentu skaits, kas ir izvērtējami revīzijas pakalpojumu sniegšanas ietvaros. Zvērināti revidenti tām akciju sabiedrībām, kuras akcijas ir iekļautas regulētajā tirgū, papildus izvērtēs arī atalgojuma ziņojumu.</w:t>
            </w:r>
            <w:r w:rsidR="00C329B3" w:rsidRPr="00B103C5">
              <w:rPr>
                <w:rFonts w:ascii="Times New Roman" w:eastAsia="Times New Roman" w:hAnsi="Times New Roman" w:cs="Times New Roman"/>
                <w:sz w:val="24"/>
                <w:szCs w:val="24"/>
                <w:lang w:eastAsia="lv-LV"/>
              </w:rPr>
              <w:t xml:space="preserve"> Atbilstoši Latvijas Zvērinātu revidentu asociācijas mājaslapā norādītajai informācijai Latvijā ir aptuveni 200 zvērināti revidenti.</w:t>
            </w:r>
          </w:p>
          <w:p w14:paraId="12DBBFF5" w14:textId="7CA0EEEA" w:rsidR="003661B4" w:rsidRPr="00BC2633" w:rsidRDefault="003661B4" w:rsidP="002D6AFB">
            <w:pPr>
              <w:spacing w:after="0" w:line="240" w:lineRule="auto"/>
              <w:ind w:firstLine="284"/>
              <w:jc w:val="both"/>
              <w:rPr>
                <w:rFonts w:ascii="Times New Roman" w:eastAsia="Times New Roman" w:hAnsi="Times New Roman" w:cs="Times New Roman"/>
                <w:sz w:val="24"/>
                <w:szCs w:val="24"/>
                <w:lang w:eastAsia="lv-LV"/>
              </w:rPr>
            </w:pPr>
            <w:r w:rsidRPr="00B103C5">
              <w:rPr>
                <w:rFonts w:ascii="Times New Roman" w:eastAsia="Times New Roman" w:hAnsi="Times New Roman" w:cs="Times New Roman"/>
                <w:sz w:val="24"/>
                <w:szCs w:val="24"/>
                <w:lang w:eastAsia="lv-LV"/>
              </w:rPr>
              <w:t>Finanšu un kapitāla tirgus komisija – jāveic klientu (akciju sabiedrības, kuras akcijas iekļautas regulētajā tirgū) papildu pārbaude attiecībā uz atalgojuma politikas un ziņojuma izstrādi</w:t>
            </w:r>
            <w:r w:rsidR="00CB0743">
              <w:rPr>
                <w:rFonts w:ascii="Times New Roman" w:eastAsia="Times New Roman" w:hAnsi="Times New Roman" w:cs="Times New Roman"/>
                <w:sz w:val="24"/>
                <w:szCs w:val="24"/>
                <w:lang w:eastAsia="lv-LV"/>
              </w:rPr>
              <w:t>, kā arī jāveic papildu tirgus dalībnieku kontrole.</w:t>
            </w:r>
          </w:p>
        </w:tc>
      </w:tr>
      <w:tr w:rsidR="00DA326E" w:rsidRPr="00BC2633" w14:paraId="5245BA7A" w14:textId="77777777" w:rsidTr="00F13E2B">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5F40837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3.</w:t>
            </w:r>
          </w:p>
        </w:tc>
        <w:tc>
          <w:tcPr>
            <w:tcW w:w="1601" w:type="pct"/>
            <w:tcBorders>
              <w:top w:val="outset" w:sz="6" w:space="0" w:color="414142"/>
              <w:left w:val="outset" w:sz="6" w:space="0" w:color="414142"/>
              <w:bottom w:val="outset" w:sz="6" w:space="0" w:color="414142"/>
              <w:right w:val="outset" w:sz="6" w:space="0" w:color="414142"/>
            </w:tcBorders>
            <w:hideMark/>
          </w:tcPr>
          <w:p w14:paraId="490198F8"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Administratīvo izmaksu monetārs novērtējums</w:t>
            </w:r>
          </w:p>
        </w:tc>
        <w:tc>
          <w:tcPr>
            <w:tcW w:w="3199" w:type="pct"/>
            <w:tcBorders>
              <w:top w:val="outset" w:sz="6" w:space="0" w:color="414142"/>
              <w:left w:val="outset" w:sz="6" w:space="0" w:color="414142"/>
              <w:bottom w:val="outset" w:sz="6" w:space="0" w:color="414142"/>
              <w:right w:val="outset" w:sz="6" w:space="0" w:color="414142"/>
            </w:tcBorders>
            <w:hideMark/>
          </w:tcPr>
          <w:p w14:paraId="39B897D3" w14:textId="67D8CAB5" w:rsidR="00D61E0D" w:rsidRDefault="00C329B3" w:rsidP="00D61E0D">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Administratīvās izmaksas (izmaksas, ko rada informācijas sniegšanas vai uzglabāšanas pienākumi) veidojas no atalgojuma politikas publiskošanas mājaslapā un atalgojuma ziņojuma iesniegšanas FKTK un publiskošanas mājaslapā. </w:t>
            </w:r>
          </w:p>
          <w:p w14:paraId="77B951F0" w14:textId="4C79DDC7" w:rsidR="00156AA9" w:rsidRDefault="00156AA9" w:rsidP="00D61E0D">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w:t>
            </w:r>
            <w:r w:rsidR="0074013C">
              <w:rPr>
                <w:rFonts w:ascii="Times New Roman" w:eastAsia="Times New Roman" w:hAnsi="Times New Roman" w:cs="Times New Roman"/>
                <w:sz w:val="24"/>
                <w:szCs w:val="24"/>
                <w:lang w:eastAsia="lv-LV"/>
              </w:rPr>
              <w:t xml:space="preserve">kciju sabiedrībām, kuru akcijas iekļautas regulētajā tirgū, jau šobrīd ir jābūt savai mājaslapai, </w:t>
            </w:r>
            <w:r>
              <w:rPr>
                <w:rFonts w:ascii="Times New Roman" w:eastAsia="Times New Roman" w:hAnsi="Times New Roman" w:cs="Times New Roman"/>
                <w:sz w:val="24"/>
                <w:szCs w:val="24"/>
                <w:lang w:eastAsia="lv-LV"/>
              </w:rPr>
              <w:t>tāpēc</w:t>
            </w:r>
            <w:r w:rsidR="0074013C">
              <w:rPr>
                <w:rFonts w:ascii="Times New Roman" w:eastAsia="Times New Roman" w:hAnsi="Times New Roman" w:cs="Times New Roman"/>
                <w:sz w:val="24"/>
                <w:szCs w:val="24"/>
                <w:lang w:eastAsia="lv-LV"/>
              </w:rPr>
              <w:t xml:space="preserve"> </w:t>
            </w:r>
            <w:r w:rsidR="00D61E0D">
              <w:rPr>
                <w:rFonts w:ascii="Times New Roman" w:eastAsia="Times New Roman" w:hAnsi="Times New Roman" w:cs="Times New Roman"/>
                <w:sz w:val="24"/>
                <w:szCs w:val="24"/>
                <w:lang w:eastAsia="lv-LV"/>
              </w:rPr>
              <w:t xml:space="preserve">jau esošas </w:t>
            </w:r>
            <w:r w:rsidR="0074013C">
              <w:rPr>
                <w:rFonts w:ascii="Times New Roman" w:eastAsia="Times New Roman" w:hAnsi="Times New Roman" w:cs="Times New Roman"/>
                <w:sz w:val="24"/>
                <w:szCs w:val="24"/>
                <w:lang w:eastAsia="lv-LV"/>
              </w:rPr>
              <w:t>informācijas ievietošana mājaslapā</w:t>
            </w:r>
            <w:r w:rsidR="00D61E0D">
              <w:rPr>
                <w:rFonts w:ascii="Times New Roman" w:eastAsia="Times New Roman" w:hAnsi="Times New Roman" w:cs="Times New Roman"/>
                <w:sz w:val="24"/>
                <w:szCs w:val="24"/>
                <w:lang w:eastAsia="lv-LV"/>
              </w:rPr>
              <w:t xml:space="preserve"> un šīs informācijas uzturēšana mājaslapā</w:t>
            </w:r>
            <w:r w:rsidR="0074013C">
              <w:rPr>
                <w:rFonts w:ascii="Times New Roman" w:eastAsia="Times New Roman" w:hAnsi="Times New Roman" w:cs="Times New Roman"/>
                <w:sz w:val="24"/>
                <w:szCs w:val="24"/>
                <w:lang w:eastAsia="lv-LV"/>
              </w:rPr>
              <w:t xml:space="preserve"> nerada</w:t>
            </w:r>
            <w:r w:rsidR="00D61E0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būtiskas papildu </w:t>
            </w:r>
            <w:r w:rsidR="0074013C">
              <w:rPr>
                <w:rFonts w:ascii="Times New Roman" w:eastAsia="Times New Roman" w:hAnsi="Times New Roman" w:cs="Times New Roman"/>
                <w:sz w:val="24"/>
                <w:szCs w:val="24"/>
                <w:lang w:eastAsia="lv-LV"/>
              </w:rPr>
              <w:t>izmaksas</w:t>
            </w:r>
            <w:r>
              <w:rPr>
                <w:rFonts w:ascii="Times New Roman" w:eastAsia="Times New Roman" w:hAnsi="Times New Roman" w:cs="Times New Roman"/>
                <w:sz w:val="24"/>
                <w:szCs w:val="24"/>
                <w:lang w:eastAsia="lv-LV"/>
              </w:rPr>
              <w:t xml:space="preserve">. Savukārt atalgojuma ziņojuma iesniegšana FKTK notiek vienlaikus ar gada pārskata iesniegšanu. Līdz ar to prognozējams, ka </w:t>
            </w:r>
            <w:r w:rsidRPr="00B103C5">
              <w:rPr>
                <w:rFonts w:ascii="Times New Roman" w:eastAsia="Times New Roman" w:hAnsi="Times New Roman" w:cs="Times New Roman"/>
                <w:sz w:val="24"/>
                <w:szCs w:val="24"/>
                <w:lang w:eastAsia="lv-LV"/>
              </w:rPr>
              <w:t>šīs administratīvās izmaksas</w:t>
            </w:r>
            <w:r w:rsidR="002D6AFB" w:rsidRPr="00B103C5">
              <w:rPr>
                <w:rFonts w:ascii="Times New Roman" w:eastAsia="Times New Roman" w:hAnsi="Times New Roman" w:cs="Times New Roman"/>
                <w:sz w:val="24"/>
                <w:szCs w:val="24"/>
                <w:lang w:eastAsia="lv-LV"/>
              </w:rPr>
              <w:t xml:space="preserve"> (publiskošana un iesniegšana FKTK)</w:t>
            </w:r>
            <w:r w:rsidRPr="00B103C5">
              <w:rPr>
                <w:rFonts w:ascii="Times New Roman" w:eastAsia="Times New Roman" w:hAnsi="Times New Roman" w:cs="Times New Roman"/>
                <w:sz w:val="24"/>
                <w:szCs w:val="24"/>
                <w:lang w:eastAsia="lv-LV"/>
              </w:rPr>
              <w:t xml:space="preserve"> mērķgrupai nepārsni</w:t>
            </w:r>
            <w:r w:rsidR="00774408" w:rsidRPr="00B103C5">
              <w:rPr>
                <w:rFonts w:ascii="Times New Roman" w:eastAsia="Times New Roman" w:hAnsi="Times New Roman" w:cs="Times New Roman"/>
                <w:sz w:val="24"/>
                <w:szCs w:val="24"/>
                <w:lang w:eastAsia="lv-LV"/>
              </w:rPr>
              <w:t>e</w:t>
            </w:r>
            <w:r w:rsidRPr="00B103C5">
              <w:rPr>
                <w:rFonts w:ascii="Times New Roman" w:eastAsia="Times New Roman" w:hAnsi="Times New Roman" w:cs="Times New Roman"/>
                <w:sz w:val="24"/>
                <w:szCs w:val="24"/>
                <w:lang w:eastAsia="lv-LV"/>
              </w:rPr>
              <w:t xml:space="preserve">gs 2000 eiro gada laikā. </w:t>
            </w:r>
          </w:p>
          <w:p w14:paraId="5D564945" w14:textId="0D8864A3" w:rsidR="00700530" w:rsidRPr="005E6583" w:rsidRDefault="00D61E0D" w:rsidP="005E6583">
            <w:pPr>
              <w:spacing w:after="0" w:line="240" w:lineRule="auto"/>
              <w:ind w:firstLine="284"/>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4"/>
                <w:szCs w:val="24"/>
                <w:lang w:eastAsia="lv-LV"/>
              </w:rPr>
              <w:t xml:space="preserve">Projekts paredz sniegt informāciju par meitas sabiedrības noslēgtajiem darījumiem ar akciju sabiedrības saistīto pusi. </w:t>
            </w:r>
            <w:r w:rsidR="00156AA9">
              <w:rPr>
                <w:rFonts w:ascii="Times New Roman" w:eastAsia="Times New Roman" w:hAnsi="Times New Roman" w:cs="Times New Roman"/>
                <w:sz w:val="24"/>
                <w:szCs w:val="24"/>
                <w:lang w:eastAsia="lv-LV"/>
              </w:rPr>
              <w:t>M</w:t>
            </w:r>
            <w:r w:rsidR="00700530" w:rsidRPr="00700530">
              <w:rPr>
                <w:rFonts w:ascii="Times New Roman" w:eastAsia="Times New Roman" w:hAnsi="Times New Roman" w:cs="Times New Roman"/>
                <w:color w:val="000000"/>
                <w:sz w:val="24"/>
                <w:szCs w:val="24"/>
                <w:lang w:eastAsia="lv-LV"/>
              </w:rPr>
              <w:t xml:space="preserve">inētais informācijas sniegšanas pienākums iestājas tikai tad, ja, pirmkārt, </w:t>
            </w:r>
            <w:r>
              <w:rPr>
                <w:rFonts w:ascii="Times New Roman" w:eastAsia="Times New Roman" w:hAnsi="Times New Roman" w:cs="Times New Roman"/>
                <w:color w:val="000000"/>
                <w:sz w:val="24"/>
                <w:szCs w:val="24"/>
                <w:lang w:eastAsia="lv-LV"/>
              </w:rPr>
              <w:t>akciju sabiedrībai vispār ir meitas sabiedrība, otrkārt, meitas sabiedrība</w:t>
            </w:r>
            <w:r w:rsidR="00700530" w:rsidRPr="00700530">
              <w:rPr>
                <w:rFonts w:ascii="Times New Roman" w:eastAsia="Times New Roman" w:hAnsi="Times New Roman" w:cs="Times New Roman"/>
                <w:color w:val="000000"/>
                <w:sz w:val="24"/>
                <w:szCs w:val="24"/>
                <w:lang w:eastAsia="lv-LV"/>
              </w:rPr>
              <w:t xml:space="preserve"> slēdz darījumu ar konkrētu subjektu (</w:t>
            </w:r>
            <w:r w:rsidR="00156AA9">
              <w:rPr>
                <w:rFonts w:ascii="Times New Roman" w:eastAsia="Times New Roman" w:hAnsi="Times New Roman" w:cs="Times New Roman"/>
                <w:color w:val="000000"/>
                <w:sz w:val="24"/>
                <w:szCs w:val="24"/>
                <w:lang w:eastAsia="lv-LV"/>
              </w:rPr>
              <w:t xml:space="preserve">akciju sabiedrības </w:t>
            </w:r>
            <w:r w:rsidR="00700530" w:rsidRPr="00700530">
              <w:rPr>
                <w:rFonts w:ascii="Times New Roman" w:eastAsia="Times New Roman" w:hAnsi="Times New Roman" w:cs="Times New Roman"/>
                <w:color w:val="000000"/>
                <w:sz w:val="24"/>
                <w:szCs w:val="24"/>
                <w:lang w:eastAsia="lv-LV"/>
              </w:rPr>
              <w:t xml:space="preserve">saistīto personu) un, </w:t>
            </w:r>
            <w:r w:rsidR="00156AA9">
              <w:rPr>
                <w:rFonts w:ascii="Times New Roman" w:eastAsia="Times New Roman" w:hAnsi="Times New Roman" w:cs="Times New Roman"/>
                <w:color w:val="000000"/>
                <w:sz w:val="24"/>
                <w:szCs w:val="24"/>
                <w:lang w:eastAsia="lv-LV"/>
              </w:rPr>
              <w:t>treškārt</w:t>
            </w:r>
            <w:r w:rsidR="00700530" w:rsidRPr="00700530">
              <w:rPr>
                <w:rFonts w:ascii="Times New Roman" w:eastAsia="Times New Roman" w:hAnsi="Times New Roman" w:cs="Times New Roman"/>
                <w:color w:val="000000"/>
                <w:sz w:val="24"/>
                <w:szCs w:val="24"/>
                <w:lang w:eastAsia="lv-LV"/>
              </w:rPr>
              <w:t>, darījums atbilst noteiktiem kritērijiem</w:t>
            </w:r>
            <w:r>
              <w:rPr>
                <w:rFonts w:ascii="Times New Roman" w:eastAsia="Times New Roman" w:hAnsi="Times New Roman" w:cs="Times New Roman"/>
                <w:color w:val="000000"/>
                <w:sz w:val="24"/>
                <w:szCs w:val="24"/>
                <w:lang w:eastAsia="lv-LV"/>
              </w:rPr>
              <w:t xml:space="preserve"> – darījums vienlaikus ir netipisks</w:t>
            </w:r>
            <w:r w:rsidR="00700530" w:rsidRPr="00700530">
              <w:rPr>
                <w:rFonts w:ascii="Times New Roman" w:eastAsia="Times New Roman" w:hAnsi="Times New Roman" w:cs="Times New Roman"/>
                <w:color w:val="000000"/>
                <w:sz w:val="24"/>
                <w:szCs w:val="24"/>
                <w:lang w:eastAsia="lv-LV"/>
              </w:rPr>
              <w:t xml:space="preserve"> (nav slēgts parasti veicamās komercdarbības ietvaros</w:t>
            </w:r>
            <w:r>
              <w:rPr>
                <w:rFonts w:ascii="Times New Roman" w:eastAsia="Times New Roman" w:hAnsi="Times New Roman" w:cs="Times New Roman"/>
                <w:color w:val="000000"/>
                <w:sz w:val="24"/>
                <w:szCs w:val="24"/>
                <w:lang w:eastAsia="lv-LV"/>
              </w:rPr>
              <w:t xml:space="preserve"> un</w:t>
            </w:r>
            <w:r w:rsidR="00700530" w:rsidRPr="00700530">
              <w:rPr>
                <w:rFonts w:ascii="Times New Roman" w:eastAsia="Times New Roman" w:hAnsi="Times New Roman" w:cs="Times New Roman"/>
                <w:color w:val="000000"/>
                <w:sz w:val="24"/>
                <w:szCs w:val="24"/>
                <w:lang w:eastAsia="lv-LV"/>
              </w:rPr>
              <w:t xml:space="preserve"> nav slēgts uz tirgus nosacījumiem</w:t>
            </w:r>
            <w:r>
              <w:rPr>
                <w:rFonts w:ascii="Times New Roman" w:eastAsia="Times New Roman" w:hAnsi="Times New Roman" w:cs="Times New Roman"/>
                <w:color w:val="000000"/>
                <w:sz w:val="24"/>
                <w:szCs w:val="24"/>
                <w:lang w:eastAsia="lv-LV"/>
              </w:rPr>
              <w:t>)</w:t>
            </w:r>
            <w:r w:rsidR="00700530" w:rsidRPr="00700530">
              <w:rPr>
                <w:rFonts w:ascii="Times New Roman" w:eastAsia="Times New Roman" w:hAnsi="Times New Roman" w:cs="Times New Roman"/>
                <w:color w:val="000000"/>
                <w:sz w:val="24"/>
                <w:szCs w:val="24"/>
                <w:lang w:eastAsia="lv-LV"/>
              </w:rPr>
              <w:t xml:space="preserve"> vai ir nozīmīga apjoma darījums</w:t>
            </w:r>
            <w:r w:rsidR="00156AA9">
              <w:rPr>
                <w:rFonts w:ascii="Times New Roman" w:eastAsia="Times New Roman" w:hAnsi="Times New Roman" w:cs="Times New Roman"/>
                <w:color w:val="000000"/>
                <w:sz w:val="24"/>
                <w:szCs w:val="24"/>
                <w:lang w:eastAsia="lv-LV"/>
              </w:rPr>
              <w:t>. Līdz ar to n</w:t>
            </w:r>
            <w:r w:rsidR="00156AA9" w:rsidRPr="00700530">
              <w:rPr>
                <w:rFonts w:ascii="Times New Roman" w:eastAsia="Times New Roman" w:hAnsi="Times New Roman" w:cs="Times New Roman"/>
                <w:color w:val="000000"/>
                <w:sz w:val="24"/>
                <w:szCs w:val="24"/>
                <w:lang w:eastAsia="lv-LV"/>
              </w:rPr>
              <w:t xml:space="preserve">av iespējams precīzi noteikt, cik liela ir </w:t>
            </w:r>
            <w:r w:rsidR="00156AA9">
              <w:rPr>
                <w:rFonts w:ascii="Times New Roman" w:eastAsia="Times New Roman" w:hAnsi="Times New Roman" w:cs="Times New Roman"/>
                <w:color w:val="000000"/>
                <w:sz w:val="24"/>
                <w:szCs w:val="24"/>
                <w:lang w:eastAsia="lv-LV"/>
              </w:rPr>
              <w:t>mērķgrupa</w:t>
            </w:r>
            <w:r w:rsidR="00156AA9" w:rsidRPr="00700530">
              <w:rPr>
                <w:rFonts w:ascii="Times New Roman" w:eastAsia="Times New Roman" w:hAnsi="Times New Roman" w:cs="Times New Roman"/>
                <w:color w:val="000000"/>
                <w:sz w:val="24"/>
                <w:szCs w:val="24"/>
                <w:lang w:eastAsia="lv-LV"/>
              </w:rPr>
              <w:t xml:space="preserve"> un cik regulāri šāda informācija būtu sagatavojama</w:t>
            </w:r>
            <w:r w:rsidR="00156AA9">
              <w:rPr>
                <w:rFonts w:ascii="Times New Roman" w:eastAsia="Times New Roman" w:hAnsi="Times New Roman" w:cs="Times New Roman"/>
                <w:color w:val="000000"/>
                <w:sz w:val="24"/>
                <w:szCs w:val="24"/>
                <w:lang w:eastAsia="lv-LV"/>
              </w:rPr>
              <w:t xml:space="preserve">, tomēr </w:t>
            </w:r>
            <w:r w:rsidR="00700530" w:rsidRPr="00700530">
              <w:rPr>
                <w:rFonts w:ascii="Times New Roman" w:eastAsia="Times New Roman" w:hAnsi="Times New Roman" w:cs="Times New Roman"/>
                <w:color w:val="000000"/>
                <w:sz w:val="24"/>
                <w:szCs w:val="24"/>
                <w:lang w:eastAsia="lv-LV"/>
              </w:rPr>
              <w:t xml:space="preserve">prezumējams, ka šādi darījumi </w:t>
            </w:r>
            <w:r>
              <w:rPr>
                <w:rFonts w:ascii="Times New Roman" w:eastAsia="Times New Roman" w:hAnsi="Times New Roman" w:cs="Times New Roman"/>
                <w:color w:val="000000"/>
                <w:sz w:val="24"/>
                <w:szCs w:val="24"/>
                <w:lang w:eastAsia="lv-LV"/>
              </w:rPr>
              <w:t>tiek</w:t>
            </w:r>
            <w:r w:rsidR="00700530" w:rsidRPr="00700530">
              <w:rPr>
                <w:rFonts w:ascii="Times New Roman" w:eastAsia="Times New Roman" w:hAnsi="Times New Roman" w:cs="Times New Roman"/>
                <w:color w:val="000000"/>
                <w:sz w:val="24"/>
                <w:szCs w:val="24"/>
                <w:lang w:eastAsia="lv-LV"/>
              </w:rPr>
              <w:t xml:space="preserve"> slēgti </w:t>
            </w:r>
            <w:r>
              <w:rPr>
                <w:rFonts w:ascii="Times New Roman" w:eastAsia="Times New Roman" w:hAnsi="Times New Roman" w:cs="Times New Roman"/>
                <w:color w:val="000000"/>
                <w:sz w:val="24"/>
                <w:szCs w:val="24"/>
                <w:lang w:eastAsia="lv-LV"/>
              </w:rPr>
              <w:t>reti</w:t>
            </w:r>
            <w:r w:rsidR="00700530" w:rsidRPr="00700530">
              <w:rPr>
                <w:rFonts w:ascii="Times New Roman" w:eastAsia="Times New Roman" w:hAnsi="Times New Roman" w:cs="Times New Roman"/>
                <w:color w:val="000000"/>
                <w:sz w:val="24"/>
                <w:szCs w:val="24"/>
                <w:lang w:eastAsia="lv-LV"/>
              </w:rPr>
              <w:t xml:space="preserve"> un ka šādus darījumus neslēdz visas </w:t>
            </w:r>
            <w:r>
              <w:rPr>
                <w:rFonts w:ascii="Times New Roman" w:eastAsia="Times New Roman" w:hAnsi="Times New Roman" w:cs="Times New Roman"/>
                <w:color w:val="000000"/>
                <w:sz w:val="24"/>
                <w:szCs w:val="24"/>
                <w:lang w:eastAsia="lv-LV"/>
              </w:rPr>
              <w:t>akciju sabiedrību meitas sabiedrības</w:t>
            </w:r>
            <w:r w:rsidR="00700530" w:rsidRPr="00700530">
              <w:rPr>
                <w:rFonts w:ascii="Times New Roman" w:eastAsia="Times New Roman" w:hAnsi="Times New Roman" w:cs="Times New Roman"/>
                <w:color w:val="000000"/>
                <w:sz w:val="24"/>
                <w:szCs w:val="24"/>
                <w:lang w:eastAsia="lv-LV"/>
              </w:rPr>
              <w:t>.</w:t>
            </w:r>
            <w:r w:rsidR="00156AA9">
              <w:rPr>
                <w:rFonts w:ascii="Times New Roman" w:eastAsia="Times New Roman" w:hAnsi="Times New Roman" w:cs="Times New Roman"/>
                <w:color w:val="000000"/>
                <w:sz w:val="24"/>
                <w:szCs w:val="24"/>
                <w:lang w:eastAsia="lv-LV"/>
              </w:rPr>
              <w:t xml:space="preserve"> Tādējādi prognozējams, ka šīs administratīvās izmaksas mērķgrupai nepārsniedz 2000 eiro gada laikā.</w:t>
            </w:r>
          </w:p>
        </w:tc>
      </w:tr>
      <w:tr w:rsidR="00DA326E" w:rsidRPr="00BC2633" w14:paraId="2C02878A" w14:textId="77777777" w:rsidTr="00F13E2B">
        <w:trPr>
          <w:trHeight w:val="510"/>
        </w:trPr>
        <w:tc>
          <w:tcPr>
            <w:tcW w:w="200" w:type="pct"/>
            <w:tcBorders>
              <w:top w:val="outset" w:sz="6" w:space="0" w:color="414142"/>
              <w:left w:val="outset" w:sz="6" w:space="0" w:color="414142"/>
              <w:bottom w:val="outset" w:sz="6" w:space="0" w:color="414142"/>
              <w:right w:val="outset" w:sz="6" w:space="0" w:color="414142"/>
            </w:tcBorders>
          </w:tcPr>
          <w:p w14:paraId="5745159C" w14:textId="017EBBC8" w:rsidR="00A1552F" w:rsidRPr="00BC2633" w:rsidRDefault="00A1552F"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1601" w:type="pct"/>
            <w:tcBorders>
              <w:top w:val="outset" w:sz="6" w:space="0" w:color="414142"/>
              <w:left w:val="outset" w:sz="6" w:space="0" w:color="414142"/>
              <w:bottom w:val="outset" w:sz="6" w:space="0" w:color="414142"/>
              <w:right w:val="outset" w:sz="6" w:space="0" w:color="414142"/>
            </w:tcBorders>
          </w:tcPr>
          <w:p w14:paraId="105AF451" w14:textId="0BBD8082" w:rsidR="00A1552F" w:rsidRPr="00BC2633" w:rsidRDefault="00A1552F" w:rsidP="00DA596D">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Atbilstības izmaksu monetārs novērtējums</w:t>
            </w:r>
          </w:p>
        </w:tc>
        <w:tc>
          <w:tcPr>
            <w:tcW w:w="3199" w:type="pct"/>
            <w:tcBorders>
              <w:top w:val="outset" w:sz="6" w:space="0" w:color="414142"/>
              <w:left w:val="outset" w:sz="6" w:space="0" w:color="414142"/>
              <w:bottom w:val="outset" w:sz="6" w:space="0" w:color="414142"/>
              <w:right w:val="outset" w:sz="6" w:space="0" w:color="414142"/>
            </w:tcBorders>
          </w:tcPr>
          <w:p w14:paraId="67F4C35B" w14:textId="0E4D5AC4" w:rsidR="00A42F06" w:rsidRPr="002D6AFB" w:rsidRDefault="00A42F06" w:rsidP="00A42F06">
            <w:pPr>
              <w:spacing w:after="0" w:line="240" w:lineRule="auto"/>
              <w:ind w:firstLine="284"/>
              <w:jc w:val="both"/>
              <w:rPr>
                <w:rFonts w:ascii="Times New Roman" w:eastAsia="Times New Roman" w:hAnsi="Times New Roman" w:cs="Times New Roman"/>
                <w:sz w:val="24"/>
                <w:szCs w:val="24"/>
                <w:lang w:eastAsia="lv-LV"/>
              </w:rPr>
            </w:pPr>
            <w:r w:rsidRPr="002D6AFB">
              <w:rPr>
                <w:rFonts w:ascii="Times New Roman" w:eastAsia="Times New Roman" w:hAnsi="Times New Roman" w:cs="Times New Roman"/>
                <w:sz w:val="24"/>
                <w:szCs w:val="24"/>
                <w:lang w:eastAsia="lv-LV"/>
              </w:rPr>
              <w:t>Atbilstības izmaksas veido atalgojuma politikas un ziņojuma izstrāde.</w:t>
            </w:r>
          </w:p>
          <w:p w14:paraId="489FCF3E" w14:textId="77777777" w:rsidR="00A42F06" w:rsidRPr="00A42F06" w:rsidRDefault="00A42F06" w:rsidP="00A42F06">
            <w:pPr>
              <w:spacing w:after="0" w:line="240" w:lineRule="auto"/>
              <w:ind w:firstLine="284"/>
              <w:jc w:val="both"/>
              <w:rPr>
                <w:rFonts w:ascii="Times New Roman" w:eastAsia="Times New Roman" w:hAnsi="Times New Roman" w:cs="Times New Roman"/>
                <w:color w:val="FF0000"/>
                <w:sz w:val="24"/>
                <w:szCs w:val="24"/>
                <w:lang w:eastAsia="lv-LV"/>
              </w:rPr>
            </w:pPr>
          </w:p>
          <w:p w14:paraId="4AB2232B" w14:textId="66A52120" w:rsidR="006879C0" w:rsidRPr="00A42F06" w:rsidRDefault="001A3A5D" w:rsidP="00A42F06">
            <w:pPr>
              <w:spacing w:after="0" w:line="240" w:lineRule="auto"/>
              <w:ind w:firstLine="284"/>
              <w:jc w:val="both"/>
              <w:rPr>
                <w:rFonts w:ascii="Times New Roman" w:eastAsia="Times New Roman" w:hAnsi="Times New Roman" w:cs="Times New Roman"/>
                <w:b/>
                <w:sz w:val="24"/>
                <w:szCs w:val="24"/>
                <w:lang w:eastAsia="lv-LV"/>
              </w:rPr>
            </w:pPr>
            <w:r w:rsidRPr="00A42F06">
              <w:rPr>
                <w:rFonts w:ascii="Times New Roman" w:eastAsia="Times New Roman" w:hAnsi="Times New Roman" w:cs="Times New Roman"/>
                <w:b/>
                <w:sz w:val="24"/>
                <w:szCs w:val="24"/>
                <w:lang w:eastAsia="lv-LV"/>
              </w:rPr>
              <w:t>Atalgojuma politikas un ziņojuma izstrāde</w:t>
            </w:r>
          </w:p>
          <w:p w14:paraId="3837F402" w14:textId="7D0AE613" w:rsidR="00E83201" w:rsidRPr="00A42F06" w:rsidRDefault="00522039" w:rsidP="00A42F06">
            <w:pPr>
              <w:spacing w:after="0" w:line="240" w:lineRule="auto"/>
              <w:ind w:firstLine="284"/>
              <w:jc w:val="both"/>
              <w:rPr>
                <w:rFonts w:ascii="Times New Roman" w:hAnsi="Times New Roman" w:cs="Times New Roman"/>
                <w:sz w:val="24"/>
                <w:szCs w:val="24"/>
              </w:rPr>
            </w:pPr>
            <w:r w:rsidRPr="00A42F06">
              <w:rPr>
                <w:rFonts w:ascii="Times New Roman" w:eastAsia="Times New Roman" w:hAnsi="Times New Roman" w:cs="Times New Roman"/>
                <w:sz w:val="24"/>
                <w:szCs w:val="24"/>
                <w:lang w:eastAsia="lv-LV"/>
              </w:rPr>
              <w:t>Atalgojuma politiku n</w:t>
            </w:r>
            <w:r w:rsidR="00E83201" w:rsidRPr="00A42F06">
              <w:rPr>
                <w:rFonts w:ascii="Times New Roman" w:eastAsia="Times New Roman" w:hAnsi="Times New Roman" w:cs="Times New Roman"/>
                <w:sz w:val="24"/>
                <w:szCs w:val="24"/>
                <w:lang w:eastAsia="lv-LV"/>
              </w:rPr>
              <w:t xml:space="preserve">av pienākums radīt no jauna, bet ir pietiekoši aprakstīt esošo praksi atbilstoši </w:t>
            </w:r>
            <w:r w:rsidR="00EB4318">
              <w:rPr>
                <w:rFonts w:ascii="Times New Roman" w:eastAsia="Times New Roman" w:hAnsi="Times New Roman" w:cs="Times New Roman"/>
                <w:sz w:val="24"/>
                <w:szCs w:val="24"/>
                <w:lang w:eastAsia="lv-LV"/>
              </w:rPr>
              <w:t>p</w:t>
            </w:r>
            <w:r w:rsidR="00E83201" w:rsidRPr="00A42F06">
              <w:rPr>
                <w:rFonts w:ascii="Times New Roman" w:eastAsia="Times New Roman" w:hAnsi="Times New Roman" w:cs="Times New Roman"/>
                <w:sz w:val="24"/>
                <w:szCs w:val="24"/>
                <w:lang w:eastAsia="lv-LV"/>
              </w:rPr>
              <w:t xml:space="preserve">rojektā </w:t>
            </w:r>
            <w:r w:rsidR="00E83201" w:rsidRPr="00A42F06">
              <w:rPr>
                <w:rFonts w:ascii="Times New Roman" w:eastAsia="Times New Roman" w:hAnsi="Times New Roman" w:cs="Times New Roman"/>
                <w:sz w:val="24"/>
                <w:szCs w:val="24"/>
                <w:lang w:eastAsia="lv-LV"/>
              </w:rPr>
              <w:lastRenderedPageBreak/>
              <w:t>paredzētajiem kritērijiem</w:t>
            </w:r>
            <w:r w:rsidR="00E83201" w:rsidRPr="00B103C5">
              <w:rPr>
                <w:rFonts w:ascii="Times New Roman" w:eastAsia="Times New Roman" w:hAnsi="Times New Roman" w:cs="Times New Roman"/>
                <w:sz w:val="24"/>
                <w:szCs w:val="24"/>
                <w:lang w:eastAsia="lv-LV"/>
              </w:rPr>
              <w:t xml:space="preserve">. Proti, tā vairāk ir </w:t>
            </w:r>
            <w:r w:rsidR="002D6AFB" w:rsidRPr="00B103C5">
              <w:rPr>
                <w:rFonts w:ascii="Times New Roman" w:eastAsia="Times New Roman" w:hAnsi="Times New Roman" w:cs="Times New Roman"/>
                <w:sz w:val="24"/>
                <w:szCs w:val="24"/>
                <w:lang w:eastAsia="lv-LV"/>
              </w:rPr>
              <w:t xml:space="preserve">jauna dokumenta izstrāde - </w:t>
            </w:r>
            <w:r w:rsidR="00E83201" w:rsidRPr="00B103C5">
              <w:rPr>
                <w:rFonts w:ascii="Times New Roman" w:eastAsia="Times New Roman" w:hAnsi="Times New Roman" w:cs="Times New Roman"/>
                <w:sz w:val="24"/>
                <w:szCs w:val="24"/>
                <w:lang w:eastAsia="lv-LV"/>
              </w:rPr>
              <w:t xml:space="preserve">jau esošas informācijas </w:t>
            </w:r>
            <w:r w:rsidR="00E83201" w:rsidRPr="00A42F06">
              <w:rPr>
                <w:rFonts w:ascii="Times New Roman" w:eastAsia="Times New Roman" w:hAnsi="Times New Roman" w:cs="Times New Roman"/>
                <w:sz w:val="24"/>
                <w:szCs w:val="24"/>
                <w:lang w:eastAsia="lv-LV"/>
              </w:rPr>
              <w:t>apkopošana un strukturēšana, nevis jaunas informācijas radīšana. Projekts veicinās akciju sabiedrībām domāt par komersanta interesēm atbilstošu atalgojuma politiku un</w:t>
            </w:r>
            <w:r w:rsidR="00EC2332">
              <w:rPr>
                <w:rFonts w:ascii="Times New Roman" w:eastAsia="Times New Roman" w:hAnsi="Times New Roman" w:cs="Times New Roman"/>
                <w:sz w:val="24"/>
                <w:szCs w:val="24"/>
                <w:lang w:eastAsia="lv-LV"/>
              </w:rPr>
              <w:t>,</w:t>
            </w:r>
            <w:r w:rsidR="00E83201" w:rsidRPr="00A42F06">
              <w:rPr>
                <w:rFonts w:ascii="Times New Roman" w:eastAsia="Times New Roman" w:hAnsi="Times New Roman" w:cs="Times New Roman"/>
                <w:sz w:val="24"/>
                <w:szCs w:val="24"/>
                <w:lang w:eastAsia="lv-LV"/>
              </w:rPr>
              <w:t xml:space="preserve"> iespējams</w:t>
            </w:r>
            <w:r w:rsidR="00EC2332">
              <w:rPr>
                <w:rFonts w:ascii="Times New Roman" w:eastAsia="Times New Roman" w:hAnsi="Times New Roman" w:cs="Times New Roman"/>
                <w:sz w:val="24"/>
                <w:szCs w:val="24"/>
                <w:lang w:eastAsia="lv-LV"/>
              </w:rPr>
              <w:t>,</w:t>
            </w:r>
            <w:r w:rsidR="00E83201" w:rsidRPr="00A42F06">
              <w:rPr>
                <w:rFonts w:ascii="Times New Roman" w:eastAsia="Times New Roman" w:hAnsi="Times New Roman" w:cs="Times New Roman"/>
                <w:sz w:val="24"/>
                <w:szCs w:val="24"/>
                <w:lang w:eastAsia="lv-LV"/>
              </w:rPr>
              <w:t xml:space="preserve"> veicinās pārskatīt esošo praksi, tomēr šāds pienākums tieši neizriet no </w:t>
            </w:r>
            <w:r w:rsidR="00EB4318">
              <w:rPr>
                <w:rFonts w:ascii="Times New Roman" w:eastAsia="Times New Roman" w:hAnsi="Times New Roman" w:cs="Times New Roman"/>
                <w:sz w:val="24"/>
                <w:szCs w:val="24"/>
                <w:lang w:eastAsia="lv-LV"/>
              </w:rPr>
              <w:t>p</w:t>
            </w:r>
            <w:r w:rsidR="00E83201" w:rsidRPr="00A42F06">
              <w:rPr>
                <w:rFonts w:ascii="Times New Roman" w:eastAsia="Times New Roman" w:hAnsi="Times New Roman" w:cs="Times New Roman"/>
                <w:sz w:val="24"/>
                <w:szCs w:val="24"/>
                <w:lang w:eastAsia="lv-LV"/>
              </w:rPr>
              <w:t>rojekta. Projekta minimālais mērķis ir radī</w:t>
            </w:r>
            <w:r w:rsidRPr="00A42F06">
              <w:rPr>
                <w:rFonts w:ascii="Times New Roman" w:eastAsia="Times New Roman" w:hAnsi="Times New Roman" w:cs="Times New Roman"/>
                <w:sz w:val="24"/>
                <w:szCs w:val="24"/>
                <w:lang w:eastAsia="lv-LV"/>
              </w:rPr>
              <w:t>t</w:t>
            </w:r>
            <w:r w:rsidR="00E83201" w:rsidRPr="00A42F06">
              <w:rPr>
                <w:rFonts w:ascii="Times New Roman" w:eastAsia="Times New Roman" w:hAnsi="Times New Roman" w:cs="Times New Roman"/>
                <w:sz w:val="24"/>
                <w:szCs w:val="24"/>
                <w:lang w:eastAsia="lv-LV"/>
              </w:rPr>
              <w:t xml:space="preserve"> caurspīdīgu, atklātu un </w:t>
            </w:r>
            <w:r w:rsidR="00C85166" w:rsidRPr="00A42F06">
              <w:rPr>
                <w:rFonts w:ascii="Times New Roman" w:eastAsia="Times New Roman" w:hAnsi="Times New Roman" w:cs="Times New Roman"/>
                <w:sz w:val="24"/>
                <w:szCs w:val="24"/>
                <w:lang w:eastAsia="lv-LV"/>
              </w:rPr>
              <w:t xml:space="preserve">uz </w:t>
            </w:r>
            <w:r w:rsidR="00E83201" w:rsidRPr="00A42F06">
              <w:rPr>
                <w:rFonts w:ascii="Times New Roman" w:eastAsia="Times New Roman" w:hAnsi="Times New Roman" w:cs="Times New Roman"/>
                <w:sz w:val="24"/>
                <w:szCs w:val="24"/>
                <w:lang w:eastAsia="lv-LV"/>
              </w:rPr>
              <w:t>atbildīb</w:t>
            </w:r>
            <w:r w:rsidR="00C85166" w:rsidRPr="00A42F06">
              <w:rPr>
                <w:rFonts w:ascii="Times New Roman" w:eastAsia="Times New Roman" w:hAnsi="Times New Roman" w:cs="Times New Roman"/>
                <w:sz w:val="24"/>
                <w:szCs w:val="24"/>
                <w:lang w:eastAsia="lv-LV"/>
              </w:rPr>
              <w:t>as</w:t>
            </w:r>
            <w:r w:rsidR="00E83201" w:rsidRPr="00A42F06">
              <w:rPr>
                <w:rFonts w:ascii="Times New Roman" w:eastAsia="Times New Roman" w:hAnsi="Times New Roman" w:cs="Times New Roman"/>
                <w:sz w:val="24"/>
                <w:szCs w:val="24"/>
                <w:lang w:eastAsia="lv-LV"/>
              </w:rPr>
              <w:t xml:space="preserve"> stiprin</w:t>
            </w:r>
            <w:r w:rsidR="00C85166" w:rsidRPr="00A42F06">
              <w:rPr>
                <w:rFonts w:ascii="Times New Roman" w:eastAsia="Times New Roman" w:hAnsi="Times New Roman" w:cs="Times New Roman"/>
                <w:sz w:val="24"/>
                <w:szCs w:val="24"/>
                <w:lang w:eastAsia="lv-LV"/>
              </w:rPr>
              <w:t>āšanu vērstu</w:t>
            </w:r>
            <w:r w:rsidR="00E83201" w:rsidRPr="00A42F06">
              <w:rPr>
                <w:rFonts w:ascii="Times New Roman" w:eastAsia="Times New Roman" w:hAnsi="Times New Roman" w:cs="Times New Roman"/>
                <w:sz w:val="24"/>
                <w:szCs w:val="24"/>
                <w:lang w:eastAsia="lv-LV"/>
              </w:rPr>
              <w:t xml:space="preserve"> procedūru valdes un padomes atlīdzības noteikšanai. Līdz ar to atbilstības izmaksas veido tikai process, kas saistīts ar jau esošas informācijas strukturēšanu</w:t>
            </w:r>
            <w:r w:rsidR="004D20F0" w:rsidRPr="00A42F06">
              <w:rPr>
                <w:rFonts w:ascii="Times New Roman" w:eastAsia="Times New Roman" w:hAnsi="Times New Roman" w:cs="Times New Roman"/>
                <w:sz w:val="24"/>
                <w:szCs w:val="24"/>
                <w:lang w:eastAsia="lv-LV"/>
              </w:rPr>
              <w:t xml:space="preserve"> atbilstoši </w:t>
            </w:r>
            <w:r w:rsidR="00EB4318">
              <w:rPr>
                <w:rFonts w:ascii="Times New Roman" w:eastAsia="Times New Roman" w:hAnsi="Times New Roman" w:cs="Times New Roman"/>
                <w:sz w:val="24"/>
                <w:szCs w:val="24"/>
                <w:lang w:eastAsia="lv-LV"/>
              </w:rPr>
              <w:t>p</w:t>
            </w:r>
            <w:r w:rsidR="004D20F0" w:rsidRPr="00A42F06">
              <w:rPr>
                <w:rFonts w:ascii="Times New Roman" w:eastAsia="Times New Roman" w:hAnsi="Times New Roman" w:cs="Times New Roman"/>
                <w:sz w:val="24"/>
                <w:szCs w:val="24"/>
                <w:lang w:eastAsia="lv-LV"/>
              </w:rPr>
              <w:t>rojektā izvirzītajām prasībām. Vienlaikus jāņem vērā, ka atalgojuma politikas un ziņojuma izstrāde pirmajā gadā noteikti prasīs lielāku laika patēriņu, bet turpmākajos gados tās būs pārsvarā tehniskās darbības esošās informācijas apstrādē.</w:t>
            </w:r>
            <w:r w:rsidR="00C85166" w:rsidRPr="00A42F06">
              <w:rPr>
                <w:rFonts w:ascii="Times New Roman" w:eastAsia="Times New Roman" w:hAnsi="Times New Roman" w:cs="Times New Roman"/>
                <w:sz w:val="24"/>
                <w:szCs w:val="24"/>
                <w:lang w:eastAsia="lv-LV"/>
              </w:rPr>
              <w:t xml:space="preserve"> Turkl</w:t>
            </w:r>
            <w:r w:rsidR="00A42F06">
              <w:rPr>
                <w:rFonts w:ascii="Times New Roman" w:eastAsia="Times New Roman" w:hAnsi="Times New Roman" w:cs="Times New Roman"/>
                <w:sz w:val="24"/>
                <w:szCs w:val="24"/>
                <w:lang w:eastAsia="lv-LV"/>
              </w:rPr>
              <w:t>ā</w:t>
            </w:r>
            <w:r w:rsidR="00C85166" w:rsidRPr="00A42F06">
              <w:rPr>
                <w:rFonts w:ascii="Times New Roman" w:eastAsia="Times New Roman" w:hAnsi="Times New Roman" w:cs="Times New Roman"/>
                <w:sz w:val="24"/>
                <w:szCs w:val="24"/>
                <w:lang w:eastAsia="lv-LV"/>
              </w:rPr>
              <w:t xml:space="preserve">t jau šobrīd uz mērķgrupas </w:t>
            </w:r>
            <w:r w:rsidR="00C85166" w:rsidRPr="00A42F06">
              <w:rPr>
                <w:rFonts w:ascii="Times New Roman" w:hAnsi="Times New Roman" w:cs="Times New Roman"/>
                <w:sz w:val="24"/>
                <w:szCs w:val="24"/>
              </w:rPr>
              <w:t>akciju sabiedrībām attiecas NASDAQ Korporatīvās pārvaldības principi attiecībā uz vadītāju atalgojumu. Šie principi jau šobrīd paredz līdzīgas informācijas apkopošanu par valdes un padomes atalgojumu.</w:t>
            </w:r>
          </w:p>
          <w:p w14:paraId="3C64E1F5" w14:textId="1F7BF081" w:rsidR="00265ECB" w:rsidRPr="00A42F06" w:rsidRDefault="00C85166" w:rsidP="00A42F06">
            <w:pPr>
              <w:spacing w:after="0" w:line="240" w:lineRule="auto"/>
              <w:ind w:firstLine="284"/>
              <w:jc w:val="both"/>
              <w:rPr>
                <w:rFonts w:ascii="Times New Roman" w:eastAsia="Times New Roman" w:hAnsi="Times New Roman" w:cs="Times New Roman"/>
                <w:sz w:val="24"/>
                <w:szCs w:val="24"/>
                <w:lang w:eastAsia="lv-LV"/>
              </w:rPr>
            </w:pPr>
            <w:r w:rsidRPr="00A42F06">
              <w:rPr>
                <w:rFonts w:ascii="Times New Roman" w:eastAsia="Times New Roman" w:hAnsi="Times New Roman" w:cs="Times New Roman"/>
                <w:sz w:val="24"/>
                <w:szCs w:val="24"/>
                <w:lang w:eastAsia="lv-LV"/>
              </w:rPr>
              <w:t xml:space="preserve">Ņemot vērā minēto, prognozējams, ka atalgojuma politikas un </w:t>
            </w:r>
            <w:r w:rsidRPr="005E4D47">
              <w:rPr>
                <w:rFonts w:ascii="Times New Roman" w:eastAsia="Times New Roman" w:hAnsi="Times New Roman" w:cs="Times New Roman"/>
                <w:sz w:val="24"/>
                <w:szCs w:val="24"/>
                <w:lang w:eastAsia="lv-LV"/>
              </w:rPr>
              <w:t xml:space="preserve">ziņojuma izstrāde atbilstoši </w:t>
            </w:r>
            <w:r w:rsidR="00EB4318">
              <w:rPr>
                <w:rFonts w:ascii="Times New Roman" w:eastAsia="Times New Roman" w:hAnsi="Times New Roman" w:cs="Times New Roman"/>
                <w:sz w:val="24"/>
                <w:szCs w:val="24"/>
                <w:lang w:eastAsia="lv-LV"/>
              </w:rPr>
              <w:t>p</w:t>
            </w:r>
            <w:r w:rsidRPr="005E4D47">
              <w:rPr>
                <w:rFonts w:ascii="Times New Roman" w:eastAsia="Times New Roman" w:hAnsi="Times New Roman" w:cs="Times New Roman"/>
                <w:sz w:val="24"/>
                <w:szCs w:val="24"/>
                <w:lang w:eastAsia="lv-LV"/>
              </w:rPr>
              <w:t>rojekta prasībām pirmajā gadā varētu radīt atbilstības izmaksas šādā apjomā – viena darbinieka nedēļas darba laiks</w:t>
            </w:r>
            <w:r w:rsidR="00A42F06" w:rsidRPr="005E4D47">
              <w:rPr>
                <w:rFonts w:ascii="Times New Roman" w:eastAsia="Times New Roman" w:hAnsi="Times New Roman" w:cs="Times New Roman"/>
                <w:sz w:val="24"/>
                <w:szCs w:val="24"/>
                <w:lang w:eastAsia="lv-LV"/>
              </w:rPr>
              <w:t xml:space="preserve"> (40 stundas)</w:t>
            </w:r>
            <w:r w:rsidRPr="005E4D47">
              <w:rPr>
                <w:rFonts w:ascii="Times New Roman" w:eastAsia="Times New Roman" w:hAnsi="Times New Roman" w:cs="Times New Roman"/>
                <w:sz w:val="24"/>
                <w:szCs w:val="24"/>
                <w:lang w:eastAsia="lv-LV"/>
              </w:rPr>
              <w:t xml:space="preserve">. </w:t>
            </w:r>
            <w:r w:rsidR="00265ECB" w:rsidRPr="005E4D47">
              <w:rPr>
                <w:rFonts w:ascii="Times New Roman" w:eastAsia="Times New Roman" w:hAnsi="Times New Roman" w:cs="Times New Roman"/>
                <w:sz w:val="24"/>
                <w:szCs w:val="24"/>
                <w:lang w:eastAsia="lv-LV"/>
              </w:rPr>
              <w:t xml:space="preserve">Atalgojuma politiku ir pienākums pārskatīt </w:t>
            </w:r>
            <w:r w:rsidR="00A42F06" w:rsidRPr="005E4D47">
              <w:rPr>
                <w:rFonts w:ascii="Times New Roman" w:eastAsia="Times New Roman" w:hAnsi="Times New Roman" w:cs="Times New Roman"/>
                <w:sz w:val="24"/>
                <w:szCs w:val="24"/>
                <w:lang w:eastAsia="lv-LV"/>
              </w:rPr>
              <w:t xml:space="preserve">tikai </w:t>
            </w:r>
            <w:r w:rsidR="00265ECB" w:rsidRPr="005E4D47">
              <w:rPr>
                <w:rFonts w:ascii="Times New Roman" w:eastAsia="Times New Roman" w:hAnsi="Times New Roman" w:cs="Times New Roman"/>
                <w:sz w:val="24"/>
                <w:szCs w:val="24"/>
                <w:lang w:eastAsia="lv-LV"/>
              </w:rPr>
              <w:t>reizi četros gadus, bet atalgojuma ziņojumā turpmāk ir jāveic tehniskas darbības informācijas apkopošanai un aktualizēšanai, tāpēc prognozējams, ka turpmākajos gados laika patēriņš ir tikai viena darba diena</w:t>
            </w:r>
            <w:r w:rsidR="00A42F06" w:rsidRPr="005E4D47">
              <w:rPr>
                <w:rFonts w:ascii="Times New Roman" w:eastAsia="Times New Roman" w:hAnsi="Times New Roman" w:cs="Times New Roman"/>
                <w:sz w:val="24"/>
                <w:szCs w:val="24"/>
                <w:lang w:eastAsia="lv-LV"/>
              </w:rPr>
              <w:t xml:space="preserve"> (8 stundas)</w:t>
            </w:r>
            <w:r w:rsidR="00265ECB" w:rsidRPr="005E4D47">
              <w:rPr>
                <w:rFonts w:ascii="Times New Roman" w:eastAsia="Times New Roman" w:hAnsi="Times New Roman" w:cs="Times New Roman"/>
                <w:sz w:val="24"/>
                <w:szCs w:val="24"/>
                <w:lang w:eastAsia="lv-LV"/>
              </w:rPr>
              <w:t xml:space="preserve">. Faktiskās informācijas apstrādi var veikt ne tikai valdes locekļi, </w:t>
            </w:r>
            <w:r w:rsidR="00265ECB" w:rsidRPr="00A42F06">
              <w:rPr>
                <w:rFonts w:ascii="Times New Roman" w:eastAsia="Times New Roman" w:hAnsi="Times New Roman" w:cs="Times New Roman"/>
                <w:sz w:val="24"/>
                <w:szCs w:val="24"/>
                <w:lang w:eastAsia="lv-LV"/>
              </w:rPr>
              <w:t>bet dažādi akciju sabiedrības speciālisti (piemēram, juristi, finansisti vai grāmatveži)</w:t>
            </w:r>
            <w:r w:rsidR="0085549F" w:rsidRPr="00A42F06">
              <w:rPr>
                <w:rFonts w:ascii="Times New Roman" w:eastAsia="Times New Roman" w:hAnsi="Times New Roman" w:cs="Times New Roman"/>
                <w:sz w:val="24"/>
                <w:szCs w:val="24"/>
                <w:lang w:eastAsia="lv-LV"/>
              </w:rPr>
              <w:t xml:space="preserve">, kā arī mērķgrupas akciju sabiedrības komercdarbību veic dažādās sfērās. </w:t>
            </w:r>
            <w:r w:rsidR="00265ECB" w:rsidRPr="00A42F06">
              <w:rPr>
                <w:rFonts w:ascii="Times New Roman" w:eastAsia="Times New Roman" w:hAnsi="Times New Roman" w:cs="Times New Roman"/>
                <w:sz w:val="24"/>
                <w:szCs w:val="24"/>
                <w:lang w:eastAsia="lv-LV"/>
              </w:rPr>
              <w:t>Līdz ar to stundas samaksas likmei ņemti dati par</w:t>
            </w:r>
            <w:r w:rsidR="00265ECB" w:rsidRPr="00A42F06">
              <w:rPr>
                <w:rFonts w:ascii="Times New Roman" w:eastAsia="Times New Roman" w:hAnsi="Times New Roman" w:cs="Times New Roman"/>
                <w:sz w:val="23"/>
                <w:szCs w:val="23"/>
                <w:lang w:eastAsia="lv-LV"/>
              </w:rPr>
              <w:t xml:space="preserve"> </w:t>
            </w:r>
            <w:r w:rsidR="00265ECB" w:rsidRPr="00A42F06">
              <w:rPr>
                <w:rFonts w:ascii="Times New Roman" w:eastAsia="Times New Roman" w:hAnsi="Times New Roman" w:cs="Times New Roman"/>
                <w:sz w:val="24"/>
                <w:szCs w:val="24"/>
                <w:lang w:eastAsia="lv-LV"/>
              </w:rPr>
              <w:t>valstī vidējām darbaspēka izmaksām vienā stundā.</w:t>
            </w:r>
          </w:p>
          <w:p w14:paraId="230AE59C" w14:textId="7A467F7A" w:rsidR="00265ECB" w:rsidRPr="005E4D47" w:rsidRDefault="0085549F" w:rsidP="00A42F06">
            <w:pPr>
              <w:spacing w:after="0" w:line="240" w:lineRule="auto"/>
              <w:ind w:firstLine="284"/>
              <w:jc w:val="both"/>
              <w:rPr>
                <w:rFonts w:ascii="Times New Roman" w:eastAsia="Times New Roman" w:hAnsi="Times New Roman" w:cs="Times New Roman"/>
                <w:sz w:val="24"/>
                <w:szCs w:val="24"/>
                <w:lang w:eastAsia="lv-LV"/>
              </w:rPr>
            </w:pPr>
            <w:r w:rsidRPr="00A42F06">
              <w:rPr>
                <w:rFonts w:ascii="Times New Roman" w:eastAsia="Times New Roman" w:hAnsi="Times New Roman" w:cs="Times New Roman"/>
                <w:sz w:val="24"/>
                <w:szCs w:val="24"/>
                <w:lang w:eastAsia="lv-LV"/>
              </w:rPr>
              <w:t>Atbilstības izmaksas pirmajā gadā </w:t>
            </w:r>
            <w:r w:rsidR="00A42F06" w:rsidRPr="00A42F06">
              <w:rPr>
                <w:rFonts w:ascii="Times New Roman" w:eastAsia="Times New Roman" w:hAnsi="Times New Roman" w:cs="Times New Roman"/>
                <w:sz w:val="24"/>
                <w:szCs w:val="24"/>
                <w:lang w:eastAsia="lv-LV"/>
              </w:rPr>
              <w:t xml:space="preserve">mērķgrupai (21 akciju sabiedrībai) veido vidējās </w:t>
            </w:r>
            <w:r w:rsidR="00A42F06" w:rsidRPr="005E4D47">
              <w:rPr>
                <w:rFonts w:ascii="Times New Roman" w:eastAsia="Times New Roman" w:hAnsi="Times New Roman" w:cs="Times New Roman"/>
                <w:sz w:val="24"/>
                <w:szCs w:val="24"/>
                <w:lang w:eastAsia="lv-LV"/>
              </w:rPr>
              <w:t xml:space="preserve">darbaspēka izmaksas 40  stundām, bet turpmākajos gados 8 stundām. </w:t>
            </w:r>
            <w:r w:rsidR="00265ECB" w:rsidRPr="005E4D47">
              <w:rPr>
                <w:rFonts w:ascii="Times New Roman" w:eastAsia="Times New Roman" w:hAnsi="Times New Roman" w:cs="Times New Roman"/>
                <w:sz w:val="24"/>
                <w:szCs w:val="24"/>
                <w:lang w:eastAsia="lv-LV"/>
              </w:rPr>
              <w:t xml:space="preserve">Līdz ar to prognozējams, ka visai mērķgrupai kopējās atbilstības izmaksas pirmajā gadā būs </w:t>
            </w:r>
            <w:r w:rsidR="00A42F06" w:rsidRPr="005E4D47">
              <w:rPr>
                <w:rFonts w:ascii="Times New Roman" w:eastAsia="Times New Roman" w:hAnsi="Times New Roman" w:cs="Times New Roman"/>
                <w:sz w:val="24"/>
                <w:szCs w:val="24"/>
                <w:lang w:eastAsia="lv-LV"/>
              </w:rPr>
              <w:t>6594</w:t>
            </w:r>
            <w:r w:rsidR="00265ECB" w:rsidRPr="005E4D47">
              <w:rPr>
                <w:rFonts w:ascii="Times New Roman" w:eastAsia="Times New Roman" w:hAnsi="Times New Roman" w:cs="Times New Roman"/>
                <w:sz w:val="24"/>
                <w:szCs w:val="24"/>
                <w:lang w:eastAsia="lv-LV"/>
              </w:rPr>
              <w:t xml:space="preserve"> eiro</w:t>
            </w:r>
            <w:r w:rsidR="00A42F06" w:rsidRPr="005E4D47">
              <w:rPr>
                <w:rFonts w:ascii="Times New Roman" w:eastAsia="Times New Roman" w:hAnsi="Times New Roman" w:cs="Times New Roman"/>
                <w:sz w:val="24"/>
                <w:szCs w:val="24"/>
                <w:lang w:eastAsia="lv-LV"/>
              </w:rPr>
              <w:t xml:space="preserve"> (7.85 (eiro) x 40 x 21)</w:t>
            </w:r>
            <w:r w:rsidR="00265ECB" w:rsidRPr="005E4D47">
              <w:rPr>
                <w:rFonts w:ascii="Times New Roman" w:eastAsia="Times New Roman" w:hAnsi="Times New Roman" w:cs="Times New Roman"/>
                <w:sz w:val="24"/>
                <w:szCs w:val="24"/>
                <w:lang w:eastAsia="lv-LV"/>
              </w:rPr>
              <w:t xml:space="preserve">, bet turpmākajos gados </w:t>
            </w:r>
            <w:r w:rsidR="00A42F06" w:rsidRPr="005E4D47">
              <w:rPr>
                <w:rFonts w:ascii="Times New Roman" w:eastAsia="Times New Roman" w:hAnsi="Times New Roman" w:cs="Times New Roman"/>
                <w:sz w:val="24"/>
                <w:szCs w:val="24"/>
                <w:lang w:eastAsia="lv-LV"/>
              </w:rPr>
              <w:t>1318.80</w:t>
            </w:r>
            <w:r w:rsidR="00265ECB" w:rsidRPr="005E4D47">
              <w:rPr>
                <w:rFonts w:ascii="Times New Roman" w:eastAsia="Times New Roman" w:hAnsi="Times New Roman" w:cs="Times New Roman"/>
                <w:sz w:val="24"/>
                <w:szCs w:val="24"/>
                <w:lang w:eastAsia="lv-LV"/>
              </w:rPr>
              <w:t xml:space="preserve"> eiro</w:t>
            </w:r>
            <w:r w:rsidR="00A42F06" w:rsidRPr="005E4D47">
              <w:rPr>
                <w:rFonts w:ascii="Times New Roman" w:eastAsia="Times New Roman" w:hAnsi="Times New Roman" w:cs="Times New Roman"/>
                <w:sz w:val="24"/>
                <w:szCs w:val="24"/>
                <w:lang w:eastAsia="lv-LV"/>
              </w:rPr>
              <w:t xml:space="preserve"> (7.85 (eiro) x 8 x 21)</w:t>
            </w:r>
            <w:r w:rsidR="00265ECB" w:rsidRPr="005E4D47">
              <w:rPr>
                <w:rFonts w:ascii="Times New Roman" w:eastAsia="Times New Roman" w:hAnsi="Times New Roman" w:cs="Times New Roman"/>
                <w:sz w:val="24"/>
                <w:szCs w:val="24"/>
                <w:lang w:eastAsia="lv-LV"/>
              </w:rPr>
              <w:t>.</w:t>
            </w:r>
          </w:p>
          <w:p w14:paraId="3C209057" w14:textId="77777777" w:rsidR="00265ECB" w:rsidRPr="00A42F06" w:rsidRDefault="00265ECB" w:rsidP="00A42F06">
            <w:pPr>
              <w:spacing w:after="0" w:line="240" w:lineRule="auto"/>
              <w:ind w:firstLine="284"/>
              <w:jc w:val="both"/>
              <w:rPr>
                <w:rFonts w:ascii="Times New Roman" w:eastAsia="Times New Roman" w:hAnsi="Times New Roman" w:cs="Times New Roman"/>
                <w:sz w:val="24"/>
                <w:szCs w:val="24"/>
                <w:lang w:eastAsia="lv-LV"/>
              </w:rPr>
            </w:pPr>
          </w:p>
          <w:p w14:paraId="0047DA5A" w14:textId="4A6DD511" w:rsidR="00C85166" w:rsidRPr="00A42F06" w:rsidRDefault="00522039" w:rsidP="00A42F06">
            <w:pPr>
              <w:spacing w:after="0" w:line="240" w:lineRule="auto"/>
              <w:ind w:firstLine="284"/>
              <w:jc w:val="both"/>
              <w:rPr>
                <w:rFonts w:ascii="Times New Roman" w:eastAsia="Times New Roman" w:hAnsi="Times New Roman" w:cs="Times New Roman"/>
                <w:sz w:val="24"/>
                <w:szCs w:val="24"/>
                <w:lang w:eastAsia="lv-LV"/>
              </w:rPr>
            </w:pPr>
            <w:r w:rsidRPr="00A42F06">
              <w:rPr>
                <w:rFonts w:ascii="Times New Roman" w:eastAsia="Times New Roman" w:hAnsi="Times New Roman" w:cs="Times New Roman"/>
                <w:sz w:val="24"/>
                <w:szCs w:val="24"/>
                <w:lang w:eastAsia="lv-LV"/>
              </w:rPr>
              <w:t xml:space="preserve">Atalgojuma politikas izskatīšana akcionāru sapulcē nerada </w:t>
            </w:r>
            <w:r w:rsidR="00C85166" w:rsidRPr="00A42F06">
              <w:rPr>
                <w:rFonts w:ascii="Times New Roman" w:eastAsia="Times New Roman" w:hAnsi="Times New Roman" w:cs="Times New Roman"/>
                <w:sz w:val="24"/>
                <w:szCs w:val="24"/>
                <w:lang w:eastAsia="lv-LV"/>
              </w:rPr>
              <w:t xml:space="preserve">būtiskas </w:t>
            </w:r>
            <w:r w:rsidRPr="00A42F06">
              <w:rPr>
                <w:rFonts w:ascii="Times New Roman" w:eastAsia="Times New Roman" w:hAnsi="Times New Roman" w:cs="Times New Roman"/>
                <w:sz w:val="24"/>
                <w:szCs w:val="24"/>
                <w:lang w:eastAsia="lv-LV"/>
              </w:rPr>
              <w:t>papildu atbilstības izmaksas, jo pārejas noteikumos paredzētais termiņš ir pietiekams, lai šo darba kārtības jautājumu iekļautu jau kādā no ikgadējām akcionāru sapulcēm un izskatītu vienlaikus ar citiem darba kārtības jautājumiem.</w:t>
            </w:r>
            <w:r w:rsidR="00C85166" w:rsidRPr="00A42F06">
              <w:rPr>
                <w:rFonts w:ascii="Times New Roman" w:eastAsia="Times New Roman" w:hAnsi="Times New Roman" w:cs="Times New Roman"/>
                <w:sz w:val="24"/>
                <w:szCs w:val="24"/>
                <w:lang w:eastAsia="lv-LV"/>
              </w:rPr>
              <w:t xml:space="preserve"> Atalgojuma ziņojuma izskatīšana akcionāru sapulcē nerada būtiskas papildu izmaksas, jo to izskata ikgadējā sapulcē vienlaikus ar gada pārskatu.</w:t>
            </w:r>
          </w:p>
          <w:p w14:paraId="66BA20C7" w14:textId="77777777" w:rsidR="005E6583" w:rsidRPr="00A42F06" w:rsidRDefault="005E6583" w:rsidP="00A42F06">
            <w:pPr>
              <w:spacing w:after="0" w:line="240" w:lineRule="auto"/>
              <w:ind w:firstLine="284"/>
              <w:jc w:val="both"/>
              <w:rPr>
                <w:rFonts w:ascii="Times New Roman" w:eastAsia="Times New Roman" w:hAnsi="Times New Roman" w:cs="Times New Roman"/>
                <w:sz w:val="24"/>
                <w:szCs w:val="24"/>
                <w:lang w:eastAsia="lv-LV"/>
              </w:rPr>
            </w:pPr>
          </w:p>
          <w:p w14:paraId="0C5B7775" w14:textId="207EAFCE" w:rsidR="00774408" w:rsidRPr="00052DF6" w:rsidRDefault="00522039" w:rsidP="00A42F06">
            <w:pPr>
              <w:spacing w:after="0" w:line="240" w:lineRule="auto"/>
              <w:ind w:firstLine="284"/>
              <w:jc w:val="both"/>
              <w:rPr>
                <w:rFonts w:ascii="Times New Roman" w:eastAsia="Times New Roman" w:hAnsi="Times New Roman" w:cs="Times New Roman"/>
                <w:color w:val="FF0000"/>
                <w:sz w:val="24"/>
                <w:szCs w:val="24"/>
                <w:lang w:eastAsia="lv-LV"/>
              </w:rPr>
            </w:pPr>
            <w:r w:rsidRPr="00A42F06">
              <w:rPr>
                <w:rFonts w:ascii="Times New Roman" w:eastAsia="Times New Roman" w:hAnsi="Times New Roman" w:cs="Times New Roman"/>
                <w:sz w:val="24"/>
                <w:szCs w:val="24"/>
                <w:lang w:eastAsia="lv-LV"/>
              </w:rPr>
              <w:lastRenderedPageBreak/>
              <w:t xml:space="preserve">Zvērinātiem revidentiem tiek paplašināts to dokumentu skaits, kas ir izvērtējami revīzijas pakalpojumu sniegšanas ietvaros. Zvērināti revidenti tām akciju sabiedrībām, kuras akcijas ir iekļautas regulētajā tirgū, papildus izvērtēs arī atalgojuma ziņojumu. Tomēr šāda papildu pārbaude nerada tiešas papildu izmaksas zvērinātiem revidentiem, kā arī nav iespējams prognozēt to iespējamo </w:t>
            </w:r>
            <w:r w:rsidRPr="00B103C5">
              <w:rPr>
                <w:rFonts w:ascii="Times New Roman" w:eastAsia="Times New Roman" w:hAnsi="Times New Roman" w:cs="Times New Roman"/>
                <w:sz w:val="24"/>
                <w:szCs w:val="24"/>
                <w:lang w:eastAsia="lv-LV"/>
              </w:rPr>
              <w:t>apmēru, jo papildu pārbaude</w:t>
            </w:r>
            <w:r w:rsidR="002D6AFB" w:rsidRPr="00B103C5">
              <w:rPr>
                <w:rFonts w:ascii="Times New Roman" w:eastAsia="Times New Roman" w:hAnsi="Times New Roman" w:cs="Times New Roman"/>
                <w:sz w:val="24"/>
                <w:szCs w:val="24"/>
                <w:lang w:eastAsia="lv-LV"/>
              </w:rPr>
              <w:t xml:space="preserve"> </w:t>
            </w:r>
            <w:r w:rsidRPr="00B103C5">
              <w:rPr>
                <w:rFonts w:ascii="Times New Roman" w:eastAsia="Times New Roman" w:hAnsi="Times New Roman" w:cs="Times New Roman"/>
                <w:sz w:val="24"/>
                <w:szCs w:val="24"/>
                <w:lang w:eastAsia="lv-LV"/>
              </w:rPr>
              <w:t>tiek veikta kopējā revīzijas pakalpojuma ietvaros</w:t>
            </w:r>
            <w:r w:rsidR="002D6AFB" w:rsidRPr="00B103C5">
              <w:rPr>
                <w:rFonts w:ascii="Times New Roman" w:eastAsia="Times New Roman" w:hAnsi="Times New Roman" w:cs="Times New Roman"/>
                <w:sz w:val="24"/>
                <w:szCs w:val="24"/>
                <w:lang w:eastAsia="lv-LV"/>
              </w:rPr>
              <w:t>, tomēr varētu paildzināt kopējo pārbaudes laiku</w:t>
            </w:r>
            <w:r w:rsidRPr="00B103C5">
              <w:rPr>
                <w:rFonts w:ascii="Times New Roman" w:eastAsia="Times New Roman" w:hAnsi="Times New Roman" w:cs="Times New Roman"/>
                <w:sz w:val="24"/>
                <w:szCs w:val="24"/>
                <w:lang w:eastAsia="lv-LV"/>
              </w:rPr>
              <w:t xml:space="preserve">. </w:t>
            </w:r>
            <w:r w:rsidRPr="00A42F06">
              <w:rPr>
                <w:rFonts w:ascii="Times New Roman" w:eastAsia="Times New Roman" w:hAnsi="Times New Roman" w:cs="Times New Roman"/>
                <w:sz w:val="24"/>
                <w:szCs w:val="24"/>
                <w:lang w:eastAsia="lv-LV"/>
              </w:rPr>
              <w:t>Turklāt šīs izmaksas var netieši segt, prasot lielāku samaksu par revīzijas pakalpojumu sniegšanu no revidējamās akciju sabiedrības. Līdz ar to atalgojuma ziņojuma revidēšana varētu radīt papildu izmaksas tieši akciju sabiedrībām, jo pastāv iespēja, ka zvērināti revidenti, revidējot gada pārskatu, varētu prasīt lielāku samaksu tām akciju sabiedrībām, kurām papildus ir izstrādāts arī atalgojuma ziņojums. Precīzu aprēķinu nav iespējams sniegt, jo maksas apmēri netiek reglamentēti, bet tā ir privāttiesiska vienošanās starp akciju sabiedrību un revīzijas pakalpojumu sniedzēju.</w:t>
            </w:r>
          </w:p>
        </w:tc>
      </w:tr>
      <w:tr w:rsidR="00DA326E" w:rsidRPr="00BC2633" w14:paraId="058C8E07" w14:textId="77777777" w:rsidTr="00F13E2B">
        <w:trPr>
          <w:trHeight w:val="345"/>
        </w:trPr>
        <w:tc>
          <w:tcPr>
            <w:tcW w:w="200" w:type="pct"/>
            <w:tcBorders>
              <w:top w:val="outset" w:sz="6" w:space="0" w:color="414142"/>
              <w:left w:val="outset" w:sz="6" w:space="0" w:color="414142"/>
              <w:bottom w:val="single" w:sz="4" w:space="0" w:color="auto"/>
              <w:right w:val="outset" w:sz="6" w:space="0" w:color="414142"/>
            </w:tcBorders>
            <w:hideMark/>
          </w:tcPr>
          <w:p w14:paraId="580FAF10" w14:textId="4634BFC2" w:rsidR="004D15A9" w:rsidRPr="00BC2633" w:rsidRDefault="00A1552F"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5</w:t>
            </w:r>
            <w:r w:rsidR="004D15A9" w:rsidRPr="00BC2633">
              <w:rPr>
                <w:rFonts w:ascii="Times New Roman" w:eastAsia="Times New Roman" w:hAnsi="Times New Roman" w:cs="Times New Roman"/>
                <w:sz w:val="24"/>
                <w:szCs w:val="24"/>
                <w:lang w:eastAsia="lv-LV"/>
              </w:rPr>
              <w:t>.</w:t>
            </w:r>
          </w:p>
        </w:tc>
        <w:tc>
          <w:tcPr>
            <w:tcW w:w="1601" w:type="pct"/>
            <w:tcBorders>
              <w:top w:val="outset" w:sz="6" w:space="0" w:color="414142"/>
              <w:left w:val="outset" w:sz="6" w:space="0" w:color="414142"/>
              <w:bottom w:val="single" w:sz="4" w:space="0" w:color="auto"/>
              <w:right w:val="outset" w:sz="6" w:space="0" w:color="414142"/>
            </w:tcBorders>
            <w:hideMark/>
          </w:tcPr>
          <w:p w14:paraId="6CBBE35C"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199" w:type="pct"/>
            <w:tcBorders>
              <w:top w:val="outset" w:sz="6" w:space="0" w:color="414142"/>
              <w:left w:val="outset" w:sz="6" w:space="0" w:color="414142"/>
              <w:bottom w:val="single" w:sz="4" w:space="0" w:color="auto"/>
              <w:right w:val="outset" w:sz="6" w:space="0" w:color="414142"/>
            </w:tcBorders>
            <w:hideMark/>
          </w:tcPr>
          <w:p w14:paraId="5CC17AB0" w14:textId="04BD536E" w:rsidR="004D15A9" w:rsidRPr="00BC2633" w:rsidRDefault="001A3A5D"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r w:rsidR="0059057E" w:rsidRPr="00BC2633" w14:paraId="347A5AC7" w14:textId="77777777" w:rsidTr="00F13E2B">
        <w:trPr>
          <w:trHeight w:val="360"/>
        </w:trPr>
        <w:tc>
          <w:tcPr>
            <w:tcW w:w="5000" w:type="pct"/>
            <w:gridSpan w:val="3"/>
            <w:tcBorders>
              <w:top w:val="single" w:sz="4" w:space="0" w:color="auto"/>
              <w:left w:val="nil"/>
              <w:bottom w:val="nil"/>
              <w:right w:val="nil"/>
            </w:tcBorders>
            <w:vAlign w:val="center"/>
          </w:tcPr>
          <w:p w14:paraId="541E9657" w14:textId="77777777" w:rsidR="0059057E" w:rsidRDefault="0059057E" w:rsidP="00DA596D">
            <w:pPr>
              <w:spacing w:after="0" w:line="240" w:lineRule="auto"/>
              <w:ind w:firstLine="300"/>
              <w:jc w:val="center"/>
              <w:rPr>
                <w:rFonts w:ascii="Times New Roman" w:eastAsia="Times New Roman" w:hAnsi="Times New Roman" w:cs="Times New Roman"/>
                <w:b/>
                <w:bCs/>
                <w:sz w:val="24"/>
                <w:szCs w:val="24"/>
                <w:lang w:eastAsia="lv-LV"/>
              </w:rPr>
            </w:pPr>
          </w:p>
        </w:tc>
      </w:tr>
      <w:tr w:rsidR="00BC2633" w:rsidRPr="00BC2633" w14:paraId="29A3C152" w14:textId="77777777" w:rsidTr="00F13E2B">
        <w:trPr>
          <w:trHeight w:val="360"/>
        </w:trPr>
        <w:tc>
          <w:tcPr>
            <w:tcW w:w="5000" w:type="pct"/>
            <w:gridSpan w:val="3"/>
            <w:tcBorders>
              <w:top w:val="single" w:sz="4" w:space="0" w:color="auto"/>
              <w:left w:val="outset" w:sz="6" w:space="0" w:color="414142"/>
              <w:bottom w:val="outset" w:sz="6" w:space="0" w:color="414142"/>
              <w:right w:val="outset" w:sz="6" w:space="0" w:color="414142"/>
            </w:tcBorders>
            <w:vAlign w:val="center"/>
            <w:hideMark/>
          </w:tcPr>
          <w:p w14:paraId="7F8B9A1A" w14:textId="59700816"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III. Tiesību akta projekta ietekme uz valsts budžetu un pašvaldību budžetiem</w:t>
            </w:r>
          </w:p>
        </w:tc>
      </w:tr>
      <w:tr w:rsidR="00CF69CA" w:rsidRPr="00A1552F" w14:paraId="1FADD8DB" w14:textId="77777777" w:rsidTr="00F13E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Ex>
        <w:trPr>
          <w:cantSplit/>
          <w:trHeight w:val="359"/>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56558" w14:textId="1FDDC13C" w:rsidR="00CF69CA" w:rsidRPr="00A1552F" w:rsidRDefault="00CF69CA" w:rsidP="001F68D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p>
        </w:tc>
      </w:tr>
    </w:tbl>
    <w:p w14:paraId="717F7F2B" w14:textId="553CEE65" w:rsidR="004D15A9"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389"/>
        <w:gridCol w:w="6214"/>
      </w:tblGrid>
      <w:tr w:rsidR="00BC2633" w:rsidRPr="00BC2633" w14:paraId="4F0360E3" w14:textId="77777777" w:rsidTr="004D15A9">
        <w:trPr>
          <w:trHeight w:val="45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433E7B0C"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IV. Tiesību akta projekta ietekme uz spēkā esošo tiesību normu sistēmu</w:t>
            </w:r>
          </w:p>
        </w:tc>
      </w:tr>
      <w:tr w:rsidR="00BC2633" w:rsidRPr="00BC2633" w14:paraId="0B379FE7"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4FA8C306"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319" w:type="pct"/>
            <w:tcBorders>
              <w:top w:val="outset" w:sz="6" w:space="0" w:color="414142"/>
              <w:left w:val="outset" w:sz="6" w:space="0" w:color="414142"/>
              <w:bottom w:val="outset" w:sz="6" w:space="0" w:color="414142"/>
              <w:right w:val="outset" w:sz="6" w:space="0" w:color="414142"/>
            </w:tcBorders>
            <w:hideMark/>
          </w:tcPr>
          <w:p w14:paraId="184E9FDD" w14:textId="6D154F0C" w:rsidR="004D15A9" w:rsidRPr="00BC2633" w:rsidRDefault="00A1552F"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4D15A9" w:rsidRPr="00BC2633">
              <w:rPr>
                <w:rFonts w:ascii="Times New Roman" w:eastAsia="Times New Roman" w:hAnsi="Times New Roman" w:cs="Times New Roman"/>
                <w:sz w:val="24"/>
                <w:szCs w:val="24"/>
                <w:lang w:eastAsia="lv-LV"/>
              </w:rPr>
              <w:t>aistītie tiesību aktu projekti</w:t>
            </w:r>
          </w:p>
        </w:tc>
        <w:tc>
          <w:tcPr>
            <w:tcW w:w="3431" w:type="pct"/>
            <w:tcBorders>
              <w:top w:val="outset" w:sz="6" w:space="0" w:color="414142"/>
              <w:left w:val="outset" w:sz="6" w:space="0" w:color="414142"/>
              <w:bottom w:val="outset" w:sz="6" w:space="0" w:color="414142"/>
              <w:right w:val="outset" w:sz="6" w:space="0" w:color="414142"/>
            </w:tcBorders>
            <w:hideMark/>
          </w:tcPr>
          <w:p w14:paraId="5ECE5B67" w14:textId="77777777" w:rsidR="004375DC" w:rsidRDefault="00CF69CA" w:rsidP="00B103C5">
            <w:pPr>
              <w:spacing w:after="0" w:line="240" w:lineRule="auto"/>
              <w:ind w:firstLine="284"/>
              <w:jc w:val="both"/>
              <w:rPr>
                <w:rFonts w:ascii="Times New Roman" w:hAnsi="Times New Roman" w:cs="Times New Roman"/>
                <w:sz w:val="24"/>
                <w:szCs w:val="24"/>
              </w:rPr>
            </w:pPr>
            <w:r w:rsidRPr="00FA2A06">
              <w:rPr>
                <w:rFonts w:ascii="Times New Roman" w:hAnsi="Times New Roman" w:cs="Times New Roman"/>
                <w:sz w:val="24"/>
                <w:szCs w:val="24"/>
              </w:rPr>
              <w:t xml:space="preserve">Projekts saistīts ar </w:t>
            </w:r>
            <w:r w:rsidR="004375DC">
              <w:rPr>
                <w:rFonts w:ascii="Times New Roman" w:hAnsi="Times New Roman" w:cs="Times New Roman"/>
                <w:sz w:val="24"/>
                <w:szCs w:val="24"/>
              </w:rPr>
              <w:t>šādiem likumprojektiem:</w:t>
            </w:r>
          </w:p>
          <w:p w14:paraId="3D0D1A62" w14:textId="05C9C6AA" w:rsidR="004375DC" w:rsidRPr="006439DF" w:rsidRDefault="004375DC" w:rsidP="00B103C5">
            <w:pPr>
              <w:spacing w:after="0" w:line="240" w:lineRule="auto"/>
              <w:ind w:firstLine="284"/>
              <w:jc w:val="both"/>
              <w:rPr>
                <w:rFonts w:ascii="Times New Roman" w:hAnsi="Times New Roman" w:cs="Times New Roman"/>
                <w:sz w:val="24"/>
                <w:szCs w:val="24"/>
              </w:rPr>
            </w:pPr>
            <w:r w:rsidRPr="006439DF">
              <w:rPr>
                <w:rFonts w:ascii="Times New Roman" w:hAnsi="Times New Roman" w:cs="Times New Roman"/>
                <w:sz w:val="24"/>
                <w:szCs w:val="24"/>
              </w:rPr>
              <w:t>1) </w:t>
            </w:r>
            <w:r w:rsidR="00CF69CA" w:rsidRPr="006439DF">
              <w:rPr>
                <w:rFonts w:ascii="Times New Roman" w:hAnsi="Times New Roman" w:cs="Times New Roman"/>
                <w:sz w:val="24"/>
                <w:szCs w:val="24"/>
              </w:rPr>
              <w:t>likumprojekt</w:t>
            </w:r>
            <w:r w:rsidRPr="006439DF">
              <w:rPr>
                <w:rFonts w:ascii="Times New Roman" w:hAnsi="Times New Roman" w:cs="Times New Roman"/>
                <w:sz w:val="24"/>
                <w:szCs w:val="24"/>
              </w:rPr>
              <w:t>s</w:t>
            </w:r>
            <w:r w:rsidR="00CF69CA" w:rsidRPr="006439DF">
              <w:rPr>
                <w:rFonts w:ascii="Times New Roman" w:hAnsi="Times New Roman" w:cs="Times New Roman"/>
                <w:sz w:val="24"/>
                <w:szCs w:val="24"/>
              </w:rPr>
              <w:t xml:space="preserve"> </w:t>
            </w:r>
            <w:r w:rsidR="00B103C5" w:rsidRPr="00B103C5">
              <w:rPr>
                <w:rFonts w:ascii="Times New Roman" w:hAnsi="Times New Roman" w:cs="Times New Roman"/>
                <w:sz w:val="24"/>
                <w:szCs w:val="24"/>
              </w:rPr>
              <w:t>"</w:t>
            </w:r>
            <w:r w:rsidR="00CF69CA" w:rsidRPr="006439DF">
              <w:rPr>
                <w:rFonts w:ascii="Times New Roman" w:hAnsi="Times New Roman" w:cs="Times New Roman"/>
                <w:sz w:val="24"/>
                <w:szCs w:val="24"/>
              </w:rPr>
              <w:t>Grozījums Revīzijas pakalpojumu likumā</w:t>
            </w:r>
            <w:r w:rsidR="00B103C5" w:rsidRPr="00B103C5">
              <w:rPr>
                <w:rFonts w:ascii="Times New Roman" w:hAnsi="Times New Roman" w:cs="Times New Roman"/>
                <w:sz w:val="24"/>
                <w:szCs w:val="24"/>
              </w:rPr>
              <w:t>"</w:t>
            </w:r>
            <w:r w:rsidR="00CF69CA" w:rsidRPr="006439DF">
              <w:rPr>
                <w:rFonts w:ascii="Times New Roman" w:hAnsi="Times New Roman" w:cs="Times New Roman"/>
                <w:sz w:val="24"/>
                <w:szCs w:val="24"/>
              </w:rPr>
              <w:t>, kas paredz zvērināta revidenta pienākumu veikt arī atalgojuma ziņojuma pārbaudi</w:t>
            </w:r>
            <w:r w:rsidRPr="006439DF">
              <w:rPr>
                <w:rFonts w:ascii="Times New Roman" w:hAnsi="Times New Roman" w:cs="Times New Roman"/>
                <w:sz w:val="24"/>
                <w:szCs w:val="24"/>
              </w:rPr>
              <w:t>;</w:t>
            </w:r>
          </w:p>
          <w:p w14:paraId="1874DF8A" w14:textId="1E3DF68D" w:rsidR="00B103C5" w:rsidRPr="00B103C5" w:rsidRDefault="00B103C5" w:rsidP="00B103C5">
            <w:pPr>
              <w:spacing w:after="0" w:line="240" w:lineRule="auto"/>
              <w:ind w:firstLine="284"/>
              <w:jc w:val="both"/>
            </w:pPr>
            <w:r>
              <w:rPr>
                <w:rFonts w:ascii="Times New Roman" w:hAnsi="Times New Roman" w:cs="Times New Roman"/>
                <w:sz w:val="24"/>
                <w:szCs w:val="24"/>
                <w:shd w:val="clear" w:color="auto" w:fill="FFFFFF"/>
              </w:rPr>
              <w:t xml:space="preserve">2) likumprojekts </w:t>
            </w:r>
            <w:r w:rsidRPr="00B103C5">
              <w:rPr>
                <w:rFonts w:ascii="Times New Roman" w:hAnsi="Times New Roman" w:cs="Times New Roman"/>
                <w:sz w:val="24"/>
                <w:szCs w:val="24"/>
              </w:rPr>
              <w:t>"</w:t>
            </w:r>
            <w:r w:rsidRPr="00B103C5">
              <w:rPr>
                <w:rFonts w:ascii="Times New Roman" w:hAnsi="Times New Roman" w:cs="Times New Roman"/>
                <w:sz w:val="24"/>
                <w:szCs w:val="24"/>
                <w:shd w:val="clear" w:color="auto" w:fill="FFFFFF"/>
              </w:rPr>
              <w:t xml:space="preserve">Grozījumi likumā </w:t>
            </w:r>
            <w:r w:rsidRPr="00B103C5">
              <w:rPr>
                <w:rFonts w:ascii="Times New Roman" w:hAnsi="Times New Roman" w:cs="Times New Roman"/>
                <w:sz w:val="24"/>
                <w:szCs w:val="24"/>
              </w:rPr>
              <w:t>"</w:t>
            </w:r>
            <w:r w:rsidRPr="00B103C5">
              <w:rPr>
                <w:rFonts w:ascii="Times New Roman" w:hAnsi="Times New Roman" w:cs="Times New Roman"/>
                <w:sz w:val="24"/>
                <w:szCs w:val="24"/>
                <w:shd w:val="clear" w:color="auto" w:fill="FFFFFF"/>
              </w:rPr>
              <w:t>Par privātajiem pensiju fondiem</w:t>
            </w:r>
            <w:r w:rsidRPr="00B103C5">
              <w:rPr>
                <w:rFonts w:ascii="Times New Roman" w:hAnsi="Times New Roman" w:cs="Times New Roman"/>
                <w:sz w:val="24"/>
                <w:szCs w:val="24"/>
              </w:rPr>
              <w:t>""</w:t>
            </w:r>
            <w:r w:rsidRPr="00B103C5">
              <w:rPr>
                <w:rFonts w:ascii="Times New Roman" w:hAnsi="Times New Roman" w:cs="Times New Roman"/>
                <w:sz w:val="24"/>
                <w:szCs w:val="24"/>
                <w:shd w:val="clear" w:color="auto" w:fill="FFFFFF"/>
              </w:rPr>
              <w:t xml:space="preserve">, kas paredz grozījumus saistībā ar pienākumu </w:t>
            </w:r>
            <w:r w:rsidRPr="00B103C5">
              <w:rPr>
                <w:rStyle w:val="gmaildefault"/>
                <w:rFonts w:ascii="Times New Roman" w:hAnsi="Times New Roman" w:cs="Times New Roman"/>
                <w:sz w:val="24"/>
                <w:szCs w:val="24"/>
                <w:shd w:val="clear" w:color="auto" w:fill="FFFFFF"/>
              </w:rPr>
              <w:t xml:space="preserve">pensiju fondam </w:t>
            </w:r>
            <w:r w:rsidRPr="00B103C5">
              <w:rPr>
                <w:rFonts w:ascii="Times New Roman" w:hAnsi="Times New Roman" w:cs="Times New Roman"/>
                <w:sz w:val="24"/>
                <w:szCs w:val="24"/>
                <w:shd w:val="clear" w:color="auto" w:fill="FFFFFF"/>
              </w:rPr>
              <w:t xml:space="preserve">izstrādāt un publiskot iesaistīšanās politiku (politiku, kurā apraksta un skaidro kā </w:t>
            </w:r>
            <w:r w:rsidRPr="00B103C5">
              <w:rPr>
                <w:rStyle w:val="gmaildefault"/>
                <w:rFonts w:ascii="Times New Roman" w:hAnsi="Times New Roman" w:cs="Times New Roman"/>
                <w:sz w:val="24"/>
                <w:szCs w:val="24"/>
                <w:shd w:val="clear" w:color="auto" w:fill="FFFFFF"/>
              </w:rPr>
              <w:t>pensiju fonds iesaistās tās akciju sabiedrības pārvaldībā, kurā tiek ieguldīti pensiju plāna aktīvi</w:t>
            </w:r>
            <w:r w:rsidRPr="00B103C5">
              <w:rPr>
                <w:rFonts w:ascii="Times New Roman" w:hAnsi="Times New Roman" w:cs="Times New Roman"/>
                <w:sz w:val="24"/>
                <w:szCs w:val="24"/>
                <w:shd w:val="clear" w:color="auto" w:fill="FFFFFF"/>
              </w:rPr>
              <w:t>)</w:t>
            </w:r>
            <w:r w:rsidRPr="00B103C5">
              <w:rPr>
                <w:rStyle w:val="gmaildefault"/>
                <w:rFonts w:ascii="Times New Roman" w:hAnsi="Times New Roman" w:cs="Times New Roman"/>
                <w:sz w:val="24"/>
                <w:szCs w:val="24"/>
                <w:shd w:val="clear" w:color="auto" w:fill="FFFFFF"/>
              </w:rPr>
              <w:t>. Nolūkā sekmēt ilgtermiņa interešu ievērošanu attiecībā uz pensiju plāna aktīvu pārvaldību, grozījumi arī paredz pienākumu pensiju fondam publiskot noteiktu informāciju par līgumu, kas noslēgts ar līdzekļu pārvaldītāju, ja atbilstoši </w:t>
            </w:r>
            <w:r w:rsidRPr="00B103C5">
              <w:rPr>
                <w:rFonts w:ascii="Times New Roman" w:hAnsi="Times New Roman" w:cs="Times New Roman"/>
                <w:sz w:val="24"/>
                <w:szCs w:val="24"/>
                <w:shd w:val="clear" w:color="auto" w:fill="FFFFFF"/>
              </w:rPr>
              <w:t xml:space="preserve"> pensiju plāna noteikumiem uzkrāto līdzekļu pārvaldīšanu veic pensiju fonda izraudzīts pensiju plāna līdzekļu pārvaldītājs</w:t>
            </w:r>
            <w:r w:rsidRPr="00B103C5">
              <w:rPr>
                <w:rStyle w:val="gmaildefault"/>
                <w:rFonts w:ascii="Times New Roman" w:hAnsi="Times New Roman" w:cs="Times New Roman"/>
                <w:sz w:val="24"/>
                <w:szCs w:val="24"/>
                <w:shd w:val="clear" w:color="auto" w:fill="FFFFFF"/>
              </w:rPr>
              <w:t xml:space="preserve">. Tāpat grozījumi paredz līdzekļu pārvaldītājam </w:t>
            </w:r>
            <w:r w:rsidRPr="00B103C5">
              <w:rPr>
                <w:rFonts w:ascii="Times New Roman" w:hAnsi="Times New Roman" w:cs="Times New Roman"/>
                <w:sz w:val="24"/>
                <w:szCs w:val="24"/>
              </w:rPr>
              <w:t>pienākumu</w:t>
            </w:r>
            <w:r w:rsidRPr="00B103C5">
              <w:rPr>
                <w:rStyle w:val="gmaildefault"/>
                <w:rFonts w:ascii="Times New Roman" w:hAnsi="Times New Roman" w:cs="Times New Roman"/>
                <w:sz w:val="24"/>
                <w:szCs w:val="24"/>
              </w:rPr>
              <w:t xml:space="preserve"> </w:t>
            </w:r>
            <w:r w:rsidRPr="00B103C5">
              <w:rPr>
                <w:rFonts w:ascii="Times New Roman" w:hAnsi="Times New Roman" w:cs="Times New Roman"/>
                <w:sz w:val="24"/>
                <w:szCs w:val="24"/>
              </w:rPr>
              <w:t>atklāt pensiju fondam</w:t>
            </w:r>
            <w:r w:rsidRPr="00B103C5">
              <w:rPr>
                <w:rStyle w:val="gmaildefault"/>
                <w:rFonts w:ascii="Times New Roman" w:hAnsi="Times New Roman" w:cs="Times New Roman"/>
                <w:sz w:val="24"/>
                <w:szCs w:val="24"/>
              </w:rPr>
              <w:t xml:space="preserve"> </w:t>
            </w:r>
            <w:r w:rsidRPr="00B103C5">
              <w:rPr>
                <w:rFonts w:ascii="Times New Roman" w:hAnsi="Times New Roman" w:cs="Times New Roman"/>
                <w:sz w:val="24"/>
                <w:szCs w:val="24"/>
              </w:rPr>
              <w:t xml:space="preserve">noteiktu informāciju </w:t>
            </w:r>
            <w:r w:rsidRPr="00B103C5">
              <w:rPr>
                <w:rStyle w:val="gmaildefault"/>
                <w:rFonts w:ascii="Times New Roman" w:hAnsi="Times New Roman" w:cs="Times New Roman"/>
                <w:sz w:val="24"/>
                <w:szCs w:val="24"/>
              </w:rPr>
              <w:t>par to, kā līdzekļu pārvaldītājs veicina pensiju fonda ilgtermiņa darbības rezultātus</w:t>
            </w:r>
            <w:r w:rsidR="00E45959">
              <w:rPr>
                <w:rStyle w:val="gmaildefault"/>
                <w:rFonts w:ascii="Times New Roman" w:hAnsi="Times New Roman" w:cs="Times New Roman"/>
                <w:sz w:val="24"/>
                <w:szCs w:val="24"/>
              </w:rPr>
              <w:t>;</w:t>
            </w:r>
            <w:r w:rsidRPr="00B103C5">
              <w:rPr>
                <w:rStyle w:val="gmaildefault"/>
                <w:rFonts w:ascii="Times New Roman" w:hAnsi="Times New Roman" w:cs="Times New Roman"/>
                <w:sz w:val="24"/>
                <w:szCs w:val="24"/>
              </w:rPr>
              <w:t xml:space="preserve"> </w:t>
            </w:r>
          </w:p>
          <w:p w14:paraId="56B06F19" w14:textId="714D3EF7" w:rsidR="00B103C5" w:rsidRPr="00B103C5" w:rsidRDefault="00B103C5" w:rsidP="00B103C5">
            <w:pPr>
              <w:spacing w:after="0" w:line="240" w:lineRule="auto"/>
              <w:ind w:firstLine="284"/>
              <w:jc w:val="both"/>
            </w:pPr>
            <w:r w:rsidRPr="00B103C5">
              <w:rPr>
                <w:rFonts w:ascii="Times New Roman" w:hAnsi="Times New Roman" w:cs="Times New Roman"/>
                <w:sz w:val="24"/>
                <w:szCs w:val="24"/>
              </w:rPr>
              <w:t>3) likumprojekts "Grozījumi Ieguldījumu pārvaldes sabiedrību likumā", kas paredz grozījumus saistībā ar pienākumu izstrādāt un publiskot iesaistīšanās politiku;</w:t>
            </w:r>
          </w:p>
          <w:p w14:paraId="49A2F43D" w14:textId="09A6E819" w:rsidR="00B103C5" w:rsidRPr="00B103C5" w:rsidRDefault="00B103C5" w:rsidP="00B103C5">
            <w:pPr>
              <w:spacing w:after="0" w:line="240" w:lineRule="auto"/>
              <w:ind w:firstLine="284"/>
              <w:jc w:val="both"/>
            </w:pPr>
            <w:r w:rsidRPr="00B103C5">
              <w:rPr>
                <w:rFonts w:ascii="Times New Roman" w:hAnsi="Times New Roman" w:cs="Times New Roman"/>
                <w:sz w:val="24"/>
                <w:szCs w:val="24"/>
              </w:rPr>
              <w:lastRenderedPageBreak/>
              <w:t xml:space="preserve">4) likumprojekts "Grozījumi Apdrošināšanas un pārapdrošināšanas sabiedrību likumā", kas </w:t>
            </w:r>
            <w:r w:rsidRPr="00B103C5">
              <w:rPr>
                <w:rStyle w:val="gmaildefault"/>
                <w:rFonts w:ascii="Times New Roman" w:hAnsi="Times New Roman" w:cs="Times New Roman"/>
                <w:sz w:val="24"/>
                <w:szCs w:val="24"/>
              </w:rPr>
              <w:t xml:space="preserve">pēc būtības </w:t>
            </w:r>
            <w:r w:rsidRPr="00B103C5">
              <w:rPr>
                <w:rFonts w:ascii="Times New Roman" w:hAnsi="Times New Roman" w:cs="Times New Roman"/>
                <w:sz w:val="24"/>
                <w:szCs w:val="24"/>
              </w:rPr>
              <w:t xml:space="preserve">paredz </w:t>
            </w:r>
            <w:r w:rsidRPr="00B103C5">
              <w:rPr>
                <w:rStyle w:val="gmaildefault"/>
                <w:rFonts w:ascii="Times New Roman" w:hAnsi="Times New Roman" w:cs="Times New Roman"/>
                <w:sz w:val="24"/>
                <w:szCs w:val="24"/>
              </w:rPr>
              <w:t xml:space="preserve">līdzīgus </w:t>
            </w:r>
            <w:r w:rsidRPr="00B103C5">
              <w:rPr>
                <w:rFonts w:ascii="Times New Roman" w:hAnsi="Times New Roman" w:cs="Times New Roman"/>
                <w:sz w:val="24"/>
                <w:szCs w:val="24"/>
              </w:rPr>
              <w:t>grozījumus</w:t>
            </w:r>
            <w:r w:rsidR="00283E1C">
              <w:rPr>
                <w:rFonts w:ascii="Times New Roman" w:hAnsi="Times New Roman" w:cs="Times New Roman"/>
                <w:sz w:val="24"/>
                <w:szCs w:val="24"/>
              </w:rPr>
              <w:t>,</w:t>
            </w:r>
            <w:r w:rsidRPr="00B103C5">
              <w:rPr>
                <w:rStyle w:val="gmaildefault"/>
                <w:rFonts w:ascii="Times New Roman" w:hAnsi="Times New Roman" w:cs="Times New Roman"/>
                <w:sz w:val="24"/>
                <w:szCs w:val="24"/>
              </w:rPr>
              <w:t xml:space="preserve"> kādi plānoti likumā "Par privātajiem pensiju fondiem". Grozījumi paredz pienākumu</w:t>
            </w:r>
            <w:r w:rsidRPr="00B103C5">
              <w:rPr>
                <w:rFonts w:ascii="Times New Roman" w:hAnsi="Times New Roman" w:cs="Times New Roman"/>
                <w:sz w:val="24"/>
                <w:szCs w:val="24"/>
              </w:rPr>
              <w:t xml:space="preserve"> </w:t>
            </w:r>
            <w:r w:rsidRPr="00B103C5">
              <w:rPr>
                <w:rStyle w:val="gmaildefault"/>
                <w:rFonts w:ascii="Times New Roman" w:hAnsi="Times New Roman" w:cs="Times New Roman"/>
                <w:sz w:val="24"/>
                <w:szCs w:val="24"/>
              </w:rPr>
              <w:t xml:space="preserve">apdrošināšanas un pārapdrošināšanas sabiedrībām, kuras tiesīgas nodarboties ar dzīvības apdrošināšanu vai pārapdrošināšanu, </w:t>
            </w:r>
            <w:r w:rsidRPr="00B103C5">
              <w:rPr>
                <w:rFonts w:ascii="Times New Roman" w:hAnsi="Times New Roman" w:cs="Times New Roman"/>
                <w:sz w:val="24"/>
                <w:szCs w:val="24"/>
              </w:rPr>
              <w:t>izstrādāt un publiskot iesaistīšanās politiku</w:t>
            </w:r>
            <w:r w:rsidRPr="00B103C5">
              <w:rPr>
                <w:rStyle w:val="gmaildefault"/>
                <w:rFonts w:ascii="Times New Roman" w:hAnsi="Times New Roman" w:cs="Times New Roman"/>
                <w:sz w:val="24"/>
                <w:szCs w:val="24"/>
              </w:rPr>
              <w:t>, kā arī sniegt noteiktu informāciju par līgumu ar līdzekļu pārvaldītāju, ja šīs apdrošināšanas un pārapdrošināšanas sabiedrības pašas neveic ieguldījumus, bet to ir uzticējušas veikt citai personai - līdzekļu pārvaldītājam</w:t>
            </w:r>
            <w:r w:rsidR="00D3447A">
              <w:rPr>
                <w:rStyle w:val="gmaildefault"/>
                <w:rFonts w:ascii="Times New Roman" w:hAnsi="Times New Roman" w:cs="Times New Roman"/>
                <w:sz w:val="24"/>
                <w:szCs w:val="24"/>
              </w:rPr>
              <w:t>;</w:t>
            </w:r>
            <w:r w:rsidRPr="00B103C5">
              <w:rPr>
                <w:rStyle w:val="gmaildefault"/>
                <w:rFonts w:ascii="Times New Roman" w:hAnsi="Times New Roman" w:cs="Times New Roman"/>
                <w:sz w:val="24"/>
                <w:szCs w:val="24"/>
              </w:rPr>
              <w:t> </w:t>
            </w:r>
          </w:p>
          <w:p w14:paraId="12B3526A" w14:textId="3F96CC6E" w:rsidR="00B103C5" w:rsidRPr="00B103C5" w:rsidRDefault="00B103C5" w:rsidP="00B103C5">
            <w:pPr>
              <w:spacing w:after="0" w:line="240" w:lineRule="auto"/>
              <w:ind w:firstLine="284"/>
              <w:jc w:val="both"/>
              <w:rPr>
                <w:rFonts w:ascii="Times New Roman" w:hAnsi="Times New Roman" w:cs="Times New Roman"/>
                <w:sz w:val="24"/>
                <w:szCs w:val="24"/>
              </w:rPr>
            </w:pPr>
            <w:r w:rsidRPr="00B103C5">
              <w:rPr>
                <w:rFonts w:ascii="Times New Roman" w:hAnsi="Times New Roman" w:cs="Times New Roman"/>
                <w:sz w:val="24"/>
                <w:szCs w:val="24"/>
              </w:rPr>
              <w:t>5) likumprojekts "Grozījumi Alternatīvo ieguldījumu fondu un to pārvaldnieku likumā", kas paredz grozījumus saistībā ar pienākumu izstrādāt un publiskot iesaistīšanās politiku.</w:t>
            </w:r>
          </w:p>
          <w:p w14:paraId="1B579D3B" w14:textId="7B0F3D65" w:rsidR="00CF69CA" w:rsidRPr="00BC2633" w:rsidRDefault="00CF69CA" w:rsidP="00B103C5">
            <w:pPr>
              <w:spacing w:after="0" w:line="240" w:lineRule="auto"/>
              <w:ind w:firstLine="284"/>
              <w:jc w:val="both"/>
              <w:rPr>
                <w:rFonts w:ascii="Times New Roman" w:eastAsia="Times New Roman" w:hAnsi="Times New Roman" w:cs="Times New Roman"/>
                <w:sz w:val="24"/>
                <w:szCs w:val="24"/>
                <w:lang w:eastAsia="lv-LV"/>
              </w:rPr>
            </w:pPr>
            <w:r w:rsidRPr="00FA2A06">
              <w:rPr>
                <w:rFonts w:ascii="Times New Roman" w:hAnsi="Times New Roman" w:cs="Times New Roman"/>
                <w:sz w:val="24"/>
                <w:szCs w:val="24"/>
              </w:rPr>
              <w:t>Projekt</w:t>
            </w:r>
            <w:r w:rsidR="00EB4318">
              <w:rPr>
                <w:rFonts w:ascii="Times New Roman" w:hAnsi="Times New Roman" w:cs="Times New Roman"/>
                <w:sz w:val="24"/>
                <w:szCs w:val="24"/>
              </w:rPr>
              <w:t>s un minētie likumprojekti</w:t>
            </w:r>
            <w:r w:rsidRPr="00FA2A06">
              <w:rPr>
                <w:rFonts w:ascii="Times New Roman" w:hAnsi="Times New Roman" w:cs="Times New Roman"/>
                <w:sz w:val="24"/>
                <w:szCs w:val="24"/>
              </w:rPr>
              <w:t xml:space="preserve"> Ministru kabinetā un Saeimā skatāmi vienlaicīgi.</w:t>
            </w:r>
          </w:p>
        </w:tc>
      </w:tr>
      <w:tr w:rsidR="00BC2633" w:rsidRPr="00BC2633" w14:paraId="136049D6"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6FFE0E9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2.</w:t>
            </w:r>
          </w:p>
        </w:tc>
        <w:tc>
          <w:tcPr>
            <w:tcW w:w="1319" w:type="pct"/>
            <w:tcBorders>
              <w:top w:val="outset" w:sz="6" w:space="0" w:color="414142"/>
              <w:left w:val="outset" w:sz="6" w:space="0" w:color="414142"/>
              <w:bottom w:val="outset" w:sz="6" w:space="0" w:color="414142"/>
              <w:right w:val="outset" w:sz="6" w:space="0" w:color="414142"/>
            </w:tcBorders>
            <w:hideMark/>
          </w:tcPr>
          <w:p w14:paraId="0083E253"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Atbildīgā institūcija</w:t>
            </w:r>
          </w:p>
        </w:tc>
        <w:tc>
          <w:tcPr>
            <w:tcW w:w="3431" w:type="pct"/>
            <w:tcBorders>
              <w:top w:val="outset" w:sz="6" w:space="0" w:color="414142"/>
              <w:left w:val="outset" w:sz="6" w:space="0" w:color="414142"/>
              <w:bottom w:val="outset" w:sz="6" w:space="0" w:color="414142"/>
              <w:right w:val="outset" w:sz="6" w:space="0" w:color="414142"/>
            </w:tcBorders>
            <w:hideMark/>
          </w:tcPr>
          <w:p w14:paraId="5E8E47AB" w14:textId="398ACECB" w:rsidR="004D15A9" w:rsidRPr="00BC2633" w:rsidRDefault="00CF69CA"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Tieslietu ministrija</w:t>
            </w:r>
          </w:p>
        </w:tc>
      </w:tr>
      <w:tr w:rsidR="004D15A9" w:rsidRPr="00BC2633" w14:paraId="1BB29304"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6FFD4618"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319" w:type="pct"/>
            <w:tcBorders>
              <w:top w:val="outset" w:sz="6" w:space="0" w:color="414142"/>
              <w:left w:val="outset" w:sz="6" w:space="0" w:color="414142"/>
              <w:bottom w:val="outset" w:sz="6" w:space="0" w:color="414142"/>
              <w:right w:val="outset" w:sz="6" w:space="0" w:color="414142"/>
            </w:tcBorders>
            <w:hideMark/>
          </w:tcPr>
          <w:p w14:paraId="6276FF2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431" w:type="pct"/>
            <w:tcBorders>
              <w:top w:val="outset" w:sz="6" w:space="0" w:color="414142"/>
              <w:left w:val="outset" w:sz="6" w:space="0" w:color="414142"/>
              <w:bottom w:val="outset" w:sz="6" w:space="0" w:color="414142"/>
              <w:right w:val="outset" w:sz="6" w:space="0" w:color="414142"/>
            </w:tcBorders>
            <w:hideMark/>
          </w:tcPr>
          <w:p w14:paraId="7EE11369" w14:textId="6C39B705" w:rsidR="004D15A9" w:rsidRPr="00BC2633" w:rsidRDefault="00CF69CA"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2CBEBB46"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374"/>
        <w:gridCol w:w="6228"/>
      </w:tblGrid>
      <w:tr w:rsidR="00BC2633" w:rsidRPr="00BC2633" w14:paraId="5DED1206" w14:textId="77777777" w:rsidTr="004375DC">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2C233676"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 Tiesību akta projekta atbilstība Latvijas Republikas starptautiskajām saistībām</w:t>
            </w:r>
          </w:p>
        </w:tc>
      </w:tr>
      <w:tr w:rsidR="00BC2633" w:rsidRPr="00BC2633" w14:paraId="3D3E697F" w14:textId="77777777" w:rsidTr="004375DC">
        <w:tc>
          <w:tcPr>
            <w:tcW w:w="250" w:type="pct"/>
            <w:tcBorders>
              <w:top w:val="outset" w:sz="6" w:space="0" w:color="414142"/>
              <w:left w:val="outset" w:sz="6" w:space="0" w:color="414142"/>
              <w:bottom w:val="outset" w:sz="6" w:space="0" w:color="414142"/>
              <w:right w:val="outset" w:sz="6" w:space="0" w:color="414142"/>
            </w:tcBorders>
            <w:hideMark/>
          </w:tcPr>
          <w:p w14:paraId="6AD9631E"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311" w:type="pct"/>
            <w:tcBorders>
              <w:top w:val="outset" w:sz="6" w:space="0" w:color="414142"/>
              <w:left w:val="outset" w:sz="6" w:space="0" w:color="414142"/>
              <w:bottom w:val="outset" w:sz="6" w:space="0" w:color="414142"/>
              <w:right w:val="outset" w:sz="6" w:space="0" w:color="414142"/>
            </w:tcBorders>
            <w:hideMark/>
          </w:tcPr>
          <w:p w14:paraId="30BC682A"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Saistības pret Eiropas Savienību</w:t>
            </w:r>
          </w:p>
        </w:tc>
        <w:tc>
          <w:tcPr>
            <w:tcW w:w="3439" w:type="pct"/>
            <w:tcBorders>
              <w:top w:val="outset" w:sz="6" w:space="0" w:color="414142"/>
              <w:left w:val="outset" w:sz="6" w:space="0" w:color="414142"/>
              <w:bottom w:val="outset" w:sz="6" w:space="0" w:color="414142"/>
              <w:right w:val="outset" w:sz="6" w:space="0" w:color="414142"/>
            </w:tcBorders>
            <w:hideMark/>
          </w:tcPr>
          <w:p w14:paraId="7D5E0A65" w14:textId="77777777" w:rsidR="004D15A9" w:rsidRPr="00C26239" w:rsidRDefault="00C26239" w:rsidP="00964EA7">
            <w:pPr>
              <w:spacing w:after="0" w:line="240" w:lineRule="auto"/>
              <w:jc w:val="both"/>
              <w:rPr>
                <w:rFonts w:ascii="Times New Roman" w:eastAsia="Times New Roman" w:hAnsi="Times New Roman" w:cs="Times New Roman"/>
                <w:sz w:val="24"/>
                <w:szCs w:val="24"/>
                <w:lang w:eastAsia="lv-LV"/>
              </w:rPr>
            </w:pPr>
            <w:r w:rsidRPr="00C26239">
              <w:rPr>
                <w:rFonts w:ascii="Times New Roman" w:eastAsia="Times New Roman" w:hAnsi="Times New Roman" w:cs="Times New Roman"/>
                <w:sz w:val="24"/>
                <w:szCs w:val="24"/>
                <w:lang w:eastAsia="lv-LV"/>
              </w:rPr>
              <w:t>Eiropas Parlamenta un Padomes Direktīvas (ES) 2017/828 (2017. gada 17. maijs), ar ko groza Direktīvu 2007/36/EK attiecībā uz akcionāru ilgtermiņa iesaistīšanas veicināšanu.</w:t>
            </w:r>
          </w:p>
          <w:p w14:paraId="46F4ED3F" w14:textId="2B919EDC" w:rsidR="00C26239" w:rsidRPr="00BC2633" w:rsidRDefault="00C26239" w:rsidP="00964EA7">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Direktīvas prasības ir jāievieš līdz 2019. gada 10. jūnijam.</w:t>
            </w:r>
          </w:p>
        </w:tc>
      </w:tr>
      <w:tr w:rsidR="00BC2633" w:rsidRPr="00BC2633" w14:paraId="7D0456F5" w14:textId="77777777" w:rsidTr="004375DC">
        <w:tc>
          <w:tcPr>
            <w:tcW w:w="250" w:type="pct"/>
            <w:tcBorders>
              <w:top w:val="outset" w:sz="6" w:space="0" w:color="414142"/>
              <w:left w:val="outset" w:sz="6" w:space="0" w:color="414142"/>
              <w:bottom w:val="outset" w:sz="6" w:space="0" w:color="414142"/>
              <w:right w:val="outset" w:sz="6" w:space="0" w:color="414142"/>
            </w:tcBorders>
            <w:hideMark/>
          </w:tcPr>
          <w:p w14:paraId="1E61FE49"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311" w:type="pct"/>
            <w:tcBorders>
              <w:top w:val="outset" w:sz="6" w:space="0" w:color="414142"/>
              <w:left w:val="outset" w:sz="6" w:space="0" w:color="414142"/>
              <w:bottom w:val="outset" w:sz="6" w:space="0" w:color="414142"/>
              <w:right w:val="outset" w:sz="6" w:space="0" w:color="414142"/>
            </w:tcBorders>
            <w:hideMark/>
          </w:tcPr>
          <w:p w14:paraId="3065057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Citas starptautiskās saistības</w:t>
            </w:r>
          </w:p>
        </w:tc>
        <w:tc>
          <w:tcPr>
            <w:tcW w:w="3439" w:type="pct"/>
            <w:tcBorders>
              <w:top w:val="outset" w:sz="6" w:space="0" w:color="414142"/>
              <w:left w:val="outset" w:sz="6" w:space="0" w:color="414142"/>
              <w:bottom w:val="outset" w:sz="6" w:space="0" w:color="414142"/>
              <w:right w:val="outset" w:sz="6" w:space="0" w:color="414142"/>
            </w:tcBorders>
            <w:hideMark/>
          </w:tcPr>
          <w:p w14:paraId="2E909DD9" w14:textId="5DAEBB99" w:rsidR="004D15A9" w:rsidRPr="00BC2633" w:rsidRDefault="00C26239" w:rsidP="00964EA7">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p>
        </w:tc>
      </w:tr>
      <w:tr w:rsidR="004D15A9" w:rsidRPr="00BC2633" w14:paraId="6BB2474E" w14:textId="77777777" w:rsidTr="004375DC">
        <w:tc>
          <w:tcPr>
            <w:tcW w:w="250" w:type="pct"/>
            <w:tcBorders>
              <w:top w:val="outset" w:sz="6" w:space="0" w:color="414142"/>
              <w:left w:val="outset" w:sz="6" w:space="0" w:color="414142"/>
              <w:bottom w:val="outset" w:sz="6" w:space="0" w:color="414142"/>
              <w:right w:val="outset" w:sz="6" w:space="0" w:color="414142"/>
            </w:tcBorders>
            <w:hideMark/>
          </w:tcPr>
          <w:p w14:paraId="2A88FFF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311" w:type="pct"/>
            <w:tcBorders>
              <w:top w:val="outset" w:sz="6" w:space="0" w:color="414142"/>
              <w:left w:val="outset" w:sz="6" w:space="0" w:color="414142"/>
              <w:bottom w:val="outset" w:sz="6" w:space="0" w:color="414142"/>
              <w:right w:val="outset" w:sz="6" w:space="0" w:color="414142"/>
            </w:tcBorders>
            <w:hideMark/>
          </w:tcPr>
          <w:p w14:paraId="64D1B16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439" w:type="pct"/>
            <w:tcBorders>
              <w:top w:val="outset" w:sz="6" w:space="0" w:color="414142"/>
              <w:left w:val="outset" w:sz="6" w:space="0" w:color="414142"/>
              <w:bottom w:val="outset" w:sz="6" w:space="0" w:color="414142"/>
              <w:right w:val="outset" w:sz="6" w:space="0" w:color="414142"/>
            </w:tcBorders>
            <w:hideMark/>
          </w:tcPr>
          <w:p w14:paraId="0A4DF4BA" w14:textId="101AB2CD" w:rsidR="004D15A9" w:rsidRPr="00B103C5" w:rsidRDefault="64DB5A0C" w:rsidP="64DB5A0C">
            <w:pPr>
              <w:pStyle w:val="title-doc-first2"/>
              <w:shd w:val="clear" w:color="auto" w:fill="FFFFFF" w:themeFill="background1"/>
              <w:spacing w:before="0" w:line="240" w:lineRule="auto"/>
              <w:ind w:firstLine="284"/>
              <w:jc w:val="both"/>
              <w:rPr>
                <w:rFonts w:eastAsia="Arial Unicode MS"/>
                <w:b w:val="0"/>
                <w:bCs w:val="0"/>
              </w:rPr>
            </w:pPr>
            <w:r w:rsidRPr="00B103C5">
              <w:rPr>
                <w:b w:val="0"/>
                <w:bCs w:val="0"/>
              </w:rPr>
              <w:t>Lai būtu vieglāk atspoguļot atbilstību Direktīvas prasībām, tad 1. tabulā tiek lietota atsauce arī uz grozīto direktīvu - Eiropas Parlamenta un Padomes Direktīva 2007/36/EK</w:t>
            </w:r>
            <w:r w:rsidRPr="00B103C5">
              <w:rPr>
                <w:rFonts w:eastAsia="Arial Unicode MS"/>
                <w:b w:val="0"/>
                <w:bCs w:val="0"/>
              </w:rPr>
              <w:t xml:space="preserve"> (2007. gada 11. jūlijs) par biržu sarakstos iekļautu sabiedrību akcionāru konkrētu tiesību izmantošanu (turpmāk – Direktīva 2007/36/EK).</w:t>
            </w:r>
          </w:p>
        </w:tc>
      </w:tr>
    </w:tbl>
    <w:p w14:paraId="31665CF8" w14:textId="77777777" w:rsidR="004D15A9" w:rsidRPr="00BC2633" w:rsidRDefault="004D15A9" w:rsidP="00DA596D">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067"/>
        <w:gridCol w:w="2048"/>
        <w:gridCol w:w="2396"/>
        <w:gridCol w:w="2544"/>
      </w:tblGrid>
      <w:tr w:rsidR="00BC2633" w:rsidRPr="00BC2633" w14:paraId="66408AB4" w14:textId="77777777" w:rsidTr="004D15A9">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14:paraId="3F0963A5"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1.</w:t>
            </w:r>
            <w:r w:rsidR="00BC2633">
              <w:rPr>
                <w:rFonts w:ascii="Times New Roman" w:eastAsia="Times New Roman" w:hAnsi="Times New Roman" w:cs="Times New Roman"/>
                <w:b/>
                <w:bCs/>
                <w:sz w:val="24"/>
                <w:szCs w:val="24"/>
                <w:lang w:eastAsia="lv-LV"/>
              </w:rPr>
              <w:t> </w:t>
            </w:r>
            <w:r w:rsidRPr="00BC2633">
              <w:rPr>
                <w:rFonts w:ascii="Times New Roman" w:eastAsia="Times New Roman" w:hAnsi="Times New Roman" w:cs="Times New Roman"/>
                <w:b/>
                <w:bCs/>
                <w:sz w:val="24"/>
                <w:szCs w:val="24"/>
                <w:lang w:eastAsia="lv-LV"/>
              </w:rPr>
              <w:t>tabula</w:t>
            </w:r>
            <w:r w:rsidRPr="00BC2633">
              <w:rPr>
                <w:rFonts w:ascii="Times New Roman" w:eastAsia="Times New Roman" w:hAnsi="Times New Roman" w:cs="Times New Roman"/>
                <w:b/>
                <w:bCs/>
                <w:sz w:val="24"/>
                <w:szCs w:val="24"/>
                <w:lang w:eastAsia="lv-LV"/>
              </w:rPr>
              <w:br/>
              <w:t>Tiesību akta projekta atbilstība ES tiesību aktiem</w:t>
            </w:r>
          </w:p>
        </w:tc>
      </w:tr>
      <w:tr w:rsidR="00BC2633" w:rsidRPr="00BC2633" w14:paraId="0167E14F" w14:textId="77777777" w:rsidTr="00FA2A06">
        <w:tc>
          <w:tcPr>
            <w:tcW w:w="1141" w:type="pct"/>
            <w:tcBorders>
              <w:top w:val="outset" w:sz="6" w:space="0" w:color="414142"/>
              <w:left w:val="outset" w:sz="6" w:space="0" w:color="414142"/>
              <w:bottom w:val="outset" w:sz="6" w:space="0" w:color="414142"/>
              <w:right w:val="outset" w:sz="6" w:space="0" w:color="414142"/>
            </w:tcBorders>
            <w:hideMark/>
          </w:tcPr>
          <w:p w14:paraId="55160C75"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Attiecīgā ES tiesību akta datums, numurs un nosaukums</w:t>
            </w:r>
          </w:p>
        </w:tc>
        <w:tc>
          <w:tcPr>
            <w:tcW w:w="3859" w:type="pct"/>
            <w:gridSpan w:val="3"/>
            <w:tcBorders>
              <w:top w:val="outset" w:sz="6" w:space="0" w:color="414142"/>
              <w:left w:val="outset" w:sz="6" w:space="0" w:color="414142"/>
              <w:bottom w:val="outset" w:sz="6" w:space="0" w:color="414142"/>
              <w:right w:val="outset" w:sz="6" w:space="0" w:color="414142"/>
            </w:tcBorders>
            <w:hideMark/>
          </w:tcPr>
          <w:p w14:paraId="49E8C204" w14:textId="0823A543" w:rsidR="004D15A9" w:rsidRPr="00BC2633" w:rsidRDefault="00C26239" w:rsidP="001F68D7">
            <w:pPr>
              <w:spacing w:after="0" w:line="240" w:lineRule="auto"/>
              <w:jc w:val="both"/>
              <w:rPr>
                <w:rFonts w:ascii="Times New Roman" w:eastAsia="Times New Roman" w:hAnsi="Times New Roman" w:cs="Times New Roman"/>
                <w:sz w:val="24"/>
                <w:szCs w:val="24"/>
                <w:lang w:eastAsia="lv-LV"/>
              </w:rPr>
            </w:pPr>
            <w:r w:rsidRPr="00C26239">
              <w:rPr>
                <w:rFonts w:ascii="Times New Roman" w:eastAsia="Times New Roman" w:hAnsi="Times New Roman" w:cs="Times New Roman"/>
                <w:sz w:val="24"/>
                <w:szCs w:val="24"/>
                <w:lang w:eastAsia="lv-LV"/>
              </w:rPr>
              <w:t>Eiropas Parlamenta un Padomes Direktīvas (ES) 2017/828 (2017. gada 17. maijs), ar ko groza Direktīvu 2007/36/EK attiecībā uz akcionāru ilgtermiņa iesaistīšanas veicināšanu</w:t>
            </w:r>
            <w:r w:rsidR="001F68D7">
              <w:rPr>
                <w:rFonts w:ascii="Times New Roman" w:eastAsia="Times New Roman" w:hAnsi="Times New Roman" w:cs="Times New Roman"/>
                <w:sz w:val="24"/>
                <w:szCs w:val="24"/>
                <w:lang w:eastAsia="lv-LV"/>
              </w:rPr>
              <w:t>.</w:t>
            </w:r>
          </w:p>
        </w:tc>
      </w:tr>
      <w:tr w:rsidR="00BC2633" w:rsidRPr="00BC2633" w14:paraId="301CF4B1" w14:textId="77777777" w:rsidTr="005839C8">
        <w:tc>
          <w:tcPr>
            <w:tcW w:w="1141" w:type="pct"/>
            <w:tcBorders>
              <w:top w:val="outset" w:sz="6" w:space="0" w:color="414142"/>
              <w:left w:val="outset" w:sz="6" w:space="0" w:color="414142"/>
              <w:bottom w:val="outset" w:sz="6" w:space="0" w:color="414142"/>
              <w:right w:val="outset" w:sz="6" w:space="0" w:color="414142"/>
            </w:tcBorders>
            <w:vAlign w:val="center"/>
            <w:hideMark/>
          </w:tcPr>
          <w:p w14:paraId="093B3C9D" w14:textId="77777777" w:rsidR="004D15A9" w:rsidRPr="00BC2633"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w:t>
            </w:r>
          </w:p>
        </w:tc>
        <w:tc>
          <w:tcPr>
            <w:tcW w:w="1131" w:type="pct"/>
            <w:tcBorders>
              <w:top w:val="outset" w:sz="6" w:space="0" w:color="414142"/>
              <w:left w:val="outset" w:sz="6" w:space="0" w:color="414142"/>
              <w:bottom w:val="outset" w:sz="6" w:space="0" w:color="414142"/>
              <w:right w:val="outset" w:sz="6" w:space="0" w:color="414142"/>
            </w:tcBorders>
            <w:vAlign w:val="center"/>
            <w:hideMark/>
          </w:tcPr>
          <w:p w14:paraId="40910D42" w14:textId="77777777" w:rsidR="004D15A9" w:rsidRPr="00BC2633"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B</w:t>
            </w:r>
          </w:p>
        </w:tc>
        <w:tc>
          <w:tcPr>
            <w:tcW w:w="1323" w:type="pct"/>
            <w:tcBorders>
              <w:top w:val="outset" w:sz="6" w:space="0" w:color="414142"/>
              <w:left w:val="outset" w:sz="6" w:space="0" w:color="414142"/>
              <w:bottom w:val="outset" w:sz="6" w:space="0" w:color="414142"/>
              <w:right w:val="outset" w:sz="6" w:space="0" w:color="414142"/>
            </w:tcBorders>
            <w:vAlign w:val="center"/>
            <w:hideMark/>
          </w:tcPr>
          <w:p w14:paraId="17B66120" w14:textId="77777777" w:rsidR="004D15A9" w:rsidRPr="00BC2633"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w:t>
            </w:r>
          </w:p>
        </w:tc>
        <w:tc>
          <w:tcPr>
            <w:tcW w:w="1405" w:type="pct"/>
            <w:tcBorders>
              <w:top w:val="outset" w:sz="6" w:space="0" w:color="414142"/>
              <w:left w:val="outset" w:sz="6" w:space="0" w:color="414142"/>
              <w:bottom w:val="outset" w:sz="6" w:space="0" w:color="414142"/>
              <w:right w:val="outset" w:sz="6" w:space="0" w:color="414142"/>
            </w:tcBorders>
            <w:vAlign w:val="center"/>
            <w:hideMark/>
          </w:tcPr>
          <w:p w14:paraId="4AB8D700" w14:textId="77777777" w:rsidR="004D15A9" w:rsidRPr="00BC2633"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D</w:t>
            </w:r>
          </w:p>
        </w:tc>
      </w:tr>
      <w:tr w:rsidR="00BC2633" w:rsidRPr="00BC2633" w14:paraId="140E374C" w14:textId="77777777" w:rsidTr="005839C8">
        <w:tc>
          <w:tcPr>
            <w:tcW w:w="1141" w:type="pct"/>
            <w:tcBorders>
              <w:top w:val="outset" w:sz="6" w:space="0" w:color="414142"/>
              <w:left w:val="outset" w:sz="6" w:space="0" w:color="414142"/>
              <w:bottom w:val="outset" w:sz="6" w:space="0" w:color="414142"/>
              <w:right w:val="outset" w:sz="6" w:space="0" w:color="414142"/>
            </w:tcBorders>
            <w:hideMark/>
          </w:tcPr>
          <w:p w14:paraId="61E3EE09"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Attiecīgā ES tiesību akta panta numurs (uzskaitot katru tiesību akta vienību - pantu, daļu, punktu, apakšpunktu)</w:t>
            </w:r>
          </w:p>
        </w:tc>
        <w:tc>
          <w:tcPr>
            <w:tcW w:w="1131" w:type="pct"/>
            <w:tcBorders>
              <w:top w:val="outset" w:sz="6" w:space="0" w:color="414142"/>
              <w:left w:val="outset" w:sz="6" w:space="0" w:color="414142"/>
              <w:bottom w:val="outset" w:sz="6" w:space="0" w:color="414142"/>
              <w:right w:val="outset" w:sz="6" w:space="0" w:color="414142"/>
            </w:tcBorders>
            <w:hideMark/>
          </w:tcPr>
          <w:p w14:paraId="002FB0E8"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xml:space="preserve">Projekta vienība, kas pārņem vai ievieš katru šīs tabulas A ailē minēto ES tiesību akta vienību, vai tiesību akts, kur attiecīgā ES tiesību akta vienība </w:t>
            </w:r>
            <w:r w:rsidRPr="00BC2633">
              <w:rPr>
                <w:rFonts w:ascii="Times New Roman" w:eastAsia="Times New Roman" w:hAnsi="Times New Roman" w:cs="Times New Roman"/>
                <w:sz w:val="24"/>
                <w:szCs w:val="24"/>
                <w:lang w:eastAsia="lv-LV"/>
              </w:rPr>
              <w:lastRenderedPageBreak/>
              <w:t>pārņemta vai ieviesta</w:t>
            </w:r>
          </w:p>
        </w:tc>
        <w:tc>
          <w:tcPr>
            <w:tcW w:w="1323" w:type="pct"/>
            <w:tcBorders>
              <w:top w:val="outset" w:sz="6" w:space="0" w:color="414142"/>
              <w:left w:val="outset" w:sz="6" w:space="0" w:color="414142"/>
              <w:bottom w:val="outset" w:sz="6" w:space="0" w:color="414142"/>
              <w:right w:val="outset" w:sz="6" w:space="0" w:color="414142"/>
            </w:tcBorders>
            <w:hideMark/>
          </w:tcPr>
          <w:p w14:paraId="40A25B65"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 xml:space="preserve">Informācija par to, vai šīs tabulas A ailē minētās ES tiesību akta vienības tiek pārņemtas vai ieviestas pilnībā vai daļēji. </w:t>
            </w:r>
          </w:p>
          <w:p w14:paraId="2F99047D" w14:textId="77777777" w:rsidR="004D15A9" w:rsidRPr="00BC2633" w:rsidRDefault="004D15A9" w:rsidP="00612A92">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xml:space="preserve">Ja attiecīgā ES tiesību akta vienība tiek pārņemta vai ieviesta daļēji, sniedz attiecīgu </w:t>
            </w:r>
            <w:r w:rsidRPr="00BC2633">
              <w:rPr>
                <w:rFonts w:ascii="Times New Roman" w:eastAsia="Times New Roman" w:hAnsi="Times New Roman" w:cs="Times New Roman"/>
                <w:sz w:val="24"/>
                <w:szCs w:val="24"/>
                <w:lang w:eastAsia="lv-LV"/>
              </w:rPr>
              <w:lastRenderedPageBreak/>
              <w:t>skaidrojumu, kā arī precīzi norāda, kad un kādā veidā ES tiesību akta vienība tiks pārņemta vai ieviesta pilnībā.</w:t>
            </w:r>
          </w:p>
          <w:p w14:paraId="1C4E0CA0" w14:textId="77777777" w:rsidR="004D15A9" w:rsidRPr="00BC2633" w:rsidRDefault="004D15A9" w:rsidP="00ED573E">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Norāda institūciju, kas ir atbildīga par šo saistību izpildi pilnībā</w:t>
            </w:r>
          </w:p>
        </w:tc>
        <w:tc>
          <w:tcPr>
            <w:tcW w:w="1405" w:type="pct"/>
            <w:tcBorders>
              <w:top w:val="outset" w:sz="6" w:space="0" w:color="414142"/>
              <w:left w:val="outset" w:sz="6" w:space="0" w:color="414142"/>
              <w:bottom w:val="outset" w:sz="6" w:space="0" w:color="414142"/>
              <w:right w:val="outset" w:sz="6" w:space="0" w:color="414142"/>
            </w:tcBorders>
            <w:hideMark/>
          </w:tcPr>
          <w:p w14:paraId="79470819"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 xml:space="preserve">Informācija par to, vai šīs tabulas B ailē minētās projekta vienības paredz stingrākas prasības nekā šīs tabulas A ailē minētās ES tiesību akta vienības. </w:t>
            </w:r>
          </w:p>
          <w:p w14:paraId="350EAD34" w14:textId="77777777" w:rsidR="004D15A9" w:rsidRPr="00BC2633" w:rsidRDefault="004D15A9" w:rsidP="00612A92">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xml:space="preserve">Ja projekts satur stingrākas prasības nekā attiecīgais ES tiesību </w:t>
            </w:r>
            <w:r w:rsidRPr="00BC2633">
              <w:rPr>
                <w:rFonts w:ascii="Times New Roman" w:eastAsia="Times New Roman" w:hAnsi="Times New Roman" w:cs="Times New Roman"/>
                <w:sz w:val="24"/>
                <w:szCs w:val="24"/>
                <w:lang w:eastAsia="lv-LV"/>
              </w:rPr>
              <w:lastRenderedPageBreak/>
              <w:t>akts, norāda pamatojumu un samērīgumu.</w:t>
            </w:r>
          </w:p>
          <w:p w14:paraId="0F178321" w14:textId="77777777" w:rsidR="004D15A9" w:rsidRPr="00BC2633" w:rsidRDefault="004D15A9" w:rsidP="00ED573E">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Norāda iespējamās alternatīvas (t.sk. alternatīvas, kas neparedz tiesiskā regulējuma izstrādi) - kādos gadījumos būtu iespējams izvairīties no stingrāku prasību noteikšanas, nekā paredzēts attiecīgajos ES tiesību aktos</w:t>
            </w:r>
          </w:p>
        </w:tc>
      </w:tr>
      <w:tr w:rsidR="00283E1C" w:rsidRPr="00BC2633" w14:paraId="6BA62F7F" w14:textId="77777777" w:rsidTr="00283E1C">
        <w:tc>
          <w:tcPr>
            <w:tcW w:w="5000" w:type="pct"/>
            <w:gridSpan w:val="4"/>
            <w:tcBorders>
              <w:top w:val="outset" w:sz="6" w:space="0" w:color="414142"/>
              <w:left w:val="outset" w:sz="6" w:space="0" w:color="414142"/>
              <w:bottom w:val="outset" w:sz="6" w:space="0" w:color="414142"/>
              <w:right w:val="outset" w:sz="6" w:space="0" w:color="414142"/>
            </w:tcBorders>
          </w:tcPr>
          <w:p w14:paraId="2BA81E7B" w14:textId="24422281" w:rsidR="00283E1C" w:rsidRPr="00457C45" w:rsidRDefault="00283E1C" w:rsidP="00283E1C">
            <w:pPr>
              <w:spacing w:after="0" w:line="240" w:lineRule="auto"/>
              <w:jc w:val="center"/>
              <w:rPr>
                <w:rFonts w:ascii="Times New Roman" w:eastAsia="Times New Roman" w:hAnsi="Times New Roman" w:cs="Times New Roman"/>
                <w:sz w:val="24"/>
                <w:szCs w:val="24"/>
                <w:lang w:eastAsia="lv-LV"/>
              </w:rPr>
            </w:pPr>
            <w:r w:rsidRPr="00457C45">
              <w:rPr>
                <w:rFonts w:ascii="Times New Roman" w:eastAsia="Times New Roman" w:hAnsi="Times New Roman" w:cs="Times New Roman"/>
                <w:sz w:val="24"/>
                <w:szCs w:val="24"/>
                <w:lang w:eastAsia="lv-LV"/>
              </w:rPr>
              <w:lastRenderedPageBreak/>
              <w:t>Tiks precizēts atbilstoši projekta gala redakcijām</w:t>
            </w:r>
          </w:p>
        </w:tc>
      </w:tr>
      <w:tr w:rsidR="007721C4" w:rsidRPr="00BC2633" w14:paraId="1019C6BA" w14:textId="77777777" w:rsidTr="00FA2A06">
        <w:tc>
          <w:tcPr>
            <w:tcW w:w="1141" w:type="pct"/>
            <w:tcBorders>
              <w:top w:val="outset" w:sz="6" w:space="0" w:color="414142"/>
              <w:left w:val="outset" w:sz="6" w:space="0" w:color="414142"/>
              <w:bottom w:val="outset" w:sz="6" w:space="0" w:color="414142"/>
              <w:right w:val="outset" w:sz="6" w:space="0" w:color="414142"/>
            </w:tcBorders>
            <w:hideMark/>
          </w:tcPr>
          <w:p w14:paraId="6178FAAB" w14:textId="77777777" w:rsidR="007721C4" w:rsidRPr="00BC2633" w:rsidRDefault="007721C4" w:rsidP="007721C4">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Kā ir izmantota ES tiesību aktā paredzētā rīcības brīvība dalībvalstij pārņemt vai ieviest noteiktas ES tiesību akta normas?</w:t>
            </w:r>
            <w:r w:rsidRPr="00BC2633">
              <w:rPr>
                <w:rFonts w:ascii="Times New Roman" w:eastAsia="Times New Roman" w:hAnsi="Times New Roman" w:cs="Times New Roman"/>
                <w:sz w:val="24"/>
                <w:szCs w:val="24"/>
                <w:lang w:eastAsia="lv-LV"/>
              </w:rPr>
              <w:br/>
              <w:t>Kādēļ?</w:t>
            </w:r>
          </w:p>
        </w:tc>
        <w:tc>
          <w:tcPr>
            <w:tcW w:w="3859" w:type="pct"/>
            <w:gridSpan w:val="3"/>
            <w:tcBorders>
              <w:top w:val="outset" w:sz="6" w:space="0" w:color="414142"/>
              <w:left w:val="outset" w:sz="6" w:space="0" w:color="414142"/>
              <w:bottom w:val="outset" w:sz="6" w:space="0" w:color="414142"/>
              <w:right w:val="outset" w:sz="6" w:space="0" w:color="414142"/>
            </w:tcBorders>
            <w:hideMark/>
          </w:tcPr>
          <w:p w14:paraId="2457BF3B" w14:textId="212F2367" w:rsidR="007721C4" w:rsidRPr="00457C45" w:rsidRDefault="007721C4" w:rsidP="00C34B83">
            <w:pPr>
              <w:spacing w:after="0" w:line="240" w:lineRule="auto"/>
              <w:ind w:firstLine="284"/>
              <w:jc w:val="both"/>
              <w:rPr>
                <w:rFonts w:ascii="Times New Roman" w:eastAsia="Times New Roman" w:hAnsi="Times New Roman" w:cs="Times New Roman"/>
                <w:sz w:val="24"/>
                <w:szCs w:val="24"/>
                <w:lang w:eastAsia="lv-LV"/>
              </w:rPr>
            </w:pPr>
            <w:r w:rsidRPr="00457C45">
              <w:rPr>
                <w:rFonts w:ascii="Times New Roman" w:eastAsia="Times New Roman" w:hAnsi="Times New Roman" w:cs="Times New Roman"/>
                <w:sz w:val="24"/>
                <w:szCs w:val="24"/>
                <w:lang w:eastAsia="lv-LV"/>
              </w:rPr>
              <w:t>1) Nav izmantota iespēja paredzēt procentuālo slieksni (</w:t>
            </w:r>
            <w:r w:rsidRPr="00457C45">
              <w:rPr>
                <w:rFonts w:ascii="Times New Roman" w:eastAsia="Arial Unicode MS" w:hAnsi="Times New Roman" w:cs="Times New Roman"/>
                <w:sz w:val="24"/>
                <w:szCs w:val="24"/>
              </w:rPr>
              <w:t>Direktīvas 2007/36/EK 3.a panta 1. punkts</w:t>
            </w:r>
            <w:r w:rsidRPr="00457C45">
              <w:rPr>
                <w:rFonts w:ascii="Times New Roman" w:eastAsia="Times New Roman" w:hAnsi="Times New Roman" w:cs="Times New Roman"/>
                <w:sz w:val="24"/>
                <w:szCs w:val="24"/>
                <w:lang w:eastAsia="lv-LV"/>
              </w:rPr>
              <w:t>), kas ļautu neidentificēt akcionārus, kas nepārsniedz šo slieksni.</w:t>
            </w:r>
            <w:r w:rsidR="006439DF" w:rsidRPr="00457C45">
              <w:rPr>
                <w:rFonts w:ascii="Times New Roman" w:eastAsia="Times New Roman" w:hAnsi="Times New Roman" w:cs="Times New Roman"/>
                <w:sz w:val="24"/>
                <w:szCs w:val="24"/>
                <w:lang w:eastAsia="lv-LV"/>
              </w:rPr>
              <w:t xml:space="preserve"> </w:t>
            </w:r>
            <w:r w:rsidR="00052720" w:rsidRPr="00457C45">
              <w:rPr>
                <w:rFonts w:ascii="Times New Roman" w:eastAsia="Times New Roman" w:hAnsi="Times New Roman" w:cs="Times New Roman"/>
                <w:sz w:val="24"/>
                <w:szCs w:val="24"/>
                <w:lang w:val="lv"/>
              </w:rPr>
              <w:t>Ņemot vērā Latvijā reģistrētu sabiedrību akcionāru struktūru (lielai daļai akcionāru pieder niecīgs balsstiesīgo akciju skaits), kā arī vairumu citu dalībvalstu plānus neizmantot Direktīvā paredzēto izvēles iespēju, projekts paredz, ka tiesības identificēt sabiedrības akcionārus attieksies uz ikvienu akciju sabiedrības akcionāru neatkarīgi no tam piederošo balsstiesīgo akciju skaita.</w:t>
            </w:r>
          </w:p>
          <w:p w14:paraId="785AFED0" w14:textId="5DF63D5E" w:rsidR="007721C4" w:rsidRPr="00457C45" w:rsidRDefault="007721C4" w:rsidP="00C34B83">
            <w:pPr>
              <w:spacing w:after="0" w:line="240" w:lineRule="auto"/>
              <w:ind w:firstLine="284"/>
              <w:jc w:val="both"/>
              <w:rPr>
                <w:rFonts w:ascii="Times New Roman" w:eastAsia="Times New Roman" w:hAnsi="Times New Roman" w:cs="Times New Roman"/>
                <w:sz w:val="24"/>
                <w:szCs w:val="24"/>
                <w:lang w:eastAsia="lv-LV"/>
              </w:rPr>
            </w:pPr>
            <w:r w:rsidRPr="00457C45">
              <w:rPr>
                <w:rFonts w:ascii="Times New Roman" w:eastAsia="Times New Roman" w:hAnsi="Times New Roman" w:cs="Times New Roman"/>
                <w:sz w:val="24"/>
                <w:szCs w:val="24"/>
                <w:lang w:eastAsia="lv-LV"/>
              </w:rPr>
              <w:t>2) Izmantota iespēja akciju sabiedrībai prasīt informāciju depozitārijam par akcionāru identifikāciju (</w:t>
            </w:r>
            <w:r w:rsidRPr="00457C45">
              <w:rPr>
                <w:rFonts w:ascii="Times New Roman" w:eastAsia="Arial Unicode MS" w:hAnsi="Times New Roman" w:cs="Times New Roman"/>
                <w:sz w:val="24"/>
                <w:szCs w:val="24"/>
              </w:rPr>
              <w:t>Direktīvas 2007/36/EK 3.a panta 3. punkta trešā daļa</w:t>
            </w:r>
            <w:r w:rsidRPr="00457C45">
              <w:rPr>
                <w:rFonts w:ascii="Times New Roman" w:eastAsia="Times New Roman" w:hAnsi="Times New Roman" w:cs="Times New Roman"/>
                <w:sz w:val="24"/>
                <w:szCs w:val="24"/>
                <w:lang w:eastAsia="lv-LV"/>
              </w:rPr>
              <w:t>). Šādu pieeju ir izvēlējusies lielākā daļa dalībvalstu.</w:t>
            </w:r>
            <w:r w:rsidR="00052720" w:rsidRPr="00457C45">
              <w:rPr>
                <w:rFonts w:ascii="Times New Roman" w:eastAsia="Times New Roman" w:hAnsi="Times New Roman" w:cs="Times New Roman"/>
                <w:sz w:val="24"/>
                <w:szCs w:val="24"/>
                <w:lang w:eastAsia="lv-LV"/>
              </w:rPr>
              <w:t xml:space="preserve"> </w:t>
            </w:r>
            <w:r w:rsidR="003E752C" w:rsidRPr="00457C45">
              <w:rPr>
                <w:rFonts w:ascii="Times New Roman" w:eastAsia="Times New Roman" w:hAnsi="Times New Roman" w:cs="Times New Roman"/>
                <w:sz w:val="24"/>
                <w:szCs w:val="24"/>
                <w:lang w:eastAsia="lv-LV"/>
              </w:rPr>
              <w:t>C</w:t>
            </w:r>
            <w:r w:rsidR="00415104" w:rsidRPr="00457C45">
              <w:rPr>
                <w:rFonts w:ascii="Times New Roman" w:eastAsia="Times New Roman" w:hAnsi="Times New Roman" w:cs="Times New Roman"/>
                <w:sz w:val="24"/>
                <w:szCs w:val="24"/>
                <w:lang w:val="lv"/>
              </w:rPr>
              <w:t>entrālā</w:t>
            </w:r>
            <w:r w:rsidR="00052720" w:rsidRPr="00457C45">
              <w:rPr>
                <w:rFonts w:ascii="Times New Roman" w:eastAsia="Times New Roman" w:hAnsi="Times New Roman" w:cs="Times New Roman"/>
                <w:sz w:val="24"/>
                <w:szCs w:val="24"/>
                <w:lang w:val="lv"/>
              </w:rPr>
              <w:t xml:space="preserve"> vērtspap</w:t>
            </w:r>
            <w:bookmarkStart w:id="2" w:name="_GoBack"/>
            <w:bookmarkEnd w:id="2"/>
            <w:r w:rsidR="00052720" w:rsidRPr="00457C45">
              <w:rPr>
                <w:rFonts w:ascii="Times New Roman" w:eastAsia="Times New Roman" w:hAnsi="Times New Roman" w:cs="Times New Roman"/>
                <w:sz w:val="24"/>
                <w:szCs w:val="24"/>
                <w:lang w:val="lv"/>
              </w:rPr>
              <w:t>īru depozitārija noteikšana par atbildīgo attiecībā uz akcionāru identificējošās informācijas apkopošanu ir akciju sabiedrībai ērtākais un reālākais veids akcionāru noskaidrošanai</w:t>
            </w:r>
          </w:p>
          <w:p w14:paraId="159A91B0" w14:textId="3F364C3E" w:rsidR="007721C4" w:rsidRPr="00457C45" w:rsidRDefault="007721C4" w:rsidP="00C34B83">
            <w:pPr>
              <w:spacing w:after="0" w:line="240" w:lineRule="auto"/>
              <w:ind w:firstLine="284"/>
              <w:jc w:val="both"/>
              <w:rPr>
                <w:rFonts w:ascii="Times New Roman" w:eastAsia="Times New Roman" w:hAnsi="Times New Roman" w:cs="Times New Roman"/>
                <w:sz w:val="24"/>
                <w:szCs w:val="24"/>
                <w:lang w:eastAsia="lv-LV"/>
              </w:rPr>
            </w:pPr>
            <w:r w:rsidRPr="00457C45">
              <w:rPr>
                <w:rFonts w:ascii="Times New Roman" w:eastAsia="Times New Roman" w:hAnsi="Times New Roman" w:cs="Times New Roman"/>
                <w:sz w:val="24"/>
                <w:szCs w:val="24"/>
                <w:lang w:eastAsia="lv-LV"/>
              </w:rPr>
              <w:t>3) Nav izmantota iespēja akciju sabiedrībai vai tās pilnvarotajai personai tiesības prasīt starpniekam ziņot par nākamo starpnieku (</w:t>
            </w:r>
            <w:r w:rsidRPr="00457C45">
              <w:rPr>
                <w:rFonts w:ascii="Times New Roman" w:eastAsia="Arial Unicode MS" w:hAnsi="Times New Roman" w:cs="Times New Roman"/>
                <w:sz w:val="24"/>
                <w:szCs w:val="24"/>
              </w:rPr>
              <w:t>Direktīvas 2007/36/EK 3.a panta 3. punkta ceturtā daļa</w:t>
            </w:r>
            <w:r w:rsidRPr="00457C45">
              <w:rPr>
                <w:rFonts w:ascii="Times New Roman" w:eastAsia="Times New Roman" w:hAnsi="Times New Roman" w:cs="Times New Roman"/>
                <w:sz w:val="24"/>
                <w:szCs w:val="24"/>
                <w:lang w:eastAsia="lv-LV"/>
              </w:rPr>
              <w:t>). Šādu pieeju ir izvēlējusies lielākā daļa dalībvalstu.</w:t>
            </w:r>
          </w:p>
          <w:p w14:paraId="1FC7DB6D" w14:textId="75DC4D3A" w:rsidR="007721C4" w:rsidRPr="00457C45" w:rsidRDefault="007721C4" w:rsidP="00C34B83">
            <w:pPr>
              <w:spacing w:after="0" w:line="240" w:lineRule="auto"/>
              <w:ind w:firstLine="284"/>
              <w:jc w:val="both"/>
              <w:rPr>
                <w:rFonts w:ascii="Times New Roman" w:eastAsia="Times New Roman" w:hAnsi="Times New Roman" w:cs="Times New Roman"/>
                <w:sz w:val="24"/>
                <w:szCs w:val="24"/>
                <w:lang w:eastAsia="lv-LV"/>
              </w:rPr>
            </w:pPr>
            <w:r w:rsidRPr="00457C45">
              <w:rPr>
                <w:rFonts w:ascii="Times New Roman" w:eastAsia="Times New Roman" w:hAnsi="Times New Roman" w:cs="Times New Roman"/>
                <w:sz w:val="24"/>
                <w:szCs w:val="24"/>
                <w:lang w:eastAsia="lv-LV"/>
              </w:rPr>
              <w:t>4) Nav izmantota iespēja paredzēt konsultatīvu akcionāru sapulces balsojumu par atalgojuma politiku. Komerclikuma 268. panta pirmās daļas 11. punkts jau no 2008. gada 28. maija paredz, ka akcionāru sapulces balsojums par valdes un padomes locekļiem paredzētās atlīdzības noteikšanas vispārējiem principiem, veidiem un kritērijiem ir saistošs. Nav nekāda pamata samazināt jau esošas prasības, kas ir vērstas uz akcionāru interešu aizsardzību. Arī lielākā daļa citu dalībvalstu ir izvēlējusies saistošu, nevis konsultatīvu balsojumu.</w:t>
            </w:r>
          </w:p>
          <w:p w14:paraId="3F2A6137" w14:textId="77454FEC" w:rsidR="007721C4" w:rsidRPr="00457C45" w:rsidRDefault="007721C4" w:rsidP="00C34B83">
            <w:pPr>
              <w:spacing w:after="0" w:line="240" w:lineRule="auto"/>
              <w:ind w:firstLine="284"/>
              <w:jc w:val="both"/>
              <w:rPr>
                <w:rFonts w:ascii="Times New Roman" w:eastAsia="Times New Roman" w:hAnsi="Times New Roman" w:cs="Times New Roman"/>
                <w:sz w:val="24"/>
                <w:szCs w:val="24"/>
                <w:lang w:eastAsia="lv-LV"/>
              </w:rPr>
            </w:pPr>
            <w:r w:rsidRPr="00457C45">
              <w:rPr>
                <w:rFonts w:ascii="Times New Roman" w:eastAsia="Times New Roman" w:hAnsi="Times New Roman" w:cs="Times New Roman"/>
                <w:sz w:val="24"/>
                <w:szCs w:val="24"/>
                <w:lang w:eastAsia="lv-LV"/>
              </w:rPr>
              <w:t>5) Formāli nav izmantota iespēja paredzēt atkāpi no atalgojuma ziņojuma izskatīšanas akcionāru sapulcē maziem un vidēji lieliem uzņēmumiem (</w:t>
            </w:r>
            <w:r w:rsidRPr="00457C45">
              <w:rPr>
                <w:rFonts w:ascii="Times New Roman" w:eastAsia="Arial Unicode MS" w:hAnsi="Times New Roman" w:cs="Times New Roman"/>
                <w:sz w:val="24"/>
                <w:szCs w:val="24"/>
              </w:rPr>
              <w:t>Direktīvas 2007/36/EK 9.b pants 4. punkts</w:t>
            </w:r>
            <w:r w:rsidRPr="00457C45">
              <w:rPr>
                <w:rFonts w:ascii="Times New Roman" w:eastAsia="Times New Roman" w:hAnsi="Times New Roman" w:cs="Times New Roman"/>
                <w:sz w:val="24"/>
                <w:szCs w:val="24"/>
                <w:lang w:eastAsia="lv-LV"/>
              </w:rPr>
              <w:t>). Latvijā nav paredzēts “konsultatīvs balsojums”, tāpēc pēc būtības jebkura jautājuma izskatīšana akcionāru sapulcē, ja par to netiek pieņemts saistošs balsojums, ir uzskatāma gan par konsultatīvu balsojumu, gan par apspriešanu akcionāru sapulcē, jo akcionāriem jebkurā gadījumā ir iespēja gan izteikt viedokli un iebildumus, gan organizēt nesaistošu (indikatīvu) balsojumu.</w:t>
            </w:r>
          </w:p>
          <w:p w14:paraId="40244AEB" w14:textId="3DDDEE47" w:rsidR="007721C4" w:rsidRPr="00457C45" w:rsidRDefault="007721C4" w:rsidP="00C34B83">
            <w:pPr>
              <w:spacing w:after="0" w:line="240" w:lineRule="auto"/>
              <w:ind w:firstLine="284"/>
              <w:jc w:val="both"/>
              <w:rPr>
                <w:rFonts w:ascii="Times New Roman" w:eastAsia="Times New Roman" w:hAnsi="Times New Roman" w:cs="Times New Roman"/>
                <w:sz w:val="24"/>
                <w:szCs w:val="24"/>
                <w:lang w:eastAsia="lv-LV"/>
              </w:rPr>
            </w:pPr>
            <w:r w:rsidRPr="00457C45">
              <w:rPr>
                <w:rFonts w:ascii="Times New Roman" w:eastAsia="Times New Roman" w:hAnsi="Times New Roman" w:cs="Times New Roman"/>
                <w:sz w:val="24"/>
                <w:szCs w:val="24"/>
                <w:lang w:eastAsia="lv-LV"/>
              </w:rPr>
              <w:lastRenderedPageBreak/>
              <w:t>6) Nav izmantota iespēja atļaut akcionāram, kurš ir saistītā puse, piedalīties balsojumā (</w:t>
            </w:r>
            <w:r w:rsidRPr="00457C45">
              <w:rPr>
                <w:rFonts w:ascii="Times New Roman" w:eastAsia="Arial Unicode MS" w:hAnsi="Times New Roman" w:cs="Times New Roman"/>
                <w:sz w:val="24"/>
                <w:szCs w:val="24"/>
              </w:rPr>
              <w:t>Direktīvas 2007/36/EK 9.c pants 4. punkta ceturtā daļa</w:t>
            </w:r>
            <w:r w:rsidRPr="00457C45">
              <w:rPr>
                <w:rFonts w:ascii="Times New Roman" w:eastAsia="Times New Roman" w:hAnsi="Times New Roman" w:cs="Times New Roman"/>
                <w:sz w:val="24"/>
                <w:szCs w:val="24"/>
                <w:lang w:eastAsia="lv-LV"/>
              </w:rPr>
              <w:t>), jo Latvijā šāds regulējums pastāv jau no 2012. gada (Komerclikuma 280. panta otrās daļas 5.</w:t>
            </w:r>
            <w:r w:rsidRPr="00457C45">
              <w:rPr>
                <w:rFonts w:ascii="Times New Roman" w:hAnsi="Times New Roman" w:cs="Times New Roman"/>
                <w:sz w:val="24"/>
                <w:szCs w:val="24"/>
              </w:rPr>
              <w:t> punkts</w:t>
            </w:r>
            <w:r w:rsidRPr="00457C45">
              <w:rPr>
                <w:rFonts w:ascii="Times New Roman" w:eastAsia="Times New Roman" w:hAnsi="Times New Roman" w:cs="Times New Roman"/>
                <w:sz w:val="24"/>
                <w:szCs w:val="24"/>
                <w:lang w:eastAsia="lv-LV"/>
              </w:rPr>
              <w:t>).</w:t>
            </w:r>
          </w:p>
          <w:p w14:paraId="7D2AD38A" w14:textId="456C2FDA" w:rsidR="007721C4" w:rsidRPr="00457C45" w:rsidRDefault="007721C4" w:rsidP="00C34B83">
            <w:pPr>
              <w:spacing w:after="0" w:line="240" w:lineRule="auto"/>
              <w:ind w:firstLine="284"/>
              <w:jc w:val="both"/>
              <w:rPr>
                <w:rFonts w:ascii="Times New Roman" w:eastAsia="Times New Roman" w:hAnsi="Times New Roman" w:cs="Times New Roman"/>
                <w:sz w:val="24"/>
                <w:szCs w:val="24"/>
                <w:lang w:eastAsia="lv-LV"/>
              </w:rPr>
            </w:pPr>
            <w:r w:rsidRPr="00457C45">
              <w:rPr>
                <w:rFonts w:ascii="Times New Roman" w:eastAsia="Times New Roman" w:hAnsi="Times New Roman" w:cs="Times New Roman"/>
                <w:sz w:val="24"/>
                <w:szCs w:val="24"/>
                <w:lang w:eastAsia="lv-LV"/>
              </w:rPr>
              <w:t>7) Izmantota iespēja paredzēt, ka nozīmīga apjoma saistīto pušu darījuma prasības attiecas arī uz “tipiskiem darījumiem” (</w:t>
            </w:r>
            <w:r w:rsidRPr="00457C45">
              <w:rPr>
                <w:rFonts w:ascii="Times New Roman" w:eastAsia="Arial Unicode MS" w:hAnsi="Times New Roman" w:cs="Times New Roman"/>
                <w:sz w:val="24"/>
                <w:szCs w:val="24"/>
              </w:rPr>
              <w:t>Direktīvas 2007/36/EK 9.c pants 5. punkta otrā daļa</w:t>
            </w:r>
            <w:r w:rsidRPr="00457C45">
              <w:rPr>
                <w:rFonts w:ascii="Times New Roman" w:eastAsia="Times New Roman" w:hAnsi="Times New Roman" w:cs="Times New Roman"/>
                <w:sz w:val="24"/>
                <w:szCs w:val="24"/>
                <w:lang w:eastAsia="lv-LV"/>
              </w:rPr>
              <w:t>). Latvija daļēji ir izvēlējusies Direktīvas piedāvāto stingrāko prasību. FITL regulējums jau šobrīd paredz, ka saistīto pušu darījuma publiskošanas prasība attiecas gan uz nozīmīga apjoma, gan netipiskiem darījumiem. Proti, nozīmīga apjoma darījumi tiek publiskoti arī tad, ja tie atbilst tirgus nosacījumiem. Savukārt padomes vai akcionāru sapulces piekrišana ir nepieciešama tikai netipiskiem darījumiem, bet neattiecas uz nozīmīgiem darījumiem.</w:t>
            </w:r>
          </w:p>
          <w:p w14:paraId="67A83AAE" w14:textId="77777777" w:rsidR="007721C4" w:rsidRPr="00457C45" w:rsidRDefault="007721C4" w:rsidP="00C34B83">
            <w:pPr>
              <w:spacing w:after="0" w:line="240" w:lineRule="auto"/>
              <w:ind w:firstLine="284"/>
              <w:jc w:val="both"/>
              <w:rPr>
                <w:rFonts w:ascii="Times New Roman" w:eastAsia="Times New Roman" w:hAnsi="Times New Roman" w:cs="Times New Roman"/>
                <w:sz w:val="24"/>
                <w:szCs w:val="24"/>
                <w:lang w:eastAsia="lv-LV"/>
              </w:rPr>
            </w:pPr>
            <w:r w:rsidRPr="00457C45">
              <w:rPr>
                <w:rFonts w:ascii="Times New Roman" w:eastAsia="Times New Roman" w:hAnsi="Times New Roman" w:cs="Times New Roman"/>
                <w:sz w:val="24"/>
                <w:szCs w:val="24"/>
                <w:lang w:eastAsia="lv-LV"/>
              </w:rPr>
              <w:t>8) Nav izmantota iespēja paredzēt saistīto pušu darījumu noslēgšanas atvieglojumus noteikta veida saistīto pušu darījumiem (</w:t>
            </w:r>
            <w:r w:rsidRPr="00457C45">
              <w:rPr>
                <w:rFonts w:ascii="Times New Roman" w:eastAsia="Arial Unicode MS" w:hAnsi="Times New Roman" w:cs="Times New Roman"/>
                <w:sz w:val="24"/>
                <w:szCs w:val="24"/>
              </w:rPr>
              <w:t>Direktīvas 2007/36/EK 9.c pants 6. punkts</w:t>
            </w:r>
            <w:r w:rsidRPr="00457C45">
              <w:rPr>
                <w:rFonts w:ascii="Times New Roman" w:eastAsia="Times New Roman" w:hAnsi="Times New Roman" w:cs="Times New Roman"/>
                <w:sz w:val="24"/>
                <w:szCs w:val="24"/>
                <w:lang w:eastAsia="lv-LV"/>
              </w:rPr>
              <w:t>). Ikviens šāds izņēmums samazina esošo akcionāru un potenciālo investoru tiesību aizsardzības līmeni. Vienlaikus paredzētie izņēmumi neattiecas uz parasto komercdarbību, jo ziņošanas pienākums ir tikai par nozīmīgiem darījumiem ar saistītajām pusēm. Turklāt Latvijā šāds regulējums pastāv jau no 2017. gada un praksē nav identificētas problēmas.</w:t>
            </w:r>
          </w:p>
          <w:p w14:paraId="793562BC" w14:textId="3CEF5D2C" w:rsidR="007721C4" w:rsidRPr="00457C45" w:rsidRDefault="007721C4" w:rsidP="00C34B83">
            <w:pPr>
              <w:spacing w:after="0" w:line="240" w:lineRule="auto"/>
              <w:ind w:firstLine="284"/>
              <w:jc w:val="both"/>
              <w:rPr>
                <w:rFonts w:ascii="Times New Roman" w:eastAsia="Times New Roman" w:hAnsi="Times New Roman" w:cs="Times New Roman"/>
                <w:sz w:val="24"/>
                <w:szCs w:val="24"/>
                <w:lang w:eastAsia="lv-LV"/>
              </w:rPr>
            </w:pPr>
            <w:r w:rsidRPr="00457C45">
              <w:rPr>
                <w:rFonts w:ascii="Times New Roman" w:eastAsia="Times New Roman" w:hAnsi="Times New Roman" w:cs="Times New Roman"/>
                <w:sz w:val="24"/>
                <w:szCs w:val="24"/>
                <w:lang w:eastAsia="lv-LV"/>
              </w:rPr>
              <w:t>9) Nav izmantota iespēja paredzēt pienākumu obligāti sagatavot un publiskot ziņojumu par saistīto pušu darījumu (</w:t>
            </w:r>
            <w:r w:rsidRPr="00457C45">
              <w:rPr>
                <w:rFonts w:ascii="Times New Roman" w:eastAsia="Arial Unicode MS" w:hAnsi="Times New Roman" w:cs="Times New Roman"/>
                <w:sz w:val="24"/>
                <w:szCs w:val="24"/>
              </w:rPr>
              <w:t>Direktīvas 2007/36/EK 9.c pants 3. punkts un 7. punkta 2. teikums</w:t>
            </w:r>
            <w:r w:rsidRPr="00457C45">
              <w:rPr>
                <w:rFonts w:ascii="Times New Roman" w:eastAsia="Times New Roman" w:hAnsi="Times New Roman" w:cs="Times New Roman"/>
                <w:sz w:val="24"/>
                <w:szCs w:val="24"/>
                <w:lang w:eastAsia="lv-LV"/>
              </w:rPr>
              <w:t>), jo tas būtu papildu slogs akciju sabiedrībām un kavētu darījumu noslēgšanas procesu. Vienlaikus FITL 59.</w:t>
            </w:r>
            <w:r w:rsidRPr="00457C45">
              <w:rPr>
                <w:rFonts w:ascii="Times New Roman" w:eastAsia="Times New Roman" w:hAnsi="Times New Roman" w:cs="Times New Roman"/>
                <w:sz w:val="24"/>
                <w:szCs w:val="24"/>
                <w:vertAlign w:val="superscript"/>
                <w:lang w:eastAsia="lv-LV"/>
              </w:rPr>
              <w:t>1 </w:t>
            </w:r>
            <w:r w:rsidRPr="00457C45">
              <w:rPr>
                <w:rFonts w:ascii="Times New Roman" w:eastAsia="Times New Roman" w:hAnsi="Times New Roman" w:cs="Times New Roman"/>
                <w:sz w:val="24"/>
                <w:szCs w:val="24"/>
                <w:lang w:eastAsia="lv-LV"/>
              </w:rPr>
              <w:t>panta piektā daļa un desmitās daļas 6. punkts paredz, ka akciju sabiedrībai ir pienākums publiskot ziņojumu, ja tāds tomēr ir.</w:t>
            </w:r>
          </w:p>
        </w:tc>
      </w:tr>
      <w:tr w:rsidR="007721C4" w:rsidRPr="00BC2633" w14:paraId="4BB3E07D" w14:textId="77777777" w:rsidTr="00FA2A06">
        <w:tc>
          <w:tcPr>
            <w:tcW w:w="1141" w:type="pct"/>
            <w:tcBorders>
              <w:top w:val="outset" w:sz="6" w:space="0" w:color="414142"/>
              <w:left w:val="outset" w:sz="6" w:space="0" w:color="414142"/>
              <w:bottom w:val="outset" w:sz="6" w:space="0" w:color="414142"/>
              <w:right w:val="outset" w:sz="6" w:space="0" w:color="414142"/>
            </w:tcBorders>
            <w:hideMark/>
          </w:tcPr>
          <w:p w14:paraId="47E98DEF" w14:textId="77777777" w:rsidR="007721C4" w:rsidRPr="00BC2633" w:rsidRDefault="007721C4" w:rsidP="007721C4">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859" w:type="pct"/>
            <w:gridSpan w:val="3"/>
            <w:tcBorders>
              <w:top w:val="outset" w:sz="6" w:space="0" w:color="414142"/>
              <w:left w:val="outset" w:sz="6" w:space="0" w:color="414142"/>
              <w:bottom w:val="outset" w:sz="6" w:space="0" w:color="414142"/>
              <w:right w:val="outset" w:sz="6" w:space="0" w:color="414142"/>
            </w:tcBorders>
            <w:hideMark/>
          </w:tcPr>
          <w:p w14:paraId="65F6E4C9" w14:textId="156D9340" w:rsidR="007721C4" w:rsidRPr="00BC2633" w:rsidRDefault="007721C4" w:rsidP="007721C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p>
        </w:tc>
      </w:tr>
      <w:tr w:rsidR="007721C4" w:rsidRPr="00BC2633" w14:paraId="37A77CFC" w14:textId="77777777" w:rsidTr="00FA2A06">
        <w:tc>
          <w:tcPr>
            <w:tcW w:w="1141" w:type="pct"/>
            <w:tcBorders>
              <w:top w:val="outset" w:sz="6" w:space="0" w:color="414142"/>
              <w:left w:val="outset" w:sz="6" w:space="0" w:color="414142"/>
              <w:bottom w:val="outset" w:sz="6" w:space="0" w:color="414142"/>
              <w:right w:val="outset" w:sz="6" w:space="0" w:color="414142"/>
            </w:tcBorders>
            <w:hideMark/>
          </w:tcPr>
          <w:p w14:paraId="4EB803B6" w14:textId="77777777" w:rsidR="007721C4" w:rsidRPr="00BC2633" w:rsidRDefault="007721C4" w:rsidP="007721C4">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859" w:type="pct"/>
            <w:gridSpan w:val="3"/>
            <w:tcBorders>
              <w:top w:val="outset" w:sz="6" w:space="0" w:color="414142"/>
              <w:left w:val="outset" w:sz="6" w:space="0" w:color="414142"/>
              <w:bottom w:val="outset" w:sz="6" w:space="0" w:color="414142"/>
              <w:right w:val="outset" w:sz="6" w:space="0" w:color="414142"/>
            </w:tcBorders>
            <w:hideMark/>
          </w:tcPr>
          <w:p w14:paraId="522A3105" w14:textId="0CF434B5" w:rsidR="007721C4" w:rsidRPr="00BC2633" w:rsidRDefault="007721C4" w:rsidP="007721C4">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Nav</w:t>
            </w:r>
            <w:r>
              <w:rPr>
                <w:rFonts w:ascii="Times New Roman" w:eastAsia="Times New Roman" w:hAnsi="Times New Roman" w:cs="Times New Roman"/>
                <w:sz w:val="24"/>
                <w:szCs w:val="24"/>
                <w:lang w:eastAsia="lv-LV"/>
              </w:rPr>
              <w:t>.</w:t>
            </w:r>
          </w:p>
        </w:tc>
      </w:tr>
      <w:tr w:rsidR="007721C4" w:rsidRPr="00BC2633" w14:paraId="5C5D7232" w14:textId="77777777" w:rsidTr="004D15A9">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14:paraId="2F72A62A" w14:textId="77777777" w:rsidR="007721C4" w:rsidRPr="00BC2633" w:rsidRDefault="007721C4" w:rsidP="007721C4">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2.</w:t>
            </w:r>
            <w:r>
              <w:rPr>
                <w:rFonts w:ascii="Times New Roman" w:eastAsia="Times New Roman" w:hAnsi="Times New Roman" w:cs="Times New Roman"/>
                <w:b/>
                <w:bCs/>
                <w:sz w:val="24"/>
                <w:szCs w:val="24"/>
                <w:lang w:eastAsia="lv-LV"/>
              </w:rPr>
              <w:t> </w:t>
            </w:r>
            <w:r w:rsidRPr="00BC2633">
              <w:rPr>
                <w:rFonts w:ascii="Times New Roman" w:eastAsia="Times New Roman" w:hAnsi="Times New Roman" w:cs="Times New Roman"/>
                <w:b/>
                <w:bCs/>
                <w:sz w:val="24"/>
                <w:szCs w:val="24"/>
                <w:lang w:eastAsia="lv-LV"/>
              </w:rPr>
              <w:t>tabula</w:t>
            </w:r>
            <w:r w:rsidRPr="00BC2633">
              <w:rPr>
                <w:rFonts w:ascii="Times New Roman" w:eastAsia="Times New Roman" w:hAnsi="Times New Roman" w:cs="Times New Roman"/>
                <w:b/>
                <w:bCs/>
                <w:sz w:val="24"/>
                <w:szCs w:val="24"/>
                <w:lang w:eastAsia="lv-LV"/>
              </w:rPr>
              <w:br/>
              <w:t>Ar tiesību akta projektu izpildītās vai uzņemtās saistības, kas izriet no starptautiskajiem tiesību aktiem vai starptautiskas institūcijas vai organizācijas dokumentiem.</w:t>
            </w:r>
            <w:r w:rsidRPr="00BC2633">
              <w:rPr>
                <w:rFonts w:ascii="Times New Roman" w:eastAsia="Times New Roman" w:hAnsi="Times New Roman" w:cs="Times New Roman"/>
                <w:b/>
                <w:bCs/>
                <w:sz w:val="24"/>
                <w:szCs w:val="24"/>
                <w:lang w:eastAsia="lv-LV"/>
              </w:rPr>
              <w:br/>
              <w:t>Pasākumi šo saistību izpildei</w:t>
            </w:r>
          </w:p>
        </w:tc>
      </w:tr>
      <w:tr w:rsidR="007721C4" w:rsidRPr="00BC2633" w14:paraId="07F340A9" w14:textId="77777777" w:rsidTr="00FA2A06">
        <w:trPr>
          <w:trHeight w:val="240"/>
        </w:trPr>
        <w:tc>
          <w:tcPr>
            <w:tcW w:w="5000" w:type="pct"/>
            <w:gridSpan w:val="4"/>
            <w:tcBorders>
              <w:top w:val="outset" w:sz="6" w:space="0" w:color="414142"/>
              <w:left w:val="outset" w:sz="6" w:space="0" w:color="414142"/>
              <w:right w:val="outset" w:sz="6" w:space="0" w:color="414142"/>
            </w:tcBorders>
            <w:vAlign w:val="center"/>
          </w:tcPr>
          <w:p w14:paraId="0A8769D2" w14:textId="45AD512C" w:rsidR="007721C4" w:rsidRPr="00BC2633" w:rsidRDefault="007721C4" w:rsidP="007721C4">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p>
        </w:tc>
      </w:tr>
    </w:tbl>
    <w:p w14:paraId="63E4FCA9"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515"/>
        <w:gridCol w:w="6087"/>
      </w:tblGrid>
      <w:tr w:rsidR="00BC2633" w:rsidRPr="00BC2633" w14:paraId="28BF07B0" w14:textId="77777777"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2BDDC73"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VI. Sabiedrības līdzdalība un komunikācijas aktivitātes</w:t>
            </w:r>
          </w:p>
        </w:tc>
      </w:tr>
      <w:tr w:rsidR="00BC2633" w:rsidRPr="00BC2633" w14:paraId="7B1FA7B2" w14:textId="77777777" w:rsidTr="004C3B12">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4396B198"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389" w:type="pct"/>
            <w:tcBorders>
              <w:top w:val="outset" w:sz="6" w:space="0" w:color="414142"/>
              <w:left w:val="outset" w:sz="6" w:space="0" w:color="414142"/>
              <w:bottom w:val="outset" w:sz="6" w:space="0" w:color="414142"/>
              <w:right w:val="outset" w:sz="6" w:space="0" w:color="414142"/>
            </w:tcBorders>
            <w:hideMark/>
          </w:tcPr>
          <w:p w14:paraId="0727F913"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Plānotās sabiedrības līdzdalības un komunikācijas aktivitātes saistībā ar projektu</w:t>
            </w:r>
          </w:p>
        </w:tc>
        <w:tc>
          <w:tcPr>
            <w:tcW w:w="3361" w:type="pct"/>
            <w:tcBorders>
              <w:top w:val="outset" w:sz="6" w:space="0" w:color="414142"/>
              <w:left w:val="outset" w:sz="6" w:space="0" w:color="414142"/>
              <w:bottom w:val="outset" w:sz="6" w:space="0" w:color="414142"/>
              <w:right w:val="outset" w:sz="6" w:space="0" w:color="414142"/>
            </w:tcBorders>
            <w:hideMark/>
          </w:tcPr>
          <w:p w14:paraId="298F5795" w14:textId="4DCECDE3" w:rsidR="001C5969" w:rsidRPr="00283E1C" w:rsidRDefault="001A3A5D" w:rsidP="001C5969">
            <w:pPr>
              <w:spacing w:after="0" w:line="240" w:lineRule="auto"/>
              <w:jc w:val="both"/>
              <w:rPr>
                <w:rFonts w:ascii="Times New Roman" w:hAnsi="Times New Roman" w:cs="Times New Roman"/>
                <w:sz w:val="24"/>
                <w:szCs w:val="24"/>
              </w:rPr>
            </w:pPr>
            <w:r w:rsidRPr="00283E1C">
              <w:rPr>
                <w:rFonts w:ascii="Times New Roman" w:hAnsi="Times New Roman" w:cs="Times New Roman"/>
                <w:sz w:val="24"/>
                <w:szCs w:val="24"/>
                <w:lang w:eastAsia="lv-LV"/>
              </w:rPr>
              <w:t xml:space="preserve">2018. gada </w:t>
            </w:r>
            <w:r w:rsidR="00196BBF" w:rsidRPr="00283E1C">
              <w:rPr>
                <w:rFonts w:ascii="Times New Roman" w:hAnsi="Times New Roman" w:cs="Times New Roman"/>
                <w:sz w:val="24"/>
                <w:szCs w:val="24"/>
                <w:lang w:eastAsia="lv-LV"/>
              </w:rPr>
              <w:t>__.______</w:t>
            </w:r>
            <w:r w:rsidRPr="00283E1C">
              <w:rPr>
                <w:rFonts w:ascii="Times New Roman" w:hAnsi="Times New Roman" w:cs="Times New Roman"/>
                <w:sz w:val="24"/>
                <w:szCs w:val="24"/>
                <w:lang w:eastAsia="lv-LV"/>
              </w:rPr>
              <w:t xml:space="preserve"> projekts tika publicēts Tieslietu ministrijas un Ministru kabineta tīmekļvietnē, tādējādi dodot iespēju sabiedrībai līdzdarboties tiesību akta izstrādes procesā.</w:t>
            </w:r>
          </w:p>
        </w:tc>
      </w:tr>
      <w:tr w:rsidR="00BC2633" w:rsidRPr="00BC2633" w14:paraId="27BA751E" w14:textId="77777777" w:rsidTr="004C3B12">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08715D31"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389" w:type="pct"/>
            <w:tcBorders>
              <w:top w:val="outset" w:sz="6" w:space="0" w:color="414142"/>
              <w:left w:val="outset" w:sz="6" w:space="0" w:color="414142"/>
              <w:bottom w:val="outset" w:sz="6" w:space="0" w:color="414142"/>
              <w:right w:val="outset" w:sz="6" w:space="0" w:color="414142"/>
            </w:tcBorders>
            <w:hideMark/>
          </w:tcPr>
          <w:p w14:paraId="0010C84B"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līdzdalība projekta izstrādē</w:t>
            </w:r>
          </w:p>
        </w:tc>
        <w:tc>
          <w:tcPr>
            <w:tcW w:w="3361" w:type="pct"/>
            <w:tcBorders>
              <w:top w:val="outset" w:sz="6" w:space="0" w:color="414142"/>
              <w:left w:val="outset" w:sz="6" w:space="0" w:color="414142"/>
              <w:bottom w:val="outset" w:sz="6" w:space="0" w:color="414142"/>
              <w:right w:val="outset" w:sz="6" w:space="0" w:color="414142"/>
            </w:tcBorders>
            <w:hideMark/>
          </w:tcPr>
          <w:p w14:paraId="26DC921A" w14:textId="77777777" w:rsidR="00355F5C" w:rsidRDefault="005B7142" w:rsidP="00355F5C">
            <w:pPr>
              <w:spacing w:after="0" w:line="240" w:lineRule="auto"/>
              <w:ind w:firstLine="284"/>
              <w:jc w:val="both"/>
            </w:pPr>
            <w:r w:rsidRPr="00283E1C">
              <w:rPr>
                <w:rFonts w:ascii="Times New Roman" w:hAnsi="Times New Roman" w:cs="Times New Roman"/>
                <w:sz w:val="24"/>
                <w:szCs w:val="24"/>
                <w:lang w:eastAsia="lv-LV"/>
              </w:rPr>
              <w:t xml:space="preserve">Projekta izstrādē piedalījās Finanšu un kapitāla tirgus komisija, kā arī tika rīkotas sanāksmes ar </w:t>
            </w:r>
            <w:r w:rsidR="00586AE8" w:rsidRPr="00283E1C">
              <w:rPr>
                <w:rFonts w:ascii="Times New Roman" w:hAnsi="Times New Roman" w:cs="Times New Roman"/>
                <w:sz w:val="24"/>
                <w:szCs w:val="24"/>
                <w:lang w:eastAsia="lv-LV"/>
              </w:rPr>
              <w:t xml:space="preserve">Finanšu ministrijas, </w:t>
            </w:r>
            <w:r w:rsidRPr="00283E1C">
              <w:rPr>
                <w:rFonts w:ascii="Times New Roman" w:hAnsi="Times New Roman" w:cs="Times New Roman"/>
                <w:sz w:val="24"/>
                <w:szCs w:val="24"/>
                <w:lang w:eastAsia="lv-LV"/>
              </w:rPr>
              <w:t xml:space="preserve">biržas (Nasdaq Riga) un Baltijas Korporatīvās pārvaldības institūta (BICG) pārstāvjiem. </w:t>
            </w:r>
            <w:r w:rsidR="00355F5C" w:rsidRPr="00401BD5">
              <w:rPr>
                <w:rFonts w:ascii="Times New Roman" w:eastAsia="Times New Roman" w:hAnsi="Times New Roman" w:cs="Times New Roman"/>
                <w:sz w:val="24"/>
                <w:szCs w:val="24"/>
                <w:lang w:eastAsia="lv-LV"/>
              </w:rPr>
              <w:t>Projekts daļa par vadītāju atalgojumu un saistīto pušu darījumiem ir izskatīta</w:t>
            </w:r>
            <w:r w:rsidR="00355F5C" w:rsidRPr="1CB73AEC">
              <w:rPr>
                <w:rFonts w:ascii="Times New Roman" w:eastAsia="Times New Roman" w:hAnsi="Times New Roman" w:cs="Times New Roman"/>
                <w:sz w:val="24"/>
                <w:szCs w:val="24"/>
                <w:lang w:eastAsia="lv-LV"/>
              </w:rPr>
              <w:t xml:space="preserve"> arī Tieslietu ministrijas </w:t>
            </w:r>
            <w:r w:rsidR="00355F5C" w:rsidRPr="1CB73AEC">
              <w:rPr>
                <w:rFonts w:ascii="Times New Roman" w:hAnsi="Times New Roman" w:cs="Times New Roman"/>
                <w:sz w:val="24"/>
                <w:szCs w:val="24"/>
                <w:lang w:eastAsia="lv-LV"/>
              </w:rPr>
              <w:t xml:space="preserve">izveidotajā pastāvīgajā darba grupā </w:t>
            </w:r>
            <w:r w:rsidR="00355F5C" w:rsidRPr="1CB73AEC">
              <w:rPr>
                <w:rFonts w:ascii="Times New Roman" w:eastAsia="Times New Roman" w:hAnsi="Times New Roman" w:cs="Times New Roman"/>
                <w:sz w:val="24"/>
                <w:szCs w:val="24"/>
                <w:lang w:eastAsia="lv-LV"/>
              </w:rPr>
              <w:t>Komerclikuma grozījumu izstrādei, kuras sastāvā ir komerctiesību eksperti un praktiķi, kā arī pārstāvji no sociālajiem partneriem.</w:t>
            </w:r>
            <w:r w:rsidR="00355F5C">
              <w:t xml:space="preserve"> </w:t>
            </w:r>
          </w:p>
          <w:p w14:paraId="1EE08E29" w14:textId="0994A723" w:rsidR="00700530" w:rsidRPr="00283E1C" w:rsidRDefault="00586AE8" w:rsidP="00355F5C">
            <w:pPr>
              <w:spacing w:after="0" w:line="240" w:lineRule="auto"/>
              <w:ind w:firstLine="284"/>
              <w:jc w:val="both"/>
              <w:rPr>
                <w:rFonts w:ascii="Times New Roman" w:eastAsia="Times New Roman" w:hAnsi="Times New Roman" w:cs="Times New Roman"/>
                <w:sz w:val="24"/>
                <w:szCs w:val="24"/>
                <w:lang w:eastAsia="lv-LV"/>
              </w:rPr>
            </w:pPr>
            <w:r w:rsidRPr="00283E1C">
              <w:rPr>
                <w:rFonts w:ascii="Times New Roman" w:hAnsi="Times New Roman" w:cs="Times New Roman"/>
                <w:sz w:val="24"/>
                <w:szCs w:val="24"/>
                <w:lang w:eastAsia="lv-LV"/>
              </w:rPr>
              <w:t>Projekts 2018.</w:t>
            </w:r>
            <w:r w:rsidR="005E4D47" w:rsidRPr="00283E1C">
              <w:rPr>
                <w:rFonts w:ascii="Times New Roman" w:hAnsi="Times New Roman" w:cs="Times New Roman"/>
                <w:sz w:val="24"/>
                <w:szCs w:val="24"/>
                <w:lang w:eastAsia="lv-LV"/>
              </w:rPr>
              <w:t> </w:t>
            </w:r>
            <w:r w:rsidRPr="00283E1C">
              <w:rPr>
                <w:rFonts w:ascii="Times New Roman" w:hAnsi="Times New Roman" w:cs="Times New Roman"/>
                <w:sz w:val="24"/>
                <w:szCs w:val="24"/>
                <w:lang w:eastAsia="lv-LV"/>
              </w:rPr>
              <w:t xml:space="preserve">gada </w:t>
            </w:r>
            <w:r w:rsidR="00196BBF" w:rsidRPr="00283E1C">
              <w:rPr>
                <w:rFonts w:ascii="Times New Roman" w:hAnsi="Times New Roman" w:cs="Times New Roman"/>
                <w:sz w:val="24"/>
                <w:szCs w:val="24"/>
                <w:lang w:eastAsia="lv-LV"/>
              </w:rPr>
              <w:t>__.______</w:t>
            </w:r>
            <w:r w:rsidRPr="00283E1C">
              <w:rPr>
                <w:rFonts w:ascii="Times New Roman" w:hAnsi="Times New Roman" w:cs="Times New Roman"/>
                <w:sz w:val="24"/>
                <w:szCs w:val="24"/>
                <w:lang w:eastAsia="lv-LV"/>
              </w:rPr>
              <w:t xml:space="preserve"> tika publicēts Tieslietu ministrijas tīmekļvietnes sadaļā "Sabiedrības līdzdalība" (</w:t>
            </w:r>
            <w:hyperlink r:id="rId10" w:history="1">
              <w:r w:rsidRPr="00283E1C">
                <w:rPr>
                  <w:rStyle w:val="Hipersaite"/>
                  <w:rFonts w:ascii="Times New Roman" w:hAnsi="Times New Roman" w:cs="Times New Roman"/>
                  <w:color w:val="auto"/>
                  <w:sz w:val="24"/>
                  <w:szCs w:val="24"/>
                  <w:lang w:eastAsia="lv-LV"/>
                </w:rPr>
                <w:t>https://www.tm.gov.lv/lv/sabiedribas-lidzdaliba/diskusiju-dokumenti/tiesibu-akti</w:t>
              </w:r>
            </w:hyperlink>
            <w:r w:rsidRPr="00283E1C">
              <w:rPr>
                <w:rFonts w:ascii="Times New Roman" w:hAnsi="Times New Roman" w:cs="Times New Roman"/>
                <w:sz w:val="24"/>
                <w:szCs w:val="24"/>
                <w:lang w:eastAsia="lv-LV"/>
              </w:rPr>
              <w:t>) un Ministru kabineta tīmekļvietnē (</w:t>
            </w:r>
            <w:hyperlink r:id="rId11" w:history="1">
              <w:r w:rsidRPr="00283E1C">
                <w:rPr>
                  <w:rStyle w:val="Hipersaite"/>
                  <w:rFonts w:ascii="Times New Roman" w:hAnsi="Times New Roman" w:cs="Times New Roman"/>
                  <w:color w:val="auto"/>
                  <w:sz w:val="24"/>
                  <w:szCs w:val="24"/>
                  <w:lang w:eastAsia="lv-LV"/>
                </w:rPr>
                <w:t>https://mk.gov.lv/content/ministru-kabineta-diskusiju-dokumenti</w:t>
              </w:r>
            </w:hyperlink>
            <w:r w:rsidRPr="00283E1C">
              <w:rPr>
                <w:rFonts w:ascii="Times New Roman" w:hAnsi="Times New Roman" w:cs="Times New Roman"/>
                <w:sz w:val="24"/>
                <w:szCs w:val="24"/>
                <w:lang w:eastAsia="lv-LV"/>
              </w:rPr>
              <w:t xml:space="preserve">), aicinot sniegt priekšlikumus par projektu līdz 2018. gada </w:t>
            </w:r>
            <w:r w:rsidR="00196BBF" w:rsidRPr="00283E1C">
              <w:rPr>
                <w:rFonts w:ascii="Times New Roman" w:hAnsi="Times New Roman" w:cs="Times New Roman"/>
                <w:sz w:val="24"/>
                <w:szCs w:val="24"/>
                <w:lang w:eastAsia="lv-LV"/>
              </w:rPr>
              <w:t>__._______</w:t>
            </w:r>
            <w:r w:rsidRPr="00283E1C">
              <w:rPr>
                <w:rFonts w:ascii="Times New Roman" w:hAnsi="Times New Roman" w:cs="Times New Roman"/>
                <w:sz w:val="24"/>
                <w:szCs w:val="24"/>
                <w:lang w:eastAsia="lv-LV"/>
              </w:rPr>
              <w:t>.</w:t>
            </w:r>
          </w:p>
        </w:tc>
      </w:tr>
      <w:tr w:rsidR="00BC2633" w:rsidRPr="00BC2633" w14:paraId="221D5F5F"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72BC62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389" w:type="pct"/>
            <w:tcBorders>
              <w:top w:val="outset" w:sz="6" w:space="0" w:color="414142"/>
              <w:left w:val="outset" w:sz="6" w:space="0" w:color="414142"/>
              <w:bottom w:val="outset" w:sz="6" w:space="0" w:color="414142"/>
              <w:right w:val="outset" w:sz="6" w:space="0" w:color="414142"/>
            </w:tcBorders>
            <w:hideMark/>
          </w:tcPr>
          <w:p w14:paraId="255EBB17"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līdzdalības rezultāti</w:t>
            </w:r>
          </w:p>
        </w:tc>
        <w:tc>
          <w:tcPr>
            <w:tcW w:w="3361" w:type="pct"/>
            <w:tcBorders>
              <w:top w:val="outset" w:sz="6" w:space="0" w:color="414142"/>
              <w:left w:val="outset" w:sz="6" w:space="0" w:color="414142"/>
              <w:bottom w:val="outset" w:sz="6" w:space="0" w:color="414142"/>
              <w:right w:val="outset" w:sz="6" w:space="0" w:color="414142"/>
            </w:tcBorders>
            <w:hideMark/>
          </w:tcPr>
          <w:p w14:paraId="3E3C15CE" w14:textId="107C113C" w:rsidR="005B7142" w:rsidRPr="00283E1C" w:rsidRDefault="005B7142" w:rsidP="001C5969">
            <w:pPr>
              <w:spacing w:after="0" w:line="240" w:lineRule="auto"/>
              <w:jc w:val="both"/>
              <w:rPr>
                <w:rFonts w:ascii="Times New Roman" w:eastAsia="Times New Roman" w:hAnsi="Times New Roman" w:cs="Times New Roman"/>
                <w:sz w:val="24"/>
                <w:szCs w:val="24"/>
                <w:lang w:eastAsia="lv-LV"/>
              </w:rPr>
            </w:pPr>
            <w:r w:rsidRPr="00283E1C">
              <w:rPr>
                <w:rFonts w:ascii="Times New Roman" w:hAnsi="Times New Roman" w:cs="Times New Roman"/>
                <w:sz w:val="24"/>
                <w:szCs w:val="24"/>
              </w:rPr>
              <w:t>Līdz 201</w:t>
            </w:r>
            <w:r w:rsidR="00196BBF" w:rsidRPr="00283E1C">
              <w:rPr>
                <w:rFonts w:ascii="Times New Roman" w:hAnsi="Times New Roman" w:cs="Times New Roman"/>
                <w:sz w:val="24"/>
                <w:szCs w:val="24"/>
              </w:rPr>
              <w:t>8</w:t>
            </w:r>
            <w:r w:rsidRPr="00283E1C">
              <w:rPr>
                <w:rFonts w:ascii="Times New Roman" w:hAnsi="Times New Roman" w:cs="Times New Roman"/>
                <w:sz w:val="24"/>
                <w:szCs w:val="24"/>
              </w:rPr>
              <w:t xml:space="preserve">. gada </w:t>
            </w:r>
            <w:r w:rsidR="00196BBF" w:rsidRPr="00283E1C">
              <w:rPr>
                <w:rFonts w:ascii="Times New Roman" w:hAnsi="Times New Roman" w:cs="Times New Roman"/>
                <w:sz w:val="24"/>
                <w:szCs w:val="24"/>
              </w:rPr>
              <w:t>__._____</w:t>
            </w:r>
            <w:r w:rsidR="005E4D47" w:rsidRPr="00283E1C">
              <w:rPr>
                <w:rFonts w:ascii="Times New Roman" w:hAnsi="Times New Roman" w:cs="Times New Roman"/>
                <w:sz w:val="24"/>
                <w:szCs w:val="24"/>
              </w:rPr>
              <w:t xml:space="preserve"> saņemti šādi</w:t>
            </w:r>
            <w:r w:rsidRPr="00283E1C">
              <w:rPr>
                <w:rFonts w:ascii="Times New Roman" w:hAnsi="Times New Roman" w:cs="Times New Roman"/>
                <w:sz w:val="24"/>
                <w:szCs w:val="24"/>
              </w:rPr>
              <w:t xml:space="preserve"> priekšlikum</w:t>
            </w:r>
            <w:r w:rsidR="005E4D47" w:rsidRPr="00283E1C">
              <w:rPr>
                <w:rFonts w:ascii="Times New Roman" w:hAnsi="Times New Roman" w:cs="Times New Roman"/>
                <w:sz w:val="24"/>
                <w:szCs w:val="24"/>
              </w:rPr>
              <w:t>i un komentāri</w:t>
            </w:r>
            <w:r w:rsidRPr="00283E1C">
              <w:rPr>
                <w:rFonts w:ascii="Times New Roman" w:hAnsi="Times New Roman" w:cs="Times New Roman"/>
                <w:sz w:val="24"/>
                <w:szCs w:val="24"/>
              </w:rPr>
              <w:t xml:space="preserve"> par </w:t>
            </w:r>
            <w:r w:rsidR="00063AB4" w:rsidRPr="00283E1C">
              <w:rPr>
                <w:rFonts w:ascii="Times New Roman" w:hAnsi="Times New Roman" w:cs="Times New Roman"/>
                <w:sz w:val="24"/>
                <w:szCs w:val="24"/>
              </w:rPr>
              <w:t>p</w:t>
            </w:r>
            <w:r w:rsidRPr="00283E1C">
              <w:rPr>
                <w:rFonts w:ascii="Times New Roman" w:hAnsi="Times New Roman" w:cs="Times New Roman"/>
                <w:sz w:val="24"/>
                <w:szCs w:val="24"/>
              </w:rPr>
              <w:t>rojektu</w:t>
            </w:r>
            <w:r w:rsidR="005E4D47" w:rsidRPr="00283E1C">
              <w:rPr>
                <w:rFonts w:ascii="Times New Roman" w:hAnsi="Times New Roman" w:cs="Times New Roman"/>
                <w:sz w:val="24"/>
                <w:szCs w:val="24"/>
              </w:rPr>
              <w:t>:</w:t>
            </w:r>
          </w:p>
        </w:tc>
      </w:tr>
      <w:tr w:rsidR="004D15A9" w:rsidRPr="00BC2633" w14:paraId="5F54E321" w14:textId="77777777" w:rsidTr="00FA2A06">
        <w:trPr>
          <w:trHeight w:val="313"/>
        </w:trPr>
        <w:tc>
          <w:tcPr>
            <w:tcW w:w="250" w:type="pct"/>
            <w:tcBorders>
              <w:top w:val="outset" w:sz="6" w:space="0" w:color="414142"/>
              <w:left w:val="outset" w:sz="6" w:space="0" w:color="414142"/>
              <w:bottom w:val="outset" w:sz="6" w:space="0" w:color="414142"/>
              <w:right w:val="outset" w:sz="6" w:space="0" w:color="414142"/>
            </w:tcBorders>
            <w:hideMark/>
          </w:tcPr>
          <w:p w14:paraId="5BE089B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4.</w:t>
            </w:r>
          </w:p>
        </w:tc>
        <w:tc>
          <w:tcPr>
            <w:tcW w:w="1389" w:type="pct"/>
            <w:tcBorders>
              <w:top w:val="outset" w:sz="6" w:space="0" w:color="414142"/>
              <w:left w:val="outset" w:sz="6" w:space="0" w:color="414142"/>
              <w:bottom w:val="outset" w:sz="6" w:space="0" w:color="414142"/>
              <w:right w:val="outset" w:sz="6" w:space="0" w:color="414142"/>
            </w:tcBorders>
            <w:hideMark/>
          </w:tcPr>
          <w:p w14:paraId="500F1E65"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361" w:type="pct"/>
            <w:tcBorders>
              <w:top w:val="outset" w:sz="6" w:space="0" w:color="414142"/>
              <w:left w:val="outset" w:sz="6" w:space="0" w:color="414142"/>
              <w:bottom w:val="outset" w:sz="6" w:space="0" w:color="414142"/>
              <w:right w:val="outset" w:sz="6" w:space="0" w:color="414142"/>
            </w:tcBorders>
            <w:hideMark/>
          </w:tcPr>
          <w:p w14:paraId="053F0FFC" w14:textId="7E6DB461" w:rsidR="004D15A9" w:rsidRPr="00BC2633" w:rsidRDefault="005B7142"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569A45C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659"/>
        <w:gridCol w:w="5944"/>
      </w:tblGrid>
      <w:tr w:rsidR="00BC2633" w:rsidRPr="00BC2633" w14:paraId="052FAB11" w14:textId="77777777"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772ABA4"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VII. Tiesību akta projekta izpildes nodrošināšana un tās ietekme uz institūcijām</w:t>
            </w:r>
          </w:p>
        </w:tc>
      </w:tr>
      <w:tr w:rsidR="00BC2633" w:rsidRPr="00BC2633" w14:paraId="5F7D14F9" w14:textId="77777777" w:rsidTr="003803BC">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10C261A7"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468" w:type="pct"/>
            <w:tcBorders>
              <w:top w:val="outset" w:sz="6" w:space="0" w:color="414142"/>
              <w:left w:val="outset" w:sz="6" w:space="0" w:color="414142"/>
              <w:bottom w:val="outset" w:sz="6" w:space="0" w:color="414142"/>
              <w:right w:val="outset" w:sz="6" w:space="0" w:color="414142"/>
            </w:tcBorders>
            <w:hideMark/>
          </w:tcPr>
          <w:p w14:paraId="0C28F92C"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Projekta izpildē iesaistītās institūcijas</w:t>
            </w:r>
          </w:p>
        </w:tc>
        <w:tc>
          <w:tcPr>
            <w:tcW w:w="3282" w:type="pct"/>
            <w:tcBorders>
              <w:top w:val="outset" w:sz="6" w:space="0" w:color="414142"/>
              <w:left w:val="outset" w:sz="6" w:space="0" w:color="414142"/>
              <w:bottom w:val="outset" w:sz="6" w:space="0" w:color="414142"/>
              <w:right w:val="outset" w:sz="6" w:space="0" w:color="414142"/>
            </w:tcBorders>
            <w:hideMark/>
          </w:tcPr>
          <w:p w14:paraId="1AEBB4A0" w14:textId="4604EB66" w:rsidR="005B7142" w:rsidRPr="00BC2633" w:rsidRDefault="005B7142" w:rsidP="0073730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Finanšu un kapitāla tirgus komisija.</w:t>
            </w:r>
          </w:p>
        </w:tc>
      </w:tr>
      <w:tr w:rsidR="00BC2633" w:rsidRPr="00BC2633" w14:paraId="67B81B5D" w14:textId="77777777" w:rsidTr="003803BC">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5C9A6CCC"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468" w:type="pct"/>
            <w:tcBorders>
              <w:top w:val="outset" w:sz="6" w:space="0" w:color="414142"/>
              <w:left w:val="outset" w:sz="6" w:space="0" w:color="414142"/>
              <w:bottom w:val="outset" w:sz="6" w:space="0" w:color="414142"/>
              <w:right w:val="outset" w:sz="6" w:space="0" w:color="414142"/>
            </w:tcBorders>
            <w:hideMark/>
          </w:tcPr>
          <w:p w14:paraId="2B4CADD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xml:space="preserve">Projekta izpildes ietekme uz pārvaldes funkcijām un institucionālo struktūru. </w:t>
            </w:r>
          </w:p>
          <w:p w14:paraId="37B6FCBC" w14:textId="77777777" w:rsidR="004D15A9" w:rsidRPr="00BC2633" w:rsidRDefault="004D15A9" w:rsidP="0042645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3282" w:type="pct"/>
            <w:tcBorders>
              <w:top w:val="outset" w:sz="6" w:space="0" w:color="414142"/>
              <w:left w:val="outset" w:sz="6" w:space="0" w:color="414142"/>
              <w:bottom w:val="outset" w:sz="6" w:space="0" w:color="414142"/>
              <w:right w:val="outset" w:sz="6" w:space="0" w:color="414142"/>
            </w:tcBorders>
            <w:hideMark/>
          </w:tcPr>
          <w:p w14:paraId="020A7F09" w14:textId="33CC2F85" w:rsidR="005B7142" w:rsidRPr="00BC2633" w:rsidRDefault="005B7142" w:rsidP="0073730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p>
        </w:tc>
      </w:tr>
      <w:tr w:rsidR="004D15A9" w:rsidRPr="00BC2633" w14:paraId="20A26466" w14:textId="77777777" w:rsidTr="003803BC">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1CFEA73D"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468" w:type="pct"/>
            <w:tcBorders>
              <w:top w:val="outset" w:sz="6" w:space="0" w:color="414142"/>
              <w:left w:val="outset" w:sz="6" w:space="0" w:color="414142"/>
              <w:bottom w:val="outset" w:sz="6" w:space="0" w:color="414142"/>
              <w:right w:val="outset" w:sz="6" w:space="0" w:color="414142"/>
            </w:tcBorders>
            <w:hideMark/>
          </w:tcPr>
          <w:p w14:paraId="7062A194"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282" w:type="pct"/>
            <w:tcBorders>
              <w:top w:val="outset" w:sz="6" w:space="0" w:color="414142"/>
              <w:left w:val="outset" w:sz="6" w:space="0" w:color="414142"/>
              <w:bottom w:val="outset" w:sz="6" w:space="0" w:color="414142"/>
              <w:right w:val="outset" w:sz="6" w:space="0" w:color="414142"/>
            </w:tcBorders>
            <w:hideMark/>
          </w:tcPr>
          <w:p w14:paraId="5BD54AC6" w14:textId="3ED1635E" w:rsidR="004D15A9" w:rsidRPr="00BC2633" w:rsidRDefault="005B7142" w:rsidP="0073730D">
            <w:pPr>
              <w:spacing w:after="0" w:line="240" w:lineRule="auto"/>
              <w:jc w:val="both"/>
              <w:rPr>
                <w:rFonts w:ascii="Times New Roman" w:eastAsia="Times New Roman" w:hAnsi="Times New Roman" w:cs="Times New Roman"/>
                <w:sz w:val="24"/>
                <w:szCs w:val="24"/>
                <w:lang w:eastAsia="lv-LV"/>
              </w:rPr>
            </w:pPr>
            <w:r w:rsidRPr="005E4D47">
              <w:rPr>
                <w:rFonts w:ascii="Times New Roman" w:eastAsia="Times New Roman" w:hAnsi="Times New Roman" w:cs="Times New Roman"/>
                <w:sz w:val="24"/>
                <w:szCs w:val="24"/>
                <w:lang w:eastAsia="lv-LV"/>
              </w:rPr>
              <w:t>Zvērinātiem revidentiem tiek paplašināts to dokumentu skaits, kas ir izvērtējami revīzijas pakalpojumu sniegšanas ietvaros. Zvērināti revidenti tām akciju sabiedrībām, kuras akcijas ir iekļautas regulētajā tirgū, papildus izvērtēs arī atalgojuma ziņojumu.</w:t>
            </w:r>
          </w:p>
        </w:tc>
      </w:tr>
    </w:tbl>
    <w:p w14:paraId="10F26810" w14:textId="77777777" w:rsidR="00BB1F46" w:rsidRPr="00BC2633" w:rsidRDefault="00BB1F46" w:rsidP="00DA596D">
      <w:pPr>
        <w:spacing w:after="0" w:line="240" w:lineRule="auto"/>
        <w:rPr>
          <w:rFonts w:ascii="Times New Roman" w:hAnsi="Times New Roman" w:cs="Times New Roman"/>
          <w:sz w:val="24"/>
          <w:szCs w:val="24"/>
        </w:rPr>
      </w:pPr>
    </w:p>
    <w:p w14:paraId="3E8EDA78" w14:textId="77777777" w:rsidR="004D15A9" w:rsidRPr="00BC2633" w:rsidRDefault="004D15A9" w:rsidP="00DA596D">
      <w:pPr>
        <w:spacing w:after="0" w:line="240" w:lineRule="auto"/>
        <w:rPr>
          <w:rFonts w:ascii="Times New Roman" w:hAnsi="Times New Roman" w:cs="Times New Roman"/>
          <w:sz w:val="24"/>
          <w:szCs w:val="24"/>
        </w:rPr>
      </w:pPr>
    </w:p>
    <w:p w14:paraId="21C7A017" w14:textId="77777777" w:rsidR="00FA2A06" w:rsidRPr="00BC2633" w:rsidRDefault="00FA2A06" w:rsidP="00FA2A06">
      <w:pPr>
        <w:pStyle w:val="StyleRight"/>
        <w:spacing w:after="0"/>
        <w:ind w:firstLine="0"/>
        <w:jc w:val="both"/>
        <w:rPr>
          <w:sz w:val="24"/>
          <w:szCs w:val="24"/>
        </w:rPr>
      </w:pPr>
      <w:r w:rsidRPr="00BC2633">
        <w:rPr>
          <w:sz w:val="24"/>
          <w:szCs w:val="24"/>
        </w:rPr>
        <w:t>Iesniedzējs:</w:t>
      </w:r>
    </w:p>
    <w:p w14:paraId="02555DE3" w14:textId="798DE4C4" w:rsidR="00FA2A06" w:rsidRPr="00BC2633" w:rsidRDefault="00FA2A06" w:rsidP="00FA2A06">
      <w:pPr>
        <w:pStyle w:val="StyleRight"/>
        <w:spacing w:after="0"/>
        <w:ind w:firstLine="0"/>
        <w:jc w:val="both"/>
        <w:rPr>
          <w:sz w:val="24"/>
          <w:szCs w:val="24"/>
        </w:rPr>
      </w:pPr>
      <w:r>
        <w:rPr>
          <w:sz w:val="24"/>
          <w:szCs w:val="24"/>
        </w:rPr>
        <w:t>Tieslietu ministrijas valsts sekretārs</w:t>
      </w:r>
      <w:r w:rsidRPr="00BC2633">
        <w:rPr>
          <w:sz w:val="24"/>
          <w:szCs w:val="24"/>
        </w:rPr>
        <w:tab/>
      </w:r>
      <w:r w:rsidRPr="00BC2633">
        <w:rPr>
          <w:sz w:val="24"/>
          <w:szCs w:val="24"/>
        </w:rPr>
        <w:tab/>
      </w:r>
      <w:r w:rsidRPr="00BC2633">
        <w:rPr>
          <w:sz w:val="24"/>
          <w:szCs w:val="24"/>
        </w:rPr>
        <w:tab/>
      </w:r>
      <w:r w:rsidRPr="00BC2633">
        <w:rPr>
          <w:sz w:val="24"/>
          <w:szCs w:val="24"/>
        </w:rPr>
        <w:tab/>
      </w:r>
      <w:r w:rsidRPr="00BC2633">
        <w:rPr>
          <w:sz w:val="24"/>
          <w:szCs w:val="24"/>
        </w:rPr>
        <w:tab/>
      </w:r>
      <w:r>
        <w:rPr>
          <w:sz w:val="24"/>
          <w:szCs w:val="24"/>
        </w:rPr>
        <w:t xml:space="preserve">  Raivis Kronbergs</w:t>
      </w:r>
    </w:p>
    <w:p w14:paraId="1FFF848A" w14:textId="77777777" w:rsidR="00FA2A06" w:rsidRDefault="00FA2A06" w:rsidP="00FA2A06">
      <w:pPr>
        <w:pStyle w:val="StyleRight"/>
        <w:spacing w:after="0"/>
        <w:ind w:firstLine="0"/>
        <w:jc w:val="both"/>
        <w:rPr>
          <w:sz w:val="24"/>
          <w:szCs w:val="24"/>
        </w:rPr>
      </w:pPr>
    </w:p>
    <w:p w14:paraId="288C6905" w14:textId="77777777" w:rsidR="00FA2A06" w:rsidRPr="007B1124" w:rsidRDefault="00FA2A06" w:rsidP="00FA2A06">
      <w:pPr>
        <w:pStyle w:val="StyleRight"/>
        <w:spacing w:after="0"/>
        <w:ind w:firstLine="0"/>
        <w:jc w:val="both"/>
        <w:rPr>
          <w:sz w:val="24"/>
          <w:szCs w:val="24"/>
        </w:rPr>
      </w:pPr>
    </w:p>
    <w:p w14:paraId="2DA5A8DA" w14:textId="2C2CF621" w:rsidR="00FA2A06" w:rsidRPr="00196BBF" w:rsidRDefault="00FA2A06" w:rsidP="00FA2A06">
      <w:pPr>
        <w:spacing w:after="0" w:line="240" w:lineRule="auto"/>
        <w:rPr>
          <w:rFonts w:ascii="Times New Roman" w:hAnsi="Times New Roman" w:cs="Times New Roman"/>
          <w:sz w:val="20"/>
          <w:szCs w:val="20"/>
        </w:rPr>
      </w:pPr>
      <w:r w:rsidRPr="00196BBF">
        <w:rPr>
          <w:rFonts w:ascii="Times New Roman" w:hAnsi="Times New Roman" w:cs="Times New Roman"/>
          <w:sz w:val="20"/>
          <w:szCs w:val="20"/>
        </w:rPr>
        <w:lastRenderedPageBreak/>
        <w:t>Latkovskis 67036953</w:t>
      </w:r>
    </w:p>
    <w:p w14:paraId="474B8A56" w14:textId="001A2D5F" w:rsidR="00FA2A06" w:rsidRPr="005E4D47" w:rsidRDefault="00FA2A06" w:rsidP="00FA2A06">
      <w:pPr>
        <w:spacing w:after="0" w:line="240" w:lineRule="auto"/>
        <w:rPr>
          <w:rFonts w:ascii="Times New Roman" w:hAnsi="Times New Roman" w:cs="Times New Roman"/>
          <w:sz w:val="20"/>
          <w:szCs w:val="20"/>
        </w:rPr>
      </w:pPr>
      <w:r w:rsidRPr="005E4D47">
        <w:rPr>
          <w:rFonts w:ascii="Times New Roman" w:hAnsi="Times New Roman" w:cs="Times New Roman"/>
          <w:sz w:val="20"/>
          <w:szCs w:val="20"/>
        </w:rPr>
        <w:t>Aivars.Latkovskis@tm.gov.lv</w:t>
      </w:r>
    </w:p>
    <w:p w14:paraId="3806E899" w14:textId="77777777" w:rsidR="00FA2A06" w:rsidRPr="005E4D47" w:rsidRDefault="00FA2A06" w:rsidP="00FA2A06">
      <w:pPr>
        <w:spacing w:after="0" w:line="240" w:lineRule="auto"/>
        <w:rPr>
          <w:rFonts w:ascii="Times New Roman" w:hAnsi="Times New Roman" w:cs="Times New Roman"/>
          <w:sz w:val="20"/>
          <w:szCs w:val="20"/>
        </w:rPr>
      </w:pPr>
    </w:p>
    <w:p w14:paraId="7C1609DF" w14:textId="4EA8AA42" w:rsidR="00FA2A06" w:rsidRPr="005E4D47" w:rsidRDefault="00FA2A06" w:rsidP="00FA2A06">
      <w:pPr>
        <w:pStyle w:val="Bezatstarpm"/>
        <w:rPr>
          <w:rFonts w:ascii="Times New Roman" w:hAnsi="Times New Roman" w:cs="Times New Roman"/>
          <w:sz w:val="20"/>
          <w:szCs w:val="20"/>
          <w:lang w:eastAsia="lv-LV"/>
        </w:rPr>
      </w:pPr>
      <w:r w:rsidRPr="005E4D47">
        <w:rPr>
          <w:rFonts w:ascii="Times New Roman" w:hAnsi="Times New Roman" w:cs="Times New Roman"/>
          <w:sz w:val="20"/>
          <w:szCs w:val="20"/>
          <w:lang w:eastAsia="lv-LV"/>
        </w:rPr>
        <w:t>Vecozols 67774941</w:t>
      </w:r>
    </w:p>
    <w:p w14:paraId="7485BD79" w14:textId="0E186096" w:rsidR="00FA2A06" w:rsidRPr="005E4D47" w:rsidRDefault="00FA2A06" w:rsidP="00FA2A06">
      <w:pPr>
        <w:pStyle w:val="Bezatstarpm"/>
        <w:rPr>
          <w:rFonts w:ascii="Times New Roman" w:hAnsi="Times New Roman" w:cs="Times New Roman"/>
          <w:sz w:val="20"/>
          <w:szCs w:val="20"/>
        </w:rPr>
      </w:pPr>
      <w:r w:rsidRPr="005E4D47">
        <w:rPr>
          <w:rFonts w:ascii="Times New Roman" w:hAnsi="Times New Roman" w:cs="Times New Roman"/>
          <w:sz w:val="20"/>
          <w:szCs w:val="20"/>
        </w:rPr>
        <w:t>Kaspars.Vecozols@fktk.lv</w:t>
      </w:r>
    </w:p>
    <w:sectPr w:rsidR="00FA2A06" w:rsidRPr="005E4D47" w:rsidSect="00F13E2B">
      <w:headerReference w:type="default" r:id="rId12"/>
      <w:footerReference w:type="default" r:id="rId13"/>
      <w:footerReference w:type="first" r:id="rId14"/>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3DE2D" w14:textId="77777777" w:rsidR="00B103C5" w:rsidRDefault="00B103C5" w:rsidP="004D15A9">
      <w:pPr>
        <w:spacing w:after="0" w:line="240" w:lineRule="auto"/>
      </w:pPr>
      <w:r>
        <w:separator/>
      </w:r>
    </w:p>
  </w:endnote>
  <w:endnote w:type="continuationSeparator" w:id="0">
    <w:p w14:paraId="5926F3BB" w14:textId="77777777" w:rsidR="00B103C5" w:rsidRDefault="00B103C5" w:rsidP="004D15A9">
      <w:pPr>
        <w:spacing w:after="0" w:line="240" w:lineRule="auto"/>
      </w:pPr>
      <w:r>
        <w:continuationSeparator/>
      </w:r>
    </w:p>
  </w:endnote>
  <w:endnote w:type="continuationNotice" w:id="1">
    <w:p w14:paraId="17EE2D8B" w14:textId="77777777" w:rsidR="00B103C5" w:rsidRDefault="00B103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089F3" w14:textId="77777777" w:rsidR="00B103C5" w:rsidRDefault="00B103C5" w:rsidP="0042645D">
    <w:pPr>
      <w:pStyle w:val="Kjene"/>
      <w:rPr>
        <w:rFonts w:ascii="Times New Roman" w:hAnsi="Times New Roman" w:cs="Times New Roman"/>
        <w:sz w:val="20"/>
        <w:szCs w:val="20"/>
      </w:rPr>
    </w:pPr>
  </w:p>
  <w:p w14:paraId="6A190106" w14:textId="5BD1C819" w:rsidR="00B103C5" w:rsidRPr="0042645D" w:rsidRDefault="00B103C5" w:rsidP="0042645D">
    <w:pPr>
      <w:pStyle w:val="Kjene"/>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sidR="00B921FC">
      <w:rPr>
        <w:rFonts w:ascii="Times New Roman" w:hAnsi="Times New Roman" w:cs="Times New Roman"/>
        <w:noProof/>
        <w:sz w:val="20"/>
        <w:szCs w:val="20"/>
      </w:rPr>
      <w:t>TMAnot_291018_FITL</w:t>
    </w:r>
    <w:r w:rsidRPr="0042645D">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4F658" w14:textId="174ACDBA" w:rsidR="00B103C5" w:rsidRPr="0042645D" w:rsidRDefault="00B103C5" w:rsidP="0042645D">
    <w:pPr>
      <w:pStyle w:val="Kjene"/>
      <w:rPr>
        <w:rFonts w:ascii="Times New Roman" w:hAnsi="Times New Roman" w:cs="Times New Roman"/>
        <w:sz w:val="20"/>
        <w:szCs w:val="20"/>
      </w:rPr>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sidR="00B921FC">
      <w:rPr>
        <w:rFonts w:ascii="Times New Roman" w:hAnsi="Times New Roman" w:cs="Times New Roman"/>
        <w:noProof/>
        <w:sz w:val="20"/>
        <w:szCs w:val="20"/>
      </w:rPr>
      <w:t>TMAnot_291018_FITL</w:t>
    </w:r>
    <w:r w:rsidRPr="0042645D">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3EBB7" w14:textId="77777777" w:rsidR="00B103C5" w:rsidRDefault="00B103C5" w:rsidP="004D15A9">
      <w:pPr>
        <w:spacing w:after="0" w:line="240" w:lineRule="auto"/>
      </w:pPr>
      <w:r>
        <w:separator/>
      </w:r>
    </w:p>
  </w:footnote>
  <w:footnote w:type="continuationSeparator" w:id="0">
    <w:p w14:paraId="70ED9541" w14:textId="77777777" w:rsidR="00B103C5" w:rsidRDefault="00B103C5" w:rsidP="004D15A9">
      <w:pPr>
        <w:spacing w:after="0" w:line="240" w:lineRule="auto"/>
      </w:pPr>
      <w:r>
        <w:continuationSeparator/>
      </w:r>
    </w:p>
  </w:footnote>
  <w:footnote w:type="continuationNotice" w:id="1">
    <w:p w14:paraId="0AF7387E" w14:textId="77777777" w:rsidR="00B103C5" w:rsidRDefault="00B103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230928"/>
      <w:docPartObj>
        <w:docPartGallery w:val="Page Numbers (Top of Page)"/>
        <w:docPartUnique/>
      </w:docPartObj>
    </w:sdtPr>
    <w:sdtEndPr>
      <w:rPr>
        <w:rFonts w:ascii="Times New Roman" w:hAnsi="Times New Roman" w:cs="Times New Roman"/>
        <w:sz w:val="24"/>
        <w:szCs w:val="24"/>
      </w:rPr>
    </w:sdtEndPr>
    <w:sdtContent>
      <w:p w14:paraId="3D63889F" w14:textId="7964063A" w:rsidR="00B103C5" w:rsidRPr="004D15A9" w:rsidRDefault="00B103C5">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Pr>
            <w:rFonts w:ascii="Times New Roman" w:hAnsi="Times New Roman" w:cs="Times New Roman"/>
            <w:noProof/>
            <w:sz w:val="24"/>
            <w:szCs w:val="24"/>
          </w:rPr>
          <w:t>7</w:t>
        </w:r>
        <w:r w:rsidRPr="004D15A9">
          <w:rPr>
            <w:rFonts w:ascii="Times New Roman" w:hAnsi="Times New Roman" w:cs="Times New Roman"/>
            <w:sz w:val="24"/>
            <w:szCs w:val="24"/>
          </w:rPr>
          <w:fldChar w:fldCharType="end"/>
        </w:r>
      </w:p>
    </w:sdtContent>
  </w:sdt>
  <w:p w14:paraId="2E7D154D" w14:textId="77777777" w:rsidR="00B103C5" w:rsidRDefault="00B103C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A9"/>
    <w:rsid w:val="00003E85"/>
    <w:rsid w:val="00026897"/>
    <w:rsid w:val="00031256"/>
    <w:rsid w:val="00031DA0"/>
    <w:rsid w:val="000437CF"/>
    <w:rsid w:val="00052720"/>
    <w:rsid w:val="00052DF6"/>
    <w:rsid w:val="0005362A"/>
    <w:rsid w:val="0006071D"/>
    <w:rsid w:val="00063AB4"/>
    <w:rsid w:val="0006465E"/>
    <w:rsid w:val="0007048A"/>
    <w:rsid w:val="00071E16"/>
    <w:rsid w:val="00072CA6"/>
    <w:rsid w:val="00084207"/>
    <w:rsid w:val="00090E38"/>
    <w:rsid w:val="000B1D33"/>
    <w:rsid w:val="000C76C5"/>
    <w:rsid w:val="000E3461"/>
    <w:rsid w:val="000E42FD"/>
    <w:rsid w:val="000F59FE"/>
    <w:rsid w:val="00101CD5"/>
    <w:rsid w:val="001173D3"/>
    <w:rsid w:val="0013226A"/>
    <w:rsid w:val="001373E6"/>
    <w:rsid w:val="0015263A"/>
    <w:rsid w:val="00156AA9"/>
    <w:rsid w:val="0017177C"/>
    <w:rsid w:val="00196BBF"/>
    <w:rsid w:val="001A1DE0"/>
    <w:rsid w:val="001A1FB6"/>
    <w:rsid w:val="001A3A5D"/>
    <w:rsid w:val="001A4B83"/>
    <w:rsid w:val="001C5969"/>
    <w:rsid w:val="001E3E3B"/>
    <w:rsid w:val="001E64A9"/>
    <w:rsid w:val="001F1D26"/>
    <w:rsid w:val="001F4D3C"/>
    <w:rsid w:val="001F68D7"/>
    <w:rsid w:val="00220682"/>
    <w:rsid w:val="002279F0"/>
    <w:rsid w:val="00264B18"/>
    <w:rsid w:val="00265ECB"/>
    <w:rsid w:val="00270B2B"/>
    <w:rsid w:val="0027620B"/>
    <w:rsid w:val="00282F7D"/>
    <w:rsid w:val="00283E1C"/>
    <w:rsid w:val="00290466"/>
    <w:rsid w:val="00293ACB"/>
    <w:rsid w:val="002B5D8D"/>
    <w:rsid w:val="002D6AFB"/>
    <w:rsid w:val="002E3174"/>
    <w:rsid w:val="002F7339"/>
    <w:rsid w:val="003065DE"/>
    <w:rsid w:val="00312898"/>
    <w:rsid w:val="00313E2C"/>
    <w:rsid w:val="00315E7A"/>
    <w:rsid w:val="00322A62"/>
    <w:rsid w:val="003323DB"/>
    <w:rsid w:val="00333F7B"/>
    <w:rsid w:val="00334ABB"/>
    <w:rsid w:val="00337D85"/>
    <w:rsid w:val="003444D3"/>
    <w:rsid w:val="00353AFA"/>
    <w:rsid w:val="00355F5C"/>
    <w:rsid w:val="003661B4"/>
    <w:rsid w:val="003803BC"/>
    <w:rsid w:val="00391718"/>
    <w:rsid w:val="003922B0"/>
    <w:rsid w:val="003943A8"/>
    <w:rsid w:val="003A2A0B"/>
    <w:rsid w:val="003A41E8"/>
    <w:rsid w:val="003A5206"/>
    <w:rsid w:val="003A5CA3"/>
    <w:rsid w:val="003B2359"/>
    <w:rsid w:val="003B6B3E"/>
    <w:rsid w:val="003C170D"/>
    <w:rsid w:val="003D200F"/>
    <w:rsid w:val="003E18D3"/>
    <w:rsid w:val="003E752C"/>
    <w:rsid w:val="003E7D54"/>
    <w:rsid w:val="003F69C2"/>
    <w:rsid w:val="003F6DA2"/>
    <w:rsid w:val="00401BD5"/>
    <w:rsid w:val="00404D01"/>
    <w:rsid w:val="00410612"/>
    <w:rsid w:val="00415104"/>
    <w:rsid w:val="004263E7"/>
    <w:rsid w:val="0042645D"/>
    <w:rsid w:val="0043541A"/>
    <w:rsid w:val="004375DC"/>
    <w:rsid w:val="00443949"/>
    <w:rsid w:val="00455067"/>
    <w:rsid w:val="00457C45"/>
    <w:rsid w:val="00461275"/>
    <w:rsid w:val="00484FCC"/>
    <w:rsid w:val="00487593"/>
    <w:rsid w:val="00487D95"/>
    <w:rsid w:val="004B4A97"/>
    <w:rsid w:val="004C37BA"/>
    <w:rsid w:val="004C3B12"/>
    <w:rsid w:val="004D15A9"/>
    <w:rsid w:val="004D20F0"/>
    <w:rsid w:val="004F1B4D"/>
    <w:rsid w:val="004F2115"/>
    <w:rsid w:val="004F3296"/>
    <w:rsid w:val="00515CEE"/>
    <w:rsid w:val="00522039"/>
    <w:rsid w:val="005343A8"/>
    <w:rsid w:val="0055294A"/>
    <w:rsid w:val="005560A8"/>
    <w:rsid w:val="0056459F"/>
    <w:rsid w:val="005817FD"/>
    <w:rsid w:val="005839C8"/>
    <w:rsid w:val="00586AE8"/>
    <w:rsid w:val="0059057E"/>
    <w:rsid w:val="005B7142"/>
    <w:rsid w:val="005C0266"/>
    <w:rsid w:val="005D4E8A"/>
    <w:rsid w:val="005E4D47"/>
    <w:rsid w:val="005E6583"/>
    <w:rsid w:val="005F0729"/>
    <w:rsid w:val="006042EE"/>
    <w:rsid w:val="00612A92"/>
    <w:rsid w:val="00616762"/>
    <w:rsid w:val="00627FEA"/>
    <w:rsid w:val="00637BF2"/>
    <w:rsid w:val="006439DF"/>
    <w:rsid w:val="00657500"/>
    <w:rsid w:val="006641E1"/>
    <w:rsid w:val="006746E7"/>
    <w:rsid w:val="00684A8B"/>
    <w:rsid w:val="006879C0"/>
    <w:rsid w:val="00687E59"/>
    <w:rsid w:val="00690CE0"/>
    <w:rsid w:val="006914CD"/>
    <w:rsid w:val="006B117A"/>
    <w:rsid w:val="006C440E"/>
    <w:rsid w:val="006C7052"/>
    <w:rsid w:val="006D1824"/>
    <w:rsid w:val="006E6ADA"/>
    <w:rsid w:val="006F69BA"/>
    <w:rsid w:val="00700530"/>
    <w:rsid w:val="007047F3"/>
    <w:rsid w:val="00707C61"/>
    <w:rsid w:val="00715506"/>
    <w:rsid w:val="00725ACB"/>
    <w:rsid w:val="00731578"/>
    <w:rsid w:val="0073425A"/>
    <w:rsid w:val="0073730D"/>
    <w:rsid w:val="0074013C"/>
    <w:rsid w:val="00746269"/>
    <w:rsid w:val="0075497C"/>
    <w:rsid w:val="00757522"/>
    <w:rsid w:val="007721C4"/>
    <w:rsid w:val="00774408"/>
    <w:rsid w:val="007770C4"/>
    <w:rsid w:val="00782AB0"/>
    <w:rsid w:val="00793180"/>
    <w:rsid w:val="00796D6E"/>
    <w:rsid w:val="007C1C5B"/>
    <w:rsid w:val="007C66CC"/>
    <w:rsid w:val="007C76FD"/>
    <w:rsid w:val="007D2656"/>
    <w:rsid w:val="007E3F61"/>
    <w:rsid w:val="0081203F"/>
    <w:rsid w:val="00836093"/>
    <w:rsid w:val="00840A5F"/>
    <w:rsid w:val="00841836"/>
    <w:rsid w:val="0085549F"/>
    <w:rsid w:val="008647AB"/>
    <w:rsid w:val="008714D4"/>
    <w:rsid w:val="008721B7"/>
    <w:rsid w:val="0087437F"/>
    <w:rsid w:val="00876484"/>
    <w:rsid w:val="008826E9"/>
    <w:rsid w:val="008837F0"/>
    <w:rsid w:val="008879DC"/>
    <w:rsid w:val="008A2AA3"/>
    <w:rsid w:val="008A3EF8"/>
    <w:rsid w:val="008A55F6"/>
    <w:rsid w:val="008B04CC"/>
    <w:rsid w:val="008B10D4"/>
    <w:rsid w:val="008C6E2A"/>
    <w:rsid w:val="008D0E01"/>
    <w:rsid w:val="008D2647"/>
    <w:rsid w:val="008D783E"/>
    <w:rsid w:val="008E1F55"/>
    <w:rsid w:val="008E4E93"/>
    <w:rsid w:val="008E78B2"/>
    <w:rsid w:val="00964EA7"/>
    <w:rsid w:val="00971151"/>
    <w:rsid w:val="00974FAB"/>
    <w:rsid w:val="0097690A"/>
    <w:rsid w:val="00983B4A"/>
    <w:rsid w:val="00997954"/>
    <w:rsid w:val="009A6EF5"/>
    <w:rsid w:val="009B6A57"/>
    <w:rsid w:val="009C65D1"/>
    <w:rsid w:val="009D0F74"/>
    <w:rsid w:val="009D60E2"/>
    <w:rsid w:val="009E165A"/>
    <w:rsid w:val="009E2029"/>
    <w:rsid w:val="009F14B6"/>
    <w:rsid w:val="00A06071"/>
    <w:rsid w:val="00A1552F"/>
    <w:rsid w:val="00A25254"/>
    <w:rsid w:val="00A274AD"/>
    <w:rsid w:val="00A42F06"/>
    <w:rsid w:val="00A61AF5"/>
    <w:rsid w:val="00A62860"/>
    <w:rsid w:val="00A6361A"/>
    <w:rsid w:val="00A67728"/>
    <w:rsid w:val="00A80FBE"/>
    <w:rsid w:val="00A855AA"/>
    <w:rsid w:val="00AB51F6"/>
    <w:rsid w:val="00AB6562"/>
    <w:rsid w:val="00AE3A91"/>
    <w:rsid w:val="00B103C5"/>
    <w:rsid w:val="00B13108"/>
    <w:rsid w:val="00B239B2"/>
    <w:rsid w:val="00B24B2E"/>
    <w:rsid w:val="00B31618"/>
    <w:rsid w:val="00B44DFD"/>
    <w:rsid w:val="00B47BB6"/>
    <w:rsid w:val="00B57625"/>
    <w:rsid w:val="00B57BEE"/>
    <w:rsid w:val="00B6562F"/>
    <w:rsid w:val="00B72C9E"/>
    <w:rsid w:val="00B816D1"/>
    <w:rsid w:val="00B81C6E"/>
    <w:rsid w:val="00B83C87"/>
    <w:rsid w:val="00B921FC"/>
    <w:rsid w:val="00BB0E46"/>
    <w:rsid w:val="00BB1F46"/>
    <w:rsid w:val="00BB3438"/>
    <w:rsid w:val="00BC2633"/>
    <w:rsid w:val="00BE3125"/>
    <w:rsid w:val="00BE3EA3"/>
    <w:rsid w:val="00BF327D"/>
    <w:rsid w:val="00BF3A34"/>
    <w:rsid w:val="00C05F91"/>
    <w:rsid w:val="00C22140"/>
    <w:rsid w:val="00C2218D"/>
    <w:rsid w:val="00C26239"/>
    <w:rsid w:val="00C30310"/>
    <w:rsid w:val="00C31C20"/>
    <w:rsid w:val="00C3229B"/>
    <w:rsid w:val="00C329B3"/>
    <w:rsid w:val="00C34B83"/>
    <w:rsid w:val="00C70318"/>
    <w:rsid w:val="00C85166"/>
    <w:rsid w:val="00C86F7E"/>
    <w:rsid w:val="00CA7041"/>
    <w:rsid w:val="00CB0743"/>
    <w:rsid w:val="00CB4D0B"/>
    <w:rsid w:val="00CB676F"/>
    <w:rsid w:val="00CB731C"/>
    <w:rsid w:val="00CC428F"/>
    <w:rsid w:val="00CF69CA"/>
    <w:rsid w:val="00CF7FD4"/>
    <w:rsid w:val="00D0170B"/>
    <w:rsid w:val="00D025D1"/>
    <w:rsid w:val="00D05F14"/>
    <w:rsid w:val="00D1107A"/>
    <w:rsid w:val="00D123FF"/>
    <w:rsid w:val="00D12B67"/>
    <w:rsid w:val="00D16B0E"/>
    <w:rsid w:val="00D2698B"/>
    <w:rsid w:val="00D313D5"/>
    <w:rsid w:val="00D3447A"/>
    <w:rsid w:val="00D359CA"/>
    <w:rsid w:val="00D373BB"/>
    <w:rsid w:val="00D43D86"/>
    <w:rsid w:val="00D51361"/>
    <w:rsid w:val="00D61E0D"/>
    <w:rsid w:val="00D908B5"/>
    <w:rsid w:val="00DA326E"/>
    <w:rsid w:val="00DA52AC"/>
    <w:rsid w:val="00DA596D"/>
    <w:rsid w:val="00DA61E1"/>
    <w:rsid w:val="00DE4330"/>
    <w:rsid w:val="00DE5932"/>
    <w:rsid w:val="00DE78C6"/>
    <w:rsid w:val="00E1379B"/>
    <w:rsid w:val="00E23292"/>
    <w:rsid w:val="00E43386"/>
    <w:rsid w:val="00E44C94"/>
    <w:rsid w:val="00E45959"/>
    <w:rsid w:val="00E557CC"/>
    <w:rsid w:val="00E5586E"/>
    <w:rsid w:val="00E61BE5"/>
    <w:rsid w:val="00E67149"/>
    <w:rsid w:val="00E75240"/>
    <w:rsid w:val="00E806AE"/>
    <w:rsid w:val="00E8272E"/>
    <w:rsid w:val="00E83201"/>
    <w:rsid w:val="00E8622A"/>
    <w:rsid w:val="00E9126A"/>
    <w:rsid w:val="00E9181C"/>
    <w:rsid w:val="00EA01D2"/>
    <w:rsid w:val="00EB4318"/>
    <w:rsid w:val="00EBE697"/>
    <w:rsid w:val="00EC0226"/>
    <w:rsid w:val="00EC2332"/>
    <w:rsid w:val="00ED0FE5"/>
    <w:rsid w:val="00ED573E"/>
    <w:rsid w:val="00EF7667"/>
    <w:rsid w:val="00F00244"/>
    <w:rsid w:val="00F04C12"/>
    <w:rsid w:val="00F13E2B"/>
    <w:rsid w:val="00F37099"/>
    <w:rsid w:val="00F42766"/>
    <w:rsid w:val="00F44902"/>
    <w:rsid w:val="00F50CE9"/>
    <w:rsid w:val="00F574EA"/>
    <w:rsid w:val="00F64E5A"/>
    <w:rsid w:val="00F81FF6"/>
    <w:rsid w:val="00F85AA6"/>
    <w:rsid w:val="00F91583"/>
    <w:rsid w:val="00FA259D"/>
    <w:rsid w:val="00FA2A06"/>
    <w:rsid w:val="00FA5740"/>
    <w:rsid w:val="00FA7947"/>
    <w:rsid w:val="00FB2959"/>
    <w:rsid w:val="00FB2E62"/>
    <w:rsid w:val="00FB41B8"/>
    <w:rsid w:val="00FB6858"/>
    <w:rsid w:val="00FB7065"/>
    <w:rsid w:val="01528445"/>
    <w:rsid w:val="025BD873"/>
    <w:rsid w:val="04F8EBCF"/>
    <w:rsid w:val="05234AE6"/>
    <w:rsid w:val="07D6CAD9"/>
    <w:rsid w:val="0A82DA76"/>
    <w:rsid w:val="0B6C8817"/>
    <w:rsid w:val="0D37C6C2"/>
    <w:rsid w:val="0F31D732"/>
    <w:rsid w:val="0F69A06C"/>
    <w:rsid w:val="105F8C99"/>
    <w:rsid w:val="113A8DAB"/>
    <w:rsid w:val="12167E6F"/>
    <w:rsid w:val="12956E20"/>
    <w:rsid w:val="12D23861"/>
    <w:rsid w:val="12D7DEBB"/>
    <w:rsid w:val="12FB319A"/>
    <w:rsid w:val="138C0969"/>
    <w:rsid w:val="148E3919"/>
    <w:rsid w:val="149A89B6"/>
    <w:rsid w:val="153FED0D"/>
    <w:rsid w:val="19174A0B"/>
    <w:rsid w:val="19280395"/>
    <w:rsid w:val="19592FF7"/>
    <w:rsid w:val="1BA5E260"/>
    <w:rsid w:val="1CB73AEC"/>
    <w:rsid w:val="1D2FEED0"/>
    <w:rsid w:val="1DE19A6E"/>
    <w:rsid w:val="1EA6C154"/>
    <w:rsid w:val="1F8A6398"/>
    <w:rsid w:val="21239330"/>
    <w:rsid w:val="22068EA8"/>
    <w:rsid w:val="22D18D91"/>
    <w:rsid w:val="2334293E"/>
    <w:rsid w:val="24C45906"/>
    <w:rsid w:val="257706D1"/>
    <w:rsid w:val="25FDFF57"/>
    <w:rsid w:val="27962BB6"/>
    <w:rsid w:val="27C11B6E"/>
    <w:rsid w:val="285ABB24"/>
    <w:rsid w:val="28ECCC7B"/>
    <w:rsid w:val="294D020E"/>
    <w:rsid w:val="29AE8489"/>
    <w:rsid w:val="2B5FE02D"/>
    <w:rsid w:val="2F546E31"/>
    <w:rsid w:val="2F97DE69"/>
    <w:rsid w:val="31AFF83E"/>
    <w:rsid w:val="32A66D7F"/>
    <w:rsid w:val="34663612"/>
    <w:rsid w:val="37A1F42F"/>
    <w:rsid w:val="3824561D"/>
    <w:rsid w:val="39B2234E"/>
    <w:rsid w:val="3A7A91E2"/>
    <w:rsid w:val="3F2947A4"/>
    <w:rsid w:val="40E6F736"/>
    <w:rsid w:val="4170EEE3"/>
    <w:rsid w:val="451C62BF"/>
    <w:rsid w:val="45654573"/>
    <w:rsid w:val="4579AE60"/>
    <w:rsid w:val="47F8BA9F"/>
    <w:rsid w:val="486D531C"/>
    <w:rsid w:val="48D7C7F9"/>
    <w:rsid w:val="4B3F64AE"/>
    <w:rsid w:val="4C8C92A3"/>
    <w:rsid w:val="5200C6B9"/>
    <w:rsid w:val="529A8841"/>
    <w:rsid w:val="53766B89"/>
    <w:rsid w:val="53AB3D23"/>
    <w:rsid w:val="54FE35C9"/>
    <w:rsid w:val="561ADD89"/>
    <w:rsid w:val="56B34A32"/>
    <w:rsid w:val="56D3BB35"/>
    <w:rsid w:val="57DDD3C5"/>
    <w:rsid w:val="5B7455AB"/>
    <w:rsid w:val="5C054864"/>
    <w:rsid w:val="5DC1A4E7"/>
    <w:rsid w:val="61145BAC"/>
    <w:rsid w:val="61F46D5F"/>
    <w:rsid w:val="62DBFEBC"/>
    <w:rsid w:val="64DB5A0C"/>
    <w:rsid w:val="65DC7FCA"/>
    <w:rsid w:val="66994169"/>
    <w:rsid w:val="6919938C"/>
    <w:rsid w:val="692B0BCC"/>
    <w:rsid w:val="69DAB32C"/>
    <w:rsid w:val="6AA0CB40"/>
    <w:rsid w:val="6AC822AB"/>
    <w:rsid w:val="6BD4B217"/>
    <w:rsid w:val="6ED99098"/>
    <w:rsid w:val="7074FE11"/>
    <w:rsid w:val="72A7F619"/>
    <w:rsid w:val="7AC721E9"/>
    <w:rsid w:val="7B40ADEE"/>
    <w:rsid w:val="7EE11621"/>
    <w:rsid w:val="7F3E9D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042E54"/>
  <w15:docId w15:val="{6AD91CD8-A681-4F46-A661-4A1A3AD7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BF3A34"/>
    <w:rPr>
      <w:color w:val="800080" w:themeColor="followedHyperlink"/>
      <w:u w:val="single"/>
    </w:rPr>
  </w:style>
  <w:style w:type="character" w:styleId="Komentraatsauce">
    <w:name w:val="annotation reference"/>
    <w:basedOn w:val="Noklusjumarindkopasfonts"/>
    <w:uiPriority w:val="99"/>
    <w:semiHidden/>
    <w:unhideWhenUsed/>
    <w:rsid w:val="008E78B2"/>
    <w:rPr>
      <w:sz w:val="16"/>
      <w:szCs w:val="16"/>
    </w:rPr>
  </w:style>
  <w:style w:type="paragraph" w:styleId="Komentrateksts">
    <w:name w:val="annotation text"/>
    <w:basedOn w:val="Parasts"/>
    <w:link w:val="KomentratekstsRakstz"/>
    <w:uiPriority w:val="99"/>
    <w:semiHidden/>
    <w:unhideWhenUsed/>
    <w:rsid w:val="008E78B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E78B2"/>
    <w:rPr>
      <w:sz w:val="20"/>
      <w:szCs w:val="20"/>
    </w:rPr>
  </w:style>
  <w:style w:type="paragraph" w:styleId="Komentratma">
    <w:name w:val="annotation subject"/>
    <w:basedOn w:val="Komentrateksts"/>
    <w:next w:val="Komentrateksts"/>
    <w:link w:val="KomentratmaRakstz"/>
    <w:uiPriority w:val="99"/>
    <w:semiHidden/>
    <w:unhideWhenUsed/>
    <w:rsid w:val="008E78B2"/>
    <w:rPr>
      <w:b/>
      <w:bCs/>
    </w:rPr>
  </w:style>
  <w:style w:type="character" w:customStyle="1" w:styleId="KomentratmaRakstz">
    <w:name w:val="Komentāra tēma Rakstz."/>
    <w:basedOn w:val="KomentratekstsRakstz"/>
    <w:link w:val="Komentratma"/>
    <w:uiPriority w:val="99"/>
    <w:semiHidden/>
    <w:rsid w:val="008E78B2"/>
    <w:rPr>
      <w:b/>
      <w:bCs/>
      <w:sz w:val="20"/>
      <w:szCs w:val="20"/>
    </w:rPr>
  </w:style>
  <w:style w:type="paragraph" w:styleId="Bezatstarpm">
    <w:name w:val="No Spacing"/>
    <w:uiPriority w:val="1"/>
    <w:qFormat/>
    <w:rsid w:val="00F37099"/>
    <w:pPr>
      <w:spacing w:after="0" w:line="240" w:lineRule="auto"/>
    </w:pPr>
  </w:style>
  <w:style w:type="paragraph" w:customStyle="1" w:styleId="doc-ti2">
    <w:name w:val="doc-ti2"/>
    <w:basedOn w:val="Parasts"/>
    <w:rsid w:val="00757522"/>
    <w:pPr>
      <w:spacing w:before="240" w:after="120" w:line="312" w:lineRule="atLeast"/>
      <w:jc w:val="center"/>
    </w:pPr>
    <w:rPr>
      <w:rFonts w:ascii="Times New Roman" w:eastAsia="Times New Roman" w:hAnsi="Times New Roman" w:cs="Times New Roman"/>
      <w:b/>
      <w:bCs/>
      <w:sz w:val="24"/>
      <w:szCs w:val="24"/>
      <w:lang w:eastAsia="lv-LV"/>
    </w:rPr>
  </w:style>
  <w:style w:type="character" w:customStyle="1" w:styleId="highlight">
    <w:name w:val="highlight"/>
    <w:basedOn w:val="Noklusjumarindkopasfonts"/>
    <w:rsid w:val="009A6EF5"/>
    <w:rPr>
      <w:shd w:val="clear" w:color="auto" w:fill="FFFF00"/>
    </w:rPr>
  </w:style>
  <w:style w:type="paragraph" w:customStyle="1" w:styleId="title-doc-first2">
    <w:name w:val="title-doc-first2"/>
    <w:basedOn w:val="Parasts"/>
    <w:rsid w:val="009A6EF5"/>
    <w:pPr>
      <w:spacing w:before="120" w:after="0" w:line="312" w:lineRule="atLeast"/>
      <w:jc w:val="center"/>
    </w:pPr>
    <w:rPr>
      <w:rFonts w:ascii="Times New Roman" w:eastAsia="Times New Roman" w:hAnsi="Times New Roman" w:cs="Times New Roman"/>
      <w:b/>
      <w:bCs/>
      <w:sz w:val="24"/>
      <w:szCs w:val="24"/>
      <w:lang w:eastAsia="lv-LV"/>
    </w:rPr>
  </w:style>
  <w:style w:type="paragraph" w:customStyle="1" w:styleId="title-doc-last2">
    <w:name w:val="title-doc-last2"/>
    <w:basedOn w:val="Parasts"/>
    <w:rsid w:val="009A6EF5"/>
    <w:pPr>
      <w:spacing w:before="120" w:after="0" w:line="312" w:lineRule="atLeast"/>
      <w:jc w:val="center"/>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443949"/>
    <w:rPr>
      <w:b/>
      <w:bCs/>
    </w:rPr>
  </w:style>
  <w:style w:type="character" w:customStyle="1" w:styleId="gmaildefault">
    <w:name w:val="gmail_default"/>
    <w:basedOn w:val="Noklusjumarindkopasfonts"/>
    <w:rsid w:val="00B10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157039999">
      <w:bodyDiv w:val="1"/>
      <w:marLeft w:val="0"/>
      <w:marRight w:val="0"/>
      <w:marTop w:val="0"/>
      <w:marBottom w:val="0"/>
      <w:divBdr>
        <w:top w:val="none" w:sz="0" w:space="0" w:color="auto"/>
        <w:left w:val="none" w:sz="0" w:space="0" w:color="auto"/>
        <w:bottom w:val="none" w:sz="0" w:space="0" w:color="auto"/>
        <w:right w:val="none" w:sz="0" w:space="0" w:color="auto"/>
      </w:divBdr>
      <w:divsChild>
        <w:div w:id="1455520967">
          <w:marLeft w:val="0"/>
          <w:marRight w:val="0"/>
          <w:marTop w:val="0"/>
          <w:marBottom w:val="0"/>
          <w:divBdr>
            <w:top w:val="none" w:sz="0" w:space="0" w:color="auto"/>
            <w:left w:val="none" w:sz="0" w:space="0" w:color="auto"/>
            <w:bottom w:val="none" w:sz="0" w:space="0" w:color="auto"/>
            <w:right w:val="none" w:sz="0" w:space="0" w:color="auto"/>
          </w:divBdr>
          <w:divsChild>
            <w:div w:id="659580083">
              <w:marLeft w:val="0"/>
              <w:marRight w:val="0"/>
              <w:marTop w:val="0"/>
              <w:marBottom w:val="0"/>
              <w:divBdr>
                <w:top w:val="none" w:sz="0" w:space="0" w:color="auto"/>
                <w:left w:val="none" w:sz="0" w:space="0" w:color="auto"/>
                <w:bottom w:val="none" w:sz="0" w:space="0" w:color="auto"/>
                <w:right w:val="none" w:sz="0" w:space="0" w:color="auto"/>
              </w:divBdr>
              <w:divsChild>
                <w:div w:id="557129054">
                  <w:marLeft w:val="0"/>
                  <w:marRight w:val="0"/>
                  <w:marTop w:val="0"/>
                  <w:marBottom w:val="0"/>
                  <w:divBdr>
                    <w:top w:val="none" w:sz="0" w:space="0" w:color="auto"/>
                    <w:left w:val="none" w:sz="0" w:space="0" w:color="auto"/>
                    <w:bottom w:val="none" w:sz="0" w:space="0" w:color="auto"/>
                    <w:right w:val="none" w:sz="0" w:space="0" w:color="auto"/>
                  </w:divBdr>
                  <w:divsChild>
                    <w:div w:id="243228392">
                      <w:marLeft w:val="-150"/>
                      <w:marRight w:val="-150"/>
                      <w:marTop w:val="0"/>
                      <w:marBottom w:val="0"/>
                      <w:divBdr>
                        <w:top w:val="none" w:sz="0" w:space="0" w:color="auto"/>
                        <w:left w:val="none" w:sz="0" w:space="0" w:color="auto"/>
                        <w:bottom w:val="none" w:sz="0" w:space="0" w:color="auto"/>
                        <w:right w:val="none" w:sz="0" w:space="0" w:color="auto"/>
                      </w:divBdr>
                      <w:divsChild>
                        <w:div w:id="1458255205">
                          <w:marLeft w:val="0"/>
                          <w:marRight w:val="0"/>
                          <w:marTop w:val="0"/>
                          <w:marBottom w:val="0"/>
                          <w:divBdr>
                            <w:top w:val="none" w:sz="0" w:space="0" w:color="auto"/>
                            <w:left w:val="none" w:sz="0" w:space="0" w:color="auto"/>
                            <w:bottom w:val="none" w:sz="0" w:space="0" w:color="auto"/>
                            <w:right w:val="none" w:sz="0" w:space="0" w:color="auto"/>
                          </w:divBdr>
                          <w:divsChild>
                            <w:div w:id="72628627">
                              <w:marLeft w:val="0"/>
                              <w:marRight w:val="0"/>
                              <w:marTop w:val="0"/>
                              <w:marBottom w:val="0"/>
                              <w:divBdr>
                                <w:top w:val="none" w:sz="0" w:space="0" w:color="auto"/>
                                <w:left w:val="none" w:sz="0" w:space="0" w:color="auto"/>
                                <w:bottom w:val="none" w:sz="0" w:space="0" w:color="auto"/>
                                <w:right w:val="none" w:sz="0" w:space="0" w:color="auto"/>
                              </w:divBdr>
                              <w:divsChild>
                                <w:div w:id="1053576151">
                                  <w:marLeft w:val="0"/>
                                  <w:marRight w:val="0"/>
                                  <w:marTop w:val="0"/>
                                  <w:marBottom w:val="300"/>
                                  <w:divBdr>
                                    <w:top w:val="none" w:sz="0" w:space="0" w:color="auto"/>
                                    <w:left w:val="none" w:sz="0" w:space="0" w:color="auto"/>
                                    <w:bottom w:val="none" w:sz="0" w:space="0" w:color="auto"/>
                                    <w:right w:val="none" w:sz="0" w:space="0" w:color="auto"/>
                                  </w:divBdr>
                                  <w:divsChild>
                                    <w:div w:id="2048874070">
                                      <w:marLeft w:val="0"/>
                                      <w:marRight w:val="0"/>
                                      <w:marTop w:val="0"/>
                                      <w:marBottom w:val="0"/>
                                      <w:divBdr>
                                        <w:top w:val="none" w:sz="0" w:space="0" w:color="auto"/>
                                        <w:left w:val="none" w:sz="0" w:space="0" w:color="auto"/>
                                        <w:bottom w:val="none" w:sz="0" w:space="0" w:color="auto"/>
                                        <w:right w:val="none" w:sz="0" w:space="0" w:color="auto"/>
                                      </w:divBdr>
                                      <w:divsChild>
                                        <w:div w:id="244923893">
                                          <w:marLeft w:val="0"/>
                                          <w:marRight w:val="0"/>
                                          <w:marTop w:val="0"/>
                                          <w:marBottom w:val="0"/>
                                          <w:divBdr>
                                            <w:top w:val="none" w:sz="0" w:space="0" w:color="auto"/>
                                            <w:left w:val="none" w:sz="0" w:space="0" w:color="auto"/>
                                            <w:bottom w:val="none" w:sz="0" w:space="0" w:color="auto"/>
                                            <w:right w:val="none" w:sz="0" w:space="0" w:color="auto"/>
                                          </w:divBdr>
                                          <w:divsChild>
                                            <w:div w:id="281806949">
                                              <w:marLeft w:val="0"/>
                                              <w:marRight w:val="0"/>
                                              <w:marTop w:val="0"/>
                                              <w:marBottom w:val="0"/>
                                              <w:divBdr>
                                                <w:top w:val="none" w:sz="0" w:space="0" w:color="auto"/>
                                                <w:left w:val="none" w:sz="0" w:space="0" w:color="auto"/>
                                                <w:bottom w:val="none" w:sz="0" w:space="0" w:color="auto"/>
                                                <w:right w:val="none" w:sz="0" w:space="0" w:color="auto"/>
                                              </w:divBdr>
                                              <w:divsChild>
                                                <w:div w:id="1256669976">
                                                  <w:marLeft w:val="0"/>
                                                  <w:marRight w:val="0"/>
                                                  <w:marTop w:val="0"/>
                                                  <w:marBottom w:val="0"/>
                                                  <w:divBdr>
                                                    <w:top w:val="none" w:sz="0" w:space="0" w:color="auto"/>
                                                    <w:left w:val="none" w:sz="0" w:space="0" w:color="auto"/>
                                                    <w:bottom w:val="none" w:sz="0" w:space="0" w:color="auto"/>
                                                    <w:right w:val="none" w:sz="0" w:space="0" w:color="auto"/>
                                                  </w:divBdr>
                                                  <w:divsChild>
                                                    <w:div w:id="1969699959">
                                                      <w:marLeft w:val="0"/>
                                                      <w:marRight w:val="0"/>
                                                      <w:marTop w:val="0"/>
                                                      <w:marBottom w:val="0"/>
                                                      <w:divBdr>
                                                        <w:top w:val="none" w:sz="0" w:space="0" w:color="auto"/>
                                                        <w:left w:val="none" w:sz="0" w:space="0" w:color="auto"/>
                                                        <w:bottom w:val="none" w:sz="0" w:space="0" w:color="auto"/>
                                                        <w:right w:val="none" w:sz="0" w:space="0" w:color="auto"/>
                                                      </w:divBdr>
                                                      <w:divsChild>
                                                        <w:div w:id="709888731">
                                                          <w:marLeft w:val="0"/>
                                                          <w:marRight w:val="0"/>
                                                          <w:marTop w:val="0"/>
                                                          <w:marBottom w:val="0"/>
                                                          <w:divBdr>
                                                            <w:top w:val="none" w:sz="0" w:space="0" w:color="auto"/>
                                                            <w:left w:val="none" w:sz="0" w:space="0" w:color="auto"/>
                                                            <w:bottom w:val="none" w:sz="0" w:space="0" w:color="auto"/>
                                                            <w:right w:val="none" w:sz="0" w:space="0" w:color="auto"/>
                                                          </w:divBdr>
                                                          <w:divsChild>
                                                            <w:div w:id="126865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347828727">
      <w:bodyDiv w:val="1"/>
      <w:marLeft w:val="0"/>
      <w:marRight w:val="0"/>
      <w:marTop w:val="0"/>
      <w:marBottom w:val="0"/>
      <w:divBdr>
        <w:top w:val="none" w:sz="0" w:space="0" w:color="auto"/>
        <w:left w:val="none" w:sz="0" w:space="0" w:color="auto"/>
        <w:bottom w:val="none" w:sz="0" w:space="0" w:color="auto"/>
        <w:right w:val="none" w:sz="0" w:space="0" w:color="auto"/>
      </w:divBdr>
    </w:div>
    <w:div w:id="474183353">
      <w:bodyDiv w:val="1"/>
      <w:marLeft w:val="0"/>
      <w:marRight w:val="0"/>
      <w:marTop w:val="0"/>
      <w:marBottom w:val="0"/>
      <w:divBdr>
        <w:top w:val="none" w:sz="0" w:space="0" w:color="auto"/>
        <w:left w:val="none" w:sz="0" w:space="0" w:color="auto"/>
        <w:bottom w:val="none" w:sz="0" w:space="0" w:color="auto"/>
        <w:right w:val="none" w:sz="0" w:space="0" w:color="auto"/>
      </w:divBdr>
    </w:div>
    <w:div w:id="1539707421">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icgs.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k.gov.lv/content/ministru-kabineta-diskusiju-dokument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m.gov.lv/lv/sabiedribas-lidzdaliba/diskusiju-dokumenti/tiesibu-akti" TargetMode="External"/><Relationship Id="rId4" Type="http://schemas.openxmlformats.org/officeDocument/2006/relationships/settings" Target="settings.xml"/><Relationship Id="rId9" Type="http://schemas.openxmlformats.org/officeDocument/2006/relationships/hyperlink" Target="https://nasdaqcsd.com/services/services-to-account-operators/list-of-account-operators/"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D84CA-A059-4D54-BD9F-0EA34FEE3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26</Pages>
  <Words>43174</Words>
  <Characters>24610</Characters>
  <Application>Microsoft Office Word</Application>
  <DocSecurity>0</DocSecurity>
  <Lines>205</Lines>
  <Paragraphs>135</Paragraphs>
  <ScaleCrop>false</ScaleCrop>
  <HeadingPairs>
    <vt:vector size="2" baseType="variant">
      <vt:variant>
        <vt:lpstr>Nosaukums</vt:lpstr>
      </vt:variant>
      <vt:variant>
        <vt:i4>1</vt:i4>
      </vt:variant>
    </vt:vector>
  </HeadingPairs>
  <TitlesOfParts>
    <vt:vector size="1" baseType="lpstr">
      <vt:lpstr>Likumprojekta "Grozījumi Finanšu instrumentu tirgus likumā" sākotnējās ietekmes novērtējuma ziņojums (anotācija)</vt:lpstr>
    </vt:vector>
  </TitlesOfParts>
  <Company>Tieslietu ministrija</Company>
  <LinksUpToDate>false</LinksUpToDate>
  <CharactersWithSpaces>67649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Finanšu instrumentu tirgus likumā" sākotnējās ietekmes novērtējuma ziņojums (anotācija)</dc:title>
  <dc:subject>Anotācija</dc:subject>
  <dc:creator>Aivars.Latkovskis@TM.GOV.LV</dc:creator>
  <dc:description>67036953, aivars.latkovskis@tm.gov.lv</dc:description>
  <cp:lastModifiedBy>Aivars Latkovskis</cp:lastModifiedBy>
  <cp:revision>12</cp:revision>
  <cp:lastPrinted>2018-10-29T08:37:00Z</cp:lastPrinted>
  <dcterms:created xsi:type="dcterms:W3CDTF">2018-10-26T06:48:00Z</dcterms:created>
  <dcterms:modified xsi:type="dcterms:W3CDTF">2018-10-29T12:35:00Z</dcterms:modified>
</cp:coreProperties>
</file>