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A9" w:rsidRPr="00CF3E9D" w:rsidRDefault="00973209" w:rsidP="00DA596D">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Ministru kabineta noteikumu projekta "Tieslietu ministrijas nolikums" </w:t>
      </w:r>
      <w:r w:rsidR="004D15A9" w:rsidRPr="00CF3E9D">
        <w:rPr>
          <w:rFonts w:ascii="Times New Roman" w:eastAsia="Times New Roman" w:hAnsi="Times New Roman" w:cs="Times New Roman"/>
          <w:b/>
          <w:bCs/>
          <w:sz w:val="24"/>
          <w:szCs w:val="24"/>
          <w:lang w:eastAsia="lv-LV"/>
        </w:rPr>
        <w:t>sākotnējās ietekmes novērtējuma ziņojums (anotācija)</w:t>
      </w:r>
    </w:p>
    <w:p w:rsidR="00DA596D" w:rsidRPr="00CF3E9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1827"/>
        <w:gridCol w:w="6775"/>
      </w:tblGrid>
      <w:tr w:rsidR="00CF3E9D" w:rsidRPr="00CF3E9D"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CF3E9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F3E9D">
              <w:rPr>
                <w:rFonts w:ascii="Times New Roman" w:eastAsia="Times New Roman" w:hAnsi="Times New Roman" w:cs="Times New Roman"/>
                <w:b/>
                <w:bCs/>
                <w:sz w:val="24"/>
                <w:szCs w:val="24"/>
                <w:lang w:eastAsia="lv-LV"/>
              </w:rPr>
              <w:t>I. Tiesību akta projekta izstrādes nepieciešamība</w:t>
            </w:r>
          </w:p>
        </w:tc>
      </w:tr>
      <w:tr w:rsidR="00CF3E9D" w:rsidRPr="00CF3E9D" w:rsidTr="003068D6">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1.</w:t>
            </w:r>
          </w:p>
        </w:tc>
        <w:tc>
          <w:tcPr>
            <w:tcW w:w="1009"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Pamatojums</w:t>
            </w:r>
          </w:p>
        </w:tc>
        <w:tc>
          <w:tcPr>
            <w:tcW w:w="3742" w:type="pct"/>
            <w:tcBorders>
              <w:top w:val="outset" w:sz="6" w:space="0" w:color="414142"/>
              <w:left w:val="outset" w:sz="6" w:space="0" w:color="414142"/>
              <w:bottom w:val="outset" w:sz="6" w:space="0" w:color="414142"/>
              <w:right w:val="outset" w:sz="6" w:space="0" w:color="414142"/>
            </w:tcBorders>
            <w:hideMark/>
          </w:tcPr>
          <w:p w:rsidR="004D15A9" w:rsidRPr="00CF3E9D" w:rsidRDefault="00973209" w:rsidP="00B702E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ministrijas iniciatīva</w:t>
            </w:r>
            <w:r w:rsidR="00814447">
              <w:rPr>
                <w:rFonts w:ascii="Times New Roman" w:eastAsia="Times New Roman" w:hAnsi="Times New Roman" w:cs="Times New Roman"/>
                <w:sz w:val="24"/>
                <w:szCs w:val="24"/>
                <w:lang w:eastAsia="lv-LV"/>
              </w:rPr>
              <w:t>.</w:t>
            </w:r>
          </w:p>
        </w:tc>
      </w:tr>
      <w:tr w:rsidR="00CF3E9D" w:rsidRPr="00CF3E9D" w:rsidTr="003068D6">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2.</w:t>
            </w:r>
          </w:p>
        </w:tc>
        <w:tc>
          <w:tcPr>
            <w:tcW w:w="1009"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742" w:type="pct"/>
            <w:tcBorders>
              <w:top w:val="outset" w:sz="6" w:space="0" w:color="414142"/>
              <w:left w:val="outset" w:sz="6" w:space="0" w:color="414142"/>
              <w:bottom w:val="outset" w:sz="6" w:space="0" w:color="414142"/>
              <w:right w:val="outset" w:sz="6" w:space="0" w:color="414142"/>
            </w:tcBorders>
            <w:hideMark/>
          </w:tcPr>
          <w:p w:rsidR="008E3C18" w:rsidRDefault="008E4AFD" w:rsidP="00CE1226">
            <w:pPr>
              <w:spacing w:after="0" w:line="240" w:lineRule="auto"/>
              <w:jc w:val="both"/>
              <w:rPr>
                <w:rFonts w:ascii="Times New Roman" w:eastAsia="Times New Roman" w:hAnsi="Times New Roman"/>
                <w:sz w:val="24"/>
                <w:szCs w:val="24"/>
              </w:rPr>
            </w:pPr>
            <w:r w:rsidRPr="008E4AFD">
              <w:rPr>
                <w:rFonts w:ascii="Times New Roman" w:eastAsia="Times New Roman" w:hAnsi="Times New Roman"/>
                <w:sz w:val="24"/>
                <w:szCs w:val="24"/>
              </w:rPr>
              <w:t>Ministru kabineta 2003. gada 29. aprīļa noteikum</w:t>
            </w:r>
            <w:r w:rsidR="008E3C18">
              <w:rPr>
                <w:rFonts w:ascii="Times New Roman" w:eastAsia="Times New Roman" w:hAnsi="Times New Roman"/>
                <w:sz w:val="24"/>
                <w:szCs w:val="24"/>
              </w:rPr>
              <w:t>os</w:t>
            </w:r>
            <w:r w:rsidRPr="008E4AFD">
              <w:rPr>
                <w:rFonts w:ascii="Times New Roman" w:eastAsia="Times New Roman" w:hAnsi="Times New Roman"/>
                <w:sz w:val="24"/>
                <w:szCs w:val="24"/>
              </w:rPr>
              <w:t xml:space="preserve"> Nr. 243 "Tieslietu ministrijas nolikums"</w:t>
            </w:r>
            <w:r w:rsidR="008E3C18">
              <w:rPr>
                <w:rFonts w:ascii="Times New Roman" w:eastAsia="Times New Roman" w:hAnsi="Times New Roman"/>
                <w:sz w:val="24"/>
                <w:szCs w:val="24"/>
              </w:rPr>
              <w:t xml:space="preserve"> (turpmāk – nolikums)</w:t>
            </w:r>
            <w:r w:rsidRPr="008E4AFD">
              <w:rPr>
                <w:rFonts w:ascii="Times New Roman" w:eastAsia="Times New Roman" w:hAnsi="Times New Roman"/>
                <w:sz w:val="24"/>
                <w:szCs w:val="24"/>
              </w:rPr>
              <w:t xml:space="preserve"> </w:t>
            </w:r>
            <w:r w:rsidR="008E3C18">
              <w:rPr>
                <w:rFonts w:ascii="Times New Roman" w:eastAsia="Times New Roman" w:hAnsi="Times New Roman"/>
                <w:sz w:val="24"/>
                <w:szCs w:val="24"/>
              </w:rPr>
              <w:t xml:space="preserve">iekļautais regulējums </w:t>
            </w:r>
            <w:r>
              <w:rPr>
                <w:rFonts w:ascii="Times New Roman" w:eastAsia="Times New Roman" w:hAnsi="Times New Roman"/>
                <w:sz w:val="24"/>
                <w:szCs w:val="24"/>
              </w:rPr>
              <w:t xml:space="preserve">šobrīd </w:t>
            </w:r>
            <w:r w:rsidR="00E12369">
              <w:rPr>
                <w:rFonts w:ascii="Times New Roman" w:eastAsia="Times New Roman" w:hAnsi="Times New Roman"/>
                <w:sz w:val="24"/>
                <w:szCs w:val="24"/>
              </w:rPr>
              <w:t xml:space="preserve">ir pretrunā ar vairākiem ārējiem normatīvajiem aktiem </w:t>
            </w:r>
            <w:r w:rsidR="008E3C18">
              <w:rPr>
                <w:rFonts w:ascii="Times New Roman" w:eastAsia="Times New Roman" w:hAnsi="Times New Roman"/>
                <w:sz w:val="24"/>
                <w:szCs w:val="24"/>
              </w:rPr>
              <w:t xml:space="preserve">un dublē virkni ārējos normatīvos aktus, kā arī </w:t>
            </w:r>
            <w:r w:rsidR="00C4127E">
              <w:rPr>
                <w:rFonts w:ascii="Times New Roman" w:eastAsia="Times New Roman" w:hAnsi="Times New Roman"/>
                <w:sz w:val="24"/>
                <w:szCs w:val="24"/>
              </w:rPr>
              <w:t xml:space="preserve">nolikuma </w:t>
            </w:r>
            <w:r w:rsidR="008E3C18">
              <w:rPr>
                <w:rFonts w:ascii="Times New Roman" w:eastAsia="Times New Roman" w:hAnsi="Times New Roman"/>
                <w:sz w:val="24"/>
                <w:szCs w:val="24"/>
              </w:rPr>
              <w:t>terminoloģija nav saskaņota ar vairākiem likumiem. Tieslietu ministrija šobrīd īsteno nolikumā nenodefinētas kompetence</w:t>
            </w:r>
            <w:bookmarkStart w:id="0" w:name="_GoBack"/>
            <w:bookmarkEnd w:id="0"/>
            <w:r w:rsidR="008E3C18">
              <w:rPr>
                <w:rFonts w:ascii="Times New Roman" w:eastAsia="Times New Roman" w:hAnsi="Times New Roman"/>
                <w:sz w:val="24"/>
                <w:szCs w:val="24"/>
              </w:rPr>
              <w:t>s, kuras izriet no ārējiem normatīvajiem aktiem un attīstības plānošanas dokumentiem (t.sk. Tieslietu ministrijas stratēģijas).</w:t>
            </w:r>
          </w:p>
          <w:p w:rsidR="008E4AFD" w:rsidRPr="00582A69" w:rsidRDefault="008E4AFD" w:rsidP="00CE12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Projekts aktualizē spēkā esošo nolikumu atbilstoši ārējiem normatīvajiem aktiem. Projektā papildinātā Tieslietu ministrijas kompetence nav jauna, bet gan </w:t>
            </w:r>
            <w:r w:rsidRPr="00582A69">
              <w:rPr>
                <w:rFonts w:ascii="Times New Roman" w:eastAsia="Times New Roman" w:hAnsi="Times New Roman"/>
                <w:sz w:val="24"/>
                <w:szCs w:val="24"/>
              </w:rPr>
              <w:t>jau noteikta citos tiesību aktos vai  attīstības plānošanas dokumentos. Arī svītrotā kompetence ar šo projektu netiek atcelta, bet gan tikai konstatētas Tieslietu ministrijas kompetences izmaiņas citos tiesību aktos vai attīstības plānošanas dokumentos.</w:t>
            </w:r>
          </w:p>
          <w:p w:rsidR="00C4127E" w:rsidRPr="00C4127E" w:rsidRDefault="004B1A30" w:rsidP="00C4127E">
            <w:pPr>
              <w:spacing w:after="0" w:line="240" w:lineRule="auto"/>
              <w:jc w:val="both"/>
              <w:rPr>
                <w:rFonts w:ascii="Times New Roman" w:hAnsi="Times New Roman" w:cs="Times New Roman"/>
                <w:sz w:val="24"/>
                <w:szCs w:val="24"/>
              </w:rPr>
            </w:pPr>
            <w:r w:rsidRPr="00582A69">
              <w:rPr>
                <w:rFonts w:ascii="Times New Roman" w:eastAsia="Times New Roman" w:hAnsi="Times New Roman" w:cs="Times New Roman"/>
                <w:sz w:val="24"/>
                <w:szCs w:val="24"/>
              </w:rPr>
              <w:t>I</w:t>
            </w:r>
            <w:r w:rsidR="00C4127E" w:rsidRPr="00582A69">
              <w:rPr>
                <w:rFonts w:ascii="Times New Roman" w:eastAsia="Times New Roman" w:hAnsi="Times New Roman" w:cs="Times New Roman"/>
                <w:sz w:val="24"/>
                <w:szCs w:val="24"/>
              </w:rPr>
              <w:t xml:space="preserve">estādes </w:t>
            </w:r>
            <w:r w:rsidR="000D0FD3">
              <w:rPr>
                <w:rFonts w:ascii="Times New Roman" w:hAnsi="Times New Roman" w:cs="Times New Roman"/>
                <w:sz w:val="24"/>
                <w:szCs w:val="24"/>
              </w:rPr>
              <w:t xml:space="preserve">nolikuma regulējums veidots tā, lai sabiedrībai būtu vieglāk </w:t>
            </w:r>
            <w:r w:rsidR="00C4127E" w:rsidRPr="00582A69">
              <w:rPr>
                <w:rFonts w:ascii="Times New Roman" w:hAnsi="Times New Roman" w:cs="Times New Roman"/>
                <w:sz w:val="24"/>
                <w:szCs w:val="24"/>
              </w:rPr>
              <w:t>orientēt</w:t>
            </w:r>
            <w:r w:rsidRPr="00582A69">
              <w:rPr>
                <w:rFonts w:ascii="Times New Roman" w:hAnsi="Times New Roman" w:cs="Times New Roman"/>
                <w:sz w:val="24"/>
                <w:szCs w:val="24"/>
              </w:rPr>
              <w:t>ies</w:t>
            </w:r>
            <w:r w:rsidR="00C4127E" w:rsidRPr="00582A69">
              <w:rPr>
                <w:rFonts w:ascii="Times New Roman" w:hAnsi="Times New Roman" w:cs="Times New Roman"/>
                <w:sz w:val="24"/>
                <w:szCs w:val="24"/>
              </w:rPr>
              <w:t xml:space="preserve"> iestādes kompetencē (it īpaši jomās, kur ir grūti nošķirt kompetenci salīdzinājumā ar citām iestādēm). </w:t>
            </w:r>
            <w:r w:rsidRPr="00582A69">
              <w:rPr>
                <w:rFonts w:ascii="Times New Roman" w:hAnsi="Times New Roman" w:cs="Times New Roman"/>
                <w:sz w:val="24"/>
                <w:szCs w:val="24"/>
              </w:rPr>
              <w:t>Projektā</w:t>
            </w:r>
            <w:r w:rsidR="00C4127E" w:rsidRPr="00582A69">
              <w:rPr>
                <w:rFonts w:ascii="Times New Roman" w:hAnsi="Times New Roman" w:cs="Times New Roman"/>
                <w:sz w:val="24"/>
                <w:szCs w:val="24"/>
              </w:rPr>
              <w:t xml:space="preserve"> nodefinētā</w:t>
            </w:r>
            <w:r w:rsidRPr="00582A69">
              <w:rPr>
                <w:rFonts w:ascii="Times New Roman" w:hAnsi="Times New Roman" w:cs="Times New Roman"/>
                <w:sz w:val="24"/>
                <w:szCs w:val="24"/>
              </w:rPr>
              <w:t>s</w:t>
            </w:r>
            <w:r w:rsidR="00C4127E" w:rsidRPr="00582A69">
              <w:rPr>
                <w:rFonts w:ascii="Times New Roman" w:hAnsi="Times New Roman" w:cs="Times New Roman"/>
                <w:sz w:val="24"/>
                <w:szCs w:val="24"/>
              </w:rPr>
              <w:t xml:space="preserve"> politikas joma</w:t>
            </w:r>
            <w:r w:rsidRPr="00582A69">
              <w:rPr>
                <w:rFonts w:ascii="Times New Roman" w:hAnsi="Times New Roman" w:cs="Times New Roman"/>
                <w:sz w:val="24"/>
                <w:szCs w:val="24"/>
              </w:rPr>
              <w:t>s</w:t>
            </w:r>
            <w:r w:rsidR="000D0FD3">
              <w:rPr>
                <w:rFonts w:ascii="Times New Roman" w:hAnsi="Times New Roman" w:cs="Times New Roman"/>
                <w:sz w:val="24"/>
                <w:szCs w:val="24"/>
              </w:rPr>
              <w:t xml:space="preserve"> pamatā</w:t>
            </w:r>
            <w:r w:rsidR="00C4127E" w:rsidRPr="00582A69">
              <w:rPr>
                <w:rFonts w:ascii="Times New Roman" w:hAnsi="Times New Roman" w:cs="Times New Roman"/>
                <w:sz w:val="24"/>
                <w:szCs w:val="24"/>
              </w:rPr>
              <w:t xml:space="preserve"> nozīmē</w:t>
            </w:r>
            <w:r w:rsidR="000D0FD3">
              <w:rPr>
                <w:rFonts w:ascii="Times New Roman" w:hAnsi="Times New Roman" w:cs="Times New Roman"/>
                <w:sz w:val="24"/>
                <w:szCs w:val="24"/>
              </w:rPr>
              <w:t xml:space="preserve"> to</w:t>
            </w:r>
            <w:r w:rsidR="00C4127E" w:rsidRPr="00582A69">
              <w:rPr>
                <w:rFonts w:ascii="Times New Roman" w:hAnsi="Times New Roman" w:cs="Times New Roman"/>
                <w:sz w:val="24"/>
                <w:szCs w:val="24"/>
              </w:rPr>
              <w:t>, ka ministrija valsts pārvaldē</w:t>
            </w:r>
            <w:r w:rsidR="00C4127E" w:rsidRPr="00C4127E">
              <w:rPr>
                <w:rFonts w:ascii="Times New Roman" w:hAnsi="Times New Roman" w:cs="Times New Roman"/>
                <w:sz w:val="24"/>
                <w:szCs w:val="24"/>
              </w:rPr>
              <w:t xml:space="preserve"> pilnībā atbild par š</w:t>
            </w:r>
            <w:r>
              <w:rPr>
                <w:rFonts w:ascii="Times New Roman" w:hAnsi="Times New Roman" w:cs="Times New Roman"/>
                <w:sz w:val="24"/>
                <w:szCs w:val="24"/>
              </w:rPr>
              <w:t>īm jomām</w:t>
            </w:r>
            <w:r w:rsidR="000D0FD3">
              <w:rPr>
                <w:rFonts w:ascii="Times New Roman" w:hAnsi="Times New Roman" w:cs="Times New Roman"/>
                <w:sz w:val="24"/>
                <w:szCs w:val="24"/>
              </w:rPr>
              <w:t>. Savukārt</w:t>
            </w:r>
            <w:r w:rsidR="00C4127E" w:rsidRPr="00C4127E">
              <w:rPr>
                <w:rFonts w:ascii="Times New Roman" w:hAnsi="Times New Roman" w:cs="Times New Roman"/>
                <w:sz w:val="24"/>
                <w:szCs w:val="24"/>
              </w:rPr>
              <w:t xml:space="preserve"> uzdevumi funkciju izpildei noteikti </w:t>
            </w:r>
            <w:r w:rsidR="000D0FD3">
              <w:rPr>
                <w:rFonts w:ascii="Times New Roman" w:hAnsi="Times New Roman" w:cs="Times New Roman"/>
                <w:sz w:val="24"/>
                <w:szCs w:val="24"/>
              </w:rPr>
              <w:t xml:space="preserve">(atspoguļoti) </w:t>
            </w:r>
            <w:r w:rsidR="00C4127E" w:rsidRPr="00C4127E">
              <w:rPr>
                <w:rFonts w:ascii="Times New Roman" w:hAnsi="Times New Roman" w:cs="Times New Roman"/>
                <w:sz w:val="24"/>
                <w:szCs w:val="24"/>
              </w:rPr>
              <w:t xml:space="preserve">būtiskākie </w:t>
            </w:r>
            <w:r w:rsidR="000D0FD3" w:rsidRPr="00C4127E">
              <w:rPr>
                <w:rFonts w:ascii="Times New Roman" w:hAnsi="Times New Roman" w:cs="Times New Roman"/>
                <w:sz w:val="24"/>
                <w:szCs w:val="24"/>
              </w:rPr>
              <w:t xml:space="preserve">sabiedrībai </w:t>
            </w:r>
            <w:r w:rsidR="00C4127E" w:rsidRPr="00C4127E">
              <w:rPr>
                <w:rFonts w:ascii="Times New Roman" w:hAnsi="Times New Roman" w:cs="Times New Roman"/>
                <w:sz w:val="24"/>
                <w:szCs w:val="24"/>
              </w:rPr>
              <w:t xml:space="preserve">un </w:t>
            </w:r>
            <w:r w:rsidR="000D0FD3">
              <w:rPr>
                <w:rFonts w:ascii="Times New Roman" w:hAnsi="Times New Roman" w:cs="Times New Roman"/>
                <w:sz w:val="24"/>
                <w:szCs w:val="24"/>
              </w:rPr>
              <w:t xml:space="preserve">darba un finansējuma aspektā </w:t>
            </w:r>
            <w:r>
              <w:rPr>
                <w:rFonts w:ascii="Times New Roman" w:hAnsi="Times New Roman" w:cs="Times New Roman"/>
                <w:sz w:val="24"/>
                <w:szCs w:val="24"/>
              </w:rPr>
              <w:t xml:space="preserve"> </w:t>
            </w:r>
            <w:r w:rsidR="00C4127E" w:rsidRPr="00C4127E">
              <w:rPr>
                <w:rFonts w:ascii="Times New Roman" w:hAnsi="Times New Roman" w:cs="Times New Roman"/>
                <w:sz w:val="24"/>
                <w:szCs w:val="24"/>
              </w:rPr>
              <w:t>apjomīgākie</w:t>
            </w:r>
            <w:r w:rsidR="000D0FD3">
              <w:rPr>
                <w:rFonts w:ascii="Times New Roman" w:hAnsi="Times New Roman" w:cs="Times New Roman"/>
                <w:sz w:val="24"/>
                <w:szCs w:val="24"/>
              </w:rPr>
              <w:t xml:space="preserve">, kā arī </w:t>
            </w:r>
            <w:r w:rsidR="000D0FD3" w:rsidRPr="00C4127E">
              <w:rPr>
                <w:rFonts w:ascii="Times New Roman" w:hAnsi="Times New Roman" w:cs="Times New Roman"/>
                <w:sz w:val="24"/>
                <w:szCs w:val="24"/>
              </w:rPr>
              <w:t xml:space="preserve">pārliecībai, </w:t>
            </w:r>
            <w:r w:rsidR="000D0FD3">
              <w:rPr>
                <w:rFonts w:ascii="Times New Roman" w:hAnsi="Times New Roman" w:cs="Times New Roman"/>
                <w:sz w:val="24"/>
                <w:szCs w:val="24"/>
              </w:rPr>
              <w:t xml:space="preserve">ka </w:t>
            </w:r>
            <w:r w:rsidR="000D0FD3" w:rsidRPr="00C4127E">
              <w:rPr>
                <w:rFonts w:ascii="Times New Roman" w:hAnsi="Times New Roman" w:cs="Times New Roman"/>
                <w:sz w:val="24"/>
                <w:szCs w:val="24"/>
              </w:rPr>
              <w:t>visa nozare būtiskaj</w:t>
            </w:r>
            <w:r w:rsidR="000D0FD3">
              <w:rPr>
                <w:rFonts w:ascii="Times New Roman" w:hAnsi="Times New Roman" w:cs="Times New Roman"/>
                <w:sz w:val="24"/>
                <w:szCs w:val="24"/>
              </w:rPr>
              <w:t>os procesos</w:t>
            </w:r>
            <w:r w:rsidR="000D0FD3" w:rsidRPr="00C4127E">
              <w:rPr>
                <w:rFonts w:ascii="Times New Roman" w:hAnsi="Times New Roman" w:cs="Times New Roman"/>
                <w:sz w:val="24"/>
                <w:szCs w:val="24"/>
              </w:rPr>
              <w:t xml:space="preserve"> ir aptverta un tiek kontrolēta</w:t>
            </w:r>
            <w:r w:rsidR="00C4127E" w:rsidRPr="00C4127E">
              <w:rPr>
                <w:rFonts w:ascii="Times New Roman" w:hAnsi="Times New Roman" w:cs="Times New Roman"/>
                <w:sz w:val="24"/>
                <w:szCs w:val="24"/>
              </w:rPr>
              <w:t xml:space="preserve">. </w:t>
            </w:r>
            <w:r w:rsidR="00BB7181">
              <w:rPr>
                <w:rFonts w:ascii="Times New Roman" w:hAnsi="Times New Roman" w:cs="Times New Roman"/>
                <w:sz w:val="24"/>
                <w:szCs w:val="24"/>
              </w:rPr>
              <w:t xml:space="preserve">Projektā </w:t>
            </w:r>
            <w:r w:rsidR="00C4127E" w:rsidRPr="00C4127E">
              <w:rPr>
                <w:rFonts w:ascii="Times New Roman" w:hAnsi="Times New Roman" w:cs="Times New Roman"/>
                <w:sz w:val="24"/>
                <w:szCs w:val="24"/>
              </w:rPr>
              <w:t xml:space="preserve">Tieslietu ministrijas tiesības, nosakāmas </w:t>
            </w:r>
            <w:r w:rsidR="000D0FD3">
              <w:rPr>
                <w:rFonts w:ascii="Times New Roman" w:hAnsi="Times New Roman" w:cs="Times New Roman"/>
                <w:sz w:val="24"/>
                <w:szCs w:val="24"/>
              </w:rPr>
              <w:t xml:space="preserve">par jaunu </w:t>
            </w:r>
            <w:r w:rsidR="00C4127E" w:rsidRPr="00C4127E">
              <w:rPr>
                <w:rFonts w:ascii="Times New Roman" w:hAnsi="Times New Roman" w:cs="Times New Roman"/>
                <w:sz w:val="24"/>
                <w:szCs w:val="24"/>
              </w:rPr>
              <w:t>tikai tās, kuras jau nav noteiktas citos ārējos normatīvajos aktos</w:t>
            </w:r>
            <w:r w:rsidR="00E8789E">
              <w:rPr>
                <w:rFonts w:ascii="Times New Roman" w:hAnsi="Times New Roman" w:cs="Times New Roman"/>
                <w:sz w:val="24"/>
                <w:szCs w:val="24"/>
              </w:rPr>
              <w:t>.</w:t>
            </w:r>
          </w:p>
          <w:p w:rsidR="00C4127E" w:rsidRDefault="00C4127E" w:rsidP="00CE1226">
            <w:pPr>
              <w:spacing w:after="0" w:line="240" w:lineRule="auto"/>
              <w:jc w:val="both"/>
              <w:rPr>
                <w:rFonts w:ascii="Times New Roman" w:eastAsia="Times New Roman" w:hAnsi="Times New Roman"/>
                <w:sz w:val="24"/>
                <w:szCs w:val="24"/>
              </w:rPr>
            </w:pPr>
          </w:p>
          <w:p w:rsidR="00E60604" w:rsidRDefault="008E3C18" w:rsidP="00CE122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Tieslietu m</w:t>
            </w:r>
            <w:r w:rsidR="00E60604" w:rsidRPr="008E3C18">
              <w:rPr>
                <w:rFonts w:ascii="Times New Roman" w:eastAsia="Times New Roman" w:hAnsi="Times New Roman"/>
                <w:b/>
                <w:sz w:val="24"/>
                <w:szCs w:val="24"/>
              </w:rPr>
              <w:t>inistrijas funkcijas un uzdevumi</w:t>
            </w:r>
            <w:r>
              <w:rPr>
                <w:rFonts w:ascii="Times New Roman" w:eastAsia="Times New Roman" w:hAnsi="Times New Roman"/>
                <w:b/>
                <w:sz w:val="24"/>
                <w:szCs w:val="24"/>
              </w:rPr>
              <w:t>:</w:t>
            </w:r>
          </w:p>
          <w:p w:rsidR="008E3C18" w:rsidRPr="008E3C18" w:rsidRDefault="008E3C18" w:rsidP="00CE122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Papildinājumi:</w:t>
            </w:r>
          </w:p>
          <w:p w:rsidR="00C03CC6" w:rsidRPr="00C03CC6" w:rsidRDefault="00972BB2" w:rsidP="00972BB2">
            <w:pPr>
              <w:spacing w:after="0" w:line="240" w:lineRule="auto"/>
              <w:jc w:val="both"/>
              <w:rPr>
                <w:rFonts w:ascii="Times New Roman" w:hAnsi="Times New Roman" w:cs="Times New Roman"/>
                <w:sz w:val="24"/>
                <w:szCs w:val="24"/>
                <w:highlight w:val="green"/>
              </w:rPr>
            </w:pPr>
            <w:r w:rsidRPr="00C03CC6">
              <w:rPr>
                <w:rFonts w:ascii="Times New Roman" w:hAnsi="Times New Roman" w:cs="Times New Roman"/>
                <w:sz w:val="24"/>
                <w:szCs w:val="24"/>
              </w:rPr>
              <w:t>1.</w:t>
            </w:r>
            <w:r w:rsidR="006D38BA" w:rsidRPr="00C03CC6">
              <w:rPr>
                <w:rFonts w:ascii="Times New Roman" w:hAnsi="Times New Roman" w:cs="Times New Roman"/>
                <w:sz w:val="24"/>
                <w:szCs w:val="24"/>
              </w:rPr>
              <w:t> </w:t>
            </w:r>
            <w:r w:rsidR="00C03CC6" w:rsidRPr="00C03CC6">
              <w:rPr>
                <w:rFonts w:ascii="Times New Roman" w:hAnsi="Times New Roman" w:cs="Times New Roman"/>
                <w:sz w:val="24"/>
                <w:szCs w:val="24"/>
              </w:rPr>
              <w:t xml:space="preserve"> Valsts pārvaldes iekārtas likuma 18. panta pirmā daļa noteic ministriju kompetenci valsts pārvaldē un paredz, ka ministrija organizē un koordinē likumu un citu normatīvo aktu īstenošanu, kā arī tā piedalās nozares politikas izstrādāšanā. Ievērojot minēto, pēc šāda principa ir sagrupētas arī </w:t>
            </w:r>
            <w:r w:rsidR="00E12369">
              <w:rPr>
                <w:rFonts w:ascii="Times New Roman" w:hAnsi="Times New Roman" w:cs="Times New Roman"/>
                <w:sz w:val="24"/>
                <w:szCs w:val="24"/>
              </w:rPr>
              <w:t xml:space="preserve">Tieslietu </w:t>
            </w:r>
            <w:r w:rsidR="00C03CC6" w:rsidRPr="00C03CC6">
              <w:rPr>
                <w:rFonts w:ascii="Times New Roman" w:hAnsi="Times New Roman" w:cs="Times New Roman"/>
                <w:sz w:val="24"/>
                <w:szCs w:val="24"/>
              </w:rPr>
              <w:t xml:space="preserve">ministrijas funkcijas un </w:t>
            </w:r>
            <w:r w:rsidR="00E12369">
              <w:rPr>
                <w:rFonts w:ascii="Times New Roman" w:hAnsi="Times New Roman" w:cs="Times New Roman"/>
                <w:sz w:val="24"/>
                <w:szCs w:val="24"/>
              </w:rPr>
              <w:t xml:space="preserve">no </w:t>
            </w:r>
            <w:r w:rsidR="00C03CC6" w:rsidRPr="00C03CC6">
              <w:rPr>
                <w:rFonts w:ascii="Times New Roman" w:hAnsi="Times New Roman" w:cs="Times New Roman"/>
                <w:sz w:val="24"/>
                <w:szCs w:val="24"/>
              </w:rPr>
              <w:t>tām izrietošie būtiskākie uzdevumi, vienlaikus paredzot, ka ministrija veic arī citas ārējos normatīvajos aktos noteiktās funkcijas un uzdevumus.</w:t>
            </w:r>
            <w:r w:rsidR="00C03CC6">
              <w:rPr>
                <w:rFonts w:ascii="Times New Roman" w:hAnsi="Times New Roman" w:cs="Times New Roman"/>
                <w:sz w:val="24"/>
                <w:szCs w:val="24"/>
              </w:rPr>
              <w:t xml:space="preserve"> </w:t>
            </w:r>
          </w:p>
          <w:p w:rsidR="00972BB2" w:rsidRPr="00240D4E" w:rsidRDefault="006D0839" w:rsidP="00972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D38BA">
              <w:rPr>
                <w:rFonts w:ascii="Times New Roman" w:hAnsi="Times New Roman" w:cs="Times New Roman"/>
                <w:sz w:val="24"/>
                <w:szCs w:val="24"/>
              </w:rPr>
              <w:t>. </w:t>
            </w:r>
            <w:r w:rsidR="00972BB2" w:rsidRPr="00D503A4">
              <w:rPr>
                <w:rFonts w:ascii="Times New Roman" w:hAnsi="Times New Roman" w:cs="Times New Roman"/>
                <w:sz w:val="24"/>
                <w:szCs w:val="24"/>
              </w:rPr>
              <w:t>Oficiālo publikāciju un tiesiskās informācijas likuma 14. panta pirmā daļa noteic, ka Tieslietu ministrija ir vadošā (augstākā) iestāde oficiālās publikācijas un tajā ietvertās informācijas sistematizācijas jomā. Ievēro</w:t>
            </w:r>
            <w:r w:rsidR="008B2494">
              <w:rPr>
                <w:rFonts w:ascii="Times New Roman" w:hAnsi="Times New Roman" w:cs="Times New Roman"/>
                <w:sz w:val="24"/>
                <w:szCs w:val="24"/>
              </w:rPr>
              <w:t>jot minēto, nolikumu informatīvā nolūkā</w:t>
            </w:r>
            <w:r w:rsidR="00972BB2" w:rsidRPr="00D503A4">
              <w:rPr>
                <w:rFonts w:ascii="Times New Roman" w:hAnsi="Times New Roman" w:cs="Times New Roman"/>
                <w:sz w:val="24"/>
                <w:szCs w:val="24"/>
              </w:rPr>
              <w:t xml:space="preserve"> vajadzētu papildināt ar kompetenci, ka </w:t>
            </w:r>
            <w:r w:rsidR="008B2494">
              <w:rPr>
                <w:rFonts w:ascii="Times New Roman" w:hAnsi="Times New Roman" w:cs="Times New Roman"/>
                <w:sz w:val="24"/>
                <w:szCs w:val="24"/>
              </w:rPr>
              <w:t xml:space="preserve">Tieslietu </w:t>
            </w:r>
            <w:r w:rsidR="00972BB2" w:rsidRPr="00D503A4">
              <w:rPr>
                <w:rFonts w:ascii="Times New Roman" w:hAnsi="Times New Roman" w:cs="Times New Roman"/>
                <w:sz w:val="24"/>
                <w:szCs w:val="24"/>
              </w:rPr>
              <w:t>ministrija</w:t>
            </w:r>
            <w:r w:rsidR="008B2494">
              <w:rPr>
                <w:rFonts w:ascii="Times New Roman" w:hAnsi="Times New Roman" w:cs="Times New Roman"/>
                <w:sz w:val="24"/>
                <w:szCs w:val="24"/>
              </w:rPr>
              <w:t xml:space="preserve">s funkcija ir </w:t>
            </w:r>
            <w:r w:rsidR="00972BB2" w:rsidRPr="00D503A4">
              <w:rPr>
                <w:rFonts w:ascii="Times New Roman" w:hAnsi="Times New Roman" w:cs="Times New Roman"/>
                <w:sz w:val="24"/>
                <w:szCs w:val="24"/>
              </w:rPr>
              <w:t>izstrādā</w:t>
            </w:r>
            <w:r w:rsidR="008B2494">
              <w:rPr>
                <w:rFonts w:ascii="Times New Roman" w:hAnsi="Times New Roman" w:cs="Times New Roman"/>
                <w:sz w:val="24"/>
                <w:szCs w:val="24"/>
              </w:rPr>
              <w:t>t</w:t>
            </w:r>
            <w:r w:rsidR="00972BB2" w:rsidRPr="00D503A4">
              <w:rPr>
                <w:rFonts w:ascii="Times New Roman" w:hAnsi="Times New Roman" w:cs="Times New Roman"/>
                <w:sz w:val="24"/>
                <w:szCs w:val="24"/>
              </w:rPr>
              <w:t>, organizē</w:t>
            </w:r>
            <w:r w:rsidR="008B2494">
              <w:rPr>
                <w:rFonts w:ascii="Times New Roman" w:hAnsi="Times New Roman" w:cs="Times New Roman"/>
                <w:sz w:val="24"/>
                <w:szCs w:val="24"/>
              </w:rPr>
              <w:t>t</w:t>
            </w:r>
            <w:r w:rsidR="00972BB2" w:rsidRPr="00D503A4">
              <w:rPr>
                <w:rFonts w:ascii="Times New Roman" w:hAnsi="Times New Roman" w:cs="Times New Roman"/>
                <w:sz w:val="24"/>
                <w:szCs w:val="24"/>
              </w:rPr>
              <w:t xml:space="preserve"> un koordinē</w:t>
            </w:r>
            <w:r w:rsidR="008B2494">
              <w:rPr>
                <w:rFonts w:ascii="Times New Roman" w:hAnsi="Times New Roman" w:cs="Times New Roman"/>
                <w:sz w:val="24"/>
                <w:szCs w:val="24"/>
              </w:rPr>
              <w:t>t</w:t>
            </w:r>
            <w:r w:rsidR="00972BB2" w:rsidRPr="00D503A4">
              <w:rPr>
                <w:rFonts w:ascii="Times New Roman" w:hAnsi="Times New Roman" w:cs="Times New Roman"/>
                <w:sz w:val="24"/>
                <w:szCs w:val="24"/>
              </w:rPr>
              <w:t xml:space="preserve"> politiku oficiālās publikācijas un tajā ietvertās informācijas sistematizācijas </w:t>
            </w:r>
            <w:r w:rsidR="00972BB2" w:rsidRPr="00240D4E">
              <w:rPr>
                <w:rFonts w:ascii="Times New Roman" w:hAnsi="Times New Roman" w:cs="Times New Roman"/>
                <w:sz w:val="24"/>
                <w:szCs w:val="24"/>
              </w:rPr>
              <w:t>jomā.</w:t>
            </w:r>
          </w:p>
          <w:p w:rsidR="00972BB2" w:rsidRDefault="006D0839" w:rsidP="00972BB2">
            <w:pPr>
              <w:pStyle w:val="tv2132"/>
              <w:spacing w:line="240" w:lineRule="auto"/>
              <w:ind w:firstLine="0"/>
              <w:jc w:val="both"/>
              <w:rPr>
                <w:i/>
                <w:color w:val="000000"/>
                <w:sz w:val="24"/>
                <w:szCs w:val="24"/>
              </w:rPr>
            </w:pPr>
            <w:r>
              <w:rPr>
                <w:color w:val="auto"/>
                <w:sz w:val="24"/>
                <w:szCs w:val="24"/>
              </w:rPr>
              <w:t>3</w:t>
            </w:r>
            <w:r w:rsidR="00972BB2">
              <w:rPr>
                <w:color w:val="auto"/>
                <w:sz w:val="24"/>
                <w:szCs w:val="24"/>
              </w:rPr>
              <w:t>. S</w:t>
            </w:r>
            <w:r w:rsidR="00972BB2">
              <w:rPr>
                <w:color w:val="000000"/>
                <w:sz w:val="24"/>
                <w:szCs w:val="24"/>
              </w:rPr>
              <w:t xml:space="preserve">askaņā ar Tieslietu ministrijas </w:t>
            </w:r>
            <w:r w:rsidR="000D2B07">
              <w:rPr>
                <w:color w:val="000000"/>
                <w:sz w:val="24"/>
                <w:szCs w:val="24"/>
              </w:rPr>
              <w:t xml:space="preserve">2017. gada 7. marta </w:t>
            </w:r>
            <w:r w:rsidR="00972BB2">
              <w:rPr>
                <w:color w:val="000000"/>
                <w:sz w:val="24"/>
                <w:szCs w:val="24"/>
              </w:rPr>
              <w:t xml:space="preserve">reglamenta </w:t>
            </w:r>
            <w:r w:rsidR="000D2B07" w:rsidRPr="000D2B07">
              <w:rPr>
                <w:color w:val="000000"/>
                <w:sz w:val="24"/>
                <w:szCs w:val="24"/>
              </w:rPr>
              <w:t>Nr.1</w:t>
            </w:r>
            <w:r w:rsidR="000D2B07">
              <w:rPr>
                <w:color w:val="000000"/>
                <w:sz w:val="24"/>
                <w:szCs w:val="24"/>
              </w:rPr>
              <w:t>-2/12</w:t>
            </w:r>
            <w:r w:rsidR="00972BB2">
              <w:rPr>
                <w:color w:val="000000"/>
                <w:sz w:val="24"/>
                <w:szCs w:val="24"/>
              </w:rPr>
              <w:t xml:space="preserve"> </w:t>
            </w:r>
            <w:r w:rsidR="000D2B07">
              <w:rPr>
                <w:color w:val="000000"/>
                <w:sz w:val="24"/>
                <w:szCs w:val="24"/>
              </w:rPr>
              <w:t>27</w:t>
            </w:r>
            <w:r w:rsidR="00972BB2">
              <w:rPr>
                <w:color w:val="000000"/>
                <w:sz w:val="24"/>
                <w:szCs w:val="24"/>
              </w:rPr>
              <w:t xml:space="preserve">.1. apakšpunktu Tieslietu ministrijas Dzimtsarakstu </w:t>
            </w:r>
            <w:r w:rsidR="00972BB2">
              <w:rPr>
                <w:color w:val="000000"/>
                <w:sz w:val="24"/>
                <w:szCs w:val="24"/>
              </w:rPr>
              <w:lastRenderedPageBreak/>
              <w:t>departaments plāno un izstrādā civilstāvokļa aktu reģistrācijas politiku, kā arī koordinē tās īstenošanu. Ievērojot minēto</w:t>
            </w:r>
            <w:r w:rsidR="000D0FD3">
              <w:rPr>
                <w:color w:val="000000"/>
                <w:sz w:val="24"/>
                <w:szCs w:val="24"/>
              </w:rPr>
              <w:t>,</w:t>
            </w:r>
            <w:r w:rsidR="00972BB2">
              <w:rPr>
                <w:color w:val="000000"/>
                <w:sz w:val="24"/>
                <w:szCs w:val="24"/>
              </w:rPr>
              <w:t xml:space="preserve"> nepieciešams nolikumu papil</w:t>
            </w:r>
            <w:r w:rsidR="00D2286B">
              <w:rPr>
                <w:color w:val="000000"/>
                <w:sz w:val="24"/>
                <w:szCs w:val="24"/>
              </w:rPr>
              <w:t>dināt ar atbilstošu kompetenci.</w:t>
            </w:r>
          </w:p>
          <w:p w:rsidR="00972BB2" w:rsidRDefault="006D0839" w:rsidP="00972BB2">
            <w:pPr>
              <w:spacing w:after="0" w:line="240" w:lineRule="auto"/>
              <w:jc w:val="both"/>
              <w:rPr>
                <w:rFonts w:ascii="Times New Roman" w:hAnsi="Times New Roman"/>
                <w:sz w:val="24"/>
                <w:szCs w:val="24"/>
              </w:rPr>
            </w:pPr>
            <w:r>
              <w:rPr>
                <w:rFonts w:ascii="Times New Roman" w:hAnsi="Times New Roman"/>
                <w:sz w:val="24"/>
                <w:szCs w:val="24"/>
              </w:rPr>
              <w:t>4</w:t>
            </w:r>
            <w:r w:rsidR="00972BB2">
              <w:rPr>
                <w:rFonts w:ascii="Times New Roman" w:hAnsi="Times New Roman"/>
                <w:sz w:val="24"/>
                <w:szCs w:val="24"/>
              </w:rPr>
              <w:t>. </w:t>
            </w:r>
            <w:r w:rsidR="00972BB2" w:rsidRPr="00237724">
              <w:rPr>
                <w:rFonts w:ascii="Times New Roman" w:hAnsi="Times New Roman"/>
                <w:sz w:val="24"/>
                <w:szCs w:val="24"/>
              </w:rPr>
              <w:t xml:space="preserve">Domstarpību risināšanas sistēmā tādi alternatīvi domstarpību risināšanas veidi kā mediācija un šķīrējtiesa atzīstami par tikpat patstāvīgiem kā tiesvedības process. Efektīva alternatīvo domstarpību risināšanas veidu izmantošana atslogo tiesu sistēmu, samazina lietu </w:t>
            </w:r>
            <w:r w:rsidR="008B2494">
              <w:rPr>
                <w:rFonts w:ascii="Times New Roman" w:hAnsi="Times New Roman"/>
                <w:sz w:val="24"/>
                <w:szCs w:val="24"/>
              </w:rPr>
              <w:t>izskatīšanas ilgumu tiesās, tādē</w:t>
            </w:r>
            <w:r w:rsidR="00972BB2" w:rsidRPr="00237724">
              <w:rPr>
                <w:rFonts w:ascii="Times New Roman" w:hAnsi="Times New Roman"/>
                <w:sz w:val="24"/>
                <w:szCs w:val="24"/>
              </w:rPr>
              <w:t>jādi politikas izstrāde alternatīvo strīdu risināšanas jomā ir būtiska Tieslietu ministrijai kā vadošai valsts pārvaldes iestādei, īstenojot valsts politiku tieslietu jomā.</w:t>
            </w:r>
            <w:r w:rsidR="00972BB2">
              <w:rPr>
                <w:rFonts w:ascii="Times New Roman" w:hAnsi="Times New Roman"/>
                <w:sz w:val="24"/>
                <w:szCs w:val="24"/>
              </w:rPr>
              <w:t xml:space="preserve"> Tāpēc nepieciešams p</w:t>
            </w:r>
            <w:r w:rsidR="00972BB2" w:rsidRPr="00237724">
              <w:rPr>
                <w:rFonts w:ascii="Times New Roman" w:hAnsi="Times New Roman"/>
                <w:sz w:val="24"/>
                <w:szCs w:val="24"/>
              </w:rPr>
              <w:t xml:space="preserve">apildināt </w:t>
            </w:r>
            <w:r w:rsidR="00972BB2">
              <w:rPr>
                <w:rFonts w:ascii="Times New Roman" w:hAnsi="Times New Roman"/>
                <w:sz w:val="24"/>
                <w:szCs w:val="24"/>
              </w:rPr>
              <w:t xml:space="preserve">nolikumu ar </w:t>
            </w:r>
            <w:r w:rsidR="00972BB2" w:rsidRPr="00237724">
              <w:rPr>
                <w:rFonts w:ascii="Times New Roman" w:hAnsi="Times New Roman"/>
                <w:sz w:val="24"/>
                <w:szCs w:val="24"/>
              </w:rPr>
              <w:t xml:space="preserve">Tieslietu ministrijas kompetenci izstrādāt politiku alternatīvu strīdu risināšanas veidu – šķīrējtiesu un mediācijas, jomā. </w:t>
            </w:r>
          </w:p>
          <w:p w:rsidR="00CE1226" w:rsidRDefault="006D0839" w:rsidP="00CE122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000C3010">
              <w:rPr>
                <w:rFonts w:ascii="Times New Roman" w:eastAsia="Times New Roman" w:hAnsi="Times New Roman"/>
                <w:sz w:val="24"/>
                <w:szCs w:val="24"/>
              </w:rPr>
              <w:t>. </w:t>
            </w:r>
            <w:r w:rsidR="00CE1226" w:rsidRPr="00CD3FBD">
              <w:rPr>
                <w:rFonts w:ascii="Times New Roman" w:eastAsia="Times New Roman" w:hAnsi="Times New Roman"/>
                <w:sz w:val="24"/>
                <w:szCs w:val="24"/>
              </w:rPr>
              <w:t>Saskaņā ar Ministru kabineta 2014.</w:t>
            </w:r>
            <w:r w:rsidR="008B2494">
              <w:rPr>
                <w:rFonts w:ascii="Times New Roman" w:eastAsia="Times New Roman" w:hAnsi="Times New Roman"/>
                <w:sz w:val="24"/>
                <w:szCs w:val="24"/>
              </w:rPr>
              <w:t> </w:t>
            </w:r>
            <w:r w:rsidR="00CE1226" w:rsidRPr="00CD3FBD">
              <w:rPr>
                <w:rFonts w:ascii="Times New Roman" w:eastAsia="Times New Roman" w:hAnsi="Times New Roman"/>
                <w:sz w:val="24"/>
                <w:szCs w:val="24"/>
              </w:rPr>
              <w:t>gada 16.</w:t>
            </w:r>
            <w:r w:rsidR="008B2494">
              <w:rPr>
                <w:rFonts w:ascii="Times New Roman" w:eastAsia="Times New Roman" w:hAnsi="Times New Roman"/>
                <w:sz w:val="24"/>
                <w:szCs w:val="24"/>
              </w:rPr>
              <w:t> </w:t>
            </w:r>
            <w:r w:rsidR="00CE1226" w:rsidRPr="00CD3FBD">
              <w:rPr>
                <w:rFonts w:ascii="Times New Roman" w:eastAsia="Times New Roman" w:hAnsi="Times New Roman"/>
                <w:sz w:val="24"/>
                <w:szCs w:val="24"/>
              </w:rPr>
              <w:t>septembra sēdes protokollēmuma (prot. Nr.</w:t>
            </w:r>
            <w:r w:rsidR="008B2494">
              <w:rPr>
                <w:rFonts w:ascii="Times New Roman" w:eastAsia="Times New Roman" w:hAnsi="Times New Roman"/>
                <w:sz w:val="24"/>
                <w:szCs w:val="24"/>
              </w:rPr>
              <w:t> </w:t>
            </w:r>
            <w:r w:rsidR="00CE1226" w:rsidRPr="00CD3FBD">
              <w:rPr>
                <w:rFonts w:ascii="Times New Roman" w:eastAsia="Times New Roman" w:hAnsi="Times New Roman"/>
                <w:sz w:val="24"/>
                <w:szCs w:val="24"/>
              </w:rPr>
              <w:t>49 64.</w:t>
            </w:r>
            <w:r w:rsidR="008B2494">
              <w:rPr>
                <w:rFonts w:ascii="Times New Roman" w:eastAsia="Times New Roman" w:hAnsi="Times New Roman"/>
                <w:sz w:val="24"/>
                <w:szCs w:val="24"/>
              </w:rPr>
              <w:t> §) "</w:t>
            </w:r>
            <w:r w:rsidR="00CE1226" w:rsidRPr="00CD3FBD">
              <w:rPr>
                <w:rFonts w:ascii="Times New Roman" w:eastAsia="Times New Roman" w:hAnsi="Times New Roman"/>
                <w:sz w:val="24"/>
                <w:szCs w:val="24"/>
              </w:rPr>
              <w:t>Informatīvais ziņojums "Par priekšlikumiem noziedzīgi iegūtu līdzekļu legalizācijas un terorisma finansēšanas risku novērtēšanas institucionālajam modelim</w:t>
            </w:r>
            <w:r w:rsidR="008B2494">
              <w:rPr>
                <w:rFonts w:ascii="Times New Roman" w:eastAsia="Times New Roman" w:hAnsi="Times New Roman"/>
                <w:sz w:val="24"/>
                <w:szCs w:val="24"/>
              </w:rPr>
              <w:t>""</w:t>
            </w:r>
            <w:r w:rsidR="00CE1226" w:rsidRPr="00CD3FBD">
              <w:rPr>
                <w:rFonts w:ascii="Times New Roman" w:eastAsia="Times New Roman" w:hAnsi="Times New Roman"/>
                <w:sz w:val="24"/>
                <w:szCs w:val="24"/>
              </w:rPr>
              <w:t xml:space="preserve"> </w:t>
            </w:r>
            <w:r w:rsidR="008B2494">
              <w:rPr>
                <w:rFonts w:ascii="Times New Roman" w:eastAsia="Times New Roman" w:hAnsi="Times New Roman"/>
                <w:sz w:val="24"/>
                <w:szCs w:val="24"/>
              </w:rPr>
              <w:t>7</w:t>
            </w:r>
            <w:r w:rsidR="00CE1226" w:rsidRPr="00CD3FBD">
              <w:rPr>
                <w:rFonts w:ascii="Times New Roman" w:eastAsia="Times New Roman" w:hAnsi="Times New Roman"/>
                <w:sz w:val="24"/>
                <w:szCs w:val="24"/>
              </w:rPr>
              <w:t>.</w:t>
            </w:r>
            <w:r w:rsidR="008B2494">
              <w:rPr>
                <w:rFonts w:ascii="Times New Roman" w:eastAsia="Times New Roman" w:hAnsi="Times New Roman"/>
                <w:sz w:val="24"/>
                <w:szCs w:val="24"/>
              </w:rPr>
              <w:t> </w:t>
            </w:r>
            <w:r w:rsidR="00CE1226" w:rsidRPr="00CD3FBD">
              <w:rPr>
                <w:rFonts w:ascii="Times New Roman" w:eastAsia="Times New Roman" w:hAnsi="Times New Roman"/>
                <w:sz w:val="24"/>
                <w:szCs w:val="24"/>
              </w:rPr>
              <w:t xml:space="preserve">punktu </w:t>
            </w:r>
            <w:r w:rsidR="00CE1226">
              <w:rPr>
                <w:rFonts w:ascii="Times New Roman" w:eastAsia="Times New Roman" w:hAnsi="Times New Roman"/>
                <w:sz w:val="24"/>
                <w:szCs w:val="24"/>
              </w:rPr>
              <w:t>tika pieņemts zināšanai</w:t>
            </w:r>
            <w:r w:rsidR="00CE1226" w:rsidRPr="00CD3FBD">
              <w:rPr>
                <w:rFonts w:ascii="Times New Roman" w:eastAsia="Times New Roman" w:hAnsi="Times New Roman"/>
                <w:sz w:val="24"/>
                <w:szCs w:val="24"/>
              </w:rPr>
              <w:t>, ka Finanšu ministrija un Tieslietu ministrija atbilstoši informatīvā ziņojuma 3.</w:t>
            </w:r>
            <w:r w:rsidR="008B2494">
              <w:rPr>
                <w:rFonts w:ascii="Times New Roman" w:eastAsia="Times New Roman" w:hAnsi="Times New Roman"/>
                <w:sz w:val="24"/>
                <w:szCs w:val="24"/>
              </w:rPr>
              <w:t> </w:t>
            </w:r>
            <w:r w:rsidR="00CE1226" w:rsidRPr="00CD3FBD">
              <w:rPr>
                <w:rFonts w:ascii="Times New Roman" w:eastAsia="Times New Roman" w:hAnsi="Times New Roman"/>
                <w:sz w:val="24"/>
                <w:szCs w:val="24"/>
              </w:rPr>
              <w:t xml:space="preserve">sadaļā norādītajām kompetences jomām ir noziedzīgi iegūtu līdzekļu legalizācijas un terorisma finansēšanas risku novēršanas politiku veidojošās institūcijas. </w:t>
            </w:r>
            <w:r w:rsidR="00CE1226">
              <w:rPr>
                <w:rFonts w:ascii="Times New Roman" w:eastAsia="Times New Roman" w:hAnsi="Times New Roman"/>
                <w:sz w:val="24"/>
                <w:szCs w:val="24"/>
              </w:rPr>
              <w:t xml:space="preserve">Saskaņā ar </w:t>
            </w:r>
            <w:r w:rsidR="00CE1226" w:rsidRPr="002B0085">
              <w:rPr>
                <w:rFonts w:ascii="Times New Roman" w:eastAsia="Times New Roman" w:hAnsi="Times New Roman"/>
                <w:sz w:val="24"/>
                <w:szCs w:val="24"/>
              </w:rPr>
              <w:t>Noziedzīgi iegūtu līdzekļu legalizācijas un terorism</w:t>
            </w:r>
            <w:r w:rsidR="00CE1226">
              <w:rPr>
                <w:rFonts w:ascii="Times New Roman" w:eastAsia="Times New Roman" w:hAnsi="Times New Roman"/>
                <w:sz w:val="24"/>
                <w:szCs w:val="24"/>
              </w:rPr>
              <w:t>a finansēšanas novēršanas likuma 3.</w:t>
            </w:r>
            <w:r w:rsidR="008B2494">
              <w:rPr>
                <w:rFonts w:ascii="Times New Roman" w:eastAsia="Times New Roman" w:hAnsi="Times New Roman"/>
                <w:sz w:val="24"/>
                <w:szCs w:val="24"/>
              </w:rPr>
              <w:t> </w:t>
            </w:r>
            <w:r w:rsidR="00CE1226">
              <w:rPr>
                <w:rFonts w:ascii="Times New Roman" w:eastAsia="Times New Roman" w:hAnsi="Times New Roman"/>
                <w:sz w:val="24"/>
                <w:szCs w:val="24"/>
              </w:rPr>
              <w:t xml:space="preserve">pantā noteikto, </w:t>
            </w:r>
            <w:r w:rsidR="00CE1226" w:rsidRPr="002B0085">
              <w:rPr>
                <w:rFonts w:ascii="Times New Roman" w:eastAsia="Times New Roman" w:hAnsi="Times New Roman"/>
                <w:sz w:val="24"/>
                <w:szCs w:val="24"/>
              </w:rPr>
              <w:t>zvērināti notāri</w:t>
            </w:r>
            <w:r w:rsidR="00CE1226">
              <w:rPr>
                <w:rFonts w:ascii="Times New Roman" w:eastAsia="Times New Roman" w:hAnsi="Times New Roman"/>
                <w:sz w:val="24"/>
                <w:szCs w:val="24"/>
              </w:rPr>
              <w:t xml:space="preserve"> un</w:t>
            </w:r>
            <w:r w:rsidR="00CE1226" w:rsidRPr="002B0085">
              <w:rPr>
                <w:rFonts w:ascii="Times New Roman" w:eastAsia="Times New Roman" w:hAnsi="Times New Roman"/>
                <w:sz w:val="24"/>
                <w:szCs w:val="24"/>
              </w:rPr>
              <w:t xml:space="preserve"> zvērināti advokāti</w:t>
            </w:r>
            <w:r w:rsidR="00CE1226">
              <w:rPr>
                <w:rFonts w:ascii="Times New Roman" w:eastAsia="Times New Roman" w:hAnsi="Times New Roman"/>
                <w:sz w:val="24"/>
                <w:szCs w:val="24"/>
              </w:rPr>
              <w:t xml:space="preserve"> ir minētā likuma subjekti. Papildus informatīvajā ziņojumā tika norādīts, ka u</w:t>
            </w:r>
            <w:r w:rsidR="00CE1226" w:rsidRPr="00911DD6">
              <w:rPr>
                <w:rFonts w:ascii="Times New Roman" w:eastAsia="Times New Roman" w:hAnsi="Times New Roman"/>
                <w:sz w:val="24"/>
                <w:szCs w:val="24"/>
              </w:rPr>
              <w:t xml:space="preserve">z Tieslietu ministrijas kompetenci tiesību normu veidošanas jomā zināmā mērā kā uz tieslietu jomas politikas veidotāju var attiecināt arī pirmstiesas izmeklēšanas iestādes, prokuratūru, tiesu, </w:t>
            </w:r>
            <w:r w:rsidR="0069046F">
              <w:rPr>
                <w:rFonts w:ascii="Times New Roman" w:eastAsia="Times New Roman" w:hAnsi="Times New Roman"/>
                <w:sz w:val="24"/>
                <w:szCs w:val="24"/>
              </w:rPr>
              <w:t xml:space="preserve">zvērinātus </w:t>
            </w:r>
            <w:r w:rsidR="00CE1226" w:rsidRPr="00911DD6">
              <w:rPr>
                <w:rFonts w:ascii="Times New Roman" w:eastAsia="Times New Roman" w:hAnsi="Times New Roman"/>
                <w:sz w:val="24"/>
                <w:szCs w:val="24"/>
              </w:rPr>
              <w:t>tiesu izpildītājus un daļēji arī Noziedzīgi iegūtu līdzekļu legalizācijas novēršanas dienestu (strikti ievērojot to, ka šis dienests ir prokurat</w:t>
            </w:r>
            <w:r w:rsidR="00CE1226">
              <w:rPr>
                <w:rFonts w:ascii="Times New Roman" w:eastAsia="Times New Roman" w:hAnsi="Times New Roman"/>
                <w:sz w:val="24"/>
                <w:szCs w:val="24"/>
              </w:rPr>
              <w:t>ūras pārraudzībā esoša iestāde)</w:t>
            </w:r>
            <w:r w:rsidR="00CE1226" w:rsidRPr="00911DD6">
              <w:rPr>
                <w:rFonts w:ascii="Times New Roman" w:eastAsia="Times New Roman" w:hAnsi="Times New Roman"/>
                <w:sz w:val="24"/>
                <w:szCs w:val="24"/>
              </w:rPr>
              <w:t>.</w:t>
            </w:r>
            <w:r w:rsidR="00CE1226">
              <w:rPr>
                <w:rFonts w:ascii="Times New Roman" w:eastAsia="Times New Roman" w:hAnsi="Times New Roman"/>
                <w:sz w:val="24"/>
                <w:szCs w:val="24"/>
              </w:rPr>
              <w:t xml:space="preserve"> Tādējādi uz Tieslietu ministriju</w:t>
            </w:r>
            <w:r w:rsidR="0069046F">
              <w:rPr>
                <w:rFonts w:ascii="Times New Roman" w:eastAsia="Times New Roman" w:hAnsi="Times New Roman"/>
                <w:sz w:val="24"/>
                <w:szCs w:val="24"/>
              </w:rPr>
              <w:t>,</w:t>
            </w:r>
            <w:r w:rsidR="00CE1226">
              <w:rPr>
                <w:rFonts w:ascii="Times New Roman" w:eastAsia="Times New Roman" w:hAnsi="Times New Roman"/>
                <w:sz w:val="24"/>
                <w:szCs w:val="24"/>
              </w:rPr>
              <w:t xml:space="preserve"> </w:t>
            </w:r>
            <w:r w:rsidR="00CE1226" w:rsidRPr="00CD3FBD">
              <w:rPr>
                <w:rFonts w:ascii="Times New Roman" w:eastAsia="Times New Roman" w:hAnsi="Times New Roman"/>
                <w:sz w:val="24"/>
                <w:szCs w:val="24"/>
              </w:rPr>
              <w:t>tiesību normu veidošanas jomā</w:t>
            </w:r>
            <w:r w:rsidR="0069046F">
              <w:rPr>
                <w:rFonts w:ascii="Times New Roman" w:eastAsia="Times New Roman" w:hAnsi="Times New Roman"/>
                <w:sz w:val="24"/>
                <w:szCs w:val="24"/>
              </w:rPr>
              <w:t>,</w:t>
            </w:r>
            <w:r w:rsidR="00CE1226" w:rsidRPr="00CD3FBD">
              <w:rPr>
                <w:rFonts w:ascii="Times New Roman" w:eastAsia="Times New Roman" w:hAnsi="Times New Roman"/>
                <w:sz w:val="24"/>
                <w:szCs w:val="24"/>
              </w:rPr>
              <w:t xml:space="preserve"> kā uz tieslietu jomas politikas </w:t>
            </w:r>
            <w:r w:rsidR="008B2494">
              <w:rPr>
                <w:rFonts w:ascii="Times New Roman" w:eastAsia="Times New Roman" w:hAnsi="Times New Roman"/>
                <w:sz w:val="24"/>
                <w:szCs w:val="24"/>
              </w:rPr>
              <w:t>izstrādātāju</w:t>
            </w:r>
            <w:r w:rsidR="00CE1226" w:rsidRPr="00CD3FBD">
              <w:rPr>
                <w:rFonts w:ascii="Times New Roman" w:eastAsia="Times New Roman" w:hAnsi="Times New Roman"/>
                <w:sz w:val="24"/>
                <w:szCs w:val="24"/>
              </w:rPr>
              <w:t xml:space="preserve"> attiecina </w:t>
            </w:r>
            <w:r w:rsidR="00CE1226">
              <w:rPr>
                <w:rFonts w:ascii="Times New Roman" w:eastAsia="Times New Roman" w:hAnsi="Times New Roman"/>
                <w:sz w:val="24"/>
                <w:szCs w:val="24"/>
              </w:rPr>
              <w:t xml:space="preserve">šī </w:t>
            </w:r>
            <w:r w:rsidR="00CE1226" w:rsidRPr="00CD3FBD">
              <w:rPr>
                <w:rFonts w:ascii="Times New Roman" w:eastAsia="Times New Roman" w:hAnsi="Times New Roman"/>
                <w:sz w:val="24"/>
                <w:szCs w:val="24"/>
              </w:rPr>
              <w:t>nefinanšu sektora</w:t>
            </w:r>
            <w:r w:rsidR="00CE1226">
              <w:rPr>
                <w:rFonts w:ascii="Times New Roman" w:eastAsia="Times New Roman" w:hAnsi="Times New Roman"/>
                <w:sz w:val="24"/>
                <w:szCs w:val="24"/>
              </w:rPr>
              <w:t xml:space="preserve"> (zvērināti notāri, zvērināti advokāti, </w:t>
            </w:r>
            <w:r w:rsidR="00CE1226" w:rsidRPr="005914F2">
              <w:rPr>
                <w:rFonts w:ascii="Times New Roman" w:eastAsia="Times New Roman" w:hAnsi="Times New Roman"/>
                <w:sz w:val="24"/>
                <w:szCs w:val="24"/>
              </w:rPr>
              <w:t>pirmstiesas izmeklēšanas iestādes, prokuratūr</w:t>
            </w:r>
            <w:r w:rsidR="00CE1226">
              <w:rPr>
                <w:rFonts w:ascii="Times New Roman" w:eastAsia="Times New Roman" w:hAnsi="Times New Roman"/>
                <w:sz w:val="24"/>
                <w:szCs w:val="24"/>
              </w:rPr>
              <w:t>a, tiesa</w:t>
            </w:r>
            <w:r w:rsidR="00CE1226" w:rsidRPr="005914F2">
              <w:rPr>
                <w:rFonts w:ascii="Times New Roman" w:eastAsia="Times New Roman" w:hAnsi="Times New Roman"/>
                <w:sz w:val="24"/>
                <w:szCs w:val="24"/>
              </w:rPr>
              <w:t xml:space="preserve">, </w:t>
            </w:r>
            <w:r w:rsidR="0069046F">
              <w:rPr>
                <w:rFonts w:ascii="Times New Roman" w:eastAsia="Times New Roman" w:hAnsi="Times New Roman"/>
                <w:sz w:val="24"/>
                <w:szCs w:val="24"/>
              </w:rPr>
              <w:t xml:space="preserve">zvērināti </w:t>
            </w:r>
            <w:r w:rsidR="00CE1226" w:rsidRPr="005914F2">
              <w:rPr>
                <w:rFonts w:ascii="Times New Roman" w:eastAsia="Times New Roman" w:hAnsi="Times New Roman"/>
                <w:sz w:val="24"/>
                <w:szCs w:val="24"/>
              </w:rPr>
              <w:t>tiesu izpildītāj</w:t>
            </w:r>
            <w:r w:rsidR="00CE1226">
              <w:rPr>
                <w:rFonts w:ascii="Times New Roman" w:eastAsia="Times New Roman" w:hAnsi="Times New Roman"/>
                <w:sz w:val="24"/>
                <w:szCs w:val="24"/>
              </w:rPr>
              <w:t>i</w:t>
            </w:r>
            <w:r w:rsidR="00CE1226" w:rsidRPr="005914F2">
              <w:rPr>
                <w:rFonts w:ascii="Times New Roman" w:eastAsia="Times New Roman" w:hAnsi="Times New Roman"/>
                <w:sz w:val="24"/>
                <w:szCs w:val="24"/>
              </w:rPr>
              <w:t xml:space="preserve"> un daļēji Noziedzīgi iegūtu līdzekļu legalizācijas novēršanas dienest</w:t>
            </w:r>
            <w:r w:rsidR="00CE1226">
              <w:rPr>
                <w:rFonts w:ascii="Times New Roman" w:eastAsia="Times New Roman" w:hAnsi="Times New Roman"/>
                <w:sz w:val="24"/>
                <w:szCs w:val="24"/>
              </w:rPr>
              <w:t>s)</w:t>
            </w:r>
            <w:r w:rsidR="00CE1226" w:rsidRPr="00CD3FBD">
              <w:rPr>
                <w:rFonts w:ascii="Times New Roman" w:eastAsia="Times New Roman" w:hAnsi="Times New Roman"/>
                <w:sz w:val="24"/>
                <w:szCs w:val="24"/>
              </w:rPr>
              <w:t xml:space="preserve"> noziedzīgi iegūtu līdzekļu legalizācijas un terorisma finansēšanas novēršan</w:t>
            </w:r>
            <w:r w:rsidR="000C3010">
              <w:rPr>
                <w:rFonts w:ascii="Times New Roman" w:eastAsia="Times New Roman" w:hAnsi="Times New Roman"/>
                <w:sz w:val="24"/>
                <w:szCs w:val="24"/>
              </w:rPr>
              <w:t xml:space="preserve">as </w:t>
            </w:r>
            <w:r w:rsidR="00CE1226">
              <w:rPr>
                <w:rFonts w:ascii="Times New Roman" w:eastAsia="Times New Roman" w:hAnsi="Times New Roman"/>
                <w:sz w:val="24"/>
                <w:szCs w:val="24"/>
              </w:rPr>
              <w:t xml:space="preserve">politikas </w:t>
            </w:r>
            <w:r w:rsidR="008B2494">
              <w:rPr>
                <w:rFonts w:ascii="Times New Roman" w:eastAsia="Times New Roman" w:hAnsi="Times New Roman"/>
                <w:sz w:val="24"/>
                <w:szCs w:val="24"/>
              </w:rPr>
              <w:t>izstrādi</w:t>
            </w:r>
            <w:r w:rsidR="00CE1226">
              <w:rPr>
                <w:rFonts w:ascii="Times New Roman" w:eastAsia="Times New Roman" w:hAnsi="Times New Roman"/>
                <w:sz w:val="24"/>
                <w:szCs w:val="24"/>
              </w:rPr>
              <w:t xml:space="preserve"> valstī.</w:t>
            </w:r>
          </w:p>
          <w:p w:rsidR="00CE1226" w:rsidRDefault="00CE1226" w:rsidP="005F51B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Ievērojot minēto, nolikums būtu papildināms ar jaunu </w:t>
            </w:r>
            <w:r w:rsidR="008B2494">
              <w:rPr>
                <w:rFonts w:ascii="Times New Roman" w:eastAsia="Times New Roman" w:hAnsi="Times New Roman"/>
                <w:sz w:val="24"/>
                <w:szCs w:val="24"/>
              </w:rPr>
              <w:t xml:space="preserve">Tieslietu </w:t>
            </w:r>
            <w:r>
              <w:rPr>
                <w:rFonts w:ascii="Times New Roman" w:eastAsia="Times New Roman" w:hAnsi="Times New Roman"/>
                <w:sz w:val="24"/>
                <w:szCs w:val="24"/>
              </w:rPr>
              <w:t xml:space="preserve">ministrijas </w:t>
            </w:r>
            <w:r w:rsidR="006D0839">
              <w:rPr>
                <w:rFonts w:ascii="Times New Roman" w:eastAsia="Times New Roman" w:hAnsi="Times New Roman"/>
                <w:sz w:val="24"/>
                <w:szCs w:val="24"/>
              </w:rPr>
              <w:t>funkciju</w:t>
            </w:r>
            <w:r>
              <w:rPr>
                <w:rFonts w:ascii="Times New Roman" w:eastAsia="Times New Roman" w:hAnsi="Times New Roman"/>
                <w:sz w:val="24"/>
                <w:szCs w:val="24"/>
              </w:rPr>
              <w:t>, nosakot, ka ministrija atbilstoši noteiktajai kompetencei kopīgi ar Finanšu ministriju izstrādā politiku</w:t>
            </w:r>
            <w:r w:rsidRPr="005914F2">
              <w:rPr>
                <w:rFonts w:ascii="Times New Roman" w:eastAsia="Times New Roman" w:hAnsi="Times New Roman"/>
                <w:sz w:val="24"/>
                <w:szCs w:val="24"/>
              </w:rPr>
              <w:t xml:space="preserve"> noziedzīgi iegūtu līdzekļu legalizācijas un terorisma finansēšanas novēršanas jomā</w:t>
            </w:r>
            <w:r>
              <w:rPr>
                <w:rFonts w:ascii="Times New Roman" w:eastAsia="Times New Roman" w:hAnsi="Times New Roman"/>
                <w:sz w:val="24"/>
                <w:szCs w:val="24"/>
              </w:rPr>
              <w:t>.</w:t>
            </w:r>
          </w:p>
          <w:p w:rsidR="003A13C6" w:rsidRPr="00C4702B" w:rsidRDefault="006D0839" w:rsidP="003A13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3A13C6" w:rsidRPr="00E513E1">
              <w:rPr>
                <w:rFonts w:ascii="Times New Roman" w:hAnsi="Times New Roman" w:cs="Times New Roman"/>
                <w:sz w:val="24"/>
                <w:szCs w:val="24"/>
              </w:rPr>
              <w:t>. </w:t>
            </w:r>
            <w:r w:rsidR="003A13C6">
              <w:rPr>
                <w:rFonts w:ascii="Times New Roman" w:hAnsi="Times New Roman" w:cs="Times New Roman"/>
                <w:sz w:val="24"/>
                <w:szCs w:val="24"/>
              </w:rPr>
              <w:t>Nepieciešams p</w:t>
            </w:r>
            <w:r w:rsidR="003A13C6" w:rsidRPr="006324E6">
              <w:rPr>
                <w:rFonts w:ascii="Times New Roman" w:hAnsi="Times New Roman" w:cs="Times New Roman"/>
                <w:sz w:val="24"/>
                <w:szCs w:val="24"/>
              </w:rPr>
              <w:t xml:space="preserve">recizēt </w:t>
            </w:r>
            <w:r w:rsidR="003A13C6">
              <w:rPr>
                <w:rFonts w:ascii="Times New Roman" w:hAnsi="Times New Roman" w:cs="Times New Roman"/>
                <w:sz w:val="24"/>
                <w:szCs w:val="24"/>
              </w:rPr>
              <w:t>n</w:t>
            </w:r>
            <w:r w:rsidR="008B2494">
              <w:rPr>
                <w:rFonts w:ascii="Times New Roman" w:hAnsi="Times New Roman" w:cs="Times New Roman"/>
                <w:sz w:val="24"/>
                <w:szCs w:val="24"/>
              </w:rPr>
              <w:t>olikuma 4.2.</w:t>
            </w:r>
            <w:r w:rsidR="008B2494" w:rsidRPr="00206604">
              <w:rPr>
                <w:rFonts w:ascii="Times New Roman" w:hAnsi="Times New Roman" w:cs="Times New Roman"/>
                <w:sz w:val="24"/>
                <w:szCs w:val="24"/>
                <w:vertAlign w:val="superscript"/>
              </w:rPr>
              <w:t>2</w:t>
            </w:r>
            <w:r w:rsidR="008B2494">
              <w:rPr>
                <w:rFonts w:ascii="Times New Roman" w:hAnsi="Times New Roman" w:cs="Times New Roman"/>
                <w:sz w:val="24"/>
                <w:szCs w:val="24"/>
              </w:rPr>
              <w:t xml:space="preserve"> un 15.13. </w:t>
            </w:r>
            <w:r w:rsidR="00206604">
              <w:rPr>
                <w:rFonts w:ascii="Times New Roman" w:hAnsi="Times New Roman" w:cs="Times New Roman"/>
                <w:sz w:val="24"/>
                <w:szCs w:val="24"/>
              </w:rPr>
              <w:t>apakš</w:t>
            </w:r>
            <w:r w:rsidR="008B2494">
              <w:rPr>
                <w:rFonts w:ascii="Times New Roman" w:hAnsi="Times New Roman" w:cs="Times New Roman"/>
                <w:sz w:val="24"/>
                <w:szCs w:val="24"/>
              </w:rPr>
              <w:t xml:space="preserve">punktu, jo </w:t>
            </w:r>
            <w:r w:rsidR="00206604">
              <w:rPr>
                <w:rFonts w:ascii="Times New Roman" w:hAnsi="Times New Roman" w:cs="Times New Roman"/>
                <w:sz w:val="24"/>
                <w:szCs w:val="24"/>
              </w:rPr>
              <w:t xml:space="preserve">tajā </w:t>
            </w:r>
            <w:r w:rsidR="008B2494">
              <w:rPr>
                <w:rFonts w:ascii="Times New Roman" w:hAnsi="Times New Roman" w:cs="Times New Roman"/>
                <w:sz w:val="24"/>
                <w:szCs w:val="24"/>
              </w:rPr>
              <w:t>m</w:t>
            </w:r>
            <w:r w:rsidR="003A13C6" w:rsidRPr="006324E6">
              <w:rPr>
                <w:rFonts w:ascii="Times New Roman" w:hAnsi="Times New Roman" w:cs="Times New Roman"/>
                <w:sz w:val="24"/>
                <w:szCs w:val="24"/>
              </w:rPr>
              <w:t xml:space="preserve">inētais formāts </w:t>
            </w:r>
            <w:r w:rsidR="0069046F">
              <w:rPr>
                <w:rFonts w:ascii="Times New Roman" w:hAnsi="Times New Roman" w:cs="Times New Roman"/>
                <w:sz w:val="24"/>
                <w:szCs w:val="24"/>
              </w:rPr>
              <w:t>"</w:t>
            </w:r>
            <w:r w:rsidR="003A13C6" w:rsidRPr="006324E6">
              <w:rPr>
                <w:rFonts w:ascii="Times New Roman" w:hAnsi="Times New Roman" w:cs="Times New Roman"/>
                <w:sz w:val="24"/>
                <w:szCs w:val="24"/>
              </w:rPr>
              <w:t>Eiropas Tiesiskās sadarbības Tīkls civillietās,</w:t>
            </w:r>
            <w:r w:rsidR="0069046F">
              <w:rPr>
                <w:rFonts w:ascii="Times New Roman" w:hAnsi="Times New Roman" w:cs="Times New Roman"/>
                <w:sz w:val="24"/>
                <w:szCs w:val="24"/>
              </w:rPr>
              <w:t xml:space="preserve"> komerclietās un krimināllietās"</w:t>
            </w:r>
            <w:r w:rsidR="003A13C6" w:rsidRPr="006324E6">
              <w:rPr>
                <w:rFonts w:ascii="Times New Roman" w:hAnsi="Times New Roman" w:cs="Times New Roman"/>
                <w:sz w:val="24"/>
                <w:szCs w:val="24"/>
              </w:rPr>
              <w:t xml:space="preserve"> nav </w:t>
            </w:r>
            <w:r w:rsidR="00206604">
              <w:rPr>
                <w:rFonts w:ascii="Times New Roman" w:hAnsi="Times New Roman" w:cs="Times New Roman"/>
                <w:sz w:val="24"/>
                <w:szCs w:val="24"/>
              </w:rPr>
              <w:t>noform</w:t>
            </w:r>
            <w:r w:rsidR="0069046F">
              <w:rPr>
                <w:rFonts w:ascii="Times New Roman" w:hAnsi="Times New Roman" w:cs="Times New Roman"/>
                <w:sz w:val="24"/>
                <w:szCs w:val="24"/>
              </w:rPr>
              <w:t>ulēts</w:t>
            </w:r>
            <w:r w:rsidR="00206604">
              <w:rPr>
                <w:rFonts w:ascii="Times New Roman" w:hAnsi="Times New Roman" w:cs="Times New Roman"/>
                <w:sz w:val="24"/>
                <w:szCs w:val="24"/>
              </w:rPr>
              <w:t xml:space="preserve"> </w:t>
            </w:r>
            <w:r w:rsidR="003A13C6" w:rsidRPr="006324E6">
              <w:rPr>
                <w:rFonts w:ascii="Times New Roman" w:hAnsi="Times New Roman" w:cs="Times New Roman"/>
                <w:sz w:val="24"/>
                <w:szCs w:val="24"/>
              </w:rPr>
              <w:t xml:space="preserve">korekti un atbilstoši Eiropas Savienības formātu patiesajiem nosaukumiem. </w:t>
            </w:r>
            <w:r w:rsidR="008B2494">
              <w:rPr>
                <w:rFonts w:ascii="Times New Roman" w:hAnsi="Times New Roman" w:cs="Times New Roman"/>
                <w:sz w:val="24"/>
                <w:szCs w:val="24"/>
              </w:rPr>
              <w:t>T</w:t>
            </w:r>
            <w:r w:rsidR="003A13C6" w:rsidRPr="006324E6">
              <w:rPr>
                <w:rFonts w:ascii="Times New Roman" w:hAnsi="Times New Roman" w:cs="Times New Roman"/>
                <w:sz w:val="24"/>
                <w:szCs w:val="24"/>
              </w:rPr>
              <w:t>ie ir divi atsevišķi formāti, proti Eiropas Tiesiskās darbības tī</w:t>
            </w:r>
            <w:r w:rsidR="003A13C6">
              <w:rPr>
                <w:rFonts w:ascii="Times New Roman" w:hAnsi="Times New Roman" w:cs="Times New Roman"/>
                <w:sz w:val="24"/>
                <w:szCs w:val="24"/>
              </w:rPr>
              <w:t xml:space="preserve">kls civillietās un komerclietās </w:t>
            </w:r>
            <w:r w:rsidR="003A13C6" w:rsidRPr="006324E6">
              <w:rPr>
                <w:rFonts w:ascii="Times New Roman" w:hAnsi="Times New Roman" w:cs="Times New Roman"/>
                <w:sz w:val="24"/>
                <w:szCs w:val="24"/>
              </w:rPr>
              <w:t>un Eir</w:t>
            </w:r>
            <w:r w:rsidR="003A13C6">
              <w:rPr>
                <w:rFonts w:ascii="Times New Roman" w:hAnsi="Times New Roman" w:cs="Times New Roman"/>
                <w:sz w:val="24"/>
                <w:szCs w:val="24"/>
              </w:rPr>
              <w:t>opas tiesiskās sadarbības tīkls</w:t>
            </w:r>
            <w:r w:rsidR="003A13C6" w:rsidRPr="006324E6">
              <w:rPr>
                <w:rFonts w:ascii="Times New Roman" w:hAnsi="Times New Roman" w:cs="Times New Roman"/>
                <w:sz w:val="24"/>
                <w:szCs w:val="24"/>
              </w:rPr>
              <w:t>, līdz ar to abus formāta nosaukumus nebūtu korekti apvi</w:t>
            </w:r>
            <w:r w:rsidR="008B2494">
              <w:rPr>
                <w:rFonts w:ascii="Times New Roman" w:hAnsi="Times New Roman" w:cs="Times New Roman"/>
                <w:sz w:val="24"/>
                <w:szCs w:val="24"/>
              </w:rPr>
              <w:t>enot vienā, kā tas ir šī brīža n</w:t>
            </w:r>
            <w:r w:rsidR="003A13C6" w:rsidRPr="006324E6">
              <w:rPr>
                <w:rFonts w:ascii="Times New Roman" w:hAnsi="Times New Roman" w:cs="Times New Roman"/>
                <w:sz w:val="24"/>
                <w:szCs w:val="24"/>
              </w:rPr>
              <w:t xml:space="preserve">olikuma redakcijā. Turklāt minētie formāti ir tikai divi no vairākiem </w:t>
            </w:r>
            <w:r w:rsidR="008B2494">
              <w:rPr>
                <w:rFonts w:ascii="Times New Roman" w:hAnsi="Times New Roman" w:cs="Times New Roman"/>
                <w:sz w:val="24"/>
                <w:szCs w:val="24"/>
              </w:rPr>
              <w:t xml:space="preserve">Tieslietu </w:t>
            </w:r>
            <w:r w:rsidR="003A13C6" w:rsidRPr="006324E6">
              <w:rPr>
                <w:rFonts w:ascii="Times New Roman" w:hAnsi="Times New Roman" w:cs="Times New Roman"/>
                <w:sz w:val="24"/>
                <w:szCs w:val="24"/>
              </w:rPr>
              <w:t xml:space="preserve">ministrijas pārstāvētajiem un atbildībā esošajiem formātiem </w:t>
            </w:r>
            <w:r w:rsidR="003A13C6" w:rsidRPr="006324E6">
              <w:rPr>
                <w:rFonts w:ascii="Times New Roman" w:hAnsi="Times New Roman" w:cs="Times New Roman"/>
                <w:sz w:val="24"/>
                <w:szCs w:val="24"/>
              </w:rPr>
              <w:lastRenderedPageBreak/>
              <w:t xml:space="preserve">Eiropas Savienības institūcijās, kuros </w:t>
            </w:r>
            <w:r w:rsidR="0069046F">
              <w:rPr>
                <w:rFonts w:ascii="Times New Roman" w:hAnsi="Times New Roman" w:cs="Times New Roman"/>
                <w:sz w:val="24"/>
                <w:szCs w:val="24"/>
              </w:rPr>
              <w:t xml:space="preserve">Tieslietu </w:t>
            </w:r>
            <w:r w:rsidR="003A13C6" w:rsidRPr="006324E6">
              <w:rPr>
                <w:rFonts w:ascii="Times New Roman" w:hAnsi="Times New Roman" w:cs="Times New Roman"/>
                <w:sz w:val="24"/>
                <w:szCs w:val="24"/>
              </w:rPr>
              <w:t xml:space="preserve">ministrija sagatavo un pārstāv Latvijas oficiālo viedokli. </w:t>
            </w:r>
            <w:r w:rsidR="0069046F">
              <w:rPr>
                <w:rFonts w:ascii="Times New Roman" w:hAnsi="Times New Roman" w:cs="Times New Roman"/>
                <w:sz w:val="24"/>
                <w:szCs w:val="24"/>
              </w:rPr>
              <w:t>Tieslietu m</w:t>
            </w:r>
            <w:r w:rsidR="003A13C6" w:rsidRPr="00E513E1">
              <w:rPr>
                <w:rFonts w:ascii="Times New Roman" w:hAnsi="Times New Roman" w:cs="Times New Roman"/>
                <w:sz w:val="24"/>
                <w:szCs w:val="24"/>
              </w:rPr>
              <w:t>inistrija nodrošina Latvijas pārstāvību</w:t>
            </w:r>
            <w:r w:rsidR="003A13C6">
              <w:rPr>
                <w:rFonts w:ascii="Times New Roman" w:hAnsi="Times New Roman" w:cs="Times New Roman"/>
                <w:sz w:val="24"/>
                <w:szCs w:val="24"/>
              </w:rPr>
              <w:t xml:space="preserve"> arī </w:t>
            </w:r>
            <w:r w:rsidR="003A13C6" w:rsidRPr="00E513E1">
              <w:rPr>
                <w:rFonts w:ascii="Times New Roman" w:hAnsi="Times New Roman" w:cs="Times New Roman"/>
                <w:sz w:val="24"/>
                <w:szCs w:val="24"/>
              </w:rPr>
              <w:t>Eiropas Savienības Pamattiesību aģentūrā</w:t>
            </w:r>
            <w:r w:rsidR="003A13C6">
              <w:rPr>
                <w:rFonts w:ascii="Times New Roman" w:hAnsi="Times New Roman" w:cs="Times New Roman"/>
                <w:sz w:val="24"/>
                <w:szCs w:val="24"/>
              </w:rPr>
              <w:t xml:space="preserve">, </w:t>
            </w:r>
            <w:r w:rsidR="003A13C6" w:rsidRPr="006324E6">
              <w:rPr>
                <w:rFonts w:ascii="Times New Roman" w:hAnsi="Times New Roman" w:cs="Times New Roman"/>
                <w:sz w:val="24"/>
                <w:szCs w:val="24"/>
              </w:rPr>
              <w:t xml:space="preserve">Eiropas tīklā par cietušo tiesībām, Eiropas tīklā par cietušo tiesībām un </w:t>
            </w:r>
            <w:r w:rsidR="003A13C6" w:rsidRPr="00862AE5">
              <w:rPr>
                <w:rFonts w:ascii="Times New Roman" w:hAnsi="Times New Roman" w:cs="Times New Roman"/>
                <w:sz w:val="24"/>
                <w:szCs w:val="24"/>
              </w:rPr>
              <w:t>Eiropas Tiesnešu apmācību tīklā, Eiropas Brīvās tirdzniecības asociācijas tiesā</w:t>
            </w:r>
            <w:r>
              <w:rPr>
                <w:rFonts w:ascii="Times New Roman" w:hAnsi="Times New Roman" w:cs="Times New Roman"/>
                <w:sz w:val="24"/>
                <w:szCs w:val="24"/>
              </w:rPr>
              <w:t>, Eiropas Padomē, Ekonomiskās sadarbības un attīstības organizācijā, Apvienoto Nāciju Organizācijā</w:t>
            </w:r>
            <w:r w:rsidR="00700100">
              <w:rPr>
                <w:rFonts w:ascii="Times New Roman" w:hAnsi="Times New Roman" w:cs="Times New Roman"/>
                <w:sz w:val="24"/>
                <w:szCs w:val="24"/>
              </w:rPr>
              <w:t xml:space="preserve"> u.c.</w:t>
            </w:r>
            <w:r w:rsidR="003A13C6" w:rsidRPr="00862AE5">
              <w:rPr>
                <w:rFonts w:ascii="Times New Roman" w:hAnsi="Times New Roman" w:cs="Times New Roman"/>
                <w:sz w:val="24"/>
                <w:szCs w:val="24"/>
              </w:rPr>
              <w:t xml:space="preserve"> Tāpēc nepieciešams nolikumu papildināt ar attiecīgu kompetenci</w:t>
            </w:r>
            <w:r w:rsidR="003A13C6" w:rsidRPr="00C4702B">
              <w:rPr>
                <w:rFonts w:ascii="Times New Roman" w:hAnsi="Times New Roman" w:cs="Times New Roman"/>
                <w:sz w:val="24"/>
                <w:szCs w:val="24"/>
              </w:rPr>
              <w:t xml:space="preserve">. </w:t>
            </w:r>
            <w:r w:rsidR="00700100" w:rsidRPr="00C4702B">
              <w:rPr>
                <w:rFonts w:ascii="Times New Roman" w:hAnsi="Times New Roman" w:cs="Times New Roman"/>
                <w:sz w:val="24"/>
                <w:szCs w:val="24"/>
              </w:rPr>
              <w:t>Minētais uzskaitījums nav izsmeļo</w:t>
            </w:r>
            <w:r w:rsidR="00C4702B">
              <w:rPr>
                <w:rFonts w:ascii="Times New Roman" w:hAnsi="Times New Roman" w:cs="Times New Roman"/>
                <w:sz w:val="24"/>
                <w:szCs w:val="24"/>
              </w:rPr>
              <w:t>šs</w:t>
            </w:r>
            <w:r w:rsidR="00CC2502" w:rsidRPr="00C4702B">
              <w:rPr>
                <w:rFonts w:ascii="Times New Roman" w:hAnsi="Times New Roman" w:cs="Times New Roman"/>
                <w:sz w:val="24"/>
                <w:szCs w:val="24"/>
              </w:rPr>
              <w:t xml:space="preserve"> un tikai</w:t>
            </w:r>
            <w:r w:rsidR="00700100" w:rsidRPr="00C4702B">
              <w:rPr>
                <w:rFonts w:ascii="Times New Roman" w:hAnsi="Times New Roman" w:cs="Times New Roman"/>
                <w:sz w:val="24"/>
                <w:szCs w:val="24"/>
              </w:rPr>
              <w:t xml:space="preserve"> informē sabiedrību par nozīmīgākajiem formātiem vai formātiem, kuri ir specifiski un tieši neizriet no citiem tiesību aktiem.</w:t>
            </w:r>
          </w:p>
          <w:p w:rsidR="003A13C6" w:rsidRPr="00862AE5" w:rsidRDefault="006D0839" w:rsidP="003A13C6">
            <w:pPr>
              <w:spacing w:after="0" w:line="240" w:lineRule="auto"/>
              <w:jc w:val="both"/>
              <w:rPr>
                <w:rFonts w:ascii="Times New Roman" w:hAnsi="Times New Roman" w:cs="Times New Roman"/>
                <w:sz w:val="24"/>
                <w:szCs w:val="24"/>
              </w:rPr>
            </w:pPr>
            <w:r w:rsidRPr="00C4702B">
              <w:rPr>
                <w:rFonts w:ascii="Times New Roman" w:hAnsi="Times New Roman" w:cs="Times New Roman"/>
                <w:sz w:val="24"/>
                <w:szCs w:val="24"/>
              </w:rPr>
              <w:t>7</w:t>
            </w:r>
            <w:r w:rsidR="003A13C6" w:rsidRPr="00C4702B">
              <w:rPr>
                <w:rFonts w:ascii="Times New Roman" w:hAnsi="Times New Roman" w:cs="Times New Roman"/>
                <w:sz w:val="24"/>
                <w:szCs w:val="24"/>
              </w:rPr>
              <w:t>.</w:t>
            </w:r>
            <w:r w:rsidR="00206604" w:rsidRPr="00C4702B">
              <w:rPr>
                <w:rFonts w:ascii="Times New Roman" w:hAnsi="Times New Roman" w:cs="Times New Roman"/>
                <w:sz w:val="24"/>
                <w:szCs w:val="24"/>
              </w:rPr>
              <w:t> </w:t>
            </w:r>
            <w:r w:rsidR="003A13C6" w:rsidRPr="00C4702B">
              <w:rPr>
                <w:rFonts w:ascii="Times New Roman" w:hAnsi="Times New Roman" w:cs="Times New Roman"/>
                <w:sz w:val="24"/>
                <w:szCs w:val="24"/>
              </w:rPr>
              <w:t>Tieslietu ministrija, lai nodrošinātu funkciju izpildi, tiesību sistēmas jomā koordinē un kontrolē Eiropas Savienības tiesību pārņemšanu un ieviešanu. Pildot šo uzdevumu, savas kompetences ietvaros un ārējos normatīvajos aktos</w:t>
            </w:r>
            <w:r w:rsidR="003A13C6" w:rsidRPr="00C4702B">
              <w:rPr>
                <w:rFonts w:ascii="Times New Roman" w:hAnsi="Times New Roman" w:cs="Times New Roman"/>
                <w:sz w:val="24"/>
                <w:szCs w:val="24"/>
                <w:vertAlign w:val="superscript"/>
              </w:rPr>
              <w:footnoteReference w:id="1"/>
            </w:r>
            <w:r w:rsidR="003A13C6" w:rsidRPr="00C4702B">
              <w:rPr>
                <w:rFonts w:ascii="Times New Roman" w:hAnsi="Times New Roman" w:cs="Times New Roman"/>
                <w:sz w:val="24"/>
                <w:szCs w:val="24"/>
                <w:vertAlign w:val="superscript"/>
              </w:rPr>
              <w:t xml:space="preserve"> </w:t>
            </w:r>
            <w:r w:rsidR="003A13C6" w:rsidRPr="00C4702B">
              <w:rPr>
                <w:rFonts w:ascii="Times New Roman" w:hAnsi="Times New Roman" w:cs="Times New Roman"/>
                <w:sz w:val="24"/>
                <w:szCs w:val="24"/>
              </w:rPr>
              <w:t xml:space="preserve">noteiktajā kārtībā, </w:t>
            </w:r>
            <w:r w:rsidR="0069046F">
              <w:rPr>
                <w:rFonts w:ascii="Times New Roman" w:hAnsi="Times New Roman" w:cs="Times New Roman"/>
                <w:sz w:val="24"/>
                <w:szCs w:val="24"/>
              </w:rPr>
              <w:t xml:space="preserve">Tieslietu </w:t>
            </w:r>
            <w:r w:rsidR="003A13C6" w:rsidRPr="00C4702B">
              <w:rPr>
                <w:rFonts w:ascii="Times New Roman" w:hAnsi="Times New Roman" w:cs="Times New Roman"/>
                <w:sz w:val="24"/>
                <w:szCs w:val="24"/>
              </w:rPr>
              <w:t xml:space="preserve">ministrija nodrošina institūciju sadarbību Līguma par Eiropas Savienības darbību pārkāpuma procedūras ietvaros un pirms pārkāpuma procedūras ierosināšanas. Tāpēc nepieciešams </w:t>
            </w:r>
            <w:r w:rsidR="008E0CF3" w:rsidRPr="00C4702B">
              <w:rPr>
                <w:rFonts w:ascii="Times New Roman" w:hAnsi="Times New Roman" w:cs="Times New Roman"/>
                <w:sz w:val="24"/>
                <w:szCs w:val="24"/>
              </w:rPr>
              <w:t>precizēt</w:t>
            </w:r>
            <w:r w:rsidR="003A13C6" w:rsidRPr="00C4702B">
              <w:rPr>
                <w:rFonts w:ascii="Times New Roman" w:hAnsi="Times New Roman" w:cs="Times New Roman"/>
                <w:sz w:val="24"/>
                <w:szCs w:val="24"/>
              </w:rPr>
              <w:t xml:space="preserve"> </w:t>
            </w:r>
            <w:r w:rsidR="0069046F">
              <w:rPr>
                <w:rFonts w:ascii="Times New Roman" w:hAnsi="Times New Roman" w:cs="Times New Roman"/>
                <w:sz w:val="24"/>
                <w:szCs w:val="24"/>
              </w:rPr>
              <w:t xml:space="preserve">Tieslietu </w:t>
            </w:r>
            <w:r w:rsidR="00206604" w:rsidRPr="00C4702B">
              <w:rPr>
                <w:rFonts w:ascii="Times New Roman" w:hAnsi="Times New Roman" w:cs="Times New Roman"/>
                <w:sz w:val="24"/>
                <w:szCs w:val="24"/>
              </w:rPr>
              <w:t xml:space="preserve">ministrijas </w:t>
            </w:r>
            <w:r w:rsidR="003A13C6" w:rsidRPr="00C4702B">
              <w:rPr>
                <w:rFonts w:ascii="Times New Roman" w:hAnsi="Times New Roman" w:cs="Times New Roman"/>
                <w:sz w:val="24"/>
                <w:szCs w:val="24"/>
              </w:rPr>
              <w:t>kompetenci š</w:t>
            </w:r>
            <w:r w:rsidR="003A13C6" w:rsidRPr="00862AE5">
              <w:rPr>
                <w:rFonts w:ascii="Times New Roman" w:hAnsi="Times New Roman" w:cs="Times New Roman"/>
                <w:sz w:val="24"/>
                <w:szCs w:val="24"/>
              </w:rPr>
              <w:t>ajā jomā.</w:t>
            </w:r>
          </w:p>
          <w:p w:rsidR="00972BB2" w:rsidRDefault="006D0839" w:rsidP="00972BB2">
            <w:pPr>
              <w:spacing w:after="0" w:line="240" w:lineRule="auto"/>
              <w:jc w:val="both"/>
              <w:rPr>
                <w:rFonts w:ascii="Times New Roman" w:hAnsi="Times New Roman"/>
                <w:sz w:val="24"/>
                <w:szCs w:val="24"/>
              </w:rPr>
            </w:pPr>
            <w:r>
              <w:rPr>
                <w:rFonts w:ascii="Times New Roman" w:hAnsi="Times New Roman" w:cs="Times New Roman"/>
                <w:sz w:val="24"/>
                <w:szCs w:val="24"/>
              </w:rPr>
              <w:t>8</w:t>
            </w:r>
            <w:r w:rsidR="00972BB2">
              <w:rPr>
                <w:rFonts w:ascii="Times New Roman" w:hAnsi="Times New Roman" w:cs="Times New Roman"/>
                <w:sz w:val="24"/>
                <w:szCs w:val="24"/>
              </w:rPr>
              <w:t>.</w:t>
            </w:r>
            <w:r w:rsidR="00206604">
              <w:rPr>
                <w:rFonts w:ascii="Times New Roman" w:hAnsi="Times New Roman" w:cs="Times New Roman"/>
                <w:sz w:val="24"/>
                <w:szCs w:val="24"/>
              </w:rPr>
              <w:t> Tieslietu m</w:t>
            </w:r>
            <w:r w:rsidR="00972BB2" w:rsidRPr="00316AE6">
              <w:rPr>
                <w:rFonts w:ascii="Times New Roman" w:hAnsi="Times New Roman"/>
                <w:sz w:val="24"/>
                <w:szCs w:val="24"/>
              </w:rPr>
              <w:t xml:space="preserve">inistrija nodrošina Starptautiskās krimināltiesiskās sadarbības lūgumu informācijas sistēmas organizatorisko un tehnisko uzturēšanu, </w:t>
            </w:r>
            <w:r w:rsidR="00972BB2">
              <w:rPr>
                <w:rFonts w:ascii="Times New Roman" w:hAnsi="Times New Roman"/>
                <w:sz w:val="24"/>
                <w:szCs w:val="24"/>
              </w:rPr>
              <w:t xml:space="preserve">jo </w:t>
            </w:r>
            <w:r w:rsidR="00972BB2" w:rsidRPr="00316AE6">
              <w:rPr>
                <w:rFonts w:ascii="Times New Roman" w:hAnsi="Times New Roman"/>
                <w:sz w:val="24"/>
                <w:szCs w:val="24"/>
              </w:rPr>
              <w:t xml:space="preserve">minētās </w:t>
            </w:r>
            <w:r w:rsidR="00972BB2">
              <w:rPr>
                <w:rFonts w:ascii="Times New Roman" w:hAnsi="Times New Roman"/>
                <w:sz w:val="24"/>
                <w:szCs w:val="24"/>
              </w:rPr>
              <w:t>valsts informācijas sistēmas</w:t>
            </w:r>
            <w:r w:rsidR="00972BB2" w:rsidRPr="00316AE6">
              <w:rPr>
                <w:rFonts w:ascii="Times New Roman" w:hAnsi="Times New Roman"/>
                <w:sz w:val="24"/>
                <w:szCs w:val="24"/>
              </w:rPr>
              <w:t xml:space="preserve"> pārzinis un turētājs</w:t>
            </w:r>
            <w:r w:rsidR="00972BB2">
              <w:rPr>
                <w:rFonts w:ascii="Times New Roman" w:hAnsi="Times New Roman"/>
                <w:sz w:val="24"/>
                <w:szCs w:val="24"/>
              </w:rPr>
              <w:t xml:space="preserve"> ir </w:t>
            </w:r>
            <w:r w:rsidR="0069046F">
              <w:rPr>
                <w:rFonts w:ascii="Times New Roman" w:hAnsi="Times New Roman"/>
                <w:sz w:val="24"/>
                <w:szCs w:val="24"/>
              </w:rPr>
              <w:t xml:space="preserve">Tieslietu </w:t>
            </w:r>
            <w:r w:rsidR="00972BB2" w:rsidRPr="00316AE6">
              <w:rPr>
                <w:rFonts w:ascii="Times New Roman" w:hAnsi="Times New Roman"/>
                <w:sz w:val="24"/>
                <w:szCs w:val="24"/>
              </w:rPr>
              <w:t>ministrija</w:t>
            </w:r>
            <w:r w:rsidR="00972BB2">
              <w:rPr>
                <w:rFonts w:ascii="Times New Roman" w:hAnsi="Times New Roman"/>
                <w:sz w:val="24"/>
                <w:szCs w:val="24"/>
              </w:rPr>
              <w:t xml:space="preserve">. Tāpēc nepieciešams šo kompetenci iekļaut nolikumā. </w:t>
            </w:r>
          </w:p>
          <w:p w:rsidR="006930DB" w:rsidRDefault="006D0839" w:rsidP="00937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72BB2" w:rsidRPr="00862AE5">
              <w:rPr>
                <w:rFonts w:ascii="Times New Roman" w:hAnsi="Times New Roman" w:cs="Times New Roman"/>
                <w:sz w:val="24"/>
                <w:szCs w:val="24"/>
              </w:rPr>
              <w:t>.</w:t>
            </w:r>
            <w:r w:rsidR="00206604">
              <w:rPr>
                <w:rFonts w:ascii="Times New Roman" w:hAnsi="Times New Roman" w:cs="Times New Roman"/>
                <w:sz w:val="24"/>
                <w:szCs w:val="24"/>
              </w:rPr>
              <w:t> </w:t>
            </w:r>
            <w:r w:rsidR="00972BB2" w:rsidRPr="00862AE5">
              <w:rPr>
                <w:rFonts w:ascii="Times New Roman" w:hAnsi="Times New Roman" w:cs="Times New Roman"/>
                <w:sz w:val="24"/>
                <w:szCs w:val="24"/>
              </w:rPr>
              <w:t>Valsts pārvaldes iekārtas likuma 18.</w:t>
            </w:r>
            <w:r w:rsidR="00972BB2">
              <w:rPr>
                <w:rFonts w:ascii="Times New Roman" w:hAnsi="Times New Roman" w:cs="Times New Roman"/>
                <w:sz w:val="24"/>
                <w:szCs w:val="24"/>
              </w:rPr>
              <w:t> </w:t>
            </w:r>
            <w:r w:rsidR="00972BB2" w:rsidRPr="00862AE5">
              <w:rPr>
                <w:rFonts w:ascii="Times New Roman" w:hAnsi="Times New Roman" w:cs="Times New Roman"/>
                <w:sz w:val="24"/>
                <w:szCs w:val="24"/>
              </w:rPr>
              <w:t xml:space="preserve">panta pirmā daļa noteic, ka ministrija organizē un koordinē likumu un citu normatīvo aktu īstenošanu. Tāpēc nepieciešams papildināt nolikumu </w:t>
            </w:r>
            <w:r w:rsidR="00972BB2">
              <w:rPr>
                <w:rFonts w:ascii="Times New Roman" w:hAnsi="Times New Roman" w:cs="Times New Roman"/>
                <w:sz w:val="24"/>
                <w:szCs w:val="24"/>
              </w:rPr>
              <w:t xml:space="preserve">ar </w:t>
            </w:r>
            <w:r w:rsidR="00206604">
              <w:rPr>
                <w:rFonts w:ascii="Times New Roman" w:hAnsi="Times New Roman" w:cs="Times New Roman"/>
                <w:sz w:val="24"/>
                <w:szCs w:val="24"/>
              </w:rPr>
              <w:t>funkciju</w:t>
            </w:r>
            <w:r w:rsidR="00972BB2" w:rsidRPr="00862AE5">
              <w:rPr>
                <w:rFonts w:ascii="Times New Roman" w:hAnsi="Times New Roman" w:cs="Times New Roman"/>
                <w:sz w:val="24"/>
                <w:szCs w:val="24"/>
              </w:rPr>
              <w:t>, ka Tieslietu ministrija nodrošina likumu un citu normatīvo aktu īstenošanu</w:t>
            </w:r>
            <w:r w:rsidR="00972BB2">
              <w:rPr>
                <w:rFonts w:ascii="Times New Roman" w:hAnsi="Times New Roman" w:cs="Times New Roman"/>
                <w:sz w:val="24"/>
                <w:szCs w:val="24"/>
              </w:rPr>
              <w:t>.</w:t>
            </w:r>
          </w:p>
          <w:p w:rsidR="00A1499D" w:rsidRDefault="006D0839" w:rsidP="00A14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A73572">
              <w:rPr>
                <w:rFonts w:ascii="Times New Roman" w:hAnsi="Times New Roman" w:cs="Times New Roman"/>
                <w:sz w:val="24"/>
                <w:szCs w:val="24"/>
              </w:rPr>
              <w:t xml:space="preserve">. Nolikumā nav iekļauta </w:t>
            </w:r>
            <w:r w:rsidR="00736BB6">
              <w:rPr>
                <w:rFonts w:ascii="Times New Roman" w:hAnsi="Times New Roman" w:cs="Times New Roman"/>
                <w:sz w:val="24"/>
                <w:szCs w:val="24"/>
              </w:rPr>
              <w:t xml:space="preserve">sabiedrībai svarīga </w:t>
            </w:r>
            <w:r w:rsidR="00A73572">
              <w:rPr>
                <w:rFonts w:ascii="Times New Roman" w:hAnsi="Times New Roman" w:cs="Times New Roman"/>
                <w:sz w:val="24"/>
                <w:szCs w:val="24"/>
              </w:rPr>
              <w:t>kompetence, kas izriet no Iesnieguma likuma un Informācijas atklātības lik</w:t>
            </w:r>
            <w:r w:rsidR="00627209">
              <w:rPr>
                <w:rFonts w:ascii="Times New Roman" w:hAnsi="Times New Roman" w:cs="Times New Roman"/>
                <w:sz w:val="24"/>
                <w:szCs w:val="24"/>
              </w:rPr>
              <w:t>uma</w:t>
            </w:r>
            <w:r w:rsidR="0066193C">
              <w:rPr>
                <w:rFonts w:ascii="Times New Roman" w:hAnsi="Times New Roman" w:cs="Times New Roman"/>
                <w:sz w:val="24"/>
                <w:szCs w:val="24"/>
              </w:rPr>
              <w:t xml:space="preserve"> (t.sk. </w:t>
            </w:r>
            <w:r w:rsidR="00736BB6">
              <w:rPr>
                <w:rFonts w:ascii="Times New Roman" w:hAnsi="Times New Roman" w:cs="Times New Roman"/>
                <w:sz w:val="24"/>
                <w:szCs w:val="24"/>
              </w:rPr>
              <w:t>Ministru kabineta 2007. gada 6. </w:t>
            </w:r>
            <w:r w:rsidR="0066193C" w:rsidRPr="0066193C">
              <w:rPr>
                <w:rFonts w:ascii="Times New Roman" w:hAnsi="Times New Roman" w:cs="Times New Roman"/>
                <w:sz w:val="24"/>
                <w:szCs w:val="24"/>
              </w:rPr>
              <w:t>marta noteikum</w:t>
            </w:r>
            <w:r w:rsidR="00736BB6">
              <w:rPr>
                <w:rFonts w:ascii="Times New Roman" w:hAnsi="Times New Roman" w:cs="Times New Roman"/>
                <w:sz w:val="24"/>
                <w:szCs w:val="24"/>
              </w:rPr>
              <w:t>iem</w:t>
            </w:r>
            <w:r w:rsidR="0066193C" w:rsidRPr="0066193C">
              <w:rPr>
                <w:rFonts w:ascii="Times New Roman" w:hAnsi="Times New Roman" w:cs="Times New Roman"/>
                <w:sz w:val="24"/>
                <w:szCs w:val="24"/>
              </w:rPr>
              <w:t xml:space="preserve"> Nr.</w:t>
            </w:r>
            <w:r w:rsidR="00206604">
              <w:rPr>
                <w:rFonts w:ascii="Times New Roman" w:hAnsi="Times New Roman" w:cs="Times New Roman"/>
                <w:sz w:val="24"/>
                <w:szCs w:val="24"/>
              </w:rPr>
              <w:t> </w:t>
            </w:r>
            <w:r w:rsidR="0066193C" w:rsidRPr="0066193C">
              <w:rPr>
                <w:rFonts w:ascii="Times New Roman" w:hAnsi="Times New Roman" w:cs="Times New Roman"/>
                <w:sz w:val="24"/>
                <w:szCs w:val="24"/>
              </w:rPr>
              <w:t>171 "Kārtība, kādā iestādes ievieto informāciju internetā"</w:t>
            </w:r>
            <w:r w:rsidR="0066193C">
              <w:rPr>
                <w:rFonts w:ascii="Times New Roman" w:hAnsi="Times New Roman" w:cs="Times New Roman"/>
                <w:sz w:val="24"/>
                <w:szCs w:val="24"/>
              </w:rPr>
              <w:t xml:space="preserve">, </w:t>
            </w:r>
            <w:r w:rsidR="00736BB6">
              <w:rPr>
                <w:rFonts w:ascii="Times New Roman" w:hAnsi="Times New Roman" w:cs="Times New Roman"/>
                <w:sz w:val="24"/>
                <w:szCs w:val="24"/>
              </w:rPr>
              <w:t>Ministru kabineta 2006. gada 21. </w:t>
            </w:r>
            <w:r w:rsidR="0066193C" w:rsidRPr="0066193C">
              <w:rPr>
                <w:rFonts w:ascii="Times New Roman" w:hAnsi="Times New Roman" w:cs="Times New Roman"/>
                <w:sz w:val="24"/>
                <w:szCs w:val="24"/>
              </w:rPr>
              <w:t>novembra noteikumi</w:t>
            </w:r>
            <w:r w:rsidR="00736BB6">
              <w:rPr>
                <w:rFonts w:ascii="Times New Roman" w:hAnsi="Times New Roman" w:cs="Times New Roman"/>
                <w:sz w:val="24"/>
                <w:szCs w:val="24"/>
              </w:rPr>
              <w:t>em Nr. </w:t>
            </w:r>
            <w:r w:rsidR="0066193C" w:rsidRPr="0066193C">
              <w:rPr>
                <w:rFonts w:ascii="Times New Roman" w:hAnsi="Times New Roman" w:cs="Times New Roman"/>
                <w:sz w:val="24"/>
                <w:szCs w:val="24"/>
              </w:rPr>
              <w:t>940 "Noteikumi par informācijas sniegšanas maksas pakalpojumiem").</w:t>
            </w:r>
            <w:r w:rsidR="00627209" w:rsidRPr="0066193C">
              <w:rPr>
                <w:rFonts w:ascii="Times New Roman" w:hAnsi="Times New Roman" w:cs="Times New Roman"/>
                <w:sz w:val="24"/>
                <w:szCs w:val="24"/>
              </w:rPr>
              <w:t xml:space="preserve"> </w:t>
            </w:r>
            <w:r w:rsidR="0066193C" w:rsidRPr="0066193C">
              <w:rPr>
                <w:rFonts w:ascii="Times New Roman" w:hAnsi="Times New Roman" w:cs="Times New Roman"/>
                <w:sz w:val="24"/>
                <w:szCs w:val="24"/>
              </w:rPr>
              <w:t>T</w:t>
            </w:r>
            <w:r w:rsidR="00627209" w:rsidRPr="0066193C">
              <w:rPr>
                <w:rFonts w:ascii="Times New Roman" w:hAnsi="Times New Roman" w:cs="Times New Roman"/>
                <w:sz w:val="24"/>
                <w:szCs w:val="24"/>
              </w:rPr>
              <w:t xml:space="preserve">āpēc nepieciešams nolikumu papildināt </w:t>
            </w:r>
            <w:r w:rsidR="00736BB6">
              <w:rPr>
                <w:rFonts w:ascii="Times New Roman" w:hAnsi="Times New Roman" w:cs="Times New Roman"/>
                <w:sz w:val="24"/>
                <w:szCs w:val="24"/>
              </w:rPr>
              <w:t xml:space="preserve">ar </w:t>
            </w:r>
            <w:r w:rsidR="0066193C" w:rsidRPr="0066193C">
              <w:rPr>
                <w:rFonts w:ascii="Times New Roman" w:hAnsi="Times New Roman" w:cs="Times New Roman"/>
                <w:sz w:val="24"/>
                <w:szCs w:val="24"/>
              </w:rPr>
              <w:t>attiecīg</w:t>
            </w:r>
            <w:r w:rsidR="0066193C">
              <w:rPr>
                <w:rFonts w:ascii="Times New Roman" w:hAnsi="Times New Roman" w:cs="Times New Roman"/>
                <w:sz w:val="24"/>
                <w:szCs w:val="24"/>
              </w:rPr>
              <w:t>iem</w:t>
            </w:r>
            <w:r w:rsidR="0066193C" w:rsidRPr="0066193C">
              <w:rPr>
                <w:rFonts w:ascii="Times New Roman" w:hAnsi="Times New Roman" w:cs="Times New Roman"/>
                <w:sz w:val="24"/>
                <w:szCs w:val="24"/>
              </w:rPr>
              <w:t xml:space="preserve"> </w:t>
            </w:r>
            <w:r w:rsidR="00627209" w:rsidRPr="0066193C">
              <w:rPr>
                <w:rFonts w:ascii="Times New Roman" w:hAnsi="Times New Roman" w:cs="Times New Roman"/>
                <w:sz w:val="24"/>
                <w:szCs w:val="24"/>
              </w:rPr>
              <w:t xml:space="preserve">ministrijas </w:t>
            </w:r>
            <w:r w:rsidR="0066193C" w:rsidRPr="00582A69">
              <w:rPr>
                <w:rFonts w:ascii="Times New Roman" w:hAnsi="Times New Roman" w:cs="Times New Roman"/>
                <w:sz w:val="24"/>
                <w:szCs w:val="24"/>
              </w:rPr>
              <w:t>uzdevumiem:</w:t>
            </w:r>
            <w:r w:rsidR="00627209" w:rsidRPr="00582A69">
              <w:rPr>
                <w:rFonts w:ascii="Times New Roman" w:hAnsi="Times New Roman" w:cs="Times New Roman"/>
                <w:sz w:val="24"/>
                <w:szCs w:val="24"/>
              </w:rPr>
              <w:t xml:space="preserve"> </w:t>
            </w:r>
            <w:r w:rsidR="0066193C" w:rsidRPr="00582A69">
              <w:rPr>
                <w:rFonts w:ascii="Times New Roman" w:hAnsi="Times New Roman" w:cs="Times New Roman"/>
                <w:sz w:val="24"/>
                <w:szCs w:val="24"/>
              </w:rPr>
              <w:t>veicinot sabiedrības līdzdarbību, normatīvajos aktos noteiktajā kārtībā un kompetencē nodrošina ministrijai adresēta dokumenta, kurš satur lūgumu, sūdzību, priekšlikumu un jautājumu izskatīšanu un personu pieņemšanu</w:t>
            </w:r>
            <w:r w:rsidR="00073CEE" w:rsidRPr="00582A69">
              <w:rPr>
                <w:rFonts w:ascii="Times New Roman" w:hAnsi="Times New Roman" w:cs="Times New Roman"/>
                <w:sz w:val="24"/>
                <w:szCs w:val="24"/>
              </w:rPr>
              <w:t xml:space="preserve"> (</w:t>
            </w:r>
            <w:r w:rsidR="00073CEE" w:rsidRPr="00582A69">
              <w:rPr>
                <w:rFonts w:ascii="Times New Roman" w:hAnsi="Times New Roman" w:cs="Times New Roman"/>
                <w:i/>
                <w:sz w:val="24"/>
                <w:szCs w:val="24"/>
              </w:rPr>
              <w:t>sabiedrības iniciatīvas</w:t>
            </w:r>
            <w:r w:rsidR="00073CEE" w:rsidRPr="00582A69">
              <w:rPr>
                <w:rFonts w:ascii="Times New Roman" w:hAnsi="Times New Roman" w:cs="Times New Roman"/>
                <w:sz w:val="24"/>
                <w:szCs w:val="24"/>
              </w:rPr>
              <w:t>)</w:t>
            </w:r>
            <w:r w:rsidR="00736BB6" w:rsidRPr="00582A69">
              <w:rPr>
                <w:rFonts w:ascii="Times New Roman" w:hAnsi="Times New Roman" w:cs="Times New Roman"/>
                <w:sz w:val="24"/>
                <w:szCs w:val="24"/>
              </w:rPr>
              <w:t xml:space="preserve">, kā arī </w:t>
            </w:r>
            <w:r w:rsidR="0066193C" w:rsidRPr="00582A69">
              <w:rPr>
                <w:rFonts w:ascii="Times New Roman" w:hAnsi="Times New Roman" w:cs="Times New Roman"/>
                <w:sz w:val="24"/>
                <w:szCs w:val="24"/>
              </w:rPr>
              <w:t>nodrošinot ministrijas rīcībā esošās vispārpieejamās informācijas pieejamību sabiedrībai, izskata privātpersonu informācijas pieprasījumus, kā arī, ievērojot labas pārvaldības principu, pēc savas iniciatīvas nodrošina piekļuvi noteikta veida vispārpieejamai informācijai ministrijas mājaslapā</w:t>
            </w:r>
            <w:r w:rsidR="0066193C">
              <w:rPr>
                <w:rFonts w:ascii="Times New Roman" w:hAnsi="Times New Roman" w:cs="Times New Roman"/>
                <w:sz w:val="24"/>
                <w:szCs w:val="24"/>
              </w:rPr>
              <w:t>.</w:t>
            </w:r>
            <w:r w:rsidR="00D5701C">
              <w:rPr>
                <w:rFonts w:ascii="Times New Roman" w:hAnsi="Times New Roman" w:cs="Times New Roman"/>
                <w:sz w:val="24"/>
                <w:szCs w:val="24"/>
              </w:rPr>
              <w:t xml:space="preserve"> Vienlaikus precizējama kompetence arī attiecībā uz sabiedrības līdzdal</w:t>
            </w:r>
            <w:r w:rsidR="00073CEE">
              <w:rPr>
                <w:rFonts w:ascii="Times New Roman" w:hAnsi="Times New Roman" w:cs="Times New Roman"/>
                <w:sz w:val="24"/>
                <w:szCs w:val="24"/>
              </w:rPr>
              <w:t xml:space="preserve">ību, kas noteikta </w:t>
            </w:r>
            <w:r w:rsidR="00073CEE" w:rsidRPr="0093773C">
              <w:rPr>
                <w:rFonts w:ascii="Times New Roman" w:hAnsi="Times New Roman" w:cs="Times New Roman"/>
                <w:sz w:val="24"/>
                <w:szCs w:val="24"/>
              </w:rPr>
              <w:t>nolikuma 6.11. apakšpunktā, to vispārinot atbilstoši Vals</w:t>
            </w:r>
            <w:r w:rsidR="00206604">
              <w:rPr>
                <w:rFonts w:ascii="Times New Roman" w:hAnsi="Times New Roman" w:cs="Times New Roman"/>
                <w:sz w:val="24"/>
                <w:szCs w:val="24"/>
              </w:rPr>
              <w:t xml:space="preserve">ts pārvaldes </w:t>
            </w:r>
            <w:r w:rsidR="00206604">
              <w:rPr>
                <w:rFonts w:ascii="Times New Roman" w:hAnsi="Times New Roman" w:cs="Times New Roman"/>
                <w:sz w:val="24"/>
                <w:szCs w:val="24"/>
              </w:rPr>
              <w:lastRenderedPageBreak/>
              <w:t>iekārtas likuma VI </w:t>
            </w:r>
            <w:r w:rsidR="00073CEE" w:rsidRPr="0093773C">
              <w:rPr>
                <w:rFonts w:ascii="Times New Roman" w:hAnsi="Times New Roman" w:cs="Times New Roman"/>
                <w:sz w:val="24"/>
                <w:szCs w:val="24"/>
              </w:rPr>
              <w:t xml:space="preserve">nodaļai "Sabiedrības līdzdalība valsts pārvaldē" un Attīstības plānošanas sistēmas likumam </w:t>
            </w:r>
            <w:r w:rsidR="00073CEE" w:rsidRPr="0093773C">
              <w:rPr>
                <w:rFonts w:ascii="Times New Roman" w:eastAsia="Calibri" w:hAnsi="Times New Roman" w:cs="Times New Roman"/>
                <w:sz w:val="24"/>
                <w:szCs w:val="24"/>
              </w:rPr>
              <w:t>(tajā skaitā Ministru kabineta 2009. gada 25. augusta noteikumiem Nr. 970 "Sabiedrības līdzdalības kārtība attīstības plānošanas procesā"</w:t>
            </w:r>
            <w:r w:rsidR="0093773C" w:rsidRPr="0093773C">
              <w:rPr>
                <w:rFonts w:ascii="Times New Roman" w:eastAsia="Calibri" w:hAnsi="Times New Roman" w:cs="Times New Roman"/>
                <w:sz w:val="24"/>
                <w:szCs w:val="24"/>
              </w:rPr>
              <w:t xml:space="preserve">) un nosakot, ka </w:t>
            </w:r>
            <w:r w:rsidR="0069046F">
              <w:rPr>
                <w:rFonts w:ascii="Times New Roman" w:eastAsia="Calibri" w:hAnsi="Times New Roman" w:cs="Times New Roman"/>
                <w:sz w:val="24"/>
                <w:szCs w:val="24"/>
              </w:rPr>
              <w:t xml:space="preserve">Tieslietu </w:t>
            </w:r>
            <w:r w:rsidR="0093773C" w:rsidRPr="0093773C">
              <w:rPr>
                <w:rFonts w:ascii="Times New Roman" w:eastAsia="Calibri" w:hAnsi="Times New Roman" w:cs="Times New Roman"/>
                <w:sz w:val="24"/>
                <w:szCs w:val="24"/>
              </w:rPr>
              <w:t xml:space="preserve">ministrija </w:t>
            </w:r>
            <w:r w:rsidR="0093773C" w:rsidRPr="0093773C">
              <w:rPr>
                <w:rFonts w:ascii="Times New Roman" w:hAnsi="Times New Roman" w:cs="Times New Roman"/>
                <w:sz w:val="24"/>
                <w:szCs w:val="24"/>
              </w:rPr>
              <w:t>normatīvajos aktos noteiktajā kārtībā nodrošina sabiedrības līdzdalību attīstības plānošanas procesā un valsts pārvaldē (</w:t>
            </w:r>
            <w:r w:rsidR="0093773C" w:rsidRPr="0093773C">
              <w:rPr>
                <w:rFonts w:ascii="Times New Roman" w:hAnsi="Times New Roman" w:cs="Times New Roman"/>
                <w:i/>
                <w:sz w:val="24"/>
                <w:szCs w:val="24"/>
              </w:rPr>
              <w:t>ministrijas iniciatīva</w:t>
            </w:r>
            <w:r w:rsidR="0093773C" w:rsidRPr="0093773C">
              <w:rPr>
                <w:rFonts w:ascii="Times New Roman" w:hAnsi="Times New Roman" w:cs="Times New Roman"/>
                <w:sz w:val="24"/>
                <w:szCs w:val="24"/>
              </w:rPr>
              <w:t>).</w:t>
            </w:r>
          </w:p>
          <w:p w:rsidR="00A1499D" w:rsidRPr="003B577C" w:rsidRDefault="00A1499D" w:rsidP="00A149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B577C">
              <w:rPr>
                <w:rFonts w:ascii="Times New Roman" w:hAnsi="Times New Roman" w:cs="Times New Roman"/>
                <w:sz w:val="24"/>
                <w:szCs w:val="24"/>
              </w:rPr>
              <w:t xml:space="preserve">. Nolikumā nav iekļauta būtiska kompetence projektu jomā. </w:t>
            </w:r>
            <w:r w:rsidRPr="003B577C">
              <w:rPr>
                <w:rFonts w:ascii="Times New Roman" w:hAnsi="Times New Roman"/>
                <w:sz w:val="24"/>
                <w:szCs w:val="24"/>
              </w:rPr>
              <w:t>2014. gada 11. jūlija Eiropas Savienības struktūrfondu un Kohēzijas fonda 2014.</w:t>
            </w:r>
            <w:r w:rsidRPr="003B577C">
              <w:rPr>
                <w:rFonts w:ascii="Times New Roman" w:hAnsi="Times New Roman"/>
                <w:sz w:val="24"/>
                <w:szCs w:val="24"/>
              </w:rPr>
              <w:noBreakHyphen/>
              <w:t>2020. gada plānošanas perioda vadības likuma 11. pants no</w:t>
            </w:r>
            <w:r w:rsidR="0069046F">
              <w:rPr>
                <w:rFonts w:ascii="Times New Roman" w:hAnsi="Times New Roman"/>
                <w:sz w:val="24"/>
                <w:szCs w:val="24"/>
              </w:rPr>
              <w:t>teic</w:t>
            </w:r>
            <w:r w:rsidRPr="003B577C">
              <w:rPr>
                <w:rFonts w:ascii="Times New Roman" w:hAnsi="Times New Roman"/>
                <w:sz w:val="24"/>
                <w:szCs w:val="24"/>
              </w:rPr>
              <w:t xml:space="preserve">, ka Tieslietu ministrija plānošanas perioda ietvaros pilda atbildīgās iestādes funkcijas. Darbības programmā "Izaugsme un nodarbinātība" ir iekļauti trīs Tieslietu ministrijas pārraudzībā esoši specifiskā atbalsta mērķi (turpmāk – SAM): 3.4.1. SAM "Paaugstināt tiesu un tiesībsargājošo institūciju personāla kompetenci komercdarbības vides uzlabošanas sekmēšanai" (turpmāk – 3.4.1. SAM), 9.1.2. SAM "Palielināt bijušo ieslodzīto integrāciju sabiedrībā un darba tirgū" (turpmāk – 9.1.2. SAM) un 9.1.3. SAM "Paaugstināt resocializācijas sistēmas efektivitāti" (turpmāk – 9.1.3. SAM). 3.4.1. SAM ietvaros Tiesu administrācija īsteno projektu "Justīcija attīstībai", kurā kā sadarbības partneris iesaistīts Valsts tiesu ekspertīžu birojs. 9.1.2. SAM ietvaros tiek īstenots projekts "Bijušo ieslodzīto integrācija sabiedrībā un darba tirgū" un 9.1.3. SAM ietvaros tiek īstenots projekts "Resocializācijas sistēmas efektivitātes paaugstināšana", kurus abus īsteno Ieslodzījuma vietu pārvalde un kā viens no partneriem abos projektos iesaistīts Valsts probācijas dienests. Visu trīs projektu īstenošanas termiņš ir 2022. gada 31. decembris, un projektu kopējais finansējums šobrīd plānots 19 297 496 </w:t>
            </w:r>
            <w:proofErr w:type="spellStart"/>
            <w:r w:rsidRPr="003B577C">
              <w:rPr>
                <w:rFonts w:ascii="Times New Roman" w:hAnsi="Times New Roman"/>
                <w:i/>
                <w:sz w:val="24"/>
                <w:szCs w:val="24"/>
              </w:rPr>
              <w:t>euro</w:t>
            </w:r>
            <w:proofErr w:type="spellEnd"/>
            <w:r w:rsidRPr="003B577C">
              <w:rPr>
                <w:rFonts w:ascii="Times New Roman" w:hAnsi="Times New Roman"/>
                <w:sz w:val="24"/>
                <w:szCs w:val="24"/>
              </w:rPr>
              <w:t xml:space="preserve">, tai skaitā Eiropas Sociālā fonda finansējums 16 402 872 </w:t>
            </w:r>
            <w:proofErr w:type="spellStart"/>
            <w:r w:rsidRPr="003B577C">
              <w:rPr>
                <w:rFonts w:ascii="Times New Roman" w:hAnsi="Times New Roman"/>
                <w:i/>
                <w:sz w:val="24"/>
                <w:szCs w:val="24"/>
              </w:rPr>
              <w:t>euro</w:t>
            </w:r>
            <w:proofErr w:type="spellEnd"/>
            <w:r w:rsidRPr="003B577C">
              <w:rPr>
                <w:rFonts w:ascii="Times New Roman" w:hAnsi="Times New Roman"/>
                <w:sz w:val="24"/>
                <w:szCs w:val="24"/>
              </w:rPr>
              <w:t xml:space="preserve"> un valsts budžeta finansējums 2 894 624 </w:t>
            </w:r>
            <w:proofErr w:type="spellStart"/>
            <w:r w:rsidRPr="003B577C">
              <w:rPr>
                <w:rFonts w:ascii="Times New Roman" w:hAnsi="Times New Roman"/>
                <w:i/>
                <w:sz w:val="24"/>
                <w:szCs w:val="24"/>
              </w:rPr>
              <w:t>euro</w:t>
            </w:r>
            <w:proofErr w:type="spellEnd"/>
            <w:r w:rsidRPr="003B577C">
              <w:rPr>
                <w:rFonts w:ascii="Times New Roman" w:hAnsi="Times New Roman"/>
                <w:sz w:val="24"/>
                <w:szCs w:val="24"/>
              </w:rPr>
              <w:t>.</w:t>
            </w:r>
            <w:r w:rsidRPr="003B577C">
              <w:rPr>
                <w:rFonts w:ascii="Times New Roman" w:hAnsi="Times New Roman" w:cs="Times New Roman"/>
                <w:sz w:val="24"/>
                <w:szCs w:val="24"/>
              </w:rPr>
              <w:t xml:space="preserve"> </w:t>
            </w:r>
            <w:r w:rsidRPr="003B577C">
              <w:rPr>
                <w:rFonts w:ascii="Times New Roman" w:hAnsi="Times New Roman"/>
                <w:sz w:val="24"/>
                <w:szCs w:val="24"/>
              </w:rPr>
              <w:t>Tieslietu ministrija kā programmas LV08 "Latvijas korekcijas dienestu un Valsts policijas īslaicīgās aizturēšanas vietu reforma" (turpmāk – programmas) apsaimniekotājs ir piedalījusies divos Norvēģijas finanšu instrumenta plānošanas periodos, saņemot no Norvēģijas nozīmīgu finanšu un institucionālās sadarbības atbalstu korekcijas dienestu sistēmas attīstībai un stiprināšanai. 2004.</w:t>
            </w:r>
            <w:r w:rsidRPr="003B577C">
              <w:rPr>
                <w:rFonts w:ascii="Times New Roman" w:hAnsi="Times New Roman"/>
                <w:sz w:val="24"/>
                <w:szCs w:val="24"/>
              </w:rPr>
              <w:noBreakHyphen/>
              <w:t xml:space="preserve">2009. gada plānošanas periodā viena no izvirzītajām prioritātēm – tieslietas, saņēma atbalstu 6 651 429 </w:t>
            </w:r>
            <w:proofErr w:type="spellStart"/>
            <w:r w:rsidR="0069046F" w:rsidRPr="0069046F">
              <w:rPr>
                <w:rFonts w:ascii="Times New Roman" w:hAnsi="Times New Roman"/>
                <w:i/>
                <w:sz w:val="24"/>
                <w:szCs w:val="24"/>
              </w:rPr>
              <w:t>euro</w:t>
            </w:r>
            <w:proofErr w:type="spellEnd"/>
            <w:r w:rsidRPr="003B577C">
              <w:rPr>
                <w:rFonts w:ascii="Times New Roman" w:hAnsi="Times New Roman"/>
                <w:sz w:val="24"/>
                <w:szCs w:val="24"/>
              </w:rPr>
              <w:t xml:space="preserve"> apmērā, savukārt 2009.</w:t>
            </w:r>
            <w:r w:rsidRPr="003B577C">
              <w:rPr>
                <w:rFonts w:ascii="Times New Roman" w:hAnsi="Times New Roman"/>
                <w:sz w:val="24"/>
                <w:szCs w:val="24"/>
              </w:rPr>
              <w:noBreakHyphen/>
              <w:t xml:space="preserve">2014. gada plānošanas periodā tie bija 13 056 000 </w:t>
            </w:r>
            <w:proofErr w:type="spellStart"/>
            <w:r w:rsidR="0069046F" w:rsidRPr="0069046F">
              <w:rPr>
                <w:rFonts w:ascii="Times New Roman" w:hAnsi="Times New Roman"/>
                <w:i/>
                <w:sz w:val="24"/>
                <w:szCs w:val="24"/>
              </w:rPr>
              <w:t>euro</w:t>
            </w:r>
            <w:proofErr w:type="spellEnd"/>
            <w:r w:rsidRPr="003B577C">
              <w:rPr>
                <w:rFonts w:ascii="Times New Roman" w:hAnsi="Times New Roman"/>
                <w:sz w:val="24"/>
                <w:szCs w:val="24"/>
              </w:rPr>
              <w:t>. Sadarbības laikā īstenotie projekti ir būtiski veicinājuši tieslietu nozares attīstību kopumā, kā rezultātā ir augusi kriminālsodu izpildes sistēmas darbības kvalitāte, ko sekmējusi intensīva nozares speciālistu apmācība. Tāpat ir sakārtota infrastruktūra nepilngadīgo audzināšanas iestādē Cēsīs un Valsts policijas īslaicīgās aizturēšanas un pagaidu turēšanas vietās, ir uzbūvēts Atkarīgo centrs Olaines cietuma teritorijā, kā arī ieviesta pilnībā jauna iniciatīva – elektroniskā uzraudzība.</w:t>
            </w:r>
            <w:r w:rsidRPr="003B577C">
              <w:rPr>
                <w:rFonts w:ascii="Times New Roman" w:hAnsi="Times New Roman" w:cs="Times New Roman"/>
                <w:sz w:val="24"/>
                <w:szCs w:val="24"/>
              </w:rPr>
              <w:t xml:space="preserve"> </w:t>
            </w:r>
            <w:r w:rsidRPr="003B577C">
              <w:rPr>
                <w:rFonts w:ascii="Times New Roman" w:hAnsi="Times New Roman"/>
                <w:sz w:val="24"/>
                <w:szCs w:val="24"/>
              </w:rPr>
              <w:t>Izveidoto sadarbību plānots stiprināt arī nākamajā Norvēģijas finanšu instrumenta periodā (2014</w:t>
            </w:r>
            <w:r w:rsidR="0069046F">
              <w:rPr>
                <w:rFonts w:ascii="Times New Roman" w:hAnsi="Times New Roman"/>
                <w:sz w:val="24"/>
                <w:szCs w:val="24"/>
              </w:rPr>
              <w:t>.</w:t>
            </w:r>
            <w:r w:rsidRPr="003B577C">
              <w:rPr>
                <w:rFonts w:ascii="Times New Roman" w:hAnsi="Times New Roman"/>
                <w:sz w:val="24"/>
                <w:szCs w:val="24"/>
              </w:rPr>
              <w:noBreakHyphen/>
              <w:t>2021</w:t>
            </w:r>
            <w:r w:rsidR="0069046F">
              <w:rPr>
                <w:rFonts w:ascii="Times New Roman" w:hAnsi="Times New Roman"/>
                <w:sz w:val="24"/>
                <w:szCs w:val="24"/>
              </w:rPr>
              <w:t>.gads</w:t>
            </w:r>
            <w:r w:rsidRPr="003B577C">
              <w:rPr>
                <w:rFonts w:ascii="Times New Roman" w:hAnsi="Times New Roman"/>
                <w:sz w:val="24"/>
                <w:szCs w:val="24"/>
              </w:rPr>
              <w:t xml:space="preserve">). Šobrīd starp Latvijas un Norvēģijas pusēm jau panākta konceptuāla vienošanās arī par nozīmīgu turpmāku sadarbību tieslietu jomā nākamā NFI perioda ietvaros līdz 2021. gadam. Plānotās iniciatīvas būtiski sekmēs </w:t>
            </w:r>
            <w:r w:rsidRPr="003B577C">
              <w:rPr>
                <w:rFonts w:ascii="Times New Roman" w:hAnsi="Times New Roman"/>
                <w:sz w:val="24"/>
                <w:szCs w:val="24"/>
              </w:rPr>
              <w:lastRenderedPageBreak/>
              <w:t>ieslodzījuma vietu un probācijas darbinieku apmācīšanu un izglītības iegūšanas iespējas.</w:t>
            </w:r>
          </w:p>
          <w:p w:rsidR="00A1499D" w:rsidRDefault="00A1499D" w:rsidP="00A1499D">
            <w:pPr>
              <w:spacing w:after="0" w:line="240" w:lineRule="auto"/>
              <w:jc w:val="both"/>
              <w:rPr>
                <w:rFonts w:ascii="Times New Roman" w:hAnsi="Times New Roman"/>
                <w:sz w:val="24"/>
                <w:szCs w:val="24"/>
              </w:rPr>
            </w:pPr>
            <w:r w:rsidRPr="003B577C">
              <w:rPr>
                <w:rFonts w:ascii="Times New Roman" w:hAnsi="Times New Roman"/>
                <w:sz w:val="24"/>
                <w:szCs w:val="24"/>
              </w:rPr>
              <w:t xml:space="preserve">Tieslietu ministrija regulāri īsteno ārvalstu finanšu instrumentu finansētus projektus gan kā vadošais partneris, gan kā jaunākais partneris. Kopš 2007. gada Tieslietu ministrija ir īstenojusi un turpina īstenot projektus par kopējo finansējuma apjomu 5 374 604 </w:t>
            </w:r>
            <w:proofErr w:type="spellStart"/>
            <w:r w:rsidRPr="003B577C">
              <w:rPr>
                <w:rFonts w:ascii="Times New Roman" w:hAnsi="Times New Roman"/>
                <w:i/>
                <w:sz w:val="24"/>
                <w:szCs w:val="24"/>
              </w:rPr>
              <w:t>euro</w:t>
            </w:r>
            <w:proofErr w:type="spellEnd"/>
            <w:r w:rsidRPr="003B577C">
              <w:rPr>
                <w:rFonts w:ascii="Times New Roman" w:hAnsi="Times New Roman"/>
                <w:sz w:val="24"/>
                <w:szCs w:val="24"/>
              </w:rPr>
              <w:t xml:space="preserve">, kas ietver finansējumu no tādiem ārvalstu finanšu instrumentiem kā Eiropas trešo valstu valstspiederīgo integrācijas fonda, Ziemeļvalstu ministru Padomes Ziemeļvalstu un Baltijas valstu mobilitātes programmas "Valsts administrācija", Eiropas Komisijas īpašās programmas "Civiltiesības", Eiropas Komisijas īpašās programmas "Krimināltiesības", Eiropas Komisijas Eiropas kaimiņattiecību instrumenta un </w:t>
            </w:r>
            <w:proofErr w:type="spellStart"/>
            <w:r w:rsidRPr="003B577C">
              <w:rPr>
                <w:rFonts w:ascii="Times New Roman" w:hAnsi="Times New Roman"/>
                <w:sz w:val="24"/>
                <w:szCs w:val="24"/>
              </w:rPr>
              <w:t>Pirmspievienošanās</w:t>
            </w:r>
            <w:proofErr w:type="spellEnd"/>
            <w:r w:rsidRPr="003B577C">
              <w:rPr>
                <w:rFonts w:ascii="Times New Roman" w:hAnsi="Times New Roman"/>
                <w:sz w:val="24"/>
                <w:szCs w:val="24"/>
              </w:rPr>
              <w:t xml:space="preserve"> palīdzības instrumenta, Attīstības sadarbības programmas, Eiropas Sociālā fonda (2007</w:t>
            </w:r>
            <w:r w:rsidR="0069046F">
              <w:rPr>
                <w:rFonts w:ascii="Times New Roman" w:hAnsi="Times New Roman"/>
                <w:sz w:val="24"/>
                <w:szCs w:val="24"/>
              </w:rPr>
              <w:t>.</w:t>
            </w:r>
            <w:r w:rsidRPr="003B577C">
              <w:rPr>
                <w:rFonts w:ascii="Times New Roman" w:hAnsi="Times New Roman"/>
                <w:sz w:val="24"/>
                <w:szCs w:val="24"/>
              </w:rPr>
              <w:noBreakHyphen/>
              <w:t>2013</w:t>
            </w:r>
            <w:r w:rsidR="0069046F">
              <w:rPr>
                <w:rFonts w:ascii="Times New Roman" w:hAnsi="Times New Roman"/>
                <w:sz w:val="24"/>
                <w:szCs w:val="24"/>
              </w:rPr>
              <w:t>. gads</w:t>
            </w:r>
            <w:r w:rsidRPr="003B577C">
              <w:rPr>
                <w:rFonts w:ascii="Times New Roman" w:hAnsi="Times New Roman"/>
                <w:sz w:val="24"/>
                <w:szCs w:val="24"/>
              </w:rPr>
              <w:t>), Eiropas Reģionālās attīstības fonda (2007</w:t>
            </w:r>
            <w:r w:rsidR="0069046F">
              <w:rPr>
                <w:rFonts w:ascii="Times New Roman" w:hAnsi="Times New Roman"/>
                <w:sz w:val="24"/>
                <w:szCs w:val="24"/>
              </w:rPr>
              <w:t>.</w:t>
            </w:r>
            <w:r w:rsidRPr="003B577C">
              <w:rPr>
                <w:rFonts w:ascii="Times New Roman" w:hAnsi="Times New Roman"/>
                <w:sz w:val="24"/>
                <w:szCs w:val="24"/>
              </w:rPr>
              <w:noBreakHyphen/>
              <w:t>2013</w:t>
            </w:r>
            <w:r w:rsidR="0069046F">
              <w:rPr>
                <w:rFonts w:ascii="Times New Roman" w:hAnsi="Times New Roman"/>
                <w:sz w:val="24"/>
                <w:szCs w:val="24"/>
              </w:rPr>
              <w:t>. gads</w:t>
            </w:r>
            <w:r w:rsidRPr="003B577C">
              <w:rPr>
                <w:rFonts w:ascii="Times New Roman" w:hAnsi="Times New Roman"/>
                <w:sz w:val="24"/>
                <w:szCs w:val="24"/>
              </w:rPr>
              <w:t>) un citiem. Ievērojot minēto, nolikums būtu papildināms ar jaunu Tieslietu ministrijas uzdevumu</w:t>
            </w:r>
            <w:r w:rsidR="003E0803">
              <w:rPr>
                <w:rFonts w:ascii="Times New Roman" w:hAnsi="Times New Roman"/>
                <w:sz w:val="24"/>
                <w:szCs w:val="24"/>
              </w:rPr>
              <w:t xml:space="preserve"> - </w:t>
            </w:r>
            <w:r w:rsidRPr="003B577C">
              <w:rPr>
                <w:rFonts w:ascii="Times New Roman" w:hAnsi="Times New Roman"/>
                <w:sz w:val="24"/>
                <w:szCs w:val="24"/>
              </w:rPr>
              <w:t>nodrošin</w:t>
            </w:r>
            <w:r w:rsidR="003E0803">
              <w:rPr>
                <w:rFonts w:ascii="Times New Roman" w:hAnsi="Times New Roman"/>
                <w:sz w:val="24"/>
                <w:szCs w:val="24"/>
              </w:rPr>
              <w:t>āt</w:t>
            </w:r>
            <w:r w:rsidRPr="003B577C">
              <w:rPr>
                <w:rFonts w:ascii="Times New Roman" w:hAnsi="Times New Roman"/>
                <w:sz w:val="24"/>
                <w:szCs w:val="24"/>
              </w:rPr>
              <w:t xml:space="preserve"> Eiropas Savienības fondu, Norvēģijas finanšu instrumenta un citu ārvalstu finanšu instrumentu finansēto tieslietu jomas projektu plānošanu, vērtēšanu, īstenošanu, uzraudzību un kontroli.</w:t>
            </w:r>
          </w:p>
          <w:p w:rsidR="00A1499D" w:rsidRPr="006930DB" w:rsidRDefault="00A1499D" w:rsidP="00A1499D">
            <w:pPr>
              <w:spacing w:after="0" w:line="240" w:lineRule="auto"/>
              <w:jc w:val="both"/>
              <w:rPr>
                <w:rFonts w:ascii="Times New Roman" w:hAnsi="Times New Roman" w:cs="Times New Roman"/>
                <w:sz w:val="24"/>
                <w:szCs w:val="24"/>
              </w:rPr>
            </w:pPr>
          </w:p>
          <w:p w:rsidR="008E3C18" w:rsidRPr="00862AE5" w:rsidRDefault="008B33E0" w:rsidP="00F44695">
            <w:pPr>
              <w:spacing w:after="0" w:line="240" w:lineRule="auto"/>
              <w:jc w:val="both"/>
              <w:rPr>
                <w:rFonts w:ascii="Times New Roman" w:eastAsia="Times New Roman" w:hAnsi="Times New Roman" w:cs="Times New Roman"/>
                <w:b/>
                <w:sz w:val="24"/>
                <w:szCs w:val="24"/>
              </w:rPr>
            </w:pPr>
            <w:r w:rsidRPr="00862AE5">
              <w:rPr>
                <w:rFonts w:ascii="Times New Roman" w:eastAsia="Times New Roman" w:hAnsi="Times New Roman" w:cs="Times New Roman"/>
                <w:b/>
                <w:sz w:val="24"/>
                <w:szCs w:val="24"/>
              </w:rPr>
              <w:t>Precizējumi:</w:t>
            </w:r>
          </w:p>
          <w:p w:rsidR="003A13C6" w:rsidRPr="003E66C1" w:rsidRDefault="006930DB" w:rsidP="003A13C6">
            <w:pPr>
              <w:pStyle w:val="tv2132"/>
              <w:spacing w:line="240" w:lineRule="auto"/>
              <w:ind w:firstLine="0"/>
              <w:jc w:val="both"/>
              <w:rPr>
                <w:color w:val="auto"/>
                <w:sz w:val="24"/>
                <w:szCs w:val="24"/>
              </w:rPr>
            </w:pPr>
            <w:r>
              <w:rPr>
                <w:color w:val="auto"/>
                <w:sz w:val="24"/>
                <w:szCs w:val="24"/>
              </w:rPr>
              <w:t>1</w:t>
            </w:r>
            <w:r w:rsidR="003B577C">
              <w:rPr>
                <w:color w:val="auto"/>
                <w:sz w:val="24"/>
                <w:szCs w:val="24"/>
              </w:rPr>
              <w:t>2</w:t>
            </w:r>
            <w:r w:rsidR="003A13C6" w:rsidRPr="003E66C1">
              <w:rPr>
                <w:color w:val="auto"/>
                <w:sz w:val="24"/>
                <w:szCs w:val="24"/>
              </w:rPr>
              <w:t>. Latvijas Republikas Satversmes 58. pants paredz, ka Ministru kabinetam ir padotas valsts pārvaldes iestādes. Valsts pārvaldes iekārtas likuma 7.</w:t>
            </w:r>
            <w:r w:rsidR="003A13C6">
              <w:rPr>
                <w:color w:val="auto"/>
                <w:sz w:val="24"/>
                <w:szCs w:val="24"/>
              </w:rPr>
              <w:t> </w:t>
            </w:r>
            <w:r w:rsidR="003A13C6" w:rsidRPr="003E66C1">
              <w:rPr>
                <w:color w:val="auto"/>
                <w:sz w:val="24"/>
                <w:szCs w:val="24"/>
              </w:rPr>
              <w:t xml:space="preserve">pants noteic, ka Ministru kabinets īsteno padotību pār valsts pārvaldes organizāciju (institucionālā padotība) un pār valsts pārvaldes funkciju pildīšanu (funkcionālā padotība). Ministru kabinets padotību īsteno ar atsevišķa Ministru kabineta locekļa starpniecību. Savukārt Ministru kabineta loceklis padotību īsteno tieši vai ar tiešās pārvaldes iestādes, tās struktūrvienības </w:t>
            </w:r>
            <w:r w:rsidR="00206604">
              <w:rPr>
                <w:color w:val="auto"/>
                <w:sz w:val="24"/>
                <w:szCs w:val="24"/>
              </w:rPr>
              <w:t xml:space="preserve">vai amatpersonas starpniecību. </w:t>
            </w:r>
            <w:r w:rsidR="003A13C6" w:rsidRPr="003E66C1">
              <w:rPr>
                <w:color w:val="auto"/>
                <w:sz w:val="24"/>
                <w:szCs w:val="24"/>
              </w:rPr>
              <w:t xml:space="preserve">Padotību īsteno pakļautības vai pārraudzības formā. Pakļautība nozīmē </w:t>
            </w:r>
            <w:r w:rsidR="003A13C6" w:rsidRPr="003E66C1">
              <w:rPr>
                <w:color w:val="auto"/>
                <w:sz w:val="24"/>
                <w:szCs w:val="24"/>
                <w:u w:val="single"/>
              </w:rPr>
              <w:t>augstākas iestādes</w:t>
            </w:r>
            <w:r w:rsidR="003A13C6" w:rsidRPr="003E66C1">
              <w:rPr>
                <w:color w:val="auto"/>
                <w:sz w:val="24"/>
                <w:szCs w:val="24"/>
              </w:rPr>
              <w:t xml:space="preserve"> vai amatpersonas tiesības dot rīkojumu zemākai iestādei vai amatpersonai, kā arī atcelt zemākas iestādes vai amatpersonas lēmumu. Pārraudzība nozīmē </w:t>
            </w:r>
            <w:r w:rsidR="003A13C6" w:rsidRPr="003E66C1">
              <w:rPr>
                <w:color w:val="auto"/>
                <w:sz w:val="24"/>
                <w:szCs w:val="24"/>
                <w:u w:val="single"/>
              </w:rPr>
              <w:t>augstākas iestādes</w:t>
            </w:r>
            <w:r w:rsidR="003A13C6" w:rsidRPr="003E66C1">
              <w:rPr>
                <w:color w:val="auto"/>
                <w:sz w:val="24"/>
                <w:szCs w:val="24"/>
              </w:rPr>
              <w:t xml:space="preserve"> vai amatpersonas tiesības pārbaudīt zemākas iestādes vai amatpersonas lēmuma tiesiskumu un atcelt prettiesisku lēmumu, kā arī prettiesiskas bezdarbības gadījumā dot rīkojumu pieņemt lēmumu. Tiešajā pārvaldē institucionālo padotību īsteno pakļautības formā, </w:t>
            </w:r>
            <w:r w:rsidR="003A13C6" w:rsidRPr="003E66C1">
              <w:rPr>
                <w:color w:val="auto"/>
                <w:sz w:val="24"/>
                <w:szCs w:val="24"/>
                <w:u w:val="single"/>
              </w:rPr>
              <w:t>ja likumā nav noteikts citādi.</w:t>
            </w:r>
            <w:r w:rsidR="003A13C6" w:rsidRPr="003E66C1">
              <w:rPr>
                <w:color w:val="auto"/>
                <w:sz w:val="24"/>
                <w:szCs w:val="24"/>
              </w:rPr>
              <w:t xml:space="preserve"> Nosakot iestādes institucionālās padotības formu un saturu vienas publiskas personas ietvaros, ņem vērā iestādei nodoto valsts pārvaldes funkciju vai uzdevumu raksturu, to pildīšanas efektivitāti, tiesiskuma un demokrātiskās kontroles nodrošināšanas apsvērumus. Savukārt iestādes funkcionālās padotības formu un saturu </w:t>
            </w:r>
            <w:r w:rsidR="003A13C6" w:rsidRPr="003E66C1">
              <w:rPr>
                <w:color w:val="auto"/>
                <w:sz w:val="24"/>
                <w:szCs w:val="24"/>
                <w:u w:val="single"/>
              </w:rPr>
              <w:t>nosaka normatīvie akti</w:t>
            </w:r>
            <w:r w:rsidR="003A13C6" w:rsidRPr="003E66C1">
              <w:rPr>
                <w:color w:val="auto"/>
                <w:sz w:val="24"/>
                <w:szCs w:val="24"/>
              </w:rPr>
              <w:t>, saskaņā ar kuriem tā veic attiecīgās valsts pārvaldes funkcijas vai uzdevumus.</w:t>
            </w:r>
          </w:p>
          <w:p w:rsidR="003A13C6" w:rsidRPr="00C74121" w:rsidRDefault="003A13C6" w:rsidP="003A13C6">
            <w:pPr>
              <w:spacing w:after="0" w:line="240" w:lineRule="auto"/>
              <w:jc w:val="both"/>
              <w:rPr>
                <w:rFonts w:ascii="Times New Roman" w:hAnsi="Times New Roman" w:cs="Times New Roman"/>
                <w:sz w:val="24"/>
                <w:szCs w:val="24"/>
              </w:rPr>
            </w:pPr>
            <w:r w:rsidRPr="003E66C1">
              <w:rPr>
                <w:rFonts w:ascii="Times New Roman" w:hAnsi="Times New Roman" w:cs="Times New Roman"/>
                <w:sz w:val="24"/>
                <w:szCs w:val="24"/>
              </w:rPr>
              <w:t xml:space="preserve">Administratīvā procesa likuma 1. panta pirmā un otrā </w:t>
            </w:r>
            <w:r w:rsidRPr="00C74121">
              <w:rPr>
                <w:rFonts w:ascii="Times New Roman" w:hAnsi="Times New Roman" w:cs="Times New Roman"/>
                <w:sz w:val="24"/>
                <w:szCs w:val="24"/>
              </w:rPr>
              <w:t>daļa skaidro, ka augstāka iestāde ir tiesību subjekts, tā struktūrvienība vai amatpersona, kas hierarhiskā kārtībā var dot rīkojumu iestādei</w:t>
            </w:r>
            <w:r>
              <w:rPr>
                <w:rFonts w:ascii="Times New Roman" w:hAnsi="Times New Roman" w:cs="Times New Roman"/>
                <w:sz w:val="24"/>
                <w:szCs w:val="24"/>
              </w:rPr>
              <w:t xml:space="preserve"> (</w:t>
            </w:r>
            <w:r w:rsidRPr="000265F9">
              <w:rPr>
                <w:rFonts w:ascii="Times New Roman" w:hAnsi="Times New Roman" w:cs="Times New Roman"/>
                <w:sz w:val="24"/>
                <w:szCs w:val="24"/>
              </w:rPr>
              <w:t>tiesību subjektam, tā struktūrvienībai vai amatpersonai, kurai ar normatīvo aktu vai publisko tiesību līgumu piešķirtas noteiktas valsts varas pilnvaras valsts pārvaldes jomā)</w:t>
            </w:r>
            <w:r w:rsidRPr="00C74121">
              <w:rPr>
                <w:rFonts w:ascii="Times New Roman" w:hAnsi="Times New Roman" w:cs="Times New Roman"/>
                <w:sz w:val="24"/>
                <w:szCs w:val="24"/>
              </w:rPr>
              <w:t xml:space="preserve"> vai atcelt tās lēmumu. Savukārt minētā likuma </w:t>
            </w:r>
            <w:r w:rsidRPr="00C74121">
              <w:rPr>
                <w:rFonts w:ascii="Times New Roman" w:hAnsi="Times New Roman" w:cs="Times New Roman"/>
                <w:sz w:val="24"/>
                <w:szCs w:val="24"/>
              </w:rPr>
              <w:lastRenderedPageBreak/>
              <w:t xml:space="preserve">76. panta otrā daļa paredz, ka administratīvo aktu var apstrīdēt padotības kārtībā </w:t>
            </w:r>
            <w:r w:rsidRPr="00CF0F29">
              <w:rPr>
                <w:rFonts w:ascii="Times New Roman" w:hAnsi="Times New Roman" w:cs="Times New Roman"/>
                <w:sz w:val="24"/>
                <w:szCs w:val="24"/>
                <w:u w:val="single"/>
              </w:rPr>
              <w:t>augstākā iestādē</w:t>
            </w:r>
            <w:r w:rsidRPr="00C74121">
              <w:rPr>
                <w:rFonts w:ascii="Times New Roman" w:hAnsi="Times New Roman" w:cs="Times New Roman"/>
                <w:sz w:val="24"/>
                <w:szCs w:val="24"/>
              </w:rPr>
              <w:t xml:space="preserve">.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w:t>
            </w:r>
            <w:r w:rsidRPr="00CF0F29">
              <w:rPr>
                <w:rFonts w:ascii="Times New Roman" w:hAnsi="Times New Roman" w:cs="Times New Roman"/>
                <w:sz w:val="24"/>
                <w:szCs w:val="24"/>
                <w:u w:val="single"/>
              </w:rPr>
              <w:t>uz augstāku iestādi</w:t>
            </w:r>
            <w:r w:rsidRPr="00C74121">
              <w:rPr>
                <w:rFonts w:ascii="Times New Roman" w:hAnsi="Times New Roman" w:cs="Times New Roman"/>
                <w:sz w:val="24"/>
                <w:szCs w:val="24"/>
              </w:rPr>
              <w:t>.</w:t>
            </w:r>
          </w:p>
          <w:p w:rsidR="003A13C6" w:rsidRDefault="003A13C6" w:rsidP="003A13C6">
            <w:pPr>
              <w:spacing w:after="0" w:line="240" w:lineRule="auto"/>
              <w:jc w:val="both"/>
              <w:rPr>
                <w:rFonts w:ascii="Times New Roman" w:hAnsi="Times New Roman" w:cs="Times New Roman"/>
                <w:sz w:val="24"/>
                <w:szCs w:val="24"/>
              </w:rPr>
            </w:pPr>
            <w:r w:rsidRPr="00C74121">
              <w:rPr>
                <w:rFonts w:ascii="Times New Roman" w:hAnsi="Times New Roman" w:cs="Times New Roman"/>
                <w:sz w:val="24"/>
                <w:szCs w:val="24"/>
              </w:rPr>
              <w:t>Nolikuma 3.</w:t>
            </w:r>
            <w:r>
              <w:rPr>
                <w:rFonts w:ascii="Times New Roman" w:hAnsi="Times New Roman" w:cs="Times New Roman"/>
                <w:sz w:val="24"/>
                <w:szCs w:val="24"/>
              </w:rPr>
              <w:t> </w:t>
            </w:r>
            <w:r w:rsidRPr="00C74121">
              <w:rPr>
                <w:rFonts w:ascii="Times New Roman" w:hAnsi="Times New Roman" w:cs="Times New Roman"/>
                <w:sz w:val="24"/>
                <w:szCs w:val="24"/>
              </w:rPr>
              <w:t>p</w:t>
            </w:r>
            <w:r w:rsidR="009768BE">
              <w:rPr>
                <w:rFonts w:ascii="Times New Roman" w:hAnsi="Times New Roman" w:cs="Times New Roman"/>
                <w:sz w:val="24"/>
                <w:szCs w:val="24"/>
              </w:rPr>
              <w:t>unkts</w:t>
            </w:r>
            <w:r w:rsidRPr="00C74121">
              <w:rPr>
                <w:rFonts w:ascii="Times New Roman" w:hAnsi="Times New Roman" w:cs="Times New Roman"/>
                <w:sz w:val="24"/>
                <w:szCs w:val="24"/>
              </w:rPr>
              <w:t xml:space="preserve"> paredz, ka Tieslietu ministrija ir augstākā iestāde ministrijas padotībā esošajām valsts pārvaldes iestādēm. Šāds regulējums ir pretrunā ar </w:t>
            </w:r>
            <w:r>
              <w:rPr>
                <w:rFonts w:ascii="Times New Roman" w:hAnsi="Times New Roman" w:cs="Times New Roman"/>
                <w:sz w:val="24"/>
                <w:szCs w:val="24"/>
              </w:rPr>
              <w:t xml:space="preserve">minētajām </w:t>
            </w:r>
            <w:r w:rsidRPr="00C74121">
              <w:rPr>
                <w:rFonts w:ascii="Times New Roman" w:hAnsi="Times New Roman" w:cs="Times New Roman"/>
                <w:sz w:val="24"/>
                <w:szCs w:val="24"/>
              </w:rPr>
              <w:t xml:space="preserve">Administratīvā procesa likuma </w:t>
            </w:r>
            <w:r>
              <w:rPr>
                <w:rFonts w:ascii="Times New Roman" w:hAnsi="Times New Roman" w:cs="Times New Roman"/>
                <w:sz w:val="24"/>
                <w:szCs w:val="24"/>
              </w:rPr>
              <w:t>normām</w:t>
            </w:r>
            <w:r w:rsidRPr="00C74121">
              <w:rPr>
                <w:rFonts w:ascii="Times New Roman" w:hAnsi="Times New Roman" w:cs="Times New Roman"/>
                <w:sz w:val="24"/>
                <w:szCs w:val="24"/>
              </w:rPr>
              <w:t xml:space="preserve">, kas paredz, ka augstākā iestāde </w:t>
            </w:r>
            <w:r>
              <w:rPr>
                <w:rFonts w:ascii="Times New Roman" w:hAnsi="Times New Roman" w:cs="Times New Roman"/>
                <w:sz w:val="24"/>
                <w:szCs w:val="24"/>
              </w:rPr>
              <w:t xml:space="preserve">likumā vai Ministru kabineta noteikumos </w:t>
            </w:r>
            <w:r w:rsidRPr="00C74121">
              <w:rPr>
                <w:rFonts w:ascii="Times New Roman" w:hAnsi="Times New Roman" w:cs="Times New Roman"/>
                <w:sz w:val="24"/>
                <w:szCs w:val="24"/>
              </w:rPr>
              <w:t>var b</w:t>
            </w:r>
            <w:r>
              <w:rPr>
                <w:rFonts w:ascii="Times New Roman" w:hAnsi="Times New Roman" w:cs="Times New Roman"/>
                <w:sz w:val="24"/>
                <w:szCs w:val="24"/>
              </w:rPr>
              <w:t xml:space="preserve">ūt noteikta arī cita, kā arī tieslietu nozares kompetences ietvaros </w:t>
            </w:r>
            <w:r w:rsidRPr="000265F9">
              <w:rPr>
                <w:rFonts w:ascii="Times New Roman" w:hAnsi="Times New Roman" w:cs="Times New Roman"/>
                <w:sz w:val="24"/>
                <w:szCs w:val="24"/>
              </w:rPr>
              <w:t>ar normatīvo aktu vai publisko tiesību līgumu piešķirtas noteiktas valsts varas pilnvaras valsts pārvaldes jomā</w:t>
            </w:r>
            <w:r>
              <w:rPr>
                <w:rFonts w:ascii="Times New Roman" w:hAnsi="Times New Roman" w:cs="Times New Roman"/>
                <w:sz w:val="24"/>
                <w:szCs w:val="24"/>
              </w:rPr>
              <w:t xml:space="preserve"> ne tikai valsts pārvaldes iestādei, bet arī, piemēram, privātpersona</w:t>
            </w:r>
            <w:r w:rsidR="00206604">
              <w:rPr>
                <w:rFonts w:ascii="Times New Roman" w:hAnsi="Times New Roman" w:cs="Times New Roman"/>
                <w:sz w:val="24"/>
                <w:szCs w:val="24"/>
              </w:rPr>
              <w:t>i</w:t>
            </w:r>
            <w:r>
              <w:rPr>
                <w:rFonts w:ascii="Times New Roman" w:hAnsi="Times New Roman" w:cs="Times New Roman"/>
                <w:sz w:val="24"/>
                <w:szCs w:val="24"/>
              </w:rPr>
              <w:t>, kurai deleģēts pārvaldes uzdevums un kura attiecībā uz konkrētā uzdevuma izpildi ir ministrijas padotībā (piemēram, valsts kapitālsabiedrība, kurā ministrija ir valsts kapitāla daļu turētāja - VSIA "Latvijas Vēstnesis", kura saskaņā ar Oficiālo publikāciju un tiesiskās informācijas likumu pilda valsts pārvaldes uzdevumus). Ievērojot minēto</w:t>
            </w:r>
            <w:r w:rsidR="00CA7568">
              <w:rPr>
                <w:rFonts w:ascii="Times New Roman" w:hAnsi="Times New Roman" w:cs="Times New Roman"/>
                <w:sz w:val="24"/>
                <w:szCs w:val="24"/>
              </w:rPr>
              <w:t>,</w:t>
            </w:r>
            <w:r>
              <w:rPr>
                <w:rFonts w:ascii="Times New Roman" w:hAnsi="Times New Roman" w:cs="Times New Roman"/>
                <w:sz w:val="24"/>
                <w:szCs w:val="24"/>
              </w:rPr>
              <w:t xml:space="preserve"> nepieciešams papildināt nolikuma 3.</w:t>
            </w:r>
            <w:r w:rsidR="00206604">
              <w:rPr>
                <w:rFonts w:ascii="Times New Roman" w:hAnsi="Times New Roman" w:cs="Times New Roman"/>
                <w:sz w:val="24"/>
                <w:szCs w:val="24"/>
              </w:rPr>
              <w:t> </w:t>
            </w:r>
            <w:r>
              <w:rPr>
                <w:rFonts w:ascii="Times New Roman" w:hAnsi="Times New Roman" w:cs="Times New Roman"/>
                <w:sz w:val="24"/>
                <w:szCs w:val="24"/>
              </w:rPr>
              <w:t>punktā minēto ar atbilstošu regulējumu.</w:t>
            </w:r>
            <w:r w:rsidR="00206604">
              <w:rPr>
                <w:rFonts w:ascii="Times New Roman" w:hAnsi="Times New Roman" w:cs="Times New Roman"/>
                <w:sz w:val="24"/>
                <w:szCs w:val="24"/>
              </w:rPr>
              <w:t xml:space="preserve"> </w:t>
            </w:r>
          </w:p>
          <w:p w:rsidR="00240D4E" w:rsidRPr="00240D4E" w:rsidRDefault="00972BB2" w:rsidP="00240D4E">
            <w:pPr>
              <w:pStyle w:val="tv2132"/>
              <w:spacing w:line="240" w:lineRule="auto"/>
              <w:ind w:firstLine="0"/>
              <w:jc w:val="both"/>
              <w:rPr>
                <w:color w:val="000000"/>
                <w:sz w:val="24"/>
                <w:szCs w:val="24"/>
              </w:rPr>
            </w:pPr>
            <w:r>
              <w:rPr>
                <w:color w:val="000000"/>
                <w:sz w:val="24"/>
                <w:szCs w:val="24"/>
              </w:rPr>
              <w:t>1</w:t>
            </w:r>
            <w:r w:rsidR="003B577C">
              <w:rPr>
                <w:color w:val="000000"/>
                <w:sz w:val="24"/>
                <w:szCs w:val="24"/>
              </w:rPr>
              <w:t>3</w:t>
            </w:r>
            <w:r w:rsidR="000403CF">
              <w:rPr>
                <w:color w:val="000000"/>
                <w:sz w:val="24"/>
                <w:szCs w:val="24"/>
              </w:rPr>
              <w:t>. </w:t>
            </w:r>
            <w:r w:rsidR="00240D4E" w:rsidRPr="00240D4E">
              <w:rPr>
                <w:color w:val="000000"/>
                <w:sz w:val="24"/>
                <w:szCs w:val="24"/>
              </w:rPr>
              <w:t>Tieslietu ministrija izstrādā politiku ne tikai komercsabiedrību maksātnespējas jomā (izņemot kredītiestādes), bet arī fizisku personu maksātnespējas jomā. Ievērojot minēto, nepieciešams precizēt nolikuma 4.1.9.</w:t>
            </w:r>
            <w:r w:rsidR="000403CF">
              <w:rPr>
                <w:color w:val="000000"/>
                <w:sz w:val="24"/>
                <w:szCs w:val="24"/>
              </w:rPr>
              <w:t> </w:t>
            </w:r>
            <w:r w:rsidR="00240D4E" w:rsidRPr="00240D4E">
              <w:rPr>
                <w:color w:val="000000"/>
                <w:sz w:val="24"/>
                <w:szCs w:val="24"/>
              </w:rPr>
              <w:t>apakšpunktu, nosakot, ka Tieslietu ministrija izstrādā politiku juridisko personu (izņemot kredītiestādes) un fizisko personu maksātnespējas jom</w:t>
            </w:r>
            <w:r w:rsidR="00240D4E">
              <w:rPr>
                <w:color w:val="000000"/>
                <w:sz w:val="24"/>
                <w:szCs w:val="24"/>
              </w:rPr>
              <w:t>ā.</w:t>
            </w:r>
          </w:p>
          <w:p w:rsidR="00B27269" w:rsidRPr="00205B00" w:rsidRDefault="006D0839" w:rsidP="00B27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B577C">
              <w:rPr>
                <w:rFonts w:ascii="Times New Roman" w:hAnsi="Times New Roman" w:cs="Times New Roman"/>
                <w:sz w:val="24"/>
                <w:szCs w:val="24"/>
              </w:rPr>
              <w:t>4</w:t>
            </w:r>
            <w:r w:rsidR="00B27269" w:rsidRPr="000D2B07">
              <w:rPr>
                <w:rFonts w:ascii="Times New Roman" w:hAnsi="Times New Roman" w:cs="Times New Roman"/>
                <w:sz w:val="24"/>
                <w:szCs w:val="24"/>
              </w:rPr>
              <w:t>. </w:t>
            </w:r>
            <w:r w:rsidR="00B27269" w:rsidRPr="00C4702B">
              <w:rPr>
                <w:rFonts w:ascii="Times New Roman" w:hAnsi="Times New Roman" w:cs="Times New Roman"/>
                <w:sz w:val="24"/>
                <w:szCs w:val="24"/>
              </w:rPr>
              <w:t>Publiskas personas finanšu līdzekļu un mantas izšķērdēšanas novēršanas likuma 9.</w:t>
            </w:r>
            <w:r w:rsidR="00B27269" w:rsidRPr="00C4702B">
              <w:rPr>
                <w:rFonts w:ascii="Times New Roman" w:hAnsi="Times New Roman" w:cs="Times New Roman"/>
                <w:sz w:val="24"/>
                <w:szCs w:val="24"/>
                <w:vertAlign w:val="superscript"/>
              </w:rPr>
              <w:t>2</w:t>
            </w:r>
            <w:r w:rsidR="00B27269" w:rsidRPr="00C4702B">
              <w:rPr>
                <w:rFonts w:ascii="Times New Roman" w:hAnsi="Times New Roman" w:cs="Times New Roman"/>
                <w:sz w:val="24"/>
                <w:szCs w:val="24"/>
              </w:rPr>
              <w:t xml:space="preserve"> pants noteic, ka publiska persona, pasūtot pētījumu, ievēro šajā likumā noteiktos ierobežojumus un aizliegumus, Publisko iepirkumu likumu un citus normatīvos aktus. Ministru kabinets nosaka publiskas personas pētījumu klasifikāciju, pasūtīšanas un izstrādes vadības noteikumus, minimālās prasības pētījuma pasūtījuma un izstrādes dokumentācijai, kā arī prasības sabiedrības informēšanai. Uz šī pamata ir izdoti Ministru kabineta 2013. gada 3. janvāra noteikumi Nr. 1 "Kārtība, kādā publiska persona pasūta pētījumus". Nolikuma 6.9. apakšpunkts noteic, ka Tieslietu ministrija  nodrošina valsts pasūtīto pētījumu pieteikumu izstrādi un veicina pētījumu rezultātu efektīvu izmantošanu nozares politikas izstrādē. </w:t>
            </w:r>
            <w:r w:rsidR="00205B00" w:rsidRPr="00C4702B">
              <w:rPr>
                <w:rFonts w:ascii="Times New Roman" w:hAnsi="Times New Roman" w:cs="Times New Roman"/>
                <w:sz w:val="24"/>
                <w:szCs w:val="24"/>
              </w:rPr>
              <w:t xml:space="preserve">Ievērojot minēto, nepieciešams precizēt </w:t>
            </w:r>
            <w:r w:rsidR="005052C6" w:rsidRPr="00C4702B">
              <w:rPr>
                <w:rFonts w:ascii="Times New Roman" w:hAnsi="Times New Roman" w:cs="Times New Roman"/>
                <w:sz w:val="24"/>
                <w:szCs w:val="24"/>
              </w:rPr>
              <w:t xml:space="preserve">un vispārināt </w:t>
            </w:r>
            <w:r w:rsidR="00205B00" w:rsidRPr="00C4702B">
              <w:rPr>
                <w:rFonts w:ascii="Times New Roman" w:hAnsi="Times New Roman" w:cs="Times New Roman"/>
                <w:sz w:val="24"/>
                <w:szCs w:val="24"/>
              </w:rPr>
              <w:t>kompetenci</w:t>
            </w:r>
            <w:r w:rsidR="005052C6" w:rsidRPr="00C4702B">
              <w:rPr>
                <w:rFonts w:ascii="Times New Roman" w:hAnsi="Times New Roman" w:cs="Times New Roman"/>
                <w:sz w:val="24"/>
                <w:szCs w:val="24"/>
              </w:rPr>
              <w:t xml:space="preserve"> pētījumu jomā</w:t>
            </w:r>
            <w:r w:rsidR="00205B00" w:rsidRPr="00C4702B">
              <w:rPr>
                <w:rFonts w:ascii="Times New Roman" w:hAnsi="Times New Roman" w:cs="Times New Roman"/>
                <w:sz w:val="24"/>
                <w:szCs w:val="24"/>
              </w:rPr>
              <w:t xml:space="preserve"> un noteikt, ka Tieslietu ministrija kompetences ietvaros nodrošina </w:t>
            </w:r>
            <w:r w:rsidR="005052C6" w:rsidRPr="00C4702B">
              <w:rPr>
                <w:rFonts w:ascii="Times New Roman" w:hAnsi="Times New Roman" w:cs="Times New Roman"/>
                <w:sz w:val="24"/>
                <w:szCs w:val="24"/>
              </w:rPr>
              <w:t>nepieciešamos pētījumus.</w:t>
            </w:r>
          </w:p>
          <w:p w:rsidR="00972BB2" w:rsidRDefault="00972BB2" w:rsidP="00972BB2">
            <w:pPr>
              <w:spacing w:after="0" w:line="240" w:lineRule="auto"/>
              <w:jc w:val="both"/>
              <w:rPr>
                <w:rFonts w:ascii="Times New Roman" w:hAnsi="Times New Roman" w:cs="Times New Roman"/>
                <w:sz w:val="24"/>
                <w:szCs w:val="24"/>
              </w:rPr>
            </w:pPr>
            <w:r w:rsidRPr="003B220C">
              <w:rPr>
                <w:rFonts w:ascii="Times New Roman" w:hAnsi="Times New Roman" w:cs="Times New Roman"/>
                <w:sz w:val="24"/>
                <w:szCs w:val="24"/>
              </w:rPr>
              <w:t>1</w:t>
            </w:r>
            <w:r w:rsidR="003B577C">
              <w:rPr>
                <w:rFonts w:ascii="Times New Roman" w:hAnsi="Times New Roman" w:cs="Times New Roman"/>
                <w:sz w:val="24"/>
                <w:szCs w:val="24"/>
              </w:rPr>
              <w:t>5</w:t>
            </w:r>
            <w:r w:rsidRPr="003B220C">
              <w:rPr>
                <w:rFonts w:ascii="Times New Roman" w:hAnsi="Times New Roman" w:cs="Times New Roman"/>
                <w:sz w:val="24"/>
                <w:szCs w:val="24"/>
              </w:rPr>
              <w:t>. Nolikumā nepieciešams svītrot</w:t>
            </w:r>
            <w:r w:rsidR="000403CF">
              <w:rPr>
                <w:rFonts w:ascii="Times New Roman" w:hAnsi="Times New Roman" w:cs="Times New Roman"/>
                <w:sz w:val="24"/>
                <w:szCs w:val="24"/>
              </w:rPr>
              <w:t xml:space="preserve"> 7.4. apakšpunktu, jo tiesības </w:t>
            </w:r>
            <w:r w:rsidRPr="003B220C">
              <w:rPr>
                <w:rFonts w:ascii="Times New Roman" w:hAnsi="Times New Roman" w:cs="Times New Roman"/>
                <w:sz w:val="24"/>
                <w:szCs w:val="24"/>
              </w:rPr>
              <w:t>veikt finanšu revīziju ministrijas padotībā eso</w:t>
            </w:r>
            <w:r w:rsidR="000403CF">
              <w:rPr>
                <w:rFonts w:ascii="Times New Roman" w:hAnsi="Times New Roman" w:cs="Times New Roman"/>
                <w:sz w:val="24"/>
                <w:szCs w:val="24"/>
              </w:rPr>
              <w:t>šajās valsts pārvaldes iestādēs</w:t>
            </w:r>
            <w:r w:rsidRPr="003B220C">
              <w:rPr>
                <w:rFonts w:ascii="Times New Roman" w:hAnsi="Times New Roman" w:cs="Times New Roman"/>
                <w:sz w:val="24"/>
                <w:szCs w:val="24"/>
              </w:rPr>
              <w:t xml:space="preserve"> jau ietilpst </w:t>
            </w:r>
            <w:r w:rsidR="000403CF">
              <w:rPr>
                <w:rFonts w:ascii="Times New Roman" w:hAnsi="Times New Roman" w:cs="Times New Roman"/>
                <w:sz w:val="24"/>
                <w:szCs w:val="24"/>
              </w:rPr>
              <w:t xml:space="preserve">nolikuma </w:t>
            </w:r>
            <w:r w:rsidRPr="003B220C">
              <w:rPr>
                <w:rFonts w:ascii="Times New Roman" w:hAnsi="Times New Roman" w:cs="Times New Roman"/>
                <w:sz w:val="24"/>
                <w:szCs w:val="24"/>
              </w:rPr>
              <w:t>6.8. apakšpunktā paredzētajā</w:t>
            </w:r>
            <w:r w:rsidR="000403CF">
              <w:rPr>
                <w:rFonts w:ascii="Times New Roman" w:hAnsi="Times New Roman" w:cs="Times New Roman"/>
                <w:sz w:val="24"/>
                <w:szCs w:val="24"/>
              </w:rPr>
              <w:t xml:space="preserve">s tiesībās veikt </w:t>
            </w:r>
            <w:r w:rsidRPr="003B220C">
              <w:rPr>
                <w:rFonts w:ascii="Times New Roman" w:hAnsi="Times New Roman" w:cs="Times New Roman"/>
                <w:sz w:val="24"/>
                <w:szCs w:val="24"/>
              </w:rPr>
              <w:t>citas pārbaudes ministrijas padotībā eso</w:t>
            </w:r>
            <w:r w:rsidR="000403CF">
              <w:rPr>
                <w:rFonts w:ascii="Times New Roman" w:hAnsi="Times New Roman" w:cs="Times New Roman"/>
                <w:sz w:val="24"/>
                <w:szCs w:val="24"/>
              </w:rPr>
              <w:t>šajās valsts pārvaldes iestādēs</w:t>
            </w:r>
            <w:r w:rsidRPr="003B220C">
              <w:rPr>
                <w:rFonts w:ascii="Times New Roman" w:hAnsi="Times New Roman" w:cs="Times New Roman"/>
                <w:sz w:val="24"/>
                <w:szCs w:val="24"/>
              </w:rPr>
              <w:t>.</w:t>
            </w:r>
          </w:p>
          <w:p w:rsidR="008B33E0" w:rsidRDefault="008B33E0" w:rsidP="00F44695">
            <w:pPr>
              <w:spacing w:after="0" w:line="240" w:lineRule="auto"/>
              <w:jc w:val="both"/>
              <w:rPr>
                <w:rFonts w:ascii="Times New Roman" w:eastAsia="Times New Roman" w:hAnsi="Times New Roman" w:cs="Times New Roman"/>
                <w:sz w:val="24"/>
                <w:szCs w:val="24"/>
              </w:rPr>
            </w:pPr>
          </w:p>
          <w:p w:rsidR="008E3C18" w:rsidRPr="008B33E0" w:rsidRDefault="008E3C18" w:rsidP="00F44695">
            <w:pPr>
              <w:spacing w:after="0" w:line="240" w:lineRule="auto"/>
              <w:jc w:val="both"/>
              <w:rPr>
                <w:rFonts w:ascii="Times New Roman" w:eastAsia="Times New Roman" w:hAnsi="Times New Roman" w:cs="Times New Roman"/>
                <w:b/>
                <w:sz w:val="24"/>
                <w:szCs w:val="24"/>
              </w:rPr>
            </w:pPr>
            <w:r w:rsidRPr="008B33E0">
              <w:rPr>
                <w:rFonts w:ascii="Times New Roman" w:eastAsia="Times New Roman" w:hAnsi="Times New Roman" w:cs="Times New Roman"/>
                <w:b/>
                <w:sz w:val="24"/>
                <w:szCs w:val="24"/>
              </w:rPr>
              <w:t>Svītrojumi:</w:t>
            </w:r>
          </w:p>
          <w:p w:rsidR="00972BB2" w:rsidRDefault="005D3823" w:rsidP="00972BB2">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w:t>
            </w:r>
            <w:r w:rsidR="003B577C">
              <w:rPr>
                <w:rFonts w:ascii="Times New Roman" w:eastAsia="Calibri" w:hAnsi="Times New Roman" w:cs="Times New Roman"/>
                <w:sz w:val="24"/>
                <w:szCs w:val="24"/>
              </w:rPr>
              <w:t>6</w:t>
            </w:r>
            <w:r w:rsidR="00972BB2" w:rsidRPr="00B60CDB">
              <w:rPr>
                <w:rFonts w:ascii="Times New Roman" w:eastAsia="Calibri" w:hAnsi="Times New Roman" w:cs="Times New Roman"/>
                <w:sz w:val="24"/>
                <w:szCs w:val="24"/>
              </w:rPr>
              <w:t>.</w:t>
            </w:r>
            <w:r w:rsidR="000403CF">
              <w:rPr>
                <w:rFonts w:ascii="Times New Roman" w:eastAsia="Calibri" w:hAnsi="Times New Roman" w:cs="Times New Roman"/>
                <w:sz w:val="24"/>
                <w:szCs w:val="24"/>
              </w:rPr>
              <w:t> </w:t>
            </w:r>
            <w:r w:rsidR="00972BB2" w:rsidRPr="00B60CDB">
              <w:rPr>
                <w:rFonts w:ascii="Times New Roman" w:hAnsi="Times New Roman" w:cs="Times New Roman"/>
                <w:sz w:val="24"/>
                <w:szCs w:val="24"/>
              </w:rPr>
              <w:t xml:space="preserve">Ņemot vērā, ka pēdējā laikā ir aktualizējies jautājums attiecībā uz Tieslietu ministrijas (Datu valsts inspekcijas) kompetenci elektronisko </w:t>
            </w:r>
            <w:r w:rsidR="00972BB2" w:rsidRPr="00B60CDB">
              <w:rPr>
                <w:rFonts w:ascii="Times New Roman" w:hAnsi="Times New Roman" w:cs="Times New Roman"/>
                <w:sz w:val="24"/>
                <w:szCs w:val="24"/>
              </w:rPr>
              <w:lastRenderedPageBreak/>
              <w:t>sakaru un elektronisko dokumentu jomā, ir nepieciešams skaidri nodalīt Tieslietu ministrijas kompetenci no citu ministriju kompetences elektronisko sakaru un elektronisko dokumentu jomā.</w:t>
            </w:r>
          </w:p>
          <w:p w:rsidR="00972BB2" w:rsidRPr="00B60CDB" w:rsidRDefault="00972BB2" w:rsidP="00972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Pr="00B60CDB">
              <w:rPr>
                <w:rFonts w:ascii="Times New Roman" w:hAnsi="Times New Roman" w:cs="Times New Roman"/>
                <w:sz w:val="24"/>
                <w:szCs w:val="24"/>
              </w:rPr>
              <w:t>olikuma</w:t>
            </w:r>
            <w:r>
              <w:rPr>
                <w:rFonts w:ascii="Times New Roman" w:hAnsi="Times New Roman" w:cs="Times New Roman"/>
                <w:sz w:val="24"/>
                <w:szCs w:val="24"/>
              </w:rPr>
              <w:t xml:space="preserve"> 4.1.3. un 4.1.4. </w:t>
            </w:r>
            <w:r w:rsidRPr="00B60CDB">
              <w:rPr>
                <w:rFonts w:ascii="Times New Roman" w:hAnsi="Times New Roman" w:cs="Times New Roman"/>
                <w:sz w:val="24"/>
                <w:szCs w:val="24"/>
              </w:rPr>
              <w:t>apakšpunkt</w:t>
            </w:r>
            <w:r>
              <w:rPr>
                <w:rFonts w:ascii="Times New Roman" w:hAnsi="Times New Roman" w:cs="Times New Roman"/>
                <w:sz w:val="24"/>
                <w:szCs w:val="24"/>
              </w:rPr>
              <w:t>s</w:t>
            </w:r>
            <w:r w:rsidRPr="00B60CDB">
              <w:rPr>
                <w:rFonts w:ascii="Times New Roman" w:hAnsi="Times New Roman" w:cs="Times New Roman"/>
                <w:sz w:val="24"/>
                <w:szCs w:val="24"/>
              </w:rPr>
              <w:t xml:space="preserve"> noteic, ka Tieslietu ministrija izstrādā tiesību politiku datu aizsardzības, informācijas atklātības un elektronisko dokumentu uzraudzības jomā. Atbilstoši </w:t>
            </w:r>
            <w:r>
              <w:rPr>
                <w:rFonts w:ascii="Times New Roman" w:hAnsi="Times New Roman" w:cs="Times New Roman"/>
                <w:sz w:val="24"/>
                <w:szCs w:val="24"/>
              </w:rPr>
              <w:t>n</w:t>
            </w:r>
            <w:r w:rsidR="00CA7568">
              <w:rPr>
                <w:rFonts w:ascii="Times New Roman" w:hAnsi="Times New Roman" w:cs="Times New Roman"/>
                <w:sz w:val="24"/>
                <w:szCs w:val="24"/>
              </w:rPr>
              <w:t>olikuma 24.5. </w:t>
            </w:r>
            <w:r w:rsidRPr="00B60CDB">
              <w:rPr>
                <w:rFonts w:ascii="Times New Roman" w:hAnsi="Times New Roman" w:cs="Times New Roman"/>
                <w:sz w:val="24"/>
                <w:szCs w:val="24"/>
              </w:rPr>
              <w:t xml:space="preserve">apakšpunktam Tieslietu ministrijas padotībā ir Datu valsts inspekcija. Saskaņā ar Fizisko personu datu aizsardzības likuma 29. panta pirmo daļu personas datu aizsardzības uzraudzību veic Datu valsts inspekcija, kas atrodas Tieslietu ministrijas pārraudzībā, darbojas neatkarīgi un patstāvīgi, izpildot normatīvajos aktos noteiktās funkcijas, pieņem lēmumus un izdod administratīvos aktus saskaņā ar likumu. </w:t>
            </w:r>
            <w:r w:rsidR="00CA7568">
              <w:rPr>
                <w:rFonts w:ascii="Times New Roman" w:hAnsi="Times New Roman" w:cs="Times New Roman"/>
                <w:sz w:val="24"/>
                <w:szCs w:val="24"/>
              </w:rPr>
              <w:t>Ievērojot</w:t>
            </w:r>
            <w:r w:rsidRPr="00B60CDB">
              <w:rPr>
                <w:rFonts w:ascii="Times New Roman" w:hAnsi="Times New Roman" w:cs="Times New Roman"/>
                <w:sz w:val="24"/>
                <w:szCs w:val="24"/>
              </w:rPr>
              <w:t xml:space="preserve"> minēto secināms, ka Tieslietu ministrijas (Datu valsts inspekcijas) kompetence elektronisko sakaru un elektronisko dokumentu jomā attiecas tikai uz elektronisko dokumentu uzraudzību saistībā ar datu aizsardzības jomu nevis aptver visu elektronisko sakaru un elektronisko dokumentu jomu. Tomēr no </w:t>
            </w:r>
            <w:r>
              <w:rPr>
                <w:rFonts w:ascii="Times New Roman" w:hAnsi="Times New Roman" w:cs="Times New Roman"/>
                <w:sz w:val="24"/>
                <w:szCs w:val="24"/>
              </w:rPr>
              <w:t>n</w:t>
            </w:r>
            <w:r w:rsidRPr="00B60CDB">
              <w:rPr>
                <w:rFonts w:ascii="Times New Roman" w:hAnsi="Times New Roman" w:cs="Times New Roman"/>
                <w:sz w:val="24"/>
                <w:szCs w:val="24"/>
              </w:rPr>
              <w:t>olikumā ietvertā regulējuma tas skaidri neizriet. Līdz ar to var pieņemt, ka Tieslietu ministrija ir atbildīga par visas elektronisko dokumentu jomas uzraudzību, t. sk. visiem jautājumiem, kas attiecas uz elektronisko parakstu.</w:t>
            </w:r>
          </w:p>
          <w:p w:rsidR="00972BB2" w:rsidRPr="00B60CDB" w:rsidRDefault="00972BB2" w:rsidP="00972BB2">
            <w:pPr>
              <w:spacing w:after="0" w:line="240" w:lineRule="auto"/>
              <w:jc w:val="both"/>
              <w:rPr>
                <w:rFonts w:ascii="Times New Roman" w:hAnsi="Times New Roman" w:cs="Times New Roman"/>
                <w:sz w:val="24"/>
                <w:szCs w:val="24"/>
              </w:rPr>
            </w:pPr>
            <w:r w:rsidRPr="00B60CDB">
              <w:rPr>
                <w:rFonts w:ascii="Times New Roman" w:hAnsi="Times New Roman" w:cs="Times New Roman"/>
                <w:sz w:val="24"/>
                <w:szCs w:val="24"/>
              </w:rPr>
              <w:t>Saskaņā ar Ministru kabineta 2011. ga</w:t>
            </w:r>
            <w:r>
              <w:rPr>
                <w:rFonts w:ascii="Times New Roman" w:hAnsi="Times New Roman" w:cs="Times New Roman"/>
                <w:sz w:val="24"/>
                <w:szCs w:val="24"/>
              </w:rPr>
              <w:t>da 29. marta noteikumu Nr. 233 "</w:t>
            </w:r>
            <w:r w:rsidRPr="00B60CDB">
              <w:rPr>
                <w:rFonts w:ascii="Times New Roman" w:hAnsi="Times New Roman" w:cs="Times New Roman"/>
                <w:sz w:val="24"/>
                <w:szCs w:val="24"/>
              </w:rPr>
              <w:t>Vides aizsardzības un reģionālās attīstības ministrijas noli</w:t>
            </w:r>
            <w:r>
              <w:rPr>
                <w:rFonts w:ascii="Times New Roman" w:hAnsi="Times New Roman" w:cs="Times New Roman"/>
                <w:sz w:val="24"/>
                <w:szCs w:val="24"/>
              </w:rPr>
              <w:t>kums"</w:t>
            </w:r>
            <w:r w:rsidRPr="00B60CDB">
              <w:rPr>
                <w:rFonts w:ascii="Times New Roman" w:hAnsi="Times New Roman" w:cs="Times New Roman"/>
                <w:sz w:val="24"/>
                <w:szCs w:val="24"/>
              </w:rPr>
              <w:t xml:space="preserve"> 1.7. apakšpunktu Vides aizsardzības un reģionālās attīstības ministrija </w:t>
            </w:r>
            <w:r>
              <w:rPr>
                <w:rFonts w:ascii="Times New Roman" w:hAnsi="Times New Roman" w:cs="Times New Roman"/>
                <w:sz w:val="24"/>
                <w:szCs w:val="24"/>
              </w:rPr>
              <w:t xml:space="preserve">(turpmāk – VARAM) </w:t>
            </w:r>
            <w:r w:rsidRPr="00B60CDB">
              <w:rPr>
                <w:rFonts w:ascii="Times New Roman" w:hAnsi="Times New Roman" w:cs="Times New Roman"/>
                <w:sz w:val="24"/>
                <w:szCs w:val="24"/>
              </w:rPr>
              <w:t xml:space="preserve">ir vadošā valsts pārvaldes iestāde </w:t>
            </w:r>
            <w:r w:rsidRPr="00B60CDB">
              <w:rPr>
                <w:rFonts w:ascii="Times New Roman" w:hAnsi="Times New Roman" w:cs="Times New Roman"/>
                <w:sz w:val="24"/>
                <w:szCs w:val="24"/>
                <w:u w:val="single"/>
              </w:rPr>
              <w:t>elektroniskās pārvaldes, informācijas sabiedrības un informācijas tehnoloģijas valsts pārvaldes jomā</w:t>
            </w:r>
            <w:r w:rsidRPr="00B60CDB">
              <w:rPr>
                <w:rFonts w:ascii="Times New Roman" w:hAnsi="Times New Roman" w:cs="Times New Roman"/>
                <w:sz w:val="24"/>
                <w:szCs w:val="24"/>
              </w:rPr>
              <w:t xml:space="preserve">. Turklāt </w:t>
            </w:r>
            <w:r>
              <w:rPr>
                <w:rFonts w:ascii="Times New Roman" w:hAnsi="Times New Roman" w:cs="Times New Roman"/>
                <w:sz w:val="24"/>
                <w:szCs w:val="24"/>
              </w:rPr>
              <w:t>VARAM</w:t>
            </w:r>
            <w:r w:rsidRPr="00B60CDB">
              <w:rPr>
                <w:rFonts w:ascii="Times New Roman" w:hAnsi="Times New Roman" w:cs="Times New Roman"/>
                <w:sz w:val="24"/>
                <w:szCs w:val="24"/>
              </w:rPr>
              <w:t xml:space="preserve"> kompetencē ir vienas pieturas aģentūras principa ieviešana valsts un pašvaldību pakalpojumu pieejamībā. </w:t>
            </w:r>
            <w:r w:rsidR="000403CF">
              <w:rPr>
                <w:rFonts w:ascii="Times New Roman" w:hAnsi="Times New Roman" w:cs="Times New Roman"/>
                <w:sz w:val="24"/>
                <w:szCs w:val="24"/>
              </w:rPr>
              <w:t>Ievērojot</w:t>
            </w:r>
            <w:r w:rsidRPr="00B60CDB">
              <w:rPr>
                <w:rFonts w:ascii="Times New Roman" w:hAnsi="Times New Roman" w:cs="Times New Roman"/>
                <w:sz w:val="24"/>
                <w:szCs w:val="24"/>
              </w:rPr>
              <w:t xml:space="preserve"> minēto, </w:t>
            </w:r>
            <w:r>
              <w:rPr>
                <w:rFonts w:ascii="Times New Roman" w:hAnsi="Times New Roman" w:cs="Times New Roman"/>
                <w:sz w:val="24"/>
                <w:szCs w:val="24"/>
              </w:rPr>
              <w:t xml:space="preserve">VARAM </w:t>
            </w:r>
            <w:r w:rsidRPr="00B60CDB">
              <w:rPr>
                <w:rFonts w:ascii="Times New Roman" w:hAnsi="Times New Roman" w:cs="Times New Roman"/>
                <w:sz w:val="24"/>
                <w:szCs w:val="24"/>
              </w:rPr>
              <w:t>kompetencē ir tehnoloģiski nodrošināt elektronisko pārvaldi (e-pārvalde ir valsts un pašvaldību pārvaldes efektīva īstenošana, izmantojot informācijas un komunikācijas tehnoloģijas), t.sk. valsts informācijas sistēmas.</w:t>
            </w:r>
          </w:p>
          <w:p w:rsidR="00972BB2" w:rsidRPr="00B60CDB" w:rsidRDefault="00972BB2" w:rsidP="00972BB2">
            <w:pPr>
              <w:spacing w:after="0" w:line="240" w:lineRule="auto"/>
              <w:jc w:val="both"/>
              <w:rPr>
                <w:rFonts w:ascii="Times New Roman" w:hAnsi="Times New Roman" w:cs="Times New Roman"/>
                <w:sz w:val="24"/>
                <w:szCs w:val="24"/>
              </w:rPr>
            </w:pPr>
            <w:r w:rsidRPr="00B60CDB">
              <w:rPr>
                <w:rFonts w:ascii="Times New Roman" w:hAnsi="Times New Roman" w:cs="Times New Roman"/>
                <w:sz w:val="24"/>
                <w:szCs w:val="24"/>
              </w:rPr>
              <w:t>Ar Ministru kabineta 2005.</w:t>
            </w:r>
            <w:r w:rsidR="000403CF">
              <w:rPr>
                <w:rFonts w:ascii="Times New Roman" w:hAnsi="Times New Roman" w:cs="Times New Roman"/>
                <w:sz w:val="24"/>
                <w:szCs w:val="24"/>
              </w:rPr>
              <w:t> </w:t>
            </w:r>
            <w:r w:rsidRPr="00B60CDB">
              <w:rPr>
                <w:rFonts w:ascii="Times New Roman" w:hAnsi="Times New Roman" w:cs="Times New Roman"/>
                <w:sz w:val="24"/>
                <w:szCs w:val="24"/>
              </w:rPr>
              <w:t xml:space="preserve">gada </w:t>
            </w:r>
            <w:r>
              <w:rPr>
                <w:rFonts w:ascii="Times New Roman" w:hAnsi="Times New Roman" w:cs="Times New Roman"/>
                <w:sz w:val="24"/>
                <w:szCs w:val="24"/>
              </w:rPr>
              <w:t>11. janvāra noteikumiem Nr. 37 "</w:t>
            </w:r>
            <w:r w:rsidRPr="00B60CDB">
              <w:rPr>
                <w:rFonts w:ascii="Times New Roman" w:hAnsi="Times New Roman" w:cs="Times New Roman"/>
                <w:sz w:val="24"/>
                <w:szCs w:val="24"/>
              </w:rPr>
              <w:t xml:space="preserve">Īpašu uzdevumu ministra elektroniskās pārvaldes </w:t>
            </w:r>
            <w:r>
              <w:rPr>
                <w:rFonts w:ascii="Times New Roman" w:hAnsi="Times New Roman" w:cs="Times New Roman"/>
                <w:sz w:val="24"/>
                <w:szCs w:val="24"/>
              </w:rPr>
              <w:t>lietās sekretariāta nolikums"</w:t>
            </w:r>
            <w:r w:rsidRPr="00B60CDB">
              <w:rPr>
                <w:rFonts w:ascii="Times New Roman" w:hAnsi="Times New Roman" w:cs="Times New Roman"/>
                <w:sz w:val="24"/>
                <w:szCs w:val="24"/>
              </w:rPr>
              <w:t xml:space="preserve"> (zaudējis spēku) tika nodibināts Īpašu uzdevumu ministra elektroniskās pārvaldes </w:t>
            </w:r>
            <w:r>
              <w:rPr>
                <w:rFonts w:ascii="Times New Roman" w:hAnsi="Times New Roman" w:cs="Times New Roman"/>
                <w:sz w:val="24"/>
                <w:szCs w:val="24"/>
              </w:rPr>
              <w:t>lietās sekretariāts (turpmāk – Ī</w:t>
            </w:r>
            <w:r w:rsidRPr="00B60CDB">
              <w:rPr>
                <w:rFonts w:ascii="Times New Roman" w:hAnsi="Times New Roman" w:cs="Times New Roman"/>
                <w:sz w:val="24"/>
                <w:szCs w:val="24"/>
              </w:rPr>
              <w:t xml:space="preserve">UMEPL), kura kompetencē bija izstrādāt valsts politiku elektroniskās pārvaldes, informācijas sabiedrības un informācijas tehnoloģiju jomā. </w:t>
            </w:r>
            <w:r>
              <w:rPr>
                <w:rFonts w:ascii="Times New Roman" w:hAnsi="Times New Roman" w:cs="Times New Roman"/>
                <w:sz w:val="24"/>
                <w:szCs w:val="24"/>
              </w:rPr>
              <w:t>Ī</w:t>
            </w:r>
            <w:r w:rsidRPr="00B60CDB">
              <w:rPr>
                <w:rFonts w:ascii="Times New Roman" w:hAnsi="Times New Roman" w:cs="Times New Roman"/>
                <w:sz w:val="24"/>
                <w:szCs w:val="24"/>
              </w:rPr>
              <w:t>UMEPL nolikumā tika noteikti šādi uzdevumi</w:t>
            </w:r>
            <w:r w:rsidR="000403CF">
              <w:rPr>
                <w:rFonts w:ascii="Times New Roman" w:hAnsi="Times New Roman" w:cs="Times New Roman"/>
                <w:sz w:val="24"/>
                <w:szCs w:val="24"/>
              </w:rPr>
              <w:t>:</w:t>
            </w:r>
          </w:p>
          <w:p w:rsidR="00972BB2" w:rsidRPr="00B60CDB" w:rsidRDefault="00972BB2" w:rsidP="00972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B60CDB">
              <w:rPr>
                <w:rFonts w:ascii="Times New Roman" w:hAnsi="Times New Roman" w:cs="Times New Roman"/>
                <w:sz w:val="24"/>
                <w:szCs w:val="24"/>
              </w:rPr>
              <w:t xml:space="preserve"> izstrādāt likumu un citu normatīvo aktu projektus elektroniskās pārvaldes, informācijas sabiedrības un informācijas tehnoloģiju jomā; </w:t>
            </w:r>
          </w:p>
          <w:p w:rsidR="00972BB2" w:rsidRPr="00B60CDB" w:rsidRDefault="00972BB2" w:rsidP="00972BB2">
            <w:pPr>
              <w:spacing w:after="0" w:line="240" w:lineRule="auto"/>
              <w:jc w:val="both"/>
              <w:rPr>
                <w:rFonts w:ascii="Times New Roman" w:hAnsi="Times New Roman" w:cs="Times New Roman"/>
                <w:sz w:val="24"/>
                <w:szCs w:val="24"/>
              </w:rPr>
            </w:pPr>
            <w:r w:rsidRPr="00B60CDB">
              <w:rPr>
                <w:rFonts w:ascii="Times New Roman" w:hAnsi="Times New Roman" w:cs="Times New Roman"/>
                <w:sz w:val="24"/>
                <w:szCs w:val="24"/>
              </w:rPr>
              <w:t>2</w:t>
            </w:r>
            <w:r>
              <w:rPr>
                <w:rFonts w:ascii="Times New Roman" w:hAnsi="Times New Roman" w:cs="Times New Roman"/>
                <w:sz w:val="24"/>
                <w:szCs w:val="24"/>
              </w:rPr>
              <w:t>)</w:t>
            </w:r>
            <w:r w:rsidRPr="00B60CDB">
              <w:rPr>
                <w:rFonts w:ascii="Times New Roman" w:hAnsi="Times New Roman" w:cs="Times New Roman"/>
                <w:sz w:val="24"/>
                <w:szCs w:val="24"/>
              </w:rPr>
              <w:t> koordinēt valsts pārvaldes un pašvaldību institūciju sadarbību elektr</w:t>
            </w:r>
            <w:r w:rsidR="00AF73B9">
              <w:rPr>
                <w:rFonts w:ascii="Times New Roman" w:hAnsi="Times New Roman" w:cs="Times New Roman"/>
                <w:sz w:val="24"/>
                <w:szCs w:val="24"/>
              </w:rPr>
              <w:t>onisko pakalpojumu attīstīšanā;</w:t>
            </w:r>
          </w:p>
          <w:p w:rsidR="00972BB2" w:rsidRPr="00B60CDB" w:rsidRDefault="00972BB2" w:rsidP="00972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B60CDB">
              <w:rPr>
                <w:rFonts w:ascii="Times New Roman" w:hAnsi="Times New Roman" w:cs="Times New Roman"/>
                <w:sz w:val="24"/>
                <w:szCs w:val="24"/>
              </w:rPr>
              <w:t> organizēt un koordinēt informācijas tehnoloģiju ieviešanu valsts pārvaldē, lai nodrošinātu valsts pārvaldes mod</w:t>
            </w:r>
            <w:r w:rsidR="00AF73B9">
              <w:rPr>
                <w:rFonts w:ascii="Times New Roman" w:hAnsi="Times New Roman" w:cs="Times New Roman"/>
                <w:sz w:val="24"/>
                <w:szCs w:val="24"/>
              </w:rPr>
              <w:t>ernizāciju un efektivitāti u.c.</w:t>
            </w:r>
          </w:p>
          <w:p w:rsidR="00972BB2" w:rsidRPr="00B60CDB" w:rsidRDefault="00972BB2" w:rsidP="00972BB2">
            <w:pPr>
              <w:spacing w:after="0" w:line="240" w:lineRule="auto"/>
              <w:jc w:val="both"/>
              <w:rPr>
                <w:rFonts w:ascii="Times New Roman" w:hAnsi="Times New Roman" w:cs="Times New Roman"/>
                <w:i/>
                <w:iCs/>
                <w:sz w:val="24"/>
                <w:szCs w:val="24"/>
              </w:rPr>
            </w:pPr>
            <w:r w:rsidRPr="00B60CDB">
              <w:rPr>
                <w:rFonts w:ascii="Times New Roman" w:hAnsi="Times New Roman" w:cs="Times New Roman"/>
                <w:sz w:val="24"/>
                <w:szCs w:val="24"/>
              </w:rPr>
              <w:t>Ar Ministru kabineta 2009.</w:t>
            </w:r>
            <w:r>
              <w:rPr>
                <w:rFonts w:ascii="Times New Roman" w:hAnsi="Times New Roman" w:cs="Times New Roman"/>
                <w:sz w:val="24"/>
                <w:szCs w:val="24"/>
              </w:rPr>
              <w:t> gada 1. aprīļa rīkojumu Nr. 220 "</w:t>
            </w:r>
            <w:r w:rsidRPr="00B60CDB">
              <w:rPr>
                <w:rFonts w:ascii="Times New Roman" w:hAnsi="Times New Roman" w:cs="Times New Roman"/>
                <w:sz w:val="24"/>
                <w:szCs w:val="24"/>
              </w:rPr>
              <w:t>Par Īpašu uzdevumu ministra elektroniskās pārvaldes lie</w:t>
            </w:r>
            <w:r>
              <w:rPr>
                <w:rFonts w:ascii="Times New Roman" w:hAnsi="Times New Roman" w:cs="Times New Roman"/>
                <w:sz w:val="24"/>
                <w:szCs w:val="24"/>
              </w:rPr>
              <w:t>tās sekretariāta reorganizāciju" Ī</w:t>
            </w:r>
            <w:r w:rsidRPr="00B60CDB">
              <w:rPr>
                <w:rFonts w:ascii="Times New Roman" w:hAnsi="Times New Roman" w:cs="Times New Roman"/>
                <w:sz w:val="24"/>
                <w:szCs w:val="24"/>
              </w:rPr>
              <w:t>UMEPL funkcijas, tiesības, saistības, mantas, finanšu līdzekļus, lietvedību pārņēma Reģionālās attīstības un pašvaldību lietu ministrija (tagad</w:t>
            </w:r>
            <w:r>
              <w:rPr>
                <w:rFonts w:ascii="Times New Roman" w:hAnsi="Times New Roman" w:cs="Times New Roman"/>
                <w:sz w:val="24"/>
                <w:szCs w:val="24"/>
              </w:rPr>
              <w:t xml:space="preserve"> </w:t>
            </w:r>
            <w:r w:rsidR="00AF73B9">
              <w:rPr>
                <w:rFonts w:ascii="Times New Roman" w:hAnsi="Times New Roman" w:cs="Times New Roman"/>
                <w:sz w:val="24"/>
                <w:szCs w:val="24"/>
              </w:rPr>
              <w:t>– VARAM).</w:t>
            </w:r>
          </w:p>
          <w:p w:rsidR="00972BB2" w:rsidRPr="00B60CDB" w:rsidRDefault="00972BB2" w:rsidP="00972BB2">
            <w:pPr>
              <w:spacing w:after="0" w:line="240" w:lineRule="auto"/>
              <w:jc w:val="both"/>
              <w:rPr>
                <w:rFonts w:ascii="Times New Roman" w:hAnsi="Times New Roman" w:cs="Times New Roman"/>
                <w:sz w:val="24"/>
                <w:szCs w:val="24"/>
              </w:rPr>
            </w:pPr>
            <w:r w:rsidRPr="00B60CDB">
              <w:rPr>
                <w:rFonts w:ascii="Times New Roman" w:hAnsi="Times New Roman" w:cs="Times New Roman"/>
                <w:sz w:val="24"/>
                <w:szCs w:val="24"/>
              </w:rPr>
              <w:lastRenderedPageBreak/>
              <w:t xml:space="preserve">Vēršam uzmanību, ka Eiropas Komisija ir izstrādājusi priekšlikumu par Eiropas Parlamenta un Padomes Regulu par elektronisko identifikāciju un uzticamības pakalpojumiem elektronisko darījumu veikšanai iekšējā tirgū un pašreiz notiek darbs pie Regulas redakcijas. Tā kā par minētās Regulas ieviešanu atbildību ir uzņēmusies VARAM, tad </w:t>
            </w:r>
            <w:proofErr w:type="spellStart"/>
            <w:r w:rsidRPr="00B60CDB">
              <w:rPr>
                <w:rFonts w:ascii="Times New Roman" w:hAnsi="Times New Roman" w:cs="Times New Roman"/>
                <w:sz w:val="24"/>
                <w:szCs w:val="24"/>
              </w:rPr>
              <w:t>prezumējams</w:t>
            </w:r>
            <w:proofErr w:type="spellEnd"/>
            <w:r w:rsidRPr="00B60CDB">
              <w:rPr>
                <w:rFonts w:ascii="Times New Roman" w:hAnsi="Times New Roman" w:cs="Times New Roman"/>
                <w:sz w:val="24"/>
                <w:szCs w:val="24"/>
              </w:rPr>
              <w:t xml:space="preserve">, ka VARAM ir atbildīgs par elektroniskā paraksta jomu. Papildus informējam, ka </w:t>
            </w:r>
            <w:r>
              <w:rPr>
                <w:rFonts w:ascii="Times New Roman" w:hAnsi="Times New Roman" w:cs="Times New Roman"/>
                <w:sz w:val="24"/>
                <w:szCs w:val="24"/>
              </w:rPr>
              <w:t>VARAM izstrādā likumprojektu "</w:t>
            </w:r>
            <w:r w:rsidRPr="00B60CDB">
              <w:rPr>
                <w:rFonts w:ascii="Times New Roman" w:hAnsi="Times New Roman" w:cs="Times New Roman"/>
                <w:sz w:val="24"/>
                <w:szCs w:val="24"/>
              </w:rPr>
              <w:t>Autentifikācijas likums</w:t>
            </w:r>
            <w:r>
              <w:rPr>
                <w:rFonts w:ascii="Times New Roman" w:hAnsi="Times New Roman" w:cs="Times New Roman"/>
                <w:sz w:val="24"/>
                <w:szCs w:val="24"/>
              </w:rPr>
              <w:t>"</w:t>
            </w:r>
            <w:r w:rsidRPr="00B60CDB">
              <w:rPr>
                <w:rFonts w:ascii="Times New Roman" w:hAnsi="Times New Roman" w:cs="Times New Roman"/>
                <w:sz w:val="24"/>
                <w:szCs w:val="24"/>
              </w:rPr>
              <w:t>, kas regulēs elektronisko parakstu un dokumentu jomu. Līdz ar to VARAM kompetencē ir jautājumi, kas att</w:t>
            </w:r>
            <w:r w:rsidR="00AF73B9">
              <w:rPr>
                <w:rFonts w:ascii="Times New Roman" w:hAnsi="Times New Roman" w:cs="Times New Roman"/>
                <w:sz w:val="24"/>
                <w:szCs w:val="24"/>
              </w:rPr>
              <w:t>iecas uz elektronisko parakstu.</w:t>
            </w:r>
          </w:p>
          <w:p w:rsidR="00972BB2" w:rsidRPr="00B60CDB" w:rsidRDefault="00972BB2" w:rsidP="00972BB2">
            <w:pPr>
              <w:spacing w:after="0" w:line="240" w:lineRule="auto"/>
              <w:jc w:val="both"/>
              <w:rPr>
                <w:rFonts w:ascii="Times New Roman" w:hAnsi="Times New Roman" w:cs="Times New Roman"/>
                <w:sz w:val="24"/>
                <w:szCs w:val="24"/>
              </w:rPr>
            </w:pPr>
            <w:r w:rsidRPr="00B60CDB">
              <w:rPr>
                <w:rFonts w:ascii="Times New Roman" w:hAnsi="Times New Roman" w:cs="Times New Roman"/>
                <w:sz w:val="24"/>
                <w:szCs w:val="24"/>
              </w:rPr>
              <w:t>Atbilstoši Ministru kabineta 2003. gada 29. aprīļa noteikumu Nr. </w:t>
            </w:r>
            <w:r>
              <w:rPr>
                <w:rFonts w:ascii="Times New Roman" w:hAnsi="Times New Roman" w:cs="Times New Roman"/>
                <w:sz w:val="24"/>
                <w:szCs w:val="24"/>
              </w:rPr>
              <w:t>242 "</w:t>
            </w:r>
            <w:r w:rsidRPr="00B60CDB">
              <w:rPr>
                <w:rFonts w:ascii="Times New Roman" w:hAnsi="Times New Roman" w:cs="Times New Roman"/>
                <w:sz w:val="24"/>
                <w:szCs w:val="24"/>
              </w:rPr>
              <w:t>Satiksmes ministrijas nolikums</w:t>
            </w:r>
            <w:r>
              <w:rPr>
                <w:rFonts w:ascii="Times New Roman" w:hAnsi="Times New Roman" w:cs="Times New Roman"/>
                <w:sz w:val="24"/>
                <w:szCs w:val="24"/>
              </w:rPr>
              <w:t>"</w:t>
            </w:r>
            <w:r w:rsidRPr="00B60CDB">
              <w:rPr>
                <w:rFonts w:ascii="Times New Roman" w:hAnsi="Times New Roman" w:cs="Times New Roman"/>
                <w:sz w:val="24"/>
                <w:szCs w:val="24"/>
              </w:rPr>
              <w:t xml:space="preserve"> 1. punktam Satiksmes ministrija (turpmāk — </w:t>
            </w:r>
            <w:r>
              <w:rPr>
                <w:rFonts w:ascii="Times New Roman" w:hAnsi="Times New Roman" w:cs="Times New Roman"/>
                <w:sz w:val="24"/>
                <w:szCs w:val="24"/>
              </w:rPr>
              <w:t>SM</w:t>
            </w:r>
            <w:r w:rsidRPr="00B60CDB">
              <w:rPr>
                <w:rFonts w:ascii="Times New Roman" w:hAnsi="Times New Roman" w:cs="Times New Roman"/>
                <w:sz w:val="24"/>
                <w:szCs w:val="24"/>
              </w:rPr>
              <w:t xml:space="preserve">) ir vadošā valsts pārvaldes iestāde transporta un </w:t>
            </w:r>
            <w:r w:rsidRPr="00B60CDB">
              <w:rPr>
                <w:rFonts w:ascii="Times New Roman" w:hAnsi="Times New Roman" w:cs="Times New Roman"/>
                <w:sz w:val="24"/>
                <w:szCs w:val="24"/>
                <w:u w:val="single"/>
              </w:rPr>
              <w:t>sakaru nozarēs</w:t>
            </w:r>
            <w:r w:rsidRPr="00B60CDB">
              <w:rPr>
                <w:rFonts w:ascii="Times New Roman" w:hAnsi="Times New Roman" w:cs="Times New Roman"/>
                <w:sz w:val="24"/>
                <w:szCs w:val="24"/>
              </w:rPr>
              <w:t>. Transporta nozare ietver dzelzceļa, autosatiksmes,</w:t>
            </w:r>
            <w:r w:rsidR="00364919">
              <w:rPr>
                <w:rFonts w:ascii="Times New Roman" w:hAnsi="Times New Roman" w:cs="Times New Roman"/>
                <w:sz w:val="24"/>
                <w:szCs w:val="24"/>
              </w:rPr>
              <w:t xml:space="preserve"> jūrniecības un aviācijas apakš</w:t>
            </w:r>
            <w:r w:rsidRPr="00B60CDB">
              <w:rPr>
                <w:rFonts w:ascii="Times New Roman" w:hAnsi="Times New Roman" w:cs="Times New Roman"/>
                <w:sz w:val="24"/>
                <w:szCs w:val="24"/>
              </w:rPr>
              <w:t xml:space="preserve">nozares, kā arī pasažieru pārvadājumu, tranzītpārvadājumu un bīstamo kravu pārvadājumu jomas. Autosatiksmes apakšnozare ietver autotransporta, autoceļu un ceļu satiksmes drošības jomas. </w:t>
            </w:r>
            <w:r w:rsidRPr="00B60CDB">
              <w:rPr>
                <w:rFonts w:ascii="Times New Roman" w:hAnsi="Times New Roman" w:cs="Times New Roman"/>
                <w:sz w:val="24"/>
                <w:szCs w:val="24"/>
                <w:u w:val="single"/>
              </w:rPr>
              <w:t>Sakaru nozare ietver elektronisko sakaru (arī sakaru un datu pārraides kanālus valsts pārvaldes jomā)</w:t>
            </w:r>
            <w:r w:rsidRPr="00B60CDB">
              <w:rPr>
                <w:rFonts w:ascii="Times New Roman" w:hAnsi="Times New Roman" w:cs="Times New Roman"/>
                <w:sz w:val="24"/>
                <w:szCs w:val="24"/>
              </w:rPr>
              <w:t xml:space="preserve"> un pasta apakšnozares. Ņemot vērā minēto, </w:t>
            </w:r>
            <w:r>
              <w:rPr>
                <w:rFonts w:ascii="Times New Roman" w:hAnsi="Times New Roman" w:cs="Times New Roman"/>
                <w:sz w:val="24"/>
                <w:szCs w:val="24"/>
              </w:rPr>
              <w:t>SM</w:t>
            </w:r>
            <w:r w:rsidRPr="00B60CDB">
              <w:rPr>
                <w:rFonts w:ascii="Times New Roman" w:hAnsi="Times New Roman" w:cs="Times New Roman"/>
                <w:sz w:val="24"/>
                <w:szCs w:val="24"/>
              </w:rPr>
              <w:t xml:space="preserve"> kompetencē ir elektronisko sakaru jomas regulēšana, proti, elektronisko sakaru lietotāju, elektronisko sakaru komersantu, privāto elektronisko sakaru tīklu īpašnieku un valsts pārvaldes iestāžu kompetences noteikšana, tiesību un pienākumu, kas saistīti ar elektronisko sakaru nozari, regulēšana utt.</w:t>
            </w:r>
          </w:p>
          <w:p w:rsidR="00972BB2" w:rsidRDefault="00364919" w:rsidP="00972BB2">
            <w:pPr>
              <w:pStyle w:val="tv2132"/>
              <w:spacing w:line="240" w:lineRule="auto"/>
              <w:ind w:firstLine="0"/>
              <w:jc w:val="both"/>
              <w:rPr>
                <w:color w:val="auto"/>
                <w:sz w:val="24"/>
                <w:szCs w:val="24"/>
              </w:rPr>
            </w:pPr>
            <w:r w:rsidRPr="00582A69">
              <w:rPr>
                <w:color w:val="auto"/>
                <w:sz w:val="24"/>
                <w:szCs w:val="24"/>
              </w:rPr>
              <w:t>Ievērojot</w:t>
            </w:r>
            <w:r w:rsidR="00972BB2" w:rsidRPr="00582A69">
              <w:rPr>
                <w:color w:val="auto"/>
                <w:sz w:val="24"/>
                <w:szCs w:val="24"/>
              </w:rPr>
              <w:t xml:space="preserve"> minēto ministriju kompetenci, nepieciešams skaidrāk nodalīt ministriju funkcijas elektroniskā paraksta jomā, kā arī elektronisko dokumentu jomā. Nepieciešams svītrot no nolikuma </w:t>
            </w:r>
            <w:r w:rsidR="007A1568">
              <w:rPr>
                <w:color w:val="auto"/>
                <w:sz w:val="24"/>
                <w:szCs w:val="24"/>
              </w:rPr>
              <w:t xml:space="preserve">Tieslietu ministrijas </w:t>
            </w:r>
            <w:r w:rsidR="00972BB2" w:rsidRPr="00582A69">
              <w:rPr>
                <w:color w:val="auto"/>
                <w:sz w:val="24"/>
                <w:szCs w:val="24"/>
              </w:rPr>
              <w:t>kompetenci – izstrādāt politiku elektronisko dokumentu uzraudzības jomā (</w:t>
            </w:r>
            <w:r w:rsidRPr="00582A69">
              <w:rPr>
                <w:color w:val="auto"/>
                <w:sz w:val="24"/>
                <w:szCs w:val="24"/>
              </w:rPr>
              <w:t xml:space="preserve">nolikuma </w:t>
            </w:r>
            <w:r w:rsidR="00972BB2" w:rsidRPr="00582A69">
              <w:rPr>
                <w:color w:val="auto"/>
                <w:sz w:val="24"/>
                <w:szCs w:val="24"/>
              </w:rPr>
              <w:t>4.1.4. apakšpunkts).</w:t>
            </w:r>
            <w:r w:rsidRPr="00582A69">
              <w:rPr>
                <w:color w:val="auto"/>
                <w:sz w:val="24"/>
                <w:szCs w:val="24"/>
              </w:rPr>
              <w:t xml:space="preserve"> </w:t>
            </w:r>
          </w:p>
          <w:p w:rsidR="003A13C6" w:rsidRDefault="005D3823" w:rsidP="003A13C6">
            <w:pPr>
              <w:spacing w:after="0" w:line="240" w:lineRule="auto"/>
              <w:jc w:val="both"/>
              <w:rPr>
                <w:rFonts w:ascii="Times New Roman" w:hAnsi="Times New Roman" w:cs="Times New Roman"/>
                <w:sz w:val="24"/>
                <w:szCs w:val="24"/>
              </w:rPr>
            </w:pPr>
            <w:r>
              <w:rPr>
                <w:rFonts w:ascii="Times New Roman" w:hAnsi="Times New Roman"/>
                <w:sz w:val="24"/>
                <w:szCs w:val="24"/>
              </w:rPr>
              <w:t>1</w:t>
            </w:r>
            <w:r w:rsidR="003B577C">
              <w:rPr>
                <w:rFonts w:ascii="Times New Roman" w:hAnsi="Times New Roman"/>
                <w:sz w:val="24"/>
                <w:szCs w:val="24"/>
              </w:rPr>
              <w:t>7</w:t>
            </w:r>
            <w:r w:rsidR="003A13C6">
              <w:rPr>
                <w:rFonts w:ascii="Times New Roman" w:hAnsi="Times New Roman"/>
                <w:sz w:val="24"/>
                <w:szCs w:val="24"/>
              </w:rPr>
              <w:t>. Nepieciešams s</w:t>
            </w:r>
            <w:r w:rsidR="003A13C6" w:rsidRPr="00CF172F">
              <w:rPr>
                <w:rFonts w:ascii="Times New Roman" w:hAnsi="Times New Roman" w:cs="Times New Roman"/>
                <w:sz w:val="24"/>
                <w:szCs w:val="24"/>
              </w:rPr>
              <w:t>vītrot</w:t>
            </w:r>
            <w:r w:rsidR="003A13C6">
              <w:rPr>
                <w:rFonts w:ascii="Times New Roman" w:hAnsi="Times New Roman" w:cs="Times New Roman"/>
                <w:sz w:val="24"/>
                <w:szCs w:val="24"/>
              </w:rPr>
              <w:t xml:space="preserve"> nolikuma </w:t>
            </w:r>
            <w:r w:rsidR="003A13C6" w:rsidRPr="00CF172F">
              <w:rPr>
                <w:rFonts w:ascii="Times New Roman" w:hAnsi="Times New Roman" w:cs="Times New Roman"/>
                <w:sz w:val="24"/>
                <w:szCs w:val="24"/>
              </w:rPr>
              <w:t>4.2.</w:t>
            </w:r>
            <w:r w:rsidR="003A13C6" w:rsidRPr="00CF172F">
              <w:rPr>
                <w:rFonts w:ascii="Times New Roman" w:hAnsi="Times New Roman" w:cs="Times New Roman"/>
                <w:sz w:val="24"/>
                <w:szCs w:val="24"/>
                <w:vertAlign w:val="superscript"/>
              </w:rPr>
              <w:t>4</w:t>
            </w:r>
            <w:r w:rsidR="003A13C6" w:rsidRPr="00CF172F">
              <w:rPr>
                <w:rFonts w:ascii="Times New Roman" w:hAnsi="Times New Roman" w:cs="Times New Roman"/>
                <w:sz w:val="24"/>
                <w:szCs w:val="24"/>
              </w:rPr>
              <w:t>apakšpunktu, kas paredz Tieslietu ministrijai funkciju nodrošināt valsts oficiālo publikāciju un tās informācijas sistematizēšanu (tai skaitā tiesību aktu konsolidāciju), ko saskaņā ar Oficiālo publikāciju un tiesiskās informācijas likumu veic valsts aģentūra "Latvijas Vēstnesis" (valsts sabiedrība ar ierobežotu atbildību "Latvijas Vēstnesis"</w:t>
            </w:r>
            <w:r w:rsidR="003A13C6">
              <w:rPr>
                <w:rFonts w:ascii="Times New Roman" w:hAnsi="Times New Roman" w:cs="Times New Roman"/>
                <w:sz w:val="24"/>
                <w:szCs w:val="24"/>
              </w:rPr>
              <w:t>)</w:t>
            </w:r>
            <w:r w:rsidR="003A13C6" w:rsidRPr="00CF172F">
              <w:rPr>
                <w:rFonts w:ascii="Times New Roman" w:hAnsi="Times New Roman" w:cs="Times New Roman"/>
                <w:sz w:val="24"/>
                <w:szCs w:val="24"/>
              </w:rPr>
              <w:t>.</w:t>
            </w:r>
          </w:p>
          <w:p w:rsidR="008E3C18" w:rsidRPr="00237724" w:rsidRDefault="00364919" w:rsidP="008E3C18">
            <w:pPr>
              <w:spacing w:after="0" w:line="240" w:lineRule="auto"/>
              <w:jc w:val="both"/>
              <w:rPr>
                <w:rFonts w:ascii="Times New Roman" w:hAnsi="Times New Roman"/>
                <w:sz w:val="24"/>
                <w:szCs w:val="24"/>
              </w:rPr>
            </w:pPr>
            <w:r>
              <w:rPr>
                <w:rFonts w:ascii="Times New Roman" w:hAnsi="Times New Roman"/>
                <w:sz w:val="24"/>
                <w:szCs w:val="24"/>
              </w:rPr>
              <w:t>1</w:t>
            </w:r>
            <w:r w:rsidR="003B577C">
              <w:rPr>
                <w:rFonts w:ascii="Times New Roman" w:hAnsi="Times New Roman"/>
                <w:sz w:val="24"/>
                <w:szCs w:val="24"/>
              </w:rPr>
              <w:t>8</w:t>
            </w:r>
            <w:r w:rsidR="008E3C18">
              <w:rPr>
                <w:rFonts w:ascii="Times New Roman" w:hAnsi="Times New Roman"/>
                <w:sz w:val="24"/>
                <w:szCs w:val="24"/>
              </w:rPr>
              <w:t>. S</w:t>
            </w:r>
            <w:r>
              <w:rPr>
                <w:rFonts w:ascii="Times New Roman" w:hAnsi="Times New Roman"/>
                <w:sz w:val="24"/>
                <w:szCs w:val="24"/>
              </w:rPr>
              <w:t>askaņā ar likuma "Par tiesu varu"</w:t>
            </w:r>
            <w:r w:rsidR="008E3C18" w:rsidRPr="00237724">
              <w:rPr>
                <w:rFonts w:ascii="Times New Roman" w:hAnsi="Times New Roman"/>
                <w:sz w:val="24"/>
                <w:szCs w:val="24"/>
              </w:rPr>
              <w:t xml:space="preserve"> 107.</w:t>
            </w:r>
            <w:r w:rsidR="008E3C18" w:rsidRPr="00237724">
              <w:rPr>
                <w:rFonts w:ascii="Times New Roman" w:hAnsi="Times New Roman"/>
                <w:sz w:val="24"/>
                <w:szCs w:val="24"/>
                <w:vertAlign w:val="superscript"/>
              </w:rPr>
              <w:t>1</w:t>
            </w:r>
            <w:r w:rsidR="008E3C18" w:rsidRPr="00237724">
              <w:rPr>
                <w:rFonts w:ascii="Times New Roman" w:hAnsi="Times New Roman"/>
                <w:sz w:val="24"/>
                <w:szCs w:val="24"/>
              </w:rPr>
              <w:t> panta otrās daļas 9. p</w:t>
            </w:r>
            <w:r>
              <w:rPr>
                <w:rFonts w:ascii="Times New Roman" w:hAnsi="Times New Roman"/>
                <w:sz w:val="24"/>
                <w:szCs w:val="24"/>
              </w:rPr>
              <w:t xml:space="preserve">unktā noteikto </w:t>
            </w:r>
            <w:r w:rsidR="008E3C18" w:rsidRPr="00237724">
              <w:rPr>
                <w:rFonts w:ascii="Times New Roman" w:hAnsi="Times New Roman"/>
                <w:sz w:val="24"/>
                <w:szCs w:val="24"/>
              </w:rPr>
              <w:t xml:space="preserve">Tiesu </w:t>
            </w:r>
            <w:r w:rsidR="008E3C18" w:rsidRPr="00DD43B9">
              <w:rPr>
                <w:rFonts w:ascii="Times New Roman" w:hAnsi="Times New Roman" w:cs="Times New Roman"/>
                <w:sz w:val="24"/>
                <w:szCs w:val="24"/>
              </w:rPr>
              <w:t>administrācija plāno un nodrošina tiesnešu, tiesas un zemesgrāmatu nodaļas darbinieku un tiesu piesēdētāju apmācību, tāpēc nepieciešams</w:t>
            </w:r>
            <w:r w:rsidR="008E3C18">
              <w:rPr>
                <w:rFonts w:ascii="Times New Roman" w:hAnsi="Times New Roman"/>
                <w:sz w:val="24"/>
                <w:szCs w:val="24"/>
              </w:rPr>
              <w:t xml:space="preserve"> s</w:t>
            </w:r>
            <w:r w:rsidR="008E3C18" w:rsidRPr="00237724">
              <w:rPr>
                <w:rFonts w:ascii="Times New Roman" w:hAnsi="Times New Roman"/>
                <w:sz w:val="24"/>
                <w:szCs w:val="24"/>
              </w:rPr>
              <w:t xml:space="preserve">vītrot </w:t>
            </w:r>
            <w:r w:rsidR="008E3C18">
              <w:rPr>
                <w:rFonts w:ascii="Times New Roman" w:hAnsi="Times New Roman"/>
                <w:sz w:val="24"/>
                <w:szCs w:val="24"/>
              </w:rPr>
              <w:t>šo kompetenci no nolikuma (</w:t>
            </w:r>
            <w:r>
              <w:rPr>
                <w:rFonts w:ascii="Times New Roman" w:hAnsi="Times New Roman"/>
                <w:sz w:val="24"/>
                <w:szCs w:val="24"/>
              </w:rPr>
              <w:t xml:space="preserve">nolikuma </w:t>
            </w:r>
            <w:r w:rsidR="008E3C18" w:rsidRPr="00237724">
              <w:rPr>
                <w:rFonts w:ascii="Times New Roman" w:hAnsi="Times New Roman"/>
                <w:sz w:val="24"/>
                <w:szCs w:val="24"/>
              </w:rPr>
              <w:t>5.2.1.2. apakšpunkt</w:t>
            </w:r>
            <w:r w:rsidR="008E3C18">
              <w:rPr>
                <w:rFonts w:ascii="Times New Roman" w:hAnsi="Times New Roman"/>
                <w:sz w:val="24"/>
                <w:szCs w:val="24"/>
              </w:rPr>
              <w:t>s)</w:t>
            </w:r>
            <w:r w:rsidR="008E3C18" w:rsidRPr="00237724">
              <w:rPr>
                <w:rFonts w:ascii="Times New Roman" w:hAnsi="Times New Roman"/>
                <w:sz w:val="24"/>
                <w:szCs w:val="24"/>
              </w:rPr>
              <w:t>.</w:t>
            </w:r>
          </w:p>
          <w:p w:rsidR="008E3C18" w:rsidRPr="00B60CDB" w:rsidRDefault="000D2B07" w:rsidP="008E3C18">
            <w:pPr>
              <w:pStyle w:val="tv2132"/>
              <w:spacing w:line="240" w:lineRule="auto"/>
              <w:ind w:firstLine="0"/>
              <w:jc w:val="both"/>
              <w:rPr>
                <w:color w:val="auto"/>
                <w:sz w:val="24"/>
                <w:szCs w:val="24"/>
              </w:rPr>
            </w:pPr>
            <w:r>
              <w:rPr>
                <w:rFonts w:eastAsia="Calibri"/>
                <w:color w:val="auto"/>
                <w:sz w:val="24"/>
                <w:szCs w:val="24"/>
              </w:rPr>
              <w:t>1</w:t>
            </w:r>
            <w:r w:rsidR="003B577C">
              <w:rPr>
                <w:rFonts w:eastAsia="Calibri"/>
                <w:color w:val="auto"/>
                <w:sz w:val="24"/>
                <w:szCs w:val="24"/>
              </w:rPr>
              <w:t>9</w:t>
            </w:r>
            <w:r w:rsidR="00364919">
              <w:rPr>
                <w:rFonts w:eastAsia="Calibri"/>
                <w:color w:val="auto"/>
                <w:sz w:val="24"/>
                <w:szCs w:val="24"/>
              </w:rPr>
              <w:t>. </w:t>
            </w:r>
            <w:r w:rsidR="008E3C18" w:rsidRPr="00237724">
              <w:rPr>
                <w:color w:val="auto"/>
                <w:sz w:val="24"/>
                <w:szCs w:val="24"/>
              </w:rPr>
              <w:t>Saskaņā ar likumā "Par tiesu varu" 107.</w:t>
            </w:r>
            <w:r w:rsidR="00364919">
              <w:rPr>
                <w:color w:val="auto"/>
                <w:sz w:val="24"/>
                <w:szCs w:val="24"/>
                <w:vertAlign w:val="superscript"/>
              </w:rPr>
              <w:t>1 </w:t>
            </w:r>
            <w:r w:rsidR="00364919">
              <w:rPr>
                <w:color w:val="auto"/>
                <w:sz w:val="24"/>
                <w:szCs w:val="24"/>
              </w:rPr>
              <w:t>pantā noteikto</w:t>
            </w:r>
            <w:r w:rsidR="008E3C18" w:rsidRPr="00237724">
              <w:rPr>
                <w:color w:val="auto"/>
                <w:sz w:val="24"/>
                <w:szCs w:val="24"/>
              </w:rPr>
              <w:t xml:space="preserve"> Tiesu administrācija veic valsts vienotās datorizētās zemesgrāmatas pārziņa un turētāja pienākumus, izplata tiesu iestāžu valsts informācijas sistēmā ievadīto informāciju, apkopo un analizē tiesu un zemesgrāmatu nodaļu statistikas datus un sniedz priekšlikumus par nepieciešamajām izmaiņām st</w:t>
            </w:r>
            <w:r w:rsidR="00364919">
              <w:rPr>
                <w:color w:val="auto"/>
                <w:sz w:val="24"/>
                <w:szCs w:val="24"/>
              </w:rPr>
              <w:t xml:space="preserve">atistikas pārskatos. Vienlaikus, lai </w:t>
            </w:r>
            <w:r w:rsidR="008E3C18" w:rsidRPr="00237724">
              <w:rPr>
                <w:color w:val="auto"/>
                <w:sz w:val="24"/>
                <w:szCs w:val="24"/>
              </w:rPr>
              <w:t xml:space="preserve"> nodrošināt</w:t>
            </w:r>
            <w:r w:rsidR="00364919">
              <w:rPr>
                <w:color w:val="auto"/>
                <w:sz w:val="24"/>
                <w:szCs w:val="24"/>
              </w:rPr>
              <w:t>u</w:t>
            </w:r>
            <w:r w:rsidR="008E3C18" w:rsidRPr="00237724">
              <w:rPr>
                <w:color w:val="auto"/>
                <w:sz w:val="24"/>
                <w:szCs w:val="24"/>
              </w:rPr>
              <w:t xml:space="preserve"> vienotas</w:t>
            </w:r>
            <w:r w:rsidR="008E3C18" w:rsidRPr="00D47A32">
              <w:rPr>
                <w:color w:val="auto"/>
                <w:sz w:val="24"/>
                <w:szCs w:val="24"/>
              </w:rPr>
              <w:t xml:space="preserve"> tiesu prakses veidošan</w:t>
            </w:r>
            <w:r w:rsidR="00364919">
              <w:rPr>
                <w:color w:val="auto"/>
                <w:sz w:val="24"/>
                <w:szCs w:val="24"/>
              </w:rPr>
              <w:t>u</w:t>
            </w:r>
            <w:r w:rsidR="008E3C18" w:rsidRPr="00D47A32">
              <w:rPr>
                <w:color w:val="auto"/>
                <w:sz w:val="24"/>
                <w:szCs w:val="24"/>
              </w:rPr>
              <w:t xml:space="preserve"> un juridiskās domas attīstību, Augstāk</w:t>
            </w:r>
            <w:r w:rsidR="00364919">
              <w:rPr>
                <w:color w:val="auto"/>
                <w:sz w:val="24"/>
                <w:szCs w:val="24"/>
              </w:rPr>
              <w:t>ā</w:t>
            </w:r>
            <w:r w:rsidR="008E3C18" w:rsidRPr="00D47A32">
              <w:rPr>
                <w:color w:val="auto"/>
                <w:sz w:val="24"/>
                <w:szCs w:val="24"/>
              </w:rPr>
              <w:t xml:space="preserve"> tiesā izveidota Judikatūras un zinātniski analītiskā nodaļa, kuras darbības mērķis </w:t>
            </w:r>
            <w:r w:rsidR="008E3C18">
              <w:rPr>
                <w:color w:val="auto"/>
                <w:sz w:val="24"/>
                <w:szCs w:val="24"/>
              </w:rPr>
              <w:t>vērsts uz likuma "</w:t>
            </w:r>
            <w:hyperlink r:id="rId8" w:tgtFrame="_blank" w:history="1">
              <w:r w:rsidR="008E3C18" w:rsidRPr="00D47A32">
                <w:rPr>
                  <w:color w:val="auto"/>
                  <w:sz w:val="24"/>
                  <w:szCs w:val="24"/>
                </w:rPr>
                <w:t>Par tiesu varu</w:t>
              </w:r>
            </w:hyperlink>
            <w:r w:rsidR="008E3C18">
              <w:rPr>
                <w:color w:val="auto"/>
                <w:sz w:val="24"/>
                <w:szCs w:val="24"/>
              </w:rPr>
              <w:t>"</w:t>
            </w:r>
            <w:r w:rsidR="008E3C18" w:rsidRPr="00D47A32">
              <w:rPr>
                <w:color w:val="auto"/>
                <w:sz w:val="24"/>
                <w:szCs w:val="24"/>
              </w:rPr>
              <w:t xml:space="preserve"> 28.</w:t>
            </w:r>
            <w:r w:rsidR="008E3C18" w:rsidRPr="00D47A32">
              <w:rPr>
                <w:color w:val="auto"/>
                <w:sz w:val="24"/>
                <w:szCs w:val="24"/>
                <w:vertAlign w:val="superscript"/>
              </w:rPr>
              <w:t>6</w:t>
            </w:r>
            <w:r w:rsidR="008E3C18" w:rsidRPr="00D47A32">
              <w:rPr>
                <w:color w:val="auto"/>
                <w:sz w:val="24"/>
                <w:szCs w:val="24"/>
              </w:rPr>
              <w:t xml:space="preserve"> panta </w:t>
            </w:r>
            <w:r w:rsidR="008E3C18">
              <w:rPr>
                <w:color w:val="auto"/>
                <w:sz w:val="24"/>
                <w:szCs w:val="24"/>
              </w:rPr>
              <w:t>ceturtajā un piektajā</w:t>
            </w:r>
            <w:r w:rsidR="008E3C18" w:rsidRPr="00D47A32">
              <w:rPr>
                <w:color w:val="auto"/>
                <w:sz w:val="24"/>
                <w:szCs w:val="24"/>
              </w:rPr>
              <w:t xml:space="preserve"> daļā noteikto pienākumu izpildi. </w:t>
            </w:r>
            <w:r w:rsidR="008E3C18" w:rsidRPr="00D47A32">
              <w:rPr>
                <w:color w:val="auto"/>
                <w:sz w:val="24"/>
                <w:szCs w:val="24"/>
              </w:rPr>
              <w:lastRenderedPageBreak/>
              <w:t xml:space="preserve">Ievērojot minēto, Tieslietu ministrijas kompetencē neietilpst </w:t>
            </w:r>
            <w:r w:rsidR="008E3C18">
              <w:rPr>
                <w:color w:val="auto"/>
                <w:sz w:val="24"/>
                <w:szCs w:val="24"/>
              </w:rPr>
              <w:t xml:space="preserve">tādu uzdevumu īstenošana, kas </w:t>
            </w:r>
            <w:r w:rsidR="008E3C18" w:rsidRPr="00D47A32">
              <w:rPr>
                <w:color w:val="auto"/>
                <w:sz w:val="24"/>
                <w:szCs w:val="24"/>
              </w:rPr>
              <w:t>saistī</w:t>
            </w:r>
            <w:r w:rsidR="008E3C18">
              <w:rPr>
                <w:color w:val="auto"/>
                <w:sz w:val="24"/>
                <w:szCs w:val="24"/>
              </w:rPr>
              <w:t>ta</w:t>
            </w:r>
            <w:r w:rsidR="008E3C18" w:rsidRPr="00D47A32">
              <w:rPr>
                <w:color w:val="auto"/>
                <w:sz w:val="24"/>
                <w:szCs w:val="24"/>
              </w:rPr>
              <w:t xml:space="preserve"> ar informācijas par tiesu praksi apkopošanu.</w:t>
            </w:r>
            <w:r w:rsidR="008E3C18">
              <w:rPr>
                <w:rFonts w:eastAsia="Calibri"/>
                <w:color w:val="auto"/>
                <w:sz w:val="24"/>
                <w:szCs w:val="24"/>
              </w:rPr>
              <w:t xml:space="preserve"> I</w:t>
            </w:r>
            <w:r w:rsidR="008E3C18" w:rsidRPr="00237724">
              <w:rPr>
                <w:color w:val="auto"/>
                <w:sz w:val="24"/>
                <w:szCs w:val="24"/>
              </w:rPr>
              <w:t>evērojot likuma "Par tiesu varu" 107.</w:t>
            </w:r>
            <w:r w:rsidR="008E3C18" w:rsidRPr="00237724">
              <w:rPr>
                <w:color w:val="auto"/>
                <w:sz w:val="24"/>
                <w:szCs w:val="24"/>
                <w:vertAlign w:val="superscript"/>
              </w:rPr>
              <w:t xml:space="preserve">1 </w:t>
            </w:r>
            <w:r w:rsidR="008E3C18" w:rsidRPr="00237724">
              <w:rPr>
                <w:color w:val="auto"/>
                <w:sz w:val="24"/>
                <w:szCs w:val="24"/>
              </w:rPr>
              <w:t xml:space="preserve">panta otrajā daļā noteiktās </w:t>
            </w:r>
            <w:r w:rsidR="008E3C18">
              <w:rPr>
                <w:color w:val="auto"/>
                <w:sz w:val="24"/>
                <w:szCs w:val="24"/>
              </w:rPr>
              <w:t>Tiesu administrācijas funkcijas nepieciešams sv</w:t>
            </w:r>
            <w:r w:rsidR="008E3C18" w:rsidRPr="00237724">
              <w:rPr>
                <w:color w:val="auto"/>
                <w:sz w:val="24"/>
                <w:szCs w:val="24"/>
              </w:rPr>
              <w:t>ītrot</w:t>
            </w:r>
            <w:r w:rsidR="008E3C18" w:rsidRPr="00237724">
              <w:rPr>
                <w:rFonts w:eastAsia="Calibri"/>
                <w:color w:val="auto"/>
                <w:sz w:val="24"/>
                <w:szCs w:val="24"/>
              </w:rPr>
              <w:t xml:space="preserve"> </w:t>
            </w:r>
            <w:r w:rsidR="008E3C18">
              <w:rPr>
                <w:rFonts w:eastAsia="Calibri"/>
                <w:color w:val="auto"/>
                <w:sz w:val="24"/>
                <w:szCs w:val="24"/>
              </w:rPr>
              <w:t xml:space="preserve">no nolikuma kompetenci - </w:t>
            </w:r>
            <w:r w:rsidR="008E3C18" w:rsidRPr="00B60CDB">
              <w:rPr>
                <w:color w:val="auto"/>
                <w:sz w:val="24"/>
                <w:szCs w:val="24"/>
              </w:rPr>
              <w:t>nodrošināt tiesu darba statistisko uzskaiti un apkopt informāciju par tiesu praksi, nodrošināt tiesu vienotās informatīvās sistēmas izveidi, tās organizatorisko un tehnisko uzturēšanu (</w:t>
            </w:r>
            <w:r w:rsidR="00364919">
              <w:rPr>
                <w:color w:val="auto"/>
                <w:sz w:val="24"/>
                <w:szCs w:val="24"/>
              </w:rPr>
              <w:t xml:space="preserve">nolikuma </w:t>
            </w:r>
            <w:r w:rsidR="008E3C18" w:rsidRPr="00B60CDB">
              <w:rPr>
                <w:rFonts w:eastAsia="Calibri"/>
                <w:color w:val="auto"/>
                <w:sz w:val="24"/>
                <w:szCs w:val="24"/>
              </w:rPr>
              <w:t xml:space="preserve">5.2.1.4.apakšpunkts) un </w:t>
            </w:r>
            <w:r w:rsidR="008E3C18" w:rsidRPr="00B60CDB">
              <w:rPr>
                <w:color w:val="auto"/>
                <w:sz w:val="24"/>
                <w:szCs w:val="24"/>
              </w:rPr>
              <w:t>nodrošināt valsts vienotās datorizētās zemesgrāmatas organizatorisko un tehnisko uzturēšanu (</w:t>
            </w:r>
            <w:r w:rsidR="00364919">
              <w:rPr>
                <w:color w:val="auto"/>
                <w:sz w:val="24"/>
                <w:szCs w:val="24"/>
              </w:rPr>
              <w:t xml:space="preserve">nolikuma </w:t>
            </w:r>
            <w:r w:rsidR="008E3C18" w:rsidRPr="00B60CDB">
              <w:rPr>
                <w:rFonts w:eastAsia="Calibri"/>
                <w:color w:val="auto"/>
                <w:sz w:val="24"/>
                <w:szCs w:val="24"/>
              </w:rPr>
              <w:t>5.2.1.6. apakšpunkts)</w:t>
            </w:r>
            <w:r w:rsidR="00AF73B9">
              <w:rPr>
                <w:color w:val="auto"/>
                <w:sz w:val="24"/>
                <w:szCs w:val="24"/>
              </w:rPr>
              <w:t>.</w:t>
            </w:r>
          </w:p>
          <w:p w:rsidR="008E3C18" w:rsidRDefault="003B577C" w:rsidP="008E3C18">
            <w:pPr>
              <w:pStyle w:val="tv2132"/>
              <w:spacing w:line="240" w:lineRule="auto"/>
              <w:ind w:firstLine="0"/>
              <w:jc w:val="both"/>
              <w:rPr>
                <w:rFonts w:eastAsia="Calibri"/>
                <w:color w:val="auto"/>
                <w:sz w:val="24"/>
                <w:szCs w:val="24"/>
              </w:rPr>
            </w:pPr>
            <w:r>
              <w:rPr>
                <w:color w:val="auto"/>
                <w:sz w:val="24"/>
                <w:szCs w:val="24"/>
              </w:rPr>
              <w:t>20</w:t>
            </w:r>
            <w:r w:rsidR="008E3C18">
              <w:rPr>
                <w:color w:val="auto"/>
                <w:sz w:val="24"/>
                <w:szCs w:val="24"/>
              </w:rPr>
              <w:t>. I</w:t>
            </w:r>
            <w:r w:rsidR="008E3C18" w:rsidRPr="00D47A32">
              <w:rPr>
                <w:rFonts w:eastAsia="Calibri"/>
                <w:color w:val="auto"/>
                <w:sz w:val="24"/>
                <w:szCs w:val="24"/>
              </w:rPr>
              <w:t xml:space="preserve">evērojot, ka saskaņā ar Valsts nodrošinātās juridiskās palīdzības likuma 7. pantu par juridiskās palīdzības nodrošināšanu šajā likumā noteiktajos gadījumos un kārtībā atbildīgā iestāde ir Juridiskās palīdzības administrācija. Valsts nodrošinātās juridiskās palīdzības sniegšanu personām organizē Juridiskās </w:t>
            </w:r>
            <w:r w:rsidR="008E3C18" w:rsidRPr="00B60CDB">
              <w:rPr>
                <w:rFonts w:eastAsia="Calibri"/>
                <w:color w:val="auto"/>
                <w:sz w:val="24"/>
                <w:szCs w:val="24"/>
              </w:rPr>
              <w:t>palīdzības administrācija. Tāpēc nepieciešams no nolikuma svītrot kompetenci</w:t>
            </w:r>
            <w:r w:rsidR="008E3C18">
              <w:rPr>
                <w:rFonts w:eastAsia="Calibri"/>
                <w:color w:val="auto"/>
                <w:sz w:val="24"/>
                <w:szCs w:val="24"/>
              </w:rPr>
              <w:t xml:space="preserve"> -</w:t>
            </w:r>
            <w:r w:rsidR="008E3C18" w:rsidRPr="00B60CDB">
              <w:rPr>
                <w:rFonts w:eastAsia="Calibri"/>
                <w:color w:val="auto"/>
                <w:sz w:val="24"/>
                <w:szCs w:val="24"/>
              </w:rPr>
              <w:t xml:space="preserve"> </w:t>
            </w:r>
            <w:r w:rsidR="008E3C18" w:rsidRPr="00B60CDB">
              <w:rPr>
                <w:color w:val="auto"/>
                <w:sz w:val="24"/>
                <w:szCs w:val="24"/>
              </w:rPr>
              <w:t>organizēt valsts nodrošinātās juridiskās palīdzības sniegšanu personām, kurām normatīvajos aktos noteiktajos gadījumos ir tiesības uz valsts nodrošināto juridisko palīdzību (</w:t>
            </w:r>
            <w:r w:rsidR="00364919">
              <w:rPr>
                <w:color w:val="auto"/>
                <w:sz w:val="24"/>
                <w:szCs w:val="24"/>
              </w:rPr>
              <w:t xml:space="preserve">nolikuma </w:t>
            </w:r>
            <w:r w:rsidR="00AF73B9">
              <w:rPr>
                <w:rFonts w:eastAsia="Calibri"/>
                <w:color w:val="auto"/>
                <w:sz w:val="24"/>
                <w:szCs w:val="24"/>
              </w:rPr>
              <w:t>5.2.1.7. apakšpunkts).</w:t>
            </w:r>
          </w:p>
          <w:p w:rsidR="008B33E0" w:rsidRDefault="006D0839"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B577C">
              <w:rPr>
                <w:rFonts w:ascii="Times New Roman" w:hAnsi="Times New Roman" w:cs="Times New Roman"/>
                <w:sz w:val="24"/>
                <w:szCs w:val="24"/>
              </w:rPr>
              <w:t>1</w:t>
            </w:r>
            <w:r w:rsidR="008B33E0" w:rsidRPr="00F97DF6">
              <w:rPr>
                <w:rFonts w:ascii="Times New Roman" w:hAnsi="Times New Roman" w:cs="Times New Roman"/>
                <w:sz w:val="24"/>
                <w:szCs w:val="24"/>
              </w:rPr>
              <w:t>.</w:t>
            </w:r>
            <w:r w:rsidR="00364919">
              <w:rPr>
                <w:rFonts w:ascii="Times New Roman" w:hAnsi="Times New Roman" w:cs="Times New Roman"/>
                <w:sz w:val="24"/>
                <w:szCs w:val="24"/>
              </w:rPr>
              <w:t> </w:t>
            </w:r>
            <w:r w:rsidR="008B33E0" w:rsidRPr="00F97DF6">
              <w:rPr>
                <w:rFonts w:ascii="Times New Roman" w:hAnsi="Times New Roman" w:cs="Times New Roman"/>
                <w:sz w:val="24"/>
                <w:szCs w:val="24"/>
              </w:rPr>
              <w:t>Ar 2010. gada 13. maija likumu "Grozījumi Valsts pārvaldes iekārtas likumā" Valst</w:t>
            </w:r>
            <w:r w:rsidR="00364919">
              <w:rPr>
                <w:rFonts w:ascii="Times New Roman" w:hAnsi="Times New Roman" w:cs="Times New Roman"/>
                <w:sz w:val="24"/>
                <w:szCs w:val="24"/>
              </w:rPr>
              <w:t>s pārvaldes iekārtas likuma 77. </w:t>
            </w:r>
            <w:r w:rsidR="008B33E0" w:rsidRPr="00F97DF6">
              <w:rPr>
                <w:rFonts w:ascii="Times New Roman" w:hAnsi="Times New Roman" w:cs="Times New Roman"/>
                <w:sz w:val="24"/>
                <w:szCs w:val="24"/>
              </w:rPr>
              <w:t>pants, kura pirmā daļa paredzēja instrukcijas un ieteikumu saskaņošanu ar Tieslietu ministriju, tika izteikts jaunā redakcijā, neparedzot instrukcijas un ieteikumu saskaņošanu ar Tieslietu ministriju. Tāpēc nepieciešams svītrot no nolikuma kompetenci - pārbaudīt citu valsts pārvaldes iestāžu vadītāju instrukciju un ieteikumu projektu tiesiskumu (</w:t>
            </w:r>
            <w:r w:rsidR="00364919">
              <w:rPr>
                <w:rFonts w:ascii="Times New Roman" w:hAnsi="Times New Roman" w:cs="Times New Roman"/>
                <w:sz w:val="24"/>
                <w:szCs w:val="24"/>
              </w:rPr>
              <w:t>nolikum</w:t>
            </w:r>
            <w:r w:rsidR="008900C0">
              <w:rPr>
                <w:rFonts w:ascii="Times New Roman" w:hAnsi="Times New Roman" w:cs="Times New Roman"/>
                <w:sz w:val="24"/>
                <w:szCs w:val="24"/>
              </w:rPr>
              <w:t>a</w:t>
            </w:r>
            <w:r w:rsidR="00364919">
              <w:rPr>
                <w:rFonts w:ascii="Times New Roman" w:hAnsi="Times New Roman" w:cs="Times New Roman"/>
                <w:sz w:val="24"/>
                <w:szCs w:val="24"/>
              </w:rPr>
              <w:t xml:space="preserve"> </w:t>
            </w:r>
            <w:r w:rsidR="00766DB1">
              <w:rPr>
                <w:rFonts w:ascii="Times New Roman" w:hAnsi="Times New Roman" w:cs="Times New Roman"/>
                <w:sz w:val="24"/>
                <w:szCs w:val="24"/>
              </w:rPr>
              <w:t>5.5.apakšpunkts).</w:t>
            </w:r>
          </w:p>
          <w:p w:rsidR="00457B33" w:rsidRDefault="000D2B07" w:rsidP="00457B33">
            <w:pPr>
              <w:spacing w:after="0" w:line="240" w:lineRule="auto"/>
              <w:jc w:val="both"/>
              <w:rPr>
                <w:rFonts w:ascii="Times New Roman" w:hAnsi="Times New Roman" w:cs="Times New Roman"/>
                <w:sz w:val="24"/>
                <w:szCs w:val="24"/>
              </w:rPr>
            </w:pPr>
            <w:r w:rsidRPr="003B577C">
              <w:rPr>
                <w:rFonts w:ascii="Times New Roman" w:hAnsi="Times New Roman" w:cs="Times New Roman"/>
                <w:sz w:val="24"/>
                <w:szCs w:val="24"/>
              </w:rPr>
              <w:t>2</w:t>
            </w:r>
            <w:r w:rsidR="003B577C" w:rsidRPr="003B577C">
              <w:rPr>
                <w:rFonts w:ascii="Times New Roman" w:hAnsi="Times New Roman" w:cs="Times New Roman"/>
                <w:sz w:val="24"/>
                <w:szCs w:val="24"/>
              </w:rPr>
              <w:t>2</w:t>
            </w:r>
            <w:r w:rsidR="00076247" w:rsidRPr="003B577C">
              <w:rPr>
                <w:rFonts w:ascii="Times New Roman" w:hAnsi="Times New Roman" w:cs="Times New Roman"/>
                <w:sz w:val="24"/>
                <w:szCs w:val="24"/>
              </w:rPr>
              <w:t>. Saskaņā ar likuma "Par tiesu varu" 50.</w:t>
            </w:r>
            <w:r w:rsidR="00076247" w:rsidRPr="003B577C">
              <w:rPr>
                <w:rFonts w:ascii="Times New Roman" w:hAnsi="Times New Roman" w:cs="Times New Roman"/>
                <w:sz w:val="24"/>
                <w:szCs w:val="24"/>
                <w:vertAlign w:val="superscript"/>
              </w:rPr>
              <w:t>2</w:t>
            </w:r>
            <w:r w:rsidR="00076247" w:rsidRPr="003B577C">
              <w:rPr>
                <w:rFonts w:ascii="Times New Roman" w:hAnsi="Times New Roman" w:cs="Times New Roman"/>
                <w:sz w:val="24"/>
                <w:szCs w:val="24"/>
              </w:rPr>
              <w:t xml:space="preserve"> panta trešo daļu rajonu (pilsētu) tiesu un apgabaltiesu budžeta pieprasījumu projektu sagatavo Tiesu administrācija un iesniedz Tieslietu ministrijai, kas nodrošina apkopojuma iesniegšanu Tieslietu padomei un secīgi Finanšu ministrijai. Atbilstoši likuma "Par tiesu varu" 107.</w:t>
            </w:r>
            <w:r w:rsidR="00076247" w:rsidRPr="003B577C">
              <w:rPr>
                <w:rFonts w:ascii="Times New Roman" w:hAnsi="Times New Roman" w:cs="Times New Roman"/>
                <w:sz w:val="24"/>
                <w:szCs w:val="24"/>
                <w:vertAlign w:val="superscript"/>
              </w:rPr>
              <w:t>1</w:t>
            </w:r>
            <w:r w:rsidR="00076247" w:rsidRPr="003B577C">
              <w:rPr>
                <w:rFonts w:ascii="Times New Roman" w:hAnsi="Times New Roman" w:cs="Times New Roman"/>
                <w:sz w:val="24"/>
                <w:szCs w:val="24"/>
              </w:rPr>
              <w:t xml:space="preserve"> panta otrajai daļa</w:t>
            </w:r>
            <w:r w:rsidR="007A1568">
              <w:rPr>
                <w:rFonts w:ascii="Times New Roman" w:hAnsi="Times New Roman" w:cs="Times New Roman"/>
                <w:sz w:val="24"/>
                <w:szCs w:val="24"/>
              </w:rPr>
              <w:t>i</w:t>
            </w:r>
            <w:r w:rsidR="00076247" w:rsidRPr="003B577C">
              <w:rPr>
                <w:rFonts w:ascii="Times New Roman" w:hAnsi="Times New Roman" w:cs="Times New Roman"/>
                <w:sz w:val="24"/>
                <w:szCs w:val="24"/>
              </w:rPr>
              <w:t>, Tiesu administrācija cita starpā, rīkojas ar tiesu budžeta līdzekļiem, nodrošina mērķtiecīgu un efektīvu valsts budžeta līdzekļu izlietojumu, nodrošina tiesas un zemesgrāmatu nodaļas ar materiāliem un tehniskajiem līdzekļiem. Ievērojot minēto, nepieciešams svītrot nolikuma 5.2.1.3. apakšpunktā noteikto Tieslietu ministrijas kompetenci - finansiāli un materiāltehniski nodrošina rajona (pilsētu) tiesu un apgabaltiesu darbu</w:t>
            </w:r>
            <w:r w:rsidR="00C4702B" w:rsidRPr="003B577C">
              <w:rPr>
                <w:rFonts w:ascii="Times New Roman" w:hAnsi="Times New Roman" w:cs="Times New Roman"/>
                <w:sz w:val="24"/>
                <w:szCs w:val="24"/>
              </w:rPr>
              <w:t>, vienlaikus saglabājot Tieslietu ministrijas atbildīb</w:t>
            </w:r>
            <w:r w:rsidR="007A1568">
              <w:rPr>
                <w:rFonts w:ascii="Times New Roman" w:hAnsi="Times New Roman" w:cs="Times New Roman"/>
                <w:sz w:val="24"/>
                <w:szCs w:val="24"/>
              </w:rPr>
              <w:t>u, nodrošinot</w:t>
            </w:r>
            <w:r w:rsidR="00C4702B" w:rsidRPr="003B577C">
              <w:rPr>
                <w:rFonts w:ascii="Times New Roman" w:hAnsi="Times New Roman" w:cs="Times New Roman"/>
                <w:sz w:val="24"/>
                <w:szCs w:val="24"/>
              </w:rPr>
              <w:t xml:space="preserve"> </w:t>
            </w:r>
            <w:r w:rsidR="00076247" w:rsidRPr="003B577C">
              <w:rPr>
                <w:rFonts w:ascii="Times New Roman" w:hAnsi="Times New Roman" w:cs="Times New Roman"/>
                <w:sz w:val="24"/>
                <w:szCs w:val="24"/>
              </w:rPr>
              <w:t>tiesu namu uzturēšan</w:t>
            </w:r>
            <w:r w:rsidR="007A1568">
              <w:rPr>
                <w:rFonts w:ascii="Times New Roman" w:hAnsi="Times New Roman" w:cs="Times New Roman"/>
                <w:sz w:val="24"/>
                <w:szCs w:val="24"/>
              </w:rPr>
              <w:t>u</w:t>
            </w:r>
            <w:r w:rsidR="00076247" w:rsidRPr="003B577C">
              <w:rPr>
                <w:rFonts w:ascii="Times New Roman" w:hAnsi="Times New Roman" w:cs="Times New Roman"/>
                <w:sz w:val="24"/>
                <w:szCs w:val="24"/>
              </w:rPr>
              <w:t xml:space="preserve"> un </w:t>
            </w:r>
            <w:r w:rsidR="00C4702B" w:rsidRPr="003B577C">
              <w:rPr>
                <w:rFonts w:ascii="Times New Roman" w:hAnsi="Times New Roman" w:cs="Times New Roman"/>
                <w:sz w:val="24"/>
                <w:szCs w:val="24"/>
              </w:rPr>
              <w:t>būvniecīb</w:t>
            </w:r>
            <w:r w:rsidR="007A1568">
              <w:rPr>
                <w:rFonts w:ascii="Times New Roman" w:hAnsi="Times New Roman" w:cs="Times New Roman"/>
                <w:sz w:val="24"/>
                <w:szCs w:val="24"/>
              </w:rPr>
              <w:t>u</w:t>
            </w:r>
            <w:r w:rsidR="00076247" w:rsidRPr="003B577C">
              <w:rPr>
                <w:rFonts w:ascii="Times New Roman" w:hAnsi="Times New Roman" w:cs="Times New Roman"/>
                <w:sz w:val="24"/>
                <w:szCs w:val="24"/>
              </w:rPr>
              <w:t>.</w:t>
            </w:r>
          </w:p>
          <w:p w:rsidR="00457B33" w:rsidRPr="00457B33" w:rsidRDefault="002870CF" w:rsidP="00457B33">
            <w:pPr>
              <w:spacing w:after="0" w:line="240" w:lineRule="auto"/>
              <w:jc w:val="both"/>
              <w:rPr>
                <w:rFonts w:ascii="Times New Roman" w:hAnsi="Times New Roman" w:cs="Times New Roman"/>
                <w:sz w:val="24"/>
                <w:szCs w:val="24"/>
              </w:rPr>
            </w:pPr>
            <w:r w:rsidRPr="00C4702B">
              <w:rPr>
                <w:rFonts w:ascii="Times New Roman" w:hAnsi="Times New Roman" w:cs="Times New Roman"/>
                <w:sz w:val="24"/>
                <w:szCs w:val="24"/>
              </w:rPr>
              <w:t>2</w:t>
            </w:r>
            <w:r w:rsidR="003B577C">
              <w:rPr>
                <w:rFonts w:ascii="Times New Roman" w:hAnsi="Times New Roman" w:cs="Times New Roman"/>
                <w:sz w:val="24"/>
                <w:szCs w:val="24"/>
              </w:rPr>
              <w:t>3</w:t>
            </w:r>
            <w:r w:rsidR="00457B33" w:rsidRPr="00C4702B">
              <w:rPr>
                <w:rFonts w:ascii="Times New Roman" w:hAnsi="Times New Roman" w:cs="Times New Roman"/>
                <w:sz w:val="24"/>
                <w:szCs w:val="24"/>
              </w:rPr>
              <w:t xml:space="preserve">. Saskaņā ar Ministru kabineta 2009. gada 3. marta noteikumu Nr. 204 "Tiesneša amata kandidāta atlases, stažēšanās un kvalifikācijas eksāmena kārtošanas kārtība" 2. punktu pirmo reizi izvirzīta apgabaltiesas, rajona (pilsētas) tiesas un zemesgrāmatu nodaļas tiesneša amata kandidāta (turpmāk – tiesneša amata kandidāts) atlases un stažēšanās norisi nodrošina Tiesu administrācija. Saskaņā ar minēto noteikumu 12. punktu Tiesu administrācijas direktora izveidotās tiesneša amata kandidātu atlases komisijas priekšsēdētājs ir atbildīgs par tiesneša amata kandidātu atlases gaitu, novērtējumu un rezultātu noteikšanu atbilstoši šo noteikumu prasībām. </w:t>
            </w:r>
            <w:bookmarkStart w:id="1" w:name="p-273327"/>
            <w:bookmarkStart w:id="2" w:name="p13"/>
            <w:bookmarkEnd w:id="1"/>
            <w:bookmarkEnd w:id="2"/>
            <w:r w:rsidR="00457B33" w:rsidRPr="00C4702B">
              <w:rPr>
                <w:rFonts w:ascii="Times New Roman" w:hAnsi="Times New Roman" w:cs="Times New Roman"/>
                <w:sz w:val="24"/>
                <w:szCs w:val="24"/>
              </w:rPr>
              <w:t xml:space="preserve">Komisijas darbu nodrošina Tiesu administrācija, bet komisijas sekretāra </w:t>
            </w:r>
            <w:r w:rsidR="00457B33" w:rsidRPr="00C4702B">
              <w:rPr>
                <w:rFonts w:ascii="Times New Roman" w:hAnsi="Times New Roman" w:cs="Times New Roman"/>
                <w:sz w:val="24"/>
                <w:szCs w:val="24"/>
              </w:rPr>
              <w:lastRenderedPageBreak/>
              <w:t>pienākumus pilda Tiesu administrācijas norīkota persona. Ievērojot minēto, nolikuma 5.2.1.1. apakšpunktā noteiktā Tieslietu ministrijas kompetence - tiesu sistēmas jomā izraugās tiesnešu kandidātus - svītrojama.</w:t>
            </w:r>
          </w:p>
          <w:p w:rsidR="008E3C18" w:rsidRPr="00457B33" w:rsidRDefault="008E3C18" w:rsidP="00F44695">
            <w:pPr>
              <w:spacing w:after="0" w:line="240" w:lineRule="auto"/>
              <w:jc w:val="both"/>
              <w:rPr>
                <w:rFonts w:ascii="Times New Roman" w:eastAsia="Times New Roman" w:hAnsi="Times New Roman" w:cs="Times New Roman"/>
                <w:sz w:val="24"/>
                <w:szCs w:val="24"/>
              </w:rPr>
            </w:pPr>
          </w:p>
          <w:p w:rsidR="008B33E0" w:rsidRPr="008B33E0" w:rsidRDefault="008B33E0" w:rsidP="00F44695">
            <w:pPr>
              <w:spacing w:after="0" w:line="240" w:lineRule="auto"/>
              <w:jc w:val="both"/>
              <w:rPr>
                <w:rFonts w:ascii="Times New Roman" w:eastAsia="Times New Roman" w:hAnsi="Times New Roman" w:cs="Times New Roman"/>
                <w:b/>
                <w:sz w:val="24"/>
                <w:szCs w:val="24"/>
              </w:rPr>
            </w:pPr>
            <w:r w:rsidRPr="008B33E0">
              <w:rPr>
                <w:rFonts w:ascii="Times New Roman" w:eastAsia="Times New Roman" w:hAnsi="Times New Roman" w:cs="Times New Roman"/>
                <w:b/>
                <w:sz w:val="24"/>
                <w:szCs w:val="24"/>
              </w:rPr>
              <w:t>Tieslietu ministrijas amatpersonu kompetence</w:t>
            </w:r>
          </w:p>
          <w:p w:rsidR="008B33E0" w:rsidRDefault="005D3823"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B577C">
              <w:rPr>
                <w:rFonts w:ascii="Times New Roman" w:hAnsi="Times New Roman" w:cs="Times New Roman"/>
                <w:sz w:val="24"/>
                <w:szCs w:val="24"/>
              </w:rPr>
              <w:t>4</w:t>
            </w:r>
            <w:r w:rsidR="008900C0">
              <w:rPr>
                <w:rFonts w:ascii="Times New Roman" w:hAnsi="Times New Roman" w:cs="Times New Roman"/>
                <w:sz w:val="24"/>
                <w:szCs w:val="24"/>
              </w:rPr>
              <w:t>. </w:t>
            </w:r>
            <w:r w:rsidR="008B33E0">
              <w:rPr>
                <w:rFonts w:ascii="Times New Roman" w:hAnsi="Times New Roman" w:cs="Times New Roman"/>
                <w:sz w:val="24"/>
                <w:szCs w:val="24"/>
              </w:rPr>
              <w:t>Latvijas Republikas Satversmes 57. pants noteic, ka m</w:t>
            </w:r>
            <w:r w:rsidR="008B33E0" w:rsidRPr="00D503A4">
              <w:rPr>
                <w:rFonts w:ascii="Times New Roman" w:hAnsi="Times New Roman" w:cs="Times New Roman"/>
                <w:sz w:val="24"/>
                <w:szCs w:val="24"/>
              </w:rPr>
              <w:t xml:space="preserve">inistriju skaitu un to darbības apjomu, kā arī valsts iestāžu </w:t>
            </w:r>
            <w:proofErr w:type="spellStart"/>
            <w:r w:rsidR="008B33E0" w:rsidRPr="00D503A4">
              <w:rPr>
                <w:rFonts w:ascii="Times New Roman" w:hAnsi="Times New Roman" w:cs="Times New Roman"/>
                <w:sz w:val="24"/>
                <w:szCs w:val="24"/>
              </w:rPr>
              <w:t>savstarpīgās</w:t>
            </w:r>
            <w:proofErr w:type="spellEnd"/>
            <w:r w:rsidR="008B33E0" w:rsidRPr="00D503A4">
              <w:rPr>
                <w:rFonts w:ascii="Times New Roman" w:hAnsi="Times New Roman" w:cs="Times New Roman"/>
                <w:sz w:val="24"/>
                <w:szCs w:val="24"/>
              </w:rPr>
              <w:t xml:space="preserve"> attiecības nosaka likums. </w:t>
            </w:r>
            <w:r w:rsidR="008B33E0">
              <w:rPr>
                <w:rFonts w:ascii="Times New Roman" w:hAnsi="Times New Roman" w:cs="Times New Roman"/>
                <w:sz w:val="24"/>
                <w:szCs w:val="24"/>
              </w:rPr>
              <w:t>Valsts pārvaldes iekārtas likuma 16. pants paredz, ka nolikumā norād</w:t>
            </w:r>
            <w:r w:rsidR="008900C0">
              <w:rPr>
                <w:rFonts w:ascii="Times New Roman" w:hAnsi="Times New Roman" w:cs="Times New Roman"/>
                <w:sz w:val="24"/>
                <w:szCs w:val="24"/>
              </w:rPr>
              <w:t>a</w:t>
            </w:r>
            <w:r w:rsidR="008B33E0">
              <w:rPr>
                <w:rFonts w:ascii="Times New Roman" w:hAnsi="Times New Roman" w:cs="Times New Roman"/>
                <w:sz w:val="24"/>
                <w:szCs w:val="24"/>
              </w:rPr>
              <w:t xml:space="preserve"> tikai iestādes funkcijas, uzdevumus un kompetenci un nevis amatpersonu. Ministrijas amatpersonu – Ministru kabineta locekļa - ministra, parlamentārā sekretāra, valsts sekretāra, kompetence jau detalizēti ir noteikta </w:t>
            </w:r>
            <w:r w:rsidR="008B33E0" w:rsidRPr="00F97DF6">
              <w:rPr>
                <w:rFonts w:ascii="Times New Roman" w:hAnsi="Times New Roman" w:cs="Times New Roman"/>
                <w:sz w:val="24"/>
                <w:szCs w:val="24"/>
              </w:rPr>
              <w:t>Valsts pārvaldes iekārtas likum</w:t>
            </w:r>
            <w:r w:rsidR="008B33E0">
              <w:rPr>
                <w:rFonts w:ascii="Times New Roman" w:hAnsi="Times New Roman" w:cs="Times New Roman"/>
                <w:sz w:val="24"/>
                <w:szCs w:val="24"/>
              </w:rPr>
              <w:t xml:space="preserve">ā (piemēram, 7. panta otrā un ceturtā daļa, 17., </w:t>
            </w:r>
            <w:r w:rsidR="008B33E0" w:rsidRPr="00F97DF6">
              <w:rPr>
                <w:rFonts w:ascii="Times New Roman" w:hAnsi="Times New Roman" w:cs="Times New Roman"/>
                <w:sz w:val="24"/>
                <w:szCs w:val="24"/>
              </w:rPr>
              <w:t>19.,</w:t>
            </w:r>
            <w:r w:rsidR="008B33E0">
              <w:rPr>
                <w:rFonts w:ascii="Times New Roman" w:hAnsi="Times New Roman" w:cs="Times New Roman"/>
                <w:sz w:val="24"/>
                <w:szCs w:val="24"/>
              </w:rPr>
              <w:t xml:space="preserve"> 20., 22., </w:t>
            </w:r>
            <w:r w:rsidR="008B33E0" w:rsidRPr="00F97DF6">
              <w:rPr>
                <w:rFonts w:ascii="Times New Roman" w:hAnsi="Times New Roman" w:cs="Times New Roman"/>
                <w:sz w:val="24"/>
                <w:szCs w:val="24"/>
              </w:rPr>
              <w:t>24.</w:t>
            </w:r>
            <w:r w:rsidR="008B33E0">
              <w:rPr>
                <w:rFonts w:ascii="Times New Roman" w:hAnsi="Times New Roman" w:cs="Times New Roman"/>
                <w:sz w:val="24"/>
                <w:szCs w:val="24"/>
              </w:rPr>
              <w:t>,</w:t>
            </w:r>
            <w:r w:rsidR="008B33E0" w:rsidRPr="00F97DF6">
              <w:rPr>
                <w:rFonts w:ascii="Times New Roman" w:hAnsi="Times New Roman" w:cs="Times New Roman"/>
                <w:sz w:val="24"/>
                <w:szCs w:val="24"/>
              </w:rPr>
              <w:t xml:space="preserve"> 25.</w:t>
            </w:r>
            <w:r w:rsidR="008B33E0">
              <w:rPr>
                <w:rFonts w:ascii="Times New Roman" w:hAnsi="Times New Roman" w:cs="Times New Roman"/>
                <w:sz w:val="24"/>
                <w:szCs w:val="24"/>
              </w:rPr>
              <w:t>, 26. panta ceturtā daļa),</w:t>
            </w:r>
            <w:r w:rsidR="008B33E0" w:rsidRPr="00F97DF6">
              <w:rPr>
                <w:rFonts w:ascii="Times New Roman" w:hAnsi="Times New Roman" w:cs="Times New Roman"/>
                <w:sz w:val="24"/>
                <w:szCs w:val="24"/>
              </w:rPr>
              <w:t xml:space="preserve"> Ministru kabineta iekārtas likum</w:t>
            </w:r>
            <w:r w:rsidR="008B33E0">
              <w:rPr>
                <w:rFonts w:ascii="Times New Roman" w:hAnsi="Times New Roman" w:cs="Times New Roman"/>
                <w:sz w:val="24"/>
                <w:szCs w:val="24"/>
              </w:rPr>
              <w:t xml:space="preserve">ā (piemēram, 9., 22. panta otrā daļa, 24., </w:t>
            </w:r>
            <w:r w:rsidR="008B33E0" w:rsidRPr="00F97DF6">
              <w:rPr>
                <w:rFonts w:ascii="Times New Roman" w:hAnsi="Times New Roman" w:cs="Times New Roman"/>
                <w:sz w:val="24"/>
                <w:szCs w:val="24"/>
              </w:rPr>
              <w:t>25.</w:t>
            </w:r>
            <w:r w:rsidR="008B33E0">
              <w:rPr>
                <w:rFonts w:ascii="Times New Roman" w:hAnsi="Times New Roman" w:cs="Times New Roman"/>
                <w:sz w:val="24"/>
                <w:szCs w:val="24"/>
              </w:rPr>
              <w:t>, 32.</w:t>
            </w:r>
            <w:r w:rsidR="008B33E0" w:rsidRPr="00F97DF6">
              <w:rPr>
                <w:rFonts w:ascii="Times New Roman" w:hAnsi="Times New Roman" w:cs="Times New Roman"/>
                <w:sz w:val="24"/>
                <w:szCs w:val="24"/>
              </w:rPr>
              <w:t> pant</w:t>
            </w:r>
            <w:r w:rsidR="008B33E0">
              <w:rPr>
                <w:rFonts w:ascii="Times New Roman" w:hAnsi="Times New Roman" w:cs="Times New Roman"/>
                <w:sz w:val="24"/>
                <w:szCs w:val="24"/>
              </w:rPr>
              <w:t>s)</w:t>
            </w:r>
            <w:r w:rsidR="008B33E0" w:rsidRPr="00F97DF6">
              <w:rPr>
                <w:rFonts w:ascii="Times New Roman" w:hAnsi="Times New Roman" w:cs="Times New Roman"/>
                <w:sz w:val="24"/>
                <w:szCs w:val="24"/>
              </w:rPr>
              <w:t>,</w:t>
            </w:r>
            <w:r w:rsidR="008B33E0">
              <w:rPr>
                <w:rFonts w:ascii="Times New Roman" w:hAnsi="Times New Roman" w:cs="Times New Roman"/>
                <w:sz w:val="24"/>
                <w:szCs w:val="24"/>
              </w:rPr>
              <w:t xml:space="preserve"> </w:t>
            </w:r>
            <w:r w:rsidR="008B33E0" w:rsidRPr="00ED241A">
              <w:rPr>
                <w:rFonts w:ascii="Times New Roman" w:hAnsi="Times New Roman" w:cs="Times New Roman"/>
                <w:sz w:val="24"/>
                <w:szCs w:val="24"/>
              </w:rPr>
              <w:t>Publiskas personas kapitāla daļu un kapi</w:t>
            </w:r>
            <w:r w:rsidR="008B33E0">
              <w:rPr>
                <w:rFonts w:ascii="Times New Roman" w:hAnsi="Times New Roman" w:cs="Times New Roman"/>
                <w:sz w:val="24"/>
                <w:szCs w:val="24"/>
              </w:rPr>
              <w:t>tālsabiedrību pārvaldības likumā (piemēram, 12. pants),</w:t>
            </w:r>
            <w:r w:rsidR="008B33E0" w:rsidRPr="00F97DF6">
              <w:rPr>
                <w:rFonts w:ascii="Times New Roman" w:hAnsi="Times New Roman" w:cs="Times New Roman"/>
                <w:sz w:val="24"/>
                <w:szCs w:val="24"/>
              </w:rPr>
              <w:t xml:space="preserve"> </w:t>
            </w:r>
            <w:r w:rsidR="008B33E0">
              <w:rPr>
                <w:rFonts w:ascii="Times New Roman" w:hAnsi="Times New Roman" w:cs="Times New Roman"/>
                <w:sz w:val="24"/>
                <w:szCs w:val="24"/>
              </w:rPr>
              <w:t>l</w:t>
            </w:r>
            <w:r w:rsidR="008B33E0" w:rsidRPr="007F5B16">
              <w:rPr>
                <w:rFonts w:ascii="Times New Roman" w:hAnsi="Times New Roman" w:cs="Times New Roman"/>
                <w:sz w:val="24"/>
                <w:szCs w:val="24"/>
              </w:rPr>
              <w:t>ikum</w:t>
            </w:r>
            <w:r w:rsidR="008B33E0">
              <w:rPr>
                <w:rFonts w:ascii="Times New Roman" w:hAnsi="Times New Roman" w:cs="Times New Roman"/>
                <w:sz w:val="24"/>
                <w:szCs w:val="24"/>
              </w:rPr>
              <w:t>ā</w:t>
            </w:r>
            <w:r w:rsidR="008B33E0" w:rsidRPr="007F5B16">
              <w:rPr>
                <w:rFonts w:ascii="Times New Roman" w:hAnsi="Times New Roman" w:cs="Times New Roman"/>
                <w:sz w:val="24"/>
                <w:szCs w:val="24"/>
              </w:rPr>
              <w:t xml:space="preserve"> "Par Latvijas Republikas starptautiskajiem līgumiem"</w:t>
            </w:r>
            <w:r w:rsidR="008B33E0">
              <w:rPr>
                <w:rFonts w:ascii="Times New Roman" w:hAnsi="Times New Roman" w:cs="Times New Roman"/>
                <w:sz w:val="24"/>
                <w:szCs w:val="24"/>
              </w:rPr>
              <w:t xml:space="preserve">, Attīstības plānošanas sistēmas likumā, Iekšējā audita likumā (piemēram, 4. un 5. panta otrā daļa), </w:t>
            </w:r>
            <w:r w:rsidR="008900C0">
              <w:rPr>
                <w:rFonts w:ascii="Times New Roman" w:hAnsi="Times New Roman" w:cs="Times New Roman"/>
                <w:sz w:val="24"/>
                <w:szCs w:val="24"/>
              </w:rPr>
              <w:t>Likumā par budžetu un finanšu vadību</w:t>
            </w:r>
            <w:r w:rsidR="008B33E0">
              <w:rPr>
                <w:rFonts w:ascii="Times New Roman" w:hAnsi="Times New Roman" w:cs="Times New Roman"/>
                <w:sz w:val="24"/>
                <w:szCs w:val="24"/>
              </w:rPr>
              <w:t xml:space="preserve"> (piemēram, 46. pants), likumā</w:t>
            </w:r>
            <w:r w:rsidR="008B33E0" w:rsidRPr="00D178AC">
              <w:rPr>
                <w:rFonts w:ascii="Times New Roman" w:hAnsi="Times New Roman" w:cs="Times New Roman"/>
                <w:sz w:val="24"/>
                <w:szCs w:val="24"/>
              </w:rPr>
              <w:t xml:space="preserve"> "Par interešu konflikta novēršanu valsts amatpersonu darbībā"</w:t>
            </w:r>
            <w:r w:rsidR="008B33E0">
              <w:rPr>
                <w:rFonts w:ascii="Times New Roman" w:hAnsi="Times New Roman" w:cs="Times New Roman"/>
                <w:sz w:val="24"/>
                <w:szCs w:val="24"/>
              </w:rPr>
              <w:t xml:space="preserve"> (piemēram, 20. pants), </w:t>
            </w:r>
            <w:r w:rsidR="008B33E0" w:rsidRPr="00D178AC">
              <w:rPr>
                <w:rFonts w:ascii="Times New Roman" w:hAnsi="Times New Roman" w:cs="Times New Roman"/>
                <w:sz w:val="24"/>
                <w:szCs w:val="24"/>
              </w:rPr>
              <w:t>Publiskas personas mantas atsavināšanas likum</w:t>
            </w:r>
            <w:r w:rsidR="008900C0">
              <w:rPr>
                <w:rFonts w:ascii="Times New Roman" w:hAnsi="Times New Roman" w:cs="Times New Roman"/>
                <w:sz w:val="24"/>
                <w:szCs w:val="24"/>
              </w:rPr>
              <w:t>ā</w:t>
            </w:r>
            <w:r w:rsidR="008B33E0">
              <w:rPr>
                <w:rFonts w:ascii="Times New Roman" w:hAnsi="Times New Roman" w:cs="Times New Roman"/>
                <w:sz w:val="24"/>
                <w:szCs w:val="24"/>
              </w:rPr>
              <w:t xml:space="preserve">, </w:t>
            </w:r>
            <w:r w:rsidR="008B33E0" w:rsidRPr="00D178AC">
              <w:rPr>
                <w:rFonts w:ascii="Times New Roman" w:hAnsi="Times New Roman" w:cs="Times New Roman"/>
                <w:sz w:val="24"/>
                <w:szCs w:val="24"/>
              </w:rPr>
              <w:t>Publisko iepirkumu likum</w:t>
            </w:r>
            <w:r w:rsidR="008900C0">
              <w:rPr>
                <w:rFonts w:ascii="Times New Roman" w:hAnsi="Times New Roman" w:cs="Times New Roman"/>
                <w:sz w:val="24"/>
                <w:szCs w:val="24"/>
              </w:rPr>
              <w:t>ā, Iesniegumu likumā</w:t>
            </w:r>
            <w:r w:rsidR="008B33E0">
              <w:rPr>
                <w:rFonts w:ascii="Times New Roman" w:hAnsi="Times New Roman" w:cs="Times New Roman"/>
                <w:sz w:val="24"/>
                <w:szCs w:val="24"/>
              </w:rPr>
              <w:t>, Administratīvā procesa likum</w:t>
            </w:r>
            <w:r w:rsidR="008900C0">
              <w:rPr>
                <w:rFonts w:ascii="Times New Roman" w:hAnsi="Times New Roman" w:cs="Times New Roman"/>
                <w:sz w:val="24"/>
                <w:szCs w:val="24"/>
              </w:rPr>
              <w:t>ā</w:t>
            </w:r>
            <w:r w:rsidR="008B33E0">
              <w:rPr>
                <w:rFonts w:ascii="Times New Roman" w:hAnsi="Times New Roman" w:cs="Times New Roman"/>
                <w:sz w:val="24"/>
                <w:szCs w:val="24"/>
              </w:rPr>
              <w:t>, Arhīvu likum</w:t>
            </w:r>
            <w:r w:rsidR="008900C0">
              <w:rPr>
                <w:rFonts w:ascii="Times New Roman" w:hAnsi="Times New Roman" w:cs="Times New Roman"/>
                <w:sz w:val="24"/>
                <w:szCs w:val="24"/>
              </w:rPr>
              <w:t>ā</w:t>
            </w:r>
            <w:r w:rsidR="008B33E0">
              <w:rPr>
                <w:rFonts w:ascii="Times New Roman" w:hAnsi="Times New Roman" w:cs="Times New Roman"/>
                <w:sz w:val="24"/>
                <w:szCs w:val="24"/>
              </w:rPr>
              <w:t xml:space="preserve"> un daudz</w:t>
            </w:r>
            <w:r w:rsidR="008900C0">
              <w:rPr>
                <w:rFonts w:ascii="Times New Roman" w:hAnsi="Times New Roman" w:cs="Times New Roman"/>
                <w:sz w:val="24"/>
                <w:szCs w:val="24"/>
              </w:rPr>
              <w:t>os</w:t>
            </w:r>
            <w:r w:rsidR="008B33E0">
              <w:rPr>
                <w:rFonts w:ascii="Times New Roman" w:hAnsi="Times New Roman" w:cs="Times New Roman"/>
                <w:sz w:val="24"/>
                <w:szCs w:val="24"/>
              </w:rPr>
              <w:t xml:space="preserve"> cit</w:t>
            </w:r>
            <w:r w:rsidR="008900C0">
              <w:rPr>
                <w:rFonts w:ascii="Times New Roman" w:hAnsi="Times New Roman" w:cs="Times New Roman"/>
                <w:sz w:val="24"/>
                <w:szCs w:val="24"/>
              </w:rPr>
              <w:t>os</w:t>
            </w:r>
            <w:r w:rsidR="008B33E0">
              <w:rPr>
                <w:rFonts w:ascii="Times New Roman" w:hAnsi="Times New Roman" w:cs="Times New Roman"/>
                <w:sz w:val="24"/>
                <w:szCs w:val="24"/>
              </w:rPr>
              <w:t xml:space="preserve"> ārēj</w:t>
            </w:r>
            <w:r w:rsidR="008900C0">
              <w:rPr>
                <w:rFonts w:ascii="Times New Roman" w:hAnsi="Times New Roman" w:cs="Times New Roman"/>
                <w:sz w:val="24"/>
                <w:szCs w:val="24"/>
              </w:rPr>
              <w:t>os</w:t>
            </w:r>
            <w:r w:rsidR="008B33E0">
              <w:rPr>
                <w:rFonts w:ascii="Times New Roman" w:hAnsi="Times New Roman" w:cs="Times New Roman"/>
                <w:sz w:val="24"/>
                <w:szCs w:val="24"/>
              </w:rPr>
              <w:t xml:space="preserve"> normatīv</w:t>
            </w:r>
            <w:r w:rsidR="008900C0">
              <w:rPr>
                <w:rFonts w:ascii="Times New Roman" w:hAnsi="Times New Roman" w:cs="Times New Roman"/>
                <w:sz w:val="24"/>
                <w:szCs w:val="24"/>
              </w:rPr>
              <w:t>ajos</w:t>
            </w:r>
            <w:r w:rsidR="008B33E0">
              <w:rPr>
                <w:rFonts w:ascii="Times New Roman" w:hAnsi="Times New Roman" w:cs="Times New Roman"/>
                <w:sz w:val="24"/>
                <w:szCs w:val="24"/>
              </w:rPr>
              <w:t xml:space="preserve"> akt</w:t>
            </w:r>
            <w:r w:rsidR="008900C0">
              <w:rPr>
                <w:rFonts w:ascii="Times New Roman" w:hAnsi="Times New Roman" w:cs="Times New Roman"/>
                <w:sz w:val="24"/>
                <w:szCs w:val="24"/>
              </w:rPr>
              <w:t>os</w:t>
            </w:r>
            <w:r w:rsidR="008B33E0">
              <w:rPr>
                <w:rFonts w:ascii="Times New Roman" w:hAnsi="Times New Roman" w:cs="Times New Roman"/>
                <w:sz w:val="24"/>
                <w:szCs w:val="24"/>
              </w:rPr>
              <w:t>.</w:t>
            </w:r>
          </w:p>
          <w:p w:rsidR="008B33E0" w:rsidRDefault="008B33E0"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Ievērojot minēto un to, ka nav iespējams nolikumā pilnīgi atspoguļot un nav arī lietderības dublēt amatpersonu kompetenci, ir </w:t>
            </w:r>
            <w:r w:rsidRPr="00F97DF6">
              <w:rPr>
                <w:rFonts w:ascii="Times New Roman" w:hAnsi="Times New Roman" w:cs="Times New Roman"/>
                <w:sz w:val="24"/>
                <w:szCs w:val="24"/>
              </w:rPr>
              <w:t xml:space="preserve">nepieciešams svītrot nolikuma </w:t>
            </w:r>
            <w:r>
              <w:rPr>
                <w:rFonts w:ascii="Times New Roman" w:hAnsi="Times New Roman" w:cs="Times New Roman"/>
                <w:sz w:val="24"/>
                <w:szCs w:val="24"/>
              </w:rPr>
              <w:t>8., 9., 11.</w:t>
            </w:r>
            <w:r w:rsidR="008900C0">
              <w:rPr>
                <w:rFonts w:ascii="Times New Roman" w:hAnsi="Times New Roman" w:cs="Times New Roman"/>
                <w:sz w:val="24"/>
                <w:szCs w:val="24"/>
              </w:rPr>
              <w:t> </w:t>
            </w:r>
            <w:r>
              <w:rPr>
                <w:rFonts w:ascii="Times New Roman" w:hAnsi="Times New Roman" w:cs="Times New Roman"/>
                <w:sz w:val="24"/>
                <w:szCs w:val="24"/>
              </w:rPr>
              <w:t xml:space="preserve">punktā </w:t>
            </w:r>
            <w:r w:rsidRPr="00F97DF6">
              <w:rPr>
                <w:rFonts w:ascii="Times New Roman" w:hAnsi="Times New Roman" w:cs="Times New Roman"/>
                <w:sz w:val="24"/>
                <w:szCs w:val="24"/>
              </w:rPr>
              <w:t>paredzēto regulējumu, ka</w:t>
            </w:r>
            <w:r>
              <w:rPr>
                <w:rFonts w:ascii="Times New Roman" w:hAnsi="Times New Roman" w:cs="Times New Roman"/>
                <w:sz w:val="24"/>
                <w:szCs w:val="24"/>
              </w:rPr>
              <w:t>s noteic</w:t>
            </w:r>
            <w:r w:rsidRPr="00F97DF6">
              <w:rPr>
                <w:rFonts w:ascii="Times New Roman" w:hAnsi="Times New Roman" w:cs="Times New Roman"/>
                <w:sz w:val="24"/>
                <w:szCs w:val="24"/>
              </w:rPr>
              <w:t xml:space="preserve"> </w:t>
            </w:r>
            <w:r w:rsidR="008900C0">
              <w:rPr>
                <w:rFonts w:ascii="Times New Roman" w:hAnsi="Times New Roman" w:cs="Times New Roman"/>
                <w:sz w:val="24"/>
                <w:szCs w:val="24"/>
              </w:rPr>
              <w:t xml:space="preserve">tieslietu </w:t>
            </w:r>
            <w:r>
              <w:rPr>
                <w:rFonts w:ascii="Times New Roman" w:hAnsi="Times New Roman" w:cs="Times New Roman"/>
                <w:sz w:val="24"/>
                <w:szCs w:val="24"/>
              </w:rPr>
              <w:t xml:space="preserve">ministra, </w:t>
            </w:r>
            <w:r w:rsidR="008900C0">
              <w:rPr>
                <w:rFonts w:ascii="Times New Roman" w:hAnsi="Times New Roman" w:cs="Times New Roman"/>
                <w:sz w:val="24"/>
                <w:szCs w:val="24"/>
              </w:rPr>
              <w:t xml:space="preserve">Tieslietu ministrijas </w:t>
            </w:r>
            <w:r>
              <w:rPr>
                <w:rFonts w:ascii="Times New Roman" w:hAnsi="Times New Roman" w:cs="Times New Roman"/>
                <w:sz w:val="24"/>
                <w:szCs w:val="24"/>
              </w:rPr>
              <w:t xml:space="preserve">parlamentārā sekretāra </w:t>
            </w:r>
            <w:r w:rsidR="0009647A">
              <w:rPr>
                <w:rFonts w:ascii="Times New Roman" w:hAnsi="Times New Roman" w:cs="Times New Roman"/>
                <w:sz w:val="24"/>
                <w:szCs w:val="24"/>
              </w:rPr>
              <w:t>un valsts sekretāra kompetenci.</w:t>
            </w:r>
          </w:p>
          <w:p w:rsidR="008B33E0" w:rsidRDefault="008B33E0"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Vienlaikus Valsts pārvaldes iekārtas likuma 19. panta otrās daļas  5. punkts paredz ministram tiesības pašam īstenot administratīvā vadītāja kompetenci. Tāpēc, lai efektīvāk piemērotos ministra kā ministrijas vadītāja nostājai, lietderīgāk ministrijas amatpersonu kompetenci noteikt Ti</w:t>
            </w:r>
            <w:r w:rsidR="0009647A">
              <w:rPr>
                <w:rFonts w:ascii="Times New Roman" w:hAnsi="Times New Roman" w:cs="Times New Roman"/>
                <w:sz w:val="24"/>
                <w:szCs w:val="24"/>
              </w:rPr>
              <w:t>eslietu ministrijas reglamentā.</w:t>
            </w:r>
          </w:p>
          <w:p w:rsidR="008B33E0" w:rsidRDefault="00972BB2"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B577C">
              <w:rPr>
                <w:rFonts w:ascii="Times New Roman" w:hAnsi="Times New Roman" w:cs="Times New Roman"/>
                <w:sz w:val="24"/>
                <w:szCs w:val="24"/>
              </w:rPr>
              <w:t>5</w:t>
            </w:r>
            <w:r w:rsidR="008B33E0" w:rsidRPr="00F97DF6">
              <w:rPr>
                <w:rFonts w:ascii="Times New Roman" w:hAnsi="Times New Roman" w:cs="Times New Roman"/>
                <w:sz w:val="24"/>
                <w:szCs w:val="24"/>
              </w:rPr>
              <w:t>.</w:t>
            </w:r>
            <w:r w:rsidR="0009647A">
              <w:rPr>
                <w:rFonts w:ascii="Times New Roman" w:hAnsi="Times New Roman" w:cs="Times New Roman"/>
                <w:sz w:val="24"/>
                <w:szCs w:val="24"/>
              </w:rPr>
              <w:t> </w:t>
            </w:r>
            <w:r w:rsidR="008B33E0" w:rsidRPr="00F97DF6">
              <w:rPr>
                <w:rFonts w:ascii="Times New Roman" w:hAnsi="Times New Roman" w:cs="Times New Roman"/>
                <w:sz w:val="24"/>
                <w:szCs w:val="24"/>
              </w:rPr>
              <w:t>Ministru kabineta iekārtas likuma 24.</w:t>
            </w:r>
            <w:r w:rsidR="008B33E0">
              <w:rPr>
                <w:rFonts w:ascii="Times New Roman" w:hAnsi="Times New Roman" w:cs="Times New Roman"/>
                <w:sz w:val="24"/>
                <w:szCs w:val="24"/>
              </w:rPr>
              <w:t> </w:t>
            </w:r>
            <w:r w:rsidR="008B33E0" w:rsidRPr="00F97DF6">
              <w:rPr>
                <w:rFonts w:ascii="Times New Roman" w:hAnsi="Times New Roman" w:cs="Times New Roman"/>
                <w:sz w:val="24"/>
                <w:szCs w:val="24"/>
              </w:rPr>
              <w:t xml:space="preserve">pants paredz, ka Ministru kabineta loceklis uz savu pilnvaru laiku </w:t>
            </w:r>
            <w:r w:rsidR="008B33E0" w:rsidRPr="0009647A">
              <w:rPr>
                <w:rFonts w:ascii="Times New Roman" w:hAnsi="Times New Roman" w:cs="Times New Roman"/>
                <w:sz w:val="24"/>
                <w:szCs w:val="24"/>
                <w:u w:val="single"/>
              </w:rPr>
              <w:t>var</w:t>
            </w:r>
            <w:r w:rsidR="008B33E0" w:rsidRPr="00F97DF6">
              <w:rPr>
                <w:rFonts w:ascii="Times New Roman" w:hAnsi="Times New Roman" w:cs="Times New Roman"/>
                <w:sz w:val="24"/>
                <w:szCs w:val="24"/>
              </w:rPr>
              <w:t xml:space="preserve"> iecelt parlamentāro sekretāru no Saeimas deputātu vai attiecīgā Ministru kabineta locekļa biroja amatpersonu vidus. </w:t>
            </w:r>
            <w:r w:rsidR="008B33E0">
              <w:rPr>
                <w:rFonts w:ascii="Times New Roman" w:hAnsi="Times New Roman" w:cs="Times New Roman"/>
                <w:sz w:val="24"/>
                <w:szCs w:val="24"/>
              </w:rPr>
              <w:t>Vienlaikus nosaka arī parlamentārā sekretāra kompetenci tiešās pārvaldes iestādē (</w:t>
            </w:r>
            <w:r w:rsidR="0009647A">
              <w:rPr>
                <w:rFonts w:ascii="Times New Roman" w:hAnsi="Times New Roman" w:cs="Times New Roman"/>
                <w:sz w:val="24"/>
                <w:szCs w:val="24"/>
              </w:rPr>
              <w:t xml:space="preserve">tā paša likuma </w:t>
            </w:r>
            <w:r w:rsidR="008B33E0">
              <w:rPr>
                <w:rFonts w:ascii="Times New Roman" w:hAnsi="Times New Roman" w:cs="Times New Roman"/>
                <w:sz w:val="24"/>
                <w:szCs w:val="24"/>
              </w:rPr>
              <w:t>22. pants). Var secināt, ka n</w:t>
            </w:r>
            <w:r w:rsidR="008B33E0" w:rsidRPr="00F97DF6">
              <w:rPr>
                <w:rFonts w:ascii="Times New Roman" w:hAnsi="Times New Roman" w:cs="Times New Roman"/>
                <w:sz w:val="24"/>
                <w:szCs w:val="24"/>
              </w:rPr>
              <w:t>orma paredz Ministru kabineta locekļa tiesības, nevis pienākum</w:t>
            </w:r>
            <w:r w:rsidR="008B33E0">
              <w:rPr>
                <w:rFonts w:ascii="Times New Roman" w:hAnsi="Times New Roman" w:cs="Times New Roman"/>
                <w:sz w:val="24"/>
                <w:szCs w:val="24"/>
              </w:rPr>
              <w:t>u iecelt parlamentāro sekretāru.</w:t>
            </w:r>
            <w:r w:rsidR="008B33E0" w:rsidRPr="00F97DF6">
              <w:rPr>
                <w:rFonts w:ascii="Times New Roman" w:hAnsi="Times New Roman" w:cs="Times New Roman"/>
                <w:sz w:val="24"/>
                <w:szCs w:val="24"/>
              </w:rPr>
              <w:t xml:space="preserve"> </w:t>
            </w:r>
            <w:r w:rsidR="008B33E0">
              <w:rPr>
                <w:rFonts w:ascii="Times New Roman" w:hAnsi="Times New Roman" w:cs="Times New Roman"/>
                <w:sz w:val="24"/>
                <w:szCs w:val="24"/>
              </w:rPr>
              <w:t>T</w:t>
            </w:r>
            <w:r w:rsidR="008B33E0" w:rsidRPr="00F97DF6">
              <w:rPr>
                <w:rFonts w:ascii="Times New Roman" w:hAnsi="Times New Roman" w:cs="Times New Roman"/>
                <w:sz w:val="24"/>
                <w:szCs w:val="24"/>
              </w:rPr>
              <w:t xml:space="preserve">āpēc nepieciešams novērst pretrunu un dublēšanos nolikuma regulējumā attiecībā uz parlamentāro sekretāru, kurš paredz parlamentāro sekretāru </w:t>
            </w:r>
            <w:r w:rsidR="008B33E0" w:rsidRPr="00652DEB">
              <w:rPr>
                <w:rFonts w:ascii="Times New Roman" w:hAnsi="Times New Roman" w:cs="Times New Roman"/>
                <w:sz w:val="24"/>
                <w:szCs w:val="24"/>
              </w:rPr>
              <w:t>kā noteiktu</w:t>
            </w:r>
            <w:r w:rsidR="0009647A">
              <w:rPr>
                <w:rFonts w:ascii="Times New Roman" w:hAnsi="Times New Roman" w:cs="Times New Roman"/>
                <w:sz w:val="24"/>
                <w:szCs w:val="24"/>
              </w:rPr>
              <w:t xml:space="preserve"> (obligātu)</w:t>
            </w:r>
            <w:r w:rsidR="008B33E0" w:rsidRPr="00652DEB">
              <w:rPr>
                <w:rFonts w:ascii="Times New Roman" w:hAnsi="Times New Roman" w:cs="Times New Roman"/>
                <w:sz w:val="24"/>
                <w:szCs w:val="24"/>
              </w:rPr>
              <w:t xml:space="preserve"> amatpersonu ministrijas struktūrā, un svītrot </w:t>
            </w:r>
            <w:r w:rsidR="008B33E0">
              <w:rPr>
                <w:rFonts w:ascii="Times New Roman" w:hAnsi="Times New Roman" w:cs="Times New Roman"/>
                <w:sz w:val="24"/>
                <w:szCs w:val="24"/>
              </w:rPr>
              <w:t xml:space="preserve">nolikuma </w:t>
            </w:r>
            <w:r w:rsidR="008B33E0" w:rsidRPr="00652DEB">
              <w:rPr>
                <w:rFonts w:ascii="Times New Roman" w:hAnsi="Times New Roman" w:cs="Times New Roman"/>
                <w:sz w:val="24"/>
                <w:szCs w:val="24"/>
              </w:rPr>
              <w:t>10.</w:t>
            </w:r>
            <w:r w:rsidR="008B33E0">
              <w:rPr>
                <w:rFonts w:ascii="Times New Roman" w:hAnsi="Times New Roman" w:cs="Times New Roman"/>
                <w:sz w:val="24"/>
                <w:szCs w:val="24"/>
              </w:rPr>
              <w:t> </w:t>
            </w:r>
            <w:r w:rsidR="008B33E0" w:rsidRPr="00652DEB">
              <w:rPr>
                <w:rFonts w:ascii="Times New Roman" w:hAnsi="Times New Roman" w:cs="Times New Roman"/>
                <w:sz w:val="24"/>
                <w:szCs w:val="24"/>
              </w:rPr>
              <w:t>punktu.</w:t>
            </w:r>
            <w:r w:rsidR="0009647A">
              <w:rPr>
                <w:rFonts w:ascii="Times New Roman" w:hAnsi="Times New Roman" w:cs="Times New Roman"/>
                <w:sz w:val="24"/>
                <w:szCs w:val="24"/>
              </w:rPr>
              <w:t xml:space="preserve"> </w:t>
            </w:r>
          </w:p>
          <w:p w:rsidR="008B33E0" w:rsidRPr="00582A69" w:rsidRDefault="00972BB2"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B577C">
              <w:rPr>
                <w:rFonts w:ascii="Times New Roman" w:hAnsi="Times New Roman" w:cs="Times New Roman"/>
                <w:sz w:val="24"/>
                <w:szCs w:val="24"/>
              </w:rPr>
              <w:t>6</w:t>
            </w:r>
            <w:r w:rsidR="008B33E0" w:rsidRPr="00652DEB">
              <w:rPr>
                <w:rFonts w:ascii="Times New Roman" w:hAnsi="Times New Roman" w:cs="Times New Roman"/>
                <w:sz w:val="24"/>
                <w:szCs w:val="24"/>
              </w:rPr>
              <w:t>.</w:t>
            </w:r>
            <w:r w:rsidR="0009647A">
              <w:rPr>
                <w:rFonts w:ascii="Times New Roman" w:hAnsi="Times New Roman" w:cs="Times New Roman"/>
                <w:sz w:val="24"/>
                <w:szCs w:val="24"/>
              </w:rPr>
              <w:t> </w:t>
            </w:r>
            <w:r w:rsidR="008B33E0" w:rsidRPr="00F12E4D">
              <w:rPr>
                <w:rFonts w:ascii="Times New Roman" w:hAnsi="Times New Roman" w:cs="Times New Roman"/>
                <w:sz w:val="24"/>
                <w:szCs w:val="24"/>
              </w:rPr>
              <w:t>Ņemot vērā to, ka nav nepieciešams dublēt likumos noteikto valsts sekretāra kompetenci, nolikuma 19.</w:t>
            </w:r>
            <w:r w:rsidR="008B33E0">
              <w:rPr>
                <w:rFonts w:ascii="Times New Roman" w:hAnsi="Times New Roman" w:cs="Times New Roman"/>
                <w:sz w:val="24"/>
                <w:szCs w:val="24"/>
              </w:rPr>
              <w:t> </w:t>
            </w:r>
            <w:r w:rsidR="008B33E0" w:rsidRPr="00F12E4D">
              <w:rPr>
                <w:rFonts w:ascii="Times New Roman" w:hAnsi="Times New Roman" w:cs="Times New Roman"/>
                <w:sz w:val="24"/>
                <w:szCs w:val="24"/>
              </w:rPr>
              <w:t>punkta regulējumu, ka valsts sekretāram ir tiesības atcelt ministrijas pārvaldes amatpersonu lēmumus un iekšējos normatīvos aktus</w:t>
            </w:r>
            <w:r w:rsidR="008B33E0">
              <w:rPr>
                <w:rFonts w:ascii="Times New Roman" w:hAnsi="Times New Roman" w:cs="Times New Roman"/>
                <w:sz w:val="24"/>
                <w:szCs w:val="24"/>
              </w:rPr>
              <w:t xml:space="preserve">, </w:t>
            </w:r>
            <w:r w:rsidR="008B33E0" w:rsidRPr="00F12E4D">
              <w:rPr>
                <w:rFonts w:ascii="Times New Roman" w:hAnsi="Times New Roman" w:cs="Times New Roman"/>
                <w:sz w:val="24"/>
                <w:szCs w:val="24"/>
              </w:rPr>
              <w:t>nepieciešams svītrot.</w:t>
            </w:r>
            <w:r w:rsidR="008B33E0">
              <w:rPr>
                <w:rFonts w:ascii="Times New Roman" w:hAnsi="Times New Roman" w:cs="Times New Roman"/>
                <w:sz w:val="24"/>
                <w:szCs w:val="24"/>
              </w:rPr>
              <w:t xml:space="preserve"> Turklāt tāda norma var maldināt, ka valsts sekretāram, atceļot minētos aktus </w:t>
            </w:r>
            <w:r w:rsidR="008B33E0">
              <w:rPr>
                <w:rFonts w:ascii="Times New Roman" w:hAnsi="Times New Roman" w:cs="Times New Roman"/>
                <w:sz w:val="24"/>
                <w:szCs w:val="24"/>
              </w:rPr>
              <w:lastRenderedPageBreak/>
              <w:t xml:space="preserve">nebūtu jāievēro citi nosacījumi – padotība, pilnvarotā kompetence vai </w:t>
            </w:r>
            <w:r w:rsidR="008B33E0" w:rsidRPr="00582A69">
              <w:rPr>
                <w:rFonts w:ascii="Times New Roman" w:hAnsi="Times New Roman" w:cs="Times New Roman"/>
                <w:sz w:val="24"/>
                <w:szCs w:val="24"/>
              </w:rPr>
              <w:t>ārējos normatīvajos aktos noteiktā kārtība konkrētu lēmumu atcelšanai.</w:t>
            </w:r>
          </w:p>
          <w:p w:rsidR="00A3046C" w:rsidRPr="00A3046C" w:rsidRDefault="005D3823" w:rsidP="00A3046C">
            <w:pPr>
              <w:spacing w:after="0" w:line="240" w:lineRule="auto"/>
              <w:jc w:val="both"/>
              <w:rPr>
                <w:rFonts w:ascii="Times New Roman" w:hAnsi="Times New Roman" w:cs="Times New Roman"/>
                <w:sz w:val="24"/>
                <w:szCs w:val="24"/>
              </w:rPr>
            </w:pPr>
            <w:r w:rsidRPr="00582A69">
              <w:rPr>
                <w:rFonts w:ascii="Times New Roman" w:hAnsi="Times New Roman" w:cs="Times New Roman"/>
                <w:sz w:val="24"/>
                <w:szCs w:val="24"/>
              </w:rPr>
              <w:t>2</w:t>
            </w:r>
            <w:r w:rsidR="003B577C">
              <w:rPr>
                <w:rFonts w:ascii="Times New Roman" w:hAnsi="Times New Roman" w:cs="Times New Roman"/>
                <w:sz w:val="24"/>
                <w:szCs w:val="24"/>
              </w:rPr>
              <w:t>7</w:t>
            </w:r>
            <w:r w:rsidR="003D6467" w:rsidRPr="00582A69">
              <w:rPr>
                <w:rFonts w:ascii="Times New Roman" w:hAnsi="Times New Roman" w:cs="Times New Roman"/>
                <w:sz w:val="24"/>
                <w:szCs w:val="24"/>
              </w:rPr>
              <w:t>. </w:t>
            </w:r>
            <w:r w:rsidR="00B901D5" w:rsidRPr="00582A69">
              <w:rPr>
                <w:rFonts w:ascii="Times New Roman" w:hAnsi="Times New Roman" w:cs="Times New Roman"/>
                <w:sz w:val="24"/>
                <w:szCs w:val="24"/>
              </w:rPr>
              <w:t>Nolikuma 17.</w:t>
            </w:r>
            <w:r w:rsidR="0009647A" w:rsidRPr="00582A69">
              <w:rPr>
                <w:rFonts w:ascii="Times New Roman" w:hAnsi="Times New Roman" w:cs="Times New Roman"/>
                <w:sz w:val="24"/>
                <w:szCs w:val="24"/>
              </w:rPr>
              <w:t> </w:t>
            </w:r>
            <w:r w:rsidR="00B901D5" w:rsidRPr="00582A69">
              <w:rPr>
                <w:rFonts w:ascii="Times New Roman" w:hAnsi="Times New Roman" w:cs="Times New Roman"/>
                <w:sz w:val="24"/>
                <w:szCs w:val="24"/>
              </w:rPr>
              <w:t>punkts paredz, ka ministrs un valsts sekretārs ministrijā var izveidot padomes, darba grupas un komisijas. Minētajās institūcijās var iesaistīt citu institūciju pilnvarotos pārstāvjus, kā arī privātpersonas. Institūciju nolikumus apstiprina attiecīgi ministrs vai valsts sekretārs. Detalizētu ministrijas koleģiālo institūciju un darba grupu izveides regulējumu nav lietderīgi noteikt ārējā normatīvajā aktā, bet gan, piemēram, Tieslietu ministrijas iekšējā normatīvajā aktā. Turklāt arī koleģiālās institūcijas, ņemot vērā apspriežamo jautājumu raksturu, izveido un darbojas, ievērojot Valsts pārvaldes iekārtas likumu. Ministrijas sadarbību ar iestādēm un sabiedrību arī paredz minētais likums. Ievērojot minēto, regulējums no nolikuma svītrojams.</w:t>
            </w:r>
            <w:r w:rsidR="009A54A2">
              <w:rPr>
                <w:rFonts w:ascii="Times New Roman" w:hAnsi="Times New Roman" w:cs="Times New Roman"/>
                <w:sz w:val="24"/>
                <w:szCs w:val="24"/>
              </w:rPr>
              <w:t xml:space="preserve"> Vienlaikus projekta noslēguma jautājumos</w:t>
            </w:r>
            <w:r w:rsidR="00A3046C">
              <w:rPr>
                <w:rFonts w:ascii="Times New Roman" w:hAnsi="Times New Roman" w:cs="Times New Roman"/>
                <w:sz w:val="24"/>
                <w:szCs w:val="24"/>
              </w:rPr>
              <w:t xml:space="preserve"> lietderības nolūkos</w:t>
            </w:r>
            <w:r w:rsidR="009A54A2">
              <w:rPr>
                <w:rFonts w:ascii="Times New Roman" w:hAnsi="Times New Roman" w:cs="Times New Roman"/>
                <w:sz w:val="24"/>
                <w:szCs w:val="24"/>
              </w:rPr>
              <w:t xml:space="preserve"> iekļauts pārejas regulējums, paredzot, ka Tieslietu ministrijas izveidoto padomju un komisiju nolikumi un reglamenti un </w:t>
            </w:r>
            <w:r w:rsidR="00A3046C">
              <w:rPr>
                <w:rFonts w:ascii="Times New Roman" w:hAnsi="Times New Roman" w:cs="Times New Roman"/>
                <w:sz w:val="24"/>
                <w:szCs w:val="24"/>
              </w:rPr>
              <w:t xml:space="preserve">rīkojumi par </w:t>
            </w:r>
            <w:r w:rsidR="009A54A2">
              <w:rPr>
                <w:rFonts w:ascii="Times New Roman" w:hAnsi="Times New Roman" w:cs="Times New Roman"/>
                <w:sz w:val="24"/>
                <w:szCs w:val="24"/>
              </w:rPr>
              <w:t>darba grupu</w:t>
            </w:r>
            <w:r w:rsidR="00A3046C">
              <w:rPr>
                <w:rFonts w:ascii="Times New Roman" w:hAnsi="Times New Roman" w:cs="Times New Roman"/>
                <w:sz w:val="24"/>
                <w:szCs w:val="24"/>
              </w:rPr>
              <w:t xml:space="preserve"> </w:t>
            </w:r>
            <w:r w:rsidR="00A3046C" w:rsidRPr="00A3046C">
              <w:rPr>
                <w:rFonts w:ascii="Times New Roman" w:hAnsi="Times New Roman" w:cs="Times New Roman"/>
                <w:sz w:val="24"/>
                <w:szCs w:val="24"/>
              </w:rPr>
              <w:t>izveidošanu</w:t>
            </w:r>
            <w:r w:rsidR="009A54A2" w:rsidRPr="00A3046C">
              <w:rPr>
                <w:rFonts w:ascii="Times New Roman" w:hAnsi="Times New Roman" w:cs="Times New Roman"/>
                <w:sz w:val="24"/>
                <w:szCs w:val="24"/>
              </w:rPr>
              <w:t>, kas tika izdoti saskaņā ar nolikuma 17. punktu, paliek spēk</w:t>
            </w:r>
            <w:r w:rsidR="00A3046C" w:rsidRPr="00A3046C">
              <w:rPr>
                <w:rFonts w:ascii="Times New Roman" w:hAnsi="Times New Roman" w:cs="Times New Roman"/>
                <w:sz w:val="24"/>
                <w:szCs w:val="24"/>
              </w:rPr>
              <w:t>ā, līdz to atzīšanai par spēku zaudējušiem vai līdz brīdim, kad tie zaudē spēku uz cita pamata.</w:t>
            </w:r>
          </w:p>
          <w:p w:rsidR="008B33E0" w:rsidRDefault="008B33E0" w:rsidP="00F44695">
            <w:pPr>
              <w:spacing w:after="0" w:line="240" w:lineRule="auto"/>
              <w:jc w:val="both"/>
              <w:rPr>
                <w:rFonts w:ascii="Times New Roman" w:eastAsia="Times New Roman" w:hAnsi="Times New Roman" w:cs="Times New Roman"/>
                <w:sz w:val="24"/>
                <w:szCs w:val="24"/>
              </w:rPr>
            </w:pPr>
          </w:p>
          <w:p w:rsidR="008B33E0" w:rsidRPr="008B33E0" w:rsidRDefault="008B33E0" w:rsidP="00F44695">
            <w:pPr>
              <w:spacing w:after="0" w:line="240" w:lineRule="auto"/>
              <w:jc w:val="both"/>
              <w:rPr>
                <w:rFonts w:ascii="Times New Roman" w:eastAsia="Times New Roman" w:hAnsi="Times New Roman" w:cs="Times New Roman"/>
                <w:b/>
                <w:sz w:val="24"/>
                <w:szCs w:val="24"/>
              </w:rPr>
            </w:pPr>
            <w:r w:rsidRPr="008B33E0">
              <w:rPr>
                <w:rFonts w:ascii="Times New Roman" w:eastAsia="Times New Roman" w:hAnsi="Times New Roman" w:cs="Times New Roman"/>
                <w:b/>
                <w:sz w:val="24"/>
                <w:szCs w:val="24"/>
              </w:rPr>
              <w:t>Tieslietu ministrijas struktūras veidošanas regulējums</w:t>
            </w:r>
          </w:p>
          <w:p w:rsidR="008B33E0" w:rsidRDefault="00126745"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B577C">
              <w:rPr>
                <w:rFonts w:ascii="Times New Roman" w:hAnsi="Times New Roman" w:cs="Times New Roman"/>
                <w:sz w:val="24"/>
                <w:szCs w:val="24"/>
              </w:rPr>
              <w:t>8</w:t>
            </w:r>
            <w:r w:rsidR="0009647A">
              <w:rPr>
                <w:rFonts w:ascii="Times New Roman" w:hAnsi="Times New Roman" w:cs="Times New Roman"/>
                <w:sz w:val="24"/>
                <w:szCs w:val="24"/>
              </w:rPr>
              <w:t>. </w:t>
            </w:r>
            <w:r w:rsidR="008B33E0" w:rsidRPr="00652DEB">
              <w:rPr>
                <w:rFonts w:ascii="Times New Roman" w:hAnsi="Times New Roman" w:cs="Times New Roman"/>
                <w:sz w:val="24"/>
                <w:szCs w:val="24"/>
              </w:rPr>
              <w:t>Valsts pārvaldes iekārtas likuma 16. panta otrā daļa neparedz, ka iestādes nolikumā būtu nepieciešams regulēt iestādes struktūras izveides jautājumus.</w:t>
            </w:r>
            <w:r w:rsidR="008B33E0">
              <w:rPr>
                <w:rFonts w:ascii="Times New Roman" w:hAnsi="Times New Roman" w:cs="Times New Roman"/>
                <w:sz w:val="24"/>
                <w:szCs w:val="24"/>
              </w:rPr>
              <w:t xml:space="preserve"> Savukārt </w:t>
            </w:r>
            <w:r w:rsidR="003D6467">
              <w:rPr>
                <w:rFonts w:ascii="Times New Roman" w:hAnsi="Times New Roman" w:cs="Times New Roman"/>
                <w:sz w:val="24"/>
                <w:szCs w:val="24"/>
              </w:rPr>
              <w:t xml:space="preserve">tā paša likuma </w:t>
            </w:r>
            <w:r w:rsidR="008B33E0">
              <w:rPr>
                <w:rFonts w:ascii="Times New Roman" w:hAnsi="Times New Roman" w:cs="Times New Roman"/>
                <w:sz w:val="24"/>
                <w:szCs w:val="24"/>
              </w:rPr>
              <w:t xml:space="preserve">17. panta otrā daļa paredz, </w:t>
            </w:r>
            <w:r w:rsidR="008B33E0" w:rsidRPr="003B220C">
              <w:rPr>
                <w:rFonts w:ascii="Times New Roman" w:hAnsi="Times New Roman" w:cs="Times New Roman"/>
                <w:sz w:val="24"/>
                <w:szCs w:val="24"/>
              </w:rPr>
              <w:t>ka informācija par iestādes struktūru un amatiem tiek publicēta un aktualizēta iestādes mājaslapā internetā normatīvajos aktos noteiktajā kārtībā.</w:t>
            </w:r>
            <w:r w:rsidR="008B33E0" w:rsidRPr="00652DEB">
              <w:rPr>
                <w:rFonts w:ascii="Times New Roman" w:hAnsi="Times New Roman" w:cs="Times New Roman"/>
                <w:sz w:val="24"/>
                <w:szCs w:val="24"/>
              </w:rPr>
              <w:t xml:space="preserve"> Turklāt valsts pārvaldes iestādes struktūras izveidošanas kārtība noteikta Ministru kabineta 2010. gada 14. decembra ieteikumos Nr. 2 "Valsts pārvaldes iestādes struktūras izveidošanas kārtība", kurā ir noteikti kritēriji iestādes vadītāja vietnieka amata izveidei un struktūrvienību izveidei. </w:t>
            </w:r>
            <w:r w:rsidR="008B33E0">
              <w:rPr>
                <w:rFonts w:ascii="Times New Roman" w:hAnsi="Times New Roman" w:cs="Times New Roman"/>
                <w:sz w:val="24"/>
                <w:szCs w:val="24"/>
              </w:rPr>
              <w:t>Vienlaikus</w:t>
            </w:r>
            <w:r w:rsidR="008B33E0" w:rsidRPr="00652DEB">
              <w:rPr>
                <w:rFonts w:ascii="Times New Roman" w:hAnsi="Times New Roman" w:cs="Times New Roman"/>
                <w:sz w:val="24"/>
                <w:szCs w:val="24"/>
              </w:rPr>
              <w:t xml:space="preserve"> nolikuma 13. punkta trešajā teikumā </w:t>
            </w:r>
            <w:r w:rsidR="008B33E0">
              <w:rPr>
                <w:rFonts w:ascii="Times New Roman" w:hAnsi="Times New Roman" w:cs="Times New Roman"/>
                <w:sz w:val="24"/>
                <w:szCs w:val="24"/>
              </w:rPr>
              <w:t>paredzētais</w:t>
            </w:r>
            <w:r w:rsidR="008B33E0" w:rsidRPr="00652DEB">
              <w:rPr>
                <w:rFonts w:ascii="Times New Roman" w:hAnsi="Times New Roman" w:cs="Times New Roman"/>
                <w:sz w:val="24"/>
                <w:szCs w:val="24"/>
              </w:rPr>
              <w:t>, ka departamenta direktors izdod departamenta nodaļas reglamentu</w:t>
            </w:r>
            <w:r w:rsidR="008B33E0">
              <w:rPr>
                <w:rFonts w:ascii="Times New Roman" w:hAnsi="Times New Roman" w:cs="Times New Roman"/>
                <w:sz w:val="24"/>
                <w:szCs w:val="24"/>
              </w:rPr>
              <w:t>,</w:t>
            </w:r>
            <w:r w:rsidR="008B33E0" w:rsidRPr="00652DEB">
              <w:rPr>
                <w:rFonts w:ascii="Times New Roman" w:hAnsi="Times New Roman" w:cs="Times New Roman"/>
                <w:sz w:val="24"/>
                <w:szCs w:val="24"/>
              </w:rPr>
              <w:t xml:space="preserve"> ir pretrunā ar Valsts pārvaldes iekārtas likuma 75. panta otrās daļ</w:t>
            </w:r>
            <w:r w:rsidR="008B33E0">
              <w:rPr>
                <w:rFonts w:ascii="Times New Roman" w:hAnsi="Times New Roman" w:cs="Times New Roman"/>
                <w:sz w:val="24"/>
                <w:szCs w:val="24"/>
              </w:rPr>
              <w:t>ā noteikto</w:t>
            </w:r>
            <w:r w:rsidR="008B33E0" w:rsidRPr="00652DEB">
              <w:rPr>
                <w:rFonts w:ascii="Times New Roman" w:hAnsi="Times New Roman" w:cs="Times New Roman"/>
                <w:sz w:val="24"/>
                <w:szCs w:val="24"/>
              </w:rPr>
              <w:t>, ka struktūrvienības reglamentu pēc saskaņošanas ar iestādes vadītāju atbilstoši iestādes nolikumam un reglamentam izdod struktūrvienības vadītājs.</w:t>
            </w:r>
            <w:r w:rsidR="008B33E0">
              <w:rPr>
                <w:rFonts w:ascii="Times New Roman" w:hAnsi="Times New Roman" w:cs="Times New Roman"/>
                <w:sz w:val="24"/>
                <w:szCs w:val="24"/>
              </w:rPr>
              <w:t xml:space="preserve"> </w:t>
            </w:r>
            <w:r w:rsidR="008B33E0" w:rsidRPr="00652DEB">
              <w:rPr>
                <w:rFonts w:ascii="Times New Roman" w:hAnsi="Times New Roman" w:cs="Times New Roman"/>
                <w:sz w:val="24"/>
                <w:szCs w:val="24"/>
              </w:rPr>
              <w:t xml:space="preserve">Tāpēc svītrojams nolikuma regulējums, kas nosaka </w:t>
            </w:r>
            <w:r w:rsidR="003D6467">
              <w:rPr>
                <w:rFonts w:ascii="Times New Roman" w:hAnsi="Times New Roman" w:cs="Times New Roman"/>
                <w:sz w:val="24"/>
                <w:szCs w:val="24"/>
              </w:rPr>
              <w:t>Tieslietu ministrijas</w:t>
            </w:r>
            <w:r w:rsidR="008B33E0" w:rsidRPr="00652DEB">
              <w:rPr>
                <w:rFonts w:ascii="Times New Roman" w:hAnsi="Times New Roman" w:cs="Times New Roman"/>
                <w:sz w:val="24"/>
                <w:szCs w:val="24"/>
              </w:rPr>
              <w:t xml:space="preserve"> struktūras veidošanu (</w:t>
            </w:r>
            <w:r w:rsidR="006D1638">
              <w:rPr>
                <w:rFonts w:ascii="Times New Roman" w:hAnsi="Times New Roman" w:cs="Times New Roman"/>
                <w:sz w:val="24"/>
                <w:szCs w:val="24"/>
              </w:rPr>
              <w:t xml:space="preserve">nolikuma </w:t>
            </w:r>
            <w:r w:rsidR="008B33E0" w:rsidRPr="00652DEB">
              <w:rPr>
                <w:rFonts w:ascii="Times New Roman" w:hAnsi="Times New Roman" w:cs="Times New Roman"/>
                <w:sz w:val="24"/>
                <w:szCs w:val="24"/>
              </w:rPr>
              <w:t>12., 13., 14., 15. un 16.</w:t>
            </w:r>
            <w:r w:rsidR="006D1638">
              <w:rPr>
                <w:rFonts w:ascii="Times New Roman" w:hAnsi="Times New Roman" w:cs="Times New Roman"/>
                <w:sz w:val="24"/>
                <w:szCs w:val="24"/>
              </w:rPr>
              <w:t> </w:t>
            </w:r>
            <w:r w:rsidR="008B33E0" w:rsidRPr="00652DEB">
              <w:rPr>
                <w:rFonts w:ascii="Times New Roman" w:hAnsi="Times New Roman" w:cs="Times New Roman"/>
                <w:sz w:val="24"/>
                <w:szCs w:val="24"/>
              </w:rPr>
              <w:t>punkts) un to, ja nepieciešams, noteikt Tieslietu ministrijas reglamentā.</w:t>
            </w:r>
          </w:p>
          <w:p w:rsidR="00AF73B9" w:rsidRDefault="00AF73B9" w:rsidP="008B33E0">
            <w:pPr>
              <w:spacing w:after="0" w:line="240" w:lineRule="auto"/>
              <w:jc w:val="both"/>
              <w:rPr>
                <w:rFonts w:ascii="Times New Roman" w:hAnsi="Times New Roman" w:cs="Times New Roman"/>
                <w:sz w:val="24"/>
                <w:szCs w:val="24"/>
              </w:rPr>
            </w:pPr>
          </w:p>
          <w:p w:rsidR="00AF73B9" w:rsidRPr="0053175E" w:rsidRDefault="00AF73B9" w:rsidP="008B33E0">
            <w:pPr>
              <w:spacing w:after="0" w:line="240" w:lineRule="auto"/>
              <w:jc w:val="both"/>
              <w:rPr>
                <w:rFonts w:ascii="Times New Roman" w:hAnsi="Times New Roman" w:cs="Times New Roman"/>
                <w:b/>
                <w:sz w:val="24"/>
                <w:szCs w:val="24"/>
              </w:rPr>
            </w:pPr>
            <w:r w:rsidRPr="00AF73B9">
              <w:rPr>
                <w:rFonts w:ascii="Times New Roman" w:hAnsi="Times New Roman" w:cs="Times New Roman"/>
                <w:b/>
                <w:sz w:val="24"/>
                <w:szCs w:val="24"/>
              </w:rPr>
              <w:t xml:space="preserve">Tieslietu </w:t>
            </w:r>
            <w:r w:rsidRPr="0053175E">
              <w:rPr>
                <w:rFonts w:ascii="Times New Roman" w:hAnsi="Times New Roman" w:cs="Times New Roman"/>
                <w:b/>
                <w:sz w:val="24"/>
                <w:szCs w:val="24"/>
              </w:rPr>
              <w:t>ministrijas tiesības:</w:t>
            </w:r>
          </w:p>
          <w:p w:rsidR="0053175E" w:rsidRPr="0053175E" w:rsidRDefault="005D3823" w:rsidP="00161B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B577C">
              <w:rPr>
                <w:rFonts w:ascii="Times New Roman" w:hAnsi="Times New Roman" w:cs="Times New Roman"/>
                <w:sz w:val="24"/>
                <w:szCs w:val="24"/>
              </w:rPr>
              <w:t>9</w:t>
            </w:r>
            <w:r w:rsidR="00E251B6" w:rsidRPr="0053175E">
              <w:rPr>
                <w:rFonts w:ascii="Times New Roman" w:hAnsi="Times New Roman" w:cs="Times New Roman"/>
                <w:sz w:val="24"/>
                <w:szCs w:val="24"/>
              </w:rPr>
              <w:t xml:space="preserve">. Nolikuma 7.1. apakšpunkts paredz, ka Tieslietu ministrijai ir tiesības ārējos normatīvajos aktos noteiktajos gadījumos pieprasīt un bez maksas saņemt no fiziskām un privāto tiesību juridiskām personām ministrijas uzdevumu izpildei nepieciešamo informāciju un dokumentus. </w:t>
            </w:r>
            <w:r w:rsidR="0053175E" w:rsidRPr="0053175E">
              <w:rPr>
                <w:rFonts w:ascii="Times New Roman" w:hAnsi="Times New Roman" w:cs="Times New Roman"/>
                <w:sz w:val="24"/>
                <w:szCs w:val="24"/>
              </w:rPr>
              <w:t xml:space="preserve">Šādai tiesību normai nav ne informatīvas slodzes, ne tiesiskas slodzes, jo pēc būtības veido nenoteiktu atsauci uz citiem ārējiem normatīvajiem </w:t>
            </w:r>
            <w:r w:rsidR="006D1638">
              <w:rPr>
                <w:rFonts w:ascii="Times New Roman" w:hAnsi="Times New Roman" w:cs="Times New Roman"/>
                <w:sz w:val="24"/>
                <w:szCs w:val="24"/>
              </w:rPr>
              <w:t>aktiem. Tāpēc tā ir svītrojama.</w:t>
            </w:r>
          </w:p>
          <w:p w:rsidR="00161B59" w:rsidRPr="00161B59" w:rsidRDefault="003B577C" w:rsidP="0053175E">
            <w:pPr>
              <w:spacing w:after="0" w:line="240" w:lineRule="auto"/>
              <w:jc w:val="both"/>
              <w:rPr>
                <w:rFonts w:ascii="Times New Roman" w:eastAsia="Times New Roman" w:hAnsi="Times New Roman" w:cs="Times New Roman"/>
                <w:color w:val="414142"/>
                <w:sz w:val="24"/>
                <w:szCs w:val="24"/>
                <w:lang w:eastAsia="lv-LV"/>
              </w:rPr>
            </w:pPr>
            <w:r>
              <w:rPr>
                <w:rFonts w:ascii="Times New Roman" w:hAnsi="Times New Roman" w:cs="Times New Roman"/>
                <w:sz w:val="24"/>
                <w:szCs w:val="24"/>
              </w:rPr>
              <w:lastRenderedPageBreak/>
              <w:t>30</w:t>
            </w:r>
            <w:r w:rsidR="00161B59" w:rsidRPr="0053175E">
              <w:rPr>
                <w:rFonts w:ascii="Times New Roman" w:hAnsi="Times New Roman" w:cs="Times New Roman"/>
                <w:sz w:val="24"/>
                <w:szCs w:val="24"/>
              </w:rPr>
              <w:t xml:space="preserve">. Nolikuma 7.2. apakšpunkts paredz, ka Tieslietu ministrijai ir tiesības iesaistīt nozares politikas jautājumu risināšanā ministriju, citu valsts pārvaldes iestāžu, pašvaldību un citu institūciju pārstāvjus. </w:t>
            </w:r>
            <w:r w:rsidR="0053175E" w:rsidRPr="0053175E">
              <w:rPr>
                <w:rFonts w:ascii="Times New Roman" w:hAnsi="Times New Roman" w:cs="Times New Roman"/>
                <w:sz w:val="24"/>
                <w:szCs w:val="24"/>
              </w:rPr>
              <w:t xml:space="preserve">Valsts pārvaldes iekārtas likuma VII nodaļa "Sadarbība valsts pārvaldē", jau paredz sadarbības pamatnoteikumus, sadarbības priekšmetus (tostarp, ierosināt iestādei nodrošināt atsevišķu pārvaldes amatpersonu piedalīšanos konkrētu pārvaldes uzdevumu veikšanā, ierosināt citai iestādei sniegt tās rīcībā esošu informāciju, ierosināt sniegt tai atzinumu jautājumā, kas ietilpst atzinuma sniedzēja iestādes kompetencē, nepārkāpjot kompetenci, var noteikt citu sadarbības priekšmetu), sadarbības atteikuma nosacījumus un citas normas. Vienlaikus </w:t>
            </w:r>
            <w:r w:rsidR="00161B59" w:rsidRPr="0053175E">
              <w:rPr>
                <w:rFonts w:ascii="Times New Roman" w:hAnsi="Times New Roman" w:cs="Times New Roman"/>
                <w:sz w:val="24"/>
                <w:szCs w:val="24"/>
              </w:rPr>
              <w:t xml:space="preserve">Valsts pārvaldes iekārtas likuma VI nodaļa "Sabiedrības līdzdalība valsts pārvaldē", piemēram, 48. pants jau paredz, ka šā likuma mērķa sasniegšanai iestāde savā darbībā iesaista sabiedrības pārstāvjus (sabiedrisko organizāciju un citu organizētu grupu pārstāvjus, atsevišķas kompetentas personas), iekļaujot viņus darba grupās, konsultatīvajās padomēs vai lūdzot sniegt atzinumus. </w:t>
            </w:r>
            <w:r w:rsidR="00161B59" w:rsidRPr="00161B59">
              <w:rPr>
                <w:rFonts w:ascii="Times New Roman" w:eastAsia="Times New Roman" w:hAnsi="Times New Roman" w:cs="Times New Roman"/>
                <w:sz w:val="24"/>
                <w:szCs w:val="24"/>
                <w:lang w:eastAsia="lv-LV"/>
              </w:rPr>
              <w:t xml:space="preserve">Sabiedrībai svarīgos jautājumos iestādei </w:t>
            </w:r>
            <w:r w:rsidR="00161B59" w:rsidRPr="0053175E">
              <w:rPr>
                <w:rFonts w:ascii="Times New Roman" w:hAnsi="Times New Roman" w:cs="Times New Roman"/>
                <w:sz w:val="24"/>
                <w:szCs w:val="24"/>
              </w:rPr>
              <w:t xml:space="preserve">pat </w:t>
            </w:r>
            <w:r w:rsidR="00161B59" w:rsidRPr="00161B59">
              <w:rPr>
                <w:rFonts w:ascii="Times New Roman" w:eastAsia="Times New Roman" w:hAnsi="Times New Roman" w:cs="Times New Roman"/>
                <w:sz w:val="24"/>
                <w:szCs w:val="24"/>
                <w:lang w:eastAsia="lv-LV"/>
              </w:rPr>
              <w:t xml:space="preserve">ir pienākums </w:t>
            </w:r>
            <w:r w:rsidR="00161B59" w:rsidRPr="0053175E">
              <w:rPr>
                <w:rFonts w:ascii="Times New Roman" w:hAnsi="Times New Roman" w:cs="Times New Roman"/>
                <w:sz w:val="24"/>
                <w:szCs w:val="24"/>
              </w:rPr>
              <w:t xml:space="preserve">(nevis tiesības) </w:t>
            </w:r>
            <w:r w:rsidR="00161B59" w:rsidRPr="00161B59">
              <w:rPr>
                <w:rFonts w:ascii="Times New Roman" w:eastAsia="Times New Roman" w:hAnsi="Times New Roman" w:cs="Times New Roman"/>
                <w:sz w:val="24"/>
                <w:szCs w:val="24"/>
                <w:lang w:eastAsia="lv-LV"/>
              </w:rPr>
              <w:t>rīkot publisku apspriešanu. Nodrošinot sabiedrības līdzdalību savā darbībā, iestāde var izmantot arī citus normatīvajos aktos noteiktos sabiedrības iesaistīšanas veidus, kas nav minēti šajā pantā.</w:t>
            </w:r>
            <w:r w:rsidR="00161B59" w:rsidRPr="0053175E">
              <w:rPr>
                <w:rFonts w:ascii="Times New Roman" w:hAnsi="Times New Roman" w:cs="Times New Roman"/>
                <w:sz w:val="24"/>
                <w:szCs w:val="24"/>
              </w:rPr>
              <w:t xml:space="preserve"> </w:t>
            </w:r>
            <w:r w:rsidR="00161B59" w:rsidRPr="00161B59">
              <w:rPr>
                <w:rFonts w:ascii="Times New Roman" w:eastAsia="Times New Roman" w:hAnsi="Times New Roman" w:cs="Times New Roman"/>
                <w:sz w:val="24"/>
                <w:szCs w:val="24"/>
                <w:lang w:eastAsia="lv-LV"/>
              </w:rPr>
              <w:t xml:space="preserve">Par sabiedrības pārstāvju iesaistīšanu iestādes darbībā un tās veidu lemj </w:t>
            </w:r>
            <w:r w:rsidR="00161B59" w:rsidRPr="006D1638">
              <w:rPr>
                <w:rFonts w:ascii="Times New Roman" w:eastAsia="Times New Roman" w:hAnsi="Times New Roman" w:cs="Times New Roman"/>
                <w:sz w:val="24"/>
                <w:szCs w:val="24"/>
                <w:lang w:eastAsia="lv-LV"/>
              </w:rPr>
              <w:t>iestādes vadītājs, ja normatīvajā aktā nav noteikts citādi.</w:t>
            </w:r>
          </w:p>
          <w:p w:rsidR="00E251B6" w:rsidRPr="00000C68" w:rsidRDefault="0053175E" w:rsidP="008B33E0">
            <w:pPr>
              <w:spacing w:after="0" w:line="240" w:lineRule="auto"/>
              <w:jc w:val="both"/>
              <w:rPr>
                <w:rFonts w:ascii="Times New Roman" w:hAnsi="Times New Roman" w:cs="Times New Roman"/>
                <w:sz w:val="24"/>
                <w:szCs w:val="24"/>
              </w:rPr>
            </w:pPr>
            <w:r w:rsidRPr="0053175E">
              <w:rPr>
                <w:rFonts w:ascii="Times New Roman" w:hAnsi="Times New Roman" w:cs="Times New Roman"/>
                <w:sz w:val="24"/>
                <w:szCs w:val="24"/>
              </w:rPr>
              <w:t xml:space="preserve">Ievērojot minēto, un nelietderību dublēt nepilnīgu regulējumu no citiem ārējiem normatīvajiem aktiem, nepieciešams svītrot minēto </w:t>
            </w:r>
            <w:r w:rsidRPr="00000C68">
              <w:rPr>
                <w:rFonts w:ascii="Times New Roman" w:hAnsi="Times New Roman" w:cs="Times New Roman"/>
                <w:sz w:val="24"/>
                <w:szCs w:val="24"/>
              </w:rPr>
              <w:t>regulējumu no nolikuma.</w:t>
            </w:r>
          </w:p>
          <w:p w:rsidR="00E251B6" w:rsidRDefault="006D0839"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B577C">
              <w:rPr>
                <w:rFonts w:ascii="Times New Roman" w:hAnsi="Times New Roman" w:cs="Times New Roman"/>
                <w:sz w:val="24"/>
                <w:szCs w:val="24"/>
              </w:rPr>
              <w:t>1</w:t>
            </w:r>
            <w:r w:rsidR="0053175E" w:rsidRPr="00000C68">
              <w:rPr>
                <w:rFonts w:ascii="Times New Roman" w:hAnsi="Times New Roman" w:cs="Times New Roman"/>
                <w:sz w:val="24"/>
                <w:szCs w:val="24"/>
              </w:rPr>
              <w:t>. </w:t>
            </w:r>
            <w:r w:rsidR="0089723A" w:rsidRPr="00000C68">
              <w:rPr>
                <w:rFonts w:ascii="Times New Roman" w:hAnsi="Times New Roman" w:cs="Times New Roman"/>
                <w:sz w:val="24"/>
                <w:szCs w:val="24"/>
              </w:rPr>
              <w:t xml:space="preserve">Nolikuma 7.3. apakšpunkts paredz, ka Tieslietu ministrijai ir tiesības piedalīties starptautisku organizāciju rīkotajos pasākumos, noslēgt starptautiskās sadarbības līgumus un koordinēt starptautisko sadarbību. Minētās tiesības nedublē citus ārējā normatīvā aktā noteiktās tiesības un </w:t>
            </w:r>
            <w:r w:rsidR="00AF5034">
              <w:rPr>
                <w:rFonts w:ascii="Times New Roman" w:hAnsi="Times New Roman" w:cs="Times New Roman"/>
                <w:sz w:val="24"/>
                <w:szCs w:val="24"/>
              </w:rPr>
              <w:t xml:space="preserve">ir </w:t>
            </w:r>
            <w:r w:rsidR="0089723A" w:rsidRPr="00000C68">
              <w:rPr>
                <w:rFonts w:ascii="Times New Roman" w:hAnsi="Times New Roman" w:cs="Times New Roman"/>
                <w:sz w:val="24"/>
                <w:szCs w:val="24"/>
              </w:rPr>
              <w:t xml:space="preserve">nepieciešamas, </w:t>
            </w:r>
            <w:r w:rsidR="0089723A" w:rsidRPr="00C4702B">
              <w:rPr>
                <w:rFonts w:ascii="Times New Roman" w:hAnsi="Times New Roman" w:cs="Times New Roman"/>
                <w:sz w:val="24"/>
                <w:szCs w:val="24"/>
              </w:rPr>
              <w:t xml:space="preserve">lai pildītu </w:t>
            </w:r>
            <w:r w:rsidR="00AF5034" w:rsidRPr="00C4702B">
              <w:rPr>
                <w:rFonts w:ascii="Times New Roman" w:hAnsi="Times New Roman" w:cs="Times New Roman"/>
                <w:sz w:val="24"/>
                <w:szCs w:val="24"/>
              </w:rPr>
              <w:t xml:space="preserve">ministrijas </w:t>
            </w:r>
            <w:r w:rsidR="0089723A" w:rsidRPr="00C4702B">
              <w:rPr>
                <w:rFonts w:ascii="Times New Roman" w:hAnsi="Times New Roman" w:cs="Times New Roman"/>
                <w:sz w:val="24"/>
                <w:szCs w:val="24"/>
              </w:rPr>
              <w:t>funkcij</w:t>
            </w:r>
            <w:r w:rsidR="00AF5034" w:rsidRPr="00C4702B">
              <w:rPr>
                <w:rFonts w:ascii="Times New Roman" w:hAnsi="Times New Roman" w:cs="Times New Roman"/>
                <w:sz w:val="24"/>
                <w:szCs w:val="24"/>
              </w:rPr>
              <w:t>as un uzdevumus</w:t>
            </w:r>
            <w:r w:rsidR="0089723A" w:rsidRPr="00C4702B">
              <w:rPr>
                <w:rFonts w:ascii="Times New Roman" w:hAnsi="Times New Roman" w:cs="Times New Roman"/>
                <w:sz w:val="24"/>
                <w:szCs w:val="24"/>
              </w:rPr>
              <w:t>.</w:t>
            </w:r>
            <w:r w:rsidR="0089723A" w:rsidRPr="00000C68">
              <w:rPr>
                <w:rFonts w:ascii="Times New Roman" w:hAnsi="Times New Roman" w:cs="Times New Roman"/>
                <w:sz w:val="24"/>
                <w:szCs w:val="24"/>
              </w:rPr>
              <w:t xml:space="preserve"> </w:t>
            </w:r>
          </w:p>
          <w:p w:rsidR="00094A89" w:rsidRPr="00000C68" w:rsidRDefault="00094A89" w:rsidP="008B33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B577C">
              <w:rPr>
                <w:rFonts w:ascii="Times New Roman" w:hAnsi="Times New Roman" w:cs="Times New Roman"/>
                <w:sz w:val="24"/>
                <w:szCs w:val="24"/>
              </w:rPr>
              <w:t>2</w:t>
            </w:r>
            <w:r>
              <w:rPr>
                <w:rFonts w:ascii="Times New Roman" w:hAnsi="Times New Roman" w:cs="Times New Roman"/>
                <w:sz w:val="24"/>
                <w:szCs w:val="24"/>
              </w:rPr>
              <w:t xml:space="preserve">. Nolikums šobrīd neatspoguļo Tieslietu ministrijai </w:t>
            </w:r>
            <w:r w:rsidR="00BF3AD4">
              <w:rPr>
                <w:rFonts w:ascii="Times New Roman" w:hAnsi="Times New Roman" w:cs="Times New Roman"/>
                <w:sz w:val="24"/>
                <w:szCs w:val="24"/>
              </w:rPr>
              <w:t xml:space="preserve">piešķirtās </w:t>
            </w:r>
            <w:r>
              <w:rPr>
                <w:rFonts w:ascii="Times New Roman" w:hAnsi="Times New Roman" w:cs="Times New Roman"/>
                <w:sz w:val="24"/>
                <w:szCs w:val="24"/>
              </w:rPr>
              <w:t>tiesības sniegt maksas pakalpojumus saskaņā ar Ministru kabineta 2013. gada 3. septembra noteikumiem Nr. 738 "Tieslietu ministrijas maksas pakalpojumu cenrādis</w:t>
            </w:r>
            <w:r w:rsidR="00560106">
              <w:rPr>
                <w:rFonts w:ascii="Times New Roman" w:hAnsi="Times New Roman" w:cs="Times New Roman"/>
                <w:sz w:val="24"/>
                <w:szCs w:val="24"/>
              </w:rPr>
              <w:t>". Maksas pakalpojumi saistīti ar civilstāvokļa aktu reģistrācijas faktu izziņām, izrakstiem no civilstāvokļa aktu reģistra un tamlīdzīgi.</w:t>
            </w:r>
          </w:p>
          <w:p w:rsidR="00C17903" w:rsidRPr="00000C68" w:rsidRDefault="00C17903" w:rsidP="008B33E0">
            <w:pPr>
              <w:spacing w:after="0" w:line="240" w:lineRule="auto"/>
              <w:jc w:val="both"/>
              <w:rPr>
                <w:rFonts w:ascii="Times New Roman" w:hAnsi="Times New Roman" w:cs="Times New Roman"/>
                <w:sz w:val="24"/>
                <w:szCs w:val="24"/>
              </w:rPr>
            </w:pPr>
          </w:p>
          <w:p w:rsidR="00C17903" w:rsidRPr="00000C68" w:rsidRDefault="00C17903" w:rsidP="008B33E0">
            <w:pPr>
              <w:spacing w:after="0" w:line="240" w:lineRule="auto"/>
              <w:jc w:val="both"/>
              <w:rPr>
                <w:rFonts w:ascii="Times New Roman" w:hAnsi="Times New Roman" w:cs="Times New Roman"/>
                <w:sz w:val="24"/>
                <w:szCs w:val="24"/>
              </w:rPr>
            </w:pPr>
            <w:r w:rsidRPr="00000C68">
              <w:rPr>
                <w:rFonts w:ascii="Times New Roman" w:hAnsi="Times New Roman" w:cs="Times New Roman"/>
                <w:b/>
                <w:sz w:val="24"/>
                <w:szCs w:val="24"/>
              </w:rPr>
              <w:t>Ministrijas darbības tiesiskuma nodrošināšanas mehānisms un pārskati par ministrijas darbību</w:t>
            </w:r>
            <w:r w:rsidRPr="00000C68">
              <w:rPr>
                <w:rFonts w:ascii="Times New Roman" w:hAnsi="Times New Roman" w:cs="Times New Roman"/>
                <w:sz w:val="24"/>
                <w:szCs w:val="24"/>
              </w:rPr>
              <w:t xml:space="preserve"> </w:t>
            </w:r>
          </w:p>
          <w:p w:rsidR="00C17903" w:rsidRPr="00000C68" w:rsidRDefault="005D3823" w:rsidP="00000C68">
            <w:pPr>
              <w:pStyle w:val="tv2132"/>
              <w:spacing w:line="240" w:lineRule="auto"/>
              <w:ind w:firstLine="0"/>
              <w:jc w:val="both"/>
              <w:rPr>
                <w:color w:val="auto"/>
                <w:sz w:val="24"/>
                <w:szCs w:val="24"/>
              </w:rPr>
            </w:pPr>
            <w:r>
              <w:rPr>
                <w:color w:val="auto"/>
                <w:sz w:val="24"/>
                <w:szCs w:val="24"/>
              </w:rPr>
              <w:t>3</w:t>
            </w:r>
            <w:r w:rsidR="003B577C">
              <w:rPr>
                <w:color w:val="auto"/>
                <w:sz w:val="24"/>
                <w:szCs w:val="24"/>
              </w:rPr>
              <w:t>3</w:t>
            </w:r>
            <w:r w:rsidR="00C17903" w:rsidRPr="00000C68">
              <w:rPr>
                <w:color w:val="auto"/>
                <w:sz w:val="24"/>
                <w:szCs w:val="24"/>
              </w:rPr>
              <w:t>. Nolikuma 18. punkts paredz, ka Tieslietu ministrijas darbības tiesiskumu nodrošina valsts sekretārs. Valsts sekretārs ir atbildīgs par pārvaldes lēmumu pārbaudes sistēmas izveidošanu un darbību.</w:t>
            </w:r>
          </w:p>
          <w:p w:rsidR="00C17903" w:rsidRPr="00000C68" w:rsidRDefault="00C17903" w:rsidP="00000C68">
            <w:pPr>
              <w:pStyle w:val="tv2132"/>
              <w:spacing w:line="240" w:lineRule="auto"/>
              <w:ind w:firstLine="0"/>
              <w:jc w:val="both"/>
              <w:rPr>
                <w:color w:val="auto"/>
                <w:sz w:val="24"/>
                <w:szCs w:val="24"/>
              </w:rPr>
            </w:pPr>
            <w:r w:rsidRPr="00000C68">
              <w:rPr>
                <w:color w:val="auto"/>
                <w:sz w:val="24"/>
                <w:szCs w:val="24"/>
              </w:rPr>
              <w:t>Valsts pārvaldes iekārtas likuma 17. panta pirmā daļa noteic, ka tiešās pārvaldes iestādes vadītājs organizē iestādes funkcijas pildīšanu un atbild par to, vada iestādes administratīvo darbu, nodrošinot tā nepārtrauktību, lietderību un tiesiskumu, bet tā paša panta otrā</w:t>
            </w:r>
            <w:r w:rsidR="006D1638">
              <w:rPr>
                <w:color w:val="auto"/>
                <w:sz w:val="24"/>
                <w:szCs w:val="24"/>
              </w:rPr>
              <w:t>s</w:t>
            </w:r>
            <w:r w:rsidRPr="00000C68">
              <w:rPr>
                <w:color w:val="auto"/>
                <w:sz w:val="24"/>
                <w:szCs w:val="24"/>
              </w:rPr>
              <w:t xml:space="preserve"> daļas 7.</w:t>
            </w:r>
            <w:r w:rsidR="006D1638">
              <w:rPr>
                <w:color w:val="auto"/>
                <w:sz w:val="24"/>
                <w:szCs w:val="24"/>
              </w:rPr>
              <w:t> </w:t>
            </w:r>
            <w:r w:rsidRPr="00000C68">
              <w:rPr>
                <w:color w:val="auto"/>
                <w:sz w:val="24"/>
                <w:szCs w:val="24"/>
              </w:rPr>
              <w:t>punkt</w:t>
            </w:r>
            <w:r w:rsidR="006D1638">
              <w:rPr>
                <w:color w:val="auto"/>
                <w:sz w:val="24"/>
                <w:szCs w:val="24"/>
              </w:rPr>
              <w:t>s</w:t>
            </w:r>
            <w:r w:rsidRPr="00000C68">
              <w:rPr>
                <w:color w:val="auto"/>
                <w:sz w:val="24"/>
                <w:szCs w:val="24"/>
              </w:rPr>
              <w:t xml:space="preserve"> nosaka, ka, ja normatīvajā aktā nav noteikts citādi, iestādes vadītājs nosaka pārvaldes lēmumu priekšpārbaudes un pēcpārbaudes kārtību.</w:t>
            </w:r>
            <w:r w:rsidR="00D40B52" w:rsidRPr="00000C68">
              <w:rPr>
                <w:color w:val="auto"/>
                <w:sz w:val="24"/>
                <w:szCs w:val="24"/>
              </w:rPr>
              <w:t xml:space="preserve"> Vienlaikus Valsts pārvald</w:t>
            </w:r>
            <w:r w:rsidR="006D1638">
              <w:rPr>
                <w:color w:val="auto"/>
                <w:sz w:val="24"/>
                <w:szCs w:val="24"/>
              </w:rPr>
              <w:t xml:space="preserve">es iekārtas likuma VIII nodaļā jau  </w:t>
            </w:r>
            <w:r w:rsidR="006D1638">
              <w:rPr>
                <w:color w:val="auto"/>
                <w:sz w:val="24"/>
                <w:szCs w:val="24"/>
              </w:rPr>
              <w:lastRenderedPageBreak/>
              <w:t>noteikta p</w:t>
            </w:r>
            <w:r w:rsidR="00D40B52" w:rsidRPr="00000C68">
              <w:rPr>
                <w:color w:val="auto"/>
                <w:sz w:val="24"/>
                <w:szCs w:val="24"/>
              </w:rPr>
              <w:t>ārvaldes lēmuma pārbaud</w:t>
            </w:r>
            <w:r w:rsidR="006D1638">
              <w:rPr>
                <w:color w:val="auto"/>
                <w:sz w:val="24"/>
                <w:szCs w:val="24"/>
              </w:rPr>
              <w:t>e</w:t>
            </w:r>
            <w:r w:rsidR="00D40B52" w:rsidRPr="00000C68">
              <w:rPr>
                <w:color w:val="auto"/>
                <w:sz w:val="24"/>
                <w:szCs w:val="24"/>
              </w:rPr>
              <w:t xml:space="preserve"> un atbildīb</w:t>
            </w:r>
            <w:r w:rsidR="006D1638">
              <w:rPr>
                <w:color w:val="auto"/>
                <w:sz w:val="24"/>
                <w:szCs w:val="24"/>
              </w:rPr>
              <w:t xml:space="preserve">a par pārvaldes lēmumu. </w:t>
            </w:r>
            <w:r w:rsidR="00D40B52" w:rsidRPr="00000C68">
              <w:rPr>
                <w:color w:val="auto"/>
                <w:sz w:val="24"/>
                <w:szCs w:val="24"/>
              </w:rPr>
              <w:t xml:space="preserve">Ievērojot minēto, nav nepieciešams dublēt atbildības noteikšanu </w:t>
            </w:r>
            <w:r w:rsidR="00EF14B7" w:rsidRPr="00000C68">
              <w:rPr>
                <w:color w:val="auto"/>
                <w:sz w:val="24"/>
                <w:szCs w:val="24"/>
              </w:rPr>
              <w:t xml:space="preserve">valsts sekretāram </w:t>
            </w:r>
            <w:r w:rsidR="00D40B52" w:rsidRPr="00000C68">
              <w:rPr>
                <w:color w:val="auto"/>
                <w:sz w:val="24"/>
                <w:szCs w:val="24"/>
              </w:rPr>
              <w:t xml:space="preserve">par tiesiskuma nodrošināšanu. </w:t>
            </w:r>
          </w:p>
          <w:p w:rsidR="00EF14B7" w:rsidRPr="00000C68" w:rsidRDefault="005D3823" w:rsidP="00000C68">
            <w:pPr>
              <w:pStyle w:val="tv2132"/>
              <w:spacing w:line="240" w:lineRule="auto"/>
              <w:ind w:firstLine="0"/>
              <w:jc w:val="both"/>
              <w:rPr>
                <w:color w:val="auto"/>
                <w:sz w:val="24"/>
                <w:szCs w:val="24"/>
              </w:rPr>
            </w:pPr>
            <w:r>
              <w:rPr>
                <w:color w:val="auto"/>
                <w:sz w:val="24"/>
                <w:szCs w:val="24"/>
              </w:rPr>
              <w:t>3</w:t>
            </w:r>
            <w:r w:rsidR="003B577C">
              <w:rPr>
                <w:color w:val="auto"/>
                <w:sz w:val="24"/>
                <w:szCs w:val="24"/>
              </w:rPr>
              <w:t>4</w:t>
            </w:r>
            <w:r w:rsidR="006D1638">
              <w:rPr>
                <w:color w:val="auto"/>
                <w:sz w:val="24"/>
                <w:szCs w:val="24"/>
              </w:rPr>
              <w:t>. </w:t>
            </w:r>
            <w:r w:rsidR="00EF14B7" w:rsidRPr="00000C68">
              <w:rPr>
                <w:color w:val="auto"/>
                <w:sz w:val="24"/>
                <w:szCs w:val="24"/>
              </w:rPr>
              <w:t xml:space="preserve">Nolikuma 22. punkts paredz, ka </w:t>
            </w:r>
            <w:r w:rsidR="006D1638">
              <w:rPr>
                <w:color w:val="auto"/>
                <w:sz w:val="24"/>
                <w:szCs w:val="24"/>
              </w:rPr>
              <w:t xml:space="preserve">Tieslietu </w:t>
            </w:r>
            <w:r w:rsidR="00EF14B7" w:rsidRPr="00000C68">
              <w:rPr>
                <w:color w:val="auto"/>
                <w:sz w:val="24"/>
                <w:szCs w:val="24"/>
              </w:rPr>
              <w:t>ministrija ne retāk kā reizi gadā sniedz</w:t>
            </w:r>
            <w:r w:rsidR="006D1638">
              <w:rPr>
                <w:color w:val="auto"/>
                <w:sz w:val="24"/>
                <w:szCs w:val="24"/>
              </w:rPr>
              <w:t xml:space="preserve"> tieslietu </w:t>
            </w:r>
            <w:r w:rsidR="00EF14B7" w:rsidRPr="00000C68">
              <w:rPr>
                <w:color w:val="auto"/>
                <w:sz w:val="24"/>
                <w:szCs w:val="24"/>
              </w:rPr>
              <w:t>ministram pārskatu par nozares politikas īstenošanu, ministrijas funkciju izpildi un budžeta līdzekļu izlietojumu</w:t>
            </w:r>
            <w:r w:rsidR="008323C7" w:rsidRPr="00000C68">
              <w:rPr>
                <w:color w:val="auto"/>
                <w:sz w:val="24"/>
                <w:szCs w:val="24"/>
              </w:rPr>
              <w:t xml:space="preserve">. Savukārt 23. punkts paredz, ka </w:t>
            </w:r>
            <w:r w:rsidR="006D1638">
              <w:rPr>
                <w:color w:val="auto"/>
                <w:sz w:val="24"/>
                <w:szCs w:val="24"/>
              </w:rPr>
              <w:t>tieslietu m</w:t>
            </w:r>
            <w:r w:rsidR="008323C7" w:rsidRPr="00000C68">
              <w:rPr>
                <w:color w:val="auto"/>
                <w:sz w:val="24"/>
                <w:szCs w:val="24"/>
              </w:rPr>
              <w:t>inistram ir tiesības jebkurā laikā pieprasīt pārskatu par nozares vai atsevišķas jomas politikas īstenošanu, kā arī par ministrijas padotībā esošas valsts pārvaldes iestādes darbību. Ņemot vērā to, ka šādi pārskati vairs netiek gatavoti, jo ministri</w:t>
            </w:r>
            <w:r w:rsidR="00841C79">
              <w:rPr>
                <w:color w:val="auto"/>
                <w:sz w:val="24"/>
                <w:szCs w:val="24"/>
              </w:rPr>
              <w:t>,</w:t>
            </w:r>
            <w:r w:rsidR="008323C7" w:rsidRPr="00000C68">
              <w:rPr>
                <w:color w:val="auto"/>
                <w:sz w:val="24"/>
                <w:szCs w:val="24"/>
              </w:rPr>
              <w:t xml:space="preserve"> </w:t>
            </w:r>
            <w:r w:rsidR="00841C79">
              <w:rPr>
                <w:color w:val="auto"/>
                <w:sz w:val="24"/>
                <w:szCs w:val="24"/>
              </w:rPr>
              <w:t xml:space="preserve">vadot ministrijas darbu ikdienā, jau </w:t>
            </w:r>
            <w:r w:rsidR="008323C7" w:rsidRPr="00000C68">
              <w:rPr>
                <w:color w:val="auto"/>
                <w:sz w:val="24"/>
                <w:szCs w:val="24"/>
              </w:rPr>
              <w:t>pārzina minētos jautājumus un ik gadu</w:t>
            </w:r>
            <w:r w:rsidR="00841C79">
              <w:rPr>
                <w:color w:val="auto"/>
                <w:sz w:val="24"/>
                <w:szCs w:val="24"/>
              </w:rPr>
              <w:t xml:space="preserve"> ministrijā </w:t>
            </w:r>
            <w:r w:rsidR="008323C7" w:rsidRPr="00000C68">
              <w:rPr>
                <w:color w:val="auto"/>
                <w:sz w:val="24"/>
                <w:szCs w:val="24"/>
              </w:rPr>
              <w:t>tiek sagatavo</w:t>
            </w:r>
            <w:r w:rsidR="00841C79">
              <w:rPr>
                <w:color w:val="auto"/>
                <w:sz w:val="24"/>
                <w:szCs w:val="24"/>
              </w:rPr>
              <w:t>t</w:t>
            </w:r>
            <w:r w:rsidR="008323C7" w:rsidRPr="00000C68">
              <w:rPr>
                <w:color w:val="auto"/>
                <w:sz w:val="24"/>
                <w:szCs w:val="24"/>
              </w:rPr>
              <w:t>s publiskais pārskats, tad lietderība pēc šāda obligāta pārskata nav. Vienlaikus tieslietu ministram ir visas tiesības kā ministrijas darba vadītājam jebkurā laikā, ja nepieciešams, uzdot sagatavot šādu pārskatu</w:t>
            </w:r>
            <w:r w:rsidR="00DE7C8F" w:rsidRPr="00000C68">
              <w:rPr>
                <w:color w:val="auto"/>
                <w:sz w:val="24"/>
                <w:szCs w:val="24"/>
              </w:rPr>
              <w:t>.</w:t>
            </w:r>
          </w:p>
          <w:p w:rsidR="00DE7C8F" w:rsidRDefault="005D3823" w:rsidP="00251D64">
            <w:pPr>
              <w:pStyle w:val="tv2132"/>
              <w:spacing w:line="240" w:lineRule="auto"/>
              <w:ind w:firstLine="0"/>
              <w:jc w:val="both"/>
              <w:rPr>
                <w:color w:val="auto"/>
                <w:sz w:val="24"/>
                <w:szCs w:val="24"/>
              </w:rPr>
            </w:pPr>
            <w:r>
              <w:rPr>
                <w:color w:val="auto"/>
                <w:sz w:val="24"/>
                <w:szCs w:val="24"/>
              </w:rPr>
              <w:t>3</w:t>
            </w:r>
            <w:r w:rsidR="003B577C">
              <w:rPr>
                <w:color w:val="auto"/>
                <w:sz w:val="24"/>
                <w:szCs w:val="24"/>
              </w:rPr>
              <w:t>5</w:t>
            </w:r>
            <w:r w:rsidR="00251D64" w:rsidRPr="00000C68">
              <w:rPr>
                <w:color w:val="auto"/>
                <w:sz w:val="24"/>
                <w:szCs w:val="24"/>
              </w:rPr>
              <w:t>. </w:t>
            </w:r>
            <w:r w:rsidR="00374C4E" w:rsidRPr="00000C68">
              <w:rPr>
                <w:color w:val="auto"/>
                <w:sz w:val="24"/>
                <w:szCs w:val="24"/>
              </w:rPr>
              <w:t>Valsts pārvaldes iekārtas likuma 16. panta otrā daļa paredz, ka nolikumā norāda, kārtību, kādā sniedzami pārskati</w:t>
            </w:r>
            <w:r w:rsidR="00C80EEA" w:rsidRPr="00000C68">
              <w:rPr>
                <w:color w:val="auto"/>
                <w:sz w:val="24"/>
                <w:szCs w:val="24"/>
              </w:rPr>
              <w:t xml:space="preserve"> </w:t>
            </w:r>
            <w:r w:rsidR="00374C4E" w:rsidRPr="00000C68">
              <w:rPr>
                <w:color w:val="auto"/>
                <w:sz w:val="24"/>
                <w:szCs w:val="24"/>
              </w:rPr>
              <w:t xml:space="preserve">par iestādes funkciju pildīšanu un līdzekļu izmantošanu. </w:t>
            </w:r>
            <w:r w:rsidR="00251D64" w:rsidRPr="00000C68">
              <w:rPr>
                <w:color w:val="auto"/>
                <w:sz w:val="24"/>
                <w:szCs w:val="24"/>
              </w:rPr>
              <w:t>Nolikuma 22. punkts noteic, ka ministrija normatīvajos aktos noteiktajā kārtībā sagatavo gada publisko pārskatu par nozares politikas īstenošanu. Šāds regulējums sašaurina Valsts pārvaldes iekārtas likuma 94. pantā noteikto, ka, l</w:t>
            </w:r>
            <w:r w:rsidR="00DE7C8F" w:rsidRPr="00000C68">
              <w:rPr>
                <w:color w:val="auto"/>
                <w:sz w:val="24"/>
                <w:szCs w:val="24"/>
              </w:rPr>
              <w:t>ai informētu sabiedrību par iestādes darbību, kā arī par tai piešķirto budžeta līdzekļu izlietojumu, iestāde sagatavo publiskos pārskatus.</w:t>
            </w:r>
            <w:r w:rsidR="00251D64" w:rsidRPr="00000C68">
              <w:rPr>
                <w:color w:val="auto"/>
                <w:sz w:val="24"/>
                <w:szCs w:val="24"/>
              </w:rPr>
              <w:t xml:space="preserve"> </w:t>
            </w:r>
            <w:r w:rsidR="00DE7C8F" w:rsidRPr="00DE7C8F">
              <w:rPr>
                <w:color w:val="auto"/>
                <w:sz w:val="24"/>
                <w:szCs w:val="24"/>
              </w:rPr>
              <w:t>Publisko pārskatu veidus, saturu un publicēšanas kārtību nosaka normatīvie akti.</w:t>
            </w:r>
            <w:r w:rsidR="00251D64" w:rsidRPr="00000C68">
              <w:rPr>
                <w:color w:val="auto"/>
                <w:sz w:val="24"/>
                <w:szCs w:val="24"/>
              </w:rPr>
              <w:t xml:space="preserve"> </w:t>
            </w:r>
            <w:r w:rsidR="00C80EEA" w:rsidRPr="00000C68">
              <w:rPr>
                <w:color w:val="auto"/>
                <w:sz w:val="24"/>
                <w:szCs w:val="24"/>
              </w:rPr>
              <w:t>Piemēram, Likuma par budžetu un finanšu vadību 14. panta trešā daļa paredz, ka</w:t>
            </w:r>
            <w:r w:rsidR="00000C68">
              <w:rPr>
                <w:color w:val="auto"/>
                <w:sz w:val="24"/>
                <w:szCs w:val="24"/>
              </w:rPr>
              <w:t>, l</w:t>
            </w:r>
            <w:r w:rsidR="00C80EEA" w:rsidRPr="00000C68">
              <w:rPr>
                <w:color w:val="auto"/>
                <w:sz w:val="24"/>
                <w:szCs w:val="24"/>
              </w:rPr>
              <w:t>ai informētu sabiedrību par iestādes darbības mērķiem un rezultātiem, kā arī par piešķirto valsts budžeta līdzekļu izlietošanu iepriekšējā gadā, ministrijas, visas to padotībā esošās budžeta finansētās institūcijas, budžeta nefinansētas iestādes līdz pārskata gadam sekojošā gada 1. jūlijam sagatavo gada publiskos pārskatus un mēneša laikā pēc sagatavošanas publicē tos savā mājaslapā internetā. Ministru kabinets nosaka gada publiskā pārskata saturu un sagatavošanas kārtību. Šāda kārtība šobrīd ir noteikta Ministru kabineta 2010.</w:t>
            </w:r>
            <w:r w:rsidR="00000C68" w:rsidRPr="00000C68">
              <w:rPr>
                <w:color w:val="auto"/>
                <w:sz w:val="24"/>
                <w:szCs w:val="24"/>
              </w:rPr>
              <w:t> </w:t>
            </w:r>
            <w:r w:rsidR="00C80EEA" w:rsidRPr="00000C68">
              <w:rPr>
                <w:color w:val="auto"/>
                <w:sz w:val="24"/>
                <w:szCs w:val="24"/>
              </w:rPr>
              <w:t>gada 5.</w:t>
            </w:r>
            <w:r w:rsidR="00000C68" w:rsidRPr="00000C68">
              <w:rPr>
                <w:color w:val="auto"/>
                <w:sz w:val="24"/>
                <w:szCs w:val="24"/>
              </w:rPr>
              <w:t> </w:t>
            </w:r>
            <w:r w:rsidR="00C80EEA" w:rsidRPr="00000C68">
              <w:rPr>
                <w:color w:val="auto"/>
                <w:sz w:val="24"/>
                <w:szCs w:val="24"/>
              </w:rPr>
              <w:t>maija noteikumos Nr.</w:t>
            </w:r>
            <w:r w:rsidR="00000C68" w:rsidRPr="00000C68">
              <w:rPr>
                <w:color w:val="auto"/>
                <w:sz w:val="24"/>
                <w:szCs w:val="24"/>
              </w:rPr>
              <w:t> </w:t>
            </w:r>
            <w:r w:rsidR="00C80EEA" w:rsidRPr="00000C68">
              <w:rPr>
                <w:color w:val="auto"/>
                <w:sz w:val="24"/>
                <w:szCs w:val="24"/>
              </w:rPr>
              <w:t xml:space="preserve">413 "Noteikumi par gada publiskajiem pārskatiem". </w:t>
            </w:r>
            <w:r w:rsidR="00251D64" w:rsidRPr="00000C68">
              <w:rPr>
                <w:color w:val="auto"/>
                <w:sz w:val="24"/>
                <w:szCs w:val="24"/>
              </w:rPr>
              <w:t xml:space="preserve">Ievērojot minēto, nepieciešams precizēt regulējumu par minēto publisko pārskatu sniegšanas kārtību un noteikt, ka ministrija publiskos pārskatus par ministrijas darbību un tai piešķirto budžeta līdzekļu izlietojumu sniedz normatīvajos </w:t>
            </w:r>
            <w:r w:rsidR="00251D64" w:rsidRPr="00841C79">
              <w:rPr>
                <w:color w:val="auto"/>
                <w:sz w:val="24"/>
                <w:szCs w:val="24"/>
              </w:rPr>
              <w:t>aktos noteiktajā kārtībā.</w:t>
            </w:r>
            <w:r w:rsidR="00374C4E" w:rsidRPr="00841C79">
              <w:rPr>
                <w:color w:val="auto"/>
                <w:sz w:val="24"/>
                <w:szCs w:val="24"/>
              </w:rPr>
              <w:t xml:space="preserve"> Publiskie pārskati ir pieejami Tieslietu ministrijas mājaslapas sadaļā "Publiskie pārskati" un datu bāzē par tiešās pārvaldes iestādēm (Valsts pārvaldes iekārtas likuma 14. panta trešās daļas 8.</w:t>
            </w:r>
            <w:r w:rsidR="00000C68" w:rsidRPr="00841C79">
              <w:rPr>
                <w:color w:val="auto"/>
                <w:sz w:val="24"/>
                <w:szCs w:val="24"/>
              </w:rPr>
              <w:t> </w:t>
            </w:r>
            <w:r w:rsidR="00374C4E" w:rsidRPr="00841C79">
              <w:rPr>
                <w:color w:val="auto"/>
                <w:sz w:val="24"/>
                <w:szCs w:val="24"/>
              </w:rPr>
              <w:t>punkts)</w:t>
            </w:r>
            <w:r w:rsidR="00C80EEA" w:rsidRPr="00841C79">
              <w:rPr>
                <w:color w:val="auto"/>
                <w:sz w:val="24"/>
                <w:szCs w:val="24"/>
              </w:rPr>
              <w:t>.</w:t>
            </w:r>
          </w:p>
          <w:p w:rsidR="00E5264F" w:rsidRPr="001D6A04" w:rsidRDefault="00E5264F" w:rsidP="00251D64">
            <w:pPr>
              <w:pStyle w:val="tv2132"/>
              <w:spacing w:line="240" w:lineRule="auto"/>
              <w:ind w:firstLine="0"/>
              <w:jc w:val="both"/>
              <w:rPr>
                <w:color w:val="auto"/>
                <w:sz w:val="24"/>
                <w:szCs w:val="24"/>
              </w:rPr>
            </w:pPr>
            <w:r w:rsidRPr="005029C1">
              <w:rPr>
                <w:color w:val="auto"/>
                <w:sz w:val="24"/>
                <w:szCs w:val="24"/>
              </w:rPr>
              <w:t>3</w:t>
            </w:r>
            <w:r w:rsidR="003B577C">
              <w:rPr>
                <w:color w:val="auto"/>
                <w:sz w:val="24"/>
                <w:szCs w:val="24"/>
              </w:rPr>
              <w:t>6</w:t>
            </w:r>
            <w:r w:rsidRPr="005029C1">
              <w:rPr>
                <w:color w:val="auto"/>
                <w:sz w:val="24"/>
                <w:szCs w:val="24"/>
              </w:rPr>
              <w:t>. Saskaņā ar Administratīvā procesa 76. panta otrajā daļā noteikto, ka administratīvo aktu var apstrīdēt padotības kārtībā augstākā iestādē, bet likumā vai Ministru kabineta noteikumos var būt noteikta cita iestāde, kurā attiecīgo administratīvo aktu var a</w:t>
            </w:r>
            <w:r w:rsidR="005F7958">
              <w:rPr>
                <w:color w:val="auto"/>
                <w:sz w:val="24"/>
                <w:szCs w:val="24"/>
              </w:rPr>
              <w:t xml:space="preserve">pstrīdēt. Ievērojot to, </w:t>
            </w:r>
            <w:r w:rsidRPr="005029C1">
              <w:rPr>
                <w:color w:val="auto"/>
                <w:sz w:val="24"/>
                <w:szCs w:val="24"/>
              </w:rPr>
              <w:t xml:space="preserve"> nolikuma 20. punktā lietotais termins  "ārējais normatīvais akts" aizstājams ar "likumā vai Ministru kabineta noteikumos" (kas ir šaurāk </w:t>
            </w:r>
            <w:r w:rsidRPr="001D6A04">
              <w:rPr>
                <w:color w:val="auto"/>
                <w:sz w:val="24"/>
                <w:szCs w:val="24"/>
              </w:rPr>
              <w:t xml:space="preserve">interpretējams, nekā ārējais normatīvais akts un nemaldina piemērotāju). </w:t>
            </w:r>
          </w:p>
          <w:p w:rsidR="00DE7C8F" w:rsidRPr="00C17903" w:rsidRDefault="00DE7C8F" w:rsidP="00000C68">
            <w:pPr>
              <w:pStyle w:val="tv2132"/>
              <w:spacing w:line="240" w:lineRule="auto"/>
              <w:ind w:firstLine="0"/>
              <w:jc w:val="both"/>
              <w:rPr>
                <w:sz w:val="24"/>
                <w:szCs w:val="24"/>
              </w:rPr>
            </w:pPr>
          </w:p>
          <w:p w:rsidR="008E3C18" w:rsidRPr="008B33E0" w:rsidRDefault="008B33E0" w:rsidP="00F4469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Nolikumā lietoto t</w:t>
            </w:r>
            <w:r w:rsidR="008E3C18" w:rsidRPr="008B33E0">
              <w:rPr>
                <w:rFonts w:ascii="Times New Roman" w:eastAsia="Times New Roman" w:hAnsi="Times New Roman" w:cs="Times New Roman"/>
                <w:b/>
                <w:sz w:val="24"/>
                <w:szCs w:val="24"/>
              </w:rPr>
              <w:t>ermin</w:t>
            </w:r>
            <w:r>
              <w:rPr>
                <w:rFonts w:ascii="Times New Roman" w:eastAsia="Times New Roman" w:hAnsi="Times New Roman" w:cs="Times New Roman"/>
                <w:b/>
                <w:sz w:val="24"/>
                <w:szCs w:val="24"/>
              </w:rPr>
              <w:t>u</w:t>
            </w:r>
            <w:r w:rsidR="008E3C18" w:rsidRPr="008B33E0">
              <w:rPr>
                <w:rFonts w:ascii="Times New Roman" w:eastAsia="Times New Roman" w:hAnsi="Times New Roman" w:cs="Times New Roman"/>
                <w:b/>
                <w:sz w:val="24"/>
                <w:szCs w:val="24"/>
              </w:rPr>
              <w:t xml:space="preserve"> precizējumi:</w:t>
            </w:r>
          </w:p>
          <w:p w:rsidR="00F44695" w:rsidRDefault="005D3823" w:rsidP="00F44695">
            <w:pPr>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3</w:t>
            </w:r>
            <w:r w:rsidR="003B577C">
              <w:rPr>
                <w:rFonts w:ascii="Times New Roman" w:eastAsia="Times New Roman" w:hAnsi="Times New Roman" w:cs="Times New Roman"/>
                <w:sz w:val="24"/>
                <w:szCs w:val="24"/>
              </w:rPr>
              <w:t>7</w:t>
            </w:r>
            <w:r w:rsidR="00F44695">
              <w:rPr>
                <w:rFonts w:ascii="Times New Roman" w:eastAsia="Times New Roman" w:hAnsi="Times New Roman" w:cs="Times New Roman"/>
                <w:sz w:val="24"/>
                <w:szCs w:val="24"/>
              </w:rPr>
              <w:t>.</w:t>
            </w:r>
            <w:r w:rsidR="00841C79">
              <w:rPr>
                <w:rFonts w:ascii="Times New Roman" w:hAnsi="Times New Roman"/>
                <w:sz w:val="24"/>
                <w:szCs w:val="24"/>
              </w:rPr>
              <w:t xml:space="preserve"> Nolikuma 5.2.3. apakšpunkts </w:t>
            </w:r>
            <w:r w:rsidR="00F44695">
              <w:rPr>
                <w:rFonts w:ascii="Times New Roman" w:hAnsi="Times New Roman"/>
                <w:sz w:val="24"/>
                <w:szCs w:val="24"/>
              </w:rPr>
              <w:t>noteic, ka Tieslietu ministrija metodiski vada bāriņtiesu darbu mantojuma lietu kārtošanā, mantojuma apsardzībā, apliecinājuma izdarīšanā un citu ar apliecinājumu izdarīšanu saistītu funkciju izpildē. Turklāt saskaņā ar Bāriņtiesu likuma 5. panta otro daļu Tieslietu ministrija sniedz bāriņtiesām metodisko palīdzību šā likuma</w:t>
            </w:r>
            <w:r w:rsidR="00F44695" w:rsidRPr="00652DEB">
              <w:rPr>
                <w:rFonts w:ascii="Times New Roman" w:hAnsi="Times New Roman"/>
                <w:sz w:val="24"/>
                <w:szCs w:val="24"/>
              </w:rPr>
              <w:t xml:space="preserve"> VII </w:t>
            </w:r>
            <w:r w:rsidR="00F44695">
              <w:rPr>
                <w:rFonts w:ascii="Times New Roman" w:hAnsi="Times New Roman"/>
                <w:sz w:val="24"/>
                <w:szCs w:val="24"/>
              </w:rPr>
              <w:t>un</w:t>
            </w:r>
            <w:r w:rsidR="00F44695" w:rsidRPr="00652DEB">
              <w:rPr>
                <w:rFonts w:ascii="Times New Roman" w:hAnsi="Times New Roman"/>
                <w:sz w:val="24"/>
                <w:szCs w:val="24"/>
              </w:rPr>
              <w:t xml:space="preserve"> VIII nodaļā</w:t>
            </w:r>
            <w:r w:rsidR="00841C79">
              <w:rPr>
                <w:rFonts w:ascii="Times New Roman" w:hAnsi="Times New Roman"/>
                <w:sz w:val="24"/>
                <w:szCs w:val="24"/>
              </w:rPr>
              <w:t xml:space="preserve"> noteikto uzdevumu izpildē.</w:t>
            </w:r>
          </w:p>
          <w:p w:rsidR="00F44695" w:rsidRDefault="003B577C" w:rsidP="00F44695">
            <w:pPr>
              <w:spacing w:after="0" w:line="240" w:lineRule="auto"/>
              <w:jc w:val="both"/>
              <w:rPr>
                <w:rFonts w:ascii="Times New Roman" w:hAnsi="Times New Roman"/>
                <w:sz w:val="24"/>
                <w:szCs w:val="24"/>
              </w:rPr>
            </w:pPr>
            <w:r>
              <w:rPr>
                <w:rFonts w:ascii="Times New Roman" w:hAnsi="Times New Roman"/>
                <w:sz w:val="24"/>
                <w:szCs w:val="24"/>
              </w:rPr>
              <w:t>Ievērojot</w:t>
            </w:r>
            <w:r w:rsidR="00841C79">
              <w:rPr>
                <w:rFonts w:ascii="Times New Roman" w:hAnsi="Times New Roman"/>
                <w:sz w:val="24"/>
                <w:szCs w:val="24"/>
              </w:rPr>
              <w:t xml:space="preserve"> minēto, </w:t>
            </w:r>
            <w:r w:rsidR="00F44695">
              <w:rPr>
                <w:rFonts w:ascii="Times New Roman" w:hAnsi="Times New Roman"/>
                <w:sz w:val="24"/>
                <w:szCs w:val="24"/>
              </w:rPr>
              <w:t>nepieciešams nolikuma 5.2.3. apakšpunktā lietoto terminoloģiju saskaņot ar Bāriņtiesu likuma 5. panta otrajā daļā lietoto t</w:t>
            </w:r>
            <w:r w:rsidR="00841C79">
              <w:rPr>
                <w:rFonts w:ascii="Times New Roman" w:hAnsi="Times New Roman"/>
                <w:sz w:val="24"/>
                <w:szCs w:val="24"/>
              </w:rPr>
              <w:t>erminoloģiju, aizstājot vārdus "metodiski vada bāriņtiesu darbu" ar vārdiem "</w:t>
            </w:r>
            <w:r w:rsidR="00F44695">
              <w:rPr>
                <w:rFonts w:ascii="Times New Roman" w:hAnsi="Times New Roman"/>
                <w:sz w:val="24"/>
                <w:szCs w:val="24"/>
              </w:rPr>
              <w:t xml:space="preserve">sniedz </w:t>
            </w:r>
            <w:r w:rsidR="00841C79">
              <w:rPr>
                <w:rFonts w:ascii="Times New Roman" w:hAnsi="Times New Roman"/>
                <w:sz w:val="24"/>
                <w:szCs w:val="24"/>
              </w:rPr>
              <w:t>bāriņtiesām metodisko palīdzību"</w:t>
            </w:r>
            <w:r w:rsidR="00F44695">
              <w:rPr>
                <w:rFonts w:ascii="Times New Roman" w:hAnsi="Times New Roman"/>
                <w:sz w:val="24"/>
                <w:szCs w:val="24"/>
              </w:rPr>
              <w:t>.</w:t>
            </w:r>
          </w:p>
          <w:p w:rsidR="00F44695" w:rsidRDefault="005D3823" w:rsidP="00F44695">
            <w:pPr>
              <w:spacing w:after="0" w:line="240" w:lineRule="auto"/>
              <w:jc w:val="both"/>
              <w:rPr>
                <w:rFonts w:ascii="Times New Roman" w:hAnsi="Times New Roman"/>
                <w:sz w:val="24"/>
                <w:szCs w:val="24"/>
              </w:rPr>
            </w:pPr>
            <w:r>
              <w:rPr>
                <w:rFonts w:ascii="Times New Roman" w:hAnsi="Times New Roman"/>
                <w:sz w:val="24"/>
                <w:szCs w:val="24"/>
              </w:rPr>
              <w:t>3</w:t>
            </w:r>
            <w:r w:rsidR="003B577C">
              <w:rPr>
                <w:rFonts w:ascii="Times New Roman" w:hAnsi="Times New Roman"/>
                <w:sz w:val="24"/>
                <w:szCs w:val="24"/>
              </w:rPr>
              <w:t>8</w:t>
            </w:r>
            <w:r w:rsidR="00654ABB">
              <w:rPr>
                <w:rFonts w:ascii="Times New Roman" w:hAnsi="Times New Roman"/>
                <w:sz w:val="24"/>
                <w:szCs w:val="24"/>
              </w:rPr>
              <w:t xml:space="preserve">. Nolikumā nepieciešams saskaņot arī terminoloģiju ar </w:t>
            </w:r>
            <w:r w:rsidR="00654ABB" w:rsidRPr="00237724">
              <w:rPr>
                <w:rFonts w:ascii="Times New Roman" w:hAnsi="Times New Roman"/>
                <w:sz w:val="24"/>
                <w:szCs w:val="24"/>
              </w:rPr>
              <w:t>likumā "Par tiesu varu" lietoto terminoloģiju</w:t>
            </w:r>
            <w:r w:rsidR="00654ABB">
              <w:rPr>
                <w:rFonts w:ascii="Times New Roman" w:hAnsi="Times New Roman"/>
                <w:sz w:val="24"/>
                <w:szCs w:val="24"/>
              </w:rPr>
              <w:t>, piem., a</w:t>
            </w:r>
            <w:r w:rsidR="00654ABB" w:rsidRPr="00237724">
              <w:rPr>
                <w:rFonts w:ascii="Times New Roman" w:hAnsi="Times New Roman"/>
                <w:sz w:val="24"/>
                <w:szCs w:val="24"/>
              </w:rPr>
              <w:t>izstā</w:t>
            </w:r>
            <w:r w:rsidR="00654ABB">
              <w:rPr>
                <w:rFonts w:ascii="Times New Roman" w:hAnsi="Times New Roman"/>
                <w:sz w:val="24"/>
                <w:szCs w:val="24"/>
              </w:rPr>
              <w:t>jot</w:t>
            </w:r>
            <w:r w:rsidR="00841C79">
              <w:rPr>
                <w:rFonts w:ascii="Times New Roman" w:hAnsi="Times New Roman"/>
                <w:sz w:val="24"/>
                <w:szCs w:val="24"/>
              </w:rPr>
              <w:t xml:space="preserve"> vārdus "apgabala un rajona tiesu" ar vārdiem "</w:t>
            </w:r>
            <w:r w:rsidR="00654ABB" w:rsidRPr="00237724">
              <w:rPr>
                <w:rFonts w:ascii="Times New Roman" w:hAnsi="Times New Roman"/>
                <w:sz w:val="24"/>
                <w:szCs w:val="24"/>
              </w:rPr>
              <w:t>rajona (pilsētu) tiesu un apgabaltiesu</w:t>
            </w:r>
            <w:r w:rsidR="00841C79">
              <w:rPr>
                <w:rFonts w:ascii="Times New Roman" w:hAnsi="Times New Roman"/>
                <w:sz w:val="24"/>
                <w:szCs w:val="24"/>
              </w:rPr>
              <w:t>"</w:t>
            </w:r>
            <w:r w:rsidR="00654ABB">
              <w:rPr>
                <w:rFonts w:ascii="Times New Roman" w:hAnsi="Times New Roman"/>
                <w:sz w:val="24"/>
                <w:szCs w:val="24"/>
              </w:rPr>
              <w:t>.</w:t>
            </w:r>
          </w:p>
          <w:p w:rsidR="00A919B8" w:rsidRDefault="005D3823" w:rsidP="00CD1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B577C">
              <w:rPr>
                <w:rFonts w:ascii="Times New Roman" w:hAnsi="Times New Roman" w:cs="Times New Roman"/>
                <w:sz w:val="24"/>
                <w:szCs w:val="24"/>
              </w:rPr>
              <w:t>9</w:t>
            </w:r>
            <w:r w:rsidR="00652DEB" w:rsidRPr="003B220C">
              <w:rPr>
                <w:rFonts w:ascii="Times New Roman" w:hAnsi="Times New Roman" w:cs="Times New Roman"/>
                <w:sz w:val="24"/>
                <w:szCs w:val="24"/>
              </w:rPr>
              <w:t>.</w:t>
            </w:r>
            <w:r w:rsidR="00841C79">
              <w:rPr>
                <w:rFonts w:ascii="Times New Roman" w:hAnsi="Times New Roman" w:cs="Times New Roman"/>
                <w:sz w:val="24"/>
                <w:szCs w:val="24"/>
              </w:rPr>
              <w:t> </w:t>
            </w:r>
            <w:r w:rsidR="00CD1CB2" w:rsidRPr="003B220C">
              <w:rPr>
                <w:rFonts w:ascii="Times New Roman" w:hAnsi="Times New Roman" w:cs="Times New Roman"/>
                <w:sz w:val="24"/>
                <w:szCs w:val="24"/>
              </w:rPr>
              <w:t>Ievērojot, ka Maksātnespējas administrācija vairs nav valsts aģentūra, nepieciešams nolikumā precizēt tās nosaukumu (</w:t>
            </w:r>
            <w:r w:rsidR="00841C79">
              <w:rPr>
                <w:rFonts w:ascii="Times New Roman" w:hAnsi="Times New Roman" w:cs="Times New Roman"/>
                <w:sz w:val="24"/>
                <w:szCs w:val="24"/>
              </w:rPr>
              <w:t xml:space="preserve">nolikuma </w:t>
            </w:r>
            <w:r w:rsidR="00CD1CB2" w:rsidRPr="003B220C">
              <w:rPr>
                <w:rFonts w:ascii="Times New Roman" w:hAnsi="Times New Roman" w:cs="Times New Roman"/>
                <w:sz w:val="24"/>
                <w:szCs w:val="24"/>
              </w:rPr>
              <w:t>24.7. apakšpunkts).</w:t>
            </w:r>
          </w:p>
          <w:p w:rsidR="005F51B6" w:rsidRDefault="003B577C" w:rsidP="005F51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5F51B6" w:rsidRPr="003B220C">
              <w:rPr>
                <w:rFonts w:ascii="Times New Roman" w:hAnsi="Times New Roman" w:cs="Times New Roman"/>
                <w:sz w:val="24"/>
                <w:szCs w:val="24"/>
              </w:rPr>
              <w:t>.</w:t>
            </w:r>
            <w:r w:rsidR="00841C79">
              <w:rPr>
                <w:rFonts w:ascii="Times New Roman" w:hAnsi="Times New Roman" w:cs="Times New Roman"/>
                <w:sz w:val="24"/>
                <w:szCs w:val="24"/>
              </w:rPr>
              <w:t> </w:t>
            </w:r>
            <w:r w:rsidR="005F51B6" w:rsidRPr="003B220C">
              <w:rPr>
                <w:rFonts w:ascii="Times New Roman" w:hAnsi="Times New Roman" w:cs="Times New Roman"/>
                <w:sz w:val="24"/>
                <w:szCs w:val="24"/>
              </w:rPr>
              <w:t>Nolikumā nepieciešams saskaņot arī terminoloģiju ar Attīstības plānošanas sistēmas likumā lietoto terminol</w:t>
            </w:r>
            <w:r w:rsidR="00217596">
              <w:rPr>
                <w:rFonts w:ascii="Times New Roman" w:hAnsi="Times New Roman" w:cs="Times New Roman"/>
                <w:sz w:val="24"/>
                <w:szCs w:val="24"/>
              </w:rPr>
              <w:t>oģiju, piem., aizstājot vārdus "politikas plānošanas dokuments" ar vārdiem "attīstības plānošanas dokuments"</w:t>
            </w:r>
            <w:r w:rsidR="005F51B6" w:rsidRPr="003B220C">
              <w:rPr>
                <w:rFonts w:ascii="Times New Roman" w:hAnsi="Times New Roman" w:cs="Times New Roman"/>
                <w:sz w:val="24"/>
                <w:szCs w:val="24"/>
              </w:rPr>
              <w:t>.</w:t>
            </w:r>
          </w:p>
          <w:p w:rsidR="00E5264F" w:rsidRPr="00C74121" w:rsidRDefault="003B577C" w:rsidP="005F7958">
            <w:pPr>
              <w:spacing w:after="0" w:line="240" w:lineRule="auto"/>
              <w:jc w:val="both"/>
              <w:rPr>
                <w:rFonts w:ascii="Arial" w:hAnsi="Arial" w:cs="Arial"/>
              </w:rPr>
            </w:pPr>
            <w:r>
              <w:rPr>
                <w:rFonts w:ascii="Times New Roman" w:hAnsi="Times New Roman" w:cs="Times New Roman"/>
                <w:sz w:val="24"/>
                <w:szCs w:val="24"/>
              </w:rPr>
              <w:t>41</w:t>
            </w:r>
            <w:r w:rsidR="008B33E0" w:rsidRPr="003B220C">
              <w:rPr>
                <w:rFonts w:ascii="Times New Roman" w:hAnsi="Times New Roman" w:cs="Times New Roman"/>
                <w:sz w:val="24"/>
                <w:szCs w:val="24"/>
              </w:rPr>
              <w:t>.</w:t>
            </w:r>
            <w:r w:rsidR="00217596">
              <w:rPr>
                <w:rFonts w:ascii="Times New Roman" w:hAnsi="Times New Roman" w:cs="Times New Roman"/>
                <w:sz w:val="24"/>
                <w:szCs w:val="24"/>
              </w:rPr>
              <w:t> </w:t>
            </w:r>
            <w:r w:rsidR="008B33E0">
              <w:rPr>
                <w:rFonts w:ascii="Times New Roman" w:hAnsi="Times New Roman" w:cs="Times New Roman"/>
                <w:sz w:val="24"/>
                <w:szCs w:val="24"/>
              </w:rPr>
              <w:t xml:space="preserve">Nolikumā nepieciešams saskaņot arī terminoloģiju ar </w:t>
            </w:r>
            <w:r w:rsidR="008B33E0" w:rsidRPr="00A70C29">
              <w:rPr>
                <w:rFonts w:ascii="Times New Roman" w:hAnsi="Times New Roman" w:cs="Times New Roman"/>
                <w:sz w:val="24"/>
                <w:szCs w:val="24"/>
              </w:rPr>
              <w:t>Publiskas personas kapitāla daļu un kapi</w:t>
            </w:r>
            <w:r w:rsidR="008B33E0">
              <w:rPr>
                <w:rFonts w:ascii="Times New Roman" w:hAnsi="Times New Roman" w:cs="Times New Roman"/>
                <w:sz w:val="24"/>
                <w:szCs w:val="24"/>
              </w:rPr>
              <w:t>tālsabiedrību pārvaldības likumā lietoto terminoloģiju, piemēram, aizstāt vārdus "</w:t>
            </w:r>
            <w:r w:rsidR="008B33E0" w:rsidRPr="000A2214">
              <w:rPr>
                <w:rFonts w:ascii="Times New Roman" w:hAnsi="Times New Roman" w:cs="Times New Roman"/>
                <w:sz w:val="24"/>
                <w:szCs w:val="24"/>
              </w:rPr>
              <w:t>komercsabiedrības, kurās ministrija ir vals</w:t>
            </w:r>
            <w:r w:rsidR="008B33E0">
              <w:rPr>
                <w:rFonts w:ascii="Times New Roman" w:hAnsi="Times New Roman" w:cs="Times New Roman"/>
                <w:sz w:val="24"/>
                <w:szCs w:val="24"/>
              </w:rPr>
              <w:t>ts kapitāla daļu turētāja" ar</w:t>
            </w:r>
            <w:r w:rsidR="008B33E0" w:rsidRPr="000A2214">
              <w:rPr>
                <w:rFonts w:ascii="Times New Roman" w:hAnsi="Times New Roman" w:cs="Times New Roman"/>
                <w:sz w:val="24"/>
                <w:szCs w:val="24"/>
              </w:rPr>
              <w:t xml:space="preserve"> vārdiem "valsts kapitālsabiedrības, kurās ministrija ir valsts kapitāla daļu turētāja".</w:t>
            </w:r>
          </w:p>
        </w:tc>
      </w:tr>
      <w:tr w:rsidR="00CF3E9D" w:rsidRPr="00CF3E9D" w:rsidTr="00766DB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lastRenderedPageBreak/>
              <w:t>3.</w:t>
            </w:r>
          </w:p>
        </w:tc>
        <w:tc>
          <w:tcPr>
            <w:tcW w:w="1009"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Projekta izstrādē iesaistītās institūcijas</w:t>
            </w:r>
          </w:p>
        </w:tc>
        <w:tc>
          <w:tcPr>
            <w:tcW w:w="3742" w:type="pct"/>
            <w:tcBorders>
              <w:top w:val="outset" w:sz="6" w:space="0" w:color="414142"/>
              <w:left w:val="outset" w:sz="6" w:space="0" w:color="414142"/>
              <w:bottom w:val="outset" w:sz="6" w:space="0" w:color="414142"/>
              <w:right w:val="outset" w:sz="6" w:space="0" w:color="414142"/>
            </w:tcBorders>
          </w:tcPr>
          <w:p w:rsidR="004D15A9" w:rsidRPr="00CF3E9D" w:rsidRDefault="00766DB1" w:rsidP="00B702E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CF3E9D" w:rsidRPr="00CF3E9D" w:rsidTr="003068D6">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4.</w:t>
            </w:r>
          </w:p>
        </w:tc>
        <w:tc>
          <w:tcPr>
            <w:tcW w:w="1009"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Cita informācija</w:t>
            </w:r>
          </w:p>
        </w:tc>
        <w:tc>
          <w:tcPr>
            <w:tcW w:w="3742" w:type="pct"/>
            <w:tcBorders>
              <w:top w:val="outset" w:sz="6" w:space="0" w:color="414142"/>
              <w:left w:val="outset" w:sz="6" w:space="0" w:color="414142"/>
              <w:bottom w:val="outset" w:sz="6" w:space="0" w:color="414142"/>
              <w:right w:val="outset" w:sz="6" w:space="0" w:color="414142"/>
            </w:tcBorders>
            <w:hideMark/>
          </w:tcPr>
          <w:p w:rsidR="004D15A9" w:rsidRPr="00CF3E9D" w:rsidRDefault="00190C0D" w:rsidP="00515C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D4E8A" w:rsidRPr="00CF3E9D" w:rsidTr="00D313D5">
        <w:trPr>
          <w:trHeight w:val="128"/>
        </w:trPr>
        <w:tc>
          <w:tcPr>
            <w:tcW w:w="5000" w:type="pct"/>
            <w:gridSpan w:val="3"/>
            <w:tcBorders>
              <w:top w:val="outset" w:sz="6" w:space="0" w:color="414142"/>
              <w:left w:val="nil"/>
              <w:bottom w:val="outset" w:sz="6" w:space="0" w:color="414142"/>
              <w:right w:val="nil"/>
            </w:tcBorders>
          </w:tcPr>
          <w:p w:rsidR="00031256" w:rsidRPr="00CF3E9D"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ab/>
            </w:r>
          </w:p>
        </w:tc>
      </w:tr>
    </w:tbl>
    <w:p w:rsidR="004D15A9" w:rsidRPr="00CF3E9D"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807"/>
        <w:gridCol w:w="5795"/>
      </w:tblGrid>
      <w:tr w:rsidR="00CF3E9D" w:rsidRPr="00CF3E9D" w:rsidTr="00101CD5">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4D15A9" w:rsidRPr="00CF3E9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F3E9D">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F3E9D" w:rsidRPr="00CF3E9D" w:rsidTr="0074290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tcPr>
          <w:p w:rsidR="004D15A9" w:rsidRPr="00CF3E9D" w:rsidRDefault="00742904" w:rsidP="002870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Sabiedrība kopumā, Tieslietu ministrijas darbinieki</w:t>
            </w:r>
            <w:r w:rsidR="002870CF">
              <w:rPr>
                <w:rFonts w:ascii="Times New Roman" w:eastAsia="Times New Roman" w:hAnsi="Times New Roman" w:cs="Times New Roman"/>
                <w:sz w:val="24"/>
                <w:szCs w:val="24"/>
                <w:lang w:eastAsia="lv-LV"/>
              </w:rPr>
              <w:t>.</w:t>
            </w:r>
          </w:p>
        </w:tc>
      </w:tr>
      <w:tr w:rsidR="00CF3E9D" w:rsidRPr="00CF3E9D" w:rsidTr="002870CF">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tcPr>
          <w:p w:rsidR="004D15A9" w:rsidRPr="00CF3E9D" w:rsidRDefault="002870CF" w:rsidP="00B702E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CF3E9D" w:rsidRPr="00CF3E9D" w:rsidTr="00217596">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CF3E9D" w:rsidRDefault="00190C0D"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CF3E9D" w:rsidRPr="00CF3E9D" w:rsidTr="00217596">
        <w:trPr>
          <w:trHeight w:val="345"/>
        </w:trPr>
        <w:tc>
          <w:tcPr>
            <w:tcW w:w="250" w:type="pct"/>
            <w:tcBorders>
              <w:top w:val="outset" w:sz="6" w:space="0" w:color="414142"/>
              <w:left w:val="outset" w:sz="6" w:space="0" w:color="414142"/>
              <w:bottom w:val="single" w:sz="4" w:space="0" w:color="auto"/>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single" w:sz="4" w:space="0" w:color="auto"/>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single" w:sz="4" w:space="0" w:color="auto"/>
              <w:right w:val="outset" w:sz="6" w:space="0" w:color="414142"/>
            </w:tcBorders>
            <w:hideMark/>
          </w:tcPr>
          <w:p w:rsidR="004D15A9" w:rsidRPr="00CF3E9D" w:rsidRDefault="00190C0D" w:rsidP="008E4E9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CF3E9D" w:rsidRDefault="004D15A9" w:rsidP="00DA596D">
      <w:pPr>
        <w:spacing w:after="0" w:line="240" w:lineRule="auto"/>
        <w:rPr>
          <w:rFonts w:ascii="Times New Roman" w:eastAsia="Times New Roman" w:hAnsi="Times New Roman" w:cs="Times New Roman"/>
          <w:vanish/>
          <w:sz w:val="24"/>
          <w:szCs w:val="24"/>
          <w:lang w:eastAsia="lv-LV"/>
        </w:rPr>
      </w:pPr>
    </w:p>
    <w:p w:rsidR="004D15A9" w:rsidRPr="00CF3E9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626"/>
        <w:gridCol w:w="5976"/>
      </w:tblGrid>
      <w:tr w:rsidR="00CF3E9D" w:rsidRPr="00CF3E9D"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CF3E9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F3E9D">
              <w:rPr>
                <w:rFonts w:ascii="Times New Roman" w:eastAsia="Times New Roman" w:hAnsi="Times New Roman" w:cs="Times New Roman"/>
                <w:b/>
                <w:bCs/>
                <w:sz w:val="24"/>
                <w:szCs w:val="24"/>
                <w:lang w:eastAsia="lv-LV"/>
              </w:rPr>
              <w:t>IV. Tiesību akta projekta ietekme uz spēkā esošo tiesību normu sistēmu</w:t>
            </w:r>
          </w:p>
        </w:tc>
      </w:tr>
      <w:tr w:rsidR="00CF3E9D" w:rsidRPr="00CF3E9D"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CF3E9D" w:rsidRDefault="006D38BA" w:rsidP="002870CF">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Saistībā ar izma</w:t>
            </w:r>
            <w:r w:rsidR="002870CF">
              <w:rPr>
                <w:rFonts w:ascii="Times New Roman" w:hAnsi="Times New Roman" w:cs="Times New Roman"/>
                <w:sz w:val="24"/>
                <w:szCs w:val="24"/>
              </w:rPr>
              <w:t xml:space="preserve">iņām nolikumā būs nepieciešami </w:t>
            </w:r>
            <w:r w:rsidR="00217596">
              <w:rPr>
                <w:rFonts w:ascii="Times New Roman" w:eastAsia="Times New Roman" w:hAnsi="Times New Roman" w:cs="Times New Roman"/>
                <w:sz w:val="24"/>
                <w:szCs w:val="24"/>
                <w:lang w:eastAsia="lv-LV"/>
              </w:rPr>
              <w:t>g</w:t>
            </w:r>
            <w:r w:rsidR="00190C0D">
              <w:rPr>
                <w:rFonts w:ascii="Times New Roman" w:eastAsia="Times New Roman" w:hAnsi="Times New Roman" w:cs="Times New Roman"/>
                <w:sz w:val="24"/>
                <w:szCs w:val="24"/>
                <w:lang w:eastAsia="lv-LV"/>
              </w:rPr>
              <w:t>rozījum</w:t>
            </w:r>
            <w:r w:rsidR="00CA4BB9">
              <w:rPr>
                <w:rFonts w:ascii="Times New Roman" w:eastAsia="Times New Roman" w:hAnsi="Times New Roman" w:cs="Times New Roman"/>
                <w:sz w:val="24"/>
                <w:szCs w:val="24"/>
                <w:lang w:eastAsia="lv-LV"/>
              </w:rPr>
              <w:t>i</w:t>
            </w:r>
            <w:r w:rsidR="00190C0D">
              <w:rPr>
                <w:rFonts w:ascii="Times New Roman" w:eastAsia="Times New Roman" w:hAnsi="Times New Roman" w:cs="Times New Roman"/>
                <w:sz w:val="24"/>
                <w:szCs w:val="24"/>
                <w:lang w:eastAsia="lv-LV"/>
              </w:rPr>
              <w:t xml:space="preserve"> Tieslietu ministrijas reglamentā.</w:t>
            </w:r>
          </w:p>
        </w:tc>
      </w:tr>
      <w:tr w:rsidR="00CF3E9D" w:rsidRPr="00CF3E9D"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lastRenderedPageBreak/>
              <w:t>2.</w:t>
            </w:r>
          </w:p>
        </w:tc>
        <w:tc>
          <w:tcPr>
            <w:tcW w:w="14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CF3E9D" w:rsidRDefault="00A42DB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r w:rsidR="00CA4BB9">
              <w:rPr>
                <w:rFonts w:ascii="Times New Roman" w:eastAsia="Times New Roman" w:hAnsi="Times New Roman" w:cs="Times New Roman"/>
                <w:sz w:val="24"/>
                <w:szCs w:val="24"/>
                <w:lang w:eastAsia="lv-LV"/>
              </w:rPr>
              <w:t>.</w:t>
            </w:r>
          </w:p>
        </w:tc>
      </w:tr>
      <w:tr w:rsidR="004D15A9" w:rsidRPr="00CF3E9D"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CF3E9D" w:rsidRDefault="00A42DBF"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CF3E9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717"/>
        <w:gridCol w:w="5886"/>
      </w:tblGrid>
      <w:tr w:rsidR="00CF3E9D" w:rsidRPr="00CF3E9D"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CF3E9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F3E9D">
              <w:rPr>
                <w:rFonts w:ascii="Times New Roman" w:eastAsia="Times New Roman" w:hAnsi="Times New Roman" w:cs="Times New Roman"/>
                <w:b/>
                <w:bCs/>
                <w:sz w:val="24"/>
                <w:szCs w:val="24"/>
                <w:lang w:eastAsia="lv-LV"/>
              </w:rPr>
              <w:t>VI. Sabiedrības līdzdalība un komunikācijas aktivitātes</w:t>
            </w:r>
          </w:p>
        </w:tc>
      </w:tr>
      <w:tr w:rsidR="00CF3E9D" w:rsidRPr="00CF3E9D"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E4E93" w:rsidRPr="00CF3E9D" w:rsidRDefault="00B702EC" w:rsidP="00B702E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Projektam tiks nodrošināta sabiedrības līdzdalība</w:t>
            </w:r>
            <w:r w:rsidR="00007B5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ievietojot paziņojumu Tieslietu ministrijas un Valsts kancelejas mājaslapā sadaļā "Sabiedrības līdzdalība"</w:t>
            </w:r>
            <w:r w:rsidR="005F7958">
              <w:rPr>
                <w:rFonts w:ascii="Times New Roman" w:eastAsia="Times New Roman" w:hAnsi="Times New Roman" w:cs="Times New Roman"/>
                <w:sz w:val="24"/>
                <w:szCs w:val="24"/>
                <w:lang w:eastAsia="lv-LV"/>
              </w:rPr>
              <w:t>.</w:t>
            </w:r>
          </w:p>
        </w:tc>
      </w:tr>
      <w:tr w:rsidR="00CF3E9D" w:rsidRPr="00CF3E9D" w:rsidTr="00742904">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tcPr>
          <w:p w:rsidR="004D15A9" w:rsidRPr="00CF3E9D" w:rsidRDefault="00742904" w:rsidP="00B702E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Projektam </w:t>
            </w:r>
            <w:r w:rsidR="00B702EC">
              <w:rPr>
                <w:rFonts w:ascii="Times New Roman" w:eastAsia="Times New Roman" w:hAnsi="Times New Roman" w:cs="Times New Roman"/>
                <w:sz w:val="24"/>
                <w:szCs w:val="24"/>
                <w:lang w:eastAsia="lv-LV"/>
              </w:rPr>
              <w:t>tiks</w:t>
            </w:r>
            <w:r>
              <w:rPr>
                <w:rFonts w:ascii="Times New Roman" w:eastAsia="Times New Roman" w:hAnsi="Times New Roman" w:cs="Times New Roman"/>
                <w:sz w:val="24"/>
                <w:szCs w:val="24"/>
                <w:lang w:eastAsia="lv-LV"/>
              </w:rPr>
              <w:t xml:space="preserve"> nodrošināt</w:t>
            </w:r>
            <w:r w:rsidR="00B702EC">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sabiedrības līdzdalīb</w:t>
            </w:r>
            <w:r w:rsidR="00B702EC">
              <w:rPr>
                <w:rFonts w:ascii="Times New Roman" w:eastAsia="Times New Roman" w:hAnsi="Times New Roman" w:cs="Times New Roman"/>
                <w:sz w:val="24"/>
                <w:szCs w:val="24"/>
                <w:lang w:eastAsia="lv-LV"/>
              </w:rPr>
              <w:t>a</w:t>
            </w:r>
            <w:r w:rsidR="00007B51">
              <w:rPr>
                <w:rFonts w:ascii="Times New Roman" w:eastAsia="Times New Roman" w:hAnsi="Times New Roman" w:cs="Times New Roman"/>
                <w:sz w:val="24"/>
                <w:szCs w:val="24"/>
                <w:lang w:eastAsia="lv-LV"/>
              </w:rPr>
              <w:t>,</w:t>
            </w:r>
            <w:r w:rsidR="00B702EC">
              <w:rPr>
                <w:rFonts w:ascii="Times New Roman" w:eastAsia="Times New Roman" w:hAnsi="Times New Roman" w:cs="Times New Roman"/>
                <w:sz w:val="24"/>
                <w:szCs w:val="24"/>
                <w:lang w:eastAsia="lv-LV"/>
              </w:rPr>
              <w:t xml:space="preserve"> ievietojot paziņojumu Tieslietu ministrijas un Valsts kancelejas mājaslapā sadaļā "Sabiedrības līdzdalība"</w:t>
            </w:r>
            <w:r>
              <w:rPr>
                <w:rFonts w:ascii="Times New Roman" w:eastAsia="Times New Roman" w:hAnsi="Times New Roman" w:cs="Times New Roman"/>
                <w:sz w:val="24"/>
                <w:szCs w:val="24"/>
                <w:lang w:eastAsia="lv-LV"/>
              </w:rPr>
              <w:t xml:space="preserve"> </w:t>
            </w:r>
            <w:r w:rsidR="00B702EC">
              <w:rPr>
                <w:rFonts w:ascii="Times New Roman" w:eastAsia="Times New Roman" w:hAnsi="Times New Roman" w:cs="Times New Roman"/>
                <w:sz w:val="24"/>
                <w:szCs w:val="24"/>
                <w:lang w:eastAsia="lv-LV"/>
              </w:rPr>
              <w:t>un lūdzot sniegt rakstveida atzinumu par projektu divu nedēļu laikā no paziņojuma izvietošanas dienas.</w:t>
            </w:r>
          </w:p>
        </w:tc>
      </w:tr>
      <w:tr w:rsidR="00CF3E9D" w:rsidRPr="00CF3E9D"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CF3E9D" w:rsidRDefault="00B702EC" w:rsidP="00C4702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Aizpildīs pēc sabiedrības līdzdalības procesa nodrošināšanas.</w:t>
            </w:r>
          </w:p>
        </w:tc>
      </w:tr>
      <w:tr w:rsidR="004D15A9" w:rsidRPr="00CF3E9D"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CF3E9D" w:rsidRDefault="00814447"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CF3E9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3441"/>
        <w:gridCol w:w="5161"/>
      </w:tblGrid>
      <w:tr w:rsidR="00CF3E9D" w:rsidRPr="00CF3E9D"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CF3E9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CF3E9D">
              <w:rPr>
                <w:rFonts w:ascii="Times New Roman" w:eastAsia="Times New Roman" w:hAnsi="Times New Roman" w:cs="Times New Roman"/>
                <w:b/>
                <w:bCs/>
                <w:sz w:val="24"/>
                <w:szCs w:val="24"/>
                <w:lang w:eastAsia="lv-LV"/>
              </w:rPr>
              <w:t>VII. Tiesību akta projekta izpildes nodrošināšana un tās ietekme uz institūcijām</w:t>
            </w:r>
          </w:p>
        </w:tc>
      </w:tr>
      <w:tr w:rsidR="00CF3E9D" w:rsidRPr="00CF3E9D"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CF3E9D" w:rsidRDefault="00814447" w:rsidP="002870C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r w:rsidR="005F7958">
              <w:rPr>
                <w:rFonts w:ascii="Times New Roman" w:eastAsia="Times New Roman" w:hAnsi="Times New Roman" w:cs="Times New Roman"/>
                <w:sz w:val="24"/>
                <w:szCs w:val="24"/>
                <w:lang w:eastAsia="lv-LV"/>
              </w:rPr>
              <w:t>.</w:t>
            </w:r>
          </w:p>
        </w:tc>
      </w:tr>
      <w:tr w:rsidR="00CF3E9D" w:rsidRPr="00CF3E9D"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CF3E9D" w:rsidRDefault="004D15A9" w:rsidP="00217596">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CF3E9D" w:rsidRDefault="002870CF"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CF3E9D"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CF3E9D" w:rsidRDefault="004D15A9" w:rsidP="00DA596D">
            <w:pPr>
              <w:spacing w:after="0" w:line="240" w:lineRule="auto"/>
              <w:rPr>
                <w:rFonts w:ascii="Times New Roman" w:eastAsia="Times New Roman" w:hAnsi="Times New Roman" w:cs="Times New Roman"/>
                <w:sz w:val="24"/>
                <w:szCs w:val="24"/>
                <w:lang w:eastAsia="lv-LV"/>
              </w:rPr>
            </w:pPr>
            <w:r w:rsidRPr="00CF3E9D">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CF3E9D" w:rsidRDefault="00814447" w:rsidP="0084183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BB1F46" w:rsidRDefault="00BB1F46" w:rsidP="00DA596D">
      <w:pPr>
        <w:spacing w:after="0" w:line="240" w:lineRule="auto"/>
        <w:rPr>
          <w:rFonts w:ascii="Times New Roman" w:hAnsi="Times New Roman" w:cs="Times New Roman"/>
          <w:sz w:val="24"/>
          <w:szCs w:val="24"/>
        </w:rPr>
      </w:pPr>
    </w:p>
    <w:p w:rsidR="00A42DBF" w:rsidRPr="00CF3E9D" w:rsidRDefault="00A42DBF" w:rsidP="00DA596D">
      <w:pPr>
        <w:spacing w:after="0" w:line="240" w:lineRule="auto"/>
        <w:rPr>
          <w:rFonts w:ascii="Times New Roman" w:hAnsi="Times New Roman" w:cs="Times New Roman"/>
          <w:sz w:val="24"/>
          <w:szCs w:val="24"/>
        </w:rPr>
      </w:pPr>
      <w:r>
        <w:rPr>
          <w:rFonts w:ascii="Times New Roman" w:hAnsi="Times New Roman" w:cs="Times New Roman"/>
          <w:sz w:val="24"/>
          <w:szCs w:val="24"/>
        </w:rPr>
        <w:t>Anotācijas III un V sadaļa – projekts šīs jomas neskar.</w:t>
      </w:r>
    </w:p>
    <w:p w:rsidR="004D15A9" w:rsidRPr="00CF3E9D" w:rsidRDefault="004D15A9" w:rsidP="00DA596D">
      <w:pPr>
        <w:spacing w:after="0" w:line="240" w:lineRule="auto"/>
        <w:rPr>
          <w:rFonts w:ascii="Times New Roman" w:hAnsi="Times New Roman" w:cs="Times New Roman"/>
          <w:sz w:val="24"/>
          <w:szCs w:val="24"/>
        </w:rPr>
      </w:pPr>
    </w:p>
    <w:p w:rsidR="004D15A9" w:rsidRPr="00CF3E9D" w:rsidRDefault="004D15A9" w:rsidP="00DA596D">
      <w:pPr>
        <w:pStyle w:val="StyleRight"/>
        <w:spacing w:after="0"/>
        <w:ind w:firstLine="0"/>
        <w:jc w:val="both"/>
        <w:rPr>
          <w:sz w:val="24"/>
          <w:szCs w:val="24"/>
        </w:rPr>
      </w:pPr>
      <w:r w:rsidRPr="00CF3E9D">
        <w:rPr>
          <w:sz w:val="24"/>
          <w:szCs w:val="24"/>
        </w:rPr>
        <w:t>Iesniedzējs:</w:t>
      </w:r>
    </w:p>
    <w:p w:rsidR="004D15A9" w:rsidRPr="00CF3E9D" w:rsidRDefault="00A42DBF" w:rsidP="00DA596D">
      <w:pPr>
        <w:pStyle w:val="StyleRight"/>
        <w:spacing w:after="0"/>
        <w:ind w:firstLine="0"/>
        <w:jc w:val="both"/>
        <w:rPr>
          <w:sz w:val="24"/>
          <w:szCs w:val="24"/>
        </w:rPr>
      </w:pPr>
      <w:r>
        <w:rPr>
          <w:sz w:val="24"/>
          <w:szCs w:val="24"/>
        </w:rPr>
        <w:t xml:space="preserve">Tieslietu ministrijas valsts sekretārs </w:t>
      </w:r>
      <w:r w:rsidR="004D15A9" w:rsidRPr="00CF3E9D">
        <w:rPr>
          <w:sz w:val="24"/>
          <w:szCs w:val="24"/>
        </w:rPr>
        <w:tab/>
      </w:r>
      <w:r w:rsidR="004D15A9" w:rsidRPr="00CF3E9D">
        <w:rPr>
          <w:sz w:val="24"/>
          <w:szCs w:val="24"/>
        </w:rPr>
        <w:tab/>
      </w:r>
      <w:r w:rsidR="004D15A9" w:rsidRPr="00CF3E9D">
        <w:rPr>
          <w:sz w:val="24"/>
          <w:szCs w:val="24"/>
        </w:rPr>
        <w:tab/>
      </w:r>
      <w:r w:rsidR="004D15A9" w:rsidRPr="00CF3E9D">
        <w:rPr>
          <w:sz w:val="24"/>
          <w:szCs w:val="24"/>
        </w:rPr>
        <w:tab/>
      </w:r>
      <w:r w:rsidR="004D15A9" w:rsidRPr="00CF3E9D">
        <w:rPr>
          <w:sz w:val="24"/>
          <w:szCs w:val="24"/>
        </w:rPr>
        <w:tab/>
      </w:r>
      <w:r w:rsidR="004D15A9" w:rsidRPr="00CF3E9D">
        <w:rPr>
          <w:sz w:val="24"/>
          <w:szCs w:val="24"/>
        </w:rPr>
        <w:tab/>
      </w:r>
      <w:r>
        <w:rPr>
          <w:sz w:val="24"/>
          <w:szCs w:val="24"/>
        </w:rPr>
        <w:t>Raivis Kronbergs</w:t>
      </w:r>
    </w:p>
    <w:p w:rsidR="003A2A0B" w:rsidRPr="00CF3E9D" w:rsidRDefault="003A2A0B" w:rsidP="00DA596D">
      <w:pPr>
        <w:pStyle w:val="StyleRight"/>
        <w:spacing w:after="0"/>
        <w:ind w:firstLine="0"/>
        <w:jc w:val="both"/>
        <w:rPr>
          <w:sz w:val="24"/>
          <w:szCs w:val="24"/>
        </w:rPr>
      </w:pPr>
    </w:p>
    <w:p w:rsidR="004D15A9" w:rsidRDefault="00A42DBF"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Brazauska</w:t>
      </w:r>
    </w:p>
    <w:p w:rsidR="00515CEE" w:rsidRPr="00CF3E9D" w:rsidRDefault="00A42DBF" w:rsidP="00DA596D">
      <w:pPr>
        <w:spacing w:after="0" w:line="240" w:lineRule="auto"/>
        <w:rPr>
          <w:rFonts w:ascii="Times New Roman" w:hAnsi="Times New Roman" w:cs="Times New Roman"/>
          <w:sz w:val="24"/>
          <w:szCs w:val="24"/>
        </w:rPr>
      </w:pPr>
      <w:r>
        <w:rPr>
          <w:rFonts w:ascii="Times New Roman" w:hAnsi="Times New Roman" w:cs="Times New Roman"/>
          <w:sz w:val="20"/>
          <w:szCs w:val="20"/>
        </w:rPr>
        <w:t>67036933, ilze.brazauska@tm.gov.lv</w:t>
      </w:r>
    </w:p>
    <w:sectPr w:rsidR="00515CEE" w:rsidRPr="00CF3E9D" w:rsidSect="004D15A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2EC" w:rsidRDefault="00B702EC" w:rsidP="004D15A9">
      <w:pPr>
        <w:spacing w:after="0" w:line="240" w:lineRule="auto"/>
      </w:pPr>
      <w:r>
        <w:separator/>
      </w:r>
    </w:p>
  </w:endnote>
  <w:endnote w:type="continuationSeparator" w:id="0">
    <w:p w:rsidR="00B702EC" w:rsidRDefault="00B702EC"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DD" w:rsidRDefault="004B50D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EC" w:rsidRDefault="00B702EC" w:rsidP="00A42DBF">
    <w:pPr>
      <w:pStyle w:val="Kjene"/>
      <w:rPr>
        <w:rFonts w:ascii="Times New Roman" w:hAnsi="Times New Roman" w:cs="Times New Roman"/>
        <w:color w:val="000000" w:themeColor="text1"/>
        <w:sz w:val="20"/>
        <w:szCs w:val="20"/>
      </w:rPr>
    </w:pPr>
  </w:p>
  <w:p w:rsidR="00B702EC" w:rsidRPr="00A42DBF" w:rsidRDefault="00B702EC" w:rsidP="00A42DBF">
    <w:pPr>
      <w:pStyle w:val="Kjene"/>
    </w:pP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FILENAME   \* MERGEFORMAT </w:instrText>
    </w:r>
    <w:r>
      <w:rPr>
        <w:rFonts w:ascii="Times New Roman" w:hAnsi="Times New Roman" w:cs="Times New Roman"/>
        <w:color w:val="000000" w:themeColor="text1"/>
        <w:sz w:val="20"/>
        <w:szCs w:val="20"/>
      </w:rPr>
      <w:fldChar w:fldCharType="separate"/>
    </w:r>
    <w:r w:rsidR="004624B2">
      <w:rPr>
        <w:rFonts w:ascii="Times New Roman" w:hAnsi="Times New Roman" w:cs="Times New Roman"/>
        <w:noProof/>
        <w:color w:val="000000" w:themeColor="text1"/>
        <w:sz w:val="20"/>
        <w:szCs w:val="20"/>
      </w:rPr>
      <w:t>TMAnot_300517_nolikums</w:t>
    </w:r>
    <w:r>
      <w:rPr>
        <w:rFonts w:ascii="Times New Roman" w:hAnsi="Times New Roman" w:cs="Times New Roman"/>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EC" w:rsidRPr="00A42DBF" w:rsidRDefault="00B702EC" w:rsidP="00A42DBF">
    <w:pPr>
      <w:pStyle w:val="Kjene"/>
    </w:pP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FILENAME   \* MERGEFORMAT </w:instrText>
    </w:r>
    <w:r>
      <w:rPr>
        <w:rFonts w:ascii="Times New Roman" w:hAnsi="Times New Roman" w:cs="Times New Roman"/>
        <w:color w:val="000000" w:themeColor="text1"/>
        <w:sz w:val="20"/>
        <w:szCs w:val="20"/>
      </w:rPr>
      <w:fldChar w:fldCharType="separate"/>
    </w:r>
    <w:r w:rsidR="004624B2">
      <w:rPr>
        <w:rFonts w:ascii="Times New Roman" w:hAnsi="Times New Roman" w:cs="Times New Roman"/>
        <w:noProof/>
        <w:color w:val="000000" w:themeColor="text1"/>
        <w:sz w:val="20"/>
        <w:szCs w:val="20"/>
      </w:rPr>
      <w:t>TMAnot_300517_nolikums</w:t>
    </w:r>
    <w:r>
      <w:rPr>
        <w:rFonts w:ascii="Times New Roman" w:hAnsi="Times New Roman" w:cs="Times New Roman"/>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2EC" w:rsidRDefault="00B702EC" w:rsidP="004D15A9">
      <w:pPr>
        <w:spacing w:after="0" w:line="240" w:lineRule="auto"/>
      </w:pPr>
      <w:r>
        <w:separator/>
      </w:r>
    </w:p>
  </w:footnote>
  <w:footnote w:type="continuationSeparator" w:id="0">
    <w:p w:rsidR="00B702EC" w:rsidRDefault="00B702EC" w:rsidP="004D15A9">
      <w:pPr>
        <w:spacing w:after="0" w:line="240" w:lineRule="auto"/>
      </w:pPr>
      <w:r>
        <w:continuationSeparator/>
      </w:r>
    </w:p>
  </w:footnote>
  <w:footnote w:id="1">
    <w:p w:rsidR="00B702EC" w:rsidRPr="00C7653A" w:rsidRDefault="00B702EC" w:rsidP="003A13C6">
      <w:pPr>
        <w:pStyle w:val="Vresteksts"/>
        <w:jc w:val="both"/>
        <w:rPr>
          <w:rFonts w:ascii="Times New Roman" w:hAnsi="Times New Roman" w:cs="Times New Roman"/>
        </w:rPr>
      </w:pPr>
      <w:r w:rsidRPr="00C7653A">
        <w:rPr>
          <w:rStyle w:val="Vresatsauce"/>
          <w:rFonts w:ascii="Times New Roman" w:hAnsi="Times New Roman" w:cs="Times New Roman"/>
        </w:rPr>
        <w:footnoteRef/>
      </w:r>
      <w:r w:rsidRPr="00C7653A">
        <w:rPr>
          <w:rFonts w:ascii="Times New Roman" w:hAnsi="Times New Roman" w:cs="Times New Roman"/>
        </w:rPr>
        <w:t xml:space="preserve"> Piemēram, </w:t>
      </w:r>
      <w:r w:rsidRPr="00C7653A">
        <w:rPr>
          <w:rFonts w:ascii="Times New Roman" w:hAnsi="Times New Roman" w:cs="Times New Roman"/>
          <w:color w:val="000000"/>
        </w:rPr>
        <w:t>Ministru kabineta 2011. gada 12. jūlija noteikumi Nr. 550 "Noteikumi par institūciju sadarbību Līguma par Eiropas Savienības darbību pārkāpuma procedūras ietvaros un pirms pārkāpuma procedūras ierosināšanas"</w:t>
      </w:r>
      <w:r>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DD" w:rsidRDefault="004B50D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rsidR="00B702EC" w:rsidRPr="004D15A9" w:rsidRDefault="00B702EC">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60D00">
          <w:rPr>
            <w:rFonts w:ascii="Times New Roman" w:hAnsi="Times New Roman" w:cs="Times New Roman"/>
            <w:noProof/>
            <w:sz w:val="24"/>
            <w:szCs w:val="24"/>
          </w:rPr>
          <w:t>15</w:t>
        </w:r>
        <w:r w:rsidRPr="004D15A9">
          <w:rPr>
            <w:rFonts w:ascii="Times New Roman" w:hAnsi="Times New Roman" w:cs="Times New Roman"/>
            <w:sz w:val="24"/>
            <w:szCs w:val="24"/>
          </w:rPr>
          <w:fldChar w:fldCharType="end"/>
        </w:r>
      </w:p>
    </w:sdtContent>
  </w:sdt>
  <w:p w:rsidR="00B702EC" w:rsidRDefault="00B702E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0DD" w:rsidRDefault="004B50D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6314F"/>
    <w:multiLevelType w:val="hybridMultilevel"/>
    <w:tmpl w:val="EDA440BA"/>
    <w:lvl w:ilvl="0" w:tplc="1E3A05BA">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00C68"/>
    <w:rsid w:val="00002B29"/>
    <w:rsid w:val="00007B51"/>
    <w:rsid w:val="00015D7B"/>
    <w:rsid w:val="00024BF4"/>
    <w:rsid w:val="000265F9"/>
    <w:rsid w:val="00031256"/>
    <w:rsid w:val="000403CF"/>
    <w:rsid w:val="00050E08"/>
    <w:rsid w:val="00073CEE"/>
    <w:rsid w:val="00075ACE"/>
    <w:rsid w:val="00076247"/>
    <w:rsid w:val="00094A89"/>
    <w:rsid w:val="0009647A"/>
    <w:rsid w:val="000A2214"/>
    <w:rsid w:val="000A5BD4"/>
    <w:rsid w:val="000C3010"/>
    <w:rsid w:val="000D0FD3"/>
    <w:rsid w:val="000D2B07"/>
    <w:rsid w:val="000F47BE"/>
    <w:rsid w:val="00101CD5"/>
    <w:rsid w:val="0012195A"/>
    <w:rsid w:val="00126745"/>
    <w:rsid w:val="001418B4"/>
    <w:rsid w:val="00161B59"/>
    <w:rsid w:val="00190C0D"/>
    <w:rsid w:val="001D18BD"/>
    <w:rsid w:val="001D6A04"/>
    <w:rsid w:val="001E7858"/>
    <w:rsid w:val="00203B3C"/>
    <w:rsid w:val="00205B00"/>
    <w:rsid w:val="00206604"/>
    <w:rsid w:val="00217596"/>
    <w:rsid w:val="00221AEB"/>
    <w:rsid w:val="00240D4E"/>
    <w:rsid w:val="00244630"/>
    <w:rsid w:val="00250219"/>
    <w:rsid w:val="00251D64"/>
    <w:rsid w:val="00270C21"/>
    <w:rsid w:val="00286CA7"/>
    <w:rsid w:val="002870CF"/>
    <w:rsid w:val="00292CFD"/>
    <w:rsid w:val="002C03C3"/>
    <w:rsid w:val="002D67B3"/>
    <w:rsid w:val="003068D6"/>
    <w:rsid w:val="00360D00"/>
    <w:rsid w:val="00364919"/>
    <w:rsid w:val="00374C4E"/>
    <w:rsid w:val="00377998"/>
    <w:rsid w:val="00382F06"/>
    <w:rsid w:val="003922B0"/>
    <w:rsid w:val="003A13C6"/>
    <w:rsid w:val="003A2A0B"/>
    <w:rsid w:val="003B220C"/>
    <w:rsid w:val="003B577C"/>
    <w:rsid w:val="003C2FB7"/>
    <w:rsid w:val="003C3E93"/>
    <w:rsid w:val="003D04D1"/>
    <w:rsid w:val="003D6467"/>
    <w:rsid w:val="003E0803"/>
    <w:rsid w:val="003E66C1"/>
    <w:rsid w:val="003F0A05"/>
    <w:rsid w:val="00436EAC"/>
    <w:rsid w:val="00457B33"/>
    <w:rsid w:val="00461275"/>
    <w:rsid w:val="004624B2"/>
    <w:rsid w:val="0049715E"/>
    <w:rsid w:val="00497935"/>
    <w:rsid w:val="004B03D1"/>
    <w:rsid w:val="004B1A30"/>
    <w:rsid w:val="004B50DD"/>
    <w:rsid w:val="004B6BB3"/>
    <w:rsid w:val="004C235A"/>
    <w:rsid w:val="004D15A9"/>
    <w:rsid w:val="004F3D89"/>
    <w:rsid w:val="005029C1"/>
    <w:rsid w:val="005052C6"/>
    <w:rsid w:val="00515CEE"/>
    <w:rsid w:val="005179C1"/>
    <w:rsid w:val="00527482"/>
    <w:rsid w:val="0053175E"/>
    <w:rsid w:val="00560106"/>
    <w:rsid w:val="005651B2"/>
    <w:rsid w:val="00577F0E"/>
    <w:rsid w:val="00582A69"/>
    <w:rsid w:val="0058572E"/>
    <w:rsid w:val="005A2A4E"/>
    <w:rsid w:val="005C6B0F"/>
    <w:rsid w:val="005D3823"/>
    <w:rsid w:val="005D4E8A"/>
    <w:rsid w:val="005F51B6"/>
    <w:rsid w:val="005F7958"/>
    <w:rsid w:val="00601B80"/>
    <w:rsid w:val="00602421"/>
    <w:rsid w:val="0060542A"/>
    <w:rsid w:val="00612A92"/>
    <w:rsid w:val="00627209"/>
    <w:rsid w:val="006324E6"/>
    <w:rsid w:val="00652DEB"/>
    <w:rsid w:val="00654ABB"/>
    <w:rsid w:val="0066193C"/>
    <w:rsid w:val="0069046F"/>
    <w:rsid w:val="006930DB"/>
    <w:rsid w:val="006C24A6"/>
    <w:rsid w:val="006D0839"/>
    <w:rsid w:val="006D1638"/>
    <w:rsid w:val="006D38BA"/>
    <w:rsid w:val="006F6CAB"/>
    <w:rsid w:val="00700100"/>
    <w:rsid w:val="00700E1F"/>
    <w:rsid w:val="00721CFF"/>
    <w:rsid w:val="00736BB6"/>
    <w:rsid w:val="00742904"/>
    <w:rsid w:val="00766DB1"/>
    <w:rsid w:val="007923A2"/>
    <w:rsid w:val="007A1568"/>
    <w:rsid w:val="007C2FEC"/>
    <w:rsid w:val="007E06C0"/>
    <w:rsid w:val="007F5B16"/>
    <w:rsid w:val="0081203F"/>
    <w:rsid w:val="00812E59"/>
    <w:rsid w:val="00814447"/>
    <w:rsid w:val="008214DE"/>
    <w:rsid w:val="00823B45"/>
    <w:rsid w:val="008323C7"/>
    <w:rsid w:val="00841836"/>
    <w:rsid w:val="00841C79"/>
    <w:rsid w:val="00862AE5"/>
    <w:rsid w:val="00885D28"/>
    <w:rsid w:val="008900C0"/>
    <w:rsid w:val="0089723A"/>
    <w:rsid w:val="008B2494"/>
    <w:rsid w:val="008B33E0"/>
    <w:rsid w:val="008E0CF3"/>
    <w:rsid w:val="008E3C18"/>
    <w:rsid w:val="008E4AFD"/>
    <w:rsid w:val="008E4E93"/>
    <w:rsid w:val="00922930"/>
    <w:rsid w:val="00930286"/>
    <w:rsid w:val="0093773C"/>
    <w:rsid w:val="00946E0E"/>
    <w:rsid w:val="00972BB2"/>
    <w:rsid w:val="00973209"/>
    <w:rsid w:val="009768BE"/>
    <w:rsid w:val="0097690A"/>
    <w:rsid w:val="00997954"/>
    <w:rsid w:val="009A54A2"/>
    <w:rsid w:val="009B7D61"/>
    <w:rsid w:val="009D3871"/>
    <w:rsid w:val="009E4FD1"/>
    <w:rsid w:val="00A0381E"/>
    <w:rsid w:val="00A10AF6"/>
    <w:rsid w:val="00A1499D"/>
    <w:rsid w:val="00A3046C"/>
    <w:rsid w:val="00A42DBF"/>
    <w:rsid w:val="00A628F9"/>
    <w:rsid w:val="00A70C29"/>
    <w:rsid w:val="00A73572"/>
    <w:rsid w:val="00A9111B"/>
    <w:rsid w:val="00A919B8"/>
    <w:rsid w:val="00AA3A2C"/>
    <w:rsid w:val="00AB438F"/>
    <w:rsid w:val="00AB6562"/>
    <w:rsid w:val="00AF1ABC"/>
    <w:rsid w:val="00AF5034"/>
    <w:rsid w:val="00AF73B9"/>
    <w:rsid w:val="00B27269"/>
    <w:rsid w:val="00B60CDB"/>
    <w:rsid w:val="00B66005"/>
    <w:rsid w:val="00B702EC"/>
    <w:rsid w:val="00B901D5"/>
    <w:rsid w:val="00B9195E"/>
    <w:rsid w:val="00BB1330"/>
    <w:rsid w:val="00BB1F46"/>
    <w:rsid w:val="00BB7181"/>
    <w:rsid w:val="00BF3AD4"/>
    <w:rsid w:val="00C03CC6"/>
    <w:rsid w:val="00C14CDE"/>
    <w:rsid w:val="00C17903"/>
    <w:rsid w:val="00C246B4"/>
    <w:rsid w:val="00C4127E"/>
    <w:rsid w:val="00C46EEB"/>
    <w:rsid w:val="00C4702B"/>
    <w:rsid w:val="00C74121"/>
    <w:rsid w:val="00C7653A"/>
    <w:rsid w:val="00C80EEA"/>
    <w:rsid w:val="00CA4BB9"/>
    <w:rsid w:val="00CA7568"/>
    <w:rsid w:val="00CC2502"/>
    <w:rsid w:val="00CD1CB2"/>
    <w:rsid w:val="00CE1226"/>
    <w:rsid w:val="00CF0F29"/>
    <w:rsid w:val="00CF3E9D"/>
    <w:rsid w:val="00D03C91"/>
    <w:rsid w:val="00D178AC"/>
    <w:rsid w:val="00D2286B"/>
    <w:rsid w:val="00D313D5"/>
    <w:rsid w:val="00D40B52"/>
    <w:rsid w:val="00D503A4"/>
    <w:rsid w:val="00D553B2"/>
    <w:rsid w:val="00D5701C"/>
    <w:rsid w:val="00D73927"/>
    <w:rsid w:val="00DA34DD"/>
    <w:rsid w:val="00DA596D"/>
    <w:rsid w:val="00DB108B"/>
    <w:rsid w:val="00DC103C"/>
    <w:rsid w:val="00DD43B9"/>
    <w:rsid w:val="00DE78C6"/>
    <w:rsid w:val="00DE7C8F"/>
    <w:rsid w:val="00E12369"/>
    <w:rsid w:val="00E251B6"/>
    <w:rsid w:val="00E513E1"/>
    <w:rsid w:val="00E5264F"/>
    <w:rsid w:val="00E60604"/>
    <w:rsid w:val="00E8789E"/>
    <w:rsid w:val="00EA75A7"/>
    <w:rsid w:val="00ED241A"/>
    <w:rsid w:val="00ED573E"/>
    <w:rsid w:val="00EF14B7"/>
    <w:rsid w:val="00EF2D3E"/>
    <w:rsid w:val="00F12CF2"/>
    <w:rsid w:val="00F12E4D"/>
    <w:rsid w:val="00F44695"/>
    <w:rsid w:val="00F749D9"/>
    <w:rsid w:val="00F87737"/>
    <w:rsid w:val="00F97DF6"/>
    <w:rsid w:val="00FA2294"/>
    <w:rsid w:val="00FD3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066B70D-4E0E-4AC0-A5B2-7B2F958E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paragraph" w:customStyle="1" w:styleId="tv2132">
    <w:name w:val="tv2132"/>
    <w:basedOn w:val="Parasts"/>
    <w:rsid w:val="00AB438F"/>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basedOn w:val="Parasts"/>
    <w:link w:val="VrestekstsRakstz"/>
    <w:uiPriority w:val="99"/>
    <w:semiHidden/>
    <w:unhideWhenUsed/>
    <w:rsid w:val="00C7653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7653A"/>
    <w:rPr>
      <w:sz w:val="20"/>
      <w:szCs w:val="20"/>
    </w:rPr>
  </w:style>
  <w:style w:type="character" w:styleId="Vresatsauce">
    <w:name w:val="footnote reference"/>
    <w:basedOn w:val="Noklusjumarindkopasfonts"/>
    <w:uiPriority w:val="99"/>
    <w:semiHidden/>
    <w:unhideWhenUsed/>
    <w:rsid w:val="00C7653A"/>
    <w:rPr>
      <w:vertAlign w:val="superscript"/>
    </w:rPr>
  </w:style>
  <w:style w:type="paragraph" w:styleId="Paraststmeklis">
    <w:name w:val="Normal (Web)"/>
    <w:basedOn w:val="Parasts"/>
    <w:uiPriority w:val="99"/>
    <w:unhideWhenUsed/>
    <w:rsid w:val="00457B33"/>
    <w:pPr>
      <w:spacing w:before="100" w:beforeAutospacing="1" w:after="100" w:afterAutospacing="1" w:line="240" w:lineRule="auto"/>
    </w:pPr>
    <w:rPr>
      <w:rFonts w:ascii="Times New Roman" w:eastAsia="Calibr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6193239">
      <w:bodyDiv w:val="1"/>
      <w:marLeft w:val="0"/>
      <w:marRight w:val="0"/>
      <w:marTop w:val="0"/>
      <w:marBottom w:val="0"/>
      <w:divBdr>
        <w:top w:val="none" w:sz="0" w:space="0" w:color="auto"/>
        <w:left w:val="none" w:sz="0" w:space="0" w:color="auto"/>
        <w:bottom w:val="none" w:sz="0" w:space="0" w:color="auto"/>
        <w:right w:val="none" w:sz="0" w:space="0" w:color="auto"/>
      </w:divBdr>
      <w:divsChild>
        <w:div w:id="212890616">
          <w:marLeft w:val="0"/>
          <w:marRight w:val="0"/>
          <w:marTop w:val="0"/>
          <w:marBottom w:val="0"/>
          <w:divBdr>
            <w:top w:val="none" w:sz="0" w:space="0" w:color="auto"/>
            <w:left w:val="none" w:sz="0" w:space="0" w:color="auto"/>
            <w:bottom w:val="none" w:sz="0" w:space="0" w:color="auto"/>
            <w:right w:val="none" w:sz="0" w:space="0" w:color="auto"/>
          </w:divBdr>
          <w:divsChild>
            <w:div w:id="1823232837">
              <w:marLeft w:val="0"/>
              <w:marRight w:val="0"/>
              <w:marTop w:val="0"/>
              <w:marBottom w:val="0"/>
              <w:divBdr>
                <w:top w:val="none" w:sz="0" w:space="0" w:color="auto"/>
                <w:left w:val="none" w:sz="0" w:space="0" w:color="auto"/>
                <w:bottom w:val="none" w:sz="0" w:space="0" w:color="auto"/>
                <w:right w:val="none" w:sz="0" w:space="0" w:color="auto"/>
              </w:divBdr>
              <w:divsChild>
                <w:div w:id="2014842003">
                  <w:marLeft w:val="0"/>
                  <w:marRight w:val="0"/>
                  <w:marTop w:val="0"/>
                  <w:marBottom w:val="0"/>
                  <w:divBdr>
                    <w:top w:val="none" w:sz="0" w:space="0" w:color="auto"/>
                    <w:left w:val="none" w:sz="0" w:space="0" w:color="auto"/>
                    <w:bottom w:val="none" w:sz="0" w:space="0" w:color="auto"/>
                    <w:right w:val="none" w:sz="0" w:space="0" w:color="auto"/>
                  </w:divBdr>
                  <w:divsChild>
                    <w:div w:id="552276196">
                      <w:marLeft w:val="0"/>
                      <w:marRight w:val="0"/>
                      <w:marTop w:val="0"/>
                      <w:marBottom w:val="0"/>
                      <w:divBdr>
                        <w:top w:val="none" w:sz="0" w:space="0" w:color="auto"/>
                        <w:left w:val="none" w:sz="0" w:space="0" w:color="auto"/>
                        <w:bottom w:val="none" w:sz="0" w:space="0" w:color="auto"/>
                        <w:right w:val="none" w:sz="0" w:space="0" w:color="auto"/>
                      </w:divBdr>
                      <w:divsChild>
                        <w:div w:id="520050315">
                          <w:marLeft w:val="0"/>
                          <w:marRight w:val="0"/>
                          <w:marTop w:val="0"/>
                          <w:marBottom w:val="0"/>
                          <w:divBdr>
                            <w:top w:val="none" w:sz="0" w:space="0" w:color="auto"/>
                            <w:left w:val="none" w:sz="0" w:space="0" w:color="auto"/>
                            <w:bottom w:val="none" w:sz="0" w:space="0" w:color="auto"/>
                            <w:right w:val="none" w:sz="0" w:space="0" w:color="auto"/>
                          </w:divBdr>
                          <w:divsChild>
                            <w:div w:id="11757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94161057">
      <w:bodyDiv w:val="1"/>
      <w:marLeft w:val="0"/>
      <w:marRight w:val="0"/>
      <w:marTop w:val="0"/>
      <w:marBottom w:val="0"/>
      <w:divBdr>
        <w:top w:val="none" w:sz="0" w:space="0" w:color="auto"/>
        <w:left w:val="none" w:sz="0" w:space="0" w:color="auto"/>
        <w:bottom w:val="none" w:sz="0" w:space="0" w:color="auto"/>
        <w:right w:val="none" w:sz="0" w:space="0" w:color="auto"/>
      </w:divBdr>
    </w:div>
    <w:div w:id="536892316">
      <w:bodyDiv w:val="1"/>
      <w:marLeft w:val="0"/>
      <w:marRight w:val="0"/>
      <w:marTop w:val="0"/>
      <w:marBottom w:val="0"/>
      <w:divBdr>
        <w:top w:val="none" w:sz="0" w:space="0" w:color="auto"/>
        <w:left w:val="none" w:sz="0" w:space="0" w:color="auto"/>
        <w:bottom w:val="none" w:sz="0" w:space="0" w:color="auto"/>
        <w:right w:val="none" w:sz="0" w:space="0" w:color="auto"/>
      </w:divBdr>
    </w:div>
    <w:div w:id="1102803557">
      <w:bodyDiv w:val="1"/>
      <w:marLeft w:val="0"/>
      <w:marRight w:val="0"/>
      <w:marTop w:val="0"/>
      <w:marBottom w:val="0"/>
      <w:divBdr>
        <w:top w:val="none" w:sz="0" w:space="0" w:color="auto"/>
        <w:left w:val="none" w:sz="0" w:space="0" w:color="auto"/>
        <w:bottom w:val="none" w:sz="0" w:space="0" w:color="auto"/>
        <w:right w:val="none" w:sz="0" w:space="0" w:color="auto"/>
      </w:divBdr>
      <w:divsChild>
        <w:div w:id="320353629">
          <w:marLeft w:val="0"/>
          <w:marRight w:val="0"/>
          <w:marTop w:val="0"/>
          <w:marBottom w:val="0"/>
          <w:divBdr>
            <w:top w:val="none" w:sz="0" w:space="0" w:color="auto"/>
            <w:left w:val="none" w:sz="0" w:space="0" w:color="auto"/>
            <w:bottom w:val="none" w:sz="0" w:space="0" w:color="auto"/>
            <w:right w:val="none" w:sz="0" w:space="0" w:color="auto"/>
          </w:divBdr>
          <w:divsChild>
            <w:div w:id="1915429170">
              <w:marLeft w:val="0"/>
              <w:marRight w:val="0"/>
              <w:marTop w:val="0"/>
              <w:marBottom w:val="0"/>
              <w:divBdr>
                <w:top w:val="none" w:sz="0" w:space="0" w:color="auto"/>
                <w:left w:val="none" w:sz="0" w:space="0" w:color="auto"/>
                <w:bottom w:val="none" w:sz="0" w:space="0" w:color="auto"/>
                <w:right w:val="none" w:sz="0" w:space="0" w:color="auto"/>
              </w:divBdr>
              <w:divsChild>
                <w:div w:id="1926380521">
                  <w:marLeft w:val="0"/>
                  <w:marRight w:val="0"/>
                  <w:marTop w:val="0"/>
                  <w:marBottom w:val="0"/>
                  <w:divBdr>
                    <w:top w:val="none" w:sz="0" w:space="0" w:color="auto"/>
                    <w:left w:val="none" w:sz="0" w:space="0" w:color="auto"/>
                    <w:bottom w:val="none" w:sz="0" w:space="0" w:color="auto"/>
                    <w:right w:val="none" w:sz="0" w:space="0" w:color="auto"/>
                  </w:divBdr>
                  <w:divsChild>
                    <w:div w:id="637413669">
                      <w:marLeft w:val="0"/>
                      <w:marRight w:val="0"/>
                      <w:marTop w:val="0"/>
                      <w:marBottom w:val="0"/>
                      <w:divBdr>
                        <w:top w:val="none" w:sz="0" w:space="0" w:color="auto"/>
                        <w:left w:val="none" w:sz="0" w:space="0" w:color="auto"/>
                        <w:bottom w:val="none" w:sz="0" w:space="0" w:color="auto"/>
                        <w:right w:val="none" w:sz="0" w:space="0" w:color="auto"/>
                      </w:divBdr>
                      <w:divsChild>
                        <w:div w:id="1237284324">
                          <w:marLeft w:val="0"/>
                          <w:marRight w:val="0"/>
                          <w:marTop w:val="0"/>
                          <w:marBottom w:val="0"/>
                          <w:divBdr>
                            <w:top w:val="none" w:sz="0" w:space="0" w:color="auto"/>
                            <w:left w:val="none" w:sz="0" w:space="0" w:color="auto"/>
                            <w:bottom w:val="none" w:sz="0" w:space="0" w:color="auto"/>
                            <w:right w:val="none" w:sz="0" w:space="0" w:color="auto"/>
                          </w:divBdr>
                          <w:divsChild>
                            <w:div w:id="15823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168020">
      <w:bodyDiv w:val="1"/>
      <w:marLeft w:val="0"/>
      <w:marRight w:val="0"/>
      <w:marTop w:val="0"/>
      <w:marBottom w:val="0"/>
      <w:divBdr>
        <w:top w:val="none" w:sz="0" w:space="0" w:color="auto"/>
        <w:left w:val="none" w:sz="0" w:space="0" w:color="auto"/>
        <w:bottom w:val="none" w:sz="0" w:space="0" w:color="auto"/>
        <w:right w:val="none" w:sz="0" w:space="0" w:color="auto"/>
      </w:divBdr>
      <w:divsChild>
        <w:div w:id="937523608">
          <w:marLeft w:val="0"/>
          <w:marRight w:val="0"/>
          <w:marTop w:val="0"/>
          <w:marBottom w:val="0"/>
          <w:divBdr>
            <w:top w:val="none" w:sz="0" w:space="0" w:color="auto"/>
            <w:left w:val="none" w:sz="0" w:space="0" w:color="auto"/>
            <w:bottom w:val="none" w:sz="0" w:space="0" w:color="auto"/>
            <w:right w:val="none" w:sz="0" w:space="0" w:color="auto"/>
          </w:divBdr>
          <w:divsChild>
            <w:div w:id="545218625">
              <w:marLeft w:val="0"/>
              <w:marRight w:val="0"/>
              <w:marTop w:val="0"/>
              <w:marBottom w:val="0"/>
              <w:divBdr>
                <w:top w:val="none" w:sz="0" w:space="0" w:color="auto"/>
                <w:left w:val="none" w:sz="0" w:space="0" w:color="auto"/>
                <w:bottom w:val="none" w:sz="0" w:space="0" w:color="auto"/>
                <w:right w:val="none" w:sz="0" w:space="0" w:color="auto"/>
              </w:divBdr>
              <w:divsChild>
                <w:div w:id="1923297237">
                  <w:marLeft w:val="0"/>
                  <w:marRight w:val="0"/>
                  <w:marTop w:val="0"/>
                  <w:marBottom w:val="0"/>
                  <w:divBdr>
                    <w:top w:val="none" w:sz="0" w:space="0" w:color="auto"/>
                    <w:left w:val="none" w:sz="0" w:space="0" w:color="auto"/>
                    <w:bottom w:val="none" w:sz="0" w:space="0" w:color="auto"/>
                    <w:right w:val="none" w:sz="0" w:space="0" w:color="auto"/>
                  </w:divBdr>
                  <w:divsChild>
                    <w:div w:id="334770492">
                      <w:marLeft w:val="0"/>
                      <w:marRight w:val="0"/>
                      <w:marTop w:val="0"/>
                      <w:marBottom w:val="0"/>
                      <w:divBdr>
                        <w:top w:val="none" w:sz="0" w:space="0" w:color="auto"/>
                        <w:left w:val="none" w:sz="0" w:space="0" w:color="auto"/>
                        <w:bottom w:val="none" w:sz="0" w:space="0" w:color="auto"/>
                        <w:right w:val="none" w:sz="0" w:space="0" w:color="auto"/>
                      </w:divBdr>
                      <w:divsChild>
                        <w:div w:id="515385444">
                          <w:marLeft w:val="0"/>
                          <w:marRight w:val="0"/>
                          <w:marTop w:val="0"/>
                          <w:marBottom w:val="0"/>
                          <w:divBdr>
                            <w:top w:val="none" w:sz="0" w:space="0" w:color="auto"/>
                            <w:left w:val="none" w:sz="0" w:space="0" w:color="auto"/>
                            <w:bottom w:val="none" w:sz="0" w:space="0" w:color="auto"/>
                            <w:right w:val="none" w:sz="0" w:space="0" w:color="auto"/>
                          </w:divBdr>
                          <w:divsChild>
                            <w:div w:id="13263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056103">
      <w:bodyDiv w:val="1"/>
      <w:marLeft w:val="0"/>
      <w:marRight w:val="0"/>
      <w:marTop w:val="0"/>
      <w:marBottom w:val="0"/>
      <w:divBdr>
        <w:top w:val="none" w:sz="0" w:space="0" w:color="auto"/>
        <w:left w:val="none" w:sz="0" w:space="0" w:color="auto"/>
        <w:bottom w:val="none" w:sz="0" w:space="0" w:color="auto"/>
        <w:right w:val="none" w:sz="0" w:space="0" w:color="auto"/>
      </w:divBdr>
      <w:divsChild>
        <w:div w:id="268589739">
          <w:marLeft w:val="0"/>
          <w:marRight w:val="0"/>
          <w:marTop w:val="0"/>
          <w:marBottom w:val="0"/>
          <w:divBdr>
            <w:top w:val="none" w:sz="0" w:space="0" w:color="auto"/>
            <w:left w:val="none" w:sz="0" w:space="0" w:color="auto"/>
            <w:bottom w:val="none" w:sz="0" w:space="0" w:color="auto"/>
            <w:right w:val="none" w:sz="0" w:space="0" w:color="auto"/>
          </w:divBdr>
          <w:divsChild>
            <w:div w:id="183830505">
              <w:marLeft w:val="0"/>
              <w:marRight w:val="0"/>
              <w:marTop w:val="0"/>
              <w:marBottom w:val="0"/>
              <w:divBdr>
                <w:top w:val="none" w:sz="0" w:space="0" w:color="auto"/>
                <w:left w:val="none" w:sz="0" w:space="0" w:color="auto"/>
                <w:bottom w:val="none" w:sz="0" w:space="0" w:color="auto"/>
                <w:right w:val="none" w:sz="0" w:space="0" w:color="auto"/>
              </w:divBdr>
              <w:divsChild>
                <w:div w:id="240414274">
                  <w:marLeft w:val="0"/>
                  <w:marRight w:val="0"/>
                  <w:marTop w:val="0"/>
                  <w:marBottom w:val="0"/>
                  <w:divBdr>
                    <w:top w:val="none" w:sz="0" w:space="0" w:color="auto"/>
                    <w:left w:val="none" w:sz="0" w:space="0" w:color="auto"/>
                    <w:bottom w:val="none" w:sz="0" w:space="0" w:color="auto"/>
                    <w:right w:val="none" w:sz="0" w:space="0" w:color="auto"/>
                  </w:divBdr>
                  <w:divsChild>
                    <w:div w:id="1067342945">
                      <w:marLeft w:val="0"/>
                      <w:marRight w:val="0"/>
                      <w:marTop w:val="0"/>
                      <w:marBottom w:val="0"/>
                      <w:divBdr>
                        <w:top w:val="none" w:sz="0" w:space="0" w:color="auto"/>
                        <w:left w:val="none" w:sz="0" w:space="0" w:color="auto"/>
                        <w:bottom w:val="none" w:sz="0" w:space="0" w:color="auto"/>
                        <w:right w:val="none" w:sz="0" w:space="0" w:color="auto"/>
                      </w:divBdr>
                      <w:divsChild>
                        <w:div w:id="903369004">
                          <w:marLeft w:val="0"/>
                          <w:marRight w:val="0"/>
                          <w:marTop w:val="0"/>
                          <w:marBottom w:val="0"/>
                          <w:divBdr>
                            <w:top w:val="none" w:sz="0" w:space="0" w:color="auto"/>
                            <w:left w:val="none" w:sz="0" w:space="0" w:color="auto"/>
                            <w:bottom w:val="none" w:sz="0" w:space="0" w:color="auto"/>
                            <w:right w:val="none" w:sz="0" w:space="0" w:color="auto"/>
                          </w:divBdr>
                          <w:divsChild>
                            <w:div w:id="12111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823345">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6284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C4CA-8269-4F23-A533-BEFEE113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28764</Words>
  <Characters>16396</Characters>
  <Application>Microsoft Office Word</Application>
  <DocSecurity>0</DocSecurity>
  <Lines>136</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"Tieslietu ministrijas nolikums" sākotnējās ietekmes novērtējuma ziņojums (anotācija)</vt:lpstr>
      <vt:lpstr>Pilns nosaukums</vt:lpstr>
    </vt:vector>
  </TitlesOfParts>
  <Company>Tieslietu ministrija</Company>
  <LinksUpToDate>false</LinksUpToDate>
  <CharactersWithSpaces>45070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"Tieslietu ministrijas nolikums" sākotnējās ietekmes novērtējuma ziņojums (anotācija)</dc:title>
  <dc:subject>Anotācija</dc:subject>
  <dc:creator>Ilze Brazauska</dc:creator>
  <dc:description>67036933, ilze.brazauska@tm.gov.lv</dc:description>
  <cp:lastModifiedBy>Ilze Brazauska</cp:lastModifiedBy>
  <cp:revision>9</cp:revision>
  <cp:lastPrinted>2017-05-13T11:22:00Z</cp:lastPrinted>
  <dcterms:created xsi:type="dcterms:W3CDTF">2017-05-24T13:28:00Z</dcterms:created>
  <dcterms:modified xsi:type="dcterms:W3CDTF">2017-06-02T07:22:00Z</dcterms:modified>
</cp:coreProperties>
</file>