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2D3AA" w14:textId="7DB4388F" w:rsidR="00A135EE" w:rsidRPr="004D4515" w:rsidRDefault="00B732C6" w:rsidP="00A135EE">
      <w:pPr>
        <w:spacing w:after="0" w:line="240" w:lineRule="auto"/>
        <w:jc w:val="center"/>
        <w:rPr>
          <w:rFonts w:ascii="Times New Roman" w:hAnsi="Times New Roman" w:cs="Times New Roman"/>
          <w:b/>
          <w:bCs/>
          <w:color w:val="auto"/>
          <w:sz w:val="24"/>
          <w:szCs w:val="24"/>
          <w:shd w:val="clear" w:color="auto" w:fill="FFFFFF"/>
        </w:rPr>
      </w:pPr>
      <w:r>
        <w:rPr>
          <w:rFonts w:ascii="Times New Roman" w:hAnsi="Times New Roman" w:cs="Times New Roman"/>
          <w:b/>
          <w:bCs/>
          <w:color w:val="auto"/>
          <w:sz w:val="24"/>
          <w:szCs w:val="24"/>
        </w:rPr>
        <w:t>Ministru kabineta noteikumu projekta “</w:t>
      </w:r>
      <w:r w:rsidRPr="00B732C6">
        <w:rPr>
          <w:rFonts w:ascii="Times New Roman" w:hAnsi="Times New Roman" w:cs="Times New Roman"/>
          <w:b/>
          <w:bCs/>
          <w:color w:val="auto"/>
          <w:sz w:val="24"/>
          <w:szCs w:val="24"/>
        </w:rPr>
        <w:t>Politiskajām organizācijām (partijām) piešķirtā valsts budžeta finansējuma izlietojuma noteikumi</w:t>
      </w:r>
      <w:r>
        <w:rPr>
          <w:rFonts w:ascii="Times New Roman" w:hAnsi="Times New Roman" w:cs="Times New Roman"/>
          <w:b/>
          <w:bCs/>
          <w:color w:val="auto"/>
          <w:sz w:val="24"/>
          <w:szCs w:val="24"/>
        </w:rPr>
        <w:t>”</w:t>
      </w:r>
      <w:r w:rsidR="00A135EE" w:rsidRPr="0064585B">
        <w:rPr>
          <w:rFonts w:ascii="Times New Roman" w:hAnsi="Times New Roman" w:cs="Times New Roman"/>
          <w:b/>
          <w:bCs/>
          <w:color w:val="auto"/>
          <w:sz w:val="24"/>
          <w:szCs w:val="24"/>
        </w:rPr>
        <w:t xml:space="preserve"> </w:t>
      </w:r>
      <w:r w:rsidR="00A135EE" w:rsidRPr="004D4515">
        <w:rPr>
          <w:rFonts w:ascii="Times New Roman" w:hAnsi="Times New Roman" w:cs="Times New Roman"/>
          <w:b/>
          <w:bCs/>
          <w:color w:val="auto"/>
          <w:sz w:val="24"/>
          <w:szCs w:val="24"/>
          <w:shd w:val="clear" w:color="auto" w:fill="FFFFFF"/>
        </w:rPr>
        <w:t>sākotnējās ietekmes novērtējuma ziņojums (anotācija)</w:t>
      </w:r>
    </w:p>
    <w:p w14:paraId="52166924" w14:textId="77777777" w:rsidR="00D93A15" w:rsidRPr="004D4515" w:rsidRDefault="00D93A15">
      <w:pPr>
        <w:shd w:val="clear" w:color="auto" w:fill="FFFFFF"/>
        <w:spacing w:after="0" w:line="240" w:lineRule="auto"/>
        <w:jc w:val="center"/>
        <w:rPr>
          <w:rFonts w:ascii="Times New Roman" w:eastAsia="Times New Roman" w:hAnsi="Times New Roman" w:cs="Times New Roman"/>
          <w:b/>
          <w:bCs/>
          <w:color w:val="auto"/>
          <w:sz w:val="28"/>
          <w:szCs w:val="24"/>
          <w:lang w:eastAsia="lv-LV"/>
        </w:rPr>
      </w:pPr>
    </w:p>
    <w:tbl>
      <w:tblPr>
        <w:tblW w:w="5078" w:type="pct"/>
        <w:tblInd w:w="-13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3630"/>
        <w:gridCol w:w="5566"/>
      </w:tblGrid>
      <w:tr w:rsidR="0064585B" w:rsidRPr="0064585B" w14:paraId="7B810748" w14:textId="77777777" w:rsidTr="0097372E">
        <w:tc>
          <w:tcPr>
            <w:tcW w:w="9196" w:type="dxa"/>
            <w:gridSpan w:val="2"/>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40CC5FB9" w14:textId="77777777" w:rsidR="00D93A15" w:rsidRPr="004D4515" w:rsidRDefault="00CD56A5">
            <w:pPr>
              <w:spacing w:after="0" w:line="240" w:lineRule="auto"/>
              <w:rPr>
                <w:rFonts w:ascii="Times New Roman" w:eastAsia="Times New Roman" w:hAnsi="Times New Roman" w:cs="Times New Roman"/>
                <w:b/>
                <w:bCs/>
                <w:iCs/>
                <w:color w:val="auto"/>
                <w:sz w:val="24"/>
                <w:szCs w:val="24"/>
                <w:lang w:val="sv-SE" w:eastAsia="lv-LV"/>
              </w:rPr>
            </w:pPr>
            <w:r w:rsidRPr="004D4515">
              <w:rPr>
                <w:rFonts w:ascii="Times New Roman" w:eastAsia="Times New Roman" w:hAnsi="Times New Roman" w:cs="Times New Roman"/>
                <w:b/>
                <w:bCs/>
                <w:iCs/>
                <w:color w:val="auto"/>
                <w:sz w:val="24"/>
                <w:szCs w:val="24"/>
                <w:lang w:eastAsia="lv-LV"/>
              </w:rPr>
              <w:t>Tiesību akta projekta anotācijas kopsavilkums</w:t>
            </w:r>
          </w:p>
        </w:tc>
      </w:tr>
      <w:tr w:rsidR="0064585B" w:rsidRPr="0064585B" w14:paraId="54D101BF" w14:textId="77777777" w:rsidTr="0097372E">
        <w:tc>
          <w:tcPr>
            <w:tcW w:w="363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20015583" w14:textId="77777777" w:rsidR="00D93A15" w:rsidRPr="0064585B" w:rsidRDefault="00CD56A5">
            <w:pPr>
              <w:spacing w:after="0" w:line="240" w:lineRule="auto"/>
              <w:rPr>
                <w:rFonts w:ascii="Times New Roman" w:eastAsia="Times New Roman" w:hAnsi="Times New Roman" w:cs="Times New Roman"/>
                <w:iCs/>
                <w:color w:val="auto"/>
                <w:sz w:val="24"/>
                <w:szCs w:val="24"/>
                <w:lang w:val="sv-SE" w:eastAsia="lv-LV"/>
              </w:rPr>
            </w:pPr>
            <w:r w:rsidRPr="0064585B">
              <w:rPr>
                <w:rFonts w:ascii="Times New Roman" w:eastAsia="Times New Roman" w:hAnsi="Times New Roman" w:cs="Times New Roman"/>
                <w:iCs/>
                <w:color w:val="auto"/>
                <w:sz w:val="24"/>
                <w:szCs w:val="24"/>
                <w:lang w:eastAsia="lv-LV"/>
              </w:rPr>
              <w:t>Mērķis, risinājums un projekta spēkā stāšanās laiks (500 zīmes bez atstarpēm)</w:t>
            </w:r>
          </w:p>
        </w:tc>
        <w:tc>
          <w:tcPr>
            <w:tcW w:w="556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076A674" w14:textId="54F990A7" w:rsidR="00B732C6" w:rsidRDefault="009D0B99" w:rsidP="00B732C6">
            <w:pPr>
              <w:spacing w:after="0" w:line="240" w:lineRule="auto"/>
              <w:jc w:val="both"/>
              <w:rPr>
                <w:rFonts w:ascii="Times New Roman" w:eastAsia="SimSun" w:hAnsi="Times New Roman" w:cs="Mangal"/>
                <w:color w:val="auto"/>
                <w:kern w:val="3"/>
                <w:sz w:val="24"/>
                <w:szCs w:val="24"/>
                <w:lang w:eastAsia="zh-CN" w:bidi="hi-IN"/>
              </w:rPr>
            </w:pPr>
            <w:r w:rsidRPr="0064585B">
              <w:rPr>
                <w:rFonts w:ascii="Times New Roman" w:eastAsia="Times New Roman" w:hAnsi="Times New Roman" w:cs="Times New Roman"/>
                <w:iCs/>
                <w:color w:val="auto"/>
                <w:sz w:val="24"/>
                <w:szCs w:val="24"/>
                <w:lang w:val="sv-SE" w:eastAsia="lv-LV"/>
              </w:rPr>
              <w:t xml:space="preserve"> </w:t>
            </w:r>
            <w:r w:rsidR="00B732C6" w:rsidRPr="00B732C6">
              <w:rPr>
                <w:rFonts w:ascii="Times New Roman" w:eastAsia="Times New Roman" w:hAnsi="Times New Roman" w:cs="Times New Roman"/>
                <w:iCs/>
                <w:color w:val="auto"/>
                <w:sz w:val="24"/>
                <w:szCs w:val="24"/>
                <w:lang w:val="sv-SE" w:eastAsia="lv-LV"/>
              </w:rPr>
              <w:t xml:space="preserve">Ministru kabineta noteikumu projekta “Politiskajām organizācijām (partijām) piešķirtā valsts budžeta finansējuma izlietojuma noteikumi” </w:t>
            </w:r>
            <w:r w:rsidR="00E6416A">
              <w:rPr>
                <w:rFonts w:ascii="Times New Roman" w:eastAsia="Times New Roman" w:hAnsi="Times New Roman" w:cs="Times New Roman"/>
                <w:iCs/>
                <w:color w:val="auto"/>
                <w:sz w:val="24"/>
                <w:szCs w:val="24"/>
                <w:lang w:val="sv-SE" w:eastAsia="lv-LV"/>
              </w:rPr>
              <w:t xml:space="preserve">(turpmāk – Projekts) </w:t>
            </w:r>
            <w:r w:rsidR="00B732C6">
              <w:rPr>
                <w:rFonts w:ascii="Times New Roman" w:eastAsia="Times New Roman" w:hAnsi="Times New Roman" w:cs="Times New Roman"/>
                <w:iCs/>
                <w:color w:val="auto"/>
                <w:sz w:val="24"/>
                <w:szCs w:val="24"/>
                <w:lang w:val="sv-SE" w:eastAsia="lv-LV"/>
              </w:rPr>
              <w:t xml:space="preserve">mērķis ir </w:t>
            </w:r>
            <w:r w:rsidR="00BD294B">
              <w:rPr>
                <w:rFonts w:ascii="Times New Roman" w:eastAsia="Times New Roman" w:hAnsi="Times New Roman" w:cs="Times New Roman"/>
                <w:iCs/>
                <w:color w:val="auto"/>
                <w:sz w:val="24"/>
                <w:szCs w:val="24"/>
                <w:lang w:val="sv-SE" w:eastAsia="lv-LV"/>
              </w:rPr>
              <w:t>i</w:t>
            </w:r>
            <w:r w:rsidR="00B732C6">
              <w:rPr>
                <w:rFonts w:ascii="Times New Roman" w:eastAsia="Times New Roman" w:hAnsi="Times New Roman" w:cs="Times New Roman"/>
                <w:iCs/>
                <w:color w:val="auto"/>
                <w:sz w:val="24"/>
                <w:szCs w:val="24"/>
                <w:lang w:val="sv-SE" w:eastAsia="lv-LV"/>
              </w:rPr>
              <w:t>zpildīt Politisko organizāciju (partiju)</w:t>
            </w:r>
            <w:r w:rsidR="00A82058">
              <w:rPr>
                <w:rFonts w:ascii="Times New Roman" w:eastAsia="Times New Roman" w:hAnsi="Times New Roman" w:cs="Times New Roman"/>
                <w:iCs/>
                <w:color w:val="auto"/>
                <w:sz w:val="24"/>
                <w:szCs w:val="24"/>
                <w:lang w:val="sv-SE" w:eastAsia="lv-LV"/>
              </w:rPr>
              <w:t xml:space="preserve"> finansēšanas</w:t>
            </w:r>
            <w:r w:rsidR="00B732C6">
              <w:rPr>
                <w:rFonts w:ascii="Times New Roman" w:eastAsia="Times New Roman" w:hAnsi="Times New Roman" w:cs="Times New Roman"/>
                <w:iCs/>
                <w:color w:val="auto"/>
                <w:sz w:val="24"/>
                <w:szCs w:val="24"/>
                <w:lang w:val="sv-SE" w:eastAsia="lv-LV"/>
              </w:rPr>
              <w:t xml:space="preserve"> likuma </w:t>
            </w:r>
            <w:r w:rsidR="00D0629A">
              <w:rPr>
                <w:rFonts w:ascii="Times New Roman" w:eastAsia="Times New Roman" w:hAnsi="Times New Roman" w:cs="Times New Roman"/>
                <w:iCs/>
                <w:color w:val="auto"/>
                <w:sz w:val="24"/>
                <w:szCs w:val="24"/>
                <w:lang w:val="sv-SE" w:eastAsia="lv-LV"/>
              </w:rPr>
              <w:t xml:space="preserve"> (turpmāk – Likums) </w:t>
            </w:r>
            <w:r w:rsidR="00B732C6">
              <w:rPr>
                <w:rFonts w:ascii="Times New Roman" w:eastAsia="Times New Roman" w:hAnsi="Times New Roman" w:cs="Times New Roman"/>
                <w:iCs/>
                <w:color w:val="auto"/>
                <w:sz w:val="24"/>
                <w:szCs w:val="24"/>
                <w:lang w:val="sv-SE" w:eastAsia="lv-LV"/>
              </w:rPr>
              <w:t xml:space="preserve">7. </w:t>
            </w:r>
            <w:r w:rsidR="00B732C6">
              <w:rPr>
                <w:rFonts w:ascii="Times New Roman" w:eastAsia="Times New Roman" w:hAnsi="Times New Roman" w:cs="Times New Roman"/>
                <w:iCs/>
                <w:color w:val="auto"/>
                <w:sz w:val="24"/>
                <w:szCs w:val="24"/>
                <w:vertAlign w:val="superscript"/>
                <w:lang w:val="sv-SE" w:eastAsia="lv-LV"/>
              </w:rPr>
              <w:t xml:space="preserve">4 </w:t>
            </w:r>
            <w:r w:rsidR="00B732C6">
              <w:rPr>
                <w:rFonts w:ascii="Times New Roman" w:eastAsia="Times New Roman" w:hAnsi="Times New Roman" w:cs="Times New Roman"/>
                <w:iCs/>
                <w:color w:val="auto"/>
                <w:sz w:val="24"/>
                <w:szCs w:val="24"/>
                <w:lang w:val="sv-SE" w:eastAsia="lv-LV"/>
              </w:rPr>
              <w:t>panta 1. </w:t>
            </w:r>
            <w:r w:rsidR="00B732C6" w:rsidRPr="00B732C6">
              <w:rPr>
                <w:rFonts w:ascii="Times New Roman" w:eastAsia="SimSun" w:hAnsi="Times New Roman" w:cs="Mangal"/>
                <w:color w:val="auto"/>
                <w:kern w:val="3"/>
                <w:sz w:val="24"/>
                <w:szCs w:val="24"/>
                <w:vertAlign w:val="superscript"/>
                <w:lang w:eastAsia="zh-CN" w:bidi="hi-IN"/>
              </w:rPr>
              <w:t>1</w:t>
            </w:r>
            <w:r w:rsidR="00B732C6" w:rsidRPr="00B732C6">
              <w:rPr>
                <w:rFonts w:ascii="Times New Roman" w:eastAsia="SimSun" w:hAnsi="Times New Roman" w:cs="Mangal"/>
                <w:color w:val="auto"/>
                <w:kern w:val="3"/>
                <w:sz w:val="24"/>
                <w:szCs w:val="24"/>
                <w:lang w:eastAsia="zh-CN" w:bidi="hi-IN"/>
              </w:rPr>
              <w:t xml:space="preserve"> daļā paredzēto deleģējumu, nosakot politiskajām organizācijām (partijām) piešķirtā valsts budžeta finansējuma izlietojuma mērķu grupu veidus un pieļaujamos izdevumus.</w:t>
            </w:r>
          </w:p>
          <w:p w14:paraId="2096D0B2" w14:textId="052F3468" w:rsidR="00B732C6" w:rsidRPr="00B732C6" w:rsidRDefault="00B732C6" w:rsidP="00B732C6">
            <w:pPr>
              <w:spacing w:after="0" w:line="240" w:lineRule="auto"/>
              <w:jc w:val="both"/>
              <w:rPr>
                <w:rFonts w:cs="Times New Roman"/>
                <w:iCs/>
                <w:color w:val="auto"/>
                <w:sz w:val="24"/>
                <w:szCs w:val="24"/>
              </w:rPr>
            </w:pPr>
            <w:r>
              <w:rPr>
                <w:rFonts w:ascii="Times New Roman" w:eastAsia="SimSun" w:hAnsi="Times New Roman" w:cs="Mangal"/>
                <w:color w:val="auto"/>
                <w:kern w:val="3"/>
                <w:sz w:val="24"/>
                <w:szCs w:val="24"/>
                <w:lang w:eastAsia="zh-CN" w:bidi="hi-IN"/>
              </w:rPr>
              <w:t>Projekts stāsies spēkā 2020. gada 1</w:t>
            </w:r>
            <w:r w:rsidR="00A82058">
              <w:rPr>
                <w:rFonts w:ascii="Times New Roman" w:eastAsia="SimSun" w:hAnsi="Times New Roman" w:cs="Mangal"/>
                <w:color w:val="auto"/>
                <w:kern w:val="3"/>
                <w:sz w:val="24"/>
                <w:szCs w:val="24"/>
                <w:lang w:eastAsia="zh-CN" w:bidi="hi-IN"/>
              </w:rPr>
              <w:t>5</w:t>
            </w:r>
            <w:r>
              <w:rPr>
                <w:rFonts w:ascii="Times New Roman" w:eastAsia="SimSun" w:hAnsi="Times New Roman" w:cs="Mangal"/>
                <w:color w:val="auto"/>
                <w:kern w:val="3"/>
                <w:sz w:val="24"/>
                <w:szCs w:val="24"/>
                <w:lang w:eastAsia="zh-CN" w:bidi="hi-IN"/>
              </w:rPr>
              <w:t>. janvārī.</w:t>
            </w:r>
          </w:p>
        </w:tc>
      </w:tr>
    </w:tbl>
    <w:p w14:paraId="757C5DC5" w14:textId="77777777" w:rsidR="006122EF" w:rsidRPr="0064585B" w:rsidRDefault="006122EF">
      <w:pPr>
        <w:spacing w:after="0" w:line="240" w:lineRule="auto"/>
        <w:rPr>
          <w:rFonts w:ascii="Times New Roman" w:eastAsia="Times New Roman" w:hAnsi="Times New Roman" w:cs="Times New Roman"/>
          <w:iCs/>
          <w:color w:val="auto"/>
          <w:sz w:val="24"/>
          <w:szCs w:val="24"/>
          <w:lang w:eastAsia="lv-LV"/>
        </w:rPr>
      </w:pPr>
    </w:p>
    <w:p w14:paraId="713CE85B" w14:textId="4EB449B4" w:rsidR="00D93A15" w:rsidRPr="0064585B" w:rsidRDefault="00CD56A5">
      <w:pPr>
        <w:spacing w:after="0" w:line="240" w:lineRule="auto"/>
        <w:rPr>
          <w:rFonts w:ascii="Times New Roman" w:eastAsia="Times New Roman" w:hAnsi="Times New Roman" w:cs="Times New Roman"/>
          <w:iCs/>
          <w:color w:val="auto"/>
          <w:sz w:val="24"/>
          <w:szCs w:val="24"/>
          <w:lang w:val="sv-SE" w:eastAsia="lv-LV"/>
        </w:rPr>
      </w:pPr>
      <w:r w:rsidRPr="0064585B">
        <w:rPr>
          <w:rFonts w:ascii="Times New Roman" w:eastAsia="Times New Roman" w:hAnsi="Times New Roman" w:cs="Times New Roman"/>
          <w:iCs/>
          <w:color w:val="auto"/>
          <w:sz w:val="24"/>
          <w:szCs w:val="24"/>
          <w:lang w:eastAsia="lv-LV"/>
        </w:rPr>
        <w:t xml:space="preserve">  </w:t>
      </w:r>
    </w:p>
    <w:tbl>
      <w:tblPr>
        <w:tblW w:w="5078" w:type="pct"/>
        <w:tblInd w:w="-13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576"/>
        <w:gridCol w:w="2814"/>
        <w:gridCol w:w="5806"/>
      </w:tblGrid>
      <w:tr w:rsidR="0064585B" w:rsidRPr="0064585B" w14:paraId="5E97ABF4" w14:textId="77777777" w:rsidTr="0097372E">
        <w:tc>
          <w:tcPr>
            <w:tcW w:w="919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48AAE172" w14:textId="77777777" w:rsidR="00D93A15" w:rsidRPr="0064585B" w:rsidRDefault="00CD56A5">
            <w:pPr>
              <w:spacing w:after="0" w:line="240" w:lineRule="auto"/>
              <w:rPr>
                <w:rFonts w:ascii="Times New Roman" w:eastAsia="Times New Roman" w:hAnsi="Times New Roman" w:cs="Times New Roman"/>
                <w:b/>
                <w:bCs/>
                <w:iCs/>
                <w:color w:val="auto"/>
                <w:sz w:val="24"/>
                <w:szCs w:val="24"/>
                <w:lang w:val="sv-SE" w:eastAsia="lv-LV"/>
              </w:rPr>
            </w:pPr>
            <w:r w:rsidRPr="0064585B">
              <w:rPr>
                <w:rFonts w:ascii="Times New Roman" w:eastAsia="Times New Roman" w:hAnsi="Times New Roman" w:cs="Times New Roman"/>
                <w:b/>
                <w:bCs/>
                <w:iCs/>
                <w:color w:val="auto"/>
                <w:sz w:val="24"/>
                <w:szCs w:val="24"/>
                <w:lang w:eastAsia="lv-LV"/>
              </w:rPr>
              <w:t>I. Tiesību akta projekta izstrādes nepieciešamība</w:t>
            </w:r>
          </w:p>
        </w:tc>
      </w:tr>
      <w:tr w:rsidR="0064585B" w:rsidRPr="0064585B" w14:paraId="0695992A" w14:textId="77777777" w:rsidTr="0097372E">
        <w:tc>
          <w:tcPr>
            <w:tcW w:w="57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468B0B1" w14:textId="77777777" w:rsidR="00D93A15" w:rsidRDefault="00CD56A5">
            <w:pPr>
              <w:spacing w:after="0" w:line="240" w:lineRule="auto"/>
              <w:rPr>
                <w:rFonts w:ascii="Times New Roman" w:eastAsia="Times New Roman" w:hAnsi="Times New Roman" w:cs="Times New Roman"/>
                <w:iCs/>
                <w:color w:val="auto"/>
                <w:sz w:val="24"/>
                <w:szCs w:val="24"/>
                <w:lang w:eastAsia="lv-LV"/>
              </w:rPr>
            </w:pPr>
            <w:r w:rsidRPr="0064585B">
              <w:rPr>
                <w:rFonts w:ascii="Times New Roman" w:eastAsia="Times New Roman" w:hAnsi="Times New Roman" w:cs="Times New Roman"/>
                <w:iCs/>
                <w:color w:val="auto"/>
                <w:sz w:val="24"/>
                <w:szCs w:val="24"/>
                <w:lang w:eastAsia="lv-LV"/>
              </w:rPr>
              <w:t>1.</w:t>
            </w:r>
          </w:p>
          <w:p w14:paraId="5D416F19" w14:textId="77777777" w:rsidR="00363CD3" w:rsidRPr="00363CD3" w:rsidRDefault="00363CD3" w:rsidP="00363CD3">
            <w:pPr>
              <w:rPr>
                <w:rFonts w:ascii="Times New Roman" w:eastAsia="Times New Roman" w:hAnsi="Times New Roman" w:cs="Times New Roman"/>
                <w:sz w:val="24"/>
                <w:szCs w:val="24"/>
                <w:lang w:val="en-US" w:eastAsia="lv-LV"/>
              </w:rPr>
            </w:pPr>
          </w:p>
          <w:p w14:paraId="42002D0A" w14:textId="77777777" w:rsidR="00363CD3" w:rsidRPr="00363CD3" w:rsidRDefault="00363CD3" w:rsidP="00363CD3">
            <w:pPr>
              <w:rPr>
                <w:rFonts w:ascii="Times New Roman" w:eastAsia="Times New Roman" w:hAnsi="Times New Roman" w:cs="Times New Roman"/>
                <w:sz w:val="24"/>
                <w:szCs w:val="24"/>
                <w:lang w:val="en-US" w:eastAsia="lv-LV"/>
              </w:rPr>
            </w:pPr>
          </w:p>
          <w:p w14:paraId="187A0B87" w14:textId="77777777" w:rsidR="00363CD3" w:rsidRPr="00363CD3" w:rsidRDefault="00363CD3" w:rsidP="00363CD3">
            <w:pPr>
              <w:rPr>
                <w:rFonts w:ascii="Times New Roman" w:eastAsia="Times New Roman" w:hAnsi="Times New Roman" w:cs="Times New Roman"/>
                <w:sz w:val="24"/>
                <w:szCs w:val="24"/>
                <w:lang w:val="en-US" w:eastAsia="lv-LV"/>
              </w:rPr>
            </w:pPr>
          </w:p>
          <w:p w14:paraId="60121C59" w14:textId="77777777" w:rsidR="00363CD3" w:rsidRPr="00363CD3" w:rsidRDefault="00363CD3" w:rsidP="00363CD3">
            <w:pPr>
              <w:rPr>
                <w:rFonts w:ascii="Times New Roman" w:eastAsia="Times New Roman" w:hAnsi="Times New Roman" w:cs="Times New Roman"/>
                <w:sz w:val="24"/>
                <w:szCs w:val="24"/>
                <w:lang w:val="en-US" w:eastAsia="lv-LV"/>
              </w:rPr>
            </w:pPr>
          </w:p>
          <w:p w14:paraId="0C18A1EE" w14:textId="77777777" w:rsidR="00363CD3" w:rsidRPr="00363CD3" w:rsidRDefault="00363CD3" w:rsidP="00363CD3">
            <w:pPr>
              <w:rPr>
                <w:rFonts w:ascii="Times New Roman" w:eastAsia="Times New Roman" w:hAnsi="Times New Roman" w:cs="Times New Roman"/>
                <w:sz w:val="24"/>
                <w:szCs w:val="24"/>
                <w:lang w:val="en-US" w:eastAsia="lv-LV"/>
              </w:rPr>
            </w:pPr>
          </w:p>
          <w:p w14:paraId="76E0B990" w14:textId="77777777" w:rsidR="00363CD3" w:rsidRPr="00363CD3" w:rsidRDefault="00363CD3" w:rsidP="00363CD3">
            <w:pPr>
              <w:rPr>
                <w:rFonts w:ascii="Times New Roman" w:eastAsia="Times New Roman" w:hAnsi="Times New Roman" w:cs="Times New Roman"/>
                <w:sz w:val="24"/>
                <w:szCs w:val="24"/>
                <w:lang w:val="en-US" w:eastAsia="lv-LV"/>
              </w:rPr>
            </w:pPr>
          </w:p>
          <w:p w14:paraId="7BAC8BCD" w14:textId="4C2673BB" w:rsidR="00363CD3" w:rsidRPr="00363CD3" w:rsidRDefault="00363CD3" w:rsidP="00363CD3">
            <w:pPr>
              <w:rPr>
                <w:rFonts w:ascii="Times New Roman" w:eastAsia="Times New Roman" w:hAnsi="Times New Roman" w:cs="Times New Roman"/>
                <w:sz w:val="24"/>
                <w:szCs w:val="24"/>
                <w:lang w:val="en-US" w:eastAsia="lv-LV"/>
              </w:rPr>
            </w:pPr>
          </w:p>
        </w:tc>
        <w:tc>
          <w:tcPr>
            <w:tcW w:w="2814"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39CD9637" w14:textId="77777777" w:rsidR="00D93A15" w:rsidRDefault="00CD56A5">
            <w:pPr>
              <w:spacing w:after="0" w:line="240" w:lineRule="auto"/>
              <w:rPr>
                <w:rFonts w:ascii="Times New Roman" w:eastAsia="Times New Roman" w:hAnsi="Times New Roman" w:cs="Times New Roman"/>
                <w:iCs/>
                <w:color w:val="auto"/>
                <w:sz w:val="24"/>
                <w:szCs w:val="24"/>
                <w:lang w:eastAsia="lv-LV"/>
              </w:rPr>
            </w:pPr>
            <w:r w:rsidRPr="0064585B">
              <w:rPr>
                <w:rFonts w:ascii="Times New Roman" w:eastAsia="Times New Roman" w:hAnsi="Times New Roman" w:cs="Times New Roman"/>
                <w:iCs/>
                <w:color w:val="auto"/>
                <w:sz w:val="24"/>
                <w:szCs w:val="24"/>
                <w:lang w:eastAsia="lv-LV"/>
              </w:rPr>
              <w:t>Pamatojums</w:t>
            </w:r>
          </w:p>
          <w:p w14:paraId="24ED278B" w14:textId="77777777" w:rsidR="000F5A62" w:rsidRPr="003B45D5" w:rsidRDefault="000F5A62" w:rsidP="003B45D5">
            <w:pPr>
              <w:rPr>
                <w:rFonts w:ascii="Times New Roman" w:eastAsia="Times New Roman" w:hAnsi="Times New Roman" w:cs="Times New Roman"/>
                <w:sz w:val="24"/>
                <w:szCs w:val="24"/>
                <w:lang w:val="en-US" w:eastAsia="lv-LV"/>
              </w:rPr>
            </w:pPr>
          </w:p>
          <w:p w14:paraId="2198FBE4" w14:textId="77777777" w:rsidR="000F5A62" w:rsidRPr="003B45D5" w:rsidRDefault="000F5A62" w:rsidP="003B45D5">
            <w:pPr>
              <w:rPr>
                <w:rFonts w:ascii="Times New Roman" w:eastAsia="Times New Roman" w:hAnsi="Times New Roman" w:cs="Times New Roman"/>
                <w:sz w:val="24"/>
                <w:szCs w:val="24"/>
                <w:lang w:val="en-US" w:eastAsia="lv-LV"/>
              </w:rPr>
            </w:pPr>
          </w:p>
          <w:p w14:paraId="0CC91E19" w14:textId="77777777" w:rsidR="000F5A62" w:rsidRPr="003B45D5" w:rsidRDefault="000F5A62" w:rsidP="003B45D5">
            <w:pPr>
              <w:rPr>
                <w:rFonts w:ascii="Times New Roman" w:eastAsia="Times New Roman" w:hAnsi="Times New Roman" w:cs="Times New Roman"/>
                <w:sz w:val="24"/>
                <w:szCs w:val="24"/>
                <w:lang w:val="en-US" w:eastAsia="lv-LV"/>
              </w:rPr>
            </w:pPr>
          </w:p>
          <w:p w14:paraId="4A57FDA0" w14:textId="77777777" w:rsidR="000F5A62" w:rsidRPr="003B45D5" w:rsidRDefault="000F5A62" w:rsidP="003B45D5">
            <w:pPr>
              <w:rPr>
                <w:rFonts w:ascii="Times New Roman" w:eastAsia="Times New Roman" w:hAnsi="Times New Roman" w:cs="Times New Roman"/>
                <w:sz w:val="24"/>
                <w:szCs w:val="24"/>
                <w:lang w:val="en-US" w:eastAsia="lv-LV"/>
              </w:rPr>
            </w:pPr>
          </w:p>
          <w:p w14:paraId="090AA727" w14:textId="77777777" w:rsidR="000F5A62" w:rsidRPr="003B45D5" w:rsidRDefault="000F5A62" w:rsidP="003B45D5">
            <w:pPr>
              <w:rPr>
                <w:rFonts w:ascii="Times New Roman" w:eastAsia="Times New Roman" w:hAnsi="Times New Roman" w:cs="Times New Roman"/>
                <w:sz w:val="24"/>
                <w:szCs w:val="24"/>
                <w:lang w:val="en-US" w:eastAsia="lv-LV"/>
              </w:rPr>
            </w:pPr>
          </w:p>
          <w:p w14:paraId="42377D96" w14:textId="77777777" w:rsidR="000F5A62" w:rsidRPr="003B45D5" w:rsidRDefault="000F5A62" w:rsidP="003B45D5">
            <w:pPr>
              <w:rPr>
                <w:rFonts w:ascii="Times New Roman" w:eastAsia="Times New Roman" w:hAnsi="Times New Roman" w:cs="Times New Roman"/>
                <w:sz w:val="24"/>
                <w:szCs w:val="24"/>
                <w:lang w:val="en-US" w:eastAsia="lv-LV"/>
              </w:rPr>
            </w:pPr>
          </w:p>
          <w:p w14:paraId="6D41378C" w14:textId="77777777" w:rsidR="000F5A62" w:rsidRPr="003B45D5" w:rsidRDefault="000F5A62" w:rsidP="003B45D5">
            <w:pPr>
              <w:rPr>
                <w:rFonts w:ascii="Times New Roman" w:eastAsia="Times New Roman" w:hAnsi="Times New Roman" w:cs="Times New Roman"/>
                <w:sz w:val="24"/>
                <w:szCs w:val="24"/>
                <w:lang w:val="en-US" w:eastAsia="lv-LV"/>
              </w:rPr>
            </w:pPr>
          </w:p>
          <w:p w14:paraId="78675655" w14:textId="77777777" w:rsidR="000F5A62" w:rsidRPr="003B45D5" w:rsidRDefault="000F5A62" w:rsidP="003B45D5">
            <w:pPr>
              <w:rPr>
                <w:rFonts w:ascii="Times New Roman" w:eastAsia="Times New Roman" w:hAnsi="Times New Roman" w:cs="Times New Roman"/>
                <w:sz w:val="24"/>
                <w:szCs w:val="24"/>
                <w:lang w:val="en-US" w:eastAsia="lv-LV"/>
              </w:rPr>
            </w:pPr>
          </w:p>
          <w:p w14:paraId="4209F288" w14:textId="77777777" w:rsidR="000F5A62" w:rsidRPr="003B45D5" w:rsidRDefault="000F5A62" w:rsidP="003B45D5">
            <w:pPr>
              <w:rPr>
                <w:rFonts w:ascii="Times New Roman" w:eastAsia="Times New Roman" w:hAnsi="Times New Roman" w:cs="Times New Roman"/>
                <w:sz w:val="24"/>
                <w:szCs w:val="24"/>
                <w:lang w:val="en-US" w:eastAsia="lv-LV"/>
              </w:rPr>
            </w:pPr>
          </w:p>
          <w:p w14:paraId="25ED81D8" w14:textId="77777777" w:rsidR="000F5A62" w:rsidRPr="003B45D5" w:rsidRDefault="000F5A62" w:rsidP="003B45D5">
            <w:pPr>
              <w:rPr>
                <w:rFonts w:ascii="Times New Roman" w:eastAsia="Times New Roman" w:hAnsi="Times New Roman" w:cs="Times New Roman"/>
                <w:sz w:val="24"/>
                <w:szCs w:val="24"/>
                <w:lang w:val="en-US" w:eastAsia="lv-LV"/>
              </w:rPr>
            </w:pPr>
          </w:p>
          <w:p w14:paraId="0B5D199D" w14:textId="77777777" w:rsidR="000F5A62" w:rsidRPr="003B45D5" w:rsidRDefault="000F5A62" w:rsidP="003B45D5">
            <w:pPr>
              <w:rPr>
                <w:rFonts w:ascii="Times New Roman" w:eastAsia="Times New Roman" w:hAnsi="Times New Roman" w:cs="Times New Roman"/>
                <w:sz w:val="24"/>
                <w:szCs w:val="24"/>
                <w:lang w:val="en-US" w:eastAsia="lv-LV"/>
              </w:rPr>
            </w:pPr>
          </w:p>
          <w:p w14:paraId="257C2159" w14:textId="2E9055F3" w:rsidR="000F5A62" w:rsidRPr="003B45D5" w:rsidRDefault="000F5A62" w:rsidP="00EC7B3C">
            <w:pPr>
              <w:rPr>
                <w:rFonts w:ascii="Times New Roman" w:eastAsia="Times New Roman" w:hAnsi="Times New Roman" w:cs="Times New Roman"/>
                <w:sz w:val="24"/>
                <w:szCs w:val="24"/>
                <w:lang w:val="en-US" w:eastAsia="lv-LV"/>
              </w:rPr>
            </w:pPr>
          </w:p>
        </w:tc>
        <w:tc>
          <w:tcPr>
            <w:tcW w:w="58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20560CF6" w14:textId="409B5E85" w:rsidR="00AC4AC7" w:rsidRDefault="00056BB8" w:rsidP="00056BB8">
            <w:pPr>
              <w:spacing w:after="0" w:line="240" w:lineRule="auto"/>
              <w:jc w:val="both"/>
              <w:rPr>
                <w:rFonts w:ascii="Times New Roman" w:hAnsi="Times New Roman" w:cs="Times New Roman"/>
                <w:color w:val="auto"/>
                <w:sz w:val="24"/>
                <w:szCs w:val="24"/>
                <w:lang w:eastAsia="lv-LV"/>
              </w:rPr>
            </w:pPr>
            <w:r w:rsidRPr="00056BB8">
              <w:rPr>
                <w:rFonts w:ascii="Times New Roman" w:hAnsi="Times New Roman" w:cs="Times New Roman"/>
                <w:color w:val="auto"/>
                <w:sz w:val="24"/>
                <w:szCs w:val="24"/>
                <w:lang w:eastAsia="lv-LV"/>
              </w:rPr>
              <w:t>2019. gada 14. novembrī Saeima 2. lasījumā (galīgajā) pieņēma grozījumus Politisko organizāciju (partiju)</w:t>
            </w:r>
            <w:r w:rsidR="00A82058">
              <w:rPr>
                <w:rFonts w:ascii="Times New Roman" w:hAnsi="Times New Roman" w:cs="Times New Roman"/>
                <w:color w:val="auto"/>
                <w:sz w:val="24"/>
                <w:szCs w:val="24"/>
                <w:lang w:eastAsia="lv-LV"/>
              </w:rPr>
              <w:t xml:space="preserve"> finansēšanas</w:t>
            </w:r>
            <w:r w:rsidRPr="00056BB8">
              <w:rPr>
                <w:rFonts w:ascii="Times New Roman" w:hAnsi="Times New Roman" w:cs="Times New Roman"/>
                <w:color w:val="auto"/>
                <w:sz w:val="24"/>
                <w:szCs w:val="24"/>
                <w:lang w:eastAsia="lv-LV"/>
              </w:rPr>
              <w:t xml:space="preserve"> likumā (turpmāk – Likum</w:t>
            </w:r>
            <w:r w:rsidR="00D0629A">
              <w:rPr>
                <w:rFonts w:ascii="Times New Roman" w:hAnsi="Times New Roman" w:cs="Times New Roman"/>
                <w:color w:val="auto"/>
                <w:sz w:val="24"/>
                <w:szCs w:val="24"/>
                <w:lang w:eastAsia="lv-LV"/>
              </w:rPr>
              <w:t>a grozījumi</w:t>
            </w:r>
            <w:r w:rsidRPr="00056BB8">
              <w:rPr>
                <w:rFonts w:ascii="Times New Roman" w:hAnsi="Times New Roman" w:cs="Times New Roman"/>
                <w:color w:val="auto"/>
                <w:sz w:val="24"/>
                <w:szCs w:val="24"/>
                <w:lang w:eastAsia="lv-LV"/>
              </w:rPr>
              <w:t>), kas stā</w:t>
            </w:r>
            <w:r>
              <w:rPr>
                <w:rFonts w:ascii="Times New Roman" w:hAnsi="Times New Roman" w:cs="Times New Roman"/>
                <w:color w:val="auto"/>
                <w:sz w:val="24"/>
                <w:szCs w:val="24"/>
                <w:lang w:eastAsia="lv-LV"/>
              </w:rPr>
              <w:t>jas</w:t>
            </w:r>
            <w:r w:rsidRPr="00056BB8">
              <w:rPr>
                <w:rFonts w:ascii="Times New Roman" w:hAnsi="Times New Roman" w:cs="Times New Roman"/>
                <w:color w:val="auto"/>
                <w:sz w:val="24"/>
                <w:szCs w:val="24"/>
                <w:lang w:eastAsia="lv-LV"/>
              </w:rPr>
              <w:t xml:space="preserve"> spēkā 2020. gada 1. janvārī. Minētie grozījumi citastarp Likuma 7. </w:t>
            </w:r>
            <w:r w:rsidRPr="00056BB8">
              <w:rPr>
                <w:rFonts w:ascii="Times New Roman" w:hAnsi="Times New Roman" w:cs="Times New Roman"/>
                <w:color w:val="auto"/>
                <w:sz w:val="24"/>
                <w:szCs w:val="24"/>
                <w:vertAlign w:val="superscript"/>
                <w:lang w:eastAsia="lv-LV"/>
              </w:rPr>
              <w:t>4</w:t>
            </w:r>
            <w:r w:rsidRPr="00056BB8">
              <w:rPr>
                <w:rFonts w:ascii="Times New Roman" w:hAnsi="Times New Roman" w:cs="Times New Roman"/>
                <w:color w:val="auto"/>
                <w:sz w:val="24"/>
                <w:szCs w:val="24"/>
                <w:lang w:eastAsia="lv-LV"/>
              </w:rPr>
              <w:t xml:space="preserve"> panta 1. </w:t>
            </w:r>
            <w:r w:rsidRPr="00056BB8">
              <w:rPr>
                <w:rFonts w:ascii="Times New Roman" w:hAnsi="Times New Roman" w:cs="Times New Roman"/>
                <w:color w:val="auto"/>
                <w:sz w:val="24"/>
                <w:szCs w:val="24"/>
                <w:vertAlign w:val="superscript"/>
                <w:lang w:eastAsia="lv-LV"/>
              </w:rPr>
              <w:t>1</w:t>
            </w:r>
            <w:r w:rsidRPr="00056BB8">
              <w:rPr>
                <w:rFonts w:ascii="Times New Roman" w:hAnsi="Times New Roman" w:cs="Times New Roman"/>
                <w:color w:val="auto"/>
                <w:sz w:val="24"/>
                <w:szCs w:val="24"/>
                <w:lang w:eastAsia="lv-LV"/>
              </w:rPr>
              <w:t xml:space="preserve"> daļā paredz Ministru kabinetam deleģējumu izdot noteikumus, kuros nosaka valsts budžeta finansējuma izlietojuma mērķu grupu veidus un pieļaujamos izdevumus. </w:t>
            </w:r>
            <w:r w:rsidR="00AC4AC7">
              <w:rPr>
                <w:rFonts w:ascii="Times New Roman" w:hAnsi="Times New Roman" w:cs="Times New Roman"/>
                <w:color w:val="auto"/>
                <w:sz w:val="24"/>
                <w:szCs w:val="24"/>
                <w:lang w:eastAsia="lv-LV"/>
              </w:rPr>
              <w:t>N</w:t>
            </w:r>
            <w:r w:rsidRPr="00056BB8">
              <w:rPr>
                <w:rFonts w:ascii="Times New Roman" w:hAnsi="Times New Roman" w:cs="Times New Roman"/>
                <w:color w:val="auto"/>
                <w:sz w:val="24"/>
                <w:szCs w:val="24"/>
                <w:lang w:eastAsia="lv-LV"/>
              </w:rPr>
              <w:t>oteikumu izdošanas termiņš ir 2020.</w:t>
            </w:r>
            <w:r w:rsidR="00AC4AC7">
              <w:rPr>
                <w:rFonts w:ascii="Times New Roman" w:hAnsi="Times New Roman" w:cs="Times New Roman"/>
                <w:color w:val="auto"/>
                <w:sz w:val="24"/>
                <w:szCs w:val="24"/>
                <w:lang w:eastAsia="lv-LV"/>
              </w:rPr>
              <w:t> </w:t>
            </w:r>
            <w:r w:rsidRPr="00056BB8">
              <w:rPr>
                <w:rFonts w:ascii="Times New Roman" w:hAnsi="Times New Roman" w:cs="Times New Roman"/>
                <w:color w:val="auto"/>
                <w:sz w:val="24"/>
                <w:szCs w:val="24"/>
                <w:lang w:eastAsia="lv-LV"/>
              </w:rPr>
              <w:t>gada 15.</w:t>
            </w:r>
            <w:r w:rsidR="00AC4AC7">
              <w:rPr>
                <w:rFonts w:ascii="Times New Roman" w:hAnsi="Times New Roman" w:cs="Times New Roman"/>
                <w:color w:val="auto"/>
                <w:sz w:val="24"/>
                <w:szCs w:val="24"/>
                <w:lang w:eastAsia="lv-LV"/>
              </w:rPr>
              <w:t> </w:t>
            </w:r>
            <w:r w:rsidRPr="00056BB8">
              <w:rPr>
                <w:rFonts w:ascii="Times New Roman" w:hAnsi="Times New Roman" w:cs="Times New Roman"/>
                <w:color w:val="auto"/>
                <w:sz w:val="24"/>
                <w:szCs w:val="24"/>
                <w:lang w:eastAsia="lv-LV"/>
              </w:rPr>
              <w:t xml:space="preserve">janvāris. </w:t>
            </w:r>
          </w:p>
          <w:p w14:paraId="26182023" w14:textId="0769B85A" w:rsidR="00475528" w:rsidRPr="00EC7B3C" w:rsidRDefault="00056BB8" w:rsidP="006262A8">
            <w:pPr>
              <w:spacing w:after="0" w:line="240" w:lineRule="auto"/>
              <w:jc w:val="both"/>
              <w:rPr>
                <w:rFonts w:ascii="Times New Roman" w:hAnsi="Times New Roman" w:cs="Times New Roman"/>
                <w:color w:val="auto"/>
                <w:sz w:val="24"/>
                <w:szCs w:val="24"/>
                <w:lang w:eastAsia="lv-LV"/>
              </w:rPr>
            </w:pPr>
            <w:r w:rsidRPr="00056BB8">
              <w:rPr>
                <w:rFonts w:ascii="Times New Roman" w:hAnsi="Times New Roman" w:cs="Times New Roman"/>
                <w:color w:val="auto"/>
                <w:sz w:val="24"/>
                <w:szCs w:val="24"/>
                <w:lang w:eastAsia="lv-LV"/>
              </w:rPr>
              <w:t xml:space="preserve">Saistībā ar Likuma 7. </w:t>
            </w:r>
            <w:r w:rsidRPr="00AC4AC7">
              <w:rPr>
                <w:rFonts w:ascii="Times New Roman" w:hAnsi="Times New Roman" w:cs="Times New Roman"/>
                <w:color w:val="auto"/>
                <w:sz w:val="24"/>
                <w:szCs w:val="24"/>
                <w:vertAlign w:val="superscript"/>
                <w:lang w:eastAsia="lv-LV"/>
              </w:rPr>
              <w:t>4</w:t>
            </w:r>
            <w:r w:rsidRPr="00056BB8">
              <w:rPr>
                <w:rFonts w:ascii="Times New Roman" w:hAnsi="Times New Roman" w:cs="Times New Roman"/>
                <w:color w:val="auto"/>
                <w:sz w:val="24"/>
                <w:szCs w:val="24"/>
                <w:lang w:eastAsia="lv-LV"/>
              </w:rPr>
              <w:t xml:space="preserve"> panta 1. </w:t>
            </w:r>
            <w:r w:rsidRPr="00AC4AC7">
              <w:rPr>
                <w:rFonts w:ascii="Times New Roman" w:hAnsi="Times New Roman" w:cs="Times New Roman"/>
                <w:color w:val="auto"/>
                <w:sz w:val="24"/>
                <w:szCs w:val="24"/>
                <w:vertAlign w:val="superscript"/>
                <w:lang w:eastAsia="lv-LV"/>
              </w:rPr>
              <w:t>1</w:t>
            </w:r>
            <w:r w:rsidRPr="00056BB8">
              <w:rPr>
                <w:rFonts w:ascii="Times New Roman" w:hAnsi="Times New Roman" w:cs="Times New Roman"/>
                <w:color w:val="auto"/>
                <w:sz w:val="24"/>
                <w:szCs w:val="24"/>
                <w:lang w:eastAsia="lv-LV"/>
              </w:rPr>
              <w:t xml:space="preserve"> daļā paredzēto deleģējumu Ministru prezidents ar 2019.</w:t>
            </w:r>
            <w:r w:rsidR="00AC4AC7">
              <w:rPr>
                <w:rFonts w:ascii="Times New Roman" w:hAnsi="Times New Roman" w:cs="Times New Roman"/>
                <w:color w:val="auto"/>
                <w:sz w:val="24"/>
                <w:szCs w:val="24"/>
                <w:lang w:eastAsia="lv-LV"/>
              </w:rPr>
              <w:t> </w:t>
            </w:r>
            <w:r w:rsidRPr="00056BB8">
              <w:rPr>
                <w:rFonts w:ascii="Times New Roman" w:hAnsi="Times New Roman" w:cs="Times New Roman"/>
                <w:color w:val="auto"/>
                <w:sz w:val="24"/>
                <w:szCs w:val="24"/>
                <w:lang w:eastAsia="lv-LV"/>
              </w:rPr>
              <w:t>gada 16.</w:t>
            </w:r>
            <w:r w:rsidR="00AC4AC7">
              <w:rPr>
                <w:rFonts w:ascii="Times New Roman" w:hAnsi="Times New Roman" w:cs="Times New Roman"/>
                <w:color w:val="auto"/>
                <w:sz w:val="24"/>
                <w:szCs w:val="24"/>
                <w:lang w:eastAsia="lv-LV"/>
              </w:rPr>
              <w:t> </w:t>
            </w:r>
            <w:r w:rsidRPr="00056BB8">
              <w:rPr>
                <w:rFonts w:ascii="Times New Roman" w:hAnsi="Times New Roman" w:cs="Times New Roman"/>
                <w:color w:val="auto"/>
                <w:sz w:val="24"/>
                <w:szCs w:val="24"/>
                <w:lang w:eastAsia="lv-LV"/>
              </w:rPr>
              <w:t>oktobra rezolūciju Nr.</w:t>
            </w:r>
            <w:r w:rsidR="00AC4AC7">
              <w:rPr>
                <w:rFonts w:ascii="Times New Roman" w:hAnsi="Times New Roman" w:cs="Times New Roman"/>
                <w:color w:val="auto"/>
                <w:sz w:val="24"/>
                <w:szCs w:val="24"/>
                <w:lang w:eastAsia="lv-LV"/>
              </w:rPr>
              <w:t> </w:t>
            </w:r>
            <w:r w:rsidRPr="00056BB8">
              <w:rPr>
                <w:rFonts w:ascii="Times New Roman" w:hAnsi="Times New Roman" w:cs="Times New Roman"/>
                <w:color w:val="auto"/>
                <w:sz w:val="24"/>
                <w:szCs w:val="24"/>
                <w:lang w:eastAsia="lv-LV"/>
              </w:rPr>
              <w:t xml:space="preserve">2019-1.1.1./40-40 uzdeva tieslietu ministram izveidot darba grupu Ministru kabineta noteikumu izstrādei, darba grupā iekļaujot pārstāvjus no Tieslietu ministrijas, </w:t>
            </w:r>
            <w:r w:rsidR="006262A8">
              <w:rPr>
                <w:rFonts w:ascii="Times New Roman" w:hAnsi="Times New Roman" w:cs="Times New Roman"/>
                <w:color w:val="auto"/>
                <w:sz w:val="24"/>
                <w:szCs w:val="24"/>
                <w:lang w:eastAsia="lv-LV"/>
              </w:rPr>
              <w:t>Korupcijas novēršanas un apkarošanas biroja (turpmāk – Birojs)</w:t>
            </w:r>
            <w:r w:rsidRPr="00056BB8">
              <w:rPr>
                <w:rFonts w:ascii="Times New Roman" w:hAnsi="Times New Roman" w:cs="Times New Roman"/>
                <w:color w:val="auto"/>
                <w:sz w:val="24"/>
                <w:szCs w:val="24"/>
                <w:lang w:eastAsia="lv-LV"/>
              </w:rPr>
              <w:t>, Valsts kancelejas, Valsts prezidenta kancelejas, Finanšu ministrijas, kā arī izvērtēt iespēju darba grupā aicināt pārstāvjus no nevalstiskā sektora un Saeimas frakcijām. Minētā darba grupa uz sanāksmi sanāca</w:t>
            </w:r>
            <w:r w:rsidR="00AC4AC7">
              <w:rPr>
                <w:rFonts w:ascii="Times New Roman" w:hAnsi="Times New Roman" w:cs="Times New Roman"/>
                <w:color w:val="auto"/>
                <w:sz w:val="24"/>
                <w:szCs w:val="24"/>
                <w:lang w:eastAsia="lv-LV"/>
              </w:rPr>
              <w:t xml:space="preserve"> 2019.</w:t>
            </w:r>
            <w:r w:rsidRPr="00056BB8">
              <w:rPr>
                <w:rFonts w:ascii="Times New Roman" w:hAnsi="Times New Roman" w:cs="Times New Roman"/>
                <w:color w:val="auto"/>
                <w:sz w:val="24"/>
                <w:szCs w:val="24"/>
                <w:lang w:eastAsia="lv-LV"/>
              </w:rPr>
              <w:t>gada 29.</w:t>
            </w:r>
            <w:r w:rsidR="00AC4AC7">
              <w:rPr>
                <w:rFonts w:ascii="Times New Roman" w:hAnsi="Times New Roman" w:cs="Times New Roman"/>
                <w:color w:val="auto"/>
                <w:sz w:val="24"/>
                <w:szCs w:val="24"/>
                <w:lang w:eastAsia="lv-LV"/>
              </w:rPr>
              <w:t> </w:t>
            </w:r>
            <w:r w:rsidRPr="00056BB8">
              <w:rPr>
                <w:rFonts w:ascii="Times New Roman" w:hAnsi="Times New Roman" w:cs="Times New Roman"/>
                <w:color w:val="auto"/>
                <w:sz w:val="24"/>
                <w:szCs w:val="24"/>
                <w:lang w:eastAsia="lv-LV"/>
              </w:rPr>
              <w:t>oktobrī</w:t>
            </w:r>
            <w:r w:rsidR="00AC4AC7">
              <w:rPr>
                <w:rFonts w:ascii="Times New Roman" w:hAnsi="Times New Roman" w:cs="Times New Roman"/>
                <w:color w:val="auto"/>
                <w:sz w:val="24"/>
                <w:szCs w:val="24"/>
                <w:lang w:eastAsia="lv-LV"/>
              </w:rPr>
              <w:t xml:space="preserve"> un 27. novembrī</w:t>
            </w:r>
            <w:r w:rsidR="00E6416A">
              <w:rPr>
                <w:rFonts w:ascii="Times New Roman" w:hAnsi="Times New Roman" w:cs="Times New Roman"/>
                <w:color w:val="auto"/>
                <w:sz w:val="24"/>
                <w:szCs w:val="24"/>
                <w:lang w:eastAsia="lv-LV"/>
              </w:rPr>
              <w:t xml:space="preserve"> un Tieslietu ministrijas vadībā izstrādāja Projektu.</w:t>
            </w:r>
            <w:r w:rsidR="00C5443E">
              <w:rPr>
                <w:rFonts w:ascii="Times New Roman" w:hAnsi="Times New Roman" w:cs="Times New Roman"/>
                <w:color w:val="auto"/>
                <w:sz w:val="24"/>
                <w:szCs w:val="24"/>
                <w:lang w:eastAsia="lv-LV"/>
              </w:rPr>
              <w:t xml:space="preserve"> Darba grupas sastāvā bija </w:t>
            </w:r>
            <w:r w:rsidR="009F48FE" w:rsidRPr="009F48FE">
              <w:rPr>
                <w:rFonts w:ascii="Times New Roman" w:hAnsi="Times New Roman" w:cs="Times New Roman"/>
                <w:color w:val="auto"/>
                <w:sz w:val="24"/>
                <w:szCs w:val="24"/>
                <w:lang w:eastAsia="lv-LV"/>
              </w:rPr>
              <w:t>Tieslietu ministrijas, Biroja, Valsts prezidenta kancelejas, Finanšu ministrijas, Saeimas</w:t>
            </w:r>
            <w:r w:rsidR="00CD22B8">
              <w:rPr>
                <w:rFonts w:ascii="Times New Roman" w:hAnsi="Times New Roman" w:cs="Times New Roman"/>
                <w:color w:val="auto"/>
                <w:sz w:val="24"/>
                <w:szCs w:val="24"/>
                <w:lang w:eastAsia="lv-LV"/>
              </w:rPr>
              <w:t xml:space="preserve"> pozīcijas</w:t>
            </w:r>
            <w:r w:rsidR="009F48FE" w:rsidRPr="009F48FE">
              <w:rPr>
                <w:rFonts w:ascii="Times New Roman" w:hAnsi="Times New Roman" w:cs="Times New Roman"/>
                <w:color w:val="auto"/>
                <w:sz w:val="24"/>
                <w:szCs w:val="24"/>
                <w:lang w:eastAsia="lv-LV"/>
              </w:rPr>
              <w:t xml:space="preserve"> frakci</w:t>
            </w:r>
            <w:r w:rsidR="009F48FE">
              <w:rPr>
                <w:rFonts w:ascii="Times New Roman" w:hAnsi="Times New Roman" w:cs="Times New Roman"/>
                <w:color w:val="auto"/>
                <w:sz w:val="24"/>
                <w:szCs w:val="24"/>
                <w:lang w:eastAsia="lv-LV"/>
              </w:rPr>
              <w:t xml:space="preserve">ju, </w:t>
            </w:r>
            <w:r w:rsidR="006262A8" w:rsidRPr="006262A8">
              <w:rPr>
                <w:rFonts w:ascii="Times New Roman" w:hAnsi="Times New Roman" w:cs="Times New Roman"/>
                <w:color w:val="auto"/>
                <w:sz w:val="24"/>
                <w:szCs w:val="24"/>
                <w:lang w:eastAsia="lv-LV"/>
              </w:rPr>
              <w:t>biedrība</w:t>
            </w:r>
            <w:r w:rsidR="006262A8">
              <w:rPr>
                <w:rFonts w:ascii="Times New Roman" w:hAnsi="Times New Roman" w:cs="Times New Roman"/>
                <w:color w:val="auto"/>
                <w:sz w:val="24"/>
                <w:szCs w:val="24"/>
                <w:lang w:eastAsia="lv-LV"/>
              </w:rPr>
              <w:t>s</w:t>
            </w:r>
            <w:r w:rsidR="006262A8" w:rsidRPr="006262A8">
              <w:rPr>
                <w:rFonts w:ascii="Times New Roman" w:hAnsi="Times New Roman" w:cs="Times New Roman"/>
                <w:color w:val="auto"/>
                <w:sz w:val="24"/>
                <w:szCs w:val="24"/>
                <w:lang w:eastAsia="lv-LV"/>
              </w:rPr>
              <w:t xml:space="preserve"> „Sabiedriskās politikas centrs PROVIDUS”</w:t>
            </w:r>
            <w:r w:rsidR="006262A8">
              <w:rPr>
                <w:rFonts w:ascii="Times New Roman" w:hAnsi="Times New Roman" w:cs="Times New Roman"/>
                <w:color w:val="auto"/>
                <w:sz w:val="24"/>
                <w:szCs w:val="24"/>
                <w:lang w:eastAsia="lv-LV"/>
              </w:rPr>
              <w:t xml:space="preserve"> un </w:t>
            </w:r>
            <w:r w:rsidR="006262A8" w:rsidRPr="006262A8">
              <w:rPr>
                <w:rFonts w:ascii="Times New Roman" w:hAnsi="Times New Roman" w:cs="Times New Roman"/>
                <w:color w:val="auto"/>
                <w:sz w:val="24"/>
                <w:szCs w:val="24"/>
                <w:lang w:eastAsia="lv-LV"/>
              </w:rPr>
              <w:t>biedrība</w:t>
            </w:r>
            <w:r w:rsidR="006262A8">
              <w:rPr>
                <w:rFonts w:ascii="Times New Roman" w:hAnsi="Times New Roman" w:cs="Times New Roman"/>
                <w:color w:val="auto"/>
                <w:sz w:val="24"/>
                <w:szCs w:val="24"/>
                <w:lang w:eastAsia="lv-LV"/>
              </w:rPr>
              <w:t>s</w:t>
            </w:r>
            <w:r w:rsidR="006262A8" w:rsidRPr="006262A8">
              <w:rPr>
                <w:rFonts w:ascii="Times New Roman" w:hAnsi="Times New Roman" w:cs="Times New Roman"/>
                <w:color w:val="auto"/>
                <w:sz w:val="24"/>
                <w:szCs w:val="24"/>
                <w:lang w:eastAsia="lv-LV"/>
              </w:rPr>
              <w:t xml:space="preserve"> “Sabiedrība par atklātību – Delna”</w:t>
            </w:r>
            <w:r w:rsidR="006262A8">
              <w:rPr>
                <w:rFonts w:ascii="Times New Roman" w:hAnsi="Times New Roman" w:cs="Times New Roman"/>
                <w:color w:val="auto"/>
                <w:sz w:val="24"/>
                <w:szCs w:val="24"/>
                <w:lang w:eastAsia="lv-LV"/>
              </w:rPr>
              <w:t xml:space="preserve"> pārstāvji. </w:t>
            </w:r>
          </w:p>
        </w:tc>
      </w:tr>
      <w:tr w:rsidR="0064585B" w:rsidRPr="0064585B" w14:paraId="72C21DC9" w14:textId="77777777" w:rsidTr="0097372E">
        <w:tc>
          <w:tcPr>
            <w:tcW w:w="57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34218772" w14:textId="77777777" w:rsidR="00D93A15" w:rsidRPr="0064585B" w:rsidRDefault="00CD56A5">
            <w:pPr>
              <w:spacing w:after="0" w:line="240" w:lineRule="auto"/>
              <w:rPr>
                <w:rFonts w:ascii="Times New Roman" w:eastAsia="Times New Roman" w:hAnsi="Times New Roman" w:cs="Times New Roman"/>
                <w:iCs/>
                <w:color w:val="auto"/>
                <w:sz w:val="24"/>
                <w:szCs w:val="24"/>
                <w:lang w:val="en-US" w:eastAsia="lv-LV"/>
              </w:rPr>
            </w:pPr>
            <w:r w:rsidRPr="0064585B">
              <w:rPr>
                <w:rFonts w:ascii="Times New Roman" w:eastAsia="Times New Roman" w:hAnsi="Times New Roman" w:cs="Times New Roman"/>
                <w:iCs/>
                <w:color w:val="auto"/>
                <w:sz w:val="24"/>
                <w:szCs w:val="24"/>
                <w:lang w:eastAsia="lv-LV"/>
              </w:rPr>
              <w:t>2.</w:t>
            </w:r>
          </w:p>
        </w:tc>
        <w:tc>
          <w:tcPr>
            <w:tcW w:w="2814"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216E979D" w14:textId="77777777" w:rsidR="00D93A15" w:rsidRDefault="00CD56A5">
            <w:pPr>
              <w:spacing w:after="0" w:line="240" w:lineRule="auto"/>
              <w:rPr>
                <w:rFonts w:ascii="Times New Roman" w:eastAsia="Times New Roman" w:hAnsi="Times New Roman" w:cs="Times New Roman"/>
                <w:iCs/>
                <w:color w:val="auto"/>
                <w:sz w:val="24"/>
                <w:szCs w:val="24"/>
                <w:lang w:eastAsia="lv-LV"/>
              </w:rPr>
            </w:pPr>
            <w:r w:rsidRPr="0064585B">
              <w:rPr>
                <w:rFonts w:ascii="Times New Roman" w:eastAsia="Times New Roman" w:hAnsi="Times New Roman" w:cs="Times New Roman"/>
                <w:iCs/>
                <w:color w:val="auto"/>
                <w:sz w:val="24"/>
                <w:szCs w:val="24"/>
                <w:lang w:eastAsia="lv-LV"/>
              </w:rPr>
              <w:t>Pašreizējā situācija un problēmas, kuru risināšanai tiesību akta projekts izstrādāts, tiesiskā regulējuma mērķis un būtība</w:t>
            </w:r>
          </w:p>
          <w:p w14:paraId="0555FA2F" w14:textId="79934297" w:rsidR="00AD5EA1" w:rsidRPr="00AD5EA1" w:rsidRDefault="00AD5EA1" w:rsidP="00AD5EA1">
            <w:pPr>
              <w:jc w:val="center"/>
              <w:rPr>
                <w:rFonts w:ascii="Times New Roman" w:eastAsia="Times New Roman" w:hAnsi="Times New Roman" w:cs="Times New Roman"/>
                <w:sz w:val="24"/>
                <w:szCs w:val="24"/>
                <w:lang w:val="en-US" w:eastAsia="lv-LV"/>
              </w:rPr>
            </w:pPr>
          </w:p>
        </w:tc>
        <w:tc>
          <w:tcPr>
            <w:tcW w:w="58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77FA5E2B" w14:textId="77777777" w:rsidR="00363CD3" w:rsidRDefault="00363CD3" w:rsidP="00363CD3">
            <w:pPr>
              <w:spacing w:after="0" w:line="240" w:lineRule="auto"/>
              <w:jc w:val="both"/>
              <w:rPr>
                <w:rFonts w:ascii="Times New Roman" w:hAnsi="Times New Roman" w:cs="Times New Roman"/>
                <w:color w:val="auto"/>
                <w:sz w:val="24"/>
                <w:szCs w:val="24"/>
                <w:lang w:eastAsia="lv-LV"/>
              </w:rPr>
            </w:pPr>
            <w:r>
              <w:rPr>
                <w:rFonts w:ascii="Times New Roman" w:hAnsi="Times New Roman" w:cs="Times New Roman"/>
                <w:color w:val="auto"/>
                <w:sz w:val="24"/>
                <w:szCs w:val="24"/>
                <w:lang w:eastAsia="lv-LV"/>
              </w:rPr>
              <w:t>Pēc likuma grozījumu pieņemšanas politiskajām organizācijām (partijām) Likums paredz tiesības izlietot valsts budžeta finansējumu šādām mērķu grupām:</w:t>
            </w:r>
          </w:p>
          <w:p w14:paraId="1B8E01B9" w14:textId="77777777" w:rsidR="00363CD3" w:rsidRPr="00363CD3" w:rsidRDefault="00363CD3" w:rsidP="00363CD3">
            <w:pPr>
              <w:pStyle w:val="Sarakstarindkopa"/>
              <w:numPr>
                <w:ilvl w:val="0"/>
                <w:numId w:val="3"/>
              </w:numPr>
              <w:spacing w:after="0" w:line="240" w:lineRule="auto"/>
              <w:jc w:val="both"/>
              <w:rPr>
                <w:rFonts w:ascii="Times New Roman" w:hAnsi="Times New Roman"/>
                <w:sz w:val="24"/>
                <w:szCs w:val="24"/>
                <w:u w:val="single"/>
                <w:lang w:eastAsia="lv-LV"/>
              </w:rPr>
            </w:pPr>
            <w:r w:rsidRPr="009C01DD">
              <w:rPr>
                <w:rFonts w:ascii="Times New Roman" w:hAnsi="Times New Roman"/>
                <w:sz w:val="24"/>
                <w:szCs w:val="24"/>
                <w:u w:val="single"/>
                <w:lang w:eastAsia="lv-LV"/>
              </w:rPr>
              <w:t xml:space="preserve">Politiskās organizācijas (partijas) biroja un darbinieku uzturēšanai. </w:t>
            </w:r>
            <w:r>
              <w:rPr>
                <w:rFonts w:ascii="Times New Roman" w:hAnsi="Times New Roman"/>
                <w:sz w:val="24"/>
                <w:szCs w:val="24"/>
                <w:lang w:eastAsia="lv-LV"/>
              </w:rPr>
              <w:t xml:space="preserve"> Šā mērķa sasniegšanai līdzekļus var tērēt darbinieku algām, biroja telpu, tehnikas un iekārtu uzturēšanai, biroja telpu uzkopšanai, izdevumiem </w:t>
            </w:r>
            <w:r>
              <w:rPr>
                <w:rFonts w:ascii="Times New Roman" w:hAnsi="Times New Roman"/>
                <w:sz w:val="24"/>
                <w:szCs w:val="24"/>
                <w:lang w:eastAsia="lv-LV"/>
              </w:rPr>
              <w:lastRenderedPageBreak/>
              <w:t>saistībā ar apmeklētāju uzņemšanu, grāmatvedības un apsardzes pakalpojumiem, kā arī citiem izdevumiem, kas atbilst Likumā paredzētajam mērķim.</w:t>
            </w:r>
          </w:p>
          <w:p w14:paraId="5A80A81C" w14:textId="6D1410FA" w:rsidR="00363CD3" w:rsidRDefault="00363CD3" w:rsidP="00363CD3">
            <w:pPr>
              <w:pStyle w:val="Sarakstarindkopa"/>
              <w:numPr>
                <w:ilvl w:val="0"/>
                <w:numId w:val="3"/>
              </w:numPr>
              <w:spacing w:after="0" w:line="240" w:lineRule="auto"/>
              <w:jc w:val="both"/>
              <w:rPr>
                <w:rFonts w:ascii="Times New Roman" w:hAnsi="Times New Roman"/>
                <w:sz w:val="24"/>
                <w:szCs w:val="24"/>
                <w:u w:val="single"/>
                <w:lang w:eastAsia="lv-LV"/>
              </w:rPr>
            </w:pPr>
            <w:r w:rsidRPr="00363CD3">
              <w:rPr>
                <w:rFonts w:ascii="Times New Roman" w:hAnsi="Times New Roman"/>
                <w:sz w:val="24"/>
                <w:szCs w:val="24"/>
                <w:u w:val="single"/>
                <w:lang w:eastAsia="lv-LV"/>
              </w:rPr>
              <w:t>Politiskās organizācijas (partijas) darbības saturisk</w:t>
            </w:r>
            <w:r w:rsidR="00AF0A7E">
              <w:rPr>
                <w:rFonts w:ascii="Times New Roman" w:hAnsi="Times New Roman"/>
                <w:sz w:val="24"/>
                <w:szCs w:val="24"/>
                <w:u w:val="single"/>
                <w:lang w:eastAsia="lv-LV"/>
              </w:rPr>
              <w:t>ai</w:t>
            </w:r>
            <w:r w:rsidRPr="00363CD3">
              <w:rPr>
                <w:rFonts w:ascii="Times New Roman" w:hAnsi="Times New Roman"/>
                <w:sz w:val="24"/>
                <w:szCs w:val="24"/>
                <w:u w:val="single"/>
                <w:lang w:eastAsia="lv-LV"/>
              </w:rPr>
              <w:t xml:space="preserve"> nodrošināšana</w:t>
            </w:r>
            <w:r w:rsidR="0044389C">
              <w:rPr>
                <w:rFonts w:ascii="Times New Roman" w:hAnsi="Times New Roman"/>
                <w:sz w:val="24"/>
                <w:szCs w:val="24"/>
                <w:u w:val="single"/>
                <w:lang w:eastAsia="lv-LV"/>
              </w:rPr>
              <w:t>i</w:t>
            </w:r>
            <w:r w:rsidRPr="00363CD3">
              <w:rPr>
                <w:rFonts w:ascii="Times New Roman" w:hAnsi="Times New Roman"/>
                <w:sz w:val="24"/>
                <w:szCs w:val="24"/>
                <w:u w:val="single"/>
                <w:lang w:eastAsia="lv-LV"/>
              </w:rPr>
              <w:t>, (piemēram, semināriem, kongresiem, konferencēm, pētniecības darbiem, aptaujām, jauniešu</w:t>
            </w:r>
            <w:r>
              <w:t xml:space="preserve"> </w:t>
            </w:r>
            <w:r w:rsidRPr="00363CD3">
              <w:rPr>
                <w:rFonts w:ascii="Times New Roman" w:hAnsi="Times New Roman"/>
                <w:sz w:val="24"/>
                <w:szCs w:val="24"/>
                <w:u w:val="single"/>
                <w:lang w:eastAsia="lv-LV"/>
              </w:rPr>
              <w:t>organizācijas pasākumiem, konsultācijām)</w:t>
            </w:r>
            <w:r w:rsidR="007149A5">
              <w:rPr>
                <w:rFonts w:ascii="Times New Roman" w:hAnsi="Times New Roman"/>
                <w:sz w:val="24"/>
                <w:szCs w:val="24"/>
                <w:u w:val="single"/>
                <w:lang w:eastAsia="lv-LV"/>
              </w:rPr>
              <w:t>.</w:t>
            </w:r>
            <w:r w:rsidRPr="00363CD3">
              <w:rPr>
                <w:rFonts w:ascii="Times New Roman" w:hAnsi="Times New Roman"/>
                <w:sz w:val="24"/>
                <w:szCs w:val="24"/>
                <w:u w:val="single"/>
                <w:lang w:eastAsia="lv-LV"/>
              </w:rPr>
              <w:t xml:space="preserve"> </w:t>
            </w:r>
          </w:p>
          <w:p w14:paraId="4488B186" w14:textId="11F7623E" w:rsidR="00363CD3" w:rsidRPr="007149A5" w:rsidRDefault="00363CD3" w:rsidP="00363CD3">
            <w:pPr>
              <w:pStyle w:val="Sarakstarindkopa"/>
              <w:numPr>
                <w:ilvl w:val="0"/>
                <w:numId w:val="3"/>
              </w:numPr>
              <w:spacing w:after="0" w:line="240" w:lineRule="auto"/>
              <w:jc w:val="both"/>
              <w:rPr>
                <w:rFonts w:ascii="Times New Roman" w:hAnsi="Times New Roman"/>
                <w:sz w:val="24"/>
                <w:szCs w:val="24"/>
                <w:lang w:eastAsia="lv-LV"/>
              </w:rPr>
            </w:pPr>
            <w:r w:rsidRPr="00363CD3">
              <w:rPr>
                <w:rFonts w:ascii="Times New Roman" w:hAnsi="Times New Roman"/>
                <w:sz w:val="24"/>
                <w:szCs w:val="24"/>
                <w:u w:val="single"/>
                <w:lang w:eastAsia="lv-LV"/>
              </w:rPr>
              <w:t xml:space="preserve">Politiskās organizācijas (partijas) komunikācijai ar sabiedrību, tostarp politiskajai aģitācijai. </w:t>
            </w:r>
            <w:r w:rsidRPr="007149A5">
              <w:rPr>
                <w:rFonts w:ascii="Times New Roman" w:hAnsi="Times New Roman"/>
                <w:sz w:val="24"/>
                <w:szCs w:val="24"/>
                <w:lang w:eastAsia="lv-LV"/>
              </w:rPr>
              <w:t xml:space="preserve">Šie izdevumi citastarp saistīti arī ar pasākumu īstenošanu atbilstoši politiskās organizācijas (partijas) darbības mērķiem sabiedrībai būtisku jautājumu skaidrošanā.  </w:t>
            </w:r>
          </w:p>
          <w:p w14:paraId="205A46C9" w14:textId="6632AA13" w:rsidR="00363CD3" w:rsidRDefault="00363CD3" w:rsidP="002C7A47">
            <w:pPr>
              <w:pStyle w:val="Bezatstarpm"/>
              <w:ind w:right="-24" w:firstLine="709"/>
              <w:jc w:val="both"/>
              <w:rPr>
                <w:rFonts w:ascii="Times New Roman" w:hAnsi="Times New Roman" w:cs="Times New Roman"/>
                <w:sz w:val="24"/>
                <w:szCs w:val="24"/>
              </w:rPr>
            </w:pPr>
            <w:r w:rsidRPr="00363CD3">
              <w:rPr>
                <w:rFonts w:ascii="Times New Roman" w:hAnsi="Times New Roman" w:cs="Times New Roman"/>
                <w:sz w:val="24"/>
                <w:szCs w:val="24"/>
              </w:rPr>
              <w:t>Konceptuāli lemjot par Projektā iekļaujamo saturu, darba grupa nolēma, ka tajā ietverams negatīvs valsts budžeta finansējuma izlietojuma mērķu grupu veidu uzskaitījums. Šāds lēmums pieņemts, vadoties no Likuma grozījumos paredzētajiem valsts budžeta izlietojuma mērķiem, kas neparedz konkrētus un izsmeļošus valsts budžeta izlietojuma veidus. Likuma grozījumu viens no pamatojumiem ir apsvērums, ka normatīvajā aktā ietvert izsmeļošu un visaptverošu pieļaujamo izdevumu veidu uzskaitījumu praktiski nav iespējams, un savukārt nepilnīgs pieļaujamo izdevumu uzskaitījums nepamatoti ierobežo politiskās organizācijas (partijas) politisko darbību, kas nonāk pretrunā Likuma mērķim.</w:t>
            </w:r>
          </w:p>
          <w:p w14:paraId="1FBEA7E4" w14:textId="4A4B5A91" w:rsidR="00363CD3" w:rsidRDefault="00363CD3" w:rsidP="002C7A47">
            <w:pPr>
              <w:pStyle w:val="Bezatstarpm"/>
              <w:ind w:right="-24" w:firstLine="709"/>
              <w:jc w:val="both"/>
              <w:rPr>
                <w:rFonts w:ascii="Times New Roman" w:hAnsi="Times New Roman" w:cs="Times New Roman"/>
                <w:sz w:val="24"/>
                <w:szCs w:val="24"/>
              </w:rPr>
            </w:pPr>
            <w:r w:rsidRPr="00363CD3">
              <w:rPr>
                <w:rFonts w:ascii="Times New Roman" w:hAnsi="Times New Roman" w:cs="Times New Roman"/>
                <w:sz w:val="24"/>
                <w:szCs w:val="24"/>
              </w:rPr>
              <w:t xml:space="preserve">Projektā paredzētie valsts budžeta izlietojuma ierobežojumi noteikti, ievērojot </w:t>
            </w:r>
            <w:r w:rsidR="006262A8">
              <w:rPr>
                <w:rFonts w:ascii="Times New Roman" w:hAnsi="Times New Roman" w:cs="Times New Roman"/>
                <w:sz w:val="24"/>
                <w:szCs w:val="24"/>
              </w:rPr>
              <w:t xml:space="preserve">Biroja </w:t>
            </w:r>
            <w:r w:rsidRPr="00363CD3">
              <w:rPr>
                <w:rFonts w:ascii="Times New Roman" w:hAnsi="Times New Roman" w:cs="Times New Roman"/>
                <w:sz w:val="24"/>
                <w:szCs w:val="24"/>
              </w:rPr>
              <w:t xml:space="preserve">praksi, judikatūru </w:t>
            </w:r>
            <w:r w:rsidR="00EC7B3C">
              <w:rPr>
                <w:rFonts w:ascii="Times New Roman" w:hAnsi="Times New Roman" w:cs="Times New Roman"/>
                <w:sz w:val="24"/>
                <w:szCs w:val="24"/>
              </w:rPr>
              <w:t>(</w:t>
            </w:r>
            <w:r w:rsidRPr="00EC7B3C">
              <w:rPr>
                <w:rFonts w:ascii="Times New Roman" w:hAnsi="Times New Roman" w:cs="Times New Roman"/>
                <w:i/>
                <w:iCs/>
                <w:sz w:val="24"/>
                <w:szCs w:val="24"/>
              </w:rPr>
              <w:t>Augstākās tiesas Administratīvo lietu departamenta 2017. gada 3. novembra spriedums lietā Nr. SKA-287/2017; 2017. gada 1. decembra spriedums lietā Nr. SKA-292/2017; 2017. gada 15. decembra spriedums lietā SKA-450/2017</w:t>
            </w:r>
            <w:r w:rsidRPr="00363CD3">
              <w:rPr>
                <w:rFonts w:ascii="Times New Roman" w:hAnsi="Times New Roman" w:cs="Times New Roman"/>
                <w:sz w:val="24"/>
                <w:szCs w:val="24"/>
              </w:rPr>
              <w:t xml:space="preserve">), kā arī politisko organizāciju (partiju) </w:t>
            </w:r>
            <w:r w:rsidR="00152F6C">
              <w:rPr>
                <w:rFonts w:ascii="Times New Roman" w:hAnsi="Times New Roman" w:cs="Times New Roman"/>
                <w:sz w:val="24"/>
                <w:szCs w:val="24"/>
              </w:rPr>
              <w:t xml:space="preserve">un sabiedrisko organizāciju </w:t>
            </w:r>
            <w:r w:rsidRPr="00363CD3">
              <w:rPr>
                <w:rFonts w:ascii="Times New Roman" w:hAnsi="Times New Roman" w:cs="Times New Roman"/>
                <w:sz w:val="24"/>
                <w:szCs w:val="24"/>
              </w:rPr>
              <w:t>viedokļus</w:t>
            </w:r>
            <w:r w:rsidR="00EC7B3C">
              <w:rPr>
                <w:rFonts w:ascii="Times New Roman" w:hAnsi="Times New Roman" w:cs="Times New Roman"/>
                <w:sz w:val="24"/>
                <w:szCs w:val="24"/>
              </w:rPr>
              <w:t>.</w:t>
            </w:r>
          </w:p>
          <w:p w14:paraId="3E333D90" w14:textId="5708C8C0" w:rsidR="00262A3C" w:rsidRDefault="00EC7B3C" w:rsidP="009F335D">
            <w:pPr>
              <w:pStyle w:val="Bezatstarpm"/>
              <w:ind w:right="-24" w:firstLine="709"/>
              <w:jc w:val="both"/>
              <w:rPr>
                <w:rFonts w:ascii="Times New Roman" w:hAnsi="Times New Roman" w:cs="Times New Roman"/>
                <w:sz w:val="24"/>
                <w:szCs w:val="24"/>
              </w:rPr>
            </w:pPr>
            <w:r>
              <w:rPr>
                <w:rFonts w:ascii="Times New Roman" w:hAnsi="Times New Roman" w:cs="Times New Roman"/>
                <w:sz w:val="24"/>
                <w:szCs w:val="24"/>
              </w:rPr>
              <w:t>Projektā ietverti arī v</w:t>
            </w:r>
            <w:r w:rsidRPr="00EC7B3C">
              <w:rPr>
                <w:rFonts w:ascii="Times New Roman" w:hAnsi="Times New Roman" w:cs="Times New Roman"/>
                <w:sz w:val="24"/>
                <w:szCs w:val="24"/>
              </w:rPr>
              <w:t>alsts budžeta finansējuma izlietojum</w:t>
            </w:r>
            <w:r>
              <w:rPr>
                <w:rFonts w:ascii="Times New Roman" w:hAnsi="Times New Roman" w:cs="Times New Roman"/>
                <w:sz w:val="24"/>
                <w:szCs w:val="24"/>
              </w:rPr>
              <w:t>a ierobežojumi</w:t>
            </w:r>
            <w:r w:rsidRPr="00EC7B3C">
              <w:rPr>
                <w:rFonts w:ascii="Times New Roman" w:hAnsi="Times New Roman" w:cs="Times New Roman"/>
                <w:sz w:val="24"/>
                <w:szCs w:val="24"/>
              </w:rPr>
              <w:t xml:space="preserve"> politisko organizāciju (partiju) reģistrētās un nereģistrētās apvienībās</w:t>
            </w:r>
            <w:r>
              <w:rPr>
                <w:rFonts w:ascii="Times New Roman" w:hAnsi="Times New Roman" w:cs="Times New Roman"/>
                <w:sz w:val="24"/>
                <w:szCs w:val="24"/>
              </w:rPr>
              <w:t xml:space="preserve">. Ierobežojumi noteikti, ievērojot valsts budžeta finansējuma mērķi - </w:t>
            </w:r>
            <w:r w:rsidR="003D47B5" w:rsidRPr="003D47B5">
              <w:rPr>
                <w:rFonts w:ascii="Times New Roman" w:hAnsi="Times New Roman" w:cs="Times New Roman"/>
                <w:sz w:val="24"/>
                <w:szCs w:val="24"/>
              </w:rPr>
              <w:t>stabilu politisko partiju sistēmas nostiprināšan</w:t>
            </w:r>
            <w:r w:rsidR="003D47B5">
              <w:rPr>
                <w:rFonts w:ascii="Times New Roman" w:hAnsi="Times New Roman" w:cs="Times New Roman"/>
                <w:sz w:val="24"/>
                <w:szCs w:val="24"/>
              </w:rPr>
              <w:t xml:space="preserve">a. </w:t>
            </w:r>
            <w:r w:rsidR="00DB22C2">
              <w:rPr>
                <w:rFonts w:ascii="Times New Roman" w:hAnsi="Times New Roman" w:cs="Times New Roman"/>
                <w:sz w:val="24"/>
                <w:szCs w:val="24"/>
              </w:rPr>
              <w:t xml:space="preserve">Jāņem vērā, ka valsts finansējums vērsts uz tāda politiska veidojuma stiprināšanu, kas vēlēšanās piedalījās ar savu programmu, un domāts </w:t>
            </w:r>
            <w:r w:rsidR="009F335D">
              <w:rPr>
                <w:rFonts w:ascii="Times New Roman" w:hAnsi="Times New Roman" w:cs="Times New Roman"/>
                <w:sz w:val="24"/>
                <w:szCs w:val="24"/>
              </w:rPr>
              <w:t xml:space="preserve">politiskās organizācijas (partijas), kas ieguvusi vēlētāju balsis, stiprināšanai. </w:t>
            </w:r>
            <w:r w:rsidR="00606506">
              <w:rPr>
                <w:rFonts w:ascii="Times New Roman" w:hAnsi="Times New Roman" w:cs="Times New Roman"/>
                <w:sz w:val="24"/>
                <w:szCs w:val="24"/>
              </w:rPr>
              <w:t xml:space="preserve">To atspoguļo arī </w:t>
            </w:r>
            <w:r w:rsidR="00262A3C" w:rsidRPr="00262A3C">
              <w:rPr>
                <w:rFonts w:ascii="Times New Roman" w:hAnsi="Times New Roman" w:cs="Times New Roman"/>
                <w:sz w:val="24"/>
                <w:szCs w:val="24"/>
              </w:rPr>
              <w:t>Likuma grozījumi (Likuma 7.</w:t>
            </w:r>
            <w:r w:rsidR="00262A3C" w:rsidRPr="00262A3C">
              <w:rPr>
                <w:rFonts w:ascii="Times New Roman" w:hAnsi="Times New Roman" w:cs="Times New Roman"/>
                <w:sz w:val="24"/>
                <w:szCs w:val="24"/>
                <w:vertAlign w:val="superscript"/>
              </w:rPr>
              <w:t>4</w:t>
            </w:r>
            <w:r w:rsidR="00262A3C" w:rsidRPr="00262A3C">
              <w:rPr>
                <w:rFonts w:ascii="Times New Roman" w:hAnsi="Times New Roman" w:cs="Times New Roman"/>
                <w:sz w:val="24"/>
                <w:szCs w:val="24"/>
              </w:rPr>
              <w:t xml:space="preserve"> panta 2.</w:t>
            </w:r>
            <w:r w:rsidR="00262A3C" w:rsidRPr="00262A3C">
              <w:rPr>
                <w:rFonts w:ascii="Times New Roman" w:hAnsi="Times New Roman" w:cs="Times New Roman"/>
                <w:sz w:val="24"/>
                <w:szCs w:val="24"/>
                <w:vertAlign w:val="superscript"/>
              </w:rPr>
              <w:t>1</w:t>
            </w:r>
            <w:r w:rsidR="00262A3C" w:rsidRPr="00262A3C">
              <w:rPr>
                <w:rFonts w:ascii="Times New Roman" w:hAnsi="Times New Roman" w:cs="Times New Roman"/>
                <w:sz w:val="24"/>
                <w:szCs w:val="24"/>
              </w:rPr>
              <w:t xml:space="preserve"> daļa) paredz, ka politisko organizāciju (partiju) apvienība, kurai piešķirts valsts budžeta finansējums, var to piešķirt tās sastāvā esošai politiskajai organizācijai (partijai), pārskaitot uz politiskās organizācijas (partijas) atvērtu atsevišķu kontu Latvijā reģistrētā kredītiestādē, ja politiskā organizācija (partija) bijusi politisko organizāciju (partiju) apvienības sastāvā, kandidējot pēdējās Saeimas vēlēšanās</w:t>
            </w:r>
            <w:r w:rsidR="00262A3C">
              <w:rPr>
                <w:rFonts w:ascii="Times New Roman" w:hAnsi="Times New Roman" w:cs="Times New Roman"/>
                <w:sz w:val="24"/>
                <w:szCs w:val="24"/>
              </w:rPr>
              <w:t>.</w:t>
            </w:r>
          </w:p>
          <w:p w14:paraId="561CAB73" w14:textId="58954307" w:rsidR="004013F8" w:rsidRDefault="009F335D" w:rsidP="004013F8">
            <w:pPr>
              <w:pStyle w:val="Bezatstarpm"/>
              <w:ind w:right="-24" w:firstLine="709"/>
              <w:jc w:val="both"/>
              <w:rPr>
                <w:rFonts w:ascii="Times New Roman" w:hAnsi="Times New Roman" w:cs="Times New Roman"/>
                <w:sz w:val="24"/>
                <w:szCs w:val="24"/>
              </w:rPr>
            </w:pPr>
            <w:r w:rsidRPr="009F335D">
              <w:rPr>
                <w:rFonts w:ascii="Times New Roman" w:hAnsi="Times New Roman" w:cs="Times New Roman"/>
                <w:sz w:val="24"/>
                <w:szCs w:val="24"/>
              </w:rPr>
              <w:lastRenderedPageBreak/>
              <w:t>Valsts budžeta finansējuma saņemšanu politisko organizāciju (partiju) un to apvienību reorganizācijas, likvidācijas un izveides gadījumā regulē Likuma 7.</w:t>
            </w:r>
            <w:r w:rsidRPr="009F335D">
              <w:rPr>
                <w:rFonts w:ascii="Times New Roman" w:hAnsi="Times New Roman" w:cs="Times New Roman"/>
                <w:sz w:val="24"/>
                <w:szCs w:val="24"/>
                <w:vertAlign w:val="superscript"/>
              </w:rPr>
              <w:t>5</w:t>
            </w:r>
            <w:r w:rsidRPr="009F335D">
              <w:rPr>
                <w:rFonts w:ascii="Times New Roman" w:hAnsi="Times New Roman" w:cs="Times New Roman"/>
                <w:sz w:val="24"/>
                <w:szCs w:val="24"/>
              </w:rPr>
              <w:t xml:space="preserve"> pants. </w:t>
            </w:r>
            <w:r w:rsidR="00606506">
              <w:rPr>
                <w:rFonts w:ascii="Times New Roman" w:hAnsi="Times New Roman" w:cs="Times New Roman"/>
                <w:sz w:val="24"/>
                <w:szCs w:val="24"/>
              </w:rPr>
              <w:t>N</w:t>
            </w:r>
            <w:r w:rsidR="00F25503">
              <w:rPr>
                <w:rFonts w:ascii="Times New Roman" w:hAnsi="Times New Roman" w:cs="Times New Roman"/>
                <w:sz w:val="24"/>
                <w:szCs w:val="24"/>
              </w:rPr>
              <w:t xml:space="preserve">enoregulēts ir jautājums par </w:t>
            </w:r>
            <w:r w:rsidR="00F25503" w:rsidRPr="00F25503">
              <w:rPr>
                <w:rFonts w:ascii="Times New Roman" w:hAnsi="Times New Roman" w:cs="Times New Roman"/>
                <w:sz w:val="24"/>
                <w:szCs w:val="24"/>
              </w:rPr>
              <w:t>politisko organizāciju (partiju)</w:t>
            </w:r>
            <w:r w:rsidR="00F25503">
              <w:rPr>
                <w:rFonts w:ascii="Times New Roman" w:hAnsi="Times New Roman" w:cs="Times New Roman"/>
                <w:sz w:val="24"/>
                <w:szCs w:val="24"/>
              </w:rPr>
              <w:t xml:space="preserve"> apvienība</w:t>
            </w:r>
            <w:r w:rsidR="00606506">
              <w:rPr>
                <w:rFonts w:ascii="Times New Roman" w:hAnsi="Times New Roman" w:cs="Times New Roman"/>
                <w:sz w:val="24"/>
                <w:szCs w:val="24"/>
              </w:rPr>
              <w:t>i</w:t>
            </w:r>
            <w:r w:rsidR="00F25503">
              <w:rPr>
                <w:rFonts w:ascii="Times New Roman" w:hAnsi="Times New Roman" w:cs="Times New Roman"/>
                <w:sz w:val="24"/>
                <w:szCs w:val="24"/>
              </w:rPr>
              <w:t xml:space="preserve"> </w:t>
            </w:r>
            <w:r w:rsidR="00606506">
              <w:rPr>
                <w:rFonts w:ascii="Times New Roman" w:hAnsi="Times New Roman" w:cs="Times New Roman"/>
                <w:sz w:val="24"/>
                <w:szCs w:val="24"/>
              </w:rPr>
              <w:t xml:space="preserve">piešķirtā finansējuma izlietošanu gadījumos, kad </w:t>
            </w:r>
            <w:r w:rsidR="00606506" w:rsidRPr="00606506">
              <w:rPr>
                <w:rFonts w:ascii="Times New Roman" w:hAnsi="Times New Roman" w:cs="Times New Roman"/>
                <w:sz w:val="24"/>
                <w:szCs w:val="24"/>
              </w:rPr>
              <w:t>apvienību veidojošas politiskās organizācijas (partijas) Saeimas, pašvaldību domes vai Eiropas Parlamenta vēlēšanās iesniedz atsevišķu kandidātu sarakstu</w:t>
            </w:r>
            <w:r w:rsidR="00606506">
              <w:rPr>
                <w:rFonts w:ascii="Times New Roman" w:hAnsi="Times New Roman" w:cs="Times New Roman"/>
                <w:sz w:val="24"/>
                <w:szCs w:val="24"/>
              </w:rPr>
              <w:t xml:space="preserve">, kā arī finansējuma izmantošana gadījumos, ja </w:t>
            </w:r>
            <w:r w:rsidR="00606506" w:rsidRPr="00606506">
              <w:rPr>
                <w:rFonts w:ascii="Times New Roman" w:hAnsi="Times New Roman" w:cs="Times New Roman"/>
                <w:sz w:val="24"/>
                <w:szCs w:val="24"/>
              </w:rPr>
              <w:t xml:space="preserve">politisko organizāciju (partiju) vai to apvienības, kas nesaņem valsts budžeta finansējumu, apvienojusies politiskā organizācija (partija) vai to apvienība, kas saņem valsts budžeta finansējumu, </w:t>
            </w:r>
            <w:r w:rsidR="00606506">
              <w:rPr>
                <w:rFonts w:ascii="Times New Roman" w:hAnsi="Times New Roman" w:cs="Times New Roman"/>
                <w:sz w:val="24"/>
                <w:szCs w:val="24"/>
              </w:rPr>
              <w:t xml:space="preserve">vai </w:t>
            </w:r>
            <w:r w:rsidR="00606506" w:rsidRPr="00606506">
              <w:rPr>
                <w:rFonts w:ascii="Times New Roman" w:hAnsi="Times New Roman" w:cs="Times New Roman"/>
                <w:sz w:val="24"/>
                <w:szCs w:val="24"/>
              </w:rPr>
              <w:t>iesniedz kopīgu kandidātu sarakstu pašvaldību domes vēlēšanās</w:t>
            </w:r>
            <w:r w:rsidR="00262A3C">
              <w:rPr>
                <w:rFonts w:ascii="Times New Roman" w:hAnsi="Times New Roman" w:cs="Times New Roman"/>
                <w:sz w:val="24"/>
                <w:szCs w:val="24"/>
              </w:rPr>
              <w:t>. Tādējādi projektā ir noteikti valsts budžeta finansējuma izlietošanas ierobežojumi minētajos gadījumos, ievērojot finansējuma mērķi</w:t>
            </w:r>
            <w:r w:rsidR="004013F8">
              <w:rPr>
                <w:rFonts w:ascii="Times New Roman" w:hAnsi="Times New Roman" w:cs="Times New Roman"/>
                <w:sz w:val="24"/>
                <w:szCs w:val="24"/>
              </w:rPr>
              <w:t xml:space="preserve"> un būtību, proti, finansējumu saņem politisks veidojums, par kuru vēlētāji ir atdevuši balsis.</w:t>
            </w:r>
          </w:p>
          <w:p w14:paraId="3DFB74F1" w14:textId="49E00C86" w:rsidR="00AC4D7F" w:rsidRPr="00CD324D" w:rsidRDefault="00B370C0" w:rsidP="00495A19">
            <w:pPr>
              <w:pStyle w:val="Bezatstarpm"/>
              <w:jc w:val="both"/>
              <w:rPr>
                <w:rFonts w:ascii="Times New Roman" w:hAnsi="Times New Roman" w:cs="Times New Roman"/>
                <w:sz w:val="24"/>
                <w:szCs w:val="24"/>
              </w:rPr>
            </w:pPr>
            <w:r>
              <w:rPr>
                <w:rFonts w:ascii="Times New Roman" w:hAnsi="Times New Roman" w:cs="Times New Roman"/>
                <w:sz w:val="24"/>
                <w:szCs w:val="24"/>
              </w:rPr>
              <w:t>Projektā iekļauta metode, ko Birojs piemēro</w:t>
            </w:r>
            <w:r w:rsidRPr="00B370C0">
              <w:rPr>
                <w:rFonts w:ascii="Times New Roman" w:hAnsi="Times New Roman" w:cs="Times New Roman"/>
                <w:sz w:val="24"/>
                <w:szCs w:val="24"/>
              </w:rPr>
              <w:t>, pārbaudot, vai iegādātā lieta vai pakalpojums nav ekskluzīvs un atbilst tirgus vērtībai</w:t>
            </w:r>
            <w:r>
              <w:rPr>
                <w:rFonts w:ascii="Times New Roman" w:hAnsi="Times New Roman" w:cs="Times New Roman"/>
                <w:sz w:val="24"/>
                <w:szCs w:val="24"/>
              </w:rPr>
              <w:t xml:space="preserve">. </w:t>
            </w:r>
            <w:r w:rsidR="00642D32">
              <w:rPr>
                <w:rFonts w:ascii="Times New Roman" w:hAnsi="Times New Roman" w:cs="Times New Roman"/>
                <w:sz w:val="24"/>
                <w:szCs w:val="24"/>
              </w:rPr>
              <w:t>Kā norādīja Birojs, ir svarīgi, lai, izmantojot valsts budžeta līdzekļus, politiskās partijas preces un pakalpojumus iegādātos, vadoties no adekvāti izprotamiem un ekonomiski pamatotiem kritērijiem (piemēram, nebūtu pieļaujami gadījumi, kad strauji pieaug preces vai pakalpojuma cena,</w:t>
            </w:r>
            <w:r w:rsidR="009D0212">
              <w:rPr>
                <w:rFonts w:ascii="Times New Roman" w:hAnsi="Times New Roman" w:cs="Times New Roman"/>
                <w:sz w:val="24"/>
                <w:szCs w:val="24"/>
              </w:rPr>
              <w:t xml:space="preserve"> </w:t>
            </w:r>
            <w:r w:rsidR="00642D32">
              <w:rPr>
                <w:rFonts w:ascii="Times New Roman" w:hAnsi="Times New Roman" w:cs="Times New Roman"/>
                <w:sz w:val="24"/>
                <w:szCs w:val="24"/>
              </w:rPr>
              <w:t xml:space="preserve">utt.). </w:t>
            </w:r>
            <w:r>
              <w:rPr>
                <w:rFonts w:ascii="Times New Roman" w:hAnsi="Times New Roman" w:cs="Times New Roman"/>
                <w:sz w:val="24"/>
                <w:szCs w:val="24"/>
              </w:rPr>
              <w:t xml:space="preserve">Uzsverams, ka Birojam jebkurā gadījumā </w:t>
            </w:r>
            <w:r w:rsidR="001140DA">
              <w:rPr>
                <w:rFonts w:ascii="Times New Roman" w:hAnsi="Times New Roman" w:cs="Times New Roman"/>
                <w:sz w:val="24"/>
                <w:szCs w:val="24"/>
              </w:rPr>
              <w:t xml:space="preserve">ir pienākums uzklausīt politiskās organizācijas (partijas) viedokli par izdevumu nepieciešamību un lietderību </w:t>
            </w:r>
            <w:r>
              <w:rPr>
                <w:rFonts w:ascii="Times New Roman" w:hAnsi="Times New Roman" w:cs="Times New Roman"/>
                <w:sz w:val="24"/>
                <w:szCs w:val="24"/>
              </w:rPr>
              <w:t xml:space="preserve">atbilstoši Administratīvā procesa likuma </w:t>
            </w:r>
            <w:r w:rsidR="001140DA">
              <w:rPr>
                <w:rFonts w:ascii="Times New Roman" w:hAnsi="Times New Roman" w:cs="Times New Roman"/>
                <w:sz w:val="24"/>
                <w:szCs w:val="24"/>
              </w:rPr>
              <w:t xml:space="preserve">62. pantam. </w:t>
            </w:r>
            <w:r w:rsidR="007149A5">
              <w:rPr>
                <w:rFonts w:ascii="Times New Roman" w:hAnsi="Times New Roman" w:cs="Times New Roman"/>
                <w:sz w:val="24"/>
                <w:szCs w:val="24"/>
              </w:rPr>
              <w:t xml:space="preserve">To, kādi dokumenti </w:t>
            </w:r>
            <w:proofErr w:type="gramStart"/>
            <w:r w:rsidR="007149A5">
              <w:rPr>
                <w:rFonts w:ascii="Times New Roman" w:hAnsi="Times New Roman" w:cs="Times New Roman"/>
                <w:sz w:val="24"/>
                <w:szCs w:val="24"/>
              </w:rPr>
              <w:t>un</w:t>
            </w:r>
            <w:proofErr w:type="gramEnd"/>
            <w:r w:rsidR="007149A5">
              <w:rPr>
                <w:rFonts w:ascii="Times New Roman" w:hAnsi="Times New Roman" w:cs="Times New Roman"/>
                <w:sz w:val="24"/>
                <w:szCs w:val="24"/>
              </w:rPr>
              <w:t xml:space="preserve"> kādā kārtībā būs iesniedzami Birojam, noteiks noteikumi, kas tiks izdoti saskaņā ar </w:t>
            </w:r>
            <w:r w:rsidR="007149A5" w:rsidRPr="007149A5">
              <w:rPr>
                <w:rFonts w:ascii="Times New Roman" w:hAnsi="Times New Roman" w:cs="Times New Roman"/>
                <w:sz w:val="24"/>
                <w:szCs w:val="24"/>
              </w:rPr>
              <w:t xml:space="preserve">Likuma 7. </w:t>
            </w:r>
            <w:r w:rsidR="007149A5" w:rsidRPr="007149A5">
              <w:rPr>
                <w:rFonts w:ascii="Times New Roman" w:hAnsi="Times New Roman" w:cs="Times New Roman"/>
                <w:sz w:val="24"/>
                <w:szCs w:val="24"/>
                <w:vertAlign w:val="superscript"/>
              </w:rPr>
              <w:t>4</w:t>
            </w:r>
            <w:r w:rsidR="007149A5" w:rsidRPr="007149A5">
              <w:rPr>
                <w:rFonts w:ascii="Times New Roman" w:hAnsi="Times New Roman" w:cs="Times New Roman"/>
                <w:sz w:val="24"/>
                <w:szCs w:val="24"/>
              </w:rPr>
              <w:t xml:space="preserve"> panta trešajā daļā paredzēt</w:t>
            </w:r>
            <w:r w:rsidR="007149A5">
              <w:rPr>
                <w:rFonts w:ascii="Times New Roman" w:hAnsi="Times New Roman" w:cs="Times New Roman"/>
                <w:sz w:val="24"/>
                <w:szCs w:val="24"/>
              </w:rPr>
              <w:t>o deleģējumu</w:t>
            </w:r>
            <w:r w:rsidR="007149A5" w:rsidRPr="007149A5">
              <w:rPr>
                <w:rFonts w:ascii="Times New Roman" w:hAnsi="Times New Roman" w:cs="Times New Roman"/>
                <w:sz w:val="24"/>
                <w:szCs w:val="24"/>
              </w:rPr>
              <w:t xml:space="preserve"> Ministru kabinetam izdot noteikumus, kuros nosaka, kā politiskā organizācija (partija) iesniedz Biroj</w:t>
            </w:r>
            <w:r w:rsidR="007149A5">
              <w:rPr>
                <w:rFonts w:ascii="Times New Roman" w:hAnsi="Times New Roman" w:cs="Times New Roman"/>
                <w:sz w:val="24"/>
                <w:szCs w:val="24"/>
              </w:rPr>
              <w:t>am</w:t>
            </w:r>
            <w:r w:rsidR="007149A5" w:rsidRPr="007149A5">
              <w:rPr>
                <w:rFonts w:ascii="Times New Roman" w:hAnsi="Times New Roman" w:cs="Times New Roman"/>
                <w:sz w:val="24"/>
                <w:szCs w:val="24"/>
              </w:rPr>
              <w:t xml:space="preserve"> valsts budžeta finansējuma izlietošanas pamatojuma dokumentus vienu reizi gadā. Šo noteikumu izdošanas termiņš ir 2020. gada 29. februāris.</w:t>
            </w:r>
            <w:r w:rsidR="00706672">
              <w:rPr>
                <w:rFonts w:ascii="Times New Roman" w:hAnsi="Times New Roman" w:cs="Times New Roman"/>
                <w:sz w:val="24"/>
                <w:szCs w:val="24"/>
              </w:rPr>
              <w:t xml:space="preserve"> Darba grupas sanāksmē Birojs informēja, ka reizi gadā tiek organizētas apmācības par politisko partiju finansēšanas tēmu, kas dod iespēju Birojam un politiskajām partijām pārrunāt aktualitātes šajā jomā. </w:t>
            </w:r>
            <w:r w:rsidR="007B59FA">
              <w:rPr>
                <w:rFonts w:ascii="Times New Roman" w:hAnsi="Times New Roman" w:cs="Times New Roman"/>
                <w:sz w:val="24"/>
                <w:szCs w:val="24"/>
              </w:rPr>
              <w:t xml:space="preserve">Tāpat informācija par minēto tēmu ir </w:t>
            </w:r>
            <w:r w:rsidR="00ED5F1E">
              <w:rPr>
                <w:rFonts w:ascii="Times New Roman" w:hAnsi="Times New Roman" w:cs="Times New Roman"/>
                <w:sz w:val="24"/>
                <w:szCs w:val="24"/>
              </w:rPr>
              <w:t>publicēta</w:t>
            </w:r>
            <w:r w:rsidR="007B59FA">
              <w:rPr>
                <w:rFonts w:ascii="Times New Roman" w:hAnsi="Times New Roman" w:cs="Times New Roman"/>
                <w:sz w:val="24"/>
                <w:szCs w:val="24"/>
              </w:rPr>
              <w:t xml:space="preserve"> Biroja mājas lapā</w:t>
            </w:r>
            <w:r w:rsidR="00ED5F1E">
              <w:rPr>
                <w:rFonts w:ascii="Times New Roman" w:hAnsi="Times New Roman" w:cs="Times New Roman"/>
                <w:sz w:val="24"/>
                <w:szCs w:val="24"/>
              </w:rPr>
              <w:t>.</w:t>
            </w:r>
          </w:p>
        </w:tc>
      </w:tr>
      <w:tr w:rsidR="0064585B" w:rsidRPr="0064585B" w14:paraId="18F9A715" w14:textId="77777777" w:rsidTr="0097372E">
        <w:tc>
          <w:tcPr>
            <w:tcW w:w="57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1BFD98DD" w14:textId="77777777" w:rsidR="00D93A15" w:rsidRPr="0064585B" w:rsidRDefault="00CD56A5">
            <w:pPr>
              <w:spacing w:after="0" w:line="240" w:lineRule="auto"/>
              <w:rPr>
                <w:rFonts w:ascii="Times New Roman" w:eastAsia="Times New Roman" w:hAnsi="Times New Roman" w:cs="Times New Roman"/>
                <w:iCs/>
                <w:color w:val="auto"/>
                <w:sz w:val="24"/>
                <w:szCs w:val="24"/>
                <w:lang w:val="en-US" w:eastAsia="lv-LV"/>
              </w:rPr>
            </w:pPr>
            <w:r w:rsidRPr="0064585B">
              <w:rPr>
                <w:rFonts w:ascii="Times New Roman" w:eastAsia="Times New Roman" w:hAnsi="Times New Roman" w:cs="Times New Roman"/>
                <w:iCs/>
                <w:color w:val="auto"/>
                <w:sz w:val="24"/>
                <w:szCs w:val="24"/>
                <w:lang w:eastAsia="lv-LV"/>
              </w:rPr>
              <w:lastRenderedPageBreak/>
              <w:t>3.</w:t>
            </w:r>
          </w:p>
        </w:tc>
        <w:tc>
          <w:tcPr>
            <w:tcW w:w="2814"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ADE1F0A" w14:textId="77777777" w:rsidR="00D93A15" w:rsidRPr="0064585B" w:rsidRDefault="00CD56A5">
            <w:pPr>
              <w:spacing w:after="0" w:line="240" w:lineRule="auto"/>
              <w:rPr>
                <w:rFonts w:ascii="Times New Roman" w:eastAsia="Times New Roman" w:hAnsi="Times New Roman" w:cs="Times New Roman"/>
                <w:iCs/>
                <w:color w:val="auto"/>
                <w:sz w:val="24"/>
                <w:szCs w:val="24"/>
                <w:lang w:val="en-US" w:eastAsia="lv-LV"/>
              </w:rPr>
            </w:pPr>
            <w:r w:rsidRPr="0064585B">
              <w:rPr>
                <w:rFonts w:ascii="Times New Roman" w:eastAsia="Times New Roman" w:hAnsi="Times New Roman" w:cs="Times New Roman"/>
                <w:iCs/>
                <w:color w:val="auto"/>
                <w:sz w:val="24"/>
                <w:szCs w:val="24"/>
                <w:lang w:eastAsia="lv-LV"/>
              </w:rPr>
              <w:t>Projekta izstrādē iesaistītās institūcijas un publiskas personas kapitālsabiedrības</w:t>
            </w:r>
          </w:p>
        </w:tc>
        <w:tc>
          <w:tcPr>
            <w:tcW w:w="58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659AAC8" w14:textId="4A6207A1" w:rsidR="00D93A15" w:rsidRPr="0064585B" w:rsidRDefault="00D237AC">
            <w:pPr>
              <w:spacing w:after="0" w:line="240" w:lineRule="auto"/>
              <w:jc w:val="both"/>
              <w:rPr>
                <w:rFonts w:ascii="Times New Roman" w:hAnsi="Times New Roman" w:cs="Times New Roman"/>
                <w:color w:val="auto"/>
                <w:sz w:val="24"/>
                <w:szCs w:val="24"/>
              </w:rPr>
            </w:pPr>
            <w:r w:rsidRPr="0064585B">
              <w:rPr>
                <w:rFonts w:ascii="Times New Roman" w:hAnsi="Times New Roman" w:cs="Times New Roman"/>
                <w:color w:val="auto"/>
                <w:sz w:val="24"/>
                <w:szCs w:val="24"/>
              </w:rPr>
              <w:t xml:space="preserve">Tieslietu ministrija, </w:t>
            </w:r>
            <w:r w:rsidR="00495A19">
              <w:rPr>
                <w:rFonts w:ascii="Times New Roman" w:hAnsi="Times New Roman" w:cs="Times New Roman"/>
                <w:color w:val="auto"/>
                <w:sz w:val="24"/>
                <w:szCs w:val="24"/>
              </w:rPr>
              <w:t>Birojs, Finanšu ministrija</w:t>
            </w:r>
          </w:p>
        </w:tc>
      </w:tr>
      <w:tr w:rsidR="0064585B" w:rsidRPr="0064585B" w14:paraId="120646E5" w14:textId="77777777" w:rsidTr="0097372E">
        <w:tc>
          <w:tcPr>
            <w:tcW w:w="57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3C8B7DBC" w14:textId="77777777" w:rsidR="00D93A15" w:rsidRPr="0064585B" w:rsidRDefault="00CD56A5">
            <w:pPr>
              <w:spacing w:after="0" w:line="240" w:lineRule="auto"/>
              <w:rPr>
                <w:rFonts w:ascii="Times New Roman" w:eastAsia="Times New Roman" w:hAnsi="Times New Roman" w:cs="Times New Roman"/>
                <w:iCs/>
                <w:color w:val="auto"/>
                <w:sz w:val="24"/>
                <w:szCs w:val="24"/>
                <w:lang w:val="en-US" w:eastAsia="lv-LV"/>
              </w:rPr>
            </w:pPr>
            <w:r w:rsidRPr="0064585B">
              <w:rPr>
                <w:rFonts w:ascii="Times New Roman" w:eastAsia="Times New Roman" w:hAnsi="Times New Roman" w:cs="Times New Roman"/>
                <w:iCs/>
                <w:color w:val="auto"/>
                <w:sz w:val="24"/>
                <w:szCs w:val="24"/>
                <w:lang w:eastAsia="lv-LV"/>
              </w:rPr>
              <w:t>4.</w:t>
            </w:r>
          </w:p>
        </w:tc>
        <w:tc>
          <w:tcPr>
            <w:tcW w:w="2814"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E637C79" w14:textId="77777777" w:rsidR="00D93A15" w:rsidRPr="0064585B" w:rsidRDefault="00CD56A5">
            <w:pPr>
              <w:spacing w:after="0" w:line="240" w:lineRule="auto"/>
              <w:rPr>
                <w:rFonts w:ascii="Times New Roman" w:eastAsia="Times New Roman" w:hAnsi="Times New Roman" w:cs="Times New Roman"/>
                <w:iCs/>
                <w:color w:val="auto"/>
                <w:sz w:val="24"/>
                <w:szCs w:val="24"/>
                <w:lang w:val="en-US" w:eastAsia="lv-LV"/>
              </w:rPr>
            </w:pPr>
            <w:r w:rsidRPr="0064585B">
              <w:rPr>
                <w:rFonts w:ascii="Times New Roman" w:eastAsia="Times New Roman" w:hAnsi="Times New Roman" w:cs="Times New Roman"/>
                <w:iCs/>
                <w:color w:val="auto"/>
                <w:sz w:val="24"/>
                <w:szCs w:val="24"/>
                <w:lang w:eastAsia="lv-LV"/>
              </w:rPr>
              <w:t>Cita informācija</w:t>
            </w:r>
          </w:p>
        </w:tc>
        <w:tc>
          <w:tcPr>
            <w:tcW w:w="580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9AB0C5E" w14:textId="77777777" w:rsidR="00D93A15" w:rsidRPr="0064585B" w:rsidRDefault="00CD56A5">
            <w:pPr>
              <w:spacing w:after="0" w:line="240" w:lineRule="auto"/>
              <w:rPr>
                <w:color w:val="auto"/>
              </w:rPr>
            </w:pPr>
            <w:r w:rsidRPr="0064585B">
              <w:rPr>
                <w:rFonts w:ascii="Times New Roman" w:eastAsia="Times New Roman" w:hAnsi="Times New Roman" w:cs="Times New Roman"/>
                <w:iCs/>
                <w:color w:val="auto"/>
                <w:sz w:val="24"/>
                <w:szCs w:val="24"/>
                <w:lang w:eastAsia="lv-LV"/>
              </w:rPr>
              <w:t>Nav</w:t>
            </w:r>
          </w:p>
        </w:tc>
      </w:tr>
    </w:tbl>
    <w:p w14:paraId="15DA8361" w14:textId="3F265789" w:rsidR="00D93A15" w:rsidRPr="0064585B" w:rsidRDefault="00CD56A5">
      <w:pPr>
        <w:spacing w:after="0" w:line="240" w:lineRule="auto"/>
        <w:rPr>
          <w:rFonts w:ascii="Times New Roman" w:eastAsia="Times New Roman" w:hAnsi="Times New Roman" w:cs="Times New Roman"/>
          <w:iCs/>
          <w:color w:val="auto"/>
          <w:sz w:val="24"/>
          <w:szCs w:val="24"/>
          <w:lang w:eastAsia="lv-LV"/>
        </w:rPr>
      </w:pPr>
      <w:r w:rsidRPr="0064585B">
        <w:rPr>
          <w:rFonts w:ascii="Times New Roman" w:eastAsia="Times New Roman" w:hAnsi="Times New Roman" w:cs="Times New Roman"/>
          <w:iCs/>
          <w:color w:val="auto"/>
          <w:sz w:val="24"/>
          <w:szCs w:val="24"/>
          <w:lang w:eastAsia="lv-LV"/>
        </w:rPr>
        <w:t xml:space="preserve">  </w:t>
      </w:r>
    </w:p>
    <w:p w14:paraId="3CF8FE1C" w14:textId="77777777" w:rsidR="006122EF" w:rsidRPr="0064585B" w:rsidRDefault="006122EF">
      <w:pPr>
        <w:spacing w:after="0" w:line="240" w:lineRule="auto"/>
        <w:rPr>
          <w:rFonts w:ascii="Times New Roman" w:eastAsia="Times New Roman" w:hAnsi="Times New Roman" w:cs="Times New Roman"/>
          <w:iCs/>
          <w:color w:val="auto"/>
          <w:sz w:val="24"/>
          <w:szCs w:val="24"/>
          <w:lang w:val="en-US" w:eastAsia="lv-LV"/>
        </w:rPr>
      </w:pPr>
    </w:p>
    <w:tbl>
      <w:tblPr>
        <w:tblW w:w="5078" w:type="pct"/>
        <w:tblInd w:w="-13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577"/>
        <w:gridCol w:w="2528"/>
        <w:gridCol w:w="6091"/>
      </w:tblGrid>
      <w:tr w:rsidR="001413A4" w:rsidRPr="00001C54" w14:paraId="74A3ADC1" w14:textId="77777777" w:rsidTr="00F462FA">
        <w:tc>
          <w:tcPr>
            <w:tcW w:w="919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70512920" w14:textId="77777777" w:rsidR="001413A4" w:rsidRPr="00001C54" w:rsidRDefault="001413A4" w:rsidP="009C01DD">
            <w:pPr>
              <w:spacing w:after="0" w:line="240" w:lineRule="auto"/>
              <w:rPr>
                <w:rFonts w:ascii="Times New Roman" w:eastAsia="Times New Roman" w:hAnsi="Times New Roman" w:cs="Times New Roman"/>
                <w:b/>
                <w:bCs/>
                <w:iCs/>
                <w:color w:val="auto"/>
                <w:sz w:val="24"/>
                <w:szCs w:val="24"/>
                <w:lang w:val="en-US" w:eastAsia="lv-LV"/>
              </w:rPr>
            </w:pPr>
            <w:r w:rsidRPr="00001C54">
              <w:rPr>
                <w:rFonts w:ascii="Times New Roman" w:eastAsia="Times New Roman" w:hAnsi="Times New Roman" w:cs="Times New Roman"/>
                <w:b/>
                <w:bCs/>
                <w:iCs/>
                <w:color w:val="auto"/>
                <w:sz w:val="24"/>
                <w:szCs w:val="24"/>
                <w:lang w:eastAsia="lv-LV"/>
              </w:rPr>
              <w:t>II. Tiesību akta projekta ietekme uz sabiedrību, tautsaimniecības attīstību un administratīvo slogu</w:t>
            </w:r>
          </w:p>
        </w:tc>
      </w:tr>
      <w:tr w:rsidR="001413A4" w:rsidRPr="00001C54" w14:paraId="7FB983F1" w14:textId="77777777" w:rsidTr="00F462FA">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64DAC24" w14:textId="77777777" w:rsidR="001413A4" w:rsidRPr="00001C54" w:rsidRDefault="001413A4" w:rsidP="009C01DD">
            <w:pPr>
              <w:spacing w:after="0" w:line="240" w:lineRule="auto"/>
              <w:rPr>
                <w:rFonts w:ascii="Times New Roman" w:eastAsia="Times New Roman" w:hAnsi="Times New Roman" w:cs="Times New Roman"/>
                <w:iCs/>
                <w:color w:val="auto"/>
                <w:sz w:val="24"/>
                <w:szCs w:val="24"/>
                <w:lang w:val="en-US" w:eastAsia="lv-LV"/>
              </w:rPr>
            </w:pPr>
            <w:r w:rsidRPr="00001C54">
              <w:rPr>
                <w:rFonts w:ascii="Times New Roman" w:eastAsia="Times New Roman" w:hAnsi="Times New Roman" w:cs="Times New Roman"/>
                <w:iCs/>
                <w:color w:val="auto"/>
                <w:sz w:val="24"/>
                <w:szCs w:val="24"/>
                <w:lang w:eastAsia="lv-LV"/>
              </w:rPr>
              <w:lastRenderedPageBreak/>
              <w:t>1.</w:t>
            </w:r>
          </w:p>
        </w:tc>
        <w:tc>
          <w:tcPr>
            <w:tcW w:w="252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2CD1B1A1" w14:textId="77777777" w:rsidR="001413A4" w:rsidRPr="00001C54" w:rsidRDefault="001413A4" w:rsidP="009C01DD">
            <w:pPr>
              <w:spacing w:after="0" w:line="240" w:lineRule="auto"/>
              <w:rPr>
                <w:rFonts w:ascii="Times New Roman" w:eastAsia="Times New Roman" w:hAnsi="Times New Roman" w:cs="Times New Roman"/>
                <w:iCs/>
                <w:color w:val="auto"/>
                <w:sz w:val="24"/>
                <w:szCs w:val="24"/>
                <w:lang w:val="en-US" w:eastAsia="lv-LV"/>
              </w:rPr>
            </w:pPr>
            <w:r w:rsidRPr="00001C54">
              <w:rPr>
                <w:rFonts w:ascii="Times New Roman" w:eastAsia="Times New Roman" w:hAnsi="Times New Roman" w:cs="Times New Roman"/>
                <w:iCs/>
                <w:color w:val="auto"/>
                <w:sz w:val="24"/>
                <w:szCs w:val="24"/>
                <w:lang w:eastAsia="lv-LV"/>
              </w:rPr>
              <w:t>Sabiedrības mērķgrupas, kuras tiesiskais regulējums ietekmē vai varētu ietekmēt</w:t>
            </w:r>
          </w:p>
        </w:tc>
        <w:tc>
          <w:tcPr>
            <w:tcW w:w="6091"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3982B15" w14:textId="77777777" w:rsidR="001413A4" w:rsidRPr="00001C54" w:rsidRDefault="001413A4" w:rsidP="009C01DD">
            <w:pPr>
              <w:spacing w:after="0" w:line="240" w:lineRule="auto"/>
              <w:jc w:val="both"/>
              <w:rPr>
                <w:rFonts w:ascii="Times New Roman" w:hAnsi="Times New Roman" w:cs="Times New Roman"/>
                <w:color w:val="auto"/>
                <w:sz w:val="24"/>
                <w:szCs w:val="24"/>
              </w:rPr>
            </w:pPr>
            <w:r w:rsidRPr="00001C54">
              <w:rPr>
                <w:rFonts w:ascii="Times New Roman" w:hAnsi="Times New Roman" w:cs="Times New Roman"/>
                <w:color w:val="auto"/>
                <w:sz w:val="24"/>
                <w:szCs w:val="24"/>
              </w:rPr>
              <w:t>Politiskās organizācijas (partijas), visa sabiedrība kopumā</w:t>
            </w:r>
          </w:p>
        </w:tc>
      </w:tr>
      <w:tr w:rsidR="001413A4" w:rsidRPr="00001C54" w14:paraId="7CBB4537" w14:textId="77777777" w:rsidTr="00F462FA">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B07A10D" w14:textId="77777777" w:rsidR="001413A4" w:rsidRPr="00001C54" w:rsidRDefault="001413A4" w:rsidP="009C01DD">
            <w:pPr>
              <w:spacing w:after="0" w:line="240" w:lineRule="auto"/>
              <w:rPr>
                <w:rFonts w:ascii="Times New Roman" w:eastAsia="Times New Roman" w:hAnsi="Times New Roman" w:cs="Times New Roman"/>
                <w:iCs/>
                <w:color w:val="auto"/>
                <w:sz w:val="24"/>
                <w:szCs w:val="24"/>
                <w:lang w:val="en-US" w:eastAsia="lv-LV"/>
              </w:rPr>
            </w:pPr>
            <w:r w:rsidRPr="00001C54">
              <w:rPr>
                <w:rFonts w:ascii="Times New Roman" w:eastAsia="Times New Roman" w:hAnsi="Times New Roman" w:cs="Times New Roman"/>
                <w:iCs/>
                <w:color w:val="auto"/>
                <w:sz w:val="24"/>
                <w:szCs w:val="24"/>
                <w:lang w:eastAsia="lv-LV"/>
              </w:rPr>
              <w:t>2.</w:t>
            </w:r>
          </w:p>
        </w:tc>
        <w:tc>
          <w:tcPr>
            <w:tcW w:w="252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3EBA23CC" w14:textId="77777777" w:rsidR="001413A4" w:rsidRPr="00001C54" w:rsidRDefault="001413A4" w:rsidP="009C01DD">
            <w:pPr>
              <w:spacing w:after="0" w:line="240" w:lineRule="auto"/>
              <w:rPr>
                <w:rFonts w:ascii="Times New Roman" w:eastAsia="Times New Roman" w:hAnsi="Times New Roman" w:cs="Times New Roman"/>
                <w:iCs/>
                <w:color w:val="auto"/>
                <w:sz w:val="24"/>
                <w:szCs w:val="24"/>
                <w:lang w:val="en-US" w:eastAsia="lv-LV"/>
              </w:rPr>
            </w:pPr>
            <w:r w:rsidRPr="00001C54">
              <w:rPr>
                <w:rFonts w:ascii="Times New Roman" w:eastAsia="Times New Roman" w:hAnsi="Times New Roman" w:cs="Times New Roman"/>
                <w:iCs/>
                <w:color w:val="auto"/>
                <w:sz w:val="24"/>
                <w:szCs w:val="24"/>
                <w:lang w:eastAsia="lv-LV"/>
              </w:rPr>
              <w:t>Tiesiskā regulējuma ietekme uz tautsaimniecību un administratīvo slogu</w:t>
            </w:r>
          </w:p>
        </w:tc>
        <w:tc>
          <w:tcPr>
            <w:tcW w:w="6091"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3637260B" w14:textId="1E8377A2" w:rsidR="001413A4" w:rsidRPr="00D5483C" w:rsidRDefault="00D5483C" w:rsidP="00D5483C">
            <w:pPr>
              <w:spacing w:after="0" w:line="240" w:lineRule="auto"/>
              <w:jc w:val="both"/>
              <w:rPr>
                <w:rFonts w:ascii="Times New Roman" w:hAnsi="Times New Roman" w:cs="Times New Roman"/>
                <w:color w:val="auto"/>
                <w:sz w:val="24"/>
                <w:szCs w:val="24"/>
                <w:lang w:eastAsia="lv-LV"/>
              </w:rPr>
            </w:pPr>
            <w:r w:rsidRPr="00D5483C">
              <w:rPr>
                <w:rFonts w:ascii="Times New Roman" w:hAnsi="Times New Roman" w:cs="Times New Roman"/>
                <w:color w:val="auto"/>
                <w:sz w:val="24"/>
                <w:szCs w:val="24"/>
                <w:lang w:eastAsia="lv-LV"/>
              </w:rPr>
              <w:t>Projekts šo jomu neskar</w:t>
            </w:r>
          </w:p>
        </w:tc>
      </w:tr>
      <w:tr w:rsidR="001413A4" w:rsidRPr="00001C54" w14:paraId="7B559EDD" w14:textId="77777777" w:rsidTr="00F462FA">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375B4B4A" w14:textId="77777777" w:rsidR="001413A4" w:rsidRPr="00001C54" w:rsidRDefault="001413A4" w:rsidP="009C01DD">
            <w:pPr>
              <w:spacing w:after="0" w:line="240" w:lineRule="auto"/>
              <w:rPr>
                <w:rFonts w:ascii="Times New Roman" w:eastAsia="Times New Roman" w:hAnsi="Times New Roman" w:cs="Times New Roman"/>
                <w:iCs/>
                <w:color w:val="auto"/>
                <w:sz w:val="24"/>
                <w:szCs w:val="24"/>
                <w:lang w:val="en-US" w:eastAsia="lv-LV"/>
              </w:rPr>
            </w:pPr>
            <w:r w:rsidRPr="00001C54">
              <w:rPr>
                <w:rFonts w:ascii="Times New Roman" w:eastAsia="Times New Roman" w:hAnsi="Times New Roman" w:cs="Times New Roman"/>
                <w:iCs/>
                <w:color w:val="auto"/>
                <w:sz w:val="24"/>
                <w:szCs w:val="24"/>
                <w:lang w:eastAsia="lv-LV"/>
              </w:rPr>
              <w:t>3.</w:t>
            </w:r>
          </w:p>
        </w:tc>
        <w:tc>
          <w:tcPr>
            <w:tcW w:w="252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464168C" w14:textId="77777777" w:rsidR="001413A4" w:rsidRPr="00001C54" w:rsidRDefault="001413A4" w:rsidP="009C01DD">
            <w:pPr>
              <w:spacing w:after="0" w:line="240" w:lineRule="auto"/>
              <w:rPr>
                <w:color w:val="auto"/>
              </w:rPr>
            </w:pPr>
            <w:r w:rsidRPr="00001C54">
              <w:rPr>
                <w:rFonts w:ascii="Times New Roman" w:eastAsia="Times New Roman" w:hAnsi="Times New Roman" w:cs="Times New Roman"/>
                <w:iCs/>
                <w:color w:val="auto"/>
                <w:sz w:val="24"/>
                <w:szCs w:val="24"/>
                <w:lang w:eastAsia="lv-LV"/>
              </w:rPr>
              <w:t>Administratīvo izmaksu monetārs novērtējums</w:t>
            </w:r>
          </w:p>
        </w:tc>
        <w:tc>
          <w:tcPr>
            <w:tcW w:w="6091"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EC1C955" w14:textId="4B39BB49" w:rsidR="001413A4" w:rsidRPr="00001C54" w:rsidRDefault="00D5483C" w:rsidP="009C01DD">
            <w:pPr>
              <w:spacing w:after="0" w:line="240" w:lineRule="auto"/>
              <w:jc w:val="both"/>
              <w:rPr>
                <w:rFonts w:ascii="Times New Roman" w:hAnsi="Times New Roman"/>
                <w:color w:val="auto"/>
                <w:sz w:val="24"/>
                <w:szCs w:val="24"/>
              </w:rPr>
            </w:pPr>
            <w:r>
              <w:rPr>
                <w:rFonts w:ascii="Times New Roman" w:hAnsi="Times New Roman"/>
                <w:color w:val="auto"/>
                <w:sz w:val="24"/>
                <w:szCs w:val="24"/>
              </w:rPr>
              <w:t>Projekts šo jomu neskar</w:t>
            </w:r>
          </w:p>
        </w:tc>
      </w:tr>
      <w:tr w:rsidR="001413A4" w:rsidRPr="00001C54" w14:paraId="6C42CD69" w14:textId="77777777" w:rsidTr="00F462FA">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1EBC6E16" w14:textId="77777777" w:rsidR="001413A4" w:rsidRPr="00EA5132" w:rsidRDefault="001413A4" w:rsidP="009C01DD">
            <w:pPr>
              <w:spacing w:after="0" w:line="240" w:lineRule="auto"/>
              <w:rPr>
                <w:rFonts w:ascii="Times New Roman" w:eastAsia="Times New Roman" w:hAnsi="Times New Roman" w:cs="Times New Roman"/>
                <w:iCs/>
                <w:color w:val="auto"/>
                <w:sz w:val="24"/>
                <w:szCs w:val="24"/>
                <w:lang w:eastAsia="lv-LV"/>
              </w:rPr>
            </w:pPr>
            <w:r w:rsidRPr="00001C54">
              <w:rPr>
                <w:rFonts w:ascii="Times New Roman" w:eastAsia="Times New Roman" w:hAnsi="Times New Roman" w:cs="Times New Roman"/>
                <w:iCs/>
                <w:color w:val="auto"/>
                <w:sz w:val="24"/>
                <w:szCs w:val="24"/>
                <w:lang w:eastAsia="lv-LV"/>
              </w:rPr>
              <w:t>4.</w:t>
            </w:r>
          </w:p>
        </w:tc>
        <w:tc>
          <w:tcPr>
            <w:tcW w:w="252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3DD807C0" w14:textId="77777777" w:rsidR="001413A4" w:rsidRPr="00001C54" w:rsidRDefault="001413A4" w:rsidP="009C01DD">
            <w:pPr>
              <w:spacing w:after="0" w:line="240" w:lineRule="auto"/>
              <w:rPr>
                <w:color w:val="auto"/>
              </w:rPr>
            </w:pPr>
            <w:r w:rsidRPr="001361E8">
              <w:rPr>
                <w:rFonts w:ascii="Times New Roman" w:eastAsia="Times New Roman" w:hAnsi="Times New Roman" w:cs="Times New Roman"/>
                <w:iCs/>
                <w:color w:val="auto"/>
                <w:sz w:val="24"/>
                <w:szCs w:val="24"/>
                <w:lang w:eastAsia="lv-LV"/>
              </w:rPr>
              <w:t>Atbilstības izmaksu monetārs novērtējums</w:t>
            </w:r>
          </w:p>
        </w:tc>
        <w:tc>
          <w:tcPr>
            <w:tcW w:w="6091"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23AE2EB6" w14:textId="619251B0" w:rsidR="001413A4" w:rsidRPr="00001C54" w:rsidRDefault="00D5483C" w:rsidP="009C01DD">
            <w:pPr>
              <w:spacing w:after="0" w:line="240" w:lineRule="auto"/>
              <w:jc w:val="both"/>
              <w:rPr>
                <w:color w:val="auto"/>
              </w:rPr>
            </w:pPr>
            <w:r>
              <w:rPr>
                <w:rFonts w:ascii="Times New Roman" w:hAnsi="Times New Roman"/>
                <w:sz w:val="24"/>
                <w:szCs w:val="24"/>
                <w:lang w:eastAsia="lv-LV"/>
              </w:rPr>
              <w:t>Projekts šo jomu neskar</w:t>
            </w:r>
          </w:p>
        </w:tc>
      </w:tr>
      <w:tr w:rsidR="001413A4" w:rsidRPr="00001C54" w14:paraId="247AA6CE" w14:textId="77777777" w:rsidTr="00F462FA">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9CF386B" w14:textId="77777777" w:rsidR="001413A4" w:rsidRPr="00EA5132" w:rsidRDefault="001413A4" w:rsidP="009C01DD">
            <w:pPr>
              <w:spacing w:after="0" w:line="240" w:lineRule="auto"/>
              <w:rPr>
                <w:rFonts w:ascii="Times New Roman" w:eastAsia="Times New Roman" w:hAnsi="Times New Roman" w:cs="Times New Roman"/>
                <w:iCs/>
                <w:color w:val="auto"/>
                <w:sz w:val="24"/>
                <w:szCs w:val="24"/>
                <w:lang w:eastAsia="lv-LV"/>
              </w:rPr>
            </w:pPr>
            <w:r w:rsidRPr="00001C54">
              <w:rPr>
                <w:rFonts w:ascii="Times New Roman" w:eastAsia="Times New Roman" w:hAnsi="Times New Roman" w:cs="Times New Roman"/>
                <w:iCs/>
                <w:color w:val="auto"/>
                <w:sz w:val="24"/>
                <w:szCs w:val="24"/>
                <w:lang w:eastAsia="lv-LV"/>
              </w:rPr>
              <w:t>5.</w:t>
            </w:r>
          </w:p>
        </w:tc>
        <w:tc>
          <w:tcPr>
            <w:tcW w:w="2528"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7DB443B3" w14:textId="77777777" w:rsidR="001413A4" w:rsidRPr="00EA5132" w:rsidRDefault="001413A4" w:rsidP="009C01DD">
            <w:pPr>
              <w:spacing w:after="0" w:line="240" w:lineRule="auto"/>
              <w:rPr>
                <w:rFonts w:ascii="Times New Roman" w:eastAsia="Times New Roman" w:hAnsi="Times New Roman" w:cs="Times New Roman"/>
                <w:iCs/>
                <w:color w:val="auto"/>
                <w:sz w:val="24"/>
                <w:szCs w:val="24"/>
                <w:lang w:eastAsia="lv-LV"/>
              </w:rPr>
            </w:pPr>
            <w:r w:rsidRPr="00001C54">
              <w:rPr>
                <w:rFonts w:ascii="Times New Roman" w:eastAsia="Times New Roman" w:hAnsi="Times New Roman" w:cs="Times New Roman"/>
                <w:iCs/>
                <w:color w:val="auto"/>
                <w:sz w:val="24"/>
                <w:szCs w:val="24"/>
                <w:lang w:eastAsia="lv-LV"/>
              </w:rPr>
              <w:t>Cita informācija</w:t>
            </w:r>
          </w:p>
        </w:tc>
        <w:tc>
          <w:tcPr>
            <w:tcW w:w="6091"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7961A46" w14:textId="77777777" w:rsidR="001413A4" w:rsidRPr="00001C54" w:rsidRDefault="001413A4" w:rsidP="009C01DD">
            <w:pPr>
              <w:spacing w:after="0" w:line="240" w:lineRule="auto"/>
              <w:rPr>
                <w:color w:val="auto"/>
              </w:rPr>
            </w:pPr>
            <w:r w:rsidRPr="00001C54">
              <w:rPr>
                <w:rFonts w:ascii="Times New Roman" w:eastAsia="Times New Roman" w:hAnsi="Times New Roman" w:cs="Times New Roman"/>
                <w:iCs/>
                <w:color w:val="auto"/>
                <w:sz w:val="24"/>
                <w:szCs w:val="24"/>
                <w:lang w:eastAsia="lv-LV"/>
              </w:rPr>
              <w:t>Nav</w:t>
            </w:r>
          </w:p>
        </w:tc>
      </w:tr>
    </w:tbl>
    <w:p w14:paraId="105DE93B" w14:textId="77777777" w:rsidR="001413A4" w:rsidRPr="00EA5132" w:rsidRDefault="001413A4" w:rsidP="001413A4">
      <w:pPr>
        <w:spacing w:after="0" w:line="240" w:lineRule="auto"/>
        <w:rPr>
          <w:rFonts w:ascii="Times New Roman" w:eastAsia="Times New Roman" w:hAnsi="Times New Roman" w:cs="Times New Roman"/>
          <w:iCs/>
          <w:color w:val="auto"/>
          <w:sz w:val="24"/>
          <w:szCs w:val="24"/>
          <w:lang w:eastAsia="lv-LV"/>
        </w:rPr>
      </w:pPr>
      <w:r w:rsidRPr="00001C54">
        <w:rPr>
          <w:rFonts w:ascii="Times New Roman" w:eastAsia="Times New Roman" w:hAnsi="Times New Roman" w:cs="Times New Roman"/>
          <w:iCs/>
          <w:color w:val="auto"/>
          <w:sz w:val="24"/>
          <w:szCs w:val="24"/>
          <w:lang w:eastAsia="lv-LV"/>
        </w:rPr>
        <w:t xml:space="preserve">  </w:t>
      </w:r>
    </w:p>
    <w:p w14:paraId="2C48FE57" w14:textId="07522028" w:rsidR="00F77B92" w:rsidRDefault="00F77B92" w:rsidP="001413A4">
      <w:pPr>
        <w:spacing w:after="0" w:line="240" w:lineRule="auto"/>
        <w:rPr>
          <w:rFonts w:ascii="Times New Roman" w:eastAsia="Times New Roman" w:hAnsi="Times New Roman" w:cs="Times New Roman"/>
          <w:iCs/>
          <w:color w:val="auto"/>
          <w:sz w:val="24"/>
          <w:szCs w:val="24"/>
          <w:lang w:eastAsia="lv-LV"/>
        </w:rPr>
      </w:pPr>
    </w:p>
    <w:p w14:paraId="74A85C1F" w14:textId="79E2F6F0" w:rsidR="00F77B92" w:rsidRDefault="00F77B92" w:rsidP="001413A4">
      <w:pPr>
        <w:spacing w:after="0" w:line="240" w:lineRule="auto"/>
        <w:rPr>
          <w:rFonts w:ascii="Times New Roman" w:eastAsia="Times New Roman" w:hAnsi="Times New Roman" w:cs="Times New Roman"/>
          <w:iCs/>
          <w:color w:val="auto"/>
          <w:sz w:val="24"/>
          <w:szCs w:val="24"/>
          <w:lang w:eastAsia="lv-LV"/>
        </w:rPr>
      </w:pPr>
    </w:p>
    <w:tbl>
      <w:tblPr>
        <w:tblW w:w="5078" w:type="pct"/>
        <w:tblInd w:w="-132" w:type="dxa"/>
        <w:tblBorders>
          <w:top w:val="outset" w:sz="6" w:space="0" w:color="00000A"/>
          <w:left w:val="outset" w:sz="6" w:space="0" w:color="00000A"/>
          <w:right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9196"/>
      </w:tblGrid>
      <w:tr w:rsidR="00D5483C" w:rsidRPr="0064585B" w14:paraId="251E17BF" w14:textId="77777777" w:rsidTr="0097372E">
        <w:tc>
          <w:tcPr>
            <w:tcW w:w="9196" w:type="dxa"/>
            <w:tcBorders>
              <w:top w:val="outset" w:sz="6" w:space="0" w:color="00000A"/>
              <w:left w:val="outset" w:sz="6" w:space="0" w:color="00000A"/>
              <w:right w:val="outset" w:sz="6" w:space="0" w:color="00000A"/>
            </w:tcBorders>
            <w:shd w:val="clear" w:color="auto" w:fill="auto"/>
            <w:tcMar>
              <w:left w:w="-22" w:type="dxa"/>
            </w:tcMar>
            <w:vAlign w:val="center"/>
          </w:tcPr>
          <w:p w14:paraId="506DF35D" w14:textId="1B9923A2" w:rsidR="00D5483C" w:rsidRPr="00D5483C" w:rsidRDefault="00D5483C" w:rsidP="00DF27ED">
            <w:pPr>
              <w:spacing w:after="0" w:line="240" w:lineRule="auto"/>
              <w:rPr>
                <w:rFonts w:ascii="Times New Roman" w:eastAsia="Times New Roman" w:hAnsi="Times New Roman" w:cs="Times New Roman"/>
                <w:b/>
                <w:bCs/>
                <w:iCs/>
                <w:color w:val="auto"/>
                <w:sz w:val="24"/>
                <w:szCs w:val="24"/>
                <w:lang w:eastAsia="lv-LV"/>
              </w:rPr>
            </w:pPr>
            <w:r>
              <w:rPr>
                <w:rFonts w:ascii="Times New Roman" w:eastAsia="Times New Roman" w:hAnsi="Times New Roman" w:cs="Times New Roman"/>
                <w:b/>
                <w:bCs/>
                <w:iCs/>
                <w:color w:val="auto"/>
                <w:sz w:val="24"/>
                <w:szCs w:val="24"/>
                <w:lang w:eastAsia="lv-LV"/>
              </w:rPr>
              <w:t>III</w:t>
            </w:r>
            <w:r w:rsidRPr="0064585B">
              <w:rPr>
                <w:rFonts w:ascii="Times New Roman" w:eastAsia="Times New Roman" w:hAnsi="Times New Roman" w:cs="Times New Roman"/>
                <w:b/>
                <w:bCs/>
                <w:iCs/>
                <w:color w:val="auto"/>
                <w:sz w:val="24"/>
                <w:szCs w:val="24"/>
                <w:lang w:eastAsia="lv-LV"/>
              </w:rPr>
              <w:t xml:space="preserve">. </w:t>
            </w:r>
            <w:r w:rsidRPr="00D5483C">
              <w:rPr>
                <w:rFonts w:ascii="Times New Roman" w:eastAsia="Times New Roman" w:hAnsi="Times New Roman" w:cs="Times New Roman"/>
                <w:b/>
                <w:bCs/>
                <w:iCs/>
                <w:color w:val="auto"/>
                <w:sz w:val="24"/>
                <w:szCs w:val="24"/>
                <w:lang w:eastAsia="lv-LV"/>
              </w:rPr>
              <w:t>Tiesību akta projekta ietekme uz valsts budžetu un pašvaldību budžetiem</w:t>
            </w:r>
          </w:p>
        </w:tc>
      </w:tr>
      <w:tr w:rsidR="00D5483C" w:rsidRPr="0064585B" w14:paraId="2037061D" w14:textId="77777777" w:rsidTr="0097372E">
        <w:tc>
          <w:tcPr>
            <w:tcW w:w="919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0E81AF84" w14:textId="77777777" w:rsidR="00D5483C" w:rsidRPr="0064585B" w:rsidRDefault="00D5483C" w:rsidP="00DF27ED">
            <w:pPr>
              <w:spacing w:after="0" w:line="240" w:lineRule="auto"/>
              <w:jc w:val="center"/>
              <w:rPr>
                <w:rFonts w:ascii="Times New Roman" w:hAnsi="Times New Roman"/>
                <w:color w:val="auto"/>
                <w:sz w:val="24"/>
                <w:szCs w:val="24"/>
              </w:rPr>
            </w:pPr>
            <w:r w:rsidRPr="0064585B">
              <w:rPr>
                <w:rFonts w:ascii="Times New Roman" w:hAnsi="Times New Roman"/>
                <w:color w:val="auto"/>
                <w:sz w:val="24"/>
                <w:szCs w:val="24"/>
              </w:rPr>
              <w:t>Projekts šo jomu neskar</w:t>
            </w:r>
          </w:p>
        </w:tc>
      </w:tr>
    </w:tbl>
    <w:p w14:paraId="6A9F8096" w14:textId="77777777" w:rsidR="00F77B92" w:rsidRPr="00001C54" w:rsidRDefault="00F77B92" w:rsidP="001413A4">
      <w:pPr>
        <w:spacing w:after="0" w:line="240" w:lineRule="auto"/>
        <w:rPr>
          <w:rFonts w:ascii="Times New Roman" w:eastAsia="Times New Roman" w:hAnsi="Times New Roman" w:cs="Times New Roman"/>
          <w:iCs/>
          <w:color w:val="auto"/>
          <w:sz w:val="24"/>
          <w:szCs w:val="24"/>
          <w:lang w:eastAsia="lv-LV"/>
        </w:rPr>
      </w:pPr>
    </w:p>
    <w:p w14:paraId="77D622AD" w14:textId="77777777" w:rsidR="00A27E98" w:rsidRPr="0064585B" w:rsidRDefault="00CD56A5">
      <w:pPr>
        <w:spacing w:after="0" w:line="240" w:lineRule="auto"/>
        <w:rPr>
          <w:rFonts w:ascii="Times New Roman" w:eastAsia="Times New Roman" w:hAnsi="Times New Roman" w:cs="Times New Roman"/>
          <w:iCs/>
          <w:color w:val="auto"/>
          <w:sz w:val="24"/>
          <w:szCs w:val="24"/>
          <w:lang w:eastAsia="lv-LV"/>
        </w:rPr>
      </w:pPr>
      <w:r w:rsidRPr="0064585B">
        <w:rPr>
          <w:rFonts w:ascii="Times New Roman" w:eastAsia="Times New Roman" w:hAnsi="Times New Roman" w:cs="Times New Roman"/>
          <w:iCs/>
          <w:color w:val="auto"/>
          <w:sz w:val="24"/>
          <w:szCs w:val="24"/>
          <w:lang w:eastAsia="lv-LV"/>
        </w:rPr>
        <w:t xml:space="preserve">  </w:t>
      </w:r>
    </w:p>
    <w:tbl>
      <w:tblPr>
        <w:tblW w:w="5078" w:type="pct"/>
        <w:tblInd w:w="-132" w:type="dxa"/>
        <w:tblBorders>
          <w:top w:val="outset" w:sz="6" w:space="0" w:color="00000A"/>
          <w:left w:val="outset" w:sz="6" w:space="0" w:color="00000A"/>
          <w:right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9196"/>
      </w:tblGrid>
      <w:tr w:rsidR="009C0B30" w:rsidRPr="0064585B" w14:paraId="41F07A09" w14:textId="77777777" w:rsidTr="0097372E">
        <w:tc>
          <w:tcPr>
            <w:tcW w:w="9196" w:type="dxa"/>
            <w:tcBorders>
              <w:top w:val="outset" w:sz="6" w:space="0" w:color="00000A"/>
              <w:left w:val="outset" w:sz="6" w:space="0" w:color="00000A"/>
              <w:right w:val="outset" w:sz="6" w:space="0" w:color="00000A"/>
            </w:tcBorders>
            <w:shd w:val="clear" w:color="auto" w:fill="auto"/>
            <w:tcMar>
              <w:left w:w="-22" w:type="dxa"/>
            </w:tcMar>
            <w:vAlign w:val="center"/>
          </w:tcPr>
          <w:p w14:paraId="2B8900CD" w14:textId="44F4E6EE" w:rsidR="009C0B30" w:rsidRPr="00D5483C" w:rsidRDefault="009C0B30" w:rsidP="00DF27ED">
            <w:pPr>
              <w:spacing w:after="0" w:line="240" w:lineRule="auto"/>
              <w:rPr>
                <w:rFonts w:ascii="Times New Roman" w:eastAsia="Times New Roman" w:hAnsi="Times New Roman" w:cs="Times New Roman"/>
                <w:b/>
                <w:bCs/>
                <w:iCs/>
                <w:color w:val="auto"/>
                <w:sz w:val="24"/>
                <w:szCs w:val="24"/>
                <w:lang w:eastAsia="lv-LV"/>
              </w:rPr>
            </w:pPr>
            <w:r>
              <w:rPr>
                <w:rFonts w:ascii="Times New Roman" w:eastAsia="Times New Roman" w:hAnsi="Times New Roman" w:cs="Times New Roman"/>
                <w:b/>
                <w:bCs/>
                <w:iCs/>
                <w:color w:val="auto"/>
                <w:sz w:val="24"/>
                <w:szCs w:val="24"/>
                <w:lang w:eastAsia="lv-LV"/>
              </w:rPr>
              <w:t>IV</w:t>
            </w:r>
            <w:r w:rsidRPr="0064585B">
              <w:rPr>
                <w:rFonts w:ascii="Times New Roman" w:eastAsia="Times New Roman" w:hAnsi="Times New Roman" w:cs="Times New Roman"/>
                <w:b/>
                <w:bCs/>
                <w:iCs/>
                <w:color w:val="auto"/>
                <w:sz w:val="24"/>
                <w:szCs w:val="24"/>
                <w:lang w:eastAsia="lv-LV"/>
              </w:rPr>
              <w:t xml:space="preserve">. </w:t>
            </w:r>
            <w:r w:rsidRPr="00D5483C">
              <w:rPr>
                <w:rFonts w:ascii="Times New Roman" w:eastAsia="Times New Roman" w:hAnsi="Times New Roman" w:cs="Times New Roman"/>
                <w:b/>
                <w:bCs/>
                <w:iCs/>
                <w:color w:val="auto"/>
                <w:sz w:val="24"/>
                <w:szCs w:val="24"/>
                <w:lang w:eastAsia="lv-LV"/>
              </w:rPr>
              <w:t xml:space="preserve">Tiesību akta projekta ietekme uz </w:t>
            </w:r>
            <w:r>
              <w:rPr>
                <w:rFonts w:ascii="Times New Roman" w:eastAsia="Times New Roman" w:hAnsi="Times New Roman" w:cs="Times New Roman"/>
                <w:b/>
                <w:bCs/>
                <w:iCs/>
                <w:color w:val="auto"/>
                <w:sz w:val="24"/>
                <w:szCs w:val="24"/>
                <w:lang w:eastAsia="lv-LV"/>
              </w:rPr>
              <w:t>spēkā esošo tiesību normu sistēmu</w:t>
            </w:r>
          </w:p>
        </w:tc>
      </w:tr>
      <w:tr w:rsidR="009C0B30" w:rsidRPr="0064585B" w14:paraId="604E791C" w14:textId="77777777" w:rsidTr="0097372E">
        <w:tc>
          <w:tcPr>
            <w:tcW w:w="919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418682A3" w14:textId="77777777" w:rsidR="009C0B30" w:rsidRPr="0064585B" w:rsidRDefault="009C0B30" w:rsidP="00DF27ED">
            <w:pPr>
              <w:spacing w:after="0" w:line="240" w:lineRule="auto"/>
              <w:jc w:val="center"/>
              <w:rPr>
                <w:rFonts w:ascii="Times New Roman" w:hAnsi="Times New Roman"/>
                <w:color w:val="auto"/>
                <w:sz w:val="24"/>
                <w:szCs w:val="24"/>
              </w:rPr>
            </w:pPr>
            <w:r w:rsidRPr="0064585B">
              <w:rPr>
                <w:rFonts w:ascii="Times New Roman" w:hAnsi="Times New Roman"/>
                <w:color w:val="auto"/>
                <w:sz w:val="24"/>
                <w:szCs w:val="24"/>
              </w:rPr>
              <w:t>Projekts šo jomu neskar</w:t>
            </w:r>
          </w:p>
        </w:tc>
      </w:tr>
    </w:tbl>
    <w:p w14:paraId="2E11509B" w14:textId="477F4064" w:rsidR="00D93A15" w:rsidRPr="0064585B" w:rsidRDefault="00D93A15">
      <w:pPr>
        <w:spacing w:after="0" w:line="240" w:lineRule="auto"/>
        <w:rPr>
          <w:rFonts w:ascii="Times New Roman" w:eastAsia="Times New Roman" w:hAnsi="Times New Roman" w:cs="Times New Roman"/>
          <w:iCs/>
          <w:color w:val="auto"/>
          <w:sz w:val="24"/>
          <w:szCs w:val="24"/>
          <w:lang w:eastAsia="lv-LV"/>
        </w:rPr>
      </w:pPr>
    </w:p>
    <w:p w14:paraId="29B6552C" w14:textId="77777777" w:rsidR="006122EF" w:rsidRPr="00111DD1" w:rsidRDefault="006122EF">
      <w:pPr>
        <w:spacing w:after="0" w:line="240" w:lineRule="auto"/>
        <w:rPr>
          <w:rFonts w:ascii="Times New Roman" w:eastAsia="Times New Roman" w:hAnsi="Times New Roman" w:cs="Times New Roman"/>
          <w:iCs/>
          <w:color w:val="auto"/>
          <w:sz w:val="24"/>
          <w:szCs w:val="24"/>
          <w:lang w:eastAsia="lv-LV"/>
        </w:rPr>
      </w:pPr>
    </w:p>
    <w:tbl>
      <w:tblPr>
        <w:tblW w:w="5078" w:type="pct"/>
        <w:tblInd w:w="-132" w:type="dxa"/>
        <w:tblBorders>
          <w:top w:val="outset" w:sz="6" w:space="0" w:color="00000A"/>
          <w:left w:val="outset" w:sz="6" w:space="0" w:color="00000A"/>
          <w:right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9196"/>
      </w:tblGrid>
      <w:tr w:rsidR="0064585B" w:rsidRPr="0064585B" w14:paraId="72669EA9" w14:textId="77777777" w:rsidTr="0097372E">
        <w:tc>
          <w:tcPr>
            <w:tcW w:w="9196" w:type="dxa"/>
            <w:tcBorders>
              <w:top w:val="outset" w:sz="6" w:space="0" w:color="00000A"/>
              <w:left w:val="outset" w:sz="6" w:space="0" w:color="00000A"/>
              <w:right w:val="outset" w:sz="6" w:space="0" w:color="00000A"/>
            </w:tcBorders>
            <w:shd w:val="clear" w:color="auto" w:fill="auto"/>
            <w:tcMar>
              <w:left w:w="-22" w:type="dxa"/>
            </w:tcMar>
            <w:vAlign w:val="center"/>
          </w:tcPr>
          <w:p w14:paraId="694E0D71" w14:textId="77777777" w:rsidR="00D93A15" w:rsidRPr="0064585B" w:rsidRDefault="00CD56A5">
            <w:pPr>
              <w:spacing w:after="0" w:line="240" w:lineRule="auto"/>
              <w:rPr>
                <w:rFonts w:ascii="Times New Roman" w:eastAsia="Times New Roman" w:hAnsi="Times New Roman" w:cs="Times New Roman"/>
                <w:b/>
                <w:bCs/>
                <w:iCs/>
                <w:color w:val="auto"/>
                <w:sz w:val="24"/>
                <w:szCs w:val="24"/>
                <w:lang w:val="en-US" w:eastAsia="lv-LV"/>
              </w:rPr>
            </w:pPr>
            <w:r w:rsidRPr="0064585B">
              <w:rPr>
                <w:rFonts w:ascii="Times New Roman" w:eastAsia="Times New Roman" w:hAnsi="Times New Roman" w:cs="Times New Roman"/>
                <w:b/>
                <w:bCs/>
                <w:iCs/>
                <w:color w:val="auto"/>
                <w:sz w:val="24"/>
                <w:szCs w:val="24"/>
                <w:lang w:eastAsia="lv-LV"/>
              </w:rPr>
              <w:t>V. Tiesību akta projekta atbilstība Latvijas Republikas starptautiskajām saistībām</w:t>
            </w:r>
          </w:p>
        </w:tc>
      </w:tr>
      <w:tr w:rsidR="0064585B" w:rsidRPr="0064585B" w14:paraId="1CF0B30E" w14:textId="77777777" w:rsidTr="0097372E">
        <w:tc>
          <w:tcPr>
            <w:tcW w:w="919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65E1A7D6" w14:textId="77777777" w:rsidR="00D93A15" w:rsidRPr="0064585B" w:rsidRDefault="00CD56A5">
            <w:pPr>
              <w:spacing w:after="0" w:line="240" w:lineRule="auto"/>
              <w:jc w:val="center"/>
              <w:rPr>
                <w:rFonts w:ascii="Times New Roman" w:hAnsi="Times New Roman"/>
                <w:color w:val="auto"/>
                <w:sz w:val="24"/>
                <w:szCs w:val="24"/>
              </w:rPr>
            </w:pPr>
            <w:r w:rsidRPr="0064585B">
              <w:rPr>
                <w:rFonts w:ascii="Times New Roman" w:hAnsi="Times New Roman"/>
                <w:color w:val="auto"/>
                <w:sz w:val="24"/>
                <w:szCs w:val="24"/>
              </w:rPr>
              <w:t>Projekts šo jomu neskar</w:t>
            </w:r>
          </w:p>
        </w:tc>
      </w:tr>
    </w:tbl>
    <w:p w14:paraId="5911F2A8" w14:textId="52EE4EB4" w:rsidR="00D93A15" w:rsidRPr="0064585B" w:rsidRDefault="00D93A15">
      <w:pPr>
        <w:spacing w:after="0" w:line="240" w:lineRule="auto"/>
        <w:rPr>
          <w:rFonts w:ascii="Times New Roman" w:eastAsia="Times New Roman" w:hAnsi="Times New Roman" w:cs="Times New Roman"/>
          <w:iCs/>
          <w:color w:val="auto"/>
          <w:sz w:val="24"/>
          <w:szCs w:val="24"/>
          <w:lang w:eastAsia="lv-LV"/>
        </w:rPr>
      </w:pPr>
    </w:p>
    <w:p w14:paraId="1B4E2171" w14:textId="77777777" w:rsidR="006122EF" w:rsidRPr="0064585B" w:rsidRDefault="006122EF">
      <w:pPr>
        <w:spacing w:after="0" w:line="240" w:lineRule="auto"/>
        <w:rPr>
          <w:rFonts w:ascii="Times New Roman" w:eastAsia="Times New Roman" w:hAnsi="Times New Roman" w:cs="Times New Roman"/>
          <w:iCs/>
          <w:color w:val="auto"/>
          <w:sz w:val="24"/>
          <w:szCs w:val="24"/>
          <w:lang w:eastAsia="lv-LV"/>
        </w:rPr>
      </w:pPr>
    </w:p>
    <w:tbl>
      <w:tblPr>
        <w:tblW w:w="5078" w:type="pct"/>
        <w:tblInd w:w="-13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577"/>
        <w:gridCol w:w="3375"/>
        <w:gridCol w:w="5244"/>
      </w:tblGrid>
      <w:tr w:rsidR="00C15BB0" w:rsidRPr="00C15BB0" w14:paraId="5A9AA18F" w14:textId="77777777" w:rsidTr="0097372E">
        <w:tc>
          <w:tcPr>
            <w:tcW w:w="919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2096F751" w14:textId="77777777" w:rsidR="00D93A15" w:rsidRPr="00C15BB0" w:rsidRDefault="00CD56A5">
            <w:pPr>
              <w:spacing w:after="0" w:line="240" w:lineRule="auto"/>
              <w:rPr>
                <w:rFonts w:ascii="Times New Roman" w:eastAsia="Times New Roman" w:hAnsi="Times New Roman" w:cs="Times New Roman"/>
                <w:b/>
                <w:bCs/>
                <w:iCs/>
                <w:color w:val="auto"/>
                <w:sz w:val="24"/>
                <w:szCs w:val="24"/>
                <w:lang w:eastAsia="lv-LV"/>
              </w:rPr>
            </w:pPr>
            <w:r w:rsidRPr="00C15BB0">
              <w:rPr>
                <w:rFonts w:ascii="Times New Roman" w:eastAsia="Times New Roman" w:hAnsi="Times New Roman" w:cs="Times New Roman"/>
                <w:b/>
                <w:bCs/>
                <w:iCs/>
                <w:color w:val="auto"/>
                <w:sz w:val="24"/>
                <w:szCs w:val="24"/>
                <w:lang w:eastAsia="lv-LV"/>
              </w:rPr>
              <w:t>VI. Sabiedrības līdzdalība un komunikācijas aktivitātes</w:t>
            </w:r>
          </w:p>
        </w:tc>
      </w:tr>
      <w:tr w:rsidR="00C15BB0" w:rsidRPr="00C15BB0" w14:paraId="0AEEF13A" w14:textId="77777777" w:rsidTr="0097372E">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7934E18F" w14:textId="77777777" w:rsidR="00D93A15" w:rsidRPr="00C15BB0" w:rsidRDefault="00CD56A5">
            <w:pPr>
              <w:spacing w:after="0" w:line="240" w:lineRule="auto"/>
              <w:rPr>
                <w:rFonts w:ascii="Times New Roman" w:eastAsia="Times New Roman" w:hAnsi="Times New Roman" w:cs="Times New Roman"/>
                <w:iCs/>
                <w:color w:val="auto"/>
                <w:sz w:val="24"/>
                <w:szCs w:val="24"/>
                <w:lang w:val="en-US" w:eastAsia="lv-LV"/>
              </w:rPr>
            </w:pPr>
            <w:r w:rsidRPr="00C15BB0">
              <w:rPr>
                <w:rFonts w:ascii="Times New Roman" w:eastAsia="Times New Roman" w:hAnsi="Times New Roman" w:cs="Times New Roman"/>
                <w:iCs/>
                <w:color w:val="auto"/>
                <w:sz w:val="24"/>
                <w:szCs w:val="24"/>
                <w:lang w:eastAsia="lv-LV"/>
              </w:rPr>
              <w:t>1.</w:t>
            </w:r>
          </w:p>
        </w:tc>
        <w:tc>
          <w:tcPr>
            <w:tcW w:w="3375"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7CBE1964" w14:textId="77777777" w:rsidR="00D93A15" w:rsidRPr="00C15BB0" w:rsidRDefault="00CD56A5">
            <w:pPr>
              <w:spacing w:after="0" w:line="240" w:lineRule="auto"/>
              <w:rPr>
                <w:rFonts w:ascii="Times New Roman" w:eastAsia="Times New Roman" w:hAnsi="Times New Roman" w:cs="Times New Roman"/>
                <w:iCs/>
                <w:color w:val="auto"/>
                <w:sz w:val="24"/>
                <w:szCs w:val="24"/>
                <w:lang w:val="en-US" w:eastAsia="lv-LV"/>
              </w:rPr>
            </w:pPr>
            <w:r w:rsidRPr="00C15BB0">
              <w:rPr>
                <w:rFonts w:ascii="Times New Roman" w:eastAsia="Times New Roman" w:hAnsi="Times New Roman" w:cs="Times New Roman"/>
                <w:iCs/>
                <w:color w:val="auto"/>
                <w:sz w:val="24"/>
                <w:szCs w:val="24"/>
                <w:lang w:eastAsia="lv-LV"/>
              </w:rPr>
              <w:t>Plānotās sabiedrības līdzdalības un komunikācijas aktivitātes saistībā ar projektu</w:t>
            </w:r>
          </w:p>
        </w:tc>
        <w:tc>
          <w:tcPr>
            <w:tcW w:w="5244"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23E107A4" w14:textId="7032E485" w:rsidR="004D6BAA" w:rsidRPr="00C15BB0" w:rsidRDefault="00C15BB0" w:rsidP="00EA793B">
            <w:pPr>
              <w:spacing w:after="0" w:line="240" w:lineRule="auto"/>
              <w:jc w:val="both"/>
              <w:rPr>
                <w:rFonts w:ascii="Times New Roman" w:hAnsi="Times New Roman" w:cs="Times New Roman"/>
                <w:color w:val="auto"/>
                <w:sz w:val="24"/>
                <w:szCs w:val="24"/>
              </w:rPr>
            </w:pPr>
            <w:r w:rsidRPr="00C15BB0">
              <w:rPr>
                <w:rFonts w:ascii="Times New Roman" w:hAnsi="Times New Roman" w:cs="Times New Roman"/>
                <w:color w:val="auto"/>
                <w:sz w:val="24"/>
                <w:szCs w:val="24"/>
              </w:rPr>
              <w:t>Atbilstoši Ministru kabineta 2009. gada 25. augusta noteikumiem Nr. 970 "Sabiedrības līdzdalības kārtība attīstības plānošanas procesā", lai informētu sabiedrību par projektu un dotu iespēju izteikt viedokli, projekts</w:t>
            </w:r>
            <w:proofErr w:type="gramStart"/>
            <w:r w:rsidRPr="00C15BB0">
              <w:rPr>
                <w:rFonts w:ascii="Times New Roman" w:hAnsi="Times New Roman" w:cs="Times New Roman"/>
                <w:color w:val="auto"/>
                <w:sz w:val="24"/>
                <w:szCs w:val="24"/>
              </w:rPr>
              <w:t xml:space="preserve"> </w:t>
            </w:r>
            <w:r w:rsidR="001C7341">
              <w:rPr>
                <w:rFonts w:ascii="Times New Roman" w:hAnsi="Times New Roman" w:cs="Times New Roman"/>
                <w:color w:val="auto"/>
                <w:sz w:val="24"/>
                <w:szCs w:val="24"/>
              </w:rPr>
              <w:t xml:space="preserve"> </w:t>
            </w:r>
            <w:bookmarkStart w:id="0" w:name="_GoBack"/>
            <w:proofErr w:type="gramEnd"/>
            <w:r w:rsidR="001C7341" w:rsidRPr="001C7341">
              <w:rPr>
                <w:rFonts w:ascii="Times New Roman" w:hAnsi="Times New Roman" w:cs="Times New Roman"/>
                <w:color w:val="FF0000"/>
                <w:sz w:val="24"/>
                <w:szCs w:val="24"/>
              </w:rPr>
              <w:t>2019. gada 6. decembrī</w:t>
            </w:r>
            <w:r w:rsidRPr="001C7341">
              <w:rPr>
                <w:rFonts w:ascii="Times New Roman" w:hAnsi="Times New Roman" w:cs="Times New Roman"/>
                <w:color w:val="FF0000"/>
                <w:sz w:val="24"/>
                <w:szCs w:val="24"/>
              </w:rPr>
              <w:t xml:space="preserve"> </w:t>
            </w:r>
            <w:bookmarkEnd w:id="0"/>
            <w:r w:rsidRPr="00C15BB0">
              <w:rPr>
                <w:rFonts w:ascii="Times New Roman" w:hAnsi="Times New Roman" w:cs="Times New Roman"/>
                <w:color w:val="auto"/>
                <w:sz w:val="24"/>
                <w:szCs w:val="24"/>
              </w:rPr>
              <w:t>ievietots Tieslietu ministrijas mājaslapā.</w:t>
            </w:r>
            <w:r>
              <w:rPr>
                <w:rFonts w:ascii="Times New Roman" w:hAnsi="Times New Roman" w:cs="Times New Roman"/>
                <w:color w:val="auto"/>
                <w:sz w:val="24"/>
                <w:szCs w:val="24"/>
              </w:rPr>
              <w:t xml:space="preserve"> Skatīt</w:t>
            </w:r>
            <w:r w:rsidR="00F21604">
              <w:rPr>
                <w:rFonts w:ascii="Times New Roman" w:hAnsi="Times New Roman" w:cs="Times New Roman"/>
                <w:color w:val="auto"/>
                <w:sz w:val="24"/>
                <w:szCs w:val="24"/>
              </w:rPr>
              <w:t xml:space="preserve"> arī</w:t>
            </w:r>
            <w:r>
              <w:rPr>
                <w:rFonts w:ascii="Times New Roman" w:hAnsi="Times New Roman" w:cs="Times New Roman"/>
                <w:color w:val="auto"/>
                <w:sz w:val="24"/>
                <w:szCs w:val="24"/>
              </w:rPr>
              <w:t xml:space="preserve"> nākamo sadaļu. </w:t>
            </w:r>
          </w:p>
        </w:tc>
      </w:tr>
      <w:tr w:rsidR="00C15BB0" w:rsidRPr="00C15BB0" w14:paraId="58676D0B" w14:textId="77777777" w:rsidTr="0097372E">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BA8FEF6" w14:textId="77777777" w:rsidR="00D93A15" w:rsidRPr="00C15BB0" w:rsidRDefault="00CD56A5">
            <w:pPr>
              <w:spacing w:after="0" w:line="240" w:lineRule="auto"/>
              <w:rPr>
                <w:color w:val="auto"/>
              </w:rPr>
            </w:pPr>
            <w:r w:rsidRPr="00C15BB0">
              <w:rPr>
                <w:rFonts w:ascii="Times New Roman" w:eastAsia="Times New Roman" w:hAnsi="Times New Roman" w:cs="Times New Roman"/>
                <w:iCs/>
                <w:color w:val="auto"/>
                <w:sz w:val="24"/>
                <w:szCs w:val="24"/>
                <w:lang w:eastAsia="lv-LV"/>
              </w:rPr>
              <w:t>2.</w:t>
            </w:r>
          </w:p>
        </w:tc>
        <w:tc>
          <w:tcPr>
            <w:tcW w:w="3375"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D49E261" w14:textId="77777777" w:rsidR="00D93A15" w:rsidRPr="00C15BB0" w:rsidRDefault="00CD56A5">
            <w:pPr>
              <w:spacing w:after="0" w:line="240" w:lineRule="auto"/>
              <w:rPr>
                <w:rFonts w:ascii="Times New Roman" w:eastAsia="Times New Roman" w:hAnsi="Times New Roman" w:cs="Times New Roman"/>
                <w:iCs/>
                <w:color w:val="auto"/>
                <w:sz w:val="24"/>
                <w:szCs w:val="24"/>
                <w:lang w:val="en-US" w:eastAsia="lv-LV"/>
              </w:rPr>
            </w:pPr>
            <w:r w:rsidRPr="00C15BB0">
              <w:rPr>
                <w:rFonts w:ascii="Times New Roman" w:eastAsia="Times New Roman" w:hAnsi="Times New Roman" w:cs="Times New Roman"/>
                <w:iCs/>
                <w:color w:val="auto"/>
                <w:sz w:val="24"/>
                <w:szCs w:val="24"/>
                <w:lang w:eastAsia="lv-LV"/>
              </w:rPr>
              <w:t>Sabiedrības līdzdalība projekta izstrādē</w:t>
            </w:r>
          </w:p>
        </w:tc>
        <w:tc>
          <w:tcPr>
            <w:tcW w:w="5244"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1EF67A2" w14:textId="26B5CE90" w:rsidR="00BD7C30" w:rsidRPr="00C15BB0" w:rsidRDefault="004543E4" w:rsidP="00BD7C30">
            <w:pPr>
              <w:spacing w:after="0" w:line="240" w:lineRule="auto"/>
              <w:jc w:val="both"/>
              <w:rPr>
                <w:rFonts w:ascii="Times New Roman" w:hAnsi="Times New Roman" w:cs="Times New Roman"/>
                <w:color w:val="auto"/>
                <w:sz w:val="24"/>
                <w:szCs w:val="24"/>
              </w:rPr>
            </w:pPr>
            <w:r w:rsidRPr="00C15BB0">
              <w:rPr>
                <w:rFonts w:ascii="Times New Roman" w:hAnsi="Times New Roman" w:cs="Times New Roman"/>
                <w:color w:val="auto"/>
                <w:sz w:val="24"/>
                <w:szCs w:val="24"/>
              </w:rPr>
              <w:t>Saskaņā ar Ministru prezidenta 2019. gada 16. oktobra rezolūciju Nr. 2019-1.1.1./40-40 izveidotās darba grupas Projekta izstrādei sastāvā bija iekļauti biedrības „Sabiedriskās politikas centrs PROVIDUS” un biedrības “Sabiedrība par atklātību – Delna” pārstāvji.</w:t>
            </w:r>
          </w:p>
        </w:tc>
      </w:tr>
      <w:tr w:rsidR="00C15BB0" w:rsidRPr="00C15BB0" w14:paraId="042A77B8" w14:textId="77777777" w:rsidTr="0097372E">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12CF2BDF" w14:textId="77777777" w:rsidR="00D93A15" w:rsidRPr="00C15BB0" w:rsidRDefault="00CD56A5">
            <w:pPr>
              <w:spacing w:after="0" w:line="240" w:lineRule="auto"/>
              <w:rPr>
                <w:rFonts w:ascii="Times New Roman" w:eastAsia="Times New Roman" w:hAnsi="Times New Roman" w:cs="Times New Roman"/>
                <w:iCs/>
                <w:color w:val="auto"/>
                <w:sz w:val="24"/>
                <w:szCs w:val="24"/>
                <w:lang w:val="en-US" w:eastAsia="lv-LV"/>
              </w:rPr>
            </w:pPr>
            <w:r w:rsidRPr="00C15BB0">
              <w:rPr>
                <w:rFonts w:ascii="Times New Roman" w:eastAsia="Times New Roman" w:hAnsi="Times New Roman" w:cs="Times New Roman"/>
                <w:iCs/>
                <w:color w:val="auto"/>
                <w:sz w:val="24"/>
                <w:szCs w:val="24"/>
                <w:lang w:eastAsia="lv-LV"/>
              </w:rPr>
              <w:t>3.</w:t>
            </w:r>
          </w:p>
        </w:tc>
        <w:tc>
          <w:tcPr>
            <w:tcW w:w="3375"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30D2D192" w14:textId="77777777" w:rsidR="00D93A15" w:rsidRPr="00C15BB0" w:rsidRDefault="00CD56A5">
            <w:pPr>
              <w:spacing w:after="0" w:line="240" w:lineRule="auto"/>
              <w:rPr>
                <w:rFonts w:ascii="Times New Roman" w:eastAsia="Times New Roman" w:hAnsi="Times New Roman" w:cs="Times New Roman"/>
                <w:iCs/>
                <w:color w:val="auto"/>
                <w:sz w:val="24"/>
                <w:szCs w:val="24"/>
                <w:lang w:val="en-US" w:eastAsia="lv-LV"/>
              </w:rPr>
            </w:pPr>
            <w:r w:rsidRPr="00C15BB0">
              <w:rPr>
                <w:rFonts w:ascii="Times New Roman" w:eastAsia="Times New Roman" w:hAnsi="Times New Roman" w:cs="Times New Roman"/>
                <w:iCs/>
                <w:color w:val="auto"/>
                <w:sz w:val="24"/>
                <w:szCs w:val="24"/>
                <w:lang w:eastAsia="lv-LV"/>
              </w:rPr>
              <w:t>Sabiedrības līdzdalības rezultāti</w:t>
            </w:r>
          </w:p>
        </w:tc>
        <w:tc>
          <w:tcPr>
            <w:tcW w:w="5244"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22BE936D" w14:textId="1391BF4A" w:rsidR="00D93A15" w:rsidRPr="00C15BB0" w:rsidRDefault="00DE2F4C" w:rsidP="00973EE5">
            <w:pPr>
              <w:spacing w:after="0" w:line="240" w:lineRule="auto"/>
              <w:jc w:val="both"/>
              <w:rPr>
                <w:rFonts w:ascii="Times New Roman" w:hAnsi="Times New Roman" w:cs="Times New Roman"/>
                <w:color w:val="auto"/>
                <w:sz w:val="24"/>
                <w:szCs w:val="24"/>
              </w:rPr>
            </w:pPr>
            <w:r w:rsidRPr="00C15BB0">
              <w:rPr>
                <w:rFonts w:ascii="Times New Roman" w:hAnsi="Times New Roman" w:cs="Times New Roman"/>
                <w:color w:val="auto"/>
                <w:sz w:val="24"/>
                <w:szCs w:val="24"/>
              </w:rPr>
              <w:t xml:space="preserve">Skatīt iepriekšējo sadaļas punktu. </w:t>
            </w:r>
          </w:p>
        </w:tc>
      </w:tr>
      <w:tr w:rsidR="00C15BB0" w:rsidRPr="00C15BB0" w14:paraId="120A22B9" w14:textId="77777777" w:rsidTr="0097372E">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6C3F8D61" w14:textId="77777777" w:rsidR="00D93A15" w:rsidRPr="00C15BB0" w:rsidRDefault="00CD56A5">
            <w:pPr>
              <w:spacing w:after="0" w:line="240" w:lineRule="auto"/>
              <w:rPr>
                <w:rFonts w:ascii="Times New Roman" w:eastAsia="Times New Roman" w:hAnsi="Times New Roman" w:cs="Times New Roman"/>
                <w:iCs/>
                <w:color w:val="auto"/>
                <w:sz w:val="24"/>
                <w:szCs w:val="24"/>
                <w:lang w:val="en-US" w:eastAsia="lv-LV"/>
              </w:rPr>
            </w:pPr>
            <w:r w:rsidRPr="00C15BB0">
              <w:rPr>
                <w:rFonts w:ascii="Times New Roman" w:eastAsia="Times New Roman" w:hAnsi="Times New Roman" w:cs="Times New Roman"/>
                <w:iCs/>
                <w:color w:val="auto"/>
                <w:sz w:val="24"/>
                <w:szCs w:val="24"/>
                <w:lang w:eastAsia="lv-LV"/>
              </w:rPr>
              <w:t>4.</w:t>
            </w:r>
          </w:p>
        </w:tc>
        <w:tc>
          <w:tcPr>
            <w:tcW w:w="3375"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D1FC3A3" w14:textId="77777777" w:rsidR="00D93A15" w:rsidRPr="00C15BB0" w:rsidRDefault="00CD56A5">
            <w:pPr>
              <w:spacing w:after="0" w:line="240" w:lineRule="auto"/>
              <w:rPr>
                <w:rFonts w:ascii="Times New Roman" w:eastAsia="Times New Roman" w:hAnsi="Times New Roman" w:cs="Times New Roman"/>
                <w:iCs/>
                <w:color w:val="auto"/>
                <w:sz w:val="24"/>
                <w:szCs w:val="24"/>
                <w:lang w:val="en-US" w:eastAsia="lv-LV"/>
              </w:rPr>
            </w:pPr>
            <w:r w:rsidRPr="00C15BB0">
              <w:rPr>
                <w:rFonts w:ascii="Times New Roman" w:eastAsia="Times New Roman" w:hAnsi="Times New Roman" w:cs="Times New Roman"/>
                <w:iCs/>
                <w:color w:val="auto"/>
                <w:sz w:val="24"/>
                <w:szCs w:val="24"/>
                <w:lang w:eastAsia="lv-LV"/>
              </w:rPr>
              <w:t>Cita informācija</w:t>
            </w:r>
          </w:p>
        </w:tc>
        <w:tc>
          <w:tcPr>
            <w:tcW w:w="5244"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26A138BB" w14:textId="77777777" w:rsidR="00D93A15" w:rsidRPr="00C15BB0" w:rsidRDefault="00CD56A5">
            <w:pPr>
              <w:spacing w:after="0" w:line="240" w:lineRule="auto"/>
              <w:rPr>
                <w:color w:val="auto"/>
              </w:rPr>
            </w:pPr>
            <w:r w:rsidRPr="00C15BB0">
              <w:rPr>
                <w:rFonts w:ascii="Times New Roman" w:eastAsia="Times New Roman" w:hAnsi="Times New Roman" w:cs="Times New Roman"/>
                <w:iCs/>
                <w:color w:val="auto"/>
                <w:sz w:val="24"/>
                <w:szCs w:val="24"/>
                <w:lang w:eastAsia="lv-LV"/>
              </w:rPr>
              <w:t>Nav</w:t>
            </w:r>
          </w:p>
        </w:tc>
      </w:tr>
    </w:tbl>
    <w:p w14:paraId="29E2BCF2" w14:textId="1F659B8F" w:rsidR="00D93A15" w:rsidRPr="00C15BB0" w:rsidRDefault="00CD56A5">
      <w:pPr>
        <w:spacing w:after="0" w:line="240" w:lineRule="auto"/>
        <w:rPr>
          <w:rFonts w:ascii="Times New Roman" w:eastAsia="Times New Roman" w:hAnsi="Times New Roman" w:cs="Times New Roman"/>
          <w:iCs/>
          <w:color w:val="auto"/>
          <w:sz w:val="24"/>
          <w:szCs w:val="24"/>
          <w:lang w:eastAsia="lv-LV"/>
        </w:rPr>
      </w:pPr>
      <w:r w:rsidRPr="00C15BB0">
        <w:rPr>
          <w:rFonts w:ascii="Times New Roman" w:eastAsia="Times New Roman" w:hAnsi="Times New Roman" w:cs="Times New Roman"/>
          <w:iCs/>
          <w:color w:val="auto"/>
          <w:sz w:val="24"/>
          <w:szCs w:val="24"/>
          <w:lang w:eastAsia="lv-LV"/>
        </w:rPr>
        <w:t xml:space="preserve">  </w:t>
      </w:r>
    </w:p>
    <w:p w14:paraId="180D7692" w14:textId="77777777" w:rsidR="006122EF" w:rsidRPr="0064585B" w:rsidRDefault="006122EF">
      <w:pPr>
        <w:spacing w:after="0" w:line="240" w:lineRule="auto"/>
        <w:rPr>
          <w:rFonts w:ascii="Times New Roman" w:eastAsia="Times New Roman" w:hAnsi="Times New Roman" w:cs="Times New Roman"/>
          <w:iCs/>
          <w:color w:val="auto"/>
          <w:sz w:val="24"/>
          <w:szCs w:val="24"/>
          <w:lang w:val="en-US" w:eastAsia="lv-LV"/>
        </w:rPr>
      </w:pPr>
    </w:p>
    <w:tbl>
      <w:tblPr>
        <w:tblW w:w="5078" w:type="pct"/>
        <w:tblInd w:w="-13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22" w:type="dxa"/>
          <w:bottom w:w="30" w:type="dxa"/>
          <w:right w:w="30" w:type="dxa"/>
        </w:tblCellMar>
        <w:tblLook w:val="04A0" w:firstRow="1" w:lastRow="0" w:firstColumn="1" w:lastColumn="0" w:noHBand="0" w:noVBand="1"/>
      </w:tblPr>
      <w:tblGrid>
        <w:gridCol w:w="577"/>
        <w:gridCol w:w="3069"/>
        <w:gridCol w:w="5550"/>
      </w:tblGrid>
      <w:tr w:rsidR="0064585B" w:rsidRPr="0064585B" w14:paraId="4D60F97D" w14:textId="77777777" w:rsidTr="0097372E">
        <w:tc>
          <w:tcPr>
            <w:tcW w:w="919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14:paraId="7A774A0E" w14:textId="77777777" w:rsidR="00D93A15" w:rsidRPr="0064585B" w:rsidRDefault="00CD56A5">
            <w:pPr>
              <w:spacing w:after="0" w:line="240" w:lineRule="auto"/>
              <w:rPr>
                <w:rFonts w:ascii="Times New Roman" w:eastAsia="Times New Roman" w:hAnsi="Times New Roman" w:cs="Times New Roman"/>
                <w:b/>
                <w:bCs/>
                <w:iCs/>
                <w:color w:val="auto"/>
                <w:sz w:val="24"/>
                <w:szCs w:val="24"/>
                <w:lang w:val="en-US" w:eastAsia="lv-LV"/>
              </w:rPr>
            </w:pPr>
            <w:r w:rsidRPr="0064585B">
              <w:rPr>
                <w:rFonts w:ascii="Times New Roman" w:eastAsia="Times New Roman" w:hAnsi="Times New Roman" w:cs="Times New Roman"/>
                <w:b/>
                <w:bCs/>
                <w:iCs/>
                <w:color w:val="auto"/>
                <w:sz w:val="24"/>
                <w:szCs w:val="24"/>
                <w:lang w:eastAsia="lv-LV"/>
              </w:rPr>
              <w:t>VII. Tiesību akta projekta izpildes nodrošināšana un tās ietekme uz institūcijām</w:t>
            </w:r>
          </w:p>
        </w:tc>
      </w:tr>
      <w:tr w:rsidR="0064585B" w:rsidRPr="0064585B" w14:paraId="34145B76" w14:textId="77777777" w:rsidTr="0097372E">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1C501ABC" w14:textId="77777777" w:rsidR="00D93A15" w:rsidRPr="0064585B" w:rsidRDefault="00CD56A5">
            <w:pPr>
              <w:spacing w:after="0" w:line="240" w:lineRule="auto"/>
              <w:rPr>
                <w:rFonts w:ascii="Times New Roman" w:eastAsia="Times New Roman" w:hAnsi="Times New Roman" w:cs="Times New Roman"/>
                <w:iCs/>
                <w:color w:val="auto"/>
                <w:sz w:val="24"/>
                <w:szCs w:val="24"/>
                <w:lang w:val="en-US" w:eastAsia="lv-LV"/>
              </w:rPr>
            </w:pPr>
            <w:r w:rsidRPr="0064585B">
              <w:rPr>
                <w:rFonts w:ascii="Times New Roman" w:eastAsia="Times New Roman" w:hAnsi="Times New Roman" w:cs="Times New Roman"/>
                <w:iCs/>
                <w:color w:val="auto"/>
                <w:sz w:val="24"/>
                <w:szCs w:val="24"/>
                <w:lang w:eastAsia="lv-LV"/>
              </w:rPr>
              <w:lastRenderedPageBreak/>
              <w:t>1.</w:t>
            </w:r>
          </w:p>
        </w:tc>
        <w:tc>
          <w:tcPr>
            <w:tcW w:w="306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81E6E78" w14:textId="77777777" w:rsidR="00D93A15" w:rsidRPr="0064585B" w:rsidRDefault="00CD56A5">
            <w:pPr>
              <w:spacing w:after="0" w:line="240" w:lineRule="auto"/>
              <w:rPr>
                <w:rFonts w:ascii="Times New Roman" w:eastAsia="Times New Roman" w:hAnsi="Times New Roman" w:cs="Times New Roman"/>
                <w:iCs/>
                <w:color w:val="auto"/>
                <w:sz w:val="24"/>
                <w:szCs w:val="24"/>
                <w:lang w:val="en-US" w:eastAsia="lv-LV"/>
              </w:rPr>
            </w:pPr>
            <w:r w:rsidRPr="0064585B">
              <w:rPr>
                <w:rFonts w:ascii="Times New Roman" w:eastAsia="Times New Roman" w:hAnsi="Times New Roman" w:cs="Times New Roman"/>
                <w:iCs/>
                <w:color w:val="auto"/>
                <w:sz w:val="24"/>
                <w:szCs w:val="24"/>
                <w:lang w:eastAsia="lv-LV"/>
              </w:rPr>
              <w:t>Projekta izpildē iesaistītās institūcijas</w:t>
            </w:r>
          </w:p>
        </w:tc>
        <w:tc>
          <w:tcPr>
            <w:tcW w:w="555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5280D912" w14:textId="3B22EC5D" w:rsidR="00D93A15" w:rsidRPr="0064585B" w:rsidRDefault="004543E4">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Birojs</w:t>
            </w:r>
          </w:p>
        </w:tc>
      </w:tr>
      <w:tr w:rsidR="0064585B" w:rsidRPr="0064585B" w14:paraId="41235FBD" w14:textId="77777777" w:rsidTr="0097372E">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C058221" w14:textId="77777777" w:rsidR="00D93A15" w:rsidRPr="0064585B" w:rsidRDefault="00CD56A5">
            <w:pPr>
              <w:spacing w:after="0" w:line="240" w:lineRule="auto"/>
              <w:rPr>
                <w:rFonts w:ascii="Times New Roman" w:eastAsia="Times New Roman" w:hAnsi="Times New Roman" w:cs="Times New Roman"/>
                <w:iCs/>
                <w:color w:val="auto"/>
                <w:sz w:val="24"/>
                <w:szCs w:val="24"/>
                <w:lang w:val="en-US" w:eastAsia="lv-LV"/>
              </w:rPr>
            </w:pPr>
            <w:r w:rsidRPr="0064585B">
              <w:rPr>
                <w:rFonts w:ascii="Times New Roman" w:eastAsia="Times New Roman" w:hAnsi="Times New Roman" w:cs="Times New Roman"/>
                <w:iCs/>
                <w:color w:val="auto"/>
                <w:sz w:val="24"/>
                <w:szCs w:val="24"/>
                <w:lang w:eastAsia="lv-LV"/>
              </w:rPr>
              <w:t>2.</w:t>
            </w:r>
          </w:p>
        </w:tc>
        <w:tc>
          <w:tcPr>
            <w:tcW w:w="306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A5DF1AC" w14:textId="77777777" w:rsidR="00D93A15" w:rsidRPr="0064585B" w:rsidRDefault="00CD56A5">
            <w:pPr>
              <w:spacing w:after="0" w:line="240" w:lineRule="auto"/>
              <w:rPr>
                <w:rFonts w:ascii="Times New Roman" w:eastAsia="Times New Roman" w:hAnsi="Times New Roman" w:cs="Times New Roman"/>
                <w:iCs/>
                <w:color w:val="auto"/>
                <w:sz w:val="24"/>
                <w:szCs w:val="24"/>
                <w:lang w:eastAsia="lv-LV"/>
              </w:rPr>
            </w:pPr>
            <w:r w:rsidRPr="0064585B">
              <w:rPr>
                <w:rFonts w:ascii="Times New Roman" w:eastAsia="Times New Roman" w:hAnsi="Times New Roman" w:cs="Times New Roman"/>
                <w:iCs/>
                <w:color w:val="auto"/>
                <w:sz w:val="24"/>
                <w:szCs w:val="24"/>
                <w:lang w:eastAsia="lv-LV"/>
              </w:rPr>
              <w:t>Projekta izpildes ietekme uz pārvaldes funkcijām un institucionālo struktūru.</w:t>
            </w:r>
            <w:r w:rsidRPr="0064585B">
              <w:rPr>
                <w:rFonts w:ascii="Times New Roman" w:eastAsia="Times New Roman" w:hAnsi="Times New Roman" w:cs="Times New Roman"/>
                <w:iCs/>
                <w:color w:val="auto"/>
                <w:sz w:val="24"/>
                <w:szCs w:val="24"/>
                <w:lang w:eastAsia="lv-LV"/>
              </w:rPr>
              <w:br/>
              <w:t>Jaunu institūciju izveide, esošu institūciju likvidācija vai reorganizācija, to ietekme uz institūcijas cilvēkresursiem</w:t>
            </w:r>
          </w:p>
        </w:tc>
        <w:tc>
          <w:tcPr>
            <w:tcW w:w="555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4B111080" w14:textId="77777777" w:rsidR="00D93A15" w:rsidRPr="0064585B" w:rsidRDefault="00CD56A5" w:rsidP="00973EE5">
            <w:pPr>
              <w:spacing w:after="0" w:line="240" w:lineRule="auto"/>
              <w:jc w:val="both"/>
              <w:rPr>
                <w:rFonts w:ascii="Times New Roman" w:eastAsia="Times New Roman" w:hAnsi="Times New Roman" w:cs="Times New Roman"/>
                <w:iCs/>
                <w:color w:val="auto"/>
                <w:sz w:val="24"/>
                <w:szCs w:val="24"/>
                <w:lang w:eastAsia="lv-LV"/>
              </w:rPr>
            </w:pPr>
            <w:r w:rsidRPr="0064585B">
              <w:rPr>
                <w:rFonts w:ascii="Times New Roman" w:eastAsia="Times New Roman" w:hAnsi="Times New Roman" w:cs="Times New Roman"/>
                <w:iCs/>
                <w:color w:val="auto"/>
                <w:sz w:val="24"/>
                <w:szCs w:val="24"/>
                <w:lang w:eastAsia="lv-LV"/>
              </w:rPr>
              <w:t>Projekts neietekmēs pārvaldes funkcijas, jaunas institūcijas netiks izveidotas, esošās netiks likvidētas vai reorganizētas.</w:t>
            </w:r>
          </w:p>
          <w:p w14:paraId="110D2A7B" w14:textId="2A47BD63" w:rsidR="00AE4DBE" w:rsidRPr="0064585B" w:rsidRDefault="00AE4DBE" w:rsidP="00973EE5">
            <w:pPr>
              <w:spacing w:after="0" w:line="240" w:lineRule="auto"/>
              <w:jc w:val="both"/>
              <w:rPr>
                <w:rFonts w:ascii="Times New Roman" w:hAnsi="Times New Roman" w:cs="Times New Roman"/>
                <w:color w:val="auto"/>
                <w:sz w:val="24"/>
                <w:szCs w:val="24"/>
              </w:rPr>
            </w:pPr>
          </w:p>
        </w:tc>
      </w:tr>
      <w:tr w:rsidR="0064585B" w:rsidRPr="0064585B" w14:paraId="7613F066" w14:textId="77777777" w:rsidTr="0097372E">
        <w:tc>
          <w:tcPr>
            <w:tcW w:w="57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051CB233" w14:textId="77777777" w:rsidR="00D93A15" w:rsidRPr="0064585B" w:rsidRDefault="00CD56A5">
            <w:pPr>
              <w:spacing w:after="0" w:line="240" w:lineRule="auto"/>
              <w:rPr>
                <w:rFonts w:ascii="Times New Roman" w:eastAsia="Times New Roman" w:hAnsi="Times New Roman" w:cs="Times New Roman"/>
                <w:iCs/>
                <w:color w:val="auto"/>
                <w:sz w:val="24"/>
                <w:szCs w:val="24"/>
                <w:lang w:val="en-US" w:eastAsia="lv-LV"/>
              </w:rPr>
            </w:pPr>
            <w:r w:rsidRPr="0064585B">
              <w:rPr>
                <w:rFonts w:ascii="Times New Roman" w:eastAsia="Times New Roman" w:hAnsi="Times New Roman" w:cs="Times New Roman"/>
                <w:iCs/>
                <w:color w:val="auto"/>
                <w:sz w:val="24"/>
                <w:szCs w:val="24"/>
                <w:lang w:eastAsia="lv-LV"/>
              </w:rPr>
              <w:t>3.</w:t>
            </w:r>
          </w:p>
        </w:tc>
        <w:tc>
          <w:tcPr>
            <w:tcW w:w="3069"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38ED0E84" w14:textId="77777777" w:rsidR="00D93A15" w:rsidRPr="0064585B" w:rsidRDefault="00CD56A5">
            <w:pPr>
              <w:spacing w:after="0" w:line="240" w:lineRule="auto"/>
              <w:rPr>
                <w:rFonts w:ascii="Times New Roman" w:eastAsia="Times New Roman" w:hAnsi="Times New Roman" w:cs="Times New Roman"/>
                <w:iCs/>
                <w:color w:val="auto"/>
                <w:sz w:val="24"/>
                <w:szCs w:val="24"/>
                <w:lang w:val="en-US" w:eastAsia="lv-LV"/>
              </w:rPr>
            </w:pPr>
            <w:r w:rsidRPr="0064585B">
              <w:rPr>
                <w:rFonts w:ascii="Times New Roman" w:eastAsia="Times New Roman" w:hAnsi="Times New Roman" w:cs="Times New Roman"/>
                <w:iCs/>
                <w:color w:val="auto"/>
                <w:sz w:val="24"/>
                <w:szCs w:val="24"/>
                <w:lang w:eastAsia="lv-LV"/>
              </w:rPr>
              <w:t>Cita informācija</w:t>
            </w:r>
          </w:p>
        </w:tc>
        <w:tc>
          <w:tcPr>
            <w:tcW w:w="5550"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14:paraId="7952BC6F" w14:textId="77777777" w:rsidR="00D93A15" w:rsidRPr="0064585B" w:rsidRDefault="00CD56A5">
            <w:pPr>
              <w:spacing w:after="0" w:line="240" w:lineRule="auto"/>
              <w:rPr>
                <w:color w:val="auto"/>
              </w:rPr>
            </w:pPr>
            <w:r w:rsidRPr="0064585B">
              <w:rPr>
                <w:rFonts w:ascii="Times New Roman" w:eastAsia="Times New Roman" w:hAnsi="Times New Roman" w:cs="Times New Roman"/>
                <w:iCs/>
                <w:color w:val="auto"/>
                <w:sz w:val="24"/>
                <w:szCs w:val="24"/>
                <w:lang w:eastAsia="lv-LV"/>
              </w:rPr>
              <w:t>Nav</w:t>
            </w:r>
          </w:p>
        </w:tc>
      </w:tr>
    </w:tbl>
    <w:p w14:paraId="481D5EFE" w14:textId="77777777" w:rsidR="00326229" w:rsidRDefault="00326229" w:rsidP="00326229">
      <w:pPr>
        <w:pStyle w:val="naisf"/>
        <w:tabs>
          <w:tab w:val="left" w:pos="6237"/>
          <w:tab w:val="right" w:pos="8820"/>
        </w:tabs>
        <w:spacing w:before="0" w:after="0"/>
        <w:ind w:firstLine="0"/>
      </w:pPr>
    </w:p>
    <w:p w14:paraId="6CBFF115" w14:textId="1B3E8267" w:rsidR="00B4793E" w:rsidRPr="00326229" w:rsidRDefault="00B4793E" w:rsidP="00326229">
      <w:pPr>
        <w:pStyle w:val="naisf"/>
        <w:tabs>
          <w:tab w:val="left" w:pos="6237"/>
          <w:tab w:val="right" w:pos="8820"/>
        </w:tabs>
        <w:spacing w:before="0" w:after="0"/>
        <w:ind w:firstLine="0"/>
      </w:pPr>
      <w:r w:rsidRPr="00326229">
        <w:t>Ministru prezidenta biedrs,</w:t>
      </w:r>
    </w:p>
    <w:p w14:paraId="029A0182" w14:textId="29D20B3E" w:rsidR="004B328E" w:rsidRPr="00326229" w:rsidRDefault="00B4793E" w:rsidP="00C15BB0">
      <w:pPr>
        <w:pStyle w:val="naisf"/>
        <w:tabs>
          <w:tab w:val="left" w:pos="6237"/>
          <w:tab w:val="right" w:pos="8820"/>
        </w:tabs>
        <w:spacing w:before="0" w:after="0"/>
        <w:ind w:firstLine="709"/>
      </w:pPr>
      <w:r w:rsidRPr="00326229">
        <w:t>tieslietu ministrs</w:t>
      </w:r>
      <w:r w:rsidRPr="00326229">
        <w:tab/>
      </w:r>
      <w:r w:rsidR="00326229">
        <w:tab/>
      </w:r>
      <w:r w:rsidRPr="00326229">
        <w:t>J. </w:t>
      </w:r>
      <w:proofErr w:type="spellStart"/>
      <w:r w:rsidRPr="00326229">
        <w:t>Bordān</w:t>
      </w:r>
      <w:r w:rsidR="00C15BB0" w:rsidRPr="00326229">
        <w:t>s</w:t>
      </w:r>
      <w:proofErr w:type="spellEnd"/>
    </w:p>
    <w:p w14:paraId="10233E9F" w14:textId="2B40C669" w:rsidR="004B328E" w:rsidRPr="004B328E" w:rsidRDefault="004B328E" w:rsidP="00C15BB0">
      <w:pPr>
        <w:pStyle w:val="naisf"/>
        <w:tabs>
          <w:tab w:val="left" w:pos="6237"/>
          <w:tab w:val="right" w:pos="8820"/>
        </w:tabs>
        <w:spacing w:before="0" w:after="0"/>
        <w:ind w:firstLine="0"/>
        <w:rPr>
          <w:sz w:val="20"/>
          <w:szCs w:val="20"/>
        </w:rPr>
      </w:pPr>
    </w:p>
    <w:sectPr w:rsidR="004B328E" w:rsidRPr="004B328E">
      <w:headerReference w:type="default" r:id="rId8"/>
      <w:footerReference w:type="default" r:id="rId9"/>
      <w:footerReference w:type="first" r:id="rId10"/>
      <w:pgSz w:w="11906" w:h="16838"/>
      <w:pgMar w:top="1418" w:right="1134" w:bottom="1134"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5EE85" w14:textId="77777777" w:rsidR="0013048C" w:rsidRDefault="0013048C">
      <w:pPr>
        <w:spacing w:after="0" w:line="240" w:lineRule="auto"/>
      </w:pPr>
      <w:r>
        <w:separator/>
      </w:r>
    </w:p>
  </w:endnote>
  <w:endnote w:type="continuationSeparator" w:id="0">
    <w:p w14:paraId="7AF2E42B" w14:textId="77777777" w:rsidR="0013048C" w:rsidRDefault="0013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8FD6" w14:textId="2D8FDF84" w:rsidR="009C01DD" w:rsidRPr="004D6EEF" w:rsidRDefault="009C01DD" w:rsidP="004D6EEF">
    <w:pPr>
      <w:pStyle w:val="Kjene"/>
      <w:rPr>
        <w:rFonts w:ascii="Times New Roman" w:hAnsi="Times New Roman" w:cs="Times New Roman"/>
        <w:sz w:val="20"/>
        <w:szCs w:val="20"/>
      </w:rPr>
    </w:pPr>
    <w:proofErr w:type="spellStart"/>
    <w:r w:rsidRPr="00FB6D83">
      <w:rPr>
        <w:rFonts w:ascii="Times New Roman" w:hAnsi="Times New Roman" w:cs="Times New Roman"/>
        <w:sz w:val="20"/>
        <w:szCs w:val="20"/>
      </w:rPr>
      <w:t>TMAnot_not_PPF</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D5C3" w14:textId="17A4E4EB" w:rsidR="009C01DD" w:rsidRPr="004D6EEF" w:rsidRDefault="00AD5EA1">
    <w:pPr>
      <w:pStyle w:val="Kjene"/>
      <w:rPr>
        <w:rFonts w:ascii="Times New Roman" w:hAnsi="Times New Roman" w:cs="Times New Roman"/>
        <w:sz w:val="20"/>
        <w:szCs w:val="20"/>
      </w:rPr>
    </w:pPr>
    <w:r w:rsidRPr="00AD5EA1">
      <w:rPr>
        <w:rFonts w:ascii="Times New Roman" w:hAnsi="Times New Roman" w:cs="Times New Roman"/>
        <w:sz w:val="20"/>
        <w:szCs w:val="20"/>
      </w:rPr>
      <w:t>TMAnot_not_PPF_061219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A7B72" w14:textId="77777777" w:rsidR="0013048C" w:rsidRDefault="0013048C">
      <w:pPr>
        <w:spacing w:after="0" w:line="240" w:lineRule="auto"/>
      </w:pPr>
      <w:r>
        <w:separator/>
      </w:r>
    </w:p>
  </w:footnote>
  <w:footnote w:type="continuationSeparator" w:id="0">
    <w:p w14:paraId="26843BB2" w14:textId="77777777" w:rsidR="0013048C" w:rsidRDefault="0013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646280"/>
      <w:docPartObj>
        <w:docPartGallery w:val="Page Numbers (Top of Page)"/>
        <w:docPartUnique/>
      </w:docPartObj>
    </w:sdtPr>
    <w:sdtEndPr>
      <w:rPr>
        <w:noProof/>
      </w:rPr>
    </w:sdtEndPr>
    <w:sdtContent>
      <w:p w14:paraId="66307101" w14:textId="71CDA8F5" w:rsidR="009C01DD" w:rsidRDefault="009C01DD">
        <w:pPr>
          <w:pStyle w:val="Galvene"/>
          <w:jc w:val="center"/>
        </w:pPr>
        <w:r>
          <w:fldChar w:fldCharType="begin"/>
        </w:r>
        <w:r>
          <w:instrText xml:space="preserve"> PAGE   \* MERGEFORMAT </w:instrText>
        </w:r>
        <w:r>
          <w:fldChar w:fldCharType="separate"/>
        </w:r>
        <w:r>
          <w:rPr>
            <w:noProof/>
          </w:rPr>
          <w:t>15</w:t>
        </w:r>
        <w:r>
          <w:rPr>
            <w:noProof/>
          </w:rPr>
          <w:fldChar w:fldCharType="end"/>
        </w:r>
      </w:p>
    </w:sdtContent>
  </w:sdt>
  <w:p w14:paraId="10D646BD" w14:textId="06DCF85B" w:rsidR="009C01DD" w:rsidRPr="004D6EEF" w:rsidRDefault="009C01DD">
    <w:pPr>
      <w:pStyle w:val="Galven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21B"/>
    <w:multiLevelType w:val="hybridMultilevel"/>
    <w:tmpl w:val="497EE16C"/>
    <w:lvl w:ilvl="0" w:tplc="19B0D91A">
      <w:start w:val="2019"/>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471D72AF"/>
    <w:multiLevelType w:val="hybridMultilevel"/>
    <w:tmpl w:val="969C4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B11D66"/>
    <w:multiLevelType w:val="multilevel"/>
    <w:tmpl w:val="F2F6823E"/>
    <w:lvl w:ilvl="0">
      <w:start w:val="1"/>
      <w:numFmt w:val="decimal"/>
      <w:suff w:val="space"/>
      <w:lvlText w:val="%1."/>
      <w:lvlJc w:val="left"/>
      <w:pPr>
        <w:ind w:left="57" w:firstLine="652"/>
      </w:pPr>
      <w:rPr>
        <w:rFonts w:hint="default"/>
      </w:rPr>
    </w:lvl>
    <w:lvl w:ilvl="1">
      <w:start w:val="1"/>
      <w:numFmt w:val="decimal"/>
      <w:isLgl/>
      <w:lvlText w:val="%1.%2."/>
      <w:lvlJc w:val="left"/>
      <w:pPr>
        <w:ind w:left="57" w:firstLine="652"/>
      </w:pPr>
      <w:rPr>
        <w:rFonts w:hint="default"/>
      </w:rPr>
    </w:lvl>
    <w:lvl w:ilvl="2">
      <w:start w:val="1"/>
      <w:numFmt w:val="decimal"/>
      <w:isLgl/>
      <w:lvlText w:val="%1.%2.%3."/>
      <w:lvlJc w:val="left"/>
      <w:pPr>
        <w:ind w:left="57" w:firstLine="652"/>
      </w:pPr>
      <w:rPr>
        <w:rFonts w:hint="default"/>
      </w:rPr>
    </w:lvl>
    <w:lvl w:ilvl="3">
      <w:start w:val="1"/>
      <w:numFmt w:val="decimal"/>
      <w:isLgl/>
      <w:lvlText w:val="%1.%2.%3.%4."/>
      <w:lvlJc w:val="left"/>
      <w:pPr>
        <w:ind w:left="57" w:firstLine="652"/>
      </w:pPr>
      <w:rPr>
        <w:rFonts w:hint="default"/>
      </w:rPr>
    </w:lvl>
    <w:lvl w:ilvl="4">
      <w:start w:val="1"/>
      <w:numFmt w:val="decimal"/>
      <w:isLgl/>
      <w:lvlText w:val="%1.%2.%3.%4.%5."/>
      <w:lvlJc w:val="left"/>
      <w:pPr>
        <w:ind w:left="57" w:firstLine="652"/>
      </w:pPr>
      <w:rPr>
        <w:rFonts w:hint="default"/>
      </w:rPr>
    </w:lvl>
    <w:lvl w:ilvl="5">
      <w:start w:val="1"/>
      <w:numFmt w:val="decimal"/>
      <w:isLgl/>
      <w:lvlText w:val="%1.%2.%3.%4.%5.%6."/>
      <w:lvlJc w:val="left"/>
      <w:pPr>
        <w:ind w:left="57" w:firstLine="652"/>
      </w:pPr>
      <w:rPr>
        <w:rFonts w:hint="default"/>
      </w:rPr>
    </w:lvl>
    <w:lvl w:ilvl="6">
      <w:start w:val="1"/>
      <w:numFmt w:val="decimal"/>
      <w:isLgl/>
      <w:lvlText w:val="%1.%2.%3.%4.%5.%6.%7."/>
      <w:lvlJc w:val="left"/>
      <w:pPr>
        <w:ind w:left="57" w:firstLine="652"/>
      </w:pPr>
      <w:rPr>
        <w:rFonts w:hint="default"/>
      </w:rPr>
    </w:lvl>
    <w:lvl w:ilvl="7">
      <w:start w:val="1"/>
      <w:numFmt w:val="decimal"/>
      <w:isLgl/>
      <w:lvlText w:val="%1.%2.%3.%4.%5.%6.%7.%8."/>
      <w:lvlJc w:val="left"/>
      <w:pPr>
        <w:ind w:left="57" w:firstLine="652"/>
      </w:pPr>
      <w:rPr>
        <w:rFonts w:hint="default"/>
      </w:rPr>
    </w:lvl>
    <w:lvl w:ilvl="8">
      <w:start w:val="1"/>
      <w:numFmt w:val="decimal"/>
      <w:isLgl/>
      <w:lvlText w:val="%1.%2.%3.%4.%5.%6.%7.%8.%9."/>
      <w:lvlJc w:val="left"/>
      <w:pPr>
        <w:ind w:left="57" w:firstLine="652"/>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15"/>
    <w:rsid w:val="00001C54"/>
    <w:rsid w:val="00003360"/>
    <w:rsid w:val="0001015F"/>
    <w:rsid w:val="00014FC4"/>
    <w:rsid w:val="000240F8"/>
    <w:rsid w:val="00026BB5"/>
    <w:rsid w:val="0003692C"/>
    <w:rsid w:val="00044601"/>
    <w:rsid w:val="000455B0"/>
    <w:rsid w:val="00053574"/>
    <w:rsid w:val="000542AB"/>
    <w:rsid w:val="00056BB8"/>
    <w:rsid w:val="000719A7"/>
    <w:rsid w:val="0007614D"/>
    <w:rsid w:val="00081F93"/>
    <w:rsid w:val="00082969"/>
    <w:rsid w:val="00085E0F"/>
    <w:rsid w:val="00090181"/>
    <w:rsid w:val="00097571"/>
    <w:rsid w:val="000C16B3"/>
    <w:rsid w:val="000C22F2"/>
    <w:rsid w:val="000C73CC"/>
    <w:rsid w:val="000D0B5C"/>
    <w:rsid w:val="000D4BAA"/>
    <w:rsid w:val="000E5B9D"/>
    <w:rsid w:val="000F4704"/>
    <w:rsid w:val="000F5A62"/>
    <w:rsid w:val="001119FA"/>
    <w:rsid w:val="00111DD1"/>
    <w:rsid w:val="001140DA"/>
    <w:rsid w:val="001155A6"/>
    <w:rsid w:val="00120E9F"/>
    <w:rsid w:val="00127ACD"/>
    <w:rsid w:val="0013048C"/>
    <w:rsid w:val="001361E8"/>
    <w:rsid w:val="001413A4"/>
    <w:rsid w:val="00152F6C"/>
    <w:rsid w:val="00171488"/>
    <w:rsid w:val="001758E7"/>
    <w:rsid w:val="001876D0"/>
    <w:rsid w:val="00194D2D"/>
    <w:rsid w:val="00194E21"/>
    <w:rsid w:val="001A041B"/>
    <w:rsid w:val="001B46C6"/>
    <w:rsid w:val="001C7341"/>
    <w:rsid w:val="001E7A36"/>
    <w:rsid w:val="001F04AC"/>
    <w:rsid w:val="001F6544"/>
    <w:rsid w:val="00202900"/>
    <w:rsid w:val="002214DF"/>
    <w:rsid w:val="002259AF"/>
    <w:rsid w:val="0022773A"/>
    <w:rsid w:val="00262A3C"/>
    <w:rsid w:val="002801C7"/>
    <w:rsid w:val="002C234F"/>
    <w:rsid w:val="002C396D"/>
    <w:rsid w:val="002C7A47"/>
    <w:rsid w:val="002E0781"/>
    <w:rsid w:val="002E568C"/>
    <w:rsid w:val="002F1815"/>
    <w:rsid w:val="00306465"/>
    <w:rsid w:val="00307CBC"/>
    <w:rsid w:val="00326229"/>
    <w:rsid w:val="0033297A"/>
    <w:rsid w:val="00344970"/>
    <w:rsid w:val="00363CD3"/>
    <w:rsid w:val="00371168"/>
    <w:rsid w:val="003712CF"/>
    <w:rsid w:val="00375B70"/>
    <w:rsid w:val="003840B5"/>
    <w:rsid w:val="00385E9A"/>
    <w:rsid w:val="003865A5"/>
    <w:rsid w:val="00386DF6"/>
    <w:rsid w:val="003909B6"/>
    <w:rsid w:val="003950EC"/>
    <w:rsid w:val="003B10C1"/>
    <w:rsid w:val="003B45D5"/>
    <w:rsid w:val="003D47B5"/>
    <w:rsid w:val="003E02E8"/>
    <w:rsid w:val="003E64DF"/>
    <w:rsid w:val="003E6FE9"/>
    <w:rsid w:val="003F523C"/>
    <w:rsid w:val="003F7B15"/>
    <w:rsid w:val="004013F8"/>
    <w:rsid w:val="004121C1"/>
    <w:rsid w:val="004255EE"/>
    <w:rsid w:val="0044389C"/>
    <w:rsid w:val="004543E4"/>
    <w:rsid w:val="00463902"/>
    <w:rsid w:val="00463C7C"/>
    <w:rsid w:val="00475528"/>
    <w:rsid w:val="00481107"/>
    <w:rsid w:val="00482012"/>
    <w:rsid w:val="004944FA"/>
    <w:rsid w:val="00495A19"/>
    <w:rsid w:val="00497F24"/>
    <w:rsid w:val="004A4E57"/>
    <w:rsid w:val="004A73E0"/>
    <w:rsid w:val="004B328E"/>
    <w:rsid w:val="004C335F"/>
    <w:rsid w:val="004C48B1"/>
    <w:rsid w:val="004C5662"/>
    <w:rsid w:val="004D4515"/>
    <w:rsid w:val="004D4F10"/>
    <w:rsid w:val="004D6BAA"/>
    <w:rsid w:val="004D6EEF"/>
    <w:rsid w:val="004D7945"/>
    <w:rsid w:val="004E1A1E"/>
    <w:rsid w:val="004E46B5"/>
    <w:rsid w:val="004F752F"/>
    <w:rsid w:val="005012C7"/>
    <w:rsid w:val="00506B28"/>
    <w:rsid w:val="0052408D"/>
    <w:rsid w:val="0053797D"/>
    <w:rsid w:val="00541CBF"/>
    <w:rsid w:val="0054476F"/>
    <w:rsid w:val="00560C94"/>
    <w:rsid w:val="00561954"/>
    <w:rsid w:val="00561BE6"/>
    <w:rsid w:val="00597F8A"/>
    <w:rsid w:val="005A4EC2"/>
    <w:rsid w:val="005A779A"/>
    <w:rsid w:val="005C5B6C"/>
    <w:rsid w:val="005C7178"/>
    <w:rsid w:val="005D0C14"/>
    <w:rsid w:val="005D11EA"/>
    <w:rsid w:val="005E2ACF"/>
    <w:rsid w:val="005E496B"/>
    <w:rsid w:val="006009E1"/>
    <w:rsid w:val="006061C9"/>
    <w:rsid w:val="00606506"/>
    <w:rsid w:val="00607F31"/>
    <w:rsid w:val="006122EF"/>
    <w:rsid w:val="006262A8"/>
    <w:rsid w:val="00642D32"/>
    <w:rsid w:val="0064585B"/>
    <w:rsid w:val="00646497"/>
    <w:rsid w:val="00647D6F"/>
    <w:rsid w:val="00660ACF"/>
    <w:rsid w:val="00671FBD"/>
    <w:rsid w:val="006726A9"/>
    <w:rsid w:val="006733C7"/>
    <w:rsid w:val="00677E51"/>
    <w:rsid w:val="00682444"/>
    <w:rsid w:val="00691335"/>
    <w:rsid w:val="006B5ACF"/>
    <w:rsid w:val="006C2964"/>
    <w:rsid w:val="006C7112"/>
    <w:rsid w:val="006C727A"/>
    <w:rsid w:val="006E29DC"/>
    <w:rsid w:val="006E3594"/>
    <w:rsid w:val="006F7015"/>
    <w:rsid w:val="00704624"/>
    <w:rsid w:val="00704CF6"/>
    <w:rsid w:val="00706672"/>
    <w:rsid w:val="007149A5"/>
    <w:rsid w:val="00730E12"/>
    <w:rsid w:val="0076061D"/>
    <w:rsid w:val="00787F7C"/>
    <w:rsid w:val="007B474C"/>
    <w:rsid w:val="007B59FA"/>
    <w:rsid w:val="007C0971"/>
    <w:rsid w:val="007C1F6C"/>
    <w:rsid w:val="007D767D"/>
    <w:rsid w:val="008016F5"/>
    <w:rsid w:val="008108AC"/>
    <w:rsid w:val="00811BA9"/>
    <w:rsid w:val="00814BB9"/>
    <w:rsid w:val="00846582"/>
    <w:rsid w:val="00872525"/>
    <w:rsid w:val="00875E5A"/>
    <w:rsid w:val="00884D09"/>
    <w:rsid w:val="00893B40"/>
    <w:rsid w:val="008C2710"/>
    <w:rsid w:val="008C542E"/>
    <w:rsid w:val="008E3236"/>
    <w:rsid w:val="008E7993"/>
    <w:rsid w:val="00932A7E"/>
    <w:rsid w:val="00956286"/>
    <w:rsid w:val="00960E3F"/>
    <w:rsid w:val="0097372E"/>
    <w:rsid w:val="00973EE5"/>
    <w:rsid w:val="00975749"/>
    <w:rsid w:val="0098111C"/>
    <w:rsid w:val="00991ECE"/>
    <w:rsid w:val="00992266"/>
    <w:rsid w:val="00994B55"/>
    <w:rsid w:val="009A2AFE"/>
    <w:rsid w:val="009B0784"/>
    <w:rsid w:val="009B1654"/>
    <w:rsid w:val="009B4C6C"/>
    <w:rsid w:val="009C01DD"/>
    <w:rsid w:val="009C0B30"/>
    <w:rsid w:val="009D0212"/>
    <w:rsid w:val="009D0B99"/>
    <w:rsid w:val="009E2A7B"/>
    <w:rsid w:val="009F335D"/>
    <w:rsid w:val="009F4343"/>
    <w:rsid w:val="009F48FE"/>
    <w:rsid w:val="00A01F0F"/>
    <w:rsid w:val="00A01F45"/>
    <w:rsid w:val="00A02514"/>
    <w:rsid w:val="00A123F4"/>
    <w:rsid w:val="00A135EE"/>
    <w:rsid w:val="00A17EE7"/>
    <w:rsid w:val="00A252B0"/>
    <w:rsid w:val="00A27E98"/>
    <w:rsid w:val="00A443B7"/>
    <w:rsid w:val="00A57096"/>
    <w:rsid w:val="00A57F12"/>
    <w:rsid w:val="00A82058"/>
    <w:rsid w:val="00A86180"/>
    <w:rsid w:val="00AB4159"/>
    <w:rsid w:val="00AC15F3"/>
    <w:rsid w:val="00AC1C29"/>
    <w:rsid w:val="00AC4AC7"/>
    <w:rsid w:val="00AC4D7F"/>
    <w:rsid w:val="00AC773E"/>
    <w:rsid w:val="00AD5EA1"/>
    <w:rsid w:val="00AE4DBE"/>
    <w:rsid w:val="00AE69C3"/>
    <w:rsid w:val="00AF0A7E"/>
    <w:rsid w:val="00AF4EC7"/>
    <w:rsid w:val="00B028B0"/>
    <w:rsid w:val="00B055CF"/>
    <w:rsid w:val="00B227D6"/>
    <w:rsid w:val="00B24331"/>
    <w:rsid w:val="00B370C0"/>
    <w:rsid w:val="00B4793E"/>
    <w:rsid w:val="00B64670"/>
    <w:rsid w:val="00B6682E"/>
    <w:rsid w:val="00B732C6"/>
    <w:rsid w:val="00B759F0"/>
    <w:rsid w:val="00B75DD6"/>
    <w:rsid w:val="00B8114A"/>
    <w:rsid w:val="00B87253"/>
    <w:rsid w:val="00BC1F63"/>
    <w:rsid w:val="00BC22AC"/>
    <w:rsid w:val="00BC79F0"/>
    <w:rsid w:val="00BD294B"/>
    <w:rsid w:val="00BD2A88"/>
    <w:rsid w:val="00BD7C30"/>
    <w:rsid w:val="00BE6907"/>
    <w:rsid w:val="00BF45D6"/>
    <w:rsid w:val="00C03409"/>
    <w:rsid w:val="00C15BB0"/>
    <w:rsid w:val="00C21119"/>
    <w:rsid w:val="00C230AD"/>
    <w:rsid w:val="00C3699A"/>
    <w:rsid w:val="00C4118E"/>
    <w:rsid w:val="00C53E7D"/>
    <w:rsid w:val="00C5443E"/>
    <w:rsid w:val="00C576F9"/>
    <w:rsid w:val="00C67C11"/>
    <w:rsid w:val="00C67E53"/>
    <w:rsid w:val="00C8723C"/>
    <w:rsid w:val="00C957DE"/>
    <w:rsid w:val="00CB2BBD"/>
    <w:rsid w:val="00CC67EA"/>
    <w:rsid w:val="00CD22B8"/>
    <w:rsid w:val="00CD324D"/>
    <w:rsid w:val="00CD56A5"/>
    <w:rsid w:val="00CE6650"/>
    <w:rsid w:val="00CE7F4E"/>
    <w:rsid w:val="00CF35EB"/>
    <w:rsid w:val="00D0629A"/>
    <w:rsid w:val="00D17576"/>
    <w:rsid w:val="00D21A99"/>
    <w:rsid w:val="00D237AC"/>
    <w:rsid w:val="00D259DC"/>
    <w:rsid w:val="00D271F9"/>
    <w:rsid w:val="00D37470"/>
    <w:rsid w:val="00D40D0C"/>
    <w:rsid w:val="00D525B9"/>
    <w:rsid w:val="00D5483C"/>
    <w:rsid w:val="00D5783D"/>
    <w:rsid w:val="00D57FCA"/>
    <w:rsid w:val="00D75774"/>
    <w:rsid w:val="00D91948"/>
    <w:rsid w:val="00D93A15"/>
    <w:rsid w:val="00D93B6B"/>
    <w:rsid w:val="00DB22C2"/>
    <w:rsid w:val="00DB4D28"/>
    <w:rsid w:val="00DC6CAD"/>
    <w:rsid w:val="00DD2FF2"/>
    <w:rsid w:val="00DD6267"/>
    <w:rsid w:val="00DE2F4C"/>
    <w:rsid w:val="00DE550C"/>
    <w:rsid w:val="00DF039E"/>
    <w:rsid w:val="00DF5E25"/>
    <w:rsid w:val="00E048AD"/>
    <w:rsid w:val="00E065A8"/>
    <w:rsid w:val="00E11C5C"/>
    <w:rsid w:val="00E11E6D"/>
    <w:rsid w:val="00E149CE"/>
    <w:rsid w:val="00E27367"/>
    <w:rsid w:val="00E27B47"/>
    <w:rsid w:val="00E32AF1"/>
    <w:rsid w:val="00E55E33"/>
    <w:rsid w:val="00E6416A"/>
    <w:rsid w:val="00E70DA8"/>
    <w:rsid w:val="00E71FD7"/>
    <w:rsid w:val="00E7466F"/>
    <w:rsid w:val="00E80D3D"/>
    <w:rsid w:val="00E81B80"/>
    <w:rsid w:val="00E83A25"/>
    <w:rsid w:val="00EA793B"/>
    <w:rsid w:val="00EC7B3C"/>
    <w:rsid w:val="00ED2D35"/>
    <w:rsid w:val="00ED5F1E"/>
    <w:rsid w:val="00EE02AF"/>
    <w:rsid w:val="00EE2B48"/>
    <w:rsid w:val="00EF02A7"/>
    <w:rsid w:val="00EF0D60"/>
    <w:rsid w:val="00EF1B3D"/>
    <w:rsid w:val="00F122A5"/>
    <w:rsid w:val="00F127AD"/>
    <w:rsid w:val="00F15A78"/>
    <w:rsid w:val="00F21604"/>
    <w:rsid w:val="00F22F3C"/>
    <w:rsid w:val="00F23693"/>
    <w:rsid w:val="00F25503"/>
    <w:rsid w:val="00F25C6E"/>
    <w:rsid w:val="00F462FA"/>
    <w:rsid w:val="00F63006"/>
    <w:rsid w:val="00F77B92"/>
    <w:rsid w:val="00F80DAC"/>
    <w:rsid w:val="00F932CB"/>
    <w:rsid w:val="00F95594"/>
    <w:rsid w:val="00F95BC8"/>
    <w:rsid w:val="00FA18F4"/>
    <w:rsid w:val="00FA74A4"/>
    <w:rsid w:val="00FB02E9"/>
    <w:rsid w:val="00FB6D83"/>
    <w:rsid w:val="00FC2866"/>
    <w:rsid w:val="00FD260C"/>
    <w:rsid w:val="00FF58F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7245C"/>
  <w15:docId w15:val="{118947AC-3292-499B-B5AD-CCA46370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9C0B30"/>
    <w:pPr>
      <w:spacing w:after="160" w:line="259" w:lineRule="auto"/>
    </w:pPr>
    <w:rPr>
      <w:rFonts w:ascii="Calibri" w:eastAsia="Calibri" w:hAnsi="Calibri"/>
      <w:color w:val="00000A"/>
      <w:sz w:val="22"/>
    </w:rPr>
  </w:style>
  <w:style w:type="paragraph" w:styleId="Virsraksts1">
    <w:name w:val="heading 1"/>
    <w:basedOn w:val="Heading"/>
    <w:qFormat/>
    <w:pPr>
      <w:outlineLvl w:val="0"/>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qFormat/>
    <w:rsid w:val="00894C55"/>
  </w:style>
  <w:style w:type="character" w:customStyle="1" w:styleId="InternetLink">
    <w:name w:val="Internet Link"/>
    <w:basedOn w:val="Noklusjumarindkopasfonts"/>
    <w:uiPriority w:val="99"/>
    <w:unhideWhenUsed/>
    <w:rsid w:val="00894C55"/>
    <w:rPr>
      <w:color w:val="0000FF"/>
      <w:u w:val="single"/>
    </w:rPr>
  </w:style>
  <w:style w:type="character" w:customStyle="1" w:styleId="GalveneRakstz">
    <w:name w:val="Galvene Rakstz."/>
    <w:basedOn w:val="Noklusjumarindkopasfonts"/>
    <w:link w:val="Galvene"/>
    <w:uiPriority w:val="99"/>
    <w:qFormat/>
    <w:rsid w:val="00894C55"/>
  </w:style>
  <w:style w:type="character" w:customStyle="1" w:styleId="KjeneRakstz">
    <w:name w:val="Kājene Rakstz."/>
    <w:basedOn w:val="Noklusjumarindkopasfonts"/>
    <w:link w:val="Kjene"/>
    <w:uiPriority w:val="99"/>
    <w:qFormat/>
    <w:rsid w:val="00894C55"/>
  </w:style>
  <w:style w:type="character" w:styleId="Vietturateksts">
    <w:name w:val="Placeholder Text"/>
    <w:basedOn w:val="Noklusjumarindkopasfonts"/>
    <w:uiPriority w:val="99"/>
    <w:semiHidden/>
    <w:qFormat/>
    <w:rsid w:val="00E90C01"/>
    <w:rPr>
      <w:color w:val="808080"/>
    </w:rPr>
  </w:style>
  <w:style w:type="character" w:styleId="Izmantotahipersaite">
    <w:name w:val="FollowedHyperlink"/>
    <w:basedOn w:val="Noklusjumarindkopasfonts"/>
    <w:uiPriority w:val="99"/>
    <w:semiHidden/>
    <w:unhideWhenUsed/>
    <w:qFormat/>
    <w:rsid w:val="003E0791"/>
    <w:rPr>
      <w:color w:val="954F72" w:themeColor="followedHyperlink"/>
      <w:u w:val="single"/>
    </w:rPr>
  </w:style>
  <w:style w:type="character" w:customStyle="1" w:styleId="BalontekstsRakstz">
    <w:name w:val="Balonteksts Rakstz."/>
    <w:basedOn w:val="Noklusjumarindkopasfonts"/>
    <w:link w:val="Balonteksts"/>
    <w:uiPriority w:val="99"/>
    <w:semiHidden/>
    <w:qFormat/>
    <w:rsid w:val="003F28AC"/>
    <w:rPr>
      <w:rFonts w:ascii="Tahoma" w:hAnsi="Tahoma" w:cs="Tahoma"/>
      <w:sz w:val="16"/>
      <w:szCs w:val="16"/>
    </w:rPr>
  </w:style>
  <w:style w:type="character" w:styleId="Komentraatsauce">
    <w:name w:val="annotation reference"/>
    <w:basedOn w:val="Noklusjumarindkopasfonts"/>
    <w:uiPriority w:val="99"/>
    <w:semiHidden/>
    <w:unhideWhenUsed/>
    <w:qFormat/>
    <w:rsid w:val="007C2A43"/>
    <w:rPr>
      <w:sz w:val="16"/>
      <w:szCs w:val="16"/>
    </w:rPr>
  </w:style>
  <w:style w:type="character" w:customStyle="1" w:styleId="KomentratekstsRakstz">
    <w:name w:val="Komentāra teksts Rakstz."/>
    <w:basedOn w:val="Noklusjumarindkopasfonts"/>
    <w:link w:val="Komentrateksts"/>
    <w:uiPriority w:val="99"/>
    <w:semiHidden/>
    <w:qFormat/>
    <w:rsid w:val="007C2A43"/>
    <w:rPr>
      <w:color w:val="00000A"/>
      <w:szCs w:val="20"/>
    </w:rPr>
  </w:style>
  <w:style w:type="character" w:customStyle="1" w:styleId="KomentratmaRakstz">
    <w:name w:val="Komentāra tēma Rakstz."/>
    <w:basedOn w:val="KomentratekstsRakstz"/>
    <w:link w:val="Komentratma"/>
    <w:uiPriority w:val="99"/>
    <w:semiHidden/>
    <w:qFormat/>
    <w:rsid w:val="007C2A43"/>
    <w:rPr>
      <w:b/>
      <w:bCs/>
      <w:color w:val="00000A"/>
      <w:szCs w:val="20"/>
    </w:rPr>
  </w:style>
  <w:style w:type="paragraph" w:customStyle="1" w:styleId="Heading">
    <w:name w:val="Heading"/>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88"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sz w:val="24"/>
      <w:szCs w:val="24"/>
    </w:rPr>
  </w:style>
  <w:style w:type="paragraph" w:customStyle="1" w:styleId="Index">
    <w:name w:val="Index"/>
    <w:basedOn w:val="Parasts"/>
    <w:qFormat/>
    <w:pPr>
      <w:suppressLineNumbers/>
    </w:pPr>
    <w:rPr>
      <w:rFonts w:cs="Mangal"/>
    </w:rPr>
  </w:style>
  <w:style w:type="paragraph" w:customStyle="1" w:styleId="labojumupamats">
    <w:name w:val="labojumu_pamats"/>
    <w:basedOn w:val="Parasts"/>
    <w:qFormat/>
    <w:rsid w:val="00894C55"/>
    <w:pPr>
      <w:spacing w:beforeAutospacing="1"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qFormat/>
    <w:rsid w:val="00894C55"/>
    <w:pPr>
      <w:spacing w:beforeAutospacing="1"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paragraph" w:styleId="Balonteksts">
    <w:name w:val="Balloon Text"/>
    <w:basedOn w:val="Parasts"/>
    <w:link w:val="BalontekstsRakstz"/>
    <w:uiPriority w:val="99"/>
    <w:semiHidden/>
    <w:unhideWhenUsed/>
    <w:qFormat/>
    <w:rsid w:val="003F28AC"/>
    <w:pPr>
      <w:spacing w:after="0" w:line="240" w:lineRule="auto"/>
    </w:pPr>
    <w:rPr>
      <w:rFonts w:ascii="Tahoma" w:hAnsi="Tahoma" w:cs="Tahoma"/>
      <w:sz w:val="16"/>
      <w:szCs w:val="16"/>
    </w:rPr>
  </w:style>
  <w:style w:type="paragraph" w:styleId="Komentrateksts">
    <w:name w:val="annotation text"/>
    <w:basedOn w:val="Parasts"/>
    <w:link w:val="KomentratekstsRakstz"/>
    <w:uiPriority w:val="99"/>
    <w:semiHidden/>
    <w:unhideWhenUsed/>
    <w:qFormat/>
    <w:rsid w:val="007C2A43"/>
    <w:pPr>
      <w:spacing w:line="240" w:lineRule="auto"/>
    </w:pPr>
    <w:rPr>
      <w:sz w:val="20"/>
      <w:szCs w:val="20"/>
    </w:rPr>
  </w:style>
  <w:style w:type="paragraph" w:styleId="Komentratma">
    <w:name w:val="annotation subject"/>
    <w:basedOn w:val="Komentrateksts"/>
    <w:link w:val="KomentratmaRakstz"/>
    <w:uiPriority w:val="99"/>
    <w:semiHidden/>
    <w:unhideWhenUsed/>
    <w:qFormat/>
    <w:rsid w:val="007C2A43"/>
    <w:rPr>
      <w:b/>
      <w:bCs/>
    </w:rPr>
  </w:style>
  <w:style w:type="paragraph" w:customStyle="1" w:styleId="StyleRight">
    <w:name w:val="Style Right"/>
    <w:basedOn w:val="Parasts"/>
    <w:qFormat/>
    <w:pPr>
      <w:spacing w:after="120" w:line="240" w:lineRule="auto"/>
      <w:ind w:firstLine="720"/>
      <w:jc w:val="right"/>
    </w:pPr>
    <w:rPr>
      <w:rFonts w:ascii="Times New Roman" w:eastAsia="Times New Roman" w:hAnsi="Times New Roman" w:cs="Times New Roman"/>
      <w:sz w:val="28"/>
      <w:szCs w:val="28"/>
    </w:rPr>
  </w:style>
  <w:style w:type="character" w:styleId="Hipersaite">
    <w:name w:val="Hyperlink"/>
    <w:basedOn w:val="Noklusjumarindkopasfonts"/>
    <w:uiPriority w:val="99"/>
    <w:unhideWhenUsed/>
    <w:rsid w:val="00C67C11"/>
    <w:rPr>
      <w:color w:val="0563C1" w:themeColor="hyperlink"/>
      <w:u w:val="single"/>
    </w:rPr>
  </w:style>
  <w:style w:type="paragraph" w:styleId="Prskatjums">
    <w:name w:val="Revision"/>
    <w:hidden/>
    <w:uiPriority w:val="99"/>
    <w:semiHidden/>
    <w:rsid w:val="00992266"/>
    <w:rPr>
      <w:rFonts w:ascii="Calibri" w:eastAsia="Calibri" w:hAnsi="Calibri"/>
      <w:color w:val="00000A"/>
      <w:sz w:val="22"/>
    </w:rPr>
  </w:style>
  <w:style w:type="paragraph" w:styleId="Vresteksts">
    <w:name w:val="footnote text"/>
    <w:basedOn w:val="Parasts"/>
    <w:link w:val="VrestekstsRakstz"/>
    <w:uiPriority w:val="99"/>
    <w:semiHidden/>
    <w:unhideWhenUsed/>
    <w:rsid w:val="002F1815"/>
    <w:pPr>
      <w:spacing w:after="0" w:line="240" w:lineRule="auto"/>
    </w:pPr>
    <w:rPr>
      <w:rFonts w:asciiTheme="minorHAnsi" w:eastAsiaTheme="minorHAnsi" w:hAnsiTheme="minorHAnsi"/>
      <w:color w:val="auto"/>
      <w:sz w:val="20"/>
      <w:szCs w:val="20"/>
    </w:rPr>
  </w:style>
  <w:style w:type="character" w:customStyle="1" w:styleId="VrestekstsRakstz">
    <w:name w:val="Vēres teksts Rakstz."/>
    <w:basedOn w:val="Noklusjumarindkopasfonts"/>
    <w:link w:val="Vresteksts"/>
    <w:uiPriority w:val="99"/>
    <w:semiHidden/>
    <w:rsid w:val="002F1815"/>
    <w:rPr>
      <w:szCs w:val="20"/>
    </w:rPr>
  </w:style>
  <w:style w:type="character" w:styleId="Vresatsauce">
    <w:name w:val="footnote reference"/>
    <w:basedOn w:val="Noklusjumarindkopasfonts"/>
    <w:uiPriority w:val="99"/>
    <w:semiHidden/>
    <w:unhideWhenUsed/>
    <w:rsid w:val="002F1815"/>
    <w:rPr>
      <w:vertAlign w:val="superscript"/>
    </w:rPr>
  </w:style>
  <w:style w:type="paragraph" w:customStyle="1" w:styleId="tv2132">
    <w:name w:val="tv2132"/>
    <w:basedOn w:val="Parasts"/>
    <w:rsid w:val="00E81B80"/>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Neatrisintapieminana1">
    <w:name w:val="Neatrisināta pieminēšana1"/>
    <w:basedOn w:val="Noklusjumarindkopasfonts"/>
    <w:uiPriority w:val="99"/>
    <w:semiHidden/>
    <w:unhideWhenUsed/>
    <w:rsid w:val="00E81B80"/>
    <w:rPr>
      <w:color w:val="605E5C"/>
      <w:shd w:val="clear" w:color="auto" w:fill="E1DFDD"/>
    </w:rPr>
  </w:style>
  <w:style w:type="table" w:styleId="Reatabula">
    <w:name w:val="Table Grid"/>
    <w:basedOn w:val="Parastatabula"/>
    <w:uiPriority w:val="39"/>
    <w:rsid w:val="00B8725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smalcintsizclums">
    <w:name w:val="Subtle Emphasis"/>
    <w:basedOn w:val="Noklusjumarindkopasfonts"/>
    <w:uiPriority w:val="19"/>
    <w:qFormat/>
    <w:rsid w:val="00B87253"/>
    <w:rPr>
      <w:i/>
      <w:iCs/>
      <w:color w:val="404040" w:themeColor="text1" w:themeTint="BF"/>
    </w:rPr>
  </w:style>
  <w:style w:type="paragraph" w:styleId="Bezatstarpm">
    <w:name w:val="No Spacing"/>
    <w:uiPriority w:val="1"/>
    <w:qFormat/>
    <w:rsid w:val="002C7A47"/>
    <w:rPr>
      <w:sz w:val="22"/>
    </w:rPr>
  </w:style>
  <w:style w:type="paragraph" w:styleId="Sarakstarindkopa">
    <w:name w:val="List Paragraph"/>
    <w:aliases w:val="2,Numbered Para 1,Dot pt,No Spacing1,List Paragraph Char Char Char,Indicator Text,Bullet 1,Bullet Points,MAIN CONTENT,IFCL - List Paragraph,List Paragraph12,OBC Bullet,F5 List Paragraph,Colorful List - Accent 11,Strip"/>
    <w:basedOn w:val="Parasts"/>
    <w:link w:val="SarakstarindkopaRakstz"/>
    <w:uiPriority w:val="34"/>
    <w:qFormat/>
    <w:rsid w:val="001119FA"/>
    <w:pPr>
      <w:spacing w:after="200" w:line="276" w:lineRule="auto"/>
      <w:ind w:left="720"/>
      <w:contextualSpacing/>
    </w:pPr>
    <w:rPr>
      <w:rFonts w:cs="Times New Roman"/>
      <w:color w:val="auto"/>
    </w:rPr>
  </w:style>
  <w:style w:type="character" w:customStyle="1" w:styleId="SarakstarindkopaRakstz">
    <w:name w:val="Saraksta rindkopa Rakstz."/>
    <w:aliases w:val="2 Rakstz.,Numbered Para 1 Rakstz.,Dot pt Rakstz.,No Spacing1 Rakstz.,List Paragraph Char Char Char Rakstz.,Indicator Text Rakstz.,Bullet 1 Rakstz.,Bullet Points Rakstz.,MAIN CONTENT Rakstz.,IFCL - List Paragraph Rakstz."/>
    <w:link w:val="Sarakstarindkopa"/>
    <w:uiPriority w:val="34"/>
    <w:qFormat/>
    <w:locked/>
    <w:rsid w:val="001119FA"/>
    <w:rPr>
      <w:rFonts w:ascii="Calibri" w:eastAsia="Calibri" w:hAnsi="Calibri" w:cs="Times New Roman"/>
      <w:sz w:val="22"/>
    </w:rPr>
  </w:style>
  <w:style w:type="paragraph" w:customStyle="1" w:styleId="naisf">
    <w:name w:val="naisf"/>
    <w:basedOn w:val="Parasts"/>
    <w:rsid w:val="00B4793E"/>
    <w:pPr>
      <w:spacing w:before="75" w:after="75" w:line="240" w:lineRule="auto"/>
      <w:ind w:firstLine="375"/>
      <w:jc w:val="both"/>
    </w:pPr>
    <w:rPr>
      <w:rFonts w:ascii="Times New Roman" w:eastAsia="Times New Roman" w:hAnsi="Times New Roman" w:cs="Times New Roman"/>
      <w:color w:val="auto"/>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237053">
      <w:bodyDiv w:val="1"/>
      <w:marLeft w:val="0"/>
      <w:marRight w:val="0"/>
      <w:marTop w:val="0"/>
      <w:marBottom w:val="0"/>
      <w:divBdr>
        <w:top w:val="none" w:sz="0" w:space="0" w:color="auto"/>
        <w:left w:val="none" w:sz="0" w:space="0" w:color="auto"/>
        <w:bottom w:val="none" w:sz="0" w:space="0" w:color="auto"/>
        <w:right w:val="none" w:sz="0" w:space="0" w:color="auto"/>
      </w:divBdr>
    </w:div>
    <w:div w:id="187341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C054-3CC1-4266-920F-977E4779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6419</Words>
  <Characters>3660</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“Politiskajām organizācijām (partijām) piešķirtā valsts budžeta finansējuma izlietojuma noteikumi” sākotnējās ietekmes novērtējuma ziņojums (anotācija)</vt:lpstr>
      <vt:lpstr>Grozījumi Politisko organizāciju (partiju) finansēšanas likumā</vt:lpstr>
    </vt:vector>
  </TitlesOfParts>
  <Company>Tieslietu ministrija</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“Politiskajām organizācijām (partijām) piešķirtā valsts budžeta finansējuma izlietojuma noteikumi” sākotnējās ietekmes novērtējuma ziņojums (anotācija)</dc:title>
  <dc:subject>Anotācija</dc:subject>
  <dc:creator>Liene Zariņa</dc:creator>
  <dc:description>67036905</dc:description>
  <cp:lastModifiedBy>Liene Zariņa</cp:lastModifiedBy>
  <cp:revision>20</cp:revision>
  <cp:lastPrinted>2019-10-11T06:07:00Z</cp:lastPrinted>
  <dcterms:created xsi:type="dcterms:W3CDTF">2019-12-01T20:38:00Z</dcterms:created>
  <dcterms:modified xsi:type="dcterms:W3CDTF">2019-12-06T12:45:00Z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Iestādes nosaukums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