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47" w:rsidRDefault="00960647" w:rsidP="00960647">
      <w:pPr>
        <w:rPr>
          <w:rFonts w:ascii="Times New Roman" w:hAnsi="Times New Roman"/>
          <w:sz w:val="24"/>
          <w:szCs w:val="24"/>
        </w:rPr>
      </w:pPr>
    </w:p>
    <w:p w:rsidR="00D4620C" w:rsidRDefault="00D4620C" w:rsidP="00D4620C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D4620C">
        <w:rPr>
          <w:rFonts w:ascii="Times New Roman" w:hAnsi="Times New Roman"/>
          <w:i/>
          <w:iCs/>
          <w:sz w:val="24"/>
          <w:szCs w:val="24"/>
        </w:rPr>
        <w:t>Likumprojekts</w:t>
      </w:r>
    </w:p>
    <w:p w:rsidR="00AA3C74" w:rsidRPr="00D4620C" w:rsidRDefault="00AA3C74" w:rsidP="00D4620C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101914" w:rsidRPr="00AA3C74" w:rsidRDefault="00D4620C" w:rsidP="00D4620C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AA3C74">
        <w:rPr>
          <w:rFonts w:ascii="Times New Roman" w:hAnsi="Times New Roman"/>
          <w:b/>
          <w:iCs/>
          <w:sz w:val="24"/>
          <w:szCs w:val="24"/>
        </w:rPr>
        <w:t xml:space="preserve">Grozījumi </w:t>
      </w:r>
      <w:r w:rsidR="00570503" w:rsidRPr="00570503">
        <w:rPr>
          <w:rFonts w:ascii="Times New Roman" w:hAnsi="Times New Roman"/>
          <w:b/>
          <w:iCs/>
          <w:sz w:val="24"/>
          <w:szCs w:val="24"/>
        </w:rPr>
        <w:t xml:space="preserve">Aizturēto personu turēšanas kārtības </w:t>
      </w:r>
      <w:r w:rsidRPr="00AA3C74">
        <w:rPr>
          <w:rFonts w:ascii="Times New Roman" w:hAnsi="Times New Roman"/>
          <w:b/>
          <w:iCs/>
          <w:sz w:val="24"/>
          <w:szCs w:val="24"/>
        </w:rPr>
        <w:t>likumā</w:t>
      </w:r>
    </w:p>
    <w:p w:rsidR="00AA3C74" w:rsidRDefault="00AA3C74" w:rsidP="00D4620C">
      <w:pPr>
        <w:jc w:val="center"/>
        <w:rPr>
          <w:rFonts w:ascii="Times New Roman" w:hAnsi="Times New Roman"/>
          <w:iCs/>
          <w:sz w:val="24"/>
          <w:szCs w:val="24"/>
        </w:rPr>
      </w:pPr>
    </w:p>
    <w:p w:rsidR="005B51AE" w:rsidRDefault="00570503" w:rsidP="00AA3C74">
      <w:pPr>
        <w:rPr>
          <w:rFonts w:ascii="Times New Roman" w:hAnsi="Times New Roman"/>
          <w:iCs/>
          <w:sz w:val="24"/>
          <w:szCs w:val="24"/>
        </w:rPr>
      </w:pPr>
      <w:r w:rsidRPr="00570503">
        <w:rPr>
          <w:rFonts w:ascii="Times New Roman" w:hAnsi="Times New Roman"/>
          <w:iCs/>
          <w:sz w:val="24"/>
          <w:szCs w:val="24"/>
        </w:rPr>
        <w:t>Izdarīt Aizturēto personu turēšanas kārtības likumā (Latvijas Republikas Saeimas un Ministru Kabineta Ziņotājs, 2005, 21.nr.; 2007, 11.nr.; 2009, 3.nr.; Latvijas Vēstnesis, 2011, 167., 204.nr.</w:t>
      </w:r>
      <w:r w:rsidR="00216246">
        <w:rPr>
          <w:rFonts w:ascii="Times New Roman" w:hAnsi="Times New Roman"/>
          <w:iCs/>
          <w:sz w:val="24"/>
          <w:szCs w:val="24"/>
        </w:rPr>
        <w:t>; 2016, 91.nr</w:t>
      </w:r>
      <w:r w:rsidRPr="00570503">
        <w:rPr>
          <w:rFonts w:ascii="Times New Roman" w:hAnsi="Times New Roman"/>
          <w:iCs/>
          <w:sz w:val="24"/>
          <w:szCs w:val="24"/>
        </w:rPr>
        <w:t>) šādus grozījumus:</w:t>
      </w:r>
    </w:p>
    <w:p w:rsidR="00291BA1" w:rsidRDefault="00291BA1" w:rsidP="00291BA1">
      <w:pPr>
        <w:pStyle w:val="Sarakstarindkopa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5.pantā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91BA1" w:rsidRDefault="00291BA1" w:rsidP="00291BA1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ceturto daļu ar 1.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punktu šādā redakcijā:</w:t>
      </w:r>
    </w:p>
    <w:p w:rsidR="00291BA1" w:rsidRDefault="00291BA1" w:rsidP="00291BA1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B773C6">
        <w:rPr>
          <w:rFonts w:ascii="Times New Roman" w:hAnsi="Times New Roman"/>
          <w:sz w:val="24"/>
          <w:szCs w:val="24"/>
        </w:rPr>
        <w:t>1</w:t>
      </w:r>
      <w:r w:rsidRPr="00B773C6">
        <w:rPr>
          <w:rFonts w:ascii="Times New Roman" w:hAnsi="Times New Roman"/>
          <w:sz w:val="24"/>
          <w:szCs w:val="24"/>
          <w:vertAlign w:val="superscript"/>
        </w:rPr>
        <w:t>1</w:t>
      </w:r>
      <w:r w:rsidRPr="00B773C6">
        <w:rPr>
          <w:rFonts w:ascii="Times New Roman" w:hAnsi="Times New Roman"/>
          <w:sz w:val="24"/>
          <w:szCs w:val="24"/>
        </w:rPr>
        <w:t>) nepilngadīgā aizturētā saderinātais, laulātais, bērni, vecāki, aizbildnis, vecvecāki, brāļi un māsas, kā arī tās personas, ar kuru attiecīgā fiziskā persona dzīvo kopā un ar kuru tai ir kopīga (</w:t>
      </w:r>
      <w:proofErr w:type="gramStart"/>
      <w:r w:rsidRPr="00B773C6">
        <w:rPr>
          <w:rFonts w:ascii="Times New Roman" w:hAnsi="Times New Roman"/>
          <w:sz w:val="24"/>
          <w:szCs w:val="24"/>
        </w:rPr>
        <w:t>nedalīta</w:t>
      </w:r>
      <w:proofErr w:type="gramEnd"/>
      <w:r w:rsidRPr="00B773C6">
        <w:rPr>
          <w:rFonts w:ascii="Times New Roman" w:hAnsi="Times New Roman"/>
          <w:sz w:val="24"/>
          <w:szCs w:val="24"/>
        </w:rPr>
        <w:t>) saimniecība;</w:t>
      </w:r>
      <w:r>
        <w:rPr>
          <w:rFonts w:ascii="Times New Roman" w:hAnsi="Times New Roman"/>
          <w:sz w:val="24"/>
          <w:szCs w:val="24"/>
        </w:rPr>
        <w:t>";</w:t>
      </w:r>
    </w:p>
    <w:p w:rsidR="00291BA1" w:rsidRDefault="00291BA1" w:rsidP="00291BA1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pantu ar 6.</w:t>
      </w:r>
      <w:r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sz w:val="24"/>
          <w:szCs w:val="24"/>
        </w:rPr>
        <w:t>daļu šādā redakcijā:</w:t>
      </w:r>
    </w:p>
    <w:p w:rsidR="00291BA1" w:rsidRPr="00291BA1" w:rsidRDefault="00291BA1" w:rsidP="00291BA1">
      <w:pPr>
        <w:spacing w:before="240"/>
        <w:ind w:firstLine="567"/>
        <w:rPr>
          <w:rFonts w:ascii="Times New Roman" w:hAnsi="Times New Roman"/>
          <w:sz w:val="24"/>
          <w:szCs w:val="24"/>
        </w:rPr>
      </w:pPr>
      <w:r w:rsidRPr="00291BA1">
        <w:rPr>
          <w:rFonts w:ascii="Times New Roman" w:hAnsi="Times New Roman"/>
          <w:sz w:val="24"/>
          <w:szCs w:val="24"/>
        </w:rPr>
        <w:t>"(6</w:t>
      </w:r>
      <w:r w:rsidRPr="00291BA1">
        <w:rPr>
          <w:rFonts w:ascii="Times New Roman" w:hAnsi="Times New Roman"/>
          <w:sz w:val="24"/>
          <w:szCs w:val="24"/>
          <w:vertAlign w:val="superscript"/>
        </w:rPr>
        <w:t>2</w:t>
      </w:r>
      <w:r w:rsidRPr="00291BA1">
        <w:rPr>
          <w:rFonts w:ascii="Times New Roman" w:hAnsi="Times New Roman"/>
          <w:sz w:val="24"/>
          <w:szCs w:val="24"/>
        </w:rPr>
        <w:t>) Nepilngadīgajiem ir tiesības savas uzturēšanās laikā īslaicīgās aizturēšanas vietā uz 1 stundu ilgu satikšanos vienatnē ar ne vairāk kā divām šā panta ceturtās daļas 1.</w:t>
      </w:r>
      <w:r w:rsidRPr="00291BA1">
        <w:rPr>
          <w:rFonts w:ascii="Times New Roman" w:hAnsi="Times New Roman"/>
          <w:sz w:val="24"/>
          <w:szCs w:val="24"/>
          <w:vertAlign w:val="superscript"/>
        </w:rPr>
        <w:t>1</w:t>
      </w:r>
      <w:r w:rsidRPr="00291BA1">
        <w:rPr>
          <w:rFonts w:ascii="Times New Roman" w:hAnsi="Times New Roman"/>
          <w:sz w:val="24"/>
          <w:szCs w:val="24"/>
        </w:rPr>
        <w:t xml:space="preserve"> punktā noteiktajām personām, ja tas netraucē kriminālprocesa mērķa sasniegšanu. Šā panta ceturtās daļas 1.</w:t>
      </w:r>
      <w:r w:rsidRPr="00291BA1">
        <w:rPr>
          <w:rFonts w:ascii="Times New Roman" w:hAnsi="Times New Roman"/>
          <w:sz w:val="24"/>
          <w:szCs w:val="24"/>
          <w:vertAlign w:val="superscript"/>
        </w:rPr>
        <w:t>1</w:t>
      </w:r>
      <w:r w:rsidRPr="00291BA1">
        <w:rPr>
          <w:rFonts w:ascii="Times New Roman" w:hAnsi="Times New Roman"/>
          <w:sz w:val="24"/>
          <w:szCs w:val="24"/>
        </w:rPr>
        <w:t xml:space="preserve"> punktā noteiktā persona satikšanos iepriekš</w:t>
      </w:r>
      <w:r w:rsidR="00C3728C">
        <w:rPr>
          <w:rFonts w:ascii="Times New Roman" w:hAnsi="Times New Roman"/>
          <w:sz w:val="24"/>
          <w:szCs w:val="24"/>
        </w:rPr>
        <w:t xml:space="preserve"> saskaņo ar procesa virzītāju."</w:t>
      </w:r>
    </w:p>
    <w:p w:rsidR="00AA3C74" w:rsidRDefault="00216246" w:rsidP="00A70477">
      <w:pPr>
        <w:pStyle w:val="Sarakstarindkopa"/>
        <w:numPr>
          <w:ilvl w:val="0"/>
          <w:numId w:val="1"/>
        </w:numPr>
        <w:spacing w:before="24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9.pantā</w:t>
      </w:r>
      <w:proofErr w:type="gramEnd"/>
      <w:r w:rsidR="00AA3C74">
        <w:rPr>
          <w:rFonts w:ascii="Times New Roman" w:hAnsi="Times New Roman"/>
          <w:sz w:val="24"/>
          <w:szCs w:val="24"/>
        </w:rPr>
        <w:t>:</w:t>
      </w:r>
    </w:p>
    <w:p w:rsidR="00216246" w:rsidRDefault="00216246" w:rsidP="00A70477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papildināt pantu ar 2.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>daļu šādā redakcijā:</w:t>
      </w:r>
    </w:p>
    <w:p w:rsidR="00AA3C74" w:rsidRDefault="00AA3C74" w:rsidP="00A70477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216246">
        <w:rPr>
          <w:rFonts w:ascii="Times New Roman" w:hAnsi="Times New Roman"/>
          <w:sz w:val="24"/>
          <w:szCs w:val="24"/>
        </w:rPr>
        <w:t>(2</w:t>
      </w:r>
      <w:r w:rsidRPr="00AA3C74">
        <w:rPr>
          <w:rFonts w:ascii="Times New Roman" w:hAnsi="Times New Roman"/>
          <w:sz w:val="24"/>
          <w:szCs w:val="24"/>
          <w:vertAlign w:val="superscript"/>
        </w:rPr>
        <w:t>1</w:t>
      </w:r>
      <w:r w:rsidR="00216246">
        <w:rPr>
          <w:rFonts w:ascii="Times New Roman" w:hAnsi="Times New Roman"/>
          <w:sz w:val="24"/>
          <w:szCs w:val="24"/>
        </w:rPr>
        <w:t>)</w:t>
      </w:r>
      <w:r w:rsidR="00216246" w:rsidRPr="00216246">
        <w:rPr>
          <w:rFonts w:ascii="Times New Roman" w:hAnsi="Times New Roman"/>
          <w:sz w:val="24"/>
          <w:szCs w:val="24"/>
        </w:rPr>
        <w:t xml:space="preserve"> Šā panta pirmajā daļā noteikto veselības aprūpi nepilngadīgajam veic pēc procesa virzītāja vai policijas amatpersonas iniciatīvas, jo īpaši</w:t>
      </w:r>
      <w:proofErr w:type="gramStart"/>
      <w:r w:rsidR="00216246" w:rsidRPr="00216246">
        <w:rPr>
          <w:rFonts w:ascii="Times New Roman" w:hAnsi="Times New Roman"/>
          <w:sz w:val="24"/>
          <w:szCs w:val="24"/>
        </w:rPr>
        <w:t xml:space="preserve"> gadījumos, kad</w:t>
      </w:r>
      <w:proofErr w:type="gramEnd"/>
      <w:r w:rsidR="00216246" w:rsidRPr="00216246">
        <w:rPr>
          <w:rFonts w:ascii="Times New Roman" w:hAnsi="Times New Roman"/>
          <w:sz w:val="24"/>
          <w:szCs w:val="24"/>
        </w:rPr>
        <w:t xml:space="preserve"> to prasa konkrētas ar veselību saistītas norādes, vai pēc nepilngadīgā aizturētā, viņa pārstāvja, aizstāvja vai jebkuras citas personas pieprasījuma.</w:t>
      </w:r>
      <w:r w:rsidR="00216246">
        <w:rPr>
          <w:rFonts w:ascii="Times New Roman" w:hAnsi="Times New Roman"/>
          <w:sz w:val="24"/>
          <w:szCs w:val="24"/>
        </w:rPr>
        <w:t>";</w:t>
      </w:r>
    </w:p>
    <w:p w:rsidR="00216246" w:rsidRDefault="00B773C6" w:rsidP="00A70477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16246">
        <w:rPr>
          <w:rFonts w:ascii="Times New Roman" w:hAnsi="Times New Roman"/>
          <w:sz w:val="24"/>
          <w:szCs w:val="24"/>
        </w:rPr>
        <w:t>apildināt trešo daļu ar otro teikumu šādā redakcijā:</w:t>
      </w:r>
    </w:p>
    <w:p w:rsidR="00B773C6" w:rsidRPr="00B773C6" w:rsidRDefault="00216246" w:rsidP="00291BA1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16246">
        <w:rPr>
          <w:rFonts w:ascii="Times New Roman" w:hAnsi="Times New Roman"/>
          <w:sz w:val="24"/>
          <w:szCs w:val="24"/>
        </w:rPr>
        <w:t>Policijas amatpersonai ir tiesības pieprasīt izrakstu par šā panta pirmajā daļā vai 2.</w:t>
      </w:r>
      <w:r w:rsidRPr="00B773C6">
        <w:rPr>
          <w:rFonts w:ascii="Times New Roman" w:hAnsi="Times New Roman"/>
          <w:sz w:val="24"/>
          <w:szCs w:val="24"/>
          <w:vertAlign w:val="superscript"/>
        </w:rPr>
        <w:t>1</w:t>
      </w:r>
      <w:r w:rsidRPr="00216246">
        <w:rPr>
          <w:rFonts w:ascii="Times New Roman" w:hAnsi="Times New Roman"/>
          <w:sz w:val="24"/>
          <w:szCs w:val="24"/>
        </w:rPr>
        <w:t xml:space="preserve"> daļā veikto veselības aprūpi un aizturētā veselības stāvokli.</w:t>
      </w:r>
      <w:r w:rsidR="00C3728C">
        <w:rPr>
          <w:rFonts w:ascii="Times New Roman" w:hAnsi="Times New Roman"/>
          <w:sz w:val="24"/>
          <w:szCs w:val="24"/>
        </w:rPr>
        <w:t>"</w:t>
      </w:r>
    </w:p>
    <w:p w:rsidR="00080547" w:rsidRPr="005E20BB" w:rsidRDefault="003A12EB" w:rsidP="00A70477">
      <w:pPr>
        <w:pStyle w:val="Sarakstarindkopa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Izteikt</w:t>
      </w:r>
      <w:r w:rsidR="00080547" w:rsidRPr="005E20BB">
        <w:rPr>
          <w:rFonts w:ascii="Times New Roman" w:eastAsia="Times New Roman" w:hAnsi="Times New Roman"/>
          <w:sz w:val="24"/>
          <w:szCs w:val="24"/>
        </w:rPr>
        <w:t xml:space="preserve"> informatīvo atsauci uz Ei</w:t>
      </w:r>
      <w:r w:rsidR="00216246">
        <w:rPr>
          <w:rFonts w:ascii="Times New Roman" w:eastAsia="Times New Roman" w:hAnsi="Times New Roman"/>
          <w:sz w:val="24"/>
          <w:szCs w:val="24"/>
        </w:rPr>
        <w:t xml:space="preserve">ropas Savienības direktīvām </w:t>
      </w:r>
      <w:r w:rsidR="00080547" w:rsidRPr="005E20BB">
        <w:rPr>
          <w:rFonts w:ascii="Times New Roman" w:eastAsia="Times New Roman" w:hAnsi="Times New Roman"/>
          <w:sz w:val="24"/>
          <w:szCs w:val="24"/>
        </w:rPr>
        <w:t>šādā redakcijā:</w:t>
      </w:r>
    </w:p>
    <w:p w:rsidR="003A12EB" w:rsidRPr="003A12EB" w:rsidRDefault="003A12EB" w:rsidP="003A12EB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>"Likumā iekļautas tiesību normas, kas izriet no:</w:t>
      </w:r>
    </w:p>
    <w:p w:rsidR="003A12EB" w:rsidRPr="003A12EB" w:rsidRDefault="003A12EB" w:rsidP="003A12EB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 xml:space="preserve">1) Eiropas Parlamenta un Padomes </w:t>
      </w:r>
      <w:proofErr w:type="gramStart"/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>2013.gada</w:t>
      </w:r>
      <w:proofErr w:type="gramEnd"/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 xml:space="preserve"> 22.oktobra direktīvas </w:t>
      </w:r>
      <w:hyperlink r:id="rId5" w:tgtFrame="_blank" w:history="1">
        <w:r w:rsidRPr="003A12EB">
          <w:rPr>
            <w:rFonts w:ascii="Times New Roman" w:eastAsia="Times New Roman" w:hAnsi="Times New Roman"/>
            <w:sz w:val="24"/>
            <w:szCs w:val="24"/>
            <w:lang w:eastAsia="lv-LV"/>
          </w:rPr>
          <w:t>2013/48/ES</w:t>
        </w:r>
      </w:hyperlink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 xml:space="preserve"> par tiesībām uz advokāta palīdzību kriminālprocesā un Eiropas apcietināšanas ordera procesā, par tiesībām uz to, ka pēc brīvības atņemšanas informē trešo personu, un par tiesībām, kamēr atņemta brīvība, sazināties ar </w:t>
      </w:r>
      <w:proofErr w:type="spellStart"/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>trešām</w:t>
      </w:r>
      <w:proofErr w:type="spellEnd"/>
      <w:r w:rsidRPr="003A12EB">
        <w:rPr>
          <w:rFonts w:ascii="Times New Roman" w:eastAsia="Times New Roman" w:hAnsi="Times New Roman"/>
          <w:sz w:val="24"/>
          <w:szCs w:val="24"/>
          <w:lang w:eastAsia="lv-LV"/>
        </w:rPr>
        <w:t xml:space="preserve"> pe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rsonām un konsulārajām iestādēm;</w:t>
      </w:r>
    </w:p>
    <w:p w:rsidR="00136E6F" w:rsidRDefault="00216246" w:rsidP="003A12EB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A12EB">
        <w:rPr>
          <w:rFonts w:ascii="Times New Roman" w:eastAsia="Times New Roman" w:hAnsi="Times New Roman"/>
          <w:sz w:val="24"/>
          <w:szCs w:val="24"/>
        </w:rPr>
        <w:t>2</w:t>
      </w:r>
      <w:r w:rsidR="00E0760A" w:rsidRPr="003A12EB">
        <w:rPr>
          <w:rFonts w:ascii="Times New Roman" w:eastAsia="Times New Roman" w:hAnsi="Times New Roman"/>
          <w:sz w:val="24"/>
          <w:szCs w:val="24"/>
        </w:rPr>
        <w:t xml:space="preserve">) </w:t>
      </w:r>
      <w:r w:rsidR="00136E6F" w:rsidRPr="003A12EB">
        <w:rPr>
          <w:rFonts w:ascii="Times New Roman" w:eastAsia="Times New Roman" w:hAnsi="Times New Roman"/>
          <w:sz w:val="24"/>
          <w:szCs w:val="24"/>
        </w:rPr>
        <w:t>Eiropas Parlamenta un Padomes 2016. gada 11. maija direktīvas 2016/800/ES par procesuālajām garantijām bērniem, kuri ir aizdomās turētie</w:t>
      </w:r>
      <w:r w:rsidRPr="003A12EB">
        <w:rPr>
          <w:rFonts w:ascii="Times New Roman" w:eastAsia="Times New Roman" w:hAnsi="Times New Roman"/>
          <w:sz w:val="24"/>
          <w:szCs w:val="24"/>
        </w:rPr>
        <w:t xml:space="preserve"> vai apsūdzētie kriminālprocesā</w:t>
      </w:r>
      <w:r w:rsidR="00C3728C">
        <w:rPr>
          <w:rFonts w:ascii="Times New Roman" w:eastAsia="Times New Roman" w:hAnsi="Times New Roman"/>
          <w:sz w:val="24"/>
          <w:szCs w:val="24"/>
        </w:rPr>
        <w:t>."</w:t>
      </w:r>
    </w:p>
    <w:p w:rsidR="00651B5A" w:rsidRDefault="00651B5A" w:rsidP="003A12EB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Likums stājas spēkā 2018. gada 1. aprīlī.</w:t>
      </w:r>
    </w:p>
    <w:p w:rsidR="00651B5A" w:rsidRDefault="00651B5A" w:rsidP="003A12EB">
      <w:pPr>
        <w:spacing w:before="1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36E6F" w:rsidRPr="0057434E" w:rsidRDefault="00136E6F" w:rsidP="00136E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57434E">
        <w:rPr>
          <w:rFonts w:ascii="Times New Roman" w:eastAsia="Times New Roman" w:hAnsi="Times New Roman"/>
          <w:bCs/>
          <w:sz w:val="28"/>
          <w:szCs w:val="28"/>
          <w:lang w:eastAsia="lv-LV"/>
        </w:rPr>
        <w:t>Tieslietu ministrs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ab/>
      </w:r>
      <w:r w:rsidRPr="0057434E">
        <w:rPr>
          <w:rFonts w:ascii="Times New Roman" w:eastAsia="Times New Roman" w:hAnsi="Times New Roman"/>
          <w:bCs/>
          <w:sz w:val="28"/>
          <w:szCs w:val="28"/>
          <w:lang w:eastAsia="lv-LV"/>
        </w:rPr>
        <w:t>Dz.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Pr="0057434E">
        <w:rPr>
          <w:rFonts w:ascii="Times New Roman" w:eastAsia="Times New Roman" w:hAnsi="Times New Roman"/>
          <w:bCs/>
          <w:sz w:val="28"/>
          <w:szCs w:val="28"/>
          <w:lang w:eastAsia="lv-LV"/>
        </w:rPr>
        <w:t>Rasnačs</w:t>
      </w:r>
    </w:p>
    <w:p w:rsidR="00136E6F" w:rsidRPr="0057434E" w:rsidRDefault="00136E6F" w:rsidP="00136E6F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>Iesniedzējs:</w:t>
      </w:r>
    </w:p>
    <w:p w:rsidR="00136E6F" w:rsidRPr="0057434E" w:rsidRDefault="00136E6F" w:rsidP="00136E6F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>Tieslietu ministrijas</w:t>
      </w:r>
    </w:p>
    <w:p w:rsidR="00136E6F" w:rsidRPr="0057434E" w:rsidRDefault="00136E6F" w:rsidP="00136E6F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  <w:lang w:eastAsia="lv-LV"/>
        </w:rPr>
      </w:pP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>valsts sekretārs</w:t>
      </w:r>
      <w:proofErr w:type="gramStart"/>
      <w:r w:rsidRPr="00136E6F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                                                                  </w:t>
      </w:r>
      <w:proofErr w:type="gramEnd"/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>R.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>Kronbergs</w:t>
      </w: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57434E">
        <w:rPr>
          <w:rFonts w:ascii="Times New Roman" w:eastAsia="Times New Roman" w:hAnsi="Times New Roman"/>
          <w:sz w:val="28"/>
          <w:szCs w:val="28"/>
          <w:lang w:eastAsia="lv-LV"/>
        </w:rPr>
        <w:tab/>
      </w:r>
    </w:p>
    <w:p w:rsidR="00136E6F" w:rsidRPr="0057434E" w:rsidRDefault="00136E6F" w:rsidP="00136E6F">
      <w:pPr>
        <w:tabs>
          <w:tab w:val="left" w:pos="6804"/>
        </w:tabs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136E6F" w:rsidRDefault="00136E6F" w:rsidP="00136E6F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136E6F" w:rsidRPr="0057434E" w:rsidRDefault="00136E6F" w:rsidP="00136E6F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136E6F" w:rsidRDefault="00136E6F" w:rsidP="00136E6F">
      <w:pPr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>R.Lūsis</w:t>
      </w:r>
    </w:p>
    <w:p w:rsidR="00136E6F" w:rsidRDefault="00136E6F" w:rsidP="00136E6F">
      <w:pPr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67036924, </w:t>
      </w:r>
      <w:hyperlink r:id="rId6" w:history="1">
        <w:r w:rsidRPr="00105EBD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Rudolfs.Lusis@tm.gov.lv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136E6F" w:rsidRPr="00731CD6" w:rsidRDefault="00136E6F" w:rsidP="00136E6F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6E6F" w:rsidRPr="00080547" w:rsidRDefault="00136E6F" w:rsidP="00136E6F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D4620C" w:rsidRPr="00D4620C" w:rsidRDefault="00D4620C" w:rsidP="00D4620C">
      <w:pPr>
        <w:spacing w:before="240"/>
        <w:rPr>
          <w:rFonts w:ascii="Times New Roman" w:hAnsi="Times New Roman"/>
          <w:i/>
          <w:sz w:val="24"/>
          <w:szCs w:val="24"/>
        </w:rPr>
      </w:pPr>
    </w:p>
    <w:p w:rsidR="00101914" w:rsidRPr="00101914" w:rsidRDefault="00101914" w:rsidP="00101914">
      <w:pPr>
        <w:rPr>
          <w:rFonts w:ascii="Times New Roman" w:hAnsi="Times New Roman"/>
          <w:i/>
          <w:sz w:val="24"/>
          <w:szCs w:val="24"/>
        </w:rPr>
      </w:pPr>
    </w:p>
    <w:sectPr w:rsidR="00101914" w:rsidRPr="001019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5652"/>
    <w:multiLevelType w:val="hybridMultilevel"/>
    <w:tmpl w:val="4A60A904"/>
    <w:lvl w:ilvl="0" w:tplc="DB62D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E0A6C"/>
    <w:multiLevelType w:val="hybridMultilevel"/>
    <w:tmpl w:val="3A04FE3C"/>
    <w:lvl w:ilvl="0" w:tplc="ADAE5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B3"/>
    <w:rsid w:val="00005211"/>
    <w:rsid w:val="00074E21"/>
    <w:rsid w:val="00080547"/>
    <w:rsid w:val="000B014E"/>
    <w:rsid w:val="000F5214"/>
    <w:rsid w:val="000F7E9E"/>
    <w:rsid w:val="00101914"/>
    <w:rsid w:val="00116517"/>
    <w:rsid w:val="00136E6F"/>
    <w:rsid w:val="0014542E"/>
    <w:rsid w:val="001577F8"/>
    <w:rsid w:val="00165AA1"/>
    <w:rsid w:val="001A7D38"/>
    <w:rsid w:val="001C41A2"/>
    <w:rsid w:val="00215FDF"/>
    <w:rsid w:val="00216246"/>
    <w:rsid w:val="0025110D"/>
    <w:rsid w:val="00254190"/>
    <w:rsid w:val="00263AAB"/>
    <w:rsid w:val="002745DE"/>
    <w:rsid w:val="00291BA1"/>
    <w:rsid w:val="002935C8"/>
    <w:rsid w:val="00293FA9"/>
    <w:rsid w:val="002A0EEA"/>
    <w:rsid w:val="002E1518"/>
    <w:rsid w:val="00302FFB"/>
    <w:rsid w:val="00383F2A"/>
    <w:rsid w:val="003A12EB"/>
    <w:rsid w:val="0040263C"/>
    <w:rsid w:val="004133D7"/>
    <w:rsid w:val="0044276A"/>
    <w:rsid w:val="00445339"/>
    <w:rsid w:val="004C1E15"/>
    <w:rsid w:val="004D359D"/>
    <w:rsid w:val="004E74B4"/>
    <w:rsid w:val="00501A79"/>
    <w:rsid w:val="00511D1B"/>
    <w:rsid w:val="00512710"/>
    <w:rsid w:val="00523CD3"/>
    <w:rsid w:val="00530765"/>
    <w:rsid w:val="00551BD4"/>
    <w:rsid w:val="00561592"/>
    <w:rsid w:val="00570503"/>
    <w:rsid w:val="00581346"/>
    <w:rsid w:val="00583F16"/>
    <w:rsid w:val="005B51AE"/>
    <w:rsid w:val="005E20BB"/>
    <w:rsid w:val="00612A90"/>
    <w:rsid w:val="006162AD"/>
    <w:rsid w:val="0063205E"/>
    <w:rsid w:val="006468A6"/>
    <w:rsid w:val="00651B5A"/>
    <w:rsid w:val="006668EF"/>
    <w:rsid w:val="00676325"/>
    <w:rsid w:val="006B6D57"/>
    <w:rsid w:val="006E0C8A"/>
    <w:rsid w:val="006F5A45"/>
    <w:rsid w:val="00707B1A"/>
    <w:rsid w:val="00713483"/>
    <w:rsid w:val="007347E9"/>
    <w:rsid w:val="00754E43"/>
    <w:rsid w:val="00765E2B"/>
    <w:rsid w:val="00765EA5"/>
    <w:rsid w:val="00772265"/>
    <w:rsid w:val="0078303D"/>
    <w:rsid w:val="007B658A"/>
    <w:rsid w:val="007D6232"/>
    <w:rsid w:val="008026BC"/>
    <w:rsid w:val="00815CDB"/>
    <w:rsid w:val="0083121C"/>
    <w:rsid w:val="00835D60"/>
    <w:rsid w:val="00840062"/>
    <w:rsid w:val="008416E6"/>
    <w:rsid w:val="00843ECB"/>
    <w:rsid w:val="0085698F"/>
    <w:rsid w:val="008E324B"/>
    <w:rsid w:val="008F1171"/>
    <w:rsid w:val="008F5ABF"/>
    <w:rsid w:val="009249FF"/>
    <w:rsid w:val="00960647"/>
    <w:rsid w:val="009663EA"/>
    <w:rsid w:val="009B2F4E"/>
    <w:rsid w:val="009D1BC2"/>
    <w:rsid w:val="009D7B78"/>
    <w:rsid w:val="00A01492"/>
    <w:rsid w:val="00A0163B"/>
    <w:rsid w:val="00A70477"/>
    <w:rsid w:val="00A936B3"/>
    <w:rsid w:val="00AA3C74"/>
    <w:rsid w:val="00AE4015"/>
    <w:rsid w:val="00AF4178"/>
    <w:rsid w:val="00B01890"/>
    <w:rsid w:val="00B07246"/>
    <w:rsid w:val="00B17AC9"/>
    <w:rsid w:val="00B2115B"/>
    <w:rsid w:val="00B46E10"/>
    <w:rsid w:val="00B47137"/>
    <w:rsid w:val="00B74CC2"/>
    <w:rsid w:val="00B773C6"/>
    <w:rsid w:val="00B84CDB"/>
    <w:rsid w:val="00BD44AA"/>
    <w:rsid w:val="00BD4DB0"/>
    <w:rsid w:val="00C3728C"/>
    <w:rsid w:val="00C70B7C"/>
    <w:rsid w:val="00CA588F"/>
    <w:rsid w:val="00CB2300"/>
    <w:rsid w:val="00CC5EE3"/>
    <w:rsid w:val="00CE612A"/>
    <w:rsid w:val="00D00D93"/>
    <w:rsid w:val="00D1330E"/>
    <w:rsid w:val="00D15861"/>
    <w:rsid w:val="00D21EE7"/>
    <w:rsid w:val="00D422B4"/>
    <w:rsid w:val="00D4620C"/>
    <w:rsid w:val="00D66CEB"/>
    <w:rsid w:val="00D80742"/>
    <w:rsid w:val="00DE4C6E"/>
    <w:rsid w:val="00DE6006"/>
    <w:rsid w:val="00E0760A"/>
    <w:rsid w:val="00E55F63"/>
    <w:rsid w:val="00E637FD"/>
    <w:rsid w:val="00EA207D"/>
    <w:rsid w:val="00EC18CF"/>
    <w:rsid w:val="00F00094"/>
    <w:rsid w:val="00F16F2E"/>
    <w:rsid w:val="00F250A6"/>
    <w:rsid w:val="00F56957"/>
    <w:rsid w:val="00F57F5B"/>
    <w:rsid w:val="00F62E87"/>
    <w:rsid w:val="00F74388"/>
    <w:rsid w:val="00F83498"/>
    <w:rsid w:val="00F91016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52C35-3EC7-4CD1-9913-471134A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60647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620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36E6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E600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2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8721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olfs.Lusis@tm.gov.lv" TargetMode="External"/><Relationship Id="rId5" Type="http://schemas.openxmlformats.org/officeDocument/2006/relationships/hyperlink" Target="http://eur-lex.europa.eu/eli/dir/2013/48/oj/?locale=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Lūsis</dc:creator>
  <cp:keywords/>
  <dc:description/>
  <cp:lastModifiedBy>Rūdolfs Lūsis</cp:lastModifiedBy>
  <cp:revision>26</cp:revision>
  <cp:lastPrinted>2017-06-15T16:20:00Z</cp:lastPrinted>
  <dcterms:created xsi:type="dcterms:W3CDTF">2017-01-12T14:44:00Z</dcterms:created>
  <dcterms:modified xsi:type="dcterms:W3CDTF">2017-07-19T11:48:00Z</dcterms:modified>
</cp:coreProperties>
</file>