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8EA" w:rsidRPr="000D48EA" w:rsidRDefault="000D48EA" w:rsidP="000D48EA">
      <w:pPr>
        <w:jc w:val="right"/>
        <w:outlineLvl w:val="0"/>
      </w:pPr>
      <w:r w:rsidRPr="000D48EA">
        <w:rPr>
          <w:i/>
        </w:rPr>
        <w:t>Projekts</w:t>
      </w:r>
    </w:p>
    <w:p w:rsidR="000D48EA" w:rsidRPr="000D48EA" w:rsidRDefault="000D48EA" w:rsidP="000D48EA"/>
    <w:p w:rsidR="000D48EA" w:rsidRPr="000D48EA" w:rsidRDefault="000D48EA" w:rsidP="000D48EA">
      <w:pPr>
        <w:jc w:val="center"/>
        <w:outlineLvl w:val="0"/>
      </w:pPr>
      <w:r w:rsidRPr="000D48EA">
        <w:t>LATVIJAS REPUBLIKAS MINISTRU KABINETS</w:t>
      </w:r>
    </w:p>
    <w:p w:rsidR="000D48EA" w:rsidRPr="000D48EA" w:rsidRDefault="000D48EA" w:rsidP="000D48EA">
      <w:r w:rsidRPr="000D48EA">
        <w:t> </w:t>
      </w:r>
    </w:p>
    <w:p w:rsidR="000D48EA" w:rsidRPr="000D48EA" w:rsidRDefault="000D48EA" w:rsidP="000D48EA">
      <w:pPr>
        <w:tabs>
          <w:tab w:val="right" w:pos="9000"/>
        </w:tabs>
        <w:rPr>
          <w:color w:val="000000"/>
        </w:rPr>
      </w:pPr>
      <w:r w:rsidRPr="000D48EA">
        <w:t>20__. gada __. ___</w:t>
      </w:r>
      <w:r w:rsidRPr="000D48EA">
        <w:tab/>
      </w:r>
      <w:r w:rsidRPr="000D48EA">
        <w:rPr>
          <w:color w:val="000000"/>
        </w:rPr>
        <w:t>Noteikumi Nr. __</w:t>
      </w:r>
    </w:p>
    <w:p w:rsidR="000D48EA" w:rsidRPr="000D48EA" w:rsidRDefault="000D48EA" w:rsidP="000D48EA">
      <w:pPr>
        <w:tabs>
          <w:tab w:val="right" w:pos="9000"/>
        </w:tabs>
        <w:rPr>
          <w:color w:val="000000"/>
        </w:rPr>
      </w:pPr>
      <w:r w:rsidRPr="000D48EA">
        <w:rPr>
          <w:color w:val="000000"/>
        </w:rPr>
        <w:t>Rīgā</w:t>
      </w:r>
      <w:r w:rsidRPr="000D48EA">
        <w:rPr>
          <w:color w:val="000000"/>
        </w:rPr>
        <w:tab/>
        <w:t>(prot. Nr. __ __. §)</w:t>
      </w:r>
    </w:p>
    <w:p w:rsidR="000D48EA" w:rsidRPr="000D48EA" w:rsidRDefault="000D48EA" w:rsidP="000D48EA">
      <w:pPr>
        <w:rPr>
          <w:color w:val="000000"/>
        </w:rPr>
      </w:pPr>
    </w:p>
    <w:p w:rsidR="000D48EA" w:rsidRPr="000D48EA" w:rsidRDefault="000D48EA" w:rsidP="000D48EA">
      <w:pPr>
        <w:jc w:val="center"/>
        <w:rPr>
          <w:b/>
          <w:bCs/>
          <w:color w:val="000000"/>
        </w:rPr>
      </w:pPr>
    </w:p>
    <w:p w:rsidR="000D48EA" w:rsidRPr="000D48EA" w:rsidRDefault="000D48EA" w:rsidP="000D48EA">
      <w:pPr>
        <w:jc w:val="center"/>
        <w:rPr>
          <w:b/>
          <w:bCs/>
          <w:color w:val="000000"/>
        </w:rPr>
      </w:pPr>
      <w:r w:rsidRPr="000D48EA">
        <w:rPr>
          <w:b/>
          <w:bCs/>
          <w:color w:val="000000"/>
        </w:rPr>
        <w:t>Grozījumi Ministru kabineta 2014.gada 5.augusta noteikumos Nr.433 „Mediatoru sertifikācijas un atestācijas kārtība”</w:t>
      </w:r>
    </w:p>
    <w:p w:rsidR="000D48EA" w:rsidRPr="000D48EA" w:rsidRDefault="000D48EA" w:rsidP="000D48EA">
      <w:pPr>
        <w:rPr>
          <w:color w:val="000000"/>
        </w:rPr>
      </w:pPr>
    </w:p>
    <w:p w:rsidR="0053275E" w:rsidRDefault="000D48EA" w:rsidP="0053275E">
      <w:pPr>
        <w:jc w:val="right"/>
        <w:outlineLvl w:val="0"/>
        <w:rPr>
          <w:color w:val="000000"/>
        </w:rPr>
      </w:pPr>
      <w:r w:rsidRPr="000D48EA">
        <w:rPr>
          <w:color w:val="000000"/>
        </w:rPr>
        <w:t xml:space="preserve">Izdoti saskaņā ar Mediācijas likuma </w:t>
      </w:r>
    </w:p>
    <w:p w:rsidR="000D48EA" w:rsidRPr="000D48EA" w:rsidRDefault="000D48EA" w:rsidP="0053275E">
      <w:pPr>
        <w:jc w:val="right"/>
        <w:rPr>
          <w:color w:val="000000"/>
        </w:rPr>
      </w:pPr>
      <w:r w:rsidRPr="000D48EA">
        <w:rPr>
          <w:color w:val="000000"/>
        </w:rPr>
        <w:t>20.panta ceturto daļu un 21.panta ceturto un sesto daļu</w:t>
      </w:r>
    </w:p>
    <w:p w:rsidR="000D48EA" w:rsidRPr="000D48EA" w:rsidRDefault="000D48EA" w:rsidP="000D48EA">
      <w:pPr>
        <w:jc w:val="both"/>
        <w:rPr>
          <w:color w:val="000000"/>
        </w:rPr>
      </w:pPr>
    </w:p>
    <w:p w:rsidR="000D48EA" w:rsidRPr="00614CB0" w:rsidRDefault="000D48EA" w:rsidP="000D48EA">
      <w:pPr>
        <w:jc w:val="both"/>
      </w:pPr>
    </w:p>
    <w:p w:rsidR="000D48EA" w:rsidRPr="00614CB0" w:rsidRDefault="000D48EA" w:rsidP="000D48EA">
      <w:pPr>
        <w:ind w:firstLine="720"/>
        <w:jc w:val="both"/>
      </w:pPr>
      <w:r w:rsidRPr="00614CB0">
        <w:t>Izdarīt Ministru kabineta 20</w:t>
      </w:r>
      <w:r w:rsidR="0053275E" w:rsidRPr="00614CB0">
        <w:t>14</w:t>
      </w:r>
      <w:r w:rsidRPr="00614CB0">
        <w:t>.gada 5.</w:t>
      </w:r>
      <w:r w:rsidR="0053275E" w:rsidRPr="00614CB0">
        <w:t>augusta</w:t>
      </w:r>
      <w:r w:rsidRPr="00614CB0">
        <w:t xml:space="preserve"> noteikumos Nr.</w:t>
      </w:r>
      <w:r w:rsidR="0053275E" w:rsidRPr="00614CB0">
        <w:t>433</w:t>
      </w:r>
      <w:r w:rsidRPr="00614CB0">
        <w:t xml:space="preserve"> „</w:t>
      </w:r>
      <w:r w:rsidR="0053275E" w:rsidRPr="00614CB0">
        <w:t>Mediatoru sertifikācijas un atestācijas kārtība</w:t>
      </w:r>
      <w:r w:rsidRPr="00614CB0">
        <w:t>” (Lat</w:t>
      </w:r>
      <w:r w:rsidR="0053275E" w:rsidRPr="00614CB0">
        <w:t>vijas Vēstnesis, 2014, 156</w:t>
      </w:r>
      <w:r w:rsidRPr="00614CB0">
        <w:t>.nr.) šādus grozījumus:</w:t>
      </w:r>
    </w:p>
    <w:p w:rsidR="00ED0724" w:rsidRPr="00614CB0" w:rsidRDefault="00ED0724" w:rsidP="000D48EA">
      <w:pPr>
        <w:ind w:firstLine="720"/>
        <w:jc w:val="both"/>
      </w:pPr>
    </w:p>
    <w:p w:rsidR="0097608B" w:rsidRDefault="0097608B" w:rsidP="005F38F4">
      <w:pPr>
        <w:pStyle w:val="Sarakstarindkopa"/>
        <w:numPr>
          <w:ilvl w:val="0"/>
          <w:numId w:val="3"/>
        </w:numPr>
        <w:jc w:val="both"/>
      </w:pPr>
      <w:r>
        <w:t>Aizstāt 11.punktā vārdu „komisijas” ar vārdu „padomes”;</w:t>
      </w:r>
    </w:p>
    <w:p w:rsidR="00ED0724" w:rsidRPr="00614CB0" w:rsidRDefault="00ED0724" w:rsidP="00ED0724">
      <w:pPr>
        <w:ind w:firstLine="720"/>
        <w:jc w:val="both"/>
      </w:pPr>
    </w:p>
    <w:p w:rsidR="00F145F8" w:rsidRPr="00AA0194" w:rsidRDefault="00AA0194" w:rsidP="00AA0194">
      <w:pPr>
        <w:pStyle w:val="Sarakstarindkopa"/>
        <w:numPr>
          <w:ilvl w:val="0"/>
          <w:numId w:val="3"/>
        </w:numPr>
        <w:jc w:val="both"/>
        <w:rPr>
          <w:rFonts w:eastAsia="Calibri"/>
        </w:rPr>
      </w:pPr>
      <w:r>
        <w:rPr>
          <w:rFonts w:eastAsia="Calibri"/>
        </w:rPr>
        <w:t xml:space="preserve">Papildināt </w:t>
      </w:r>
      <w:r w:rsidR="001777EB" w:rsidRPr="00AA0194">
        <w:rPr>
          <w:rFonts w:eastAsia="Calibri"/>
        </w:rPr>
        <w:t>13.</w:t>
      </w:r>
      <w:r w:rsidR="00D17063" w:rsidRPr="00AA0194">
        <w:rPr>
          <w:rFonts w:eastAsia="Calibri"/>
        </w:rPr>
        <w:t>punkt</w:t>
      </w:r>
      <w:r w:rsidR="00D17063">
        <w:rPr>
          <w:rFonts w:eastAsia="Calibri"/>
        </w:rPr>
        <w:t>u</w:t>
      </w:r>
      <w:r w:rsidR="00D17063" w:rsidRPr="00AA0194">
        <w:rPr>
          <w:rFonts w:eastAsia="Calibri"/>
        </w:rPr>
        <w:t xml:space="preserve"> </w:t>
      </w:r>
      <w:r>
        <w:rPr>
          <w:rFonts w:eastAsia="Calibri"/>
        </w:rPr>
        <w:t xml:space="preserve">ar </w:t>
      </w:r>
      <w:r w:rsidRPr="00AA0194">
        <w:rPr>
          <w:rFonts w:eastAsia="Calibri"/>
        </w:rPr>
        <w:t xml:space="preserve">ceturto </w:t>
      </w:r>
      <w:r w:rsidR="00F145F8" w:rsidRPr="00AA0194">
        <w:rPr>
          <w:rFonts w:eastAsia="Calibri"/>
        </w:rPr>
        <w:t>teikumu šādā redakcijā:</w:t>
      </w:r>
    </w:p>
    <w:p w:rsidR="00AA0194" w:rsidRDefault="00F145F8" w:rsidP="00AA0194">
      <w:pPr>
        <w:ind w:firstLine="720"/>
        <w:jc w:val="both"/>
        <w:rPr>
          <w:rFonts w:eastAsia="Calibri"/>
        </w:rPr>
      </w:pPr>
      <w:r w:rsidRPr="00614CB0">
        <w:rPr>
          <w:rFonts w:eastAsia="Calibri"/>
        </w:rPr>
        <w:t xml:space="preserve">„Protokolam pievieno </w:t>
      </w:r>
      <w:r w:rsidR="009E03E0">
        <w:rPr>
          <w:rFonts w:eastAsia="Calibri"/>
        </w:rPr>
        <w:t xml:space="preserve">komisijas locekļu aizpildītās sertifikācijas pārbaudījuma vērtējuma lapas, eksāmena biļešu variantus </w:t>
      </w:r>
      <w:r w:rsidR="00BF68A9">
        <w:rPr>
          <w:rFonts w:eastAsia="Calibri"/>
        </w:rPr>
        <w:t>un nepieciešamības gadījumā</w:t>
      </w:r>
      <w:r w:rsidR="002C7DBF">
        <w:rPr>
          <w:rFonts w:eastAsia="Calibri"/>
        </w:rPr>
        <w:t xml:space="preserve"> arī </w:t>
      </w:r>
      <w:r w:rsidR="00BF68A9">
        <w:rPr>
          <w:rFonts w:eastAsia="Calibri"/>
        </w:rPr>
        <w:t>citu</w:t>
      </w:r>
      <w:r w:rsidR="00BF68A9" w:rsidRPr="002C7DBF">
        <w:rPr>
          <w:rFonts w:eastAsia="Calibri"/>
        </w:rPr>
        <w:t xml:space="preserve">s </w:t>
      </w:r>
      <w:r w:rsidR="00F24DC4" w:rsidRPr="002C7DBF">
        <w:rPr>
          <w:rFonts w:eastAsia="Calibri"/>
        </w:rPr>
        <w:t xml:space="preserve">ar sertifikācijas vai atestācijas pārbaudījumu norisi saistītos </w:t>
      </w:r>
      <w:r w:rsidRPr="002C7DBF">
        <w:rPr>
          <w:rFonts w:eastAsia="Calibri"/>
        </w:rPr>
        <w:t>materiālu</w:t>
      </w:r>
      <w:r w:rsidR="002C7DBF">
        <w:rPr>
          <w:rFonts w:eastAsia="Calibri"/>
        </w:rPr>
        <w:t>s</w:t>
      </w:r>
      <w:r w:rsidRPr="002C7DBF">
        <w:rPr>
          <w:rFonts w:eastAsia="Calibri"/>
        </w:rPr>
        <w:t>.</w:t>
      </w:r>
      <w:r w:rsidR="002C7DBF">
        <w:rPr>
          <w:rFonts w:eastAsia="Calibri"/>
        </w:rPr>
        <w:t>”;</w:t>
      </w:r>
    </w:p>
    <w:p w:rsidR="00AA0194" w:rsidRDefault="00AA0194" w:rsidP="00AA0194">
      <w:pPr>
        <w:ind w:firstLine="720"/>
        <w:jc w:val="both"/>
        <w:rPr>
          <w:rFonts w:eastAsia="Calibri"/>
        </w:rPr>
      </w:pPr>
    </w:p>
    <w:p w:rsidR="00ED0724" w:rsidRPr="00AA0194" w:rsidRDefault="00AA0194" w:rsidP="00AA0194">
      <w:pPr>
        <w:ind w:firstLine="720"/>
        <w:jc w:val="both"/>
        <w:rPr>
          <w:rFonts w:eastAsia="Calibri"/>
        </w:rPr>
      </w:pPr>
      <w:r>
        <w:t xml:space="preserve">3. </w:t>
      </w:r>
      <w:r w:rsidR="00ED0724" w:rsidRPr="00614CB0">
        <w:t>Izteikt 14.punktu šādā redakcijā:</w:t>
      </w:r>
    </w:p>
    <w:p w:rsidR="00F145F8" w:rsidRPr="00614CB0" w:rsidRDefault="00ED0724" w:rsidP="00F24DC4">
      <w:pPr>
        <w:ind w:firstLine="720"/>
        <w:jc w:val="both"/>
      </w:pPr>
      <w:r w:rsidRPr="00614CB0">
        <w:t xml:space="preserve">„14. </w:t>
      </w:r>
      <w:r w:rsidR="002C7DBF">
        <w:t xml:space="preserve">Komisijas </w:t>
      </w:r>
      <w:r w:rsidR="00E528BE">
        <w:t xml:space="preserve">priekšsēdētājs </w:t>
      </w:r>
      <w:r w:rsidR="002C7DBF">
        <w:t xml:space="preserve">ne vēlāk kā septiņu dienu laikā pēc </w:t>
      </w:r>
      <w:r w:rsidR="00B50DBC" w:rsidRPr="00614CB0">
        <w:t>sertifikācijas vai atestācijas pārbaudījuma</w:t>
      </w:r>
      <w:r w:rsidR="002C7DBF">
        <w:t xml:space="preserve"> beigām </w:t>
      </w:r>
      <w:r w:rsidR="00B50DBC" w:rsidRPr="00614CB0">
        <w:t>sēdes protokol</w:t>
      </w:r>
      <w:r w:rsidR="00F24DC4" w:rsidRPr="00614CB0">
        <w:t>u</w:t>
      </w:r>
      <w:r w:rsidR="00B50DBC" w:rsidRPr="00614CB0">
        <w:t xml:space="preserve"> </w:t>
      </w:r>
      <w:r w:rsidR="00F24DC4" w:rsidRPr="00614CB0">
        <w:t>un tā pielikumus nodod padomei</w:t>
      </w:r>
      <w:r w:rsidR="002C7DBF">
        <w:t xml:space="preserve">. </w:t>
      </w:r>
      <w:r w:rsidR="00F24DC4" w:rsidRPr="00614CB0">
        <w:t xml:space="preserve">Padome protokolu un tā pielikumus </w:t>
      </w:r>
      <w:r w:rsidR="00F145F8" w:rsidRPr="00614CB0">
        <w:t>glabā piecus gadus no sertifikācijas vai atestācijas pārbaudījuma norises dienas</w:t>
      </w:r>
      <w:r w:rsidR="00F24DC4" w:rsidRPr="00614CB0">
        <w:t>”;</w:t>
      </w:r>
    </w:p>
    <w:p w:rsidR="00362B1B" w:rsidRPr="00614CB0" w:rsidRDefault="00362B1B" w:rsidP="0053071E">
      <w:pPr>
        <w:ind w:firstLine="720"/>
        <w:jc w:val="both"/>
      </w:pPr>
    </w:p>
    <w:p w:rsidR="002335BC" w:rsidRDefault="00EC5D1A" w:rsidP="00EC5D1A">
      <w:pPr>
        <w:ind w:firstLine="720"/>
        <w:jc w:val="both"/>
      </w:pPr>
      <w:r>
        <w:t xml:space="preserve">4. </w:t>
      </w:r>
      <w:r w:rsidR="002335BC" w:rsidRPr="00614CB0">
        <w:t>Izteikt 15.punktu šādā redakcijā:</w:t>
      </w:r>
    </w:p>
    <w:p w:rsidR="00614CB0" w:rsidRDefault="00614CB0" w:rsidP="0017410D">
      <w:pPr>
        <w:ind w:left="720"/>
        <w:jc w:val="both"/>
      </w:pPr>
      <w:r>
        <w:t>„15.1.</w:t>
      </w:r>
      <w:r w:rsidR="00CD4902">
        <w:t>mediācijas tiesiskais regulējums</w:t>
      </w:r>
      <w:r w:rsidR="00165CD2">
        <w:t>;”</w:t>
      </w:r>
      <w:r w:rsidR="0017410D">
        <w:t>;</w:t>
      </w:r>
    </w:p>
    <w:p w:rsidR="0017410D" w:rsidRDefault="0017410D" w:rsidP="0017410D">
      <w:pPr>
        <w:ind w:left="720"/>
        <w:jc w:val="both"/>
      </w:pPr>
    </w:p>
    <w:p w:rsidR="00614CB0" w:rsidRDefault="003A2AAE" w:rsidP="00EC5D1A">
      <w:pPr>
        <w:pStyle w:val="Sarakstarindkopa"/>
        <w:numPr>
          <w:ilvl w:val="0"/>
          <w:numId w:val="10"/>
        </w:numPr>
        <w:jc w:val="both"/>
      </w:pPr>
      <w:r>
        <w:t>Aizstāt 17.</w:t>
      </w:r>
      <w:r w:rsidR="00696407">
        <w:t>4</w:t>
      </w:r>
      <w:r>
        <w:t>.apakš</w:t>
      </w:r>
      <w:r w:rsidR="00614CB0">
        <w:t>punktā ciparus „30” ar ciparu „100”;</w:t>
      </w:r>
    </w:p>
    <w:p w:rsidR="00614CB0" w:rsidRDefault="00614CB0" w:rsidP="00614CB0">
      <w:pPr>
        <w:jc w:val="both"/>
      </w:pPr>
    </w:p>
    <w:p w:rsidR="00614CB0" w:rsidRDefault="0063168F" w:rsidP="00EC5D1A">
      <w:pPr>
        <w:pStyle w:val="Sarakstarindkopa"/>
        <w:numPr>
          <w:ilvl w:val="0"/>
          <w:numId w:val="10"/>
        </w:numPr>
        <w:jc w:val="both"/>
      </w:pPr>
      <w:r>
        <w:t>Izteikt 32.3.apakšpunktu šādā redakcijā:</w:t>
      </w:r>
    </w:p>
    <w:p w:rsidR="00614CB0" w:rsidRDefault="002C4EEF" w:rsidP="0063168F">
      <w:pPr>
        <w:ind w:firstLine="720"/>
        <w:jc w:val="both"/>
      </w:pPr>
      <w:r>
        <w:t xml:space="preserve">„32.3. </w:t>
      </w:r>
      <w:r w:rsidR="00AD66E6" w:rsidRPr="00614CB0">
        <w:t xml:space="preserve">trešajā daļā </w:t>
      </w:r>
      <w:r w:rsidR="004F13B4">
        <w:t>izspēlē mediācijas vadīšanu biļetē aprakstītā konkrētā konfliktsituācijā, sākot no biļetē norādītās mediācijas procesa fāzes.</w:t>
      </w:r>
      <w:r>
        <w:t>”;</w:t>
      </w:r>
    </w:p>
    <w:p w:rsidR="00CA18B0" w:rsidRDefault="00CA18B0" w:rsidP="0063168F">
      <w:pPr>
        <w:ind w:firstLine="720"/>
        <w:jc w:val="both"/>
      </w:pPr>
    </w:p>
    <w:p w:rsidR="009B039F" w:rsidRDefault="009E03E0" w:rsidP="009E03E0">
      <w:pPr>
        <w:ind w:firstLine="720"/>
        <w:jc w:val="both"/>
      </w:pPr>
      <w:r>
        <w:t xml:space="preserve">7. </w:t>
      </w:r>
      <w:r w:rsidR="001400E8" w:rsidRPr="00614CB0">
        <w:t>Aizstāt 43.punktā vārdus „četras balle</w:t>
      </w:r>
      <w:r w:rsidR="00D1482E">
        <w:t>s” ar vārdiem „septiņas balles”</w:t>
      </w:r>
      <w:r w:rsidR="004F13B4">
        <w:t xml:space="preserve"> attiecīgajā locījumā</w:t>
      </w:r>
      <w:r w:rsidR="00D1482E">
        <w:t>;</w:t>
      </w:r>
    </w:p>
    <w:p w:rsidR="009B039F" w:rsidRDefault="009B039F" w:rsidP="009B039F">
      <w:pPr>
        <w:jc w:val="both"/>
      </w:pPr>
    </w:p>
    <w:p w:rsidR="002C4EEF" w:rsidRDefault="009E03E0" w:rsidP="00F778C3">
      <w:pPr>
        <w:ind w:firstLine="720"/>
        <w:jc w:val="both"/>
      </w:pPr>
      <w:r>
        <w:t xml:space="preserve">8. </w:t>
      </w:r>
      <w:r w:rsidR="002C4EEF">
        <w:t xml:space="preserve">Aizstāt 50.punktā skaitli un vārdu „1.pielikums” ar skaitli un vārdu </w:t>
      </w:r>
      <w:r>
        <w:t>„1.¹pielikums”;</w:t>
      </w:r>
    </w:p>
    <w:p w:rsidR="00EC5D1A" w:rsidRDefault="00EC5D1A" w:rsidP="00EC5D1A">
      <w:pPr>
        <w:pStyle w:val="Sarakstarindkopa"/>
      </w:pPr>
    </w:p>
    <w:p w:rsidR="008014C5" w:rsidRDefault="00F778C3" w:rsidP="008B0941">
      <w:pPr>
        <w:ind w:firstLine="720"/>
        <w:jc w:val="both"/>
      </w:pPr>
      <w:r>
        <w:t>9</w:t>
      </w:r>
      <w:r w:rsidR="009E03E0">
        <w:t>.</w:t>
      </w:r>
      <w:r w:rsidR="00893214">
        <w:t xml:space="preserve"> </w:t>
      </w:r>
      <w:r w:rsidR="00D1482E">
        <w:t>Aizstāt 52.punktā vārdus „četras balles” ar vārdiem „septiņas balles”</w:t>
      </w:r>
      <w:r w:rsidR="009E03E0">
        <w:t xml:space="preserve"> attiecīgajā locījumā;</w:t>
      </w:r>
    </w:p>
    <w:p w:rsidR="007028F4" w:rsidRDefault="007028F4" w:rsidP="00F778C3">
      <w:pPr>
        <w:ind w:firstLine="720"/>
        <w:jc w:val="both"/>
      </w:pPr>
    </w:p>
    <w:p w:rsidR="003F019B" w:rsidRDefault="00F778C3" w:rsidP="00F778C3">
      <w:pPr>
        <w:ind w:firstLine="720"/>
        <w:jc w:val="both"/>
      </w:pPr>
      <w:r>
        <w:t xml:space="preserve">10. </w:t>
      </w:r>
      <w:r w:rsidR="003F019B">
        <w:t>Svītrot 54.punktu</w:t>
      </w:r>
      <w:r>
        <w:t>;</w:t>
      </w:r>
    </w:p>
    <w:p w:rsidR="00EC5D1A" w:rsidRDefault="00EC5D1A" w:rsidP="00EC5D1A">
      <w:pPr>
        <w:pStyle w:val="Sarakstarindkopa"/>
      </w:pPr>
    </w:p>
    <w:p w:rsidR="002834D7" w:rsidRDefault="00F778C3" w:rsidP="00F778C3">
      <w:pPr>
        <w:ind w:firstLine="720"/>
        <w:jc w:val="both"/>
      </w:pPr>
      <w:r>
        <w:lastRenderedPageBreak/>
        <w:t xml:space="preserve">11. </w:t>
      </w:r>
      <w:r w:rsidR="002834D7">
        <w:t>Izteikt 55.punktu šādā redakcijā:</w:t>
      </w:r>
    </w:p>
    <w:p w:rsidR="003A2AAE" w:rsidRDefault="002834D7" w:rsidP="002834D7">
      <w:pPr>
        <w:ind w:firstLine="720"/>
        <w:jc w:val="both"/>
      </w:pPr>
      <w:r>
        <w:t>„55.</w:t>
      </w:r>
      <w:r w:rsidR="003F019B">
        <w:t xml:space="preserve"> K</w:t>
      </w:r>
      <w:r>
        <w:t>omisijas priekšsēdētājs</w:t>
      </w:r>
      <w:r w:rsidR="00893214">
        <w:t xml:space="preserve"> pēc </w:t>
      </w:r>
      <w:r w:rsidR="00F778C3">
        <w:t>sertifikācijas pārbaudījuma beigām</w:t>
      </w:r>
      <w:r>
        <w:t xml:space="preserve"> ne vēlāk kā triju darbadienu laikā iesniedz padomei atzinumu par kandidātu sertifikācijas pārbaudījuma rezultātiem.”;</w:t>
      </w:r>
    </w:p>
    <w:p w:rsidR="00EC5D1A" w:rsidRDefault="00EC5D1A" w:rsidP="002834D7">
      <w:pPr>
        <w:ind w:firstLine="720"/>
        <w:jc w:val="both"/>
      </w:pPr>
    </w:p>
    <w:p w:rsidR="003A2AAE" w:rsidRPr="003A2AAE" w:rsidRDefault="00F778C3" w:rsidP="00F778C3">
      <w:pPr>
        <w:ind w:firstLine="720"/>
        <w:jc w:val="both"/>
      </w:pPr>
      <w:r>
        <w:t xml:space="preserve">12. </w:t>
      </w:r>
      <w:r w:rsidR="003A2AAE" w:rsidRPr="003A2AAE">
        <w:t>Izteikt 73.punktu šādā redakcijā:</w:t>
      </w:r>
    </w:p>
    <w:p w:rsidR="001400E8" w:rsidRDefault="003A2AAE" w:rsidP="003A2AAE">
      <w:pPr>
        <w:ind w:firstLine="720"/>
        <w:jc w:val="both"/>
      </w:pPr>
      <w:r w:rsidRPr="003A2AAE">
        <w:t>„73. Ja sertificēts mediators attaisnojošu iemeslu dēļ neierodas uz atestācijas pārbaudījumu, viņam ir tiesības kārtot pārbaudījumu citā padomes norādītajā laikā. Pārbaudījuma maksa atkārtoti nav jāmaksā. Par to, vai neierašanās iemesli atzīstami par attaisnojošiem, lemj padome.</w:t>
      </w:r>
      <w:r w:rsidR="00023A9A">
        <w:t>”;</w:t>
      </w:r>
      <w:r w:rsidRPr="003A2AAE">
        <w:t xml:space="preserve"> </w:t>
      </w:r>
    </w:p>
    <w:p w:rsidR="00CF07AF" w:rsidRPr="00AC5A7B" w:rsidRDefault="00CF07AF" w:rsidP="003A2AAE">
      <w:pPr>
        <w:ind w:firstLine="720"/>
        <w:jc w:val="both"/>
      </w:pPr>
    </w:p>
    <w:p w:rsidR="00CF07AF" w:rsidRPr="00AC5A7B" w:rsidRDefault="00CF07AF" w:rsidP="003A2AAE">
      <w:pPr>
        <w:ind w:firstLine="720"/>
        <w:jc w:val="both"/>
      </w:pPr>
      <w:r w:rsidRPr="00AC5A7B">
        <w:t xml:space="preserve">13. Papildināt </w:t>
      </w:r>
      <w:r w:rsidR="00AC5A7B" w:rsidRPr="00AC5A7B">
        <w:t>noslēguma jautājumus</w:t>
      </w:r>
      <w:r w:rsidRPr="00AC5A7B">
        <w:t xml:space="preserve"> ar </w:t>
      </w:r>
      <w:r w:rsidR="00AC5A7B" w:rsidRPr="00AC5A7B">
        <w:t>93.</w:t>
      </w:r>
      <w:r w:rsidRPr="00AC5A7B">
        <w:t>punktu šādā redakcijā:</w:t>
      </w:r>
    </w:p>
    <w:p w:rsidR="00AC5A7B" w:rsidRPr="00AC5A7B" w:rsidRDefault="00AC5A7B" w:rsidP="003A2AAE">
      <w:pPr>
        <w:ind w:firstLine="720"/>
        <w:jc w:val="both"/>
      </w:pPr>
      <w:r w:rsidRPr="00AC5A7B">
        <w:t>„93. Grozījumi 17.</w:t>
      </w:r>
      <w:r w:rsidR="00696407">
        <w:t>4</w:t>
      </w:r>
      <w:r w:rsidRPr="00AC5A7B">
        <w:t>.apakšpunktā stājās spēkā 2016.gada 1.septembrī</w:t>
      </w:r>
      <w:r w:rsidR="009D20E2">
        <w:t>.</w:t>
      </w:r>
      <w:r w:rsidRPr="00AC5A7B">
        <w:t>”.</w:t>
      </w:r>
    </w:p>
    <w:p w:rsidR="003A2AAE" w:rsidRDefault="003A2AAE" w:rsidP="00920D64">
      <w:pPr>
        <w:jc w:val="both"/>
        <w:rPr>
          <w:color w:val="000000"/>
        </w:rPr>
      </w:pPr>
    </w:p>
    <w:p w:rsidR="005F38F4" w:rsidRPr="00F778C3" w:rsidRDefault="00DF449F" w:rsidP="00F778C3">
      <w:pPr>
        <w:ind w:firstLine="720"/>
        <w:jc w:val="both"/>
        <w:rPr>
          <w:color w:val="000000"/>
        </w:rPr>
      </w:pPr>
      <w:r>
        <w:rPr>
          <w:color w:val="000000"/>
        </w:rPr>
        <w:t>14</w:t>
      </w:r>
      <w:r w:rsidR="00F778C3">
        <w:rPr>
          <w:color w:val="000000"/>
        </w:rPr>
        <w:t xml:space="preserve">. </w:t>
      </w:r>
      <w:r w:rsidR="00FB2409" w:rsidRPr="00F778C3">
        <w:rPr>
          <w:color w:val="000000"/>
        </w:rPr>
        <w:t xml:space="preserve">Izteikt 1.pielikumu </w:t>
      </w:r>
      <w:r w:rsidR="009B039F" w:rsidRPr="00F778C3">
        <w:rPr>
          <w:color w:val="000000"/>
        </w:rPr>
        <w:t xml:space="preserve">šādā </w:t>
      </w:r>
      <w:r w:rsidR="00D861F9" w:rsidRPr="00F778C3">
        <w:rPr>
          <w:color w:val="000000"/>
        </w:rPr>
        <w:t>redakcijā:</w:t>
      </w:r>
    </w:p>
    <w:p w:rsidR="00B15486" w:rsidRDefault="00B15486" w:rsidP="00B15486">
      <w:pPr>
        <w:jc w:val="both"/>
        <w:rPr>
          <w:color w:val="000000"/>
        </w:rPr>
      </w:pPr>
    </w:p>
    <w:p w:rsidR="00B15486" w:rsidRPr="00B15486" w:rsidRDefault="006A4394" w:rsidP="00B15486">
      <w:pPr>
        <w:jc w:val="right"/>
      </w:pPr>
      <w:r>
        <w:t>„</w:t>
      </w:r>
      <w:r w:rsidR="00B15486" w:rsidRPr="00B15486">
        <w:t>1.pielikums</w:t>
      </w:r>
    </w:p>
    <w:p w:rsidR="00B15486" w:rsidRPr="00B15486" w:rsidRDefault="00B15486" w:rsidP="00B15486">
      <w:pPr>
        <w:tabs>
          <w:tab w:val="left" w:pos="9975"/>
          <w:tab w:val="right" w:pos="14003"/>
        </w:tabs>
        <w:jc w:val="right"/>
      </w:pPr>
      <w:r w:rsidRPr="00B15486">
        <w:t>Ministru kabineta</w:t>
      </w:r>
    </w:p>
    <w:p w:rsidR="00B15486" w:rsidRPr="00B15486" w:rsidRDefault="00B15486" w:rsidP="00B15486">
      <w:pPr>
        <w:jc w:val="right"/>
      </w:pPr>
      <w:r w:rsidRPr="00B15486">
        <w:t>2014. gada 5.augusta noteikumiem Nr.433</w:t>
      </w:r>
    </w:p>
    <w:p w:rsidR="00B15486" w:rsidRPr="00B15486" w:rsidRDefault="00B15486" w:rsidP="00B15486">
      <w:pPr>
        <w:ind w:right="480"/>
        <w:jc w:val="center"/>
        <w:rPr>
          <w:lang w:eastAsia="en-US"/>
        </w:rPr>
      </w:pPr>
    </w:p>
    <w:p w:rsidR="00B11EA5" w:rsidRPr="00B11EA5" w:rsidRDefault="00B11EA5" w:rsidP="00B11EA5">
      <w:pPr>
        <w:jc w:val="both"/>
        <w:rPr>
          <w:sz w:val="28"/>
          <w:lang w:eastAsia="en-US"/>
        </w:rPr>
      </w:pPr>
    </w:p>
    <w:p w:rsidR="00B11EA5" w:rsidRPr="00B11EA5" w:rsidRDefault="00B11EA5" w:rsidP="00B11EA5">
      <w:pPr>
        <w:ind w:right="480"/>
        <w:jc w:val="center"/>
        <w:rPr>
          <w:b/>
          <w:sz w:val="28"/>
          <w:lang w:eastAsia="en-US"/>
        </w:rPr>
      </w:pPr>
      <w:r w:rsidRPr="00B11EA5">
        <w:rPr>
          <w:b/>
          <w:sz w:val="28"/>
          <w:lang w:eastAsia="en-US"/>
        </w:rPr>
        <w:t xml:space="preserve">Mediatora sertifikācijas pārbaudījuma </w:t>
      </w:r>
      <w:r w:rsidR="00BD50EA">
        <w:rPr>
          <w:b/>
          <w:sz w:val="28"/>
          <w:lang w:eastAsia="en-US"/>
        </w:rPr>
        <w:t xml:space="preserve">otrās daļas </w:t>
      </w:r>
      <w:r w:rsidRPr="00B11EA5">
        <w:rPr>
          <w:b/>
          <w:sz w:val="28"/>
          <w:lang w:eastAsia="en-US"/>
        </w:rPr>
        <w:t>vērtējuma lapa</w:t>
      </w:r>
    </w:p>
    <w:p w:rsidR="00B11EA5" w:rsidRPr="00B11EA5" w:rsidRDefault="00B11EA5" w:rsidP="00B11EA5">
      <w:pPr>
        <w:jc w:val="both"/>
        <w:rPr>
          <w:sz w:val="28"/>
          <w:lang w:eastAsia="en-US"/>
        </w:rPr>
      </w:pPr>
    </w:p>
    <w:p w:rsidR="00B11EA5" w:rsidRPr="00B11EA5" w:rsidRDefault="00B11EA5" w:rsidP="00B11EA5">
      <w:pPr>
        <w:tabs>
          <w:tab w:val="left" w:pos="9072"/>
        </w:tabs>
        <w:jc w:val="both"/>
      </w:pPr>
      <w:r w:rsidRPr="00B11EA5">
        <w:t xml:space="preserve">Pārbaudījuma kārtošanas datums </w:t>
      </w:r>
      <w:r w:rsidRPr="00B11EA5">
        <w:rPr>
          <w:u w:val="single"/>
        </w:rPr>
        <w:tab/>
      </w:r>
    </w:p>
    <w:p w:rsidR="00B11EA5" w:rsidRPr="00B11EA5" w:rsidRDefault="00B11EA5" w:rsidP="00B11EA5">
      <w:pPr>
        <w:jc w:val="both"/>
      </w:pPr>
    </w:p>
    <w:p w:rsidR="00B11EA5" w:rsidRPr="00B11EA5" w:rsidRDefault="00B11EA5" w:rsidP="00B11EA5">
      <w:pPr>
        <w:tabs>
          <w:tab w:val="left" w:pos="4111"/>
          <w:tab w:val="left" w:pos="6521"/>
        </w:tabs>
        <w:jc w:val="both"/>
      </w:pPr>
      <w:r w:rsidRPr="00B11EA5">
        <w:t>Pārbaudījuma otrās daļas biļetes numurs</w:t>
      </w:r>
      <w:r w:rsidRPr="00B11EA5">
        <w:tab/>
      </w:r>
      <w:r w:rsidRPr="00B11EA5">
        <w:rPr>
          <w:u w:val="single"/>
        </w:rPr>
        <w:tab/>
      </w:r>
    </w:p>
    <w:p w:rsidR="00B11EA5" w:rsidRPr="00B11EA5" w:rsidRDefault="00B11EA5" w:rsidP="00B11EA5">
      <w:pPr>
        <w:tabs>
          <w:tab w:val="left" w:pos="4111"/>
          <w:tab w:val="left" w:pos="6521"/>
        </w:tabs>
        <w:jc w:val="both"/>
      </w:pPr>
    </w:p>
    <w:p w:rsidR="00B11EA5" w:rsidRPr="00B11EA5" w:rsidRDefault="00B11EA5" w:rsidP="00B11EA5">
      <w:pPr>
        <w:tabs>
          <w:tab w:val="left" w:pos="9072"/>
        </w:tabs>
        <w:jc w:val="both"/>
      </w:pPr>
      <w:r w:rsidRPr="00B11EA5">
        <w:t xml:space="preserve">Kandidāta vārds un uzvārds </w:t>
      </w:r>
      <w:r w:rsidRPr="00B11EA5">
        <w:rPr>
          <w:u w:val="single"/>
        </w:rPr>
        <w:tab/>
      </w:r>
    </w:p>
    <w:p w:rsidR="00B11EA5" w:rsidRPr="00B11EA5" w:rsidRDefault="00B11EA5" w:rsidP="00B11EA5">
      <w:pPr>
        <w:tabs>
          <w:tab w:val="left" w:pos="9072"/>
        </w:tabs>
        <w:jc w:val="both"/>
      </w:pPr>
    </w:p>
    <w:p w:rsidR="00B11EA5" w:rsidRPr="00B11EA5" w:rsidRDefault="00B11EA5" w:rsidP="00B11EA5">
      <w:pPr>
        <w:tabs>
          <w:tab w:val="left" w:pos="9072"/>
        </w:tabs>
        <w:jc w:val="both"/>
      </w:pPr>
      <w:r w:rsidRPr="00B11EA5">
        <w:t xml:space="preserve">Piezīmes </w:t>
      </w:r>
      <w:r w:rsidRPr="00B11EA5">
        <w:rPr>
          <w:u w:val="single"/>
        </w:rPr>
        <w:tab/>
      </w:r>
    </w:p>
    <w:p w:rsidR="00B11EA5" w:rsidRPr="00B11EA5" w:rsidRDefault="00B11EA5" w:rsidP="00B11EA5">
      <w:pPr>
        <w:tabs>
          <w:tab w:val="left" w:pos="9072"/>
        </w:tabs>
        <w:jc w:val="both"/>
        <w:rPr>
          <w:u w:val="single"/>
        </w:rPr>
      </w:pPr>
      <w:r w:rsidRPr="00B11EA5">
        <w:rPr>
          <w:u w:val="single"/>
        </w:rPr>
        <w:tab/>
      </w:r>
    </w:p>
    <w:p w:rsidR="00B11EA5" w:rsidRPr="00B11EA5" w:rsidRDefault="00B11EA5" w:rsidP="00B11EA5">
      <w:pPr>
        <w:tabs>
          <w:tab w:val="left" w:pos="9072"/>
        </w:tabs>
        <w:jc w:val="both"/>
        <w:rPr>
          <w:u w:val="single"/>
        </w:rPr>
      </w:pPr>
      <w:r w:rsidRPr="00B11EA5">
        <w:rPr>
          <w:u w:val="single"/>
        </w:rPr>
        <w:tab/>
      </w:r>
    </w:p>
    <w:p w:rsidR="00B11EA5" w:rsidRPr="00B11EA5" w:rsidRDefault="00B11EA5" w:rsidP="00B11EA5">
      <w:pPr>
        <w:tabs>
          <w:tab w:val="left" w:pos="9072"/>
        </w:tabs>
        <w:jc w:val="both"/>
        <w:rPr>
          <w:b/>
          <w:sz w:val="22"/>
        </w:rPr>
      </w:pPr>
      <w:r w:rsidRPr="00B11EA5">
        <w:rPr>
          <w:u w:val="single"/>
        </w:rPr>
        <w:tab/>
      </w:r>
    </w:p>
    <w:p w:rsidR="00B11EA5" w:rsidRPr="00B11EA5" w:rsidRDefault="00B11EA5" w:rsidP="00B11EA5">
      <w:pPr>
        <w:jc w:val="both"/>
        <w:rPr>
          <w:sz w:val="28"/>
        </w:rPr>
      </w:pPr>
    </w:p>
    <w:p w:rsidR="00B11EA5" w:rsidRPr="00B11EA5" w:rsidRDefault="00B11EA5" w:rsidP="00B11EA5">
      <w:pPr>
        <w:jc w:val="both"/>
      </w:pPr>
    </w:p>
    <w:tbl>
      <w:tblPr>
        <w:tblW w:w="5292" w:type="pct"/>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1717"/>
        <w:gridCol w:w="1276"/>
        <w:gridCol w:w="1985"/>
        <w:gridCol w:w="4654"/>
      </w:tblGrid>
      <w:tr w:rsidR="00B11EA5" w:rsidRPr="00B11EA5" w:rsidTr="00F778C3">
        <w:trPr>
          <w:trHeight w:val="60"/>
        </w:trPr>
        <w:tc>
          <w:tcPr>
            <w:tcW w:w="891" w:type="pct"/>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B11EA5" w:rsidRPr="00B11EA5" w:rsidRDefault="00B11EA5" w:rsidP="00B11EA5"/>
        </w:tc>
        <w:tc>
          <w:tcPr>
            <w:tcW w:w="662"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B11EA5" w:rsidRPr="00B11EA5" w:rsidRDefault="00B11EA5" w:rsidP="00B11EA5">
            <w:r>
              <w:t>Uzdevumi</w:t>
            </w:r>
          </w:p>
        </w:tc>
        <w:tc>
          <w:tcPr>
            <w:tcW w:w="1030" w:type="pct"/>
            <w:tcBorders>
              <w:top w:val="outset" w:sz="6" w:space="0" w:color="000000"/>
              <w:left w:val="single" w:sz="4" w:space="0" w:color="auto"/>
              <w:bottom w:val="outset" w:sz="6" w:space="0" w:color="000000"/>
              <w:right w:val="outset" w:sz="6" w:space="0" w:color="auto"/>
            </w:tcBorders>
            <w:tcMar>
              <w:top w:w="15" w:type="dxa"/>
              <w:left w:w="15" w:type="dxa"/>
              <w:bottom w:w="15" w:type="dxa"/>
              <w:right w:w="15" w:type="dxa"/>
            </w:tcMar>
            <w:vAlign w:val="center"/>
          </w:tcPr>
          <w:p w:rsidR="00B11EA5" w:rsidRDefault="00B11EA5" w:rsidP="00B11EA5">
            <w:pPr>
              <w:jc w:val="center"/>
            </w:pPr>
          </w:p>
          <w:p w:rsidR="00B11EA5" w:rsidRDefault="00B11EA5" w:rsidP="00B11EA5">
            <w:pPr>
              <w:jc w:val="center"/>
            </w:pPr>
            <w:r>
              <w:t>Vērtējums</w:t>
            </w:r>
          </w:p>
          <w:p w:rsidR="00B11EA5" w:rsidRPr="00B11EA5" w:rsidRDefault="00B11EA5" w:rsidP="00B11EA5">
            <w:pPr>
              <w:jc w:val="center"/>
            </w:pPr>
          </w:p>
        </w:tc>
        <w:tc>
          <w:tcPr>
            <w:tcW w:w="2416" w:type="pct"/>
            <w:tcBorders>
              <w:top w:val="outset" w:sz="6" w:space="0" w:color="000000"/>
              <w:left w:val="outset" w:sz="6" w:space="0" w:color="auto"/>
              <w:bottom w:val="outset" w:sz="6" w:space="0" w:color="000000"/>
              <w:right w:val="outset" w:sz="6" w:space="0" w:color="000000"/>
            </w:tcBorders>
            <w:tcMar>
              <w:top w:w="15" w:type="dxa"/>
              <w:left w:w="15" w:type="dxa"/>
              <w:bottom w:w="15" w:type="dxa"/>
              <w:right w:w="15" w:type="dxa"/>
            </w:tcMar>
            <w:vAlign w:val="center"/>
          </w:tcPr>
          <w:p w:rsidR="00B11EA5" w:rsidRPr="00B11EA5" w:rsidRDefault="00B11EA5" w:rsidP="00B11EA5">
            <w:pPr>
              <w:jc w:val="center"/>
            </w:pPr>
            <w:r>
              <w:t>Piezīmes</w:t>
            </w:r>
          </w:p>
        </w:tc>
      </w:tr>
      <w:tr w:rsidR="00BD50EA" w:rsidRPr="00B11EA5" w:rsidTr="00F778C3">
        <w:trPr>
          <w:trHeight w:val="60"/>
        </w:trPr>
        <w:tc>
          <w:tcPr>
            <w:tcW w:w="1553"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D50EA" w:rsidRDefault="00BD50EA" w:rsidP="00F778C3">
            <w:pPr>
              <w:jc w:val="both"/>
            </w:pPr>
            <w:r>
              <w:t xml:space="preserve">    1.jautājums</w:t>
            </w:r>
          </w:p>
          <w:p w:rsidR="00BD50EA" w:rsidRPr="00B11EA5" w:rsidRDefault="00BD50EA" w:rsidP="00F778C3">
            <w:pPr>
              <w:ind w:right="-57"/>
              <w:jc w:val="both"/>
            </w:pPr>
          </w:p>
        </w:tc>
        <w:tc>
          <w:tcPr>
            <w:tcW w:w="1030" w:type="pct"/>
            <w:tcBorders>
              <w:top w:val="outset" w:sz="6" w:space="0" w:color="000000"/>
              <w:left w:val="single" w:sz="4" w:space="0" w:color="auto"/>
              <w:bottom w:val="outset" w:sz="6" w:space="0" w:color="000000"/>
              <w:right w:val="outset" w:sz="6" w:space="0" w:color="auto"/>
            </w:tcBorders>
            <w:tcMar>
              <w:top w:w="15" w:type="dxa"/>
              <w:left w:w="15" w:type="dxa"/>
              <w:bottom w:w="15" w:type="dxa"/>
              <w:right w:w="15" w:type="dxa"/>
            </w:tcMar>
            <w:vAlign w:val="center"/>
          </w:tcPr>
          <w:p w:rsidR="00BD50EA" w:rsidRPr="00B11EA5" w:rsidRDefault="00BD50EA" w:rsidP="00B11EA5">
            <w:pPr>
              <w:ind w:firstLine="339"/>
              <w:jc w:val="center"/>
              <w:rPr>
                <w:b/>
              </w:rPr>
            </w:pPr>
          </w:p>
        </w:tc>
        <w:tc>
          <w:tcPr>
            <w:tcW w:w="2416" w:type="pct"/>
            <w:tcBorders>
              <w:top w:val="outset" w:sz="6" w:space="0" w:color="000000"/>
              <w:left w:val="outset" w:sz="6" w:space="0" w:color="auto"/>
              <w:bottom w:val="outset" w:sz="6" w:space="0" w:color="000000"/>
              <w:right w:val="outset" w:sz="6" w:space="0" w:color="000000"/>
            </w:tcBorders>
            <w:tcMar>
              <w:top w:w="15" w:type="dxa"/>
              <w:left w:w="15" w:type="dxa"/>
              <w:bottom w:w="15" w:type="dxa"/>
              <w:right w:w="15" w:type="dxa"/>
            </w:tcMar>
            <w:vAlign w:val="center"/>
          </w:tcPr>
          <w:p w:rsidR="00BD50EA" w:rsidRPr="00B11EA5" w:rsidRDefault="00BD50EA" w:rsidP="00B11EA5">
            <w:pPr>
              <w:ind w:firstLine="339"/>
              <w:jc w:val="center"/>
              <w:rPr>
                <w:b/>
              </w:rPr>
            </w:pPr>
          </w:p>
        </w:tc>
      </w:tr>
      <w:tr w:rsidR="00BD50EA" w:rsidRPr="00B11EA5" w:rsidTr="00F778C3">
        <w:trPr>
          <w:trHeight w:val="60"/>
        </w:trPr>
        <w:tc>
          <w:tcPr>
            <w:tcW w:w="1553"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D50EA" w:rsidRDefault="00BD50EA" w:rsidP="00F778C3">
            <w:pPr>
              <w:ind w:right="-57"/>
            </w:pPr>
            <w:r>
              <w:t xml:space="preserve">    2.jautājums</w:t>
            </w:r>
          </w:p>
          <w:p w:rsidR="00BD50EA" w:rsidRDefault="00BD50EA" w:rsidP="00F778C3">
            <w:pPr>
              <w:ind w:right="-57"/>
            </w:pPr>
          </w:p>
        </w:tc>
        <w:tc>
          <w:tcPr>
            <w:tcW w:w="1030" w:type="pct"/>
            <w:tcBorders>
              <w:top w:val="outset" w:sz="6" w:space="0" w:color="000000"/>
              <w:left w:val="single" w:sz="4" w:space="0" w:color="auto"/>
              <w:bottom w:val="outset" w:sz="6" w:space="0" w:color="000000"/>
              <w:right w:val="outset" w:sz="6" w:space="0" w:color="auto"/>
            </w:tcBorders>
            <w:tcMar>
              <w:top w:w="15" w:type="dxa"/>
              <w:left w:w="15" w:type="dxa"/>
              <w:bottom w:w="15" w:type="dxa"/>
              <w:right w:w="15" w:type="dxa"/>
            </w:tcMar>
            <w:vAlign w:val="center"/>
          </w:tcPr>
          <w:p w:rsidR="00BD50EA" w:rsidRPr="00B11EA5" w:rsidRDefault="00BD50EA" w:rsidP="00B11EA5">
            <w:pPr>
              <w:ind w:firstLine="339"/>
              <w:jc w:val="center"/>
              <w:rPr>
                <w:b/>
              </w:rPr>
            </w:pPr>
          </w:p>
        </w:tc>
        <w:tc>
          <w:tcPr>
            <w:tcW w:w="2416" w:type="pct"/>
            <w:tcBorders>
              <w:top w:val="outset" w:sz="6" w:space="0" w:color="000000"/>
              <w:left w:val="outset" w:sz="6" w:space="0" w:color="auto"/>
              <w:bottom w:val="outset" w:sz="6" w:space="0" w:color="000000"/>
              <w:right w:val="outset" w:sz="6" w:space="0" w:color="000000"/>
            </w:tcBorders>
            <w:tcMar>
              <w:top w:w="15" w:type="dxa"/>
              <w:left w:w="15" w:type="dxa"/>
              <w:bottom w:w="15" w:type="dxa"/>
              <w:right w:w="15" w:type="dxa"/>
            </w:tcMar>
            <w:vAlign w:val="center"/>
          </w:tcPr>
          <w:p w:rsidR="00BD50EA" w:rsidRPr="00B11EA5" w:rsidRDefault="00BD50EA" w:rsidP="00B11EA5">
            <w:pPr>
              <w:ind w:firstLine="339"/>
              <w:jc w:val="center"/>
              <w:rPr>
                <w:b/>
              </w:rPr>
            </w:pPr>
          </w:p>
        </w:tc>
      </w:tr>
      <w:tr w:rsidR="00BD50EA" w:rsidRPr="00B11EA5" w:rsidTr="00F778C3">
        <w:trPr>
          <w:trHeight w:val="60"/>
        </w:trPr>
        <w:tc>
          <w:tcPr>
            <w:tcW w:w="1553"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D50EA" w:rsidRDefault="00BD50EA" w:rsidP="00F778C3">
            <w:pPr>
              <w:ind w:right="-57"/>
            </w:pPr>
            <w:r>
              <w:t xml:space="preserve">    Kopējais vērtējums</w:t>
            </w:r>
          </w:p>
        </w:tc>
        <w:tc>
          <w:tcPr>
            <w:tcW w:w="1030" w:type="pct"/>
            <w:tcBorders>
              <w:top w:val="outset" w:sz="6" w:space="0" w:color="000000"/>
              <w:left w:val="single" w:sz="4" w:space="0" w:color="auto"/>
              <w:bottom w:val="outset" w:sz="6" w:space="0" w:color="000000"/>
              <w:right w:val="outset" w:sz="6" w:space="0" w:color="auto"/>
            </w:tcBorders>
            <w:tcMar>
              <w:top w:w="15" w:type="dxa"/>
              <w:left w:w="15" w:type="dxa"/>
              <w:bottom w:w="15" w:type="dxa"/>
              <w:right w:w="15" w:type="dxa"/>
            </w:tcMar>
            <w:vAlign w:val="center"/>
          </w:tcPr>
          <w:p w:rsidR="00BD50EA" w:rsidRPr="00B11EA5" w:rsidRDefault="00BD50EA" w:rsidP="00B11EA5">
            <w:pPr>
              <w:ind w:firstLine="339"/>
              <w:jc w:val="center"/>
              <w:rPr>
                <w:b/>
              </w:rPr>
            </w:pPr>
          </w:p>
        </w:tc>
        <w:tc>
          <w:tcPr>
            <w:tcW w:w="2416" w:type="pct"/>
            <w:tcBorders>
              <w:top w:val="outset" w:sz="6" w:space="0" w:color="000000"/>
              <w:left w:val="outset" w:sz="6" w:space="0" w:color="auto"/>
              <w:bottom w:val="outset" w:sz="6" w:space="0" w:color="000000"/>
              <w:right w:val="outset" w:sz="6" w:space="0" w:color="000000"/>
            </w:tcBorders>
            <w:tcMar>
              <w:top w:w="15" w:type="dxa"/>
              <w:left w:w="15" w:type="dxa"/>
              <w:bottom w:w="15" w:type="dxa"/>
              <w:right w:w="15" w:type="dxa"/>
            </w:tcMar>
            <w:vAlign w:val="center"/>
          </w:tcPr>
          <w:p w:rsidR="00BD50EA" w:rsidRPr="00B11EA5" w:rsidRDefault="00BD50EA" w:rsidP="00B11EA5">
            <w:pPr>
              <w:ind w:firstLine="339"/>
              <w:jc w:val="center"/>
              <w:rPr>
                <w:b/>
              </w:rPr>
            </w:pPr>
          </w:p>
        </w:tc>
      </w:tr>
    </w:tbl>
    <w:p w:rsidR="00B11EA5" w:rsidRPr="00B11EA5" w:rsidRDefault="00B11EA5" w:rsidP="00B11EA5">
      <w:pPr>
        <w:rPr>
          <w:sz w:val="28"/>
        </w:rPr>
      </w:pPr>
    </w:p>
    <w:p w:rsidR="00B11EA5" w:rsidRPr="00B11EA5" w:rsidRDefault="00B11EA5" w:rsidP="00B11EA5">
      <w:pPr>
        <w:rPr>
          <w:sz w:val="28"/>
        </w:rPr>
      </w:pPr>
    </w:p>
    <w:p w:rsidR="00B11EA5" w:rsidRPr="00B11EA5" w:rsidRDefault="00B11EA5" w:rsidP="00B11EA5">
      <w:pPr>
        <w:tabs>
          <w:tab w:val="left" w:pos="1843"/>
          <w:tab w:val="left" w:pos="9072"/>
        </w:tabs>
      </w:pPr>
      <w:r w:rsidRPr="00B11EA5">
        <w:t>Komisijas loceklis</w:t>
      </w:r>
      <w:r w:rsidRPr="00B11EA5">
        <w:tab/>
      </w:r>
      <w:r w:rsidRPr="00B11EA5">
        <w:rPr>
          <w:u w:val="single"/>
        </w:rPr>
        <w:tab/>
      </w:r>
    </w:p>
    <w:p w:rsidR="00B11EA5" w:rsidRPr="00B11EA5" w:rsidRDefault="00B11EA5" w:rsidP="00B11EA5">
      <w:pPr>
        <w:tabs>
          <w:tab w:val="left" w:pos="6521"/>
        </w:tabs>
        <w:ind w:firstLine="3969"/>
        <w:rPr>
          <w:sz w:val="20"/>
          <w:szCs w:val="20"/>
          <w:lang w:eastAsia="en-US"/>
        </w:rPr>
      </w:pPr>
      <w:r w:rsidRPr="00B11EA5">
        <w:rPr>
          <w:sz w:val="20"/>
          <w:szCs w:val="20"/>
          <w:lang w:eastAsia="en-US"/>
        </w:rPr>
        <w:t>(</w:t>
      </w:r>
      <w:r w:rsidRPr="00B11EA5">
        <w:rPr>
          <w:sz w:val="20"/>
          <w:szCs w:val="20"/>
        </w:rPr>
        <w:t xml:space="preserve">vārds, uzvārds, </w:t>
      </w:r>
      <w:r w:rsidRPr="00B11EA5">
        <w:rPr>
          <w:sz w:val="20"/>
          <w:szCs w:val="20"/>
          <w:lang w:eastAsia="en-US"/>
        </w:rPr>
        <w:t>paraksts)</w:t>
      </w:r>
      <w:r w:rsidR="006A4394">
        <w:rPr>
          <w:sz w:val="20"/>
          <w:szCs w:val="20"/>
          <w:lang w:eastAsia="en-US"/>
        </w:rPr>
        <w:t>”</w:t>
      </w:r>
    </w:p>
    <w:p w:rsidR="00B11EA5" w:rsidRPr="00B11EA5" w:rsidRDefault="00B11EA5" w:rsidP="00B11EA5">
      <w:pPr>
        <w:tabs>
          <w:tab w:val="left" w:pos="6521"/>
        </w:tabs>
        <w:ind w:firstLine="709"/>
        <w:rPr>
          <w:sz w:val="28"/>
          <w:szCs w:val="28"/>
          <w:lang w:eastAsia="en-US"/>
        </w:rPr>
      </w:pPr>
    </w:p>
    <w:p w:rsidR="009B039F" w:rsidRDefault="009B039F" w:rsidP="008014C5">
      <w:pPr>
        <w:jc w:val="both"/>
        <w:rPr>
          <w:color w:val="000000"/>
        </w:rPr>
      </w:pPr>
    </w:p>
    <w:p w:rsidR="00B15486" w:rsidRPr="009B039F" w:rsidRDefault="009B039F" w:rsidP="009B039F">
      <w:pPr>
        <w:ind w:firstLine="720"/>
        <w:jc w:val="both"/>
        <w:rPr>
          <w:color w:val="000000"/>
        </w:rPr>
      </w:pPr>
      <w:r>
        <w:rPr>
          <w:color w:val="000000"/>
        </w:rPr>
        <w:t xml:space="preserve">15. Papildināt noteikumus ar jaunu </w:t>
      </w:r>
      <w:r w:rsidR="008014C5">
        <w:rPr>
          <w:color w:val="000000"/>
        </w:rPr>
        <w:t>1</w:t>
      </w:r>
      <w:r w:rsidRPr="009B039F">
        <w:rPr>
          <w:color w:val="000000"/>
        </w:rPr>
        <w:t>.</w:t>
      </w:r>
      <w:r w:rsidR="008014C5">
        <w:rPr>
          <w:color w:val="000000"/>
        </w:rPr>
        <w:t>¹</w:t>
      </w:r>
      <w:r w:rsidRPr="009B039F">
        <w:rPr>
          <w:color w:val="000000"/>
        </w:rPr>
        <w:t>pielikumu šādā redakcijā</w:t>
      </w:r>
    </w:p>
    <w:p w:rsidR="006A4394" w:rsidRDefault="006A4394" w:rsidP="00B15486">
      <w:pPr>
        <w:jc w:val="right"/>
      </w:pPr>
    </w:p>
    <w:p w:rsidR="00B15486" w:rsidRPr="00B15486" w:rsidRDefault="00B15486" w:rsidP="00B15486">
      <w:pPr>
        <w:jc w:val="right"/>
      </w:pPr>
      <w:r>
        <w:t>„</w:t>
      </w:r>
      <w:r w:rsidR="008014C5" w:rsidRPr="008014C5">
        <w:t>1.¹</w:t>
      </w:r>
      <w:r w:rsidRPr="00B15486">
        <w:t>pielikums</w:t>
      </w:r>
    </w:p>
    <w:p w:rsidR="00B15486" w:rsidRPr="00B15486" w:rsidRDefault="00B15486" w:rsidP="00B15486">
      <w:pPr>
        <w:tabs>
          <w:tab w:val="left" w:pos="9975"/>
          <w:tab w:val="right" w:pos="14003"/>
        </w:tabs>
        <w:jc w:val="right"/>
      </w:pPr>
      <w:r w:rsidRPr="00B15486">
        <w:t>Ministru kabineta</w:t>
      </w:r>
    </w:p>
    <w:p w:rsidR="00B15486" w:rsidRPr="00B15486" w:rsidRDefault="00B15486" w:rsidP="00B15486">
      <w:pPr>
        <w:jc w:val="right"/>
      </w:pPr>
      <w:r w:rsidRPr="00B15486">
        <w:t>2014. gada 5.augusta noteikumiem Nr.433</w:t>
      </w:r>
    </w:p>
    <w:p w:rsidR="00B15486" w:rsidRPr="00B15486" w:rsidRDefault="00B15486" w:rsidP="00B15486">
      <w:pPr>
        <w:ind w:right="480"/>
        <w:jc w:val="center"/>
        <w:rPr>
          <w:lang w:eastAsia="en-US"/>
        </w:rPr>
      </w:pPr>
    </w:p>
    <w:p w:rsidR="0048448C" w:rsidRPr="00B11EA5" w:rsidRDefault="0048448C" w:rsidP="0048448C">
      <w:pPr>
        <w:jc w:val="both"/>
        <w:rPr>
          <w:sz w:val="28"/>
          <w:lang w:eastAsia="en-US"/>
        </w:rPr>
      </w:pPr>
    </w:p>
    <w:p w:rsidR="0048448C" w:rsidRPr="00B11EA5" w:rsidRDefault="0048448C" w:rsidP="0048448C">
      <w:pPr>
        <w:ind w:right="480"/>
        <w:jc w:val="center"/>
        <w:rPr>
          <w:b/>
          <w:sz w:val="28"/>
          <w:lang w:eastAsia="en-US"/>
        </w:rPr>
      </w:pPr>
      <w:r w:rsidRPr="00B11EA5">
        <w:rPr>
          <w:b/>
          <w:sz w:val="28"/>
          <w:lang w:eastAsia="en-US"/>
        </w:rPr>
        <w:t>Mediatora sertifikācijas pārbaudījuma</w:t>
      </w:r>
      <w:r w:rsidR="00BD50EA">
        <w:rPr>
          <w:b/>
          <w:sz w:val="28"/>
          <w:lang w:eastAsia="en-US"/>
        </w:rPr>
        <w:t xml:space="preserve"> trešās daļas</w:t>
      </w:r>
      <w:r w:rsidRPr="00B11EA5">
        <w:rPr>
          <w:b/>
          <w:sz w:val="28"/>
          <w:lang w:eastAsia="en-US"/>
        </w:rPr>
        <w:t xml:space="preserve"> vērtējuma lapa</w:t>
      </w:r>
    </w:p>
    <w:p w:rsidR="0048448C" w:rsidRPr="00B11EA5" w:rsidRDefault="0048448C" w:rsidP="0048448C">
      <w:pPr>
        <w:jc w:val="both"/>
        <w:rPr>
          <w:sz w:val="28"/>
          <w:lang w:eastAsia="en-US"/>
        </w:rPr>
      </w:pPr>
    </w:p>
    <w:p w:rsidR="0048448C" w:rsidRPr="00B11EA5" w:rsidRDefault="0048448C" w:rsidP="0048448C">
      <w:pPr>
        <w:tabs>
          <w:tab w:val="left" w:pos="9072"/>
        </w:tabs>
        <w:jc w:val="both"/>
      </w:pPr>
      <w:r w:rsidRPr="00B11EA5">
        <w:t xml:space="preserve">Pārbaudījuma kārtošanas datums </w:t>
      </w:r>
      <w:r w:rsidRPr="00B11EA5">
        <w:rPr>
          <w:u w:val="single"/>
        </w:rPr>
        <w:tab/>
      </w:r>
    </w:p>
    <w:p w:rsidR="0048448C" w:rsidRPr="00B11EA5" w:rsidRDefault="0048448C" w:rsidP="0048448C">
      <w:pPr>
        <w:jc w:val="both"/>
      </w:pPr>
    </w:p>
    <w:p w:rsidR="0048448C" w:rsidRPr="00B11EA5" w:rsidRDefault="0048448C" w:rsidP="0048448C">
      <w:pPr>
        <w:tabs>
          <w:tab w:val="left" w:pos="4111"/>
          <w:tab w:val="left" w:pos="6521"/>
        </w:tabs>
        <w:jc w:val="both"/>
      </w:pPr>
      <w:r w:rsidRPr="00B11EA5">
        <w:t>Pārbaudījuma trešās daļas biļetes numurs</w:t>
      </w:r>
      <w:r w:rsidRPr="00B11EA5">
        <w:tab/>
      </w:r>
      <w:r w:rsidRPr="00B11EA5">
        <w:rPr>
          <w:u w:val="single"/>
        </w:rPr>
        <w:tab/>
      </w:r>
    </w:p>
    <w:p w:rsidR="0048448C" w:rsidRPr="00B11EA5" w:rsidRDefault="0048448C" w:rsidP="0048448C">
      <w:pPr>
        <w:jc w:val="both"/>
      </w:pPr>
    </w:p>
    <w:p w:rsidR="0048448C" w:rsidRPr="00B11EA5" w:rsidRDefault="0048448C" w:rsidP="0048448C">
      <w:pPr>
        <w:tabs>
          <w:tab w:val="left" w:pos="9072"/>
        </w:tabs>
        <w:jc w:val="both"/>
      </w:pPr>
      <w:r w:rsidRPr="00B11EA5">
        <w:t xml:space="preserve">Kandidāta vārds un uzvārds </w:t>
      </w:r>
      <w:r w:rsidRPr="00B11EA5">
        <w:rPr>
          <w:u w:val="single"/>
        </w:rPr>
        <w:tab/>
      </w:r>
    </w:p>
    <w:p w:rsidR="0048448C" w:rsidRPr="00B11EA5" w:rsidRDefault="0048448C" w:rsidP="0048448C">
      <w:pPr>
        <w:tabs>
          <w:tab w:val="left" w:pos="9072"/>
        </w:tabs>
        <w:jc w:val="both"/>
      </w:pPr>
    </w:p>
    <w:p w:rsidR="0048448C" w:rsidRPr="00B11EA5" w:rsidRDefault="0048448C" w:rsidP="0048448C">
      <w:pPr>
        <w:tabs>
          <w:tab w:val="left" w:pos="9072"/>
        </w:tabs>
        <w:jc w:val="both"/>
      </w:pPr>
      <w:r w:rsidRPr="00B11EA5">
        <w:t xml:space="preserve">Piezīmes </w:t>
      </w:r>
      <w:r w:rsidRPr="00B11EA5">
        <w:rPr>
          <w:u w:val="single"/>
        </w:rPr>
        <w:tab/>
      </w:r>
    </w:p>
    <w:p w:rsidR="0048448C" w:rsidRPr="00B11EA5" w:rsidRDefault="0048448C" w:rsidP="0048448C">
      <w:pPr>
        <w:tabs>
          <w:tab w:val="left" w:pos="9072"/>
        </w:tabs>
        <w:jc w:val="both"/>
        <w:rPr>
          <w:u w:val="single"/>
        </w:rPr>
      </w:pPr>
      <w:r w:rsidRPr="00B11EA5">
        <w:rPr>
          <w:u w:val="single"/>
        </w:rPr>
        <w:tab/>
      </w:r>
    </w:p>
    <w:p w:rsidR="0048448C" w:rsidRPr="00B11EA5" w:rsidRDefault="0048448C" w:rsidP="0048448C">
      <w:pPr>
        <w:tabs>
          <w:tab w:val="left" w:pos="9072"/>
        </w:tabs>
        <w:jc w:val="both"/>
        <w:rPr>
          <w:u w:val="single"/>
        </w:rPr>
      </w:pPr>
      <w:r w:rsidRPr="00B11EA5">
        <w:rPr>
          <w:u w:val="single"/>
        </w:rPr>
        <w:tab/>
      </w:r>
    </w:p>
    <w:p w:rsidR="0048448C" w:rsidRPr="00B11EA5" w:rsidRDefault="0048448C" w:rsidP="0048448C">
      <w:pPr>
        <w:tabs>
          <w:tab w:val="left" w:pos="9072"/>
        </w:tabs>
        <w:jc w:val="both"/>
        <w:rPr>
          <w:b/>
          <w:sz w:val="22"/>
        </w:rPr>
      </w:pPr>
      <w:r w:rsidRPr="00B11EA5">
        <w:rPr>
          <w:u w:val="single"/>
        </w:rPr>
        <w:tab/>
      </w:r>
    </w:p>
    <w:p w:rsidR="0048448C" w:rsidRPr="00B11EA5" w:rsidRDefault="0048448C" w:rsidP="0048448C">
      <w:pPr>
        <w:jc w:val="both"/>
        <w:rPr>
          <w:sz w:val="28"/>
        </w:rPr>
      </w:pPr>
    </w:p>
    <w:p w:rsidR="0048448C" w:rsidRPr="00B11EA5" w:rsidRDefault="0048448C" w:rsidP="0048448C">
      <w:pPr>
        <w:jc w:val="both"/>
      </w:pPr>
    </w:p>
    <w:tbl>
      <w:tblPr>
        <w:tblW w:w="4992" w:type="pct"/>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3702"/>
        <w:gridCol w:w="5384"/>
      </w:tblGrid>
      <w:tr w:rsidR="00E528BE" w:rsidRPr="00B11EA5" w:rsidTr="004E1598">
        <w:trPr>
          <w:trHeight w:val="598"/>
        </w:trPr>
        <w:tc>
          <w:tcPr>
            <w:tcW w:w="2037" w:type="pct"/>
            <w:tcBorders>
              <w:top w:val="outset" w:sz="6" w:space="0" w:color="000000"/>
              <w:left w:val="single" w:sz="4" w:space="0" w:color="auto"/>
              <w:bottom w:val="outset" w:sz="6" w:space="0" w:color="000000"/>
              <w:right w:val="outset" w:sz="6" w:space="0" w:color="auto"/>
            </w:tcBorders>
            <w:tcMar>
              <w:top w:w="15" w:type="dxa"/>
              <w:left w:w="15" w:type="dxa"/>
              <w:bottom w:w="15" w:type="dxa"/>
              <w:right w:w="15" w:type="dxa"/>
            </w:tcMar>
            <w:vAlign w:val="center"/>
          </w:tcPr>
          <w:p w:rsidR="00E528BE" w:rsidRDefault="00E528BE" w:rsidP="00C017C5">
            <w:pPr>
              <w:jc w:val="center"/>
            </w:pPr>
          </w:p>
          <w:p w:rsidR="00E528BE" w:rsidRDefault="00E528BE" w:rsidP="00C017C5">
            <w:pPr>
              <w:jc w:val="center"/>
            </w:pPr>
            <w:r>
              <w:t>Vērtējums</w:t>
            </w:r>
          </w:p>
          <w:p w:rsidR="00E528BE" w:rsidRPr="00B11EA5" w:rsidRDefault="00E528BE" w:rsidP="00C017C5">
            <w:pPr>
              <w:jc w:val="center"/>
            </w:pPr>
          </w:p>
        </w:tc>
        <w:tc>
          <w:tcPr>
            <w:tcW w:w="2963" w:type="pct"/>
            <w:tcBorders>
              <w:top w:val="outset" w:sz="6" w:space="0" w:color="000000"/>
              <w:left w:val="outset" w:sz="6" w:space="0" w:color="auto"/>
              <w:bottom w:val="outset" w:sz="6" w:space="0" w:color="000000"/>
              <w:right w:val="outset" w:sz="6" w:space="0" w:color="000000"/>
            </w:tcBorders>
            <w:tcMar>
              <w:top w:w="15" w:type="dxa"/>
              <w:left w:w="15" w:type="dxa"/>
              <w:bottom w:w="15" w:type="dxa"/>
              <w:right w:w="15" w:type="dxa"/>
            </w:tcMar>
            <w:vAlign w:val="center"/>
          </w:tcPr>
          <w:p w:rsidR="00E528BE" w:rsidRPr="00B11EA5" w:rsidRDefault="00E528BE" w:rsidP="00C017C5">
            <w:pPr>
              <w:jc w:val="center"/>
            </w:pPr>
            <w:r>
              <w:t>Piezīmes</w:t>
            </w:r>
          </w:p>
        </w:tc>
      </w:tr>
      <w:tr w:rsidR="00E528BE" w:rsidRPr="00B11EA5" w:rsidTr="004E1598">
        <w:trPr>
          <w:trHeight w:val="60"/>
        </w:trPr>
        <w:tc>
          <w:tcPr>
            <w:tcW w:w="2037" w:type="pct"/>
            <w:tcBorders>
              <w:top w:val="outset" w:sz="6" w:space="0" w:color="000000"/>
              <w:left w:val="single" w:sz="4" w:space="0" w:color="auto"/>
              <w:bottom w:val="outset" w:sz="6" w:space="0" w:color="000000"/>
              <w:right w:val="outset" w:sz="6" w:space="0" w:color="auto"/>
            </w:tcBorders>
            <w:tcMar>
              <w:top w:w="15" w:type="dxa"/>
              <w:left w:w="15" w:type="dxa"/>
              <w:bottom w:w="15" w:type="dxa"/>
              <w:right w:w="15" w:type="dxa"/>
            </w:tcMar>
            <w:vAlign w:val="center"/>
          </w:tcPr>
          <w:p w:rsidR="00E528BE" w:rsidRPr="00B11EA5" w:rsidRDefault="00E528BE" w:rsidP="00C017C5">
            <w:pPr>
              <w:ind w:firstLine="339"/>
              <w:jc w:val="center"/>
              <w:rPr>
                <w:b/>
              </w:rPr>
            </w:pPr>
          </w:p>
        </w:tc>
        <w:tc>
          <w:tcPr>
            <w:tcW w:w="2963" w:type="pct"/>
            <w:tcBorders>
              <w:top w:val="outset" w:sz="6" w:space="0" w:color="000000"/>
              <w:left w:val="outset" w:sz="6" w:space="0" w:color="auto"/>
              <w:bottom w:val="outset" w:sz="6" w:space="0" w:color="000000"/>
              <w:right w:val="outset" w:sz="6" w:space="0" w:color="000000"/>
            </w:tcBorders>
            <w:tcMar>
              <w:top w:w="15" w:type="dxa"/>
              <w:left w:w="15" w:type="dxa"/>
              <w:bottom w:w="15" w:type="dxa"/>
              <w:right w:w="15" w:type="dxa"/>
            </w:tcMar>
            <w:vAlign w:val="center"/>
          </w:tcPr>
          <w:p w:rsidR="00E528BE" w:rsidRPr="00B11EA5" w:rsidRDefault="00E528BE" w:rsidP="00C017C5">
            <w:pPr>
              <w:ind w:firstLine="339"/>
              <w:jc w:val="center"/>
              <w:rPr>
                <w:b/>
              </w:rPr>
            </w:pPr>
          </w:p>
        </w:tc>
      </w:tr>
    </w:tbl>
    <w:p w:rsidR="0048448C" w:rsidRPr="00B11EA5" w:rsidRDefault="0048448C" w:rsidP="0048448C">
      <w:pPr>
        <w:rPr>
          <w:sz w:val="28"/>
        </w:rPr>
      </w:pPr>
    </w:p>
    <w:p w:rsidR="00CA2735" w:rsidRPr="00CA2735" w:rsidRDefault="00CA2735" w:rsidP="00CA2735">
      <w:pPr>
        <w:rPr>
          <w:sz w:val="28"/>
        </w:rPr>
      </w:pPr>
    </w:p>
    <w:p w:rsidR="0048448C" w:rsidRPr="00B11EA5" w:rsidRDefault="0048448C" w:rsidP="0048448C">
      <w:pPr>
        <w:rPr>
          <w:sz w:val="28"/>
        </w:rPr>
      </w:pPr>
    </w:p>
    <w:p w:rsidR="0048448C" w:rsidRPr="00B11EA5" w:rsidRDefault="0048448C" w:rsidP="0048448C">
      <w:pPr>
        <w:tabs>
          <w:tab w:val="left" w:pos="1843"/>
          <w:tab w:val="left" w:pos="9072"/>
        </w:tabs>
      </w:pPr>
      <w:r w:rsidRPr="00B11EA5">
        <w:t>Komisijas loceklis</w:t>
      </w:r>
      <w:r w:rsidRPr="00B11EA5">
        <w:tab/>
      </w:r>
      <w:r w:rsidRPr="00B11EA5">
        <w:rPr>
          <w:u w:val="single"/>
        </w:rPr>
        <w:tab/>
      </w:r>
    </w:p>
    <w:p w:rsidR="0048448C" w:rsidRPr="00B11EA5" w:rsidRDefault="0048448C" w:rsidP="0048448C">
      <w:pPr>
        <w:tabs>
          <w:tab w:val="left" w:pos="6521"/>
        </w:tabs>
        <w:ind w:firstLine="3969"/>
        <w:rPr>
          <w:sz w:val="20"/>
          <w:szCs w:val="20"/>
          <w:lang w:eastAsia="en-US"/>
        </w:rPr>
      </w:pPr>
      <w:r w:rsidRPr="00B11EA5">
        <w:rPr>
          <w:sz w:val="20"/>
          <w:szCs w:val="20"/>
          <w:lang w:eastAsia="en-US"/>
        </w:rPr>
        <w:t>(</w:t>
      </w:r>
      <w:r w:rsidRPr="00B11EA5">
        <w:rPr>
          <w:sz w:val="20"/>
          <w:szCs w:val="20"/>
        </w:rPr>
        <w:t xml:space="preserve">vārds, uzvārds, </w:t>
      </w:r>
      <w:r w:rsidRPr="00B11EA5">
        <w:rPr>
          <w:sz w:val="20"/>
          <w:szCs w:val="20"/>
          <w:lang w:eastAsia="en-US"/>
        </w:rPr>
        <w:t>paraksts)</w:t>
      </w:r>
      <w:r w:rsidR="006A4394">
        <w:rPr>
          <w:sz w:val="20"/>
          <w:szCs w:val="20"/>
          <w:lang w:eastAsia="en-US"/>
        </w:rPr>
        <w:t>”</w:t>
      </w:r>
    </w:p>
    <w:p w:rsidR="00B15486" w:rsidRPr="00B15486" w:rsidRDefault="00B15486" w:rsidP="00B15486">
      <w:pPr>
        <w:jc w:val="both"/>
        <w:rPr>
          <w:color w:val="000000"/>
        </w:rPr>
      </w:pPr>
    </w:p>
    <w:p w:rsidR="009B039F" w:rsidRPr="00B15486" w:rsidRDefault="009D20E2" w:rsidP="008014C5">
      <w:pPr>
        <w:ind w:right="480"/>
        <w:rPr>
          <w:lang w:eastAsia="en-US"/>
        </w:rPr>
      </w:pPr>
      <w:r>
        <w:rPr>
          <w:lang w:eastAsia="en-US"/>
        </w:rPr>
        <w:tab/>
        <w:t>16</w:t>
      </w:r>
      <w:r w:rsidR="008014C5">
        <w:rPr>
          <w:lang w:eastAsia="en-US"/>
        </w:rPr>
        <w:t>. Svītrot 3.pielikumu.</w:t>
      </w:r>
    </w:p>
    <w:p w:rsidR="00C42300" w:rsidRDefault="0053275E" w:rsidP="0053275E">
      <w:pPr>
        <w:pStyle w:val="StyleRight"/>
        <w:spacing w:after="0"/>
        <w:ind w:firstLine="0"/>
        <w:jc w:val="both"/>
        <w:rPr>
          <w:sz w:val="24"/>
          <w:szCs w:val="24"/>
        </w:rPr>
      </w:pPr>
      <w:r w:rsidRPr="003840E0">
        <w:rPr>
          <w:sz w:val="24"/>
          <w:szCs w:val="24"/>
        </w:rPr>
        <w:tab/>
      </w:r>
      <w:r w:rsidRPr="003840E0">
        <w:rPr>
          <w:sz w:val="24"/>
          <w:szCs w:val="24"/>
        </w:rPr>
        <w:tab/>
      </w:r>
      <w:r w:rsidRPr="003840E0">
        <w:rPr>
          <w:sz w:val="24"/>
          <w:szCs w:val="24"/>
        </w:rPr>
        <w:tab/>
      </w:r>
    </w:p>
    <w:p w:rsidR="0053275E" w:rsidRPr="003840E0" w:rsidRDefault="0053275E" w:rsidP="0053275E">
      <w:pPr>
        <w:pStyle w:val="StyleRight"/>
        <w:spacing w:after="0"/>
        <w:ind w:firstLine="0"/>
        <w:jc w:val="both"/>
        <w:rPr>
          <w:sz w:val="24"/>
          <w:szCs w:val="24"/>
        </w:rPr>
      </w:pPr>
      <w:r w:rsidRPr="003840E0">
        <w:rPr>
          <w:sz w:val="24"/>
          <w:szCs w:val="24"/>
        </w:rPr>
        <w:tab/>
      </w:r>
      <w:r w:rsidRPr="003840E0">
        <w:rPr>
          <w:sz w:val="24"/>
          <w:szCs w:val="24"/>
        </w:rPr>
        <w:tab/>
      </w:r>
      <w:r>
        <w:rPr>
          <w:sz w:val="24"/>
          <w:szCs w:val="24"/>
        </w:rPr>
        <w:tab/>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04768" w:rsidTr="00404768">
        <w:tc>
          <w:tcPr>
            <w:tcW w:w="4643" w:type="dxa"/>
          </w:tcPr>
          <w:p w:rsidR="00404768" w:rsidRDefault="00404768" w:rsidP="00404768">
            <w:pPr>
              <w:pStyle w:val="StyleRight"/>
              <w:spacing w:after="0"/>
              <w:ind w:firstLine="0"/>
              <w:jc w:val="both"/>
              <w:rPr>
                <w:sz w:val="24"/>
                <w:szCs w:val="24"/>
              </w:rPr>
            </w:pPr>
            <w:r w:rsidRPr="003840E0">
              <w:rPr>
                <w:sz w:val="24"/>
                <w:szCs w:val="24"/>
              </w:rPr>
              <w:t>Ministru prezidente</w:t>
            </w:r>
            <w:r w:rsidRPr="003840E0">
              <w:rPr>
                <w:sz w:val="24"/>
                <w:szCs w:val="24"/>
              </w:rPr>
              <w:tab/>
            </w:r>
          </w:p>
        </w:tc>
        <w:tc>
          <w:tcPr>
            <w:tcW w:w="4644" w:type="dxa"/>
          </w:tcPr>
          <w:p w:rsidR="00404768" w:rsidRDefault="00404768" w:rsidP="00404768">
            <w:pPr>
              <w:pStyle w:val="StyleRight"/>
              <w:spacing w:after="0"/>
              <w:ind w:firstLine="0"/>
              <w:rPr>
                <w:sz w:val="24"/>
                <w:szCs w:val="24"/>
              </w:rPr>
            </w:pPr>
            <w:r w:rsidRPr="003840E0">
              <w:rPr>
                <w:sz w:val="24"/>
                <w:szCs w:val="24"/>
              </w:rPr>
              <w:t>L</w:t>
            </w:r>
            <w:r>
              <w:rPr>
                <w:sz w:val="24"/>
                <w:szCs w:val="24"/>
              </w:rPr>
              <w:t xml:space="preserve">aimdota </w:t>
            </w:r>
            <w:r w:rsidRPr="003840E0">
              <w:rPr>
                <w:sz w:val="24"/>
                <w:szCs w:val="24"/>
              </w:rPr>
              <w:t>Straujuma</w:t>
            </w:r>
          </w:p>
        </w:tc>
      </w:tr>
    </w:tbl>
    <w:p w:rsidR="0053275E" w:rsidRDefault="0053275E" w:rsidP="0053275E">
      <w:pPr>
        <w:pStyle w:val="StyleRight"/>
        <w:spacing w:after="0"/>
        <w:ind w:firstLine="0"/>
        <w:jc w:val="both"/>
        <w:rPr>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04768" w:rsidTr="00404768">
        <w:tc>
          <w:tcPr>
            <w:tcW w:w="4643" w:type="dxa"/>
          </w:tcPr>
          <w:p w:rsidR="00404768" w:rsidRDefault="00404768" w:rsidP="00404768">
            <w:pPr>
              <w:pStyle w:val="StyleRight"/>
              <w:spacing w:after="0"/>
              <w:ind w:firstLine="0"/>
              <w:jc w:val="both"/>
              <w:rPr>
                <w:sz w:val="24"/>
                <w:szCs w:val="24"/>
              </w:rPr>
            </w:pPr>
            <w:r w:rsidRPr="003840E0">
              <w:rPr>
                <w:sz w:val="24"/>
                <w:szCs w:val="24"/>
              </w:rPr>
              <w:t>Tieslietu ministrs</w:t>
            </w:r>
          </w:p>
        </w:tc>
        <w:tc>
          <w:tcPr>
            <w:tcW w:w="4644" w:type="dxa"/>
          </w:tcPr>
          <w:p w:rsidR="00404768" w:rsidRDefault="00404768" w:rsidP="00404768">
            <w:pPr>
              <w:pStyle w:val="StyleRight"/>
              <w:spacing w:after="0"/>
              <w:ind w:firstLine="0"/>
              <w:rPr>
                <w:sz w:val="24"/>
                <w:szCs w:val="24"/>
              </w:rPr>
            </w:pPr>
            <w:r w:rsidRPr="003840E0">
              <w:rPr>
                <w:sz w:val="24"/>
                <w:szCs w:val="24"/>
              </w:rPr>
              <w:t>Dz</w:t>
            </w:r>
            <w:r>
              <w:rPr>
                <w:sz w:val="24"/>
                <w:szCs w:val="24"/>
              </w:rPr>
              <w:t xml:space="preserve">intars </w:t>
            </w:r>
            <w:r w:rsidRPr="003840E0">
              <w:rPr>
                <w:sz w:val="24"/>
                <w:szCs w:val="24"/>
              </w:rPr>
              <w:t>Rasnačs</w:t>
            </w:r>
          </w:p>
        </w:tc>
      </w:tr>
    </w:tbl>
    <w:p w:rsidR="00404768" w:rsidRDefault="0053275E" w:rsidP="0053275E">
      <w:pPr>
        <w:pStyle w:val="StyleRight"/>
        <w:spacing w:after="0"/>
        <w:ind w:firstLine="0"/>
        <w:jc w:val="both"/>
        <w:rPr>
          <w:sz w:val="24"/>
          <w:szCs w:val="24"/>
        </w:rPr>
      </w:pPr>
      <w:r w:rsidRPr="003840E0">
        <w:rPr>
          <w:sz w:val="24"/>
          <w:szCs w:val="24"/>
        </w:rPr>
        <w:tab/>
      </w:r>
      <w:r w:rsidRPr="003840E0">
        <w:rPr>
          <w:sz w:val="24"/>
          <w:szCs w:val="24"/>
        </w:rPr>
        <w:tab/>
      </w:r>
    </w:p>
    <w:p w:rsidR="00C42300" w:rsidRDefault="00C42300" w:rsidP="0053275E">
      <w:pPr>
        <w:pStyle w:val="StyleRight"/>
        <w:spacing w:after="0"/>
        <w:ind w:firstLine="0"/>
        <w:jc w:val="both"/>
        <w:rPr>
          <w:sz w:val="24"/>
          <w:szCs w:val="24"/>
        </w:rPr>
      </w:pPr>
    </w:p>
    <w:p w:rsidR="00C42300" w:rsidRPr="003840E0" w:rsidRDefault="00C42300" w:rsidP="0053275E">
      <w:pPr>
        <w:pStyle w:val="StyleRight"/>
        <w:spacing w:after="0"/>
        <w:ind w:firstLine="0"/>
        <w:jc w:val="both"/>
        <w:rPr>
          <w:sz w:val="24"/>
          <w:szCs w:val="24"/>
        </w:rPr>
      </w:pPr>
      <w:r w:rsidRPr="00C42300">
        <w:rPr>
          <w:sz w:val="24"/>
          <w:szCs w:val="24"/>
        </w:rPr>
        <w:t>Iesniedzējs: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C42300" w:rsidTr="00AF60F3">
        <w:tc>
          <w:tcPr>
            <w:tcW w:w="4643" w:type="dxa"/>
          </w:tcPr>
          <w:p w:rsidR="00C42300" w:rsidRDefault="00C42300" w:rsidP="0053275E">
            <w:pPr>
              <w:pStyle w:val="StyleRight"/>
              <w:spacing w:after="0"/>
              <w:ind w:firstLine="0"/>
              <w:jc w:val="both"/>
              <w:rPr>
                <w:sz w:val="24"/>
                <w:szCs w:val="24"/>
              </w:rPr>
            </w:pPr>
            <w:r w:rsidRPr="00341D89">
              <w:rPr>
                <w:sz w:val="24"/>
                <w:szCs w:val="24"/>
              </w:rPr>
              <w:t>Tieslietu ministrijas valsts sekretārs</w:t>
            </w:r>
          </w:p>
        </w:tc>
        <w:tc>
          <w:tcPr>
            <w:tcW w:w="4644" w:type="dxa"/>
          </w:tcPr>
          <w:p w:rsidR="00C42300" w:rsidRDefault="00C42300" w:rsidP="00C42300">
            <w:pPr>
              <w:pStyle w:val="StyleRight"/>
              <w:spacing w:after="0"/>
              <w:ind w:firstLine="0"/>
              <w:rPr>
                <w:sz w:val="24"/>
                <w:szCs w:val="24"/>
              </w:rPr>
            </w:pPr>
            <w:r>
              <w:rPr>
                <w:sz w:val="24"/>
                <w:szCs w:val="24"/>
              </w:rPr>
              <w:t>R.Kronbergs</w:t>
            </w:r>
          </w:p>
        </w:tc>
      </w:tr>
    </w:tbl>
    <w:p w:rsidR="0053275E" w:rsidRPr="003840E0" w:rsidRDefault="0053275E" w:rsidP="0053275E">
      <w:pPr>
        <w:pStyle w:val="StyleRight"/>
        <w:spacing w:after="0"/>
        <w:ind w:firstLine="0"/>
        <w:jc w:val="both"/>
        <w:rPr>
          <w:sz w:val="24"/>
          <w:szCs w:val="24"/>
        </w:rPr>
      </w:pPr>
      <w:r w:rsidRPr="003840E0">
        <w:rPr>
          <w:sz w:val="24"/>
          <w:szCs w:val="24"/>
        </w:rPr>
        <w:tab/>
      </w:r>
      <w:r w:rsidRPr="003840E0">
        <w:rPr>
          <w:sz w:val="24"/>
          <w:szCs w:val="24"/>
        </w:rPr>
        <w:tab/>
      </w:r>
      <w:r w:rsidRPr="003840E0">
        <w:rPr>
          <w:sz w:val="24"/>
          <w:szCs w:val="24"/>
        </w:rPr>
        <w:tab/>
      </w:r>
      <w:r w:rsidRPr="003840E0">
        <w:rPr>
          <w:sz w:val="24"/>
          <w:szCs w:val="24"/>
        </w:rPr>
        <w:tab/>
      </w:r>
      <w:r w:rsidRPr="003840E0">
        <w:rPr>
          <w:sz w:val="24"/>
          <w:szCs w:val="24"/>
        </w:rPr>
        <w:tab/>
      </w:r>
      <w:r>
        <w:rPr>
          <w:sz w:val="24"/>
          <w:szCs w:val="24"/>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04768" w:rsidTr="00404768">
        <w:tc>
          <w:tcPr>
            <w:tcW w:w="4643" w:type="dxa"/>
          </w:tcPr>
          <w:p w:rsidR="00C42300" w:rsidRDefault="00C42300" w:rsidP="00C42300">
            <w:pPr>
              <w:pStyle w:val="StyleRight"/>
              <w:spacing w:after="0"/>
              <w:ind w:firstLine="0"/>
              <w:jc w:val="both"/>
              <w:rPr>
                <w:sz w:val="24"/>
                <w:szCs w:val="24"/>
              </w:rPr>
            </w:pPr>
          </w:p>
          <w:p w:rsidR="00404768" w:rsidRDefault="00404768" w:rsidP="00C42300">
            <w:pPr>
              <w:pStyle w:val="StyleRight"/>
              <w:spacing w:after="0"/>
              <w:ind w:firstLine="0"/>
              <w:jc w:val="both"/>
              <w:rPr>
                <w:sz w:val="24"/>
                <w:szCs w:val="24"/>
              </w:rPr>
            </w:pPr>
          </w:p>
        </w:tc>
        <w:tc>
          <w:tcPr>
            <w:tcW w:w="4644" w:type="dxa"/>
          </w:tcPr>
          <w:p w:rsidR="00C42300" w:rsidRDefault="00C42300" w:rsidP="00404768">
            <w:pPr>
              <w:pStyle w:val="StyleRight"/>
              <w:spacing w:after="0"/>
              <w:ind w:firstLine="0"/>
              <w:rPr>
                <w:sz w:val="24"/>
                <w:szCs w:val="24"/>
              </w:rPr>
            </w:pPr>
          </w:p>
          <w:p w:rsidR="00404768" w:rsidRDefault="00404768" w:rsidP="00C42300">
            <w:pPr>
              <w:pStyle w:val="StyleRight"/>
              <w:spacing w:after="0"/>
              <w:ind w:firstLine="0"/>
              <w:jc w:val="left"/>
              <w:rPr>
                <w:sz w:val="24"/>
                <w:szCs w:val="24"/>
              </w:rPr>
            </w:pPr>
          </w:p>
        </w:tc>
      </w:tr>
    </w:tbl>
    <w:p w:rsidR="0053275E" w:rsidRPr="008C3EEF" w:rsidRDefault="000E0E9D" w:rsidP="0053275E">
      <w:pPr>
        <w:rPr>
          <w:sz w:val="20"/>
          <w:szCs w:val="20"/>
        </w:rPr>
      </w:pPr>
      <w:r>
        <w:rPr>
          <w:sz w:val="20"/>
          <w:szCs w:val="20"/>
        </w:rPr>
        <w:t>01</w:t>
      </w:r>
      <w:r w:rsidR="009B039F">
        <w:rPr>
          <w:sz w:val="20"/>
          <w:szCs w:val="20"/>
        </w:rPr>
        <w:t>.0</w:t>
      </w:r>
      <w:r>
        <w:rPr>
          <w:sz w:val="20"/>
          <w:szCs w:val="20"/>
        </w:rPr>
        <w:t>6</w:t>
      </w:r>
      <w:r w:rsidR="0053275E" w:rsidRPr="00361E71">
        <w:rPr>
          <w:sz w:val="20"/>
          <w:szCs w:val="20"/>
        </w:rPr>
        <w:t xml:space="preserve">.2015 </w:t>
      </w:r>
      <w:r w:rsidR="009B039F">
        <w:rPr>
          <w:sz w:val="20"/>
          <w:szCs w:val="20"/>
        </w:rPr>
        <w:t>1</w:t>
      </w:r>
      <w:r>
        <w:rPr>
          <w:sz w:val="20"/>
          <w:szCs w:val="20"/>
        </w:rPr>
        <w:t>0</w:t>
      </w:r>
      <w:r w:rsidR="009B039F">
        <w:rPr>
          <w:sz w:val="20"/>
          <w:szCs w:val="20"/>
        </w:rPr>
        <w:t>:</w:t>
      </w:r>
      <w:r>
        <w:rPr>
          <w:sz w:val="20"/>
          <w:szCs w:val="20"/>
        </w:rPr>
        <w:t>49</w:t>
      </w:r>
    </w:p>
    <w:p w:rsidR="0053275E" w:rsidRPr="008C3EEF" w:rsidRDefault="009B039F" w:rsidP="0053275E">
      <w:pPr>
        <w:rPr>
          <w:sz w:val="20"/>
          <w:szCs w:val="20"/>
        </w:rPr>
      </w:pPr>
      <w:r>
        <w:rPr>
          <w:sz w:val="20"/>
          <w:szCs w:val="20"/>
        </w:rPr>
        <w:t>4</w:t>
      </w:r>
      <w:r w:rsidR="000E0E9D">
        <w:rPr>
          <w:sz w:val="20"/>
          <w:szCs w:val="20"/>
        </w:rPr>
        <w:t>14</w:t>
      </w:r>
    </w:p>
    <w:p w:rsidR="0053275E" w:rsidRDefault="009B039F" w:rsidP="0053275E">
      <w:pPr>
        <w:rPr>
          <w:sz w:val="20"/>
          <w:szCs w:val="20"/>
        </w:rPr>
      </w:pPr>
      <w:proofErr w:type="spellStart"/>
      <w:r>
        <w:rPr>
          <w:sz w:val="20"/>
          <w:szCs w:val="20"/>
        </w:rPr>
        <w:t>K.Bajāre-Grīnberga</w:t>
      </w:r>
      <w:proofErr w:type="spellEnd"/>
    </w:p>
    <w:p w:rsidR="0053275E" w:rsidRPr="00404768" w:rsidRDefault="009B039F" w:rsidP="00404768">
      <w:pPr>
        <w:rPr>
          <w:sz w:val="20"/>
          <w:szCs w:val="20"/>
        </w:rPr>
      </w:pPr>
      <w:r>
        <w:rPr>
          <w:sz w:val="20"/>
          <w:szCs w:val="20"/>
        </w:rPr>
        <w:t xml:space="preserve">67036775, </w:t>
      </w:r>
      <w:proofErr w:type="spellStart"/>
      <w:r>
        <w:rPr>
          <w:sz w:val="20"/>
          <w:szCs w:val="20"/>
        </w:rPr>
        <w:t>Kintija.Bajare-Grīnberga@tm.gov.lv</w:t>
      </w:r>
      <w:bookmarkStart w:id="0" w:name="_GoBack"/>
      <w:bookmarkEnd w:id="0"/>
      <w:proofErr w:type="spellEnd"/>
    </w:p>
    <w:sectPr w:rsidR="0053275E" w:rsidRPr="00404768" w:rsidSect="009B039F">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B8C" w:rsidRDefault="008C0B8C" w:rsidP="0053275E">
      <w:r>
        <w:separator/>
      </w:r>
    </w:p>
  </w:endnote>
  <w:endnote w:type="continuationSeparator" w:id="0">
    <w:p w:rsidR="008C0B8C" w:rsidRDefault="008C0B8C" w:rsidP="0053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75E" w:rsidRPr="00404768" w:rsidRDefault="009D20E2" w:rsidP="00404768">
    <w:pPr>
      <w:pStyle w:val="Kjene"/>
      <w:jc w:val="both"/>
      <w:rPr>
        <w:bCs/>
        <w:sz w:val="20"/>
        <w:szCs w:val="20"/>
      </w:rPr>
    </w:pPr>
    <w:r>
      <w:rPr>
        <w:sz w:val="20"/>
        <w:szCs w:val="20"/>
      </w:rPr>
      <w:t>TMNotp_</w:t>
    </w:r>
    <w:r w:rsidR="000E0E9D">
      <w:rPr>
        <w:sz w:val="20"/>
        <w:szCs w:val="20"/>
      </w:rPr>
      <w:t>01</w:t>
    </w:r>
    <w:r w:rsidR="00404768" w:rsidRPr="00404768">
      <w:rPr>
        <w:sz w:val="20"/>
        <w:szCs w:val="20"/>
      </w:rPr>
      <w:t>0</w:t>
    </w:r>
    <w:r w:rsidR="000E0E9D">
      <w:rPr>
        <w:sz w:val="20"/>
        <w:szCs w:val="20"/>
      </w:rPr>
      <w:t>6</w:t>
    </w:r>
    <w:r w:rsidR="00404768" w:rsidRPr="00404768">
      <w:rPr>
        <w:sz w:val="20"/>
        <w:szCs w:val="20"/>
      </w:rPr>
      <w:t>1</w:t>
    </w:r>
    <w:r w:rsidR="000E0E9D">
      <w:rPr>
        <w:sz w:val="20"/>
        <w:szCs w:val="20"/>
      </w:rPr>
      <w:t>5</w:t>
    </w:r>
    <w:r w:rsidR="00404768" w:rsidRPr="00404768">
      <w:rPr>
        <w:sz w:val="20"/>
        <w:szCs w:val="20"/>
      </w:rPr>
      <w:t>_sertifikacija; Ministru kabineta noteikumu projekts</w:t>
    </w:r>
    <w:r w:rsidR="00404768" w:rsidRPr="00404768">
      <w:rPr>
        <w:bCs/>
        <w:sz w:val="20"/>
        <w:szCs w:val="20"/>
      </w:rPr>
      <w:t xml:space="preserve"> „Mediatoru sertifikācijas un atestācijas kārtība”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9F" w:rsidRDefault="009B039F">
    <w:pPr>
      <w:pStyle w:val="Kjene"/>
    </w:pPr>
  </w:p>
  <w:p w:rsidR="009B039F" w:rsidRPr="00404768" w:rsidRDefault="009B039F" w:rsidP="00404768">
    <w:pPr>
      <w:pStyle w:val="Kjene"/>
      <w:jc w:val="both"/>
      <w:rPr>
        <w:bCs/>
        <w:sz w:val="20"/>
        <w:szCs w:val="20"/>
      </w:rPr>
    </w:pPr>
    <w:r w:rsidRPr="00404768">
      <w:rPr>
        <w:sz w:val="20"/>
        <w:szCs w:val="20"/>
      </w:rPr>
      <w:t>TMNotp_</w:t>
    </w:r>
    <w:r w:rsidR="000E0E9D">
      <w:rPr>
        <w:sz w:val="20"/>
        <w:szCs w:val="20"/>
      </w:rPr>
      <w:t>01</w:t>
    </w:r>
    <w:r w:rsidR="00404768" w:rsidRPr="00404768">
      <w:rPr>
        <w:sz w:val="20"/>
        <w:szCs w:val="20"/>
      </w:rPr>
      <w:t>0</w:t>
    </w:r>
    <w:r w:rsidR="000E0E9D">
      <w:rPr>
        <w:sz w:val="20"/>
        <w:szCs w:val="20"/>
      </w:rPr>
      <w:t>6</w:t>
    </w:r>
    <w:r w:rsidRPr="00404768">
      <w:rPr>
        <w:sz w:val="20"/>
        <w:szCs w:val="20"/>
      </w:rPr>
      <w:t>1</w:t>
    </w:r>
    <w:r w:rsidR="004E1598">
      <w:rPr>
        <w:sz w:val="20"/>
        <w:szCs w:val="20"/>
      </w:rPr>
      <w:t>5</w:t>
    </w:r>
    <w:r w:rsidRPr="00404768">
      <w:rPr>
        <w:sz w:val="20"/>
        <w:szCs w:val="20"/>
      </w:rPr>
      <w:t xml:space="preserve">_sertifikacija; </w:t>
    </w:r>
    <w:bookmarkStart w:id="1" w:name="OLE_LINK11"/>
    <w:bookmarkStart w:id="2" w:name="OLE_LINK12"/>
    <w:bookmarkStart w:id="3" w:name="_Hlk391435556"/>
    <w:r w:rsidRPr="00404768">
      <w:rPr>
        <w:sz w:val="20"/>
        <w:szCs w:val="20"/>
      </w:rPr>
      <w:t>Ministru kabineta noteikumu projekt</w:t>
    </w:r>
    <w:r w:rsidR="00404768" w:rsidRPr="00404768">
      <w:rPr>
        <w:sz w:val="20"/>
        <w:szCs w:val="20"/>
      </w:rPr>
      <w:t>s</w:t>
    </w:r>
    <w:r w:rsidR="00404768" w:rsidRPr="00404768">
      <w:rPr>
        <w:bCs/>
        <w:sz w:val="20"/>
        <w:szCs w:val="20"/>
      </w:rPr>
      <w:t xml:space="preserve"> </w:t>
    </w:r>
    <w:r w:rsidRPr="00404768">
      <w:rPr>
        <w:bCs/>
        <w:sz w:val="20"/>
        <w:szCs w:val="20"/>
      </w:rPr>
      <w:t>„Mediatoru sertifikācijas un atestācijas kārtība”</w:t>
    </w:r>
    <w:bookmarkEnd w:id="1"/>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B8C" w:rsidRDefault="008C0B8C" w:rsidP="0053275E">
      <w:r>
        <w:separator/>
      </w:r>
    </w:p>
  </w:footnote>
  <w:footnote w:type="continuationSeparator" w:id="0">
    <w:p w:rsidR="008C0B8C" w:rsidRDefault="008C0B8C" w:rsidP="00532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055345"/>
      <w:docPartObj>
        <w:docPartGallery w:val="Page Numbers (Top of Page)"/>
        <w:docPartUnique/>
      </w:docPartObj>
    </w:sdtPr>
    <w:sdtEndPr/>
    <w:sdtContent>
      <w:p w:rsidR="009B039F" w:rsidRDefault="009B039F">
        <w:pPr>
          <w:pStyle w:val="Galvene"/>
          <w:jc w:val="center"/>
        </w:pPr>
        <w:r>
          <w:fldChar w:fldCharType="begin"/>
        </w:r>
        <w:r>
          <w:instrText>PAGE   \* MERGEFORMAT</w:instrText>
        </w:r>
        <w:r>
          <w:fldChar w:fldCharType="separate"/>
        </w:r>
        <w:r w:rsidR="000E0E9D">
          <w:rPr>
            <w:noProof/>
          </w:rPr>
          <w:t>3</w:t>
        </w:r>
        <w:r>
          <w:fldChar w:fldCharType="end"/>
        </w:r>
      </w:p>
    </w:sdtContent>
  </w:sdt>
  <w:p w:rsidR="009B039F" w:rsidRDefault="009B039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AE0"/>
    <w:multiLevelType w:val="hybridMultilevel"/>
    <w:tmpl w:val="ADBC885C"/>
    <w:lvl w:ilvl="0" w:tplc="B1ACB10C">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1">
    <w:nsid w:val="06F87E26"/>
    <w:multiLevelType w:val="hybridMultilevel"/>
    <w:tmpl w:val="B3229CEE"/>
    <w:lvl w:ilvl="0" w:tplc="E1CAB2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AE474F0"/>
    <w:multiLevelType w:val="hybridMultilevel"/>
    <w:tmpl w:val="8208EDFC"/>
    <w:lvl w:ilvl="0" w:tplc="79623ED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C5A0DA2"/>
    <w:multiLevelType w:val="hybridMultilevel"/>
    <w:tmpl w:val="5DB6A79A"/>
    <w:lvl w:ilvl="0" w:tplc="F1027ED0">
      <w:start w:val="9"/>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4">
    <w:nsid w:val="208C5343"/>
    <w:multiLevelType w:val="hybridMultilevel"/>
    <w:tmpl w:val="D4F41044"/>
    <w:lvl w:ilvl="0" w:tplc="F556A2AA">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24440F8E"/>
    <w:multiLevelType w:val="hybridMultilevel"/>
    <w:tmpl w:val="B29C7F4E"/>
    <w:lvl w:ilvl="0" w:tplc="9FBEB5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337C661D"/>
    <w:multiLevelType w:val="hybridMultilevel"/>
    <w:tmpl w:val="081EA8E6"/>
    <w:lvl w:ilvl="0" w:tplc="07802BF0">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33807099"/>
    <w:multiLevelType w:val="hybridMultilevel"/>
    <w:tmpl w:val="7ADEFADC"/>
    <w:lvl w:ilvl="0" w:tplc="79623EDA">
      <w:start w:val="4"/>
      <w:numFmt w:val="decimal"/>
      <w:lvlText w:val="%1."/>
      <w:lvlJc w:val="left"/>
      <w:pPr>
        <w:ind w:left="1353"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43903DA4"/>
    <w:multiLevelType w:val="hybridMultilevel"/>
    <w:tmpl w:val="ED9ABFA0"/>
    <w:lvl w:ilvl="0" w:tplc="122A3356">
      <w:start w:val="1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49906F6B"/>
    <w:multiLevelType w:val="multilevel"/>
    <w:tmpl w:val="34365C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6143074C"/>
    <w:multiLevelType w:val="hybridMultilevel"/>
    <w:tmpl w:val="BFCA29AA"/>
    <w:lvl w:ilvl="0" w:tplc="B1ACB10C">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num w:numId="1">
    <w:abstractNumId w:val="1"/>
  </w:num>
  <w:num w:numId="2">
    <w:abstractNumId w:val="9"/>
  </w:num>
  <w:num w:numId="3">
    <w:abstractNumId w:val="5"/>
  </w:num>
  <w:num w:numId="4">
    <w:abstractNumId w:val="4"/>
  </w:num>
  <w:num w:numId="5">
    <w:abstractNumId w:val="7"/>
  </w:num>
  <w:num w:numId="6">
    <w:abstractNumId w:val="2"/>
  </w:num>
  <w:num w:numId="7">
    <w:abstractNumId w:val="0"/>
  </w:num>
  <w:num w:numId="8">
    <w:abstractNumId w:val="10"/>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8EA"/>
    <w:rsid w:val="00023A9A"/>
    <w:rsid w:val="000D48EA"/>
    <w:rsid w:val="000E0E9D"/>
    <w:rsid w:val="001323A9"/>
    <w:rsid w:val="001400E8"/>
    <w:rsid w:val="00165CD2"/>
    <w:rsid w:val="0017410D"/>
    <w:rsid w:val="001777EB"/>
    <w:rsid w:val="001D460B"/>
    <w:rsid w:val="00215889"/>
    <w:rsid w:val="002335BC"/>
    <w:rsid w:val="002633EA"/>
    <w:rsid w:val="002834D7"/>
    <w:rsid w:val="002C188F"/>
    <w:rsid w:val="002C4EEF"/>
    <w:rsid w:val="002C7DBF"/>
    <w:rsid w:val="002F1425"/>
    <w:rsid w:val="003518CE"/>
    <w:rsid w:val="003527A2"/>
    <w:rsid w:val="00362B1B"/>
    <w:rsid w:val="003A2AAE"/>
    <w:rsid w:val="003C66DC"/>
    <w:rsid w:val="003F019B"/>
    <w:rsid w:val="00404768"/>
    <w:rsid w:val="004079EF"/>
    <w:rsid w:val="00432AC3"/>
    <w:rsid w:val="00466CBB"/>
    <w:rsid w:val="0048448C"/>
    <w:rsid w:val="004E1598"/>
    <w:rsid w:val="004F13B4"/>
    <w:rsid w:val="00512D29"/>
    <w:rsid w:val="00525DB2"/>
    <w:rsid w:val="0053071E"/>
    <w:rsid w:val="0053161F"/>
    <w:rsid w:val="0053275E"/>
    <w:rsid w:val="0059161B"/>
    <w:rsid w:val="005D2500"/>
    <w:rsid w:val="005F38F4"/>
    <w:rsid w:val="00614CB0"/>
    <w:rsid w:val="0063168F"/>
    <w:rsid w:val="006402FF"/>
    <w:rsid w:val="00647304"/>
    <w:rsid w:val="00696407"/>
    <w:rsid w:val="006A4394"/>
    <w:rsid w:val="006E4E69"/>
    <w:rsid w:val="006F6C98"/>
    <w:rsid w:val="007028F4"/>
    <w:rsid w:val="00737EC7"/>
    <w:rsid w:val="0076647C"/>
    <w:rsid w:val="007C32E6"/>
    <w:rsid w:val="008014C5"/>
    <w:rsid w:val="00870451"/>
    <w:rsid w:val="00893214"/>
    <w:rsid w:val="008B0941"/>
    <w:rsid w:val="008C0B8C"/>
    <w:rsid w:val="008F0401"/>
    <w:rsid w:val="00920D64"/>
    <w:rsid w:val="009313FF"/>
    <w:rsid w:val="00936450"/>
    <w:rsid w:val="0097608B"/>
    <w:rsid w:val="0098600E"/>
    <w:rsid w:val="009B039F"/>
    <w:rsid w:val="009D20E2"/>
    <w:rsid w:val="009E03E0"/>
    <w:rsid w:val="009E43D7"/>
    <w:rsid w:val="00A2344D"/>
    <w:rsid w:val="00A821A3"/>
    <w:rsid w:val="00AA0194"/>
    <w:rsid w:val="00AB3ACE"/>
    <w:rsid w:val="00AC3A24"/>
    <w:rsid w:val="00AC5A7B"/>
    <w:rsid w:val="00AD2A74"/>
    <w:rsid w:val="00AD66E6"/>
    <w:rsid w:val="00AF60F3"/>
    <w:rsid w:val="00B11EA5"/>
    <w:rsid w:val="00B15486"/>
    <w:rsid w:val="00B27B75"/>
    <w:rsid w:val="00B45FFF"/>
    <w:rsid w:val="00B50DBC"/>
    <w:rsid w:val="00B9207F"/>
    <w:rsid w:val="00BB190E"/>
    <w:rsid w:val="00BD50EA"/>
    <w:rsid w:val="00BF5988"/>
    <w:rsid w:val="00BF68A9"/>
    <w:rsid w:val="00C36D28"/>
    <w:rsid w:val="00C42300"/>
    <w:rsid w:val="00CA18B0"/>
    <w:rsid w:val="00CA2735"/>
    <w:rsid w:val="00CD4902"/>
    <w:rsid w:val="00CF07AF"/>
    <w:rsid w:val="00D1482E"/>
    <w:rsid w:val="00D17063"/>
    <w:rsid w:val="00D559DA"/>
    <w:rsid w:val="00D745CD"/>
    <w:rsid w:val="00D861F9"/>
    <w:rsid w:val="00DC3212"/>
    <w:rsid w:val="00DF449F"/>
    <w:rsid w:val="00E10A2A"/>
    <w:rsid w:val="00E176BA"/>
    <w:rsid w:val="00E528BE"/>
    <w:rsid w:val="00EC5D1A"/>
    <w:rsid w:val="00ED0724"/>
    <w:rsid w:val="00EE5D7E"/>
    <w:rsid w:val="00F054B0"/>
    <w:rsid w:val="00F10065"/>
    <w:rsid w:val="00F145F8"/>
    <w:rsid w:val="00F24DC4"/>
    <w:rsid w:val="00F778C3"/>
    <w:rsid w:val="00FB2409"/>
    <w:rsid w:val="00FC6D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D48EA"/>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53275E"/>
    <w:pPr>
      <w:spacing w:after="120"/>
      <w:ind w:firstLine="720"/>
      <w:jc w:val="right"/>
    </w:pPr>
    <w:rPr>
      <w:sz w:val="28"/>
      <w:szCs w:val="28"/>
      <w:lang w:eastAsia="en-US"/>
    </w:rPr>
  </w:style>
  <w:style w:type="paragraph" w:styleId="Galvene">
    <w:name w:val="header"/>
    <w:basedOn w:val="Parasts"/>
    <w:link w:val="GalveneRakstz"/>
    <w:uiPriority w:val="99"/>
    <w:unhideWhenUsed/>
    <w:rsid w:val="0053275E"/>
    <w:pPr>
      <w:tabs>
        <w:tab w:val="center" w:pos="4153"/>
        <w:tab w:val="right" w:pos="8306"/>
      </w:tabs>
    </w:pPr>
  </w:style>
  <w:style w:type="character" w:customStyle="1" w:styleId="GalveneRakstz">
    <w:name w:val="Galvene Rakstz."/>
    <w:basedOn w:val="Noklusjumarindkopasfonts"/>
    <w:link w:val="Galvene"/>
    <w:uiPriority w:val="99"/>
    <w:rsid w:val="0053275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53275E"/>
    <w:pPr>
      <w:tabs>
        <w:tab w:val="center" w:pos="4153"/>
        <w:tab w:val="right" w:pos="8306"/>
      </w:tabs>
    </w:pPr>
  </w:style>
  <w:style w:type="character" w:customStyle="1" w:styleId="KjeneRakstz">
    <w:name w:val="Kājene Rakstz."/>
    <w:basedOn w:val="Noklusjumarindkopasfonts"/>
    <w:link w:val="Kjene"/>
    <w:uiPriority w:val="99"/>
    <w:rsid w:val="0053275E"/>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53275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3275E"/>
    <w:rPr>
      <w:rFonts w:ascii="Tahoma" w:eastAsia="Times New Roman" w:hAnsi="Tahoma" w:cs="Tahoma"/>
      <w:sz w:val="16"/>
      <w:szCs w:val="16"/>
      <w:lang w:eastAsia="lv-LV"/>
    </w:rPr>
  </w:style>
  <w:style w:type="paragraph" w:styleId="Sarakstarindkopa">
    <w:name w:val="List Paragraph"/>
    <w:basedOn w:val="Parasts"/>
    <w:uiPriority w:val="34"/>
    <w:qFormat/>
    <w:rsid w:val="005F38F4"/>
    <w:pPr>
      <w:ind w:left="720"/>
      <w:contextualSpacing/>
    </w:pPr>
  </w:style>
  <w:style w:type="character" w:styleId="Komentraatsauce">
    <w:name w:val="annotation reference"/>
    <w:basedOn w:val="Noklusjumarindkopasfonts"/>
    <w:uiPriority w:val="99"/>
    <w:semiHidden/>
    <w:unhideWhenUsed/>
    <w:rsid w:val="001323A9"/>
    <w:rPr>
      <w:sz w:val="16"/>
      <w:szCs w:val="16"/>
    </w:rPr>
  </w:style>
  <w:style w:type="paragraph" w:styleId="Komentrateksts">
    <w:name w:val="annotation text"/>
    <w:basedOn w:val="Parasts"/>
    <w:link w:val="KomentratekstsRakstz"/>
    <w:uiPriority w:val="99"/>
    <w:semiHidden/>
    <w:unhideWhenUsed/>
    <w:rsid w:val="001323A9"/>
    <w:rPr>
      <w:sz w:val="20"/>
      <w:szCs w:val="20"/>
    </w:rPr>
  </w:style>
  <w:style w:type="character" w:customStyle="1" w:styleId="KomentratekstsRakstz">
    <w:name w:val="Komentāra teksts Rakstz."/>
    <w:basedOn w:val="Noklusjumarindkopasfonts"/>
    <w:link w:val="Komentrateksts"/>
    <w:uiPriority w:val="99"/>
    <w:semiHidden/>
    <w:rsid w:val="001323A9"/>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323A9"/>
    <w:rPr>
      <w:b/>
      <w:bCs/>
    </w:rPr>
  </w:style>
  <w:style w:type="character" w:customStyle="1" w:styleId="KomentratmaRakstz">
    <w:name w:val="Komentāra tēma Rakstz."/>
    <w:basedOn w:val="KomentratekstsRakstz"/>
    <w:link w:val="Komentratma"/>
    <w:uiPriority w:val="99"/>
    <w:semiHidden/>
    <w:rsid w:val="001323A9"/>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9313FF"/>
    <w:rPr>
      <w:color w:val="0000FF" w:themeColor="hyperlink"/>
      <w:u w:val="single"/>
    </w:rPr>
  </w:style>
  <w:style w:type="table" w:styleId="Reatabula">
    <w:name w:val="Table Grid"/>
    <w:basedOn w:val="Parastatabula"/>
    <w:uiPriority w:val="59"/>
    <w:rsid w:val="00404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D48EA"/>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53275E"/>
    <w:pPr>
      <w:spacing w:after="120"/>
      <w:ind w:firstLine="720"/>
      <w:jc w:val="right"/>
    </w:pPr>
    <w:rPr>
      <w:sz w:val="28"/>
      <w:szCs w:val="28"/>
      <w:lang w:eastAsia="en-US"/>
    </w:rPr>
  </w:style>
  <w:style w:type="paragraph" w:styleId="Galvene">
    <w:name w:val="header"/>
    <w:basedOn w:val="Parasts"/>
    <w:link w:val="GalveneRakstz"/>
    <w:uiPriority w:val="99"/>
    <w:unhideWhenUsed/>
    <w:rsid w:val="0053275E"/>
    <w:pPr>
      <w:tabs>
        <w:tab w:val="center" w:pos="4153"/>
        <w:tab w:val="right" w:pos="8306"/>
      </w:tabs>
    </w:pPr>
  </w:style>
  <w:style w:type="character" w:customStyle="1" w:styleId="GalveneRakstz">
    <w:name w:val="Galvene Rakstz."/>
    <w:basedOn w:val="Noklusjumarindkopasfonts"/>
    <w:link w:val="Galvene"/>
    <w:uiPriority w:val="99"/>
    <w:rsid w:val="0053275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53275E"/>
    <w:pPr>
      <w:tabs>
        <w:tab w:val="center" w:pos="4153"/>
        <w:tab w:val="right" w:pos="8306"/>
      </w:tabs>
    </w:pPr>
  </w:style>
  <w:style w:type="character" w:customStyle="1" w:styleId="KjeneRakstz">
    <w:name w:val="Kājene Rakstz."/>
    <w:basedOn w:val="Noklusjumarindkopasfonts"/>
    <w:link w:val="Kjene"/>
    <w:uiPriority w:val="99"/>
    <w:rsid w:val="0053275E"/>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53275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3275E"/>
    <w:rPr>
      <w:rFonts w:ascii="Tahoma" w:eastAsia="Times New Roman" w:hAnsi="Tahoma" w:cs="Tahoma"/>
      <w:sz w:val="16"/>
      <w:szCs w:val="16"/>
      <w:lang w:eastAsia="lv-LV"/>
    </w:rPr>
  </w:style>
  <w:style w:type="paragraph" w:styleId="Sarakstarindkopa">
    <w:name w:val="List Paragraph"/>
    <w:basedOn w:val="Parasts"/>
    <w:uiPriority w:val="34"/>
    <w:qFormat/>
    <w:rsid w:val="005F38F4"/>
    <w:pPr>
      <w:ind w:left="720"/>
      <w:contextualSpacing/>
    </w:pPr>
  </w:style>
  <w:style w:type="character" w:styleId="Komentraatsauce">
    <w:name w:val="annotation reference"/>
    <w:basedOn w:val="Noklusjumarindkopasfonts"/>
    <w:uiPriority w:val="99"/>
    <w:semiHidden/>
    <w:unhideWhenUsed/>
    <w:rsid w:val="001323A9"/>
    <w:rPr>
      <w:sz w:val="16"/>
      <w:szCs w:val="16"/>
    </w:rPr>
  </w:style>
  <w:style w:type="paragraph" w:styleId="Komentrateksts">
    <w:name w:val="annotation text"/>
    <w:basedOn w:val="Parasts"/>
    <w:link w:val="KomentratekstsRakstz"/>
    <w:uiPriority w:val="99"/>
    <w:semiHidden/>
    <w:unhideWhenUsed/>
    <w:rsid w:val="001323A9"/>
    <w:rPr>
      <w:sz w:val="20"/>
      <w:szCs w:val="20"/>
    </w:rPr>
  </w:style>
  <w:style w:type="character" w:customStyle="1" w:styleId="KomentratekstsRakstz">
    <w:name w:val="Komentāra teksts Rakstz."/>
    <w:basedOn w:val="Noklusjumarindkopasfonts"/>
    <w:link w:val="Komentrateksts"/>
    <w:uiPriority w:val="99"/>
    <w:semiHidden/>
    <w:rsid w:val="001323A9"/>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323A9"/>
    <w:rPr>
      <w:b/>
      <w:bCs/>
    </w:rPr>
  </w:style>
  <w:style w:type="character" w:customStyle="1" w:styleId="KomentratmaRakstz">
    <w:name w:val="Komentāra tēma Rakstz."/>
    <w:basedOn w:val="KomentratekstsRakstz"/>
    <w:link w:val="Komentratma"/>
    <w:uiPriority w:val="99"/>
    <w:semiHidden/>
    <w:rsid w:val="001323A9"/>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9313FF"/>
    <w:rPr>
      <w:color w:val="0000FF" w:themeColor="hyperlink"/>
      <w:u w:val="single"/>
    </w:rPr>
  </w:style>
  <w:style w:type="table" w:styleId="Reatabula">
    <w:name w:val="Table Grid"/>
    <w:basedOn w:val="Parastatabula"/>
    <w:uiPriority w:val="59"/>
    <w:rsid w:val="00404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60220">
      <w:bodyDiv w:val="1"/>
      <w:marLeft w:val="0"/>
      <w:marRight w:val="0"/>
      <w:marTop w:val="0"/>
      <w:marBottom w:val="0"/>
      <w:divBdr>
        <w:top w:val="none" w:sz="0" w:space="0" w:color="auto"/>
        <w:left w:val="none" w:sz="0" w:space="0" w:color="auto"/>
        <w:bottom w:val="none" w:sz="0" w:space="0" w:color="auto"/>
        <w:right w:val="none" w:sz="0" w:space="0" w:color="auto"/>
      </w:divBdr>
      <w:divsChild>
        <w:div w:id="1505824759">
          <w:marLeft w:val="0"/>
          <w:marRight w:val="0"/>
          <w:marTop w:val="0"/>
          <w:marBottom w:val="0"/>
          <w:divBdr>
            <w:top w:val="none" w:sz="0" w:space="0" w:color="auto"/>
            <w:left w:val="none" w:sz="0" w:space="0" w:color="auto"/>
            <w:bottom w:val="none" w:sz="0" w:space="0" w:color="auto"/>
            <w:right w:val="none" w:sz="0" w:space="0" w:color="auto"/>
          </w:divBdr>
          <w:divsChild>
            <w:div w:id="1538276188">
              <w:marLeft w:val="0"/>
              <w:marRight w:val="0"/>
              <w:marTop w:val="0"/>
              <w:marBottom w:val="0"/>
              <w:divBdr>
                <w:top w:val="none" w:sz="0" w:space="0" w:color="auto"/>
                <w:left w:val="none" w:sz="0" w:space="0" w:color="auto"/>
                <w:bottom w:val="none" w:sz="0" w:space="0" w:color="auto"/>
                <w:right w:val="none" w:sz="0" w:space="0" w:color="auto"/>
              </w:divBdr>
              <w:divsChild>
                <w:div w:id="860633882">
                  <w:marLeft w:val="0"/>
                  <w:marRight w:val="0"/>
                  <w:marTop w:val="0"/>
                  <w:marBottom w:val="0"/>
                  <w:divBdr>
                    <w:top w:val="none" w:sz="0" w:space="0" w:color="auto"/>
                    <w:left w:val="none" w:sz="0" w:space="0" w:color="auto"/>
                    <w:bottom w:val="none" w:sz="0" w:space="0" w:color="auto"/>
                    <w:right w:val="none" w:sz="0" w:space="0" w:color="auto"/>
                  </w:divBdr>
                  <w:divsChild>
                    <w:div w:id="763889863">
                      <w:marLeft w:val="0"/>
                      <w:marRight w:val="0"/>
                      <w:marTop w:val="0"/>
                      <w:marBottom w:val="0"/>
                      <w:divBdr>
                        <w:top w:val="none" w:sz="0" w:space="0" w:color="auto"/>
                        <w:left w:val="none" w:sz="0" w:space="0" w:color="auto"/>
                        <w:bottom w:val="none" w:sz="0" w:space="0" w:color="auto"/>
                        <w:right w:val="none" w:sz="0" w:space="0" w:color="auto"/>
                      </w:divBdr>
                      <w:divsChild>
                        <w:div w:id="709917750">
                          <w:marLeft w:val="0"/>
                          <w:marRight w:val="0"/>
                          <w:marTop w:val="0"/>
                          <w:marBottom w:val="0"/>
                          <w:divBdr>
                            <w:top w:val="none" w:sz="0" w:space="0" w:color="auto"/>
                            <w:left w:val="none" w:sz="0" w:space="0" w:color="auto"/>
                            <w:bottom w:val="none" w:sz="0" w:space="0" w:color="auto"/>
                            <w:right w:val="none" w:sz="0" w:space="0" w:color="auto"/>
                          </w:divBdr>
                          <w:divsChild>
                            <w:div w:id="17143059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285337">
      <w:bodyDiv w:val="1"/>
      <w:marLeft w:val="0"/>
      <w:marRight w:val="0"/>
      <w:marTop w:val="0"/>
      <w:marBottom w:val="0"/>
      <w:divBdr>
        <w:top w:val="none" w:sz="0" w:space="0" w:color="auto"/>
        <w:left w:val="none" w:sz="0" w:space="0" w:color="auto"/>
        <w:bottom w:val="none" w:sz="0" w:space="0" w:color="auto"/>
        <w:right w:val="none" w:sz="0" w:space="0" w:color="auto"/>
      </w:divBdr>
    </w:div>
    <w:div w:id="1647128294">
      <w:bodyDiv w:val="1"/>
      <w:marLeft w:val="0"/>
      <w:marRight w:val="0"/>
      <w:marTop w:val="0"/>
      <w:marBottom w:val="0"/>
      <w:divBdr>
        <w:top w:val="none" w:sz="0" w:space="0" w:color="auto"/>
        <w:left w:val="none" w:sz="0" w:space="0" w:color="auto"/>
        <w:bottom w:val="none" w:sz="0" w:space="0" w:color="auto"/>
        <w:right w:val="none" w:sz="0" w:space="0" w:color="auto"/>
      </w:divBdr>
    </w:div>
    <w:div w:id="1941572006">
      <w:bodyDiv w:val="1"/>
      <w:marLeft w:val="0"/>
      <w:marRight w:val="0"/>
      <w:marTop w:val="0"/>
      <w:marBottom w:val="0"/>
      <w:divBdr>
        <w:top w:val="none" w:sz="0" w:space="0" w:color="auto"/>
        <w:left w:val="none" w:sz="0" w:space="0" w:color="auto"/>
        <w:bottom w:val="none" w:sz="0" w:space="0" w:color="auto"/>
        <w:right w:val="none" w:sz="0" w:space="0" w:color="auto"/>
      </w:divBdr>
      <w:divsChild>
        <w:div w:id="1119564600">
          <w:marLeft w:val="0"/>
          <w:marRight w:val="0"/>
          <w:marTop w:val="0"/>
          <w:marBottom w:val="0"/>
          <w:divBdr>
            <w:top w:val="none" w:sz="0" w:space="0" w:color="auto"/>
            <w:left w:val="none" w:sz="0" w:space="0" w:color="auto"/>
            <w:bottom w:val="none" w:sz="0" w:space="0" w:color="auto"/>
            <w:right w:val="none" w:sz="0" w:space="0" w:color="auto"/>
          </w:divBdr>
          <w:divsChild>
            <w:div w:id="1480071672">
              <w:marLeft w:val="0"/>
              <w:marRight w:val="0"/>
              <w:marTop w:val="0"/>
              <w:marBottom w:val="0"/>
              <w:divBdr>
                <w:top w:val="none" w:sz="0" w:space="0" w:color="auto"/>
                <w:left w:val="none" w:sz="0" w:space="0" w:color="auto"/>
                <w:bottom w:val="none" w:sz="0" w:space="0" w:color="auto"/>
                <w:right w:val="none" w:sz="0" w:space="0" w:color="auto"/>
              </w:divBdr>
              <w:divsChild>
                <w:div w:id="289745902">
                  <w:marLeft w:val="0"/>
                  <w:marRight w:val="0"/>
                  <w:marTop w:val="0"/>
                  <w:marBottom w:val="0"/>
                  <w:divBdr>
                    <w:top w:val="none" w:sz="0" w:space="0" w:color="auto"/>
                    <w:left w:val="none" w:sz="0" w:space="0" w:color="auto"/>
                    <w:bottom w:val="none" w:sz="0" w:space="0" w:color="auto"/>
                    <w:right w:val="none" w:sz="0" w:space="0" w:color="auto"/>
                  </w:divBdr>
                  <w:divsChild>
                    <w:div w:id="157773128">
                      <w:marLeft w:val="0"/>
                      <w:marRight w:val="0"/>
                      <w:marTop w:val="0"/>
                      <w:marBottom w:val="0"/>
                      <w:divBdr>
                        <w:top w:val="none" w:sz="0" w:space="0" w:color="auto"/>
                        <w:left w:val="none" w:sz="0" w:space="0" w:color="auto"/>
                        <w:bottom w:val="none" w:sz="0" w:space="0" w:color="auto"/>
                        <w:right w:val="none" w:sz="0" w:space="0" w:color="auto"/>
                      </w:divBdr>
                      <w:divsChild>
                        <w:div w:id="9187237">
                          <w:marLeft w:val="0"/>
                          <w:marRight w:val="0"/>
                          <w:marTop w:val="0"/>
                          <w:marBottom w:val="0"/>
                          <w:divBdr>
                            <w:top w:val="none" w:sz="0" w:space="0" w:color="auto"/>
                            <w:left w:val="none" w:sz="0" w:space="0" w:color="auto"/>
                            <w:bottom w:val="none" w:sz="0" w:space="0" w:color="auto"/>
                            <w:right w:val="none" w:sz="0" w:space="0" w:color="auto"/>
                          </w:divBdr>
                          <w:divsChild>
                            <w:div w:id="1162350474">
                              <w:marLeft w:val="0"/>
                              <w:marRight w:val="0"/>
                              <w:marTop w:val="400"/>
                              <w:marBottom w:val="0"/>
                              <w:divBdr>
                                <w:top w:val="none" w:sz="0" w:space="0" w:color="auto"/>
                                <w:left w:val="none" w:sz="0" w:space="0" w:color="auto"/>
                                <w:bottom w:val="none" w:sz="0" w:space="0" w:color="auto"/>
                                <w:right w:val="none" w:sz="0" w:space="0" w:color="auto"/>
                              </w:divBdr>
                            </w:div>
                            <w:div w:id="1767578177">
                              <w:marLeft w:val="0"/>
                              <w:marRight w:val="0"/>
                              <w:marTop w:val="240"/>
                              <w:marBottom w:val="0"/>
                              <w:divBdr>
                                <w:top w:val="none" w:sz="0" w:space="0" w:color="auto"/>
                                <w:left w:val="none" w:sz="0" w:space="0" w:color="auto"/>
                                <w:bottom w:val="none" w:sz="0" w:space="0" w:color="auto"/>
                                <w:right w:val="none" w:sz="0" w:space="0" w:color="auto"/>
                              </w:divBdr>
                            </w:div>
                            <w:div w:id="1273627948">
                              <w:marLeft w:val="0"/>
                              <w:marRight w:val="0"/>
                              <w:marTop w:val="240"/>
                              <w:marBottom w:val="0"/>
                              <w:divBdr>
                                <w:top w:val="none" w:sz="0" w:space="0" w:color="auto"/>
                                <w:left w:val="none" w:sz="0" w:space="0" w:color="auto"/>
                                <w:bottom w:val="none" w:sz="0" w:space="0" w:color="auto"/>
                                <w:right w:val="none" w:sz="0" w:space="0" w:color="auto"/>
                              </w:divBdr>
                            </w:div>
                            <w:div w:id="2050719485">
                              <w:marLeft w:val="150"/>
                              <w:marRight w:val="150"/>
                              <w:marTop w:val="480"/>
                              <w:marBottom w:val="0"/>
                              <w:divBdr>
                                <w:top w:val="single" w:sz="6" w:space="28" w:color="D4D4D4"/>
                                <w:left w:val="none" w:sz="0" w:space="0" w:color="auto"/>
                                <w:bottom w:val="none" w:sz="0" w:space="0" w:color="auto"/>
                                <w:right w:val="none" w:sz="0" w:space="0" w:color="auto"/>
                              </w:divBdr>
                            </w:div>
                            <w:div w:id="1646272733">
                              <w:marLeft w:val="0"/>
                              <w:marRight w:val="0"/>
                              <w:marTop w:val="400"/>
                              <w:marBottom w:val="0"/>
                              <w:divBdr>
                                <w:top w:val="none" w:sz="0" w:space="0" w:color="auto"/>
                                <w:left w:val="none" w:sz="0" w:space="0" w:color="auto"/>
                                <w:bottom w:val="none" w:sz="0" w:space="0" w:color="auto"/>
                                <w:right w:val="none" w:sz="0" w:space="0" w:color="auto"/>
                              </w:divBdr>
                            </w:div>
                            <w:div w:id="1586571468">
                              <w:marLeft w:val="0"/>
                              <w:marRight w:val="0"/>
                              <w:marTop w:val="240"/>
                              <w:marBottom w:val="0"/>
                              <w:divBdr>
                                <w:top w:val="none" w:sz="0" w:space="0" w:color="auto"/>
                                <w:left w:val="none" w:sz="0" w:space="0" w:color="auto"/>
                                <w:bottom w:val="none" w:sz="0" w:space="0" w:color="auto"/>
                                <w:right w:val="none" w:sz="0" w:space="0" w:color="auto"/>
                              </w:divBdr>
                            </w:div>
                            <w:div w:id="844517826">
                              <w:marLeft w:val="0"/>
                              <w:marRight w:val="0"/>
                              <w:marTop w:val="240"/>
                              <w:marBottom w:val="0"/>
                              <w:divBdr>
                                <w:top w:val="none" w:sz="0" w:space="0" w:color="auto"/>
                                <w:left w:val="none" w:sz="0" w:space="0" w:color="auto"/>
                                <w:bottom w:val="none" w:sz="0" w:space="0" w:color="auto"/>
                                <w:right w:val="none" w:sz="0" w:space="0" w:color="auto"/>
                              </w:divBdr>
                            </w:div>
                            <w:div w:id="214659772">
                              <w:marLeft w:val="150"/>
                              <w:marRight w:val="150"/>
                              <w:marTop w:val="480"/>
                              <w:marBottom w:val="0"/>
                              <w:divBdr>
                                <w:top w:val="single" w:sz="6" w:space="28" w:color="D4D4D4"/>
                                <w:left w:val="none" w:sz="0" w:space="0" w:color="auto"/>
                                <w:bottom w:val="none" w:sz="0" w:space="0" w:color="auto"/>
                                <w:right w:val="none" w:sz="0" w:space="0" w:color="auto"/>
                              </w:divBdr>
                            </w:div>
                            <w:div w:id="985813720">
                              <w:marLeft w:val="0"/>
                              <w:marRight w:val="0"/>
                              <w:marTop w:val="400"/>
                              <w:marBottom w:val="0"/>
                              <w:divBdr>
                                <w:top w:val="none" w:sz="0" w:space="0" w:color="auto"/>
                                <w:left w:val="none" w:sz="0" w:space="0" w:color="auto"/>
                                <w:bottom w:val="none" w:sz="0" w:space="0" w:color="auto"/>
                                <w:right w:val="none" w:sz="0" w:space="0" w:color="auto"/>
                              </w:divBdr>
                            </w:div>
                            <w:div w:id="1612468410">
                              <w:marLeft w:val="0"/>
                              <w:marRight w:val="0"/>
                              <w:marTop w:val="240"/>
                              <w:marBottom w:val="0"/>
                              <w:divBdr>
                                <w:top w:val="none" w:sz="0" w:space="0" w:color="auto"/>
                                <w:left w:val="none" w:sz="0" w:space="0" w:color="auto"/>
                                <w:bottom w:val="none" w:sz="0" w:space="0" w:color="auto"/>
                                <w:right w:val="none" w:sz="0" w:space="0" w:color="auto"/>
                              </w:divBdr>
                            </w:div>
                            <w:div w:id="96221784">
                              <w:marLeft w:val="0"/>
                              <w:marRight w:val="0"/>
                              <w:marTop w:val="240"/>
                              <w:marBottom w:val="0"/>
                              <w:divBdr>
                                <w:top w:val="none" w:sz="0" w:space="0" w:color="auto"/>
                                <w:left w:val="none" w:sz="0" w:space="0" w:color="auto"/>
                                <w:bottom w:val="none" w:sz="0" w:space="0" w:color="auto"/>
                                <w:right w:val="none" w:sz="0" w:space="0" w:color="auto"/>
                              </w:divBdr>
                            </w:div>
                            <w:div w:id="1594975746">
                              <w:marLeft w:val="150"/>
                              <w:marRight w:val="150"/>
                              <w:marTop w:val="480"/>
                              <w:marBottom w:val="0"/>
                              <w:divBdr>
                                <w:top w:val="single" w:sz="6" w:space="28" w:color="D4D4D4"/>
                                <w:left w:val="none" w:sz="0" w:space="0" w:color="auto"/>
                                <w:bottom w:val="none" w:sz="0" w:space="0" w:color="auto"/>
                                <w:right w:val="none" w:sz="0" w:space="0" w:color="auto"/>
                              </w:divBdr>
                            </w:div>
                            <w:div w:id="1977056884">
                              <w:marLeft w:val="0"/>
                              <w:marRight w:val="0"/>
                              <w:marTop w:val="400"/>
                              <w:marBottom w:val="0"/>
                              <w:divBdr>
                                <w:top w:val="none" w:sz="0" w:space="0" w:color="auto"/>
                                <w:left w:val="none" w:sz="0" w:space="0" w:color="auto"/>
                                <w:bottom w:val="none" w:sz="0" w:space="0" w:color="auto"/>
                                <w:right w:val="none" w:sz="0" w:space="0" w:color="auto"/>
                              </w:divBdr>
                            </w:div>
                            <w:div w:id="532303794">
                              <w:marLeft w:val="0"/>
                              <w:marRight w:val="0"/>
                              <w:marTop w:val="240"/>
                              <w:marBottom w:val="0"/>
                              <w:divBdr>
                                <w:top w:val="none" w:sz="0" w:space="0" w:color="auto"/>
                                <w:left w:val="none" w:sz="0" w:space="0" w:color="auto"/>
                                <w:bottom w:val="none" w:sz="0" w:space="0" w:color="auto"/>
                                <w:right w:val="none" w:sz="0" w:space="0" w:color="auto"/>
                              </w:divBdr>
                            </w:div>
                            <w:div w:id="90979062">
                              <w:marLeft w:val="0"/>
                              <w:marRight w:val="0"/>
                              <w:marTop w:val="240"/>
                              <w:marBottom w:val="0"/>
                              <w:divBdr>
                                <w:top w:val="none" w:sz="0" w:space="0" w:color="auto"/>
                                <w:left w:val="none" w:sz="0" w:space="0" w:color="auto"/>
                                <w:bottom w:val="none" w:sz="0" w:space="0" w:color="auto"/>
                                <w:right w:val="none" w:sz="0" w:space="0" w:color="auto"/>
                              </w:divBdr>
                            </w:div>
                            <w:div w:id="325714134">
                              <w:marLeft w:val="150"/>
                              <w:marRight w:val="150"/>
                              <w:marTop w:val="480"/>
                              <w:marBottom w:val="0"/>
                              <w:divBdr>
                                <w:top w:val="single" w:sz="6" w:space="28" w:color="D4D4D4"/>
                                <w:left w:val="none" w:sz="0" w:space="0" w:color="auto"/>
                                <w:bottom w:val="none" w:sz="0" w:space="0" w:color="auto"/>
                                <w:right w:val="none" w:sz="0" w:space="0" w:color="auto"/>
                              </w:divBdr>
                            </w:div>
                            <w:div w:id="187380434">
                              <w:marLeft w:val="0"/>
                              <w:marRight w:val="0"/>
                              <w:marTop w:val="400"/>
                              <w:marBottom w:val="0"/>
                              <w:divBdr>
                                <w:top w:val="none" w:sz="0" w:space="0" w:color="auto"/>
                                <w:left w:val="none" w:sz="0" w:space="0" w:color="auto"/>
                                <w:bottom w:val="none" w:sz="0" w:space="0" w:color="auto"/>
                                <w:right w:val="none" w:sz="0" w:space="0" w:color="auto"/>
                              </w:divBdr>
                            </w:div>
                            <w:div w:id="1790472590">
                              <w:marLeft w:val="0"/>
                              <w:marRight w:val="0"/>
                              <w:marTop w:val="240"/>
                              <w:marBottom w:val="0"/>
                              <w:divBdr>
                                <w:top w:val="none" w:sz="0" w:space="0" w:color="auto"/>
                                <w:left w:val="none" w:sz="0" w:space="0" w:color="auto"/>
                                <w:bottom w:val="none" w:sz="0" w:space="0" w:color="auto"/>
                                <w:right w:val="none" w:sz="0" w:space="0" w:color="auto"/>
                              </w:divBdr>
                            </w:div>
                            <w:div w:id="1548777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17829-0ABE-4F39-B625-A9ED19BC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2318</Words>
  <Characters>1322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kabineta 2014.gada 5.augusta noteikumos Nr.433 "Mediatoru sertifikācijas un atestācijas kārtība"</vt:lpstr>
      <vt:lpstr>Grozījumi Ministru kabineta 2014.gada 5.augusta noteikumos Nr.433 "Mediatoru sertifikācijas un atestācijas kārtība"</vt:lpstr>
    </vt:vector>
  </TitlesOfParts>
  <Company>Tieslietu Sektors</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2014.gada 5.augusta noteikumos Nr.433 "Mediatoru sertifikācijas un atestācijas kārtība"</dc:title>
  <dc:subject>Noteikumu projekts</dc:subject>
  <dc:creator>Kintija Bajare-Grinberga</dc:creator>
  <dc:description>tel.: 67036775; Kintija.Bajare-Grinberga@tm.gov.lv</dc:description>
  <cp:lastModifiedBy>Kintija Bajare-Grinberga</cp:lastModifiedBy>
  <cp:revision>3</cp:revision>
  <dcterms:created xsi:type="dcterms:W3CDTF">2015-06-01T07:48:00Z</dcterms:created>
  <dcterms:modified xsi:type="dcterms:W3CDTF">2015-06-01T07:50:00Z</dcterms:modified>
</cp:coreProperties>
</file>