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BA" w:rsidRPr="0053757E" w:rsidRDefault="00952ABA" w:rsidP="00192FD1">
      <w:pPr>
        <w:jc w:val="right"/>
        <w:rPr>
          <w:sz w:val="28"/>
          <w:szCs w:val="28"/>
        </w:rPr>
      </w:pPr>
      <w:bookmarkStart w:id="0" w:name="_Hlk504989820"/>
      <w:r w:rsidRPr="0053757E">
        <w:rPr>
          <w:i/>
          <w:iCs/>
          <w:sz w:val="28"/>
          <w:szCs w:val="28"/>
        </w:rPr>
        <w:t>Projekts</w:t>
      </w:r>
    </w:p>
    <w:p w:rsidR="00ED7487" w:rsidRDefault="00ED7487" w:rsidP="00E760E1">
      <w:pPr>
        <w:jc w:val="center"/>
        <w:rPr>
          <w:sz w:val="28"/>
          <w:szCs w:val="28"/>
        </w:rPr>
      </w:pPr>
    </w:p>
    <w:p w:rsidR="00952ABA" w:rsidRPr="0053757E" w:rsidRDefault="00952ABA" w:rsidP="00E760E1">
      <w:pPr>
        <w:jc w:val="center"/>
        <w:rPr>
          <w:sz w:val="28"/>
          <w:szCs w:val="28"/>
        </w:rPr>
      </w:pPr>
      <w:r w:rsidRPr="0053757E">
        <w:rPr>
          <w:sz w:val="28"/>
          <w:szCs w:val="28"/>
        </w:rPr>
        <w:t>LATVIJAS REPUBLIKAS MINISTRU KABINETS</w:t>
      </w:r>
    </w:p>
    <w:p w:rsidR="00952ABA" w:rsidRPr="0053757E" w:rsidRDefault="00952ABA" w:rsidP="00E760E1">
      <w:pPr>
        <w:rPr>
          <w:sz w:val="28"/>
          <w:szCs w:val="28"/>
        </w:rPr>
      </w:pPr>
    </w:p>
    <w:p w:rsidR="00952ABA" w:rsidRPr="0053757E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53757E">
        <w:rPr>
          <w:sz w:val="28"/>
          <w:szCs w:val="28"/>
        </w:rPr>
        <w:t>201</w:t>
      </w:r>
      <w:r w:rsidR="008A08F0">
        <w:rPr>
          <w:sz w:val="28"/>
          <w:szCs w:val="28"/>
        </w:rPr>
        <w:t>8</w:t>
      </w:r>
      <w:r w:rsidRPr="0053757E">
        <w:rPr>
          <w:sz w:val="28"/>
          <w:szCs w:val="28"/>
        </w:rPr>
        <w:t>. gada __. ___</w:t>
      </w:r>
      <w:r w:rsidRPr="0053757E">
        <w:rPr>
          <w:sz w:val="28"/>
          <w:szCs w:val="28"/>
        </w:rPr>
        <w:tab/>
      </w:r>
      <w:r w:rsidRPr="0053757E">
        <w:rPr>
          <w:color w:val="000000"/>
          <w:sz w:val="28"/>
          <w:szCs w:val="28"/>
        </w:rPr>
        <w:t>Noteikumi Nr. __</w:t>
      </w:r>
    </w:p>
    <w:p w:rsidR="00952ABA" w:rsidRPr="0053757E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53757E">
        <w:rPr>
          <w:color w:val="000000"/>
          <w:sz w:val="28"/>
          <w:szCs w:val="28"/>
        </w:rPr>
        <w:t>Rīgā</w:t>
      </w:r>
      <w:r w:rsidRPr="0053757E">
        <w:rPr>
          <w:color w:val="000000"/>
          <w:sz w:val="28"/>
          <w:szCs w:val="28"/>
        </w:rPr>
        <w:tab/>
        <w:t>(prot. Nr. __ __. §)</w:t>
      </w:r>
    </w:p>
    <w:p w:rsidR="00C871CC" w:rsidRPr="0053757E" w:rsidRDefault="00C871CC" w:rsidP="004F3392">
      <w:pPr>
        <w:rPr>
          <w:b/>
          <w:bCs/>
          <w:color w:val="000000"/>
          <w:sz w:val="28"/>
          <w:szCs w:val="28"/>
        </w:rPr>
      </w:pPr>
    </w:p>
    <w:p w:rsidR="00952ABA" w:rsidRPr="0053757E" w:rsidRDefault="009E65D3" w:rsidP="00FB3738">
      <w:pPr>
        <w:jc w:val="center"/>
        <w:rPr>
          <w:b/>
          <w:bCs/>
          <w:color w:val="000000"/>
          <w:sz w:val="28"/>
          <w:szCs w:val="28"/>
        </w:rPr>
      </w:pPr>
      <w:r w:rsidRPr="0053757E">
        <w:rPr>
          <w:b/>
          <w:bCs/>
          <w:sz w:val="28"/>
          <w:szCs w:val="28"/>
        </w:rPr>
        <w:t>Noteikumi</w:t>
      </w:r>
      <w:r w:rsidR="00FB3738">
        <w:rPr>
          <w:b/>
          <w:bCs/>
          <w:sz w:val="28"/>
          <w:szCs w:val="28"/>
        </w:rPr>
        <w:t xml:space="preserve"> par i</w:t>
      </w:r>
      <w:r w:rsidR="00FB3738" w:rsidRPr="00FB3738">
        <w:rPr>
          <w:b/>
          <w:bCs/>
          <w:sz w:val="28"/>
          <w:szCs w:val="28"/>
        </w:rPr>
        <w:t xml:space="preserve">emaksas par </w:t>
      </w:r>
      <w:r w:rsidR="00715730">
        <w:rPr>
          <w:b/>
          <w:bCs/>
          <w:sz w:val="28"/>
          <w:szCs w:val="28"/>
        </w:rPr>
        <w:t xml:space="preserve">valsts nodrošinātās </w:t>
      </w:r>
      <w:r w:rsidR="00FB3738" w:rsidRPr="00FB3738">
        <w:rPr>
          <w:b/>
          <w:bCs/>
          <w:sz w:val="28"/>
          <w:szCs w:val="28"/>
        </w:rPr>
        <w:t>juridiskās palīdzības saņemšanu apmēru</w:t>
      </w:r>
      <w:r w:rsidR="00FB3738">
        <w:rPr>
          <w:b/>
          <w:bCs/>
          <w:sz w:val="28"/>
          <w:szCs w:val="28"/>
        </w:rPr>
        <w:t>, tās</w:t>
      </w:r>
      <w:r w:rsidR="00FB3738" w:rsidRPr="00FB3738">
        <w:rPr>
          <w:b/>
          <w:bCs/>
          <w:sz w:val="28"/>
          <w:szCs w:val="28"/>
        </w:rPr>
        <w:t xml:space="preserve"> samaksas un atmaksas kārtību</w:t>
      </w:r>
    </w:p>
    <w:p w:rsidR="00ED7487" w:rsidRDefault="00ED7487" w:rsidP="004A617C">
      <w:pPr>
        <w:pStyle w:val="tv90087921"/>
        <w:spacing w:after="0" w:line="240" w:lineRule="auto"/>
        <w:ind w:firstLine="301"/>
        <w:rPr>
          <w:rFonts w:ascii="Times New Roman" w:hAnsi="Times New Roman"/>
          <w:color w:val="000000" w:themeColor="text1"/>
          <w:sz w:val="28"/>
          <w:szCs w:val="28"/>
        </w:rPr>
      </w:pPr>
    </w:p>
    <w:p w:rsidR="004A617C" w:rsidRPr="0041549C" w:rsidRDefault="004A617C" w:rsidP="000E0132">
      <w:pPr>
        <w:pStyle w:val="tv90087921"/>
        <w:spacing w:after="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1549C">
        <w:rPr>
          <w:rFonts w:ascii="Times New Roman" w:hAnsi="Times New Roman"/>
          <w:color w:val="000000" w:themeColor="text1"/>
          <w:sz w:val="28"/>
          <w:szCs w:val="28"/>
        </w:rPr>
        <w:t>Izdoti saskaņā ar</w:t>
      </w:r>
    </w:p>
    <w:p w:rsidR="00FB3738" w:rsidRDefault="00FB3738" w:rsidP="000E0132">
      <w:pPr>
        <w:pStyle w:val="tv90087921"/>
        <w:spacing w:after="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Valsts nodrošinātās juridiskās palīdzības likuma </w:t>
      </w:r>
    </w:p>
    <w:p w:rsidR="008A08F0" w:rsidRPr="0041549C" w:rsidRDefault="00FB3738" w:rsidP="000E0132">
      <w:pPr>
        <w:pStyle w:val="tv90087921"/>
        <w:spacing w:after="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A617C" w:rsidRPr="0041549C">
        <w:rPr>
          <w:rFonts w:ascii="Times New Roman" w:hAnsi="Times New Roman"/>
          <w:color w:val="000000" w:themeColor="text1"/>
          <w:sz w:val="28"/>
          <w:szCs w:val="28"/>
        </w:rPr>
        <w:t xml:space="preserve">. panta </w:t>
      </w:r>
      <w:r w:rsidR="00E40293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4029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4A617C" w:rsidRPr="0041549C">
        <w:rPr>
          <w:rFonts w:ascii="Times New Roman" w:hAnsi="Times New Roman"/>
          <w:color w:val="000000" w:themeColor="text1"/>
          <w:sz w:val="28"/>
          <w:szCs w:val="28"/>
        </w:rPr>
        <w:t xml:space="preserve"> daļu</w:t>
      </w:r>
    </w:p>
    <w:p w:rsidR="004A617C" w:rsidRPr="0053757E" w:rsidRDefault="004A617C" w:rsidP="004A617C">
      <w:pPr>
        <w:ind w:firstLine="720"/>
        <w:jc w:val="both"/>
        <w:rPr>
          <w:bCs/>
          <w:sz w:val="28"/>
          <w:szCs w:val="28"/>
        </w:rPr>
      </w:pPr>
    </w:p>
    <w:p w:rsidR="00C4098D" w:rsidRDefault="00E40293" w:rsidP="00C4098D">
      <w:pPr>
        <w:tabs>
          <w:tab w:val="left" w:pos="993"/>
        </w:tabs>
        <w:ind w:left="720"/>
        <w:jc w:val="center"/>
        <w:rPr>
          <w:b/>
          <w:bCs/>
          <w:sz w:val="28"/>
          <w:szCs w:val="28"/>
        </w:rPr>
      </w:pPr>
      <w:bookmarkStart w:id="1" w:name="n1"/>
      <w:bookmarkStart w:id="2" w:name="n-666770"/>
      <w:bookmarkEnd w:id="1"/>
      <w:bookmarkEnd w:id="2"/>
      <w:r>
        <w:rPr>
          <w:b/>
          <w:bCs/>
          <w:sz w:val="28"/>
          <w:szCs w:val="28"/>
        </w:rPr>
        <w:t>I</w:t>
      </w:r>
      <w:r w:rsidR="00C4098D">
        <w:rPr>
          <w:b/>
          <w:bCs/>
          <w:sz w:val="28"/>
          <w:szCs w:val="28"/>
        </w:rPr>
        <w:t xml:space="preserve">. </w:t>
      </w:r>
      <w:r w:rsidR="00E3179A" w:rsidRPr="00C4098D">
        <w:rPr>
          <w:b/>
          <w:bCs/>
          <w:sz w:val="28"/>
          <w:szCs w:val="28"/>
        </w:rPr>
        <w:t>Vispārīgi</w:t>
      </w:r>
      <w:r w:rsidR="003A6060" w:rsidRPr="00C4098D">
        <w:rPr>
          <w:b/>
          <w:bCs/>
          <w:sz w:val="28"/>
          <w:szCs w:val="28"/>
        </w:rPr>
        <w:t>e</w:t>
      </w:r>
      <w:r w:rsidR="00E3179A" w:rsidRPr="00C4098D">
        <w:rPr>
          <w:b/>
          <w:bCs/>
          <w:sz w:val="28"/>
          <w:szCs w:val="28"/>
        </w:rPr>
        <w:t xml:space="preserve"> jautājum</w:t>
      </w:r>
      <w:r w:rsidR="001341B1" w:rsidRPr="00C4098D">
        <w:rPr>
          <w:b/>
          <w:bCs/>
          <w:sz w:val="28"/>
          <w:szCs w:val="28"/>
        </w:rPr>
        <w:t>i</w:t>
      </w:r>
    </w:p>
    <w:p w:rsidR="00C4098D" w:rsidRPr="00C4098D" w:rsidRDefault="00C4098D" w:rsidP="00C4098D">
      <w:pPr>
        <w:tabs>
          <w:tab w:val="left" w:pos="993"/>
        </w:tabs>
        <w:ind w:left="720"/>
        <w:jc w:val="center"/>
        <w:rPr>
          <w:b/>
          <w:bCs/>
          <w:sz w:val="28"/>
          <w:szCs w:val="28"/>
        </w:rPr>
      </w:pPr>
    </w:p>
    <w:p w:rsidR="00E3179A" w:rsidRPr="00E3179A" w:rsidRDefault="00E3179A" w:rsidP="00E3179A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" w:name="p1"/>
      <w:bookmarkStart w:id="4" w:name="p-666771"/>
      <w:bookmarkEnd w:id="3"/>
      <w:bookmarkEnd w:id="4"/>
      <w:r w:rsidRPr="00E3179A">
        <w:rPr>
          <w:sz w:val="28"/>
          <w:szCs w:val="28"/>
        </w:rPr>
        <w:t>1. Noteikumi nosaka:</w:t>
      </w:r>
    </w:p>
    <w:p w:rsidR="00CF4778" w:rsidRDefault="00E3179A" w:rsidP="00332D0C">
      <w:pPr>
        <w:tabs>
          <w:tab w:val="left" w:pos="993"/>
        </w:tabs>
        <w:ind w:left="1560" w:hanging="567"/>
        <w:jc w:val="both"/>
        <w:rPr>
          <w:sz w:val="28"/>
          <w:szCs w:val="28"/>
        </w:rPr>
      </w:pPr>
      <w:r w:rsidRPr="00E3179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3179A">
        <w:rPr>
          <w:sz w:val="28"/>
          <w:szCs w:val="28"/>
        </w:rPr>
        <w:t>.</w:t>
      </w:r>
      <w:r w:rsidR="00966875">
        <w:rPr>
          <w:sz w:val="28"/>
          <w:szCs w:val="28"/>
        </w:rPr>
        <w:t> </w:t>
      </w:r>
      <w:r w:rsidR="00CF4778">
        <w:rPr>
          <w:sz w:val="28"/>
          <w:szCs w:val="28"/>
        </w:rPr>
        <w:t xml:space="preserve">iemaksas par </w:t>
      </w:r>
      <w:r w:rsidR="00E40293">
        <w:rPr>
          <w:sz w:val="28"/>
          <w:szCs w:val="28"/>
        </w:rPr>
        <w:t xml:space="preserve">valsts nodrošinātās </w:t>
      </w:r>
      <w:r w:rsidR="00CF4778">
        <w:rPr>
          <w:sz w:val="28"/>
          <w:szCs w:val="28"/>
        </w:rPr>
        <w:t>juridiskās palīdzības</w:t>
      </w:r>
      <w:r w:rsidR="00E40293">
        <w:rPr>
          <w:sz w:val="28"/>
          <w:szCs w:val="28"/>
        </w:rPr>
        <w:t xml:space="preserve"> (turpmāk – juridiskās palīdzības)</w:t>
      </w:r>
      <w:r w:rsidR="00CF4778">
        <w:rPr>
          <w:sz w:val="28"/>
          <w:szCs w:val="28"/>
        </w:rPr>
        <w:t xml:space="preserve"> saņemšanu</w:t>
      </w:r>
      <w:r w:rsidR="0031756F">
        <w:rPr>
          <w:sz w:val="28"/>
          <w:szCs w:val="28"/>
        </w:rPr>
        <w:t xml:space="preserve"> (turpmāk – iemaksa) </w:t>
      </w:r>
      <w:r w:rsidR="00CF4778">
        <w:rPr>
          <w:sz w:val="28"/>
          <w:szCs w:val="28"/>
        </w:rPr>
        <w:t>apmēru;</w:t>
      </w:r>
    </w:p>
    <w:p w:rsidR="00304F86" w:rsidRDefault="00ED5BD4" w:rsidP="00332D0C">
      <w:pPr>
        <w:tabs>
          <w:tab w:val="left" w:pos="993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66875">
        <w:rPr>
          <w:sz w:val="28"/>
          <w:szCs w:val="28"/>
        </w:rPr>
        <w:t> </w:t>
      </w:r>
      <w:r w:rsidR="00304F86" w:rsidRPr="00E3179A">
        <w:rPr>
          <w:sz w:val="28"/>
          <w:szCs w:val="28"/>
        </w:rPr>
        <w:t xml:space="preserve">kārtību, kādā </w:t>
      </w:r>
      <w:r w:rsidR="00304F86">
        <w:rPr>
          <w:sz w:val="28"/>
          <w:szCs w:val="28"/>
        </w:rPr>
        <w:t>persona</w:t>
      </w:r>
      <w:r w:rsidR="00304F86" w:rsidRPr="00E3179A">
        <w:rPr>
          <w:sz w:val="28"/>
          <w:szCs w:val="28"/>
        </w:rPr>
        <w:t xml:space="preserve"> veic </w:t>
      </w:r>
      <w:r w:rsidR="00304F86">
        <w:rPr>
          <w:sz w:val="28"/>
          <w:szCs w:val="28"/>
        </w:rPr>
        <w:t>iemaksu;</w:t>
      </w:r>
    </w:p>
    <w:p w:rsidR="00ED5BD4" w:rsidRDefault="00ED5BD4" w:rsidP="00332D0C">
      <w:pPr>
        <w:tabs>
          <w:tab w:val="left" w:pos="993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66875">
        <w:rPr>
          <w:sz w:val="28"/>
          <w:szCs w:val="28"/>
        </w:rPr>
        <w:t> </w:t>
      </w:r>
      <w:r>
        <w:rPr>
          <w:sz w:val="28"/>
          <w:szCs w:val="28"/>
        </w:rPr>
        <w:t>iemaksas atmaksas kārtību.</w:t>
      </w:r>
    </w:p>
    <w:p w:rsidR="004A617C" w:rsidRDefault="00070502" w:rsidP="006C6DE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6DE5">
        <w:rPr>
          <w:sz w:val="28"/>
          <w:szCs w:val="28"/>
        </w:rPr>
        <w:t xml:space="preserve"> </w:t>
      </w:r>
      <w:r w:rsidR="003A6060">
        <w:rPr>
          <w:sz w:val="28"/>
          <w:szCs w:val="28"/>
        </w:rPr>
        <w:t>Iemaksa ir personas vienreizējs maksājums Juridiskās palīdzības administrācijas kontā</w:t>
      </w:r>
      <w:r w:rsidR="006C6DE5">
        <w:rPr>
          <w:sz w:val="28"/>
          <w:szCs w:val="28"/>
        </w:rPr>
        <w:t xml:space="preserve">, ko </w:t>
      </w:r>
      <w:r w:rsidR="00E40293">
        <w:rPr>
          <w:sz w:val="28"/>
          <w:szCs w:val="28"/>
        </w:rPr>
        <w:t xml:space="preserve">persona </w:t>
      </w:r>
      <w:r w:rsidR="006C6DE5">
        <w:rPr>
          <w:sz w:val="28"/>
          <w:szCs w:val="28"/>
        </w:rPr>
        <w:t xml:space="preserve">veic </w:t>
      </w:r>
      <w:r w:rsidR="00E40293">
        <w:rPr>
          <w:sz w:val="28"/>
          <w:szCs w:val="28"/>
        </w:rPr>
        <w:t>saskaņā ar pieņemto lēmumu par juridiskās palīdzības piešķiršanu</w:t>
      </w:r>
      <w:r w:rsidR="006D389A">
        <w:rPr>
          <w:sz w:val="28"/>
          <w:szCs w:val="28"/>
        </w:rPr>
        <w:t>.</w:t>
      </w:r>
    </w:p>
    <w:p w:rsidR="003A6060" w:rsidRDefault="003A6060" w:rsidP="00332D0C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Iemaksa ir Juridiskās palīdzības administrācijas pašu ieņēmums.</w:t>
      </w:r>
    </w:p>
    <w:p w:rsidR="00070502" w:rsidRDefault="00070502" w:rsidP="008F32D0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086354" w:rsidRDefault="00E40293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0F506F" w:rsidRPr="00070502">
        <w:rPr>
          <w:b/>
          <w:sz w:val="28"/>
          <w:szCs w:val="28"/>
        </w:rPr>
        <w:t>. Iemaksas apmērs</w:t>
      </w:r>
    </w:p>
    <w:p w:rsidR="00070502" w:rsidRPr="00070502" w:rsidRDefault="00070502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</w:p>
    <w:p w:rsidR="000F506F" w:rsidRDefault="006D389A" w:rsidP="008F32D0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02">
        <w:rPr>
          <w:sz w:val="28"/>
          <w:szCs w:val="28"/>
        </w:rPr>
        <w:t xml:space="preserve">. </w:t>
      </w:r>
      <w:r w:rsidR="00EE0A12">
        <w:rPr>
          <w:sz w:val="28"/>
          <w:szCs w:val="28"/>
        </w:rPr>
        <w:t xml:space="preserve">Iemaksa </w:t>
      </w:r>
      <w:r w:rsidR="00E40293">
        <w:rPr>
          <w:sz w:val="28"/>
          <w:szCs w:val="28"/>
        </w:rPr>
        <w:t xml:space="preserve">ārpustiesas </w:t>
      </w:r>
      <w:r w:rsidR="00EE0A12">
        <w:rPr>
          <w:sz w:val="28"/>
          <w:szCs w:val="28"/>
        </w:rPr>
        <w:t xml:space="preserve">procesā ir 25 </w:t>
      </w:r>
      <w:proofErr w:type="spellStart"/>
      <w:r w:rsidR="00EE0A12">
        <w:rPr>
          <w:sz w:val="28"/>
          <w:szCs w:val="28"/>
        </w:rPr>
        <w:t>euro</w:t>
      </w:r>
      <w:proofErr w:type="spellEnd"/>
      <w:r w:rsidR="00EE0A12">
        <w:rPr>
          <w:sz w:val="28"/>
          <w:szCs w:val="28"/>
        </w:rPr>
        <w:t>.</w:t>
      </w:r>
    </w:p>
    <w:p w:rsidR="00070502" w:rsidRDefault="006D389A" w:rsidP="008F32D0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502">
        <w:rPr>
          <w:sz w:val="28"/>
          <w:szCs w:val="28"/>
        </w:rPr>
        <w:t xml:space="preserve">. </w:t>
      </w:r>
      <w:r w:rsidR="00EE0A12">
        <w:rPr>
          <w:sz w:val="28"/>
          <w:szCs w:val="28"/>
        </w:rPr>
        <w:t xml:space="preserve">Iemaksa tiesvedības procesā ir 75 </w:t>
      </w:r>
      <w:proofErr w:type="spellStart"/>
      <w:r w:rsidR="00EE0A12">
        <w:rPr>
          <w:sz w:val="28"/>
          <w:szCs w:val="28"/>
        </w:rPr>
        <w:t>euro</w:t>
      </w:r>
      <w:proofErr w:type="spellEnd"/>
      <w:r w:rsidR="00EE0A12">
        <w:rPr>
          <w:sz w:val="28"/>
          <w:szCs w:val="28"/>
        </w:rPr>
        <w:t>.</w:t>
      </w:r>
    </w:p>
    <w:p w:rsidR="00070502" w:rsidRDefault="00070502" w:rsidP="008F32D0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0F506F" w:rsidRDefault="00E40293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070502" w:rsidRPr="000705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0502" w:rsidRPr="00070502">
        <w:rPr>
          <w:b/>
          <w:sz w:val="28"/>
          <w:szCs w:val="28"/>
        </w:rPr>
        <w:t>Iemaksas samaksas kārtība</w:t>
      </w:r>
    </w:p>
    <w:p w:rsidR="00C4098D" w:rsidRPr="00070502" w:rsidRDefault="00C4098D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</w:p>
    <w:p w:rsidR="00F61446" w:rsidRDefault="006D389A" w:rsidP="00F61446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52D">
        <w:rPr>
          <w:sz w:val="28"/>
          <w:szCs w:val="28"/>
        </w:rPr>
        <w:t xml:space="preserve">. </w:t>
      </w:r>
      <w:r w:rsidR="006A4421">
        <w:rPr>
          <w:sz w:val="28"/>
          <w:szCs w:val="28"/>
        </w:rPr>
        <w:t>Pirms juridiskās palīdzības sniedzēja norīkošanas i</w:t>
      </w:r>
      <w:r w:rsidR="0086252D">
        <w:rPr>
          <w:sz w:val="28"/>
          <w:szCs w:val="28"/>
        </w:rPr>
        <w:t xml:space="preserve">emaksu </w:t>
      </w:r>
      <w:r w:rsidR="006A4421">
        <w:rPr>
          <w:sz w:val="28"/>
          <w:szCs w:val="28"/>
        </w:rPr>
        <w:t xml:space="preserve">pilnā apjomā </w:t>
      </w:r>
      <w:r w:rsidR="0086252D">
        <w:rPr>
          <w:sz w:val="28"/>
          <w:szCs w:val="28"/>
        </w:rPr>
        <w:t xml:space="preserve">persona iemaksā atbilstoši lēmumā par juridiskās palīdzības piešķiršanu noteiktajam. </w:t>
      </w:r>
      <w:r w:rsidR="00C4098D">
        <w:rPr>
          <w:sz w:val="28"/>
          <w:szCs w:val="28"/>
        </w:rPr>
        <w:t xml:space="preserve">Juridiskās palīdzības administrācija lēmumā par juridiskās palīdzības piešķiršanu norāda </w:t>
      </w:r>
      <w:r w:rsidR="00E40293">
        <w:rPr>
          <w:sz w:val="28"/>
          <w:szCs w:val="28"/>
        </w:rPr>
        <w:t xml:space="preserve">veicamās </w:t>
      </w:r>
      <w:r w:rsidR="00C4098D">
        <w:rPr>
          <w:sz w:val="28"/>
          <w:szCs w:val="28"/>
        </w:rPr>
        <w:t>iemaksas apmēru, samaksas termiņu un nepieciešamos rekvizītus iemaksas veikšanai.</w:t>
      </w:r>
    </w:p>
    <w:p w:rsidR="00F61446" w:rsidRDefault="00F61446" w:rsidP="00F61446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154D82" w:rsidRDefault="0056086E" w:rsidP="00154D82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4D82">
        <w:rPr>
          <w:sz w:val="28"/>
          <w:szCs w:val="28"/>
        </w:rPr>
        <w:t>. Iemaksu</w:t>
      </w:r>
      <w:r w:rsidR="00154D82" w:rsidRPr="00154D82">
        <w:rPr>
          <w:sz w:val="28"/>
          <w:szCs w:val="28"/>
        </w:rPr>
        <w:t xml:space="preserve"> persona maksā, izmantojot maksājumu pakalpojumu sniedzēja starpniecību, kuram ir tiesības sniegt maksājumu pakalpojumus Maksājumu pakalpojumu un elektroniskās naudas likuma izpratnē.</w:t>
      </w:r>
    </w:p>
    <w:p w:rsidR="00803B3D" w:rsidRDefault="00803B3D" w:rsidP="008F32D0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070502" w:rsidRDefault="00E40293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070502" w:rsidRPr="000705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0502" w:rsidRPr="00070502">
        <w:rPr>
          <w:b/>
          <w:sz w:val="28"/>
          <w:szCs w:val="28"/>
        </w:rPr>
        <w:t>Iemaksas atmaksas kārtība</w:t>
      </w:r>
    </w:p>
    <w:p w:rsidR="0034024E" w:rsidRPr="00070502" w:rsidRDefault="0034024E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</w:p>
    <w:p w:rsidR="00702190" w:rsidRPr="00702190" w:rsidRDefault="00702190" w:rsidP="0070219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02190">
        <w:rPr>
          <w:sz w:val="28"/>
          <w:szCs w:val="28"/>
        </w:rPr>
        <w:t xml:space="preserve">8. Iemaksu personai atmaksā, ja nav uzsākta Juridiskās palīdzības administrācijas lēmuma par juridiskās palīdzības piešķiršanu izpilde.  </w:t>
      </w:r>
    </w:p>
    <w:p w:rsidR="00702190" w:rsidRPr="00702190" w:rsidRDefault="00702190" w:rsidP="0070219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02190">
        <w:rPr>
          <w:sz w:val="28"/>
          <w:szCs w:val="28"/>
        </w:rPr>
        <w:t>9. Juridiskās palīdzības administrācija personai atmaksā iemaksu tās pārmaksātajā daļā, ja persona ir veikusi lielāku iemaksu</w:t>
      </w:r>
      <w:r w:rsidR="002A57B3">
        <w:rPr>
          <w:sz w:val="28"/>
          <w:szCs w:val="28"/>
        </w:rPr>
        <w:t>,</w:t>
      </w:r>
      <w:r w:rsidRPr="00702190">
        <w:rPr>
          <w:sz w:val="28"/>
          <w:szCs w:val="28"/>
        </w:rPr>
        <w:t xml:space="preserve"> nekā norādīts lēmumā par juridiskās palīdzības piešķiršanu. </w:t>
      </w:r>
    </w:p>
    <w:p w:rsidR="008965FE" w:rsidRDefault="00702190" w:rsidP="0070219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5" w:name="_Hlk526234874"/>
      <w:r w:rsidRPr="00702190">
        <w:rPr>
          <w:sz w:val="28"/>
          <w:szCs w:val="28"/>
        </w:rPr>
        <w:t xml:space="preserve">10. Atmaksu </w:t>
      </w:r>
      <w:r w:rsidR="00223FD2" w:rsidRPr="00702190">
        <w:rPr>
          <w:sz w:val="28"/>
          <w:szCs w:val="28"/>
        </w:rPr>
        <w:t>Juridiskās palīdzības administrācija veic uz personas iesnieguma</w:t>
      </w:r>
      <w:r w:rsidR="00223FD2">
        <w:rPr>
          <w:sz w:val="28"/>
          <w:szCs w:val="28"/>
        </w:rPr>
        <w:t>,</w:t>
      </w:r>
      <w:r w:rsidR="00223FD2" w:rsidRPr="00702190">
        <w:rPr>
          <w:sz w:val="28"/>
          <w:szCs w:val="28"/>
        </w:rPr>
        <w:t xml:space="preserve"> kurā ir norādīts norēķinu iestādes konts,</w:t>
      </w:r>
      <w:r w:rsidR="00223FD2">
        <w:rPr>
          <w:sz w:val="28"/>
          <w:szCs w:val="28"/>
        </w:rPr>
        <w:t xml:space="preserve"> </w:t>
      </w:r>
      <w:r w:rsidR="00223FD2" w:rsidRPr="00702190">
        <w:rPr>
          <w:sz w:val="28"/>
          <w:szCs w:val="28"/>
        </w:rPr>
        <w:t>pamata</w:t>
      </w:r>
      <w:r w:rsidRPr="00702190">
        <w:rPr>
          <w:sz w:val="28"/>
          <w:szCs w:val="28"/>
        </w:rPr>
        <w:t xml:space="preserve"> </w:t>
      </w:r>
      <w:r w:rsidR="00223FD2" w:rsidRPr="00702190">
        <w:rPr>
          <w:sz w:val="28"/>
          <w:szCs w:val="28"/>
        </w:rPr>
        <w:t xml:space="preserve">viena mēneša laikā no lēmuma pieņemšanas juridiskās palīdzības lietā </w:t>
      </w:r>
      <w:r w:rsidR="00223FD2">
        <w:rPr>
          <w:sz w:val="28"/>
          <w:szCs w:val="28"/>
        </w:rPr>
        <w:t xml:space="preserve">dienas, bet, </w:t>
      </w:r>
      <w:r w:rsidRPr="00702190">
        <w:rPr>
          <w:sz w:val="28"/>
          <w:szCs w:val="28"/>
        </w:rPr>
        <w:t xml:space="preserve">ja uz </w:t>
      </w:r>
      <w:r w:rsidR="00223FD2">
        <w:rPr>
          <w:sz w:val="28"/>
          <w:szCs w:val="28"/>
        </w:rPr>
        <w:t>minētā lēmuma</w:t>
      </w:r>
      <w:r w:rsidRPr="00702190">
        <w:rPr>
          <w:sz w:val="28"/>
          <w:szCs w:val="28"/>
        </w:rPr>
        <w:t xml:space="preserve"> pieņemšanas brīdi personas iesniegums par atmaksu</w:t>
      </w:r>
      <w:r w:rsidR="00223FD2">
        <w:rPr>
          <w:sz w:val="28"/>
          <w:szCs w:val="28"/>
        </w:rPr>
        <w:t xml:space="preserve"> nav saņemts</w:t>
      </w:r>
      <w:r w:rsidRPr="00702190">
        <w:rPr>
          <w:sz w:val="28"/>
          <w:szCs w:val="28"/>
        </w:rPr>
        <w:t>,</w:t>
      </w:r>
      <w:r w:rsidR="00223FD2">
        <w:rPr>
          <w:sz w:val="28"/>
          <w:szCs w:val="28"/>
        </w:rPr>
        <w:t xml:space="preserve"> tad atmaksu veic mēneša laikā pēc attiecīgā iesnieguma</w:t>
      </w:r>
      <w:r w:rsidR="00B501BE">
        <w:rPr>
          <w:sz w:val="28"/>
          <w:szCs w:val="28"/>
        </w:rPr>
        <w:t>, kas saņemts gada laikā kopš lēmuma juridiskās palīdzības lietā pieņemšanas,</w:t>
      </w:r>
      <w:r w:rsidR="00223FD2">
        <w:rPr>
          <w:sz w:val="28"/>
          <w:szCs w:val="28"/>
        </w:rPr>
        <w:t xml:space="preserve"> saņemšanas.</w:t>
      </w:r>
      <w:r w:rsidRPr="00702190">
        <w:rPr>
          <w:sz w:val="28"/>
          <w:szCs w:val="28"/>
        </w:rPr>
        <w:t xml:space="preserve"> </w:t>
      </w:r>
    </w:p>
    <w:p w:rsidR="00B501BE" w:rsidRDefault="00B501BE" w:rsidP="00702190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bookmarkEnd w:id="5"/>
    <w:p w:rsidR="00702190" w:rsidRDefault="00223FD2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0502" w:rsidRPr="00070502" w:rsidRDefault="00E40293" w:rsidP="00070502">
      <w:pPr>
        <w:tabs>
          <w:tab w:val="left" w:pos="993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0502" w:rsidRPr="000705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0502" w:rsidRPr="00070502">
        <w:rPr>
          <w:b/>
          <w:sz w:val="28"/>
          <w:szCs w:val="28"/>
        </w:rPr>
        <w:t>Noslēguma jautājum</w:t>
      </w:r>
      <w:r>
        <w:rPr>
          <w:b/>
          <w:sz w:val="28"/>
          <w:szCs w:val="28"/>
        </w:rPr>
        <w:t>s</w:t>
      </w:r>
    </w:p>
    <w:p w:rsidR="00AD286F" w:rsidRPr="0053757E" w:rsidRDefault="00AD286F" w:rsidP="00AD286F">
      <w:pPr>
        <w:jc w:val="both"/>
        <w:rPr>
          <w:bCs/>
          <w:color w:val="000000" w:themeColor="text1"/>
          <w:sz w:val="28"/>
          <w:szCs w:val="28"/>
        </w:rPr>
      </w:pPr>
    </w:p>
    <w:p w:rsidR="002A3614" w:rsidRPr="0053757E" w:rsidRDefault="006D389A" w:rsidP="008F32D0">
      <w:pPr>
        <w:pStyle w:val="naisf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702190">
        <w:rPr>
          <w:sz w:val="28"/>
          <w:szCs w:val="28"/>
        </w:rPr>
        <w:t>1</w:t>
      </w:r>
      <w:r w:rsidR="001D652A">
        <w:rPr>
          <w:sz w:val="28"/>
          <w:szCs w:val="28"/>
        </w:rPr>
        <w:t>.</w:t>
      </w:r>
      <w:r w:rsidR="00ED7487">
        <w:rPr>
          <w:sz w:val="28"/>
          <w:szCs w:val="28"/>
        </w:rPr>
        <w:t> </w:t>
      </w:r>
      <w:r w:rsidR="00C07D63" w:rsidRPr="0053757E">
        <w:rPr>
          <w:sz w:val="28"/>
          <w:szCs w:val="28"/>
        </w:rPr>
        <w:t>Noteikumi stājas spēkā 201</w:t>
      </w:r>
      <w:r w:rsidR="0069720C">
        <w:rPr>
          <w:sz w:val="28"/>
          <w:szCs w:val="28"/>
        </w:rPr>
        <w:t>9</w:t>
      </w:r>
      <w:r w:rsidR="00C07D63" w:rsidRPr="0053757E">
        <w:rPr>
          <w:sz w:val="28"/>
          <w:szCs w:val="28"/>
        </w:rPr>
        <w:t>.</w:t>
      </w:r>
      <w:r w:rsidR="00C9151E" w:rsidRPr="0014571F">
        <w:rPr>
          <w:sz w:val="28"/>
          <w:szCs w:val="28"/>
        </w:rPr>
        <w:t> </w:t>
      </w:r>
      <w:r w:rsidR="00C07D63" w:rsidRPr="0053757E">
        <w:rPr>
          <w:sz w:val="28"/>
          <w:szCs w:val="28"/>
        </w:rPr>
        <w:t>gada 1.</w:t>
      </w:r>
      <w:r w:rsidR="00C9151E" w:rsidRPr="0014571F">
        <w:rPr>
          <w:sz w:val="28"/>
          <w:szCs w:val="28"/>
        </w:rPr>
        <w:t> </w:t>
      </w:r>
      <w:r w:rsidR="0069720C">
        <w:rPr>
          <w:sz w:val="28"/>
          <w:szCs w:val="28"/>
        </w:rPr>
        <w:t>janvārī</w:t>
      </w:r>
      <w:r w:rsidR="00B45213" w:rsidRPr="0053757E">
        <w:rPr>
          <w:sz w:val="28"/>
          <w:szCs w:val="28"/>
        </w:rPr>
        <w:t>.</w:t>
      </w:r>
    </w:p>
    <w:p w:rsidR="002A3614" w:rsidRDefault="002A3614" w:rsidP="002A3614">
      <w:pPr>
        <w:rPr>
          <w:sz w:val="28"/>
          <w:szCs w:val="28"/>
        </w:rPr>
      </w:pPr>
    </w:p>
    <w:p w:rsidR="0025387F" w:rsidRDefault="0025387F" w:rsidP="002A3614">
      <w:pPr>
        <w:rPr>
          <w:sz w:val="28"/>
          <w:szCs w:val="28"/>
        </w:rPr>
      </w:pPr>
    </w:p>
    <w:p w:rsidR="0025387F" w:rsidRDefault="0025387F" w:rsidP="002A3614">
      <w:pPr>
        <w:rPr>
          <w:sz w:val="28"/>
          <w:szCs w:val="28"/>
        </w:rPr>
      </w:pPr>
    </w:p>
    <w:p w:rsidR="002A3614" w:rsidRDefault="002A3614" w:rsidP="000E0132">
      <w:pPr>
        <w:rPr>
          <w:sz w:val="28"/>
          <w:szCs w:val="28"/>
        </w:rPr>
      </w:pPr>
      <w:r w:rsidRPr="0053757E">
        <w:rPr>
          <w:sz w:val="28"/>
          <w:szCs w:val="28"/>
        </w:rPr>
        <w:t>Ministru prezidents</w:t>
      </w:r>
      <w:r w:rsidRPr="0053757E">
        <w:rPr>
          <w:sz w:val="28"/>
          <w:szCs w:val="28"/>
        </w:rPr>
        <w:tab/>
      </w:r>
      <w:r w:rsidRPr="0053757E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Pr="0053757E">
        <w:rPr>
          <w:sz w:val="28"/>
          <w:szCs w:val="28"/>
        </w:rPr>
        <w:t>Māris Kučinskis</w:t>
      </w:r>
    </w:p>
    <w:p w:rsidR="00D35787" w:rsidRPr="0053757E" w:rsidRDefault="00D35787" w:rsidP="00ED7487">
      <w:pPr>
        <w:rPr>
          <w:sz w:val="28"/>
          <w:szCs w:val="28"/>
        </w:rPr>
      </w:pPr>
    </w:p>
    <w:p w:rsidR="002A3614" w:rsidRPr="0053757E" w:rsidRDefault="002A3614" w:rsidP="000E0132">
      <w:pPr>
        <w:rPr>
          <w:sz w:val="28"/>
          <w:szCs w:val="28"/>
        </w:rPr>
      </w:pPr>
      <w:r w:rsidRPr="0053757E">
        <w:rPr>
          <w:sz w:val="28"/>
          <w:szCs w:val="28"/>
        </w:rPr>
        <w:t>Tieslietu ministrs</w:t>
      </w:r>
      <w:r w:rsidRPr="0053757E">
        <w:rPr>
          <w:sz w:val="28"/>
          <w:szCs w:val="28"/>
        </w:rPr>
        <w:tab/>
      </w:r>
      <w:r w:rsidRPr="0053757E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69720C">
        <w:rPr>
          <w:sz w:val="28"/>
          <w:szCs w:val="28"/>
        </w:rPr>
        <w:t xml:space="preserve">         </w:t>
      </w:r>
      <w:r w:rsidRPr="0053757E">
        <w:rPr>
          <w:sz w:val="28"/>
          <w:szCs w:val="28"/>
        </w:rPr>
        <w:t>Dzintars Rasnačs</w:t>
      </w:r>
    </w:p>
    <w:p w:rsidR="00C54E27" w:rsidRDefault="00C54E27" w:rsidP="00ED7487">
      <w:pPr>
        <w:rPr>
          <w:sz w:val="28"/>
          <w:szCs w:val="28"/>
        </w:rPr>
      </w:pPr>
    </w:p>
    <w:p w:rsidR="002A3614" w:rsidRPr="0053757E" w:rsidRDefault="002A3614" w:rsidP="000E0132">
      <w:pPr>
        <w:rPr>
          <w:sz w:val="28"/>
          <w:szCs w:val="28"/>
        </w:rPr>
      </w:pPr>
      <w:r w:rsidRPr="0053757E">
        <w:rPr>
          <w:sz w:val="28"/>
          <w:szCs w:val="28"/>
        </w:rPr>
        <w:t>Iesniedzējs:</w:t>
      </w:r>
    </w:p>
    <w:p w:rsidR="003C1361" w:rsidRPr="0053757E" w:rsidRDefault="00ED7487" w:rsidP="000E013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D652A">
        <w:rPr>
          <w:sz w:val="28"/>
          <w:szCs w:val="28"/>
        </w:rPr>
        <w:t xml:space="preserve">ieslietu </w:t>
      </w:r>
      <w:r w:rsidR="0059108C">
        <w:rPr>
          <w:sz w:val="28"/>
          <w:szCs w:val="28"/>
        </w:rPr>
        <w:t>ministrs</w:t>
      </w:r>
      <w:r w:rsidR="002A3614" w:rsidRPr="0053757E">
        <w:rPr>
          <w:sz w:val="28"/>
          <w:szCs w:val="28"/>
        </w:rPr>
        <w:t xml:space="preserve"> </w:t>
      </w:r>
      <w:r w:rsidR="002A3614" w:rsidRPr="0053757E">
        <w:rPr>
          <w:sz w:val="28"/>
          <w:szCs w:val="28"/>
        </w:rPr>
        <w:tab/>
      </w:r>
      <w:r w:rsidR="002A3614" w:rsidRPr="0053757E">
        <w:rPr>
          <w:sz w:val="28"/>
          <w:szCs w:val="28"/>
        </w:rPr>
        <w:tab/>
      </w:r>
      <w:bookmarkStart w:id="6" w:name="_GoBack"/>
      <w:bookmarkEnd w:id="6"/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r w:rsidR="00851000">
        <w:rPr>
          <w:sz w:val="28"/>
          <w:szCs w:val="28"/>
        </w:rPr>
        <w:tab/>
      </w:r>
      <w:bookmarkEnd w:id="0"/>
      <w:r w:rsidR="0069720C">
        <w:rPr>
          <w:sz w:val="28"/>
          <w:szCs w:val="28"/>
        </w:rPr>
        <w:t xml:space="preserve">         </w:t>
      </w:r>
      <w:r w:rsidR="0059108C">
        <w:rPr>
          <w:sz w:val="28"/>
          <w:szCs w:val="28"/>
        </w:rPr>
        <w:t>Dzintars Rasnačs</w:t>
      </w:r>
    </w:p>
    <w:sectPr w:rsidR="003C1361" w:rsidRPr="0053757E" w:rsidSect="002C24D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F8" w:rsidRDefault="00BD30F8">
      <w:r>
        <w:separator/>
      </w:r>
    </w:p>
  </w:endnote>
  <w:endnote w:type="continuationSeparator" w:id="0">
    <w:p w:rsidR="00BD30F8" w:rsidRDefault="00B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CF" w:rsidRPr="000E0132" w:rsidRDefault="007D58CF" w:rsidP="00427CE7">
    <w:pPr>
      <w:jc w:val="both"/>
      <w:rPr>
        <w:sz w:val="22"/>
      </w:rPr>
    </w:pPr>
    <w:r w:rsidRPr="000E0132">
      <w:rPr>
        <w:sz w:val="20"/>
        <w:szCs w:val="22"/>
      </w:rPr>
      <w:t>TMnot_</w:t>
    </w:r>
    <w:r w:rsidR="00374779">
      <w:rPr>
        <w:sz w:val="20"/>
        <w:szCs w:val="22"/>
      </w:rPr>
      <w:t>0</w:t>
    </w:r>
    <w:r w:rsidR="00CB29F3">
      <w:rPr>
        <w:sz w:val="20"/>
        <w:szCs w:val="22"/>
      </w:rPr>
      <w:t>8</w:t>
    </w:r>
    <w:r w:rsidR="00374779">
      <w:rPr>
        <w:sz w:val="20"/>
        <w:szCs w:val="22"/>
      </w:rPr>
      <w:t>10</w:t>
    </w:r>
    <w:r w:rsidRPr="000E0132">
      <w:rPr>
        <w:sz w:val="20"/>
        <w:szCs w:val="22"/>
      </w:rPr>
      <w:t>18_</w:t>
    </w:r>
    <w:r w:rsidR="006D389A">
      <w:rPr>
        <w:sz w:val="20"/>
        <w:szCs w:val="22"/>
      </w:rPr>
      <w:t>iemaksa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CF" w:rsidRPr="000E0132" w:rsidRDefault="007D58CF" w:rsidP="009850E3">
    <w:pPr>
      <w:pStyle w:val="Kjene"/>
      <w:tabs>
        <w:tab w:val="clear" w:pos="4153"/>
        <w:tab w:val="clear" w:pos="8306"/>
        <w:tab w:val="left" w:pos="3450"/>
      </w:tabs>
      <w:rPr>
        <w:sz w:val="14"/>
        <w:szCs w:val="16"/>
      </w:rPr>
    </w:pPr>
    <w:r w:rsidRPr="000E0132">
      <w:rPr>
        <w:sz w:val="20"/>
        <w:szCs w:val="22"/>
      </w:rPr>
      <w:t>TMnot_140318_takses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F8" w:rsidRDefault="00BD30F8">
      <w:r>
        <w:separator/>
      </w:r>
    </w:p>
  </w:footnote>
  <w:footnote w:type="continuationSeparator" w:id="0">
    <w:p w:rsidR="00BD30F8" w:rsidRDefault="00BD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CF" w:rsidRDefault="007D58CF" w:rsidP="009850E3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CF" w:rsidRDefault="007D58CF">
    <w:pPr>
      <w:pStyle w:val="Galvene"/>
      <w:jc w:val="center"/>
    </w:pPr>
  </w:p>
  <w:p w:rsidR="007D58CF" w:rsidRDefault="007D58C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420757"/>
      <w:docPartObj>
        <w:docPartGallery w:val="Page Numbers (Top of Page)"/>
        <w:docPartUnique/>
      </w:docPartObj>
    </w:sdtPr>
    <w:sdtEndPr/>
    <w:sdtContent>
      <w:p w:rsidR="002C24DF" w:rsidRDefault="002C24D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24DF" w:rsidRDefault="002C24D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5AF"/>
    <w:multiLevelType w:val="hybridMultilevel"/>
    <w:tmpl w:val="4A865592"/>
    <w:lvl w:ilvl="0" w:tplc="5E2897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507"/>
    <w:multiLevelType w:val="multilevel"/>
    <w:tmpl w:val="A24E03C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0D117C93"/>
    <w:multiLevelType w:val="hybridMultilevel"/>
    <w:tmpl w:val="B3F650FC"/>
    <w:lvl w:ilvl="0" w:tplc="4C82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A36E4"/>
    <w:multiLevelType w:val="hybridMultilevel"/>
    <w:tmpl w:val="B79C6B70"/>
    <w:lvl w:ilvl="0" w:tplc="FA76072E">
      <w:start w:val="9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6CE7FA4"/>
    <w:multiLevelType w:val="multilevel"/>
    <w:tmpl w:val="034E05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21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180061AE"/>
    <w:multiLevelType w:val="multilevel"/>
    <w:tmpl w:val="3DF0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8800AC"/>
    <w:multiLevelType w:val="multilevel"/>
    <w:tmpl w:val="C7BC259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C7C73E9"/>
    <w:multiLevelType w:val="hybridMultilevel"/>
    <w:tmpl w:val="98F42FFC"/>
    <w:lvl w:ilvl="0" w:tplc="14101316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2C5A"/>
    <w:multiLevelType w:val="hybridMultilevel"/>
    <w:tmpl w:val="BD306598"/>
    <w:lvl w:ilvl="0" w:tplc="12B63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00950"/>
    <w:multiLevelType w:val="multilevel"/>
    <w:tmpl w:val="B4603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93806EB"/>
    <w:multiLevelType w:val="hybridMultilevel"/>
    <w:tmpl w:val="1DF80ECA"/>
    <w:lvl w:ilvl="0" w:tplc="C4C43FF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53BF0"/>
    <w:multiLevelType w:val="hybridMultilevel"/>
    <w:tmpl w:val="7910B5B0"/>
    <w:lvl w:ilvl="0" w:tplc="7076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A1FD2"/>
    <w:multiLevelType w:val="multilevel"/>
    <w:tmpl w:val="C8CEFD4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3E865FE2"/>
    <w:multiLevelType w:val="hybridMultilevel"/>
    <w:tmpl w:val="AE08102C"/>
    <w:lvl w:ilvl="0" w:tplc="4282C9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1A0"/>
    <w:multiLevelType w:val="hybridMultilevel"/>
    <w:tmpl w:val="16E25378"/>
    <w:lvl w:ilvl="0" w:tplc="D6F4F0A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94E92"/>
    <w:multiLevelType w:val="hybridMultilevel"/>
    <w:tmpl w:val="BD306598"/>
    <w:lvl w:ilvl="0" w:tplc="12B63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117EE"/>
    <w:multiLevelType w:val="multilevel"/>
    <w:tmpl w:val="B4603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1194C44"/>
    <w:multiLevelType w:val="multilevel"/>
    <w:tmpl w:val="B4603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63F45C3F"/>
    <w:multiLevelType w:val="hybridMultilevel"/>
    <w:tmpl w:val="2BBAF7AA"/>
    <w:lvl w:ilvl="0" w:tplc="E26AB35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D86405"/>
    <w:multiLevelType w:val="hybridMultilevel"/>
    <w:tmpl w:val="90708C7C"/>
    <w:lvl w:ilvl="0" w:tplc="DFA0854E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65F2C"/>
    <w:multiLevelType w:val="multilevel"/>
    <w:tmpl w:val="B4603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93C419B"/>
    <w:multiLevelType w:val="multilevel"/>
    <w:tmpl w:val="0EAAFDF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auto"/>
      </w:rPr>
    </w:lvl>
  </w:abstractNum>
  <w:abstractNum w:abstractNumId="23" w15:restartNumberingAfterBreak="0">
    <w:nsid w:val="7BC92C5C"/>
    <w:multiLevelType w:val="hybridMultilevel"/>
    <w:tmpl w:val="210C106E"/>
    <w:lvl w:ilvl="0" w:tplc="FC82D1E0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7FE00BA4"/>
    <w:multiLevelType w:val="hybridMultilevel"/>
    <w:tmpl w:val="DB7A8D66"/>
    <w:lvl w:ilvl="0" w:tplc="454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8"/>
  </w:num>
  <w:num w:numId="11">
    <w:abstractNumId w:val="16"/>
  </w:num>
  <w:num w:numId="12">
    <w:abstractNumId w:val="23"/>
  </w:num>
  <w:num w:numId="13">
    <w:abstractNumId w:val="3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21"/>
  </w:num>
  <w:num w:numId="20">
    <w:abstractNumId w:val="4"/>
  </w:num>
  <w:num w:numId="21">
    <w:abstractNumId w:val="1"/>
  </w:num>
  <w:num w:numId="22">
    <w:abstractNumId w:val="12"/>
  </w:num>
  <w:num w:numId="23">
    <w:abstractNumId w:val="22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E9"/>
    <w:rsid w:val="00001E5E"/>
    <w:rsid w:val="000229FD"/>
    <w:rsid w:val="000271D4"/>
    <w:rsid w:val="00030DA0"/>
    <w:rsid w:val="0003192A"/>
    <w:rsid w:val="00032E5B"/>
    <w:rsid w:val="00033628"/>
    <w:rsid w:val="00040994"/>
    <w:rsid w:val="00043361"/>
    <w:rsid w:val="0004419C"/>
    <w:rsid w:val="00044295"/>
    <w:rsid w:val="00050E14"/>
    <w:rsid w:val="0005493E"/>
    <w:rsid w:val="00063F3D"/>
    <w:rsid w:val="000667D8"/>
    <w:rsid w:val="00070502"/>
    <w:rsid w:val="00071319"/>
    <w:rsid w:val="00077D80"/>
    <w:rsid w:val="00077F64"/>
    <w:rsid w:val="00080079"/>
    <w:rsid w:val="00086354"/>
    <w:rsid w:val="00093037"/>
    <w:rsid w:val="000C0AE9"/>
    <w:rsid w:val="000C436A"/>
    <w:rsid w:val="000D0120"/>
    <w:rsid w:val="000D0F21"/>
    <w:rsid w:val="000D3332"/>
    <w:rsid w:val="000E0132"/>
    <w:rsid w:val="000E364E"/>
    <w:rsid w:val="000E7544"/>
    <w:rsid w:val="000F1975"/>
    <w:rsid w:val="000F506F"/>
    <w:rsid w:val="000F537E"/>
    <w:rsid w:val="001026A0"/>
    <w:rsid w:val="00106F47"/>
    <w:rsid w:val="00114AFA"/>
    <w:rsid w:val="0012709C"/>
    <w:rsid w:val="00127655"/>
    <w:rsid w:val="0013261A"/>
    <w:rsid w:val="001341B1"/>
    <w:rsid w:val="001378FF"/>
    <w:rsid w:val="0014092E"/>
    <w:rsid w:val="0014327E"/>
    <w:rsid w:val="00145736"/>
    <w:rsid w:val="00150154"/>
    <w:rsid w:val="00153DDB"/>
    <w:rsid w:val="00154D82"/>
    <w:rsid w:val="00156DD2"/>
    <w:rsid w:val="00165482"/>
    <w:rsid w:val="001668F9"/>
    <w:rsid w:val="001731E2"/>
    <w:rsid w:val="0017608E"/>
    <w:rsid w:val="00180954"/>
    <w:rsid w:val="0019051E"/>
    <w:rsid w:val="00192FD1"/>
    <w:rsid w:val="00193698"/>
    <w:rsid w:val="001A1428"/>
    <w:rsid w:val="001A36E5"/>
    <w:rsid w:val="001B2189"/>
    <w:rsid w:val="001C4599"/>
    <w:rsid w:val="001C4767"/>
    <w:rsid w:val="001C62D7"/>
    <w:rsid w:val="001D040B"/>
    <w:rsid w:val="001D652A"/>
    <w:rsid w:val="001E002F"/>
    <w:rsid w:val="001E61B6"/>
    <w:rsid w:val="001F631F"/>
    <w:rsid w:val="00200487"/>
    <w:rsid w:val="00203744"/>
    <w:rsid w:val="002050E0"/>
    <w:rsid w:val="00212C97"/>
    <w:rsid w:val="00212E11"/>
    <w:rsid w:val="00223FD2"/>
    <w:rsid w:val="00226AF0"/>
    <w:rsid w:val="00230F23"/>
    <w:rsid w:val="002510DC"/>
    <w:rsid w:val="00253594"/>
    <w:rsid w:val="0025387F"/>
    <w:rsid w:val="00260045"/>
    <w:rsid w:val="002620EF"/>
    <w:rsid w:val="00266DF9"/>
    <w:rsid w:val="002708EB"/>
    <w:rsid w:val="00270CC3"/>
    <w:rsid w:val="00271402"/>
    <w:rsid w:val="00273FAA"/>
    <w:rsid w:val="002751DC"/>
    <w:rsid w:val="0027598F"/>
    <w:rsid w:val="00277D57"/>
    <w:rsid w:val="00283EA6"/>
    <w:rsid w:val="002906DE"/>
    <w:rsid w:val="0029097D"/>
    <w:rsid w:val="002919AB"/>
    <w:rsid w:val="00292513"/>
    <w:rsid w:val="002975C3"/>
    <w:rsid w:val="00297CB3"/>
    <w:rsid w:val="002A0E7A"/>
    <w:rsid w:val="002A2959"/>
    <w:rsid w:val="002A3614"/>
    <w:rsid w:val="002A47F7"/>
    <w:rsid w:val="002A52AF"/>
    <w:rsid w:val="002A57B3"/>
    <w:rsid w:val="002B0298"/>
    <w:rsid w:val="002B04E9"/>
    <w:rsid w:val="002B31A9"/>
    <w:rsid w:val="002B327E"/>
    <w:rsid w:val="002C18D9"/>
    <w:rsid w:val="002C24DF"/>
    <w:rsid w:val="002C26A7"/>
    <w:rsid w:val="002C64BB"/>
    <w:rsid w:val="002C6941"/>
    <w:rsid w:val="002D5A76"/>
    <w:rsid w:val="002D6E6F"/>
    <w:rsid w:val="002E6181"/>
    <w:rsid w:val="002E6EE8"/>
    <w:rsid w:val="002F3EA7"/>
    <w:rsid w:val="002F41B1"/>
    <w:rsid w:val="002F6F81"/>
    <w:rsid w:val="002F71A3"/>
    <w:rsid w:val="002F73AA"/>
    <w:rsid w:val="00300BD3"/>
    <w:rsid w:val="00304F86"/>
    <w:rsid w:val="00305A23"/>
    <w:rsid w:val="0030775D"/>
    <w:rsid w:val="00312194"/>
    <w:rsid w:val="0031756F"/>
    <w:rsid w:val="003214D4"/>
    <w:rsid w:val="00324932"/>
    <w:rsid w:val="003255C3"/>
    <w:rsid w:val="00326446"/>
    <w:rsid w:val="0032684D"/>
    <w:rsid w:val="003328D1"/>
    <w:rsid w:val="00332D0C"/>
    <w:rsid w:val="00337392"/>
    <w:rsid w:val="0034024E"/>
    <w:rsid w:val="003428ED"/>
    <w:rsid w:val="003524A5"/>
    <w:rsid w:val="003554B1"/>
    <w:rsid w:val="00356334"/>
    <w:rsid w:val="003701C3"/>
    <w:rsid w:val="00370425"/>
    <w:rsid w:val="0037376C"/>
    <w:rsid w:val="00374779"/>
    <w:rsid w:val="00377097"/>
    <w:rsid w:val="00383359"/>
    <w:rsid w:val="00393280"/>
    <w:rsid w:val="003952D2"/>
    <w:rsid w:val="003A0B39"/>
    <w:rsid w:val="003A268B"/>
    <w:rsid w:val="003A41AA"/>
    <w:rsid w:val="003A6060"/>
    <w:rsid w:val="003A64C3"/>
    <w:rsid w:val="003B019F"/>
    <w:rsid w:val="003B2A6E"/>
    <w:rsid w:val="003C1361"/>
    <w:rsid w:val="003D0970"/>
    <w:rsid w:val="003D297A"/>
    <w:rsid w:val="003D2E8A"/>
    <w:rsid w:val="003D6780"/>
    <w:rsid w:val="003F2120"/>
    <w:rsid w:val="003F5711"/>
    <w:rsid w:val="003F5DC3"/>
    <w:rsid w:val="003F77F6"/>
    <w:rsid w:val="00404048"/>
    <w:rsid w:val="004059B2"/>
    <w:rsid w:val="00405B98"/>
    <w:rsid w:val="00410349"/>
    <w:rsid w:val="0041359E"/>
    <w:rsid w:val="0041549C"/>
    <w:rsid w:val="00415ABD"/>
    <w:rsid w:val="00416368"/>
    <w:rsid w:val="0041799F"/>
    <w:rsid w:val="004237DC"/>
    <w:rsid w:val="0042483F"/>
    <w:rsid w:val="00424F49"/>
    <w:rsid w:val="0042572C"/>
    <w:rsid w:val="00427CE7"/>
    <w:rsid w:val="00446680"/>
    <w:rsid w:val="004509B9"/>
    <w:rsid w:val="00450A92"/>
    <w:rsid w:val="00455C69"/>
    <w:rsid w:val="00457493"/>
    <w:rsid w:val="0046177C"/>
    <w:rsid w:val="00462940"/>
    <w:rsid w:val="00463708"/>
    <w:rsid w:val="00472CE9"/>
    <w:rsid w:val="0047604F"/>
    <w:rsid w:val="004764FC"/>
    <w:rsid w:val="00490147"/>
    <w:rsid w:val="004914D3"/>
    <w:rsid w:val="004950DD"/>
    <w:rsid w:val="0049561A"/>
    <w:rsid w:val="004A0B61"/>
    <w:rsid w:val="004A17D2"/>
    <w:rsid w:val="004A1B6D"/>
    <w:rsid w:val="004A224C"/>
    <w:rsid w:val="004A617C"/>
    <w:rsid w:val="004A6B29"/>
    <w:rsid w:val="004A7652"/>
    <w:rsid w:val="004A76ED"/>
    <w:rsid w:val="004C27CC"/>
    <w:rsid w:val="004C5272"/>
    <w:rsid w:val="004D25AA"/>
    <w:rsid w:val="004D3598"/>
    <w:rsid w:val="004D5250"/>
    <w:rsid w:val="004E211A"/>
    <w:rsid w:val="004E636E"/>
    <w:rsid w:val="004E6BD1"/>
    <w:rsid w:val="004F0DF1"/>
    <w:rsid w:val="004F3392"/>
    <w:rsid w:val="004F35A7"/>
    <w:rsid w:val="004F4355"/>
    <w:rsid w:val="005009C7"/>
    <w:rsid w:val="00503967"/>
    <w:rsid w:val="00511133"/>
    <w:rsid w:val="00511AFE"/>
    <w:rsid w:val="005174AE"/>
    <w:rsid w:val="0052659E"/>
    <w:rsid w:val="005279AB"/>
    <w:rsid w:val="00534A72"/>
    <w:rsid w:val="0053757E"/>
    <w:rsid w:val="0056086E"/>
    <w:rsid w:val="005640A6"/>
    <w:rsid w:val="00574EB9"/>
    <w:rsid w:val="005766EA"/>
    <w:rsid w:val="00583D32"/>
    <w:rsid w:val="00583DD2"/>
    <w:rsid w:val="00583FC2"/>
    <w:rsid w:val="0058474F"/>
    <w:rsid w:val="0059108C"/>
    <w:rsid w:val="00596FCE"/>
    <w:rsid w:val="005A2E81"/>
    <w:rsid w:val="005A3377"/>
    <w:rsid w:val="005B4259"/>
    <w:rsid w:val="005B4EC4"/>
    <w:rsid w:val="005B6147"/>
    <w:rsid w:val="005C074A"/>
    <w:rsid w:val="005C24BF"/>
    <w:rsid w:val="005C2971"/>
    <w:rsid w:val="005C3124"/>
    <w:rsid w:val="005D7FCA"/>
    <w:rsid w:val="005E0CBC"/>
    <w:rsid w:val="005E78D0"/>
    <w:rsid w:val="005F07B6"/>
    <w:rsid w:val="005F1A69"/>
    <w:rsid w:val="005F3E50"/>
    <w:rsid w:val="005F5184"/>
    <w:rsid w:val="005F745E"/>
    <w:rsid w:val="00600ECB"/>
    <w:rsid w:val="00627024"/>
    <w:rsid w:val="00627887"/>
    <w:rsid w:val="0063310F"/>
    <w:rsid w:val="00635BAA"/>
    <w:rsid w:val="0063628E"/>
    <w:rsid w:val="00642313"/>
    <w:rsid w:val="00644F2D"/>
    <w:rsid w:val="00646781"/>
    <w:rsid w:val="00651673"/>
    <w:rsid w:val="00651813"/>
    <w:rsid w:val="00651AA4"/>
    <w:rsid w:val="00651DED"/>
    <w:rsid w:val="00652D1B"/>
    <w:rsid w:val="00662945"/>
    <w:rsid w:val="00671E37"/>
    <w:rsid w:val="00675A8C"/>
    <w:rsid w:val="0067618B"/>
    <w:rsid w:val="00685133"/>
    <w:rsid w:val="006855FD"/>
    <w:rsid w:val="00692E96"/>
    <w:rsid w:val="0069720C"/>
    <w:rsid w:val="0069721D"/>
    <w:rsid w:val="006973FE"/>
    <w:rsid w:val="006A271D"/>
    <w:rsid w:val="006A39D4"/>
    <w:rsid w:val="006A410F"/>
    <w:rsid w:val="006A4421"/>
    <w:rsid w:val="006B229D"/>
    <w:rsid w:val="006B529F"/>
    <w:rsid w:val="006B53D1"/>
    <w:rsid w:val="006B614B"/>
    <w:rsid w:val="006B6FC6"/>
    <w:rsid w:val="006C113A"/>
    <w:rsid w:val="006C4D27"/>
    <w:rsid w:val="006C55EB"/>
    <w:rsid w:val="006C6DE5"/>
    <w:rsid w:val="006D389A"/>
    <w:rsid w:val="006F0FA6"/>
    <w:rsid w:val="006F1C3A"/>
    <w:rsid w:val="006F3FE1"/>
    <w:rsid w:val="00702190"/>
    <w:rsid w:val="00706898"/>
    <w:rsid w:val="00713BBD"/>
    <w:rsid w:val="00715730"/>
    <w:rsid w:val="0071599B"/>
    <w:rsid w:val="00715A74"/>
    <w:rsid w:val="00726134"/>
    <w:rsid w:val="00726E41"/>
    <w:rsid w:val="00732B6A"/>
    <w:rsid w:val="00734BDE"/>
    <w:rsid w:val="007353B8"/>
    <w:rsid w:val="007407C9"/>
    <w:rsid w:val="00742B5C"/>
    <w:rsid w:val="00746440"/>
    <w:rsid w:val="00746FE3"/>
    <w:rsid w:val="00750277"/>
    <w:rsid w:val="007534B9"/>
    <w:rsid w:val="00755457"/>
    <w:rsid w:val="007604E2"/>
    <w:rsid w:val="00761BF2"/>
    <w:rsid w:val="0076421E"/>
    <w:rsid w:val="007675C6"/>
    <w:rsid w:val="00771F5B"/>
    <w:rsid w:val="00774BA0"/>
    <w:rsid w:val="00777ECF"/>
    <w:rsid w:val="00790F54"/>
    <w:rsid w:val="00792133"/>
    <w:rsid w:val="00794CC9"/>
    <w:rsid w:val="007A35B3"/>
    <w:rsid w:val="007A44C7"/>
    <w:rsid w:val="007A757E"/>
    <w:rsid w:val="007B2E8E"/>
    <w:rsid w:val="007B6294"/>
    <w:rsid w:val="007C4FE2"/>
    <w:rsid w:val="007C69D2"/>
    <w:rsid w:val="007D24FA"/>
    <w:rsid w:val="007D58CF"/>
    <w:rsid w:val="007D6488"/>
    <w:rsid w:val="007E3E8B"/>
    <w:rsid w:val="007E53BD"/>
    <w:rsid w:val="007E5DEC"/>
    <w:rsid w:val="007F179C"/>
    <w:rsid w:val="007F4A54"/>
    <w:rsid w:val="007F7ADB"/>
    <w:rsid w:val="00802B2D"/>
    <w:rsid w:val="00803B3D"/>
    <w:rsid w:val="00806739"/>
    <w:rsid w:val="00807324"/>
    <w:rsid w:val="00807B6A"/>
    <w:rsid w:val="00811C4D"/>
    <w:rsid w:val="008134EC"/>
    <w:rsid w:val="00813FC0"/>
    <w:rsid w:val="008165A3"/>
    <w:rsid w:val="00822204"/>
    <w:rsid w:val="008226B6"/>
    <w:rsid w:val="00825ABA"/>
    <w:rsid w:val="00843130"/>
    <w:rsid w:val="00847BC8"/>
    <w:rsid w:val="00851000"/>
    <w:rsid w:val="00851C8F"/>
    <w:rsid w:val="0085481C"/>
    <w:rsid w:val="00855C4D"/>
    <w:rsid w:val="00855DC8"/>
    <w:rsid w:val="008560D3"/>
    <w:rsid w:val="0086252D"/>
    <w:rsid w:val="008628FB"/>
    <w:rsid w:val="008669F2"/>
    <w:rsid w:val="00867F35"/>
    <w:rsid w:val="00874679"/>
    <w:rsid w:val="00874D10"/>
    <w:rsid w:val="00885B6D"/>
    <w:rsid w:val="00891128"/>
    <w:rsid w:val="0089213E"/>
    <w:rsid w:val="008965FE"/>
    <w:rsid w:val="008A00F4"/>
    <w:rsid w:val="008A0874"/>
    <w:rsid w:val="008A08F0"/>
    <w:rsid w:val="008B1616"/>
    <w:rsid w:val="008B3E17"/>
    <w:rsid w:val="008B3F3A"/>
    <w:rsid w:val="008B6108"/>
    <w:rsid w:val="008C2836"/>
    <w:rsid w:val="008C3112"/>
    <w:rsid w:val="008E3620"/>
    <w:rsid w:val="008E6C0B"/>
    <w:rsid w:val="008F1B01"/>
    <w:rsid w:val="008F32D0"/>
    <w:rsid w:val="008F43C9"/>
    <w:rsid w:val="009028F1"/>
    <w:rsid w:val="00914F65"/>
    <w:rsid w:val="00925E00"/>
    <w:rsid w:val="00935033"/>
    <w:rsid w:val="00940988"/>
    <w:rsid w:val="009414DA"/>
    <w:rsid w:val="009414E3"/>
    <w:rsid w:val="009457AC"/>
    <w:rsid w:val="00946320"/>
    <w:rsid w:val="00951B08"/>
    <w:rsid w:val="00952ABA"/>
    <w:rsid w:val="00954376"/>
    <w:rsid w:val="00954E68"/>
    <w:rsid w:val="00955451"/>
    <w:rsid w:val="00964B64"/>
    <w:rsid w:val="00966875"/>
    <w:rsid w:val="009737A9"/>
    <w:rsid w:val="0097636C"/>
    <w:rsid w:val="00984851"/>
    <w:rsid w:val="009850E3"/>
    <w:rsid w:val="0098557A"/>
    <w:rsid w:val="00992E52"/>
    <w:rsid w:val="009C19B3"/>
    <w:rsid w:val="009C1FBF"/>
    <w:rsid w:val="009C537F"/>
    <w:rsid w:val="009E030A"/>
    <w:rsid w:val="009E17D3"/>
    <w:rsid w:val="009E573D"/>
    <w:rsid w:val="009E5E04"/>
    <w:rsid w:val="009E63DD"/>
    <w:rsid w:val="009E65D3"/>
    <w:rsid w:val="00A03723"/>
    <w:rsid w:val="00A03F36"/>
    <w:rsid w:val="00A15E60"/>
    <w:rsid w:val="00A2027C"/>
    <w:rsid w:val="00A23946"/>
    <w:rsid w:val="00A316A6"/>
    <w:rsid w:val="00A3182A"/>
    <w:rsid w:val="00A35D1A"/>
    <w:rsid w:val="00A465D9"/>
    <w:rsid w:val="00A4705D"/>
    <w:rsid w:val="00A51F12"/>
    <w:rsid w:val="00A568B4"/>
    <w:rsid w:val="00A63809"/>
    <w:rsid w:val="00A65D10"/>
    <w:rsid w:val="00A71200"/>
    <w:rsid w:val="00A71F39"/>
    <w:rsid w:val="00A72A1A"/>
    <w:rsid w:val="00A73155"/>
    <w:rsid w:val="00A734E7"/>
    <w:rsid w:val="00A833E8"/>
    <w:rsid w:val="00A83E4D"/>
    <w:rsid w:val="00A86076"/>
    <w:rsid w:val="00AA1158"/>
    <w:rsid w:val="00AA19C6"/>
    <w:rsid w:val="00AA1BAE"/>
    <w:rsid w:val="00AA4584"/>
    <w:rsid w:val="00AA6199"/>
    <w:rsid w:val="00AA7A33"/>
    <w:rsid w:val="00AB04E8"/>
    <w:rsid w:val="00AB12FD"/>
    <w:rsid w:val="00AC3F16"/>
    <w:rsid w:val="00AC7755"/>
    <w:rsid w:val="00AD0632"/>
    <w:rsid w:val="00AD286F"/>
    <w:rsid w:val="00AD3D9C"/>
    <w:rsid w:val="00AE13B8"/>
    <w:rsid w:val="00AE2624"/>
    <w:rsid w:val="00AE702D"/>
    <w:rsid w:val="00AF1180"/>
    <w:rsid w:val="00B02D5C"/>
    <w:rsid w:val="00B04C10"/>
    <w:rsid w:val="00B1451D"/>
    <w:rsid w:val="00B2509E"/>
    <w:rsid w:val="00B36A94"/>
    <w:rsid w:val="00B36E1F"/>
    <w:rsid w:val="00B450FC"/>
    <w:rsid w:val="00B45213"/>
    <w:rsid w:val="00B501BE"/>
    <w:rsid w:val="00B53973"/>
    <w:rsid w:val="00B54B62"/>
    <w:rsid w:val="00B57796"/>
    <w:rsid w:val="00B63F79"/>
    <w:rsid w:val="00B641D4"/>
    <w:rsid w:val="00B70B80"/>
    <w:rsid w:val="00B73031"/>
    <w:rsid w:val="00B87774"/>
    <w:rsid w:val="00BA11C6"/>
    <w:rsid w:val="00BA43EB"/>
    <w:rsid w:val="00BA549D"/>
    <w:rsid w:val="00BA7EAE"/>
    <w:rsid w:val="00BB113A"/>
    <w:rsid w:val="00BB1D17"/>
    <w:rsid w:val="00BB5FD5"/>
    <w:rsid w:val="00BC097E"/>
    <w:rsid w:val="00BC23ED"/>
    <w:rsid w:val="00BD2C1E"/>
    <w:rsid w:val="00BD30F8"/>
    <w:rsid w:val="00BE1727"/>
    <w:rsid w:val="00BE18AB"/>
    <w:rsid w:val="00BE25D5"/>
    <w:rsid w:val="00BE498C"/>
    <w:rsid w:val="00BE5D9E"/>
    <w:rsid w:val="00BF0A35"/>
    <w:rsid w:val="00C01431"/>
    <w:rsid w:val="00C0245F"/>
    <w:rsid w:val="00C066E5"/>
    <w:rsid w:val="00C07D63"/>
    <w:rsid w:val="00C119BC"/>
    <w:rsid w:val="00C16EC6"/>
    <w:rsid w:val="00C23FAC"/>
    <w:rsid w:val="00C2777C"/>
    <w:rsid w:val="00C3013A"/>
    <w:rsid w:val="00C336DB"/>
    <w:rsid w:val="00C365D8"/>
    <w:rsid w:val="00C37C8C"/>
    <w:rsid w:val="00C4098D"/>
    <w:rsid w:val="00C46085"/>
    <w:rsid w:val="00C51135"/>
    <w:rsid w:val="00C5403B"/>
    <w:rsid w:val="00C548CD"/>
    <w:rsid w:val="00C54E27"/>
    <w:rsid w:val="00C60942"/>
    <w:rsid w:val="00C621F2"/>
    <w:rsid w:val="00C676C8"/>
    <w:rsid w:val="00C736CB"/>
    <w:rsid w:val="00C73D72"/>
    <w:rsid w:val="00C871CC"/>
    <w:rsid w:val="00C9151E"/>
    <w:rsid w:val="00CA1C3A"/>
    <w:rsid w:val="00CA7884"/>
    <w:rsid w:val="00CB29F3"/>
    <w:rsid w:val="00CB30DB"/>
    <w:rsid w:val="00CB5688"/>
    <w:rsid w:val="00CB626E"/>
    <w:rsid w:val="00CB7ED0"/>
    <w:rsid w:val="00CC2FE3"/>
    <w:rsid w:val="00CC4A4C"/>
    <w:rsid w:val="00CC5081"/>
    <w:rsid w:val="00CD07AC"/>
    <w:rsid w:val="00CD39CB"/>
    <w:rsid w:val="00CD765C"/>
    <w:rsid w:val="00CE0F08"/>
    <w:rsid w:val="00CE79B4"/>
    <w:rsid w:val="00CF4778"/>
    <w:rsid w:val="00D03CE8"/>
    <w:rsid w:val="00D06ABC"/>
    <w:rsid w:val="00D13347"/>
    <w:rsid w:val="00D147FC"/>
    <w:rsid w:val="00D168EC"/>
    <w:rsid w:val="00D17F6A"/>
    <w:rsid w:val="00D2318F"/>
    <w:rsid w:val="00D2457B"/>
    <w:rsid w:val="00D25DCB"/>
    <w:rsid w:val="00D345AD"/>
    <w:rsid w:val="00D35787"/>
    <w:rsid w:val="00D41C6B"/>
    <w:rsid w:val="00D43BB6"/>
    <w:rsid w:val="00D4547F"/>
    <w:rsid w:val="00D50EF5"/>
    <w:rsid w:val="00D5448E"/>
    <w:rsid w:val="00D6117B"/>
    <w:rsid w:val="00D64DFC"/>
    <w:rsid w:val="00D7573F"/>
    <w:rsid w:val="00D83A65"/>
    <w:rsid w:val="00D84D57"/>
    <w:rsid w:val="00D941BA"/>
    <w:rsid w:val="00DA41B9"/>
    <w:rsid w:val="00DB0A39"/>
    <w:rsid w:val="00DC115E"/>
    <w:rsid w:val="00DC306D"/>
    <w:rsid w:val="00DD3487"/>
    <w:rsid w:val="00DD641B"/>
    <w:rsid w:val="00DF1E13"/>
    <w:rsid w:val="00E061EF"/>
    <w:rsid w:val="00E06350"/>
    <w:rsid w:val="00E104F8"/>
    <w:rsid w:val="00E10C07"/>
    <w:rsid w:val="00E112DB"/>
    <w:rsid w:val="00E126A6"/>
    <w:rsid w:val="00E12D9D"/>
    <w:rsid w:val="00E1573D"/>
    <w:rsid w:val="00E22371"/>
    <w:rsid w:val="00E26C27"/>
    <w:rsid w:val="00E27130"/>
    <w:rsid w:val="00E3179A"/>
    <w:rsid w:val="00E31DBE"/>
    <w:rsid w:val="00E336C5"/>
    <w:rsid w:val="00E337A2"/>
    <w:rsid w:val="00E40293"/>
    <w:rsid w:val="00E41F40"/>
    <w:rsid w:val="00E42835"/>
    <w:rsid w:val="00E52D1B"/>
    <w:rsid w:val="00E53C11"/>
    <w:rsid w:val="00E543B3"/>
    <w:rsid w:val="00E56B06"/>
    <w:rsid w:val="00E66BB0"/>
    <w:rsid w:val="00E7214D"/>
    <w:rsid w:val="00E73911"/>
    <w:rsid w:val="00E752DE"/>
    <w:rsid w:val="00E752E9"/>
    <w:rsid w:val="00E75585"/>
    <w:rsid w:val="00E760E1"/>
    <w:rsid w:val="00E8046D"/>
    <w:rsid w:val="00E92217"/>
    <w:rsid w:val="00E96605"/>
    <w:rsid w:val="00EA1654"/>
    <w:rsid w:val="00EC0954"/>
    <w:rsid w:val="00ED09F4"/>
    <w:rsid w:val="00ED4C93"/>
    <w:rsid w:val="00ED4ED6"/>
    <w:rsid w:val="00ED5BD4"/>
    <w:rsid w:val="00ED71A1"/>
    <w:rsid w:val="00ED7487"/>
    <w:rsid w:val="00EE0A12"/>
    <w:rsid w:val="00EE436E"/>
    <w:rsid w:val="00EF18EA"/>
    <w:rsid w:val="00F00998"/>
    <w:rsid w:val="00F06FA8"/>
    <w:rsid w:val="00F0713D"/>
    <w:rsid w:val="00F127BF"/>
    <w:rsid w:val="00F1780A"/>
    <w:rsid w:val="00F27FB2"/>
    <w:rsid w:val="00F30444"/>
    <w:rsid w:val="00F33C28"/>
    <w:rsid w:val="00F4415B"/>
    <w:rsid w:val="00F51473"/>
    <w:rsid w:val="00F61446"/>
    <w:rsid w:val="00F62BC2"/>
    <w:rsid w:val="00F750C6"/>
    <w:rsid w:val="00F915D1"/>
    <w:rsid w:val="00F92172"/>
    <w:rsid w:val="00F9492E"/>
    <w:rsid w:val="00FA0110"/>
    <w:rsid w:val="00FA3400"/>
    <w:rsid w:val="00FA41CD"/>
    <w:rsid w:val="00FA4E66"/>
    <w:rsid w:val="00FA70D6"/>
    <w:rsid w:val="00FB3738"/>
    <w:rsid w:val="00FB4A12"/>
    <w:rsid w:val="00FB6DA1"/>
    <w:rsid w:val="00FC4FE7"/>
    <w:rsid w:val="00FD618A"/>
    <w:rsid w:val="00FE09E9"/>
    <w:rsid w:val="00FE12D5"/>
    <w:rsid w:val="00FF2725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9FC680"/>
  <w15:docId w15:val="{7A44F263-FD7F-4FC3-9FD8-F4CE6E6D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uiPriority w:val="99"/>
    <w:rsid w:val="00E752E9"/>
    <w:pPr>
      <w:spacing w:before="75" w:after="75"/>
      <w:jc w:val="right"/>
    </w:pPr>
  </w:style>
  <w:style w:type="paragraph" w:styleId="Pamatteksts">
    <w:name w:val="Body Text"/>
    <w:basedOn w:val="Parasts"/>
    <w:link w:val="PamattekstsRakstz"/>
    <w:uiPriority w:val="99"/>
    <w:rsid w:val="00E752E9"/>
    <w:pPr>
      <w:jc w:val="both"/>
    </w:pPr>
    <w:rPr>
      <w:sz w:val="28"/>
      <w:szCs w:val="28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2ABA"/>
    <w:rPr>
      <w:sz w:val="24"/>
      <w:szCs w:val="24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32AB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32ABA"/>
    <w:rPr>
      <w:sz w:val="24"/>
      <w:szCs w:val="24"/>
    </w:r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0D012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32ABA"/>
    <w:rPr>
      <w:sz w:val="16"/>
      <w:szCs w:val="16"/>
    </w:rPr>
  </w:style>
  <w:style w:type="character" w:styleId="Lappusesnumurs">
    <w:name w:val="page number"/>
    <w:basedOn w:val="Noklusjumarindkopasfonts"/>
    <w:uiPriority w:val="99"/>
    <w:rsid w:val="002A47F7"/>
  </w:style>
  <w:style w:type="paragraph" w:styleId="Balonteksts">
    <w:name w:val="Balloon Text"/>
    <w:basedOn w:val="Parasts"/>
    <w:link w:val="BalontekstsRakstz"/>
    <w:uiPriority w:val="99"/>
    <w:semiHidden/>
    <w:rsid w:val="00BE5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ABA"/>
    <w:rPr>
      <w:sz w:val="0"/>
      <w:szCs w:val="0"/>
    </w:rPr>
  </w:style>
  <w:style w:type="character" w:styleId="Hipersaite">
    <w:name w:val="Hyperlink"/>
    <w:basedOn w:val="Noklusjumarindkopasfonts"/>
    <w:uiPriority w:val="99"/>
    <w:rsid w:val="002C18D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D06A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D06A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D06ABC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06A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D06ABC"/>
    <w:rPr>
      <w:b/>
      <w:bCs/>
    </w:rPr>
  </w:style>
  <w:style w:type="paragraph" w:customStyle="1" w:styleId="naispant">
    <w:name w:val="naispant"/>
    <w:basedOn w:val="Parasts"/>
    <w:uiPriority w:val="99"/>
    <w:rsid w:val="00940988"/>
    <w:pPr>
      <w:spacing w:before="100" w:beforeAutospacing="1" w:after="100" w:afterAutospacing="1"/>
    </w:pPr>
  </w:style>
  <w:style w:type="paragraph" w:customStyle="1" w:styleId="tv2132">
    <w:name w:val="tv2132"/>
    <w:basedOn w:val="Parasts"/>
    <w:uiPriority w:val="99"/>
    <w:rsid w:val="008E6C0B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uiPriority w:val="99"/>
    <w:rsid w:val="00450A92"/>
  </w:style>
  <w:style w:type="paragraph" w:styleId="Sarakstarindkopa">
    <w:name w:val="List Paragraph"/>
    <w:basedOn w:val="Parasts"/>
    <w:uiPriority w:val="34"/>
    <w:qFormat/>
    <w:rsid w:val="00AD0632"/>
    <w:pPr>
      <w:ind w:left="720"/>
    </w:pPr>
  </w:style>
  <w:style w:type="paragraph" w:customStyle="1" w:styleId="tv90087921">
    <w:name w:val="tv900_87_921"/>
    <w:basedOn w:val="Parasts"/>
    <w:rsid w:val="004A617C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F30444"/>
    <w:rPr>
      <w:rFonts w:ascii="Helvetica" w:hAnsi="Helvetica"/>
      <w:color w:val="353535"/>
      <w:sz w:val="18"/>
      <w:szCs w:val="18"/>
    </w:rPr>
  </w:style>
  <w:style w:type="paragraph" w:styleId="Prskatjums">
    <w:name w:val="Revision"/>
    <w:hidden/>
    <w:uiPriority w:val="99"/>
    <w:semiHidden/>
    <w:rsid w:val="0027598F"/>
    <w:rPr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07D63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3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149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7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417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8162-4B27-4D2D-B8F6-DFED3B18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7933F-1E30-4086-BD5D-4FEF5A1D3BA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BD320C-20C7-4E1E-9DF0-8691DCEC1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BAD8DF5-FB67-4A90-9C94-CA359415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309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noteikumi "Noteikumi par iemaksas par valsts nodrošinātās juridiskās palīdzības saņemšanu apmēru, tās samaksas un atmaksas kārtību"</vt:lpstr>
      <vt:lpstr>Grozījumi Ministru kabineta 2009. gada 22. decembra noteikumos Nr . 1493 "“Noteikumi par valsts nodrošinātās juridiskās palīdzības apjomu, samaksas apmēru, atlīdzināmajiem izdevumiem un to izmaksas kārtību"</vt:lpstr>
    </vt:vector>
  </TitlesOfParts>
  <Company>Tieslietu ministrija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"Noteikumi par iemaksas par valsts nodrošinātās juridiskās palīdzības saņemšanu apmēru, tās samaksas un atmaksas kārtību"</dc:title>
  <dc:subject>Ministru kabineta noteikumu projekts</dc:subject>
  <dc:creator>Eva Krjukova</dc:creator>
  <dc:description>67036831; Eva.Krjukova@tm.gov.lv</dc:description>
  <cp:lastModifiedBy>Eva Krjukova</cp:lastModifiedBy>
  <cp:revision>15</cp:revision>
  <cp:lastPrinted>2018-03-14T07:44:00Z</cp:lastPrinted>
  <dcterms:created xsi:type="dcterms:W3CDTF">2018-09-26T10:23:00Z</dcterms:created>
  <dcterms:modified xsi:type="dcterms:W3CDTF">2018-10-08T07:00:00Z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