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34246" w14:textId="01A903F8" w:rsidR="00583D6E" w:rsidRPr="00646909" w:rsidRDefault="00583D6E" w:rsidP="00583D6E">
      <w:pPr>
        <w:jc w:val="right"/>
        <w:rPr>
          <w:sz w:val="28"/>
          <w:szCs w:val="28"/>
        </w:rPr>
      </w:pPr>
      <w:r w:rsidRPr="00646909">
        <w:rPr>
          <w:i/>
          <w:sz w:val="28"/>
          <w:szCs w:val="28"/>
        </w:rPr>
        <w:t>Projekts</w:t>
      </w:r>
    </w:p>
    <w:p w14:paraId="7002602D" w14:textId="77777777" w:rsidR="00583D6E" w:rsidRPr="00646909" w:rsidRDefault="00583D6E" w:rsidP="00583D6E">
      <w:pPr>
        <w:rPr>
          <w:sz w:val="28"/>
          <w:szCs w:val="28"/>
        </w:rPr>
      </w:pPr>
    </w:p>
    <w:p w14:paraId="26309C01" w14:textId="77777777" w:rsidR="00583D6E" w:rsidRPr="00646909" w:rsidRDefault="00583D6E" w:rsidP="00583D6E">
      <w:pPr>
        <w:jc w:val="center"/>
        <w:rPr>
          <w:sz w:val="28"/>
          <w:szCs w:val="28"/>
        </w:rPr>
      </w:pPr>
      <w:r w:rsidRPr="00646909">
        <w:rPr>
          <w:sz w:val="28"/>
          <w:szCs w:val="28"/>
        </w:rPr>
        <w:t>LATVIJAS REPUBLIKAS MINISTRU KABINETS</w:t>
      </w:r>
    </w:p>
    <w:p w14:paraId="31DD9D5E" w14:textId="77777777" w:rsidR="00583D6E" w:rsidRPr="00646909" w:rsidRDefault="00583D6E" w:rsidP="00583D6E">
      <w:pPr>
        <w:rPr>
          <w:sz w:val="28"/>
          <w:szCs w:val="28"/>
        </w:rPr>
      </w:pPr>
      <w:r w:rsidRPr="00646909">
        <w:rPr>
          <w:sz w:val="28"/>
          <w:szCs w:val="28"/>
        </w:rPr>
        <w:t> </w:t>
      </w:r>
    </w:p>
    <w:p w14:paraId="1DEAF22C" w14:textId="77777777" w:rsidR="00583D6E" w:rsidRPr="00646909" w:rsidRDefault="00583D6E" w:rsidP="00583D6E">
      <w:pPr>
        <w:tabs>
          <w:tab w:val="right" w:pos="9000"/>
        </w:tabs>
        <w:rPr>
          <w:color w:val="000000"/>
          <w:sz w:val="28"/>
          <w:szCs w:val="28"/>
        </w:rPr>
      </w:pPr>
      <w:r w:rsidRPr="00646909">
        <w:rPr>
          <w:sz w:val="28"/>
          <w:szCs w:val="28"/>
        </w:rPr>
        <w:t>20__. gada __. ___</w:t>
      </w:r>
      <w:r w:rsidRPr="00646909">
        <w:rPr>
          <w:sz w:val="28"/>
          <w:szCs w:val="28"/>
        </w:rPr>
        <w:tab/>
      </w:r>
      <w:r w:rsidRPr="00646909">
        <w:rPr>
          <w:color w:val="000000"/>
          <w:sz w:val="28"/>
          <w:szCs w:val="28"/>
        </w:rPr>
        <w:t>Noteikumi Nr. __</w:t>
      </w:r>
    </w:p>
    <w:p w14:paraId="59593F59" w14:textId="77777777" w:rsidR="00583D6E" w:rsidRPr="00646909" w:rsidRDefault="00583D6E" w:rsidP="00583D6E">
      <w:pPr>
        <w:tabs>
          <w:tab w:val="right" w:pos="9000"/>
        </w:tabs>
        <w:rPr>
          <w:color w:val="000000"/>
          <w:sz w:val="28"/>
          <w:szCs w:val="28"/>
        </w:rPr>
      </w:pPr>
      <w:r w:rsidRPr="00646909">
        <w:rPr>
          <w:color w:val="000000"/>
          <w:sz w:val="28"/>
          <w:szCs w:val="28"/>
        </w:rPr>
        <w:t>Rīgā</w:t>
      </w:r>
      <w:r w:rsidRPr="00646909">
        <w:rPr>
          <w:color w:val="000000"/>
          <w:sz w:val="28"/>
          <w:szCs w:val="28"/>
        </w:rPr>
        <w:tab/>
        <w:t>(prot. Nr. __ __. §)</w:t>
      </w:r>
    </w:p>
    <w:p w14:paraId="4FE03078" w14:textId="77777777" w:rsidR="00583D6E" w:rsidRPr="00AF085D" w:rsidRDefault="00583D6E" w:rsidP="00583D6E">
      <w:pPr>
        <w:ind w:right="-1"/>
        <w:jc w:val="center"/>
        <w:rPr>
          <w:sz w:val="28"/>
          <w:szCs w:val="28"/>
        </w:rPr>
      </w:pPr>
    </w:p>
    <w:p w14:paraId="66B03E16" w14:textId="66D1B472" w:rsidR="00583D6E" w:rsidRPr="00FB47BE" w:rsidRDefault="00583D6E" w:rsidP="00583D6E">
      <w:pPr>
        <w:jc w:val="center"/>
        <w:rPr>
          <w:b/>
          <w:sz w:val="28"/>
          <w:szCs w:val="28"/>
        </w:rPr>
      </w:pPr>
      <w:r>
        <w:rPr>
          <w:b/>
          <w:sz w:val="28"/>
          <w:szCs w:val="28"/>
        </w:rPr>
        <w:t>Grozījumi Ministru kabineta 2015</w:t>
      </w:r>
      <w:r w:rsidRPr="001E7CF0">
        <w:rPr>
          <w:b/>
          <w:sz w:val="28"/>
          <w:szCs w:val="28"/>
        </w:rPr>
        <w:t>.</w:t>
      </w:r>
      <w:r>
        <w:rPr>
          <w:b/>
          <w:sz w:val="28"/>
          <w:szCs w:val="28"/>
        </w:rPr>
        <w:t> </w:t>
      </w:r>
      <w:r w:rsidRPr="001E7CF0">
        <w:rPr>
          <w:b/>
          <w:sz w:val="28"/>
          <w:szCs w:val="28"/>
        </w:rPr>
        <w:t xml:space="preserve">gada </w:t>
      </w:r>
      <w:r>
        <w:rPr>
          <w:b/>
          <w:sz w:val="28"/>
          <w:szCs w:val="28"/>
        </w:rPr>
        <w:t>16</w:t>
      </w:r>
      <w:r w:rsidRPr="001E7CF0">
        <w:rPr>
          <w:b/>
          <w:sz w:val="28"/>
          <w:szCs w:val="28"/>
        </w:rPr>
        <w:t>.</w:t>
      </w:r>
      <w:r>
        <w:rPr>
          <w:b/>
          <w:sz w:val="28"/>
          <w:szCs w:val="28"/>
        </w:rPr>
        <w:t xml:space="preserve"> jūnija </w:t>
      </w:r>
      <w:r w:rsidRPr="001E7CF0">
        <w:rPr>
          <w:b/>
          <w:sz w:val="28"/>
          <w:szCs w:val="28"/>
        </w:rPr>
        <w:t>noteikumos Nr.</w:t>
      </w:r>
      <w:r>
        <w:rPr>
          <w:b/>
          <w:sz w:val="28"/>
          <w:szCs w:val="28"/>
        </w:rPr>
        <w:t> 318</w:t>
      </w:r>
      <w:r w:rsidR="00246A0B">
        <w:rPr>
          <w:b/>
          <w:sz w:val="28"/>
          <w:szCs w:val="28"/>
        </w:rPr>
        <w:t xml:space="preserve"> </w:t>
      </w:r>
      <w:r w:rsidRPr="001E7CF0">
        <w:rPr>
          <w:b/>
          <w:sz w:val="28"/>
          <w:szCs w:val="28"/>
        </w:rPr>
        <w:t>"</w:t>
      </w:r>
      <w:r>
        <w:rPr>
          <w:b/>
          <w:sz w:val="28"/>
          <w:szCs w:val="28"/>
        </w:rPr>
        <w:t>Elektronisko izsoļu vietnes noteikumi</w:t>
      </w:r>
      <w:r w:rsidRPr="001E7CF0">
        <w:rPr>
          <w:b/>
          <w:sz w:val="28"/>
          <w:szCs w:val="28"/>
        </w:rPr>
        <w:t>"</w:t>
      </w:r>
    </w:p>
    <w:p w14:paraId="124AD1AC" w14:textId="77777777" w:rsidR="00583D6E" w:rsidRDefault="00583D6E" w:rsidP="00583D6E">
      <w:pPr>
        <w:jc w:val="right"/>
        <w:rPr>
          <w:sz w:val="28"/>
          <w:szCs w:val="28"/>
        </w:rPr>
      </w:pPr>
    </w:p>
    <w:p w14:paraId="5B5A7ABD" w14:textId="77777777" w:rsidR="00583D6E" w:rsidRPr="00F47A8F" w:rsidRDefault="00583D6E" w:rsidP="00583D6E">
      <w:pPr>
        <w:ind w:firstLine="720"/>
        <w:jc w:val="right"/>
        <w:rPr>
          <w:sz w:val="28"/>
          <w:szCs w:val="28"/>
        </w:rPr>
      </w:pPr>
      <w:r w:rsidRPr="00F47A8F">
        <w:rPr>
          <w:bCs/>
          <w:iCs/>
          <w:sz w:val="28"/>
          <w:szCs w:val="28"/>
        </w:rPr>
        <w:t xml:space="preserve">Izdoti saskaņā ar </w:t>
      </w:r>
      <w:r w:rsidRPr="00F47A8F">
        <w:rPr>
          <w:sz w:val="28"/>
          <w:szCs w:val="28"/>
        </w:rPr>
        <w:t>Civilprocesa likuma</w:t>
      </w:r>
    </w:p>
    <w:p w14:paraId="39239AE6" w14:textId="77777777" w:rsidR="00583D6E" w:rsidRPr="00AF0E6E" w:rsidRDefault="00583D6E" w:rsidP="00583D6E">
      <w:pPr>
        <w:ind w:firstLine="720"/>
        <w:jc w:val="right"/>
        <w:rPr>
          <w:bCs/>
          <w:iCs/>
        </w:rPr>
      </w:pPr>
      <w:r w:rsidRPr="00F47A8F">
        <w:rPr>
          <w:sz w:val="28"/>
          <w:szCs w:val="28"/>
        </w:rPr>
        <w:t>605.</w:t>
      </w:r>
      <w:r w:rsidRPr="00F47A8F">
        <w:rPr>
          <w:sz w:val="28"/>
          <w:szCs w:val="28"/>
          <w:vertAlign w:val="superscript"/>
        </w:rPr>
        <w:t>1</w:t>
      </w:r>
      <w:r w:rsidRPr="00F47A8F">
        <w:rPr>
          <w:sz w:val="28"/>
          <w:szCs w:val="28"/>
        </w:rPr>
        <w:t> panta trešo daļu un 605.</w:t>
      </w:r>
      <w:r w:rsidRPr="00F47A8F">
        <w:rPr>
          <w:sz w:val="28"/>
          <w:szCs w:val="28"/>
          <w:vertAlign w:val="superscript"/>
        </w:rPr>
        <w:t>2</w:t>
      </w:r>
      <w:r w:rsidRPr="00F47A8F">
        <w:rPr>
          <w:sz w:val="28"/>
          <w:szCs w:val="28"/>
        </w:rPr>
        <w:t> panta otro daļu</w:t>
      </w:r>
    </w:p>
    <w:p w14:paraId="25FA3529" w14:textId="77777777" w:rsidR="00583D6E" w:rsidRPr="00161600" w:rsidRDefault="00583D6E" w:rsidP="00583D6E">
      <w:pPr>
        <w:ind w:firstLine="720"/>
        <w:jc w:val="both"/>
      </w:pPr>
    </w:p>
    <w:p w14:paraId="0AD623F0" w14:textId="1F0828BD" w:rsidR="00583D6E" w:rsidRPr="00DE117A" w:rsidRDefault="00583D6E" w:rsidP="00583D6E">
      <w:pPr>
        <w:ind w:firstLine="720"/>
        <w:jc w:val="both"/>
        <w:rPr>
          <w:sz w:val="28"/>
          <w:szCs w:val="28"/>
        </w:rPr>
      </w:pPr>
      <w:r w:rsidRPr="00161600">
        <w:rPr>
          <w:sz w:val="28"/>
          <w:szCs w:val="28"/>
        </w:rPr>
        <w:t>Izdarīt Ministru kabineta 2015. gada 16. jūnija noteikumos Nr. 318 "Elektronisko izsoļu vietnes noteikumi" (Latvijas Vēstnesis, 2015, 124. nr.; 2016, 96.</w:t>
      </w:r>
      <w:r w:rsidR="00246A0B">
        <w:rPr>
          <w:sz w:val="28"/>
          <w:szCs w:val="28"/>
        </w:rPr>
        <w:t> </w:t>
      </w:r>
      <w:r w:rsidRPr="00161600">
        <w:rPr>
          <w:sz w:val="28"/>
          <w:szCs w:val="28"/>
        </w:rPr>
        <w:t xml:space="preserve">nr.) šādus </w:t>
      </w:r>
      <w:r w:rsidRPr="00DE117A">
        <w:rPr>
          <w:sz w:val="28"/>
          <w:szCs w:val="28"/>
        </w:rPr>
        <w:t>grozījumus:</w:t>
      </w:r>
    </w:p>
    <w:p w14:paraId="542D70F3" w14:textId="2BE8A3EE" w:rsidR="00583D6E" w:rsidRPr="00DE117A" w:rsidRDefault="00583D6E" w:rsidP="00583D6E">
      <w:pPr>
        <w:pStyle w:val="Nosaukums"/>
        <w:jc w:val="both"/>
        <w:outlineLvl w:val="0"/>
      </w:pPr>
    </w:p>
    <w:p w14:paraId="16E59BC2" w14:textId="6C9AFD4C" w:rsidR="007363A0" w:rsidRPr="00DE117A" w:rsidRDefault="00246A0B" w:rsidP="001E6942">
      <w:pPr>
        <w:pStyle w:val="Nosaukums"/>
        <w:ind w:firstLine="709"/>
        <w:jc w:val="both"/>
        <w:outlineLvl w:val="0"/>
      </w:pPr>
      <w:r>
        <w:t>1. </w:t>
      </w:r>
      <w:r w:rsidR="007363A0" w:rsidRPr="00DE117A">
        <w:t>Papildināt noteikumus ar 1.</w:t>
      </w:r>
      <w:r w:rsidR="007363A0" w:rsidRPr="00DE117A">
        <w:rPr>
          <w:vertAlign w:val="superscript"/>
        </w:rPr>
        <w:t>1</w:t>
      </w:r>
      <w:r w:rsidR="007363A0" w:rsidRPr="00DE117A">
        <w:t> punktu šādā redakcijā:</w:t>
      </w:r>
    </w:p>
    <w:p w14:paraId="1C1163F9" w14:textId="77777777" w:rsidR="001E6942" w:rsidRPr="00C9758A" w:rsidRDefault="001E6942" w:rsidP="001E6942">
      <w:pPr>
        <w:pStyle w:val="Nosaukums"/>
        <w:ind w:firstLine="709"/>
        <w:jc w:val="both"/>
        <w:outlineLvl w:val="0"/>
      </w:pPr>
      <w:r w:rsidRPr="001E6942">
        <w:t>"1.</w:t>
      </w:r>
      <w:r w:rsidRPr="001E6942">
        <w:rPr>
          <w:vertAlign w:val="superscript"/>
        </w:rPr>
        <w:t>1</w:t>
      </w:r>
      <w:r w:rsidRPr="001E6942">
        <w:t xml:space="preserve"> Darbības elektronisko izsoļu vietnē, organizējot izsoles publiskas personas mantas, tai skaitā tādas, kas nodota iestādes vai kapitālsabiedrības valdījumā vai turējumā, pārdošanai, kā arī </w:t>
      </w:r>
      <w:r w:rsidRPr="001E6942">
        <w:rPr>
          <w:szCs w:val="28"/>
        </w:rPr>
        <w:t>privāto tiesību juridisko personu mantas izsoles</w:t>
      </w:r>
      <w:r w:rsidRPr="001E6942">
        <w:t>, veic saskaņā ar Tiesu administrāciju noslēgto vienošanos un</w:t>
      </w:r>
      <w:bookmarkStart w:id="0" w:name="_GoBack"/>
      <w:bookmarkEnd w:id="0"/>
      <w:r w:rsidRPr="001E6942">
        <w:t xml:space="preserve"> tajā noteikto sadarbības kārtību."</w:t>
      </w:r>
    </w:p>
    <w:p w14:paraId="3A672B03" w14:textId="77777777" w:rsidR="007363A0" w:rsidRPr="00DE117A" w:rsidRDefault="007363A0" w:rsidP="008B4883">
      <w:pPr>
        <w:pStyle w:val="Nosaukums"/>
        <w:ind w:firstLine="709"/>
        <w:jc w:val="both"/>
        <w:outlineLvl w:val="0"/>
      </w:pPr>
    </w:p>
    <w:p w14:paraId="0D86D3F2" w14:textId="011007AD" w:rsidR="001E6942" w:rsidRPr="00B55A75" w:rsidRDefault="001E6942" w:rsidP="008B4883">
      <w:pPr>
        <w:pStyle w:val="Nosaukums"/>
        <w:ind w:firstLine="720"/>
        <w:jc w:val="both"/>
        <w:outlineLvl w:val="0"/>
      </w:pPr>
      <w:r w:rsidRPr="00B55A75">
        <w:t>2. Izteikt 2.1. apakšpunktu šādā redakcijā:</w:t>
      </w:r>
    </w:p>
    <w:p w14:paraId="087DA3DD" w14:textId="77777777" w:rsidR="001E6942" w:rsidRPr="00B55A75" w:rsidRDefault="001E6942" w:rsidP="001E6942">
      <w:pPr>
        <w:pStyle w:val="Nosaukums"/>
        <w:ind w:firstLine="720"/>
        <w:jc w:val="both"/>
      </w:pPr>
      <w:r w:rsidRPr="00B55A75">
        <w:t>"2.1. nereģistrētam lietotājam – personai, kas nav reģistrēta Izsoļu dalībnieku reģistrā, – piekļuve elektronisko izsoļu vietnei ir ierobežota skatīšanās režīmā, nodrošinot iespēju bez maksas aplūkot izsoļu sludinājumos ietverto informāciju, informāciju par izsoles statusu (notiek solīšana, izsole ir pārtraukta vai izsole ir noslēgusies) un pēdējo reģistrēto solījumu, kā arī izmantot citus elektronisko izsoļu vietnē piedāvātos pakalpojumus, kas paredzēti nereģistrētiem lietotājiem;</w:t>
      </w:r>
      <w:r>
        <w:t>".</w:t>
      </w:r>
    </w:p>
    <w:p w14:paraId="57040A8F" w14:textId="77777777" w:rsidR="001E6942" w:rsidRPr="00B55A75" w:rsidRDefault="001E6942" w:rsidP="001E6942">
      <w:pPr>
        <w:pStyle w:val="Nosaukums"/>
        <w:ind w:firstLine="720"/>
        <w:jc w:val="both"/>
      </w:pPr>
    </w:p>
    <w:p w14:paraId="5115EF68" w14:textId="77777777" w:rsidR="001E6942" w:rsidRPr="00B55A75" w:rsidRDefault="001E6942" w:rsidP="001E6942">
      <w:pPr>
        <w:pStyle w:val="Nosaukums"/>
        <w:ind w:firstLine="720"/>
        <w:jc w:val="both"/>
      </w:pPr>
      <w:r w:rsidRPr="00B55A75">
        <w:t>3. </w:t>
      </w:r>
      <w:r>
        <w:t>Papildināt 2.2. apakšpunktu aiz vārdiem "atbalsta sistēmas pakalpojumus" ar vārdiem "kā arī izmantot citus elektronisko izsoļu vietnē piedāvātos pakalpojumus".</w:t>
      </w:r>
    </w:p>
    <w:p w14:paraId="7E831F0B" w14:textId="77777777" w:rsidR="00583D6E" w:rsidRPr="00DE117A" w:rsidRDefault="00583D6E" w:rsidP="00583D6E">
      <w:pPr>
        <w:pStyle w:val="Nosaukums"/>
        <w:ind w:firstLine="709"/>
        <w:jc w:val="both"/>
        <w:outlineLvl w:val="0"/>
        <w:rPr>
          <w:szCs w:val="28"/>
        </w:rPr>
      </w:pPr>
    </w:p>
    <w:p w14:paraId="4A6AD210" w14:textId="28B7BC28" w:rsidR="00583D6E" w:rsidRPr="00DE117A" w:rsidRDefault="001E6942" w:rsidP="00583D6E">
      <w:pPr>
        <w:pStyle w:val="Nosaukums"/>
        <w:ind w:firstLine="709"/>
        <w:jc w:val="both"/>
        <w:outlineLvl w:val="0"/>
        <w:rPr>
          <w:szCs w:val="28"/>
        </w:rPr>
      </w:pPr>
      <w:r>
        <w:rPr>
          <w:szCs w:val="28"/>
        </w:rPr>
        <w:t>4</w:t>
      </w:r>
      <w:r w:rsidR="00583D6E" w:rsidRPr="00DE117A">
        <w:rPr>
          <w:szCs w:val="28"/>
        </w:rPr>
        <w:t>. </w:t>
      </w:r>
      <w:r w:rsidR="00583D6E" w:rsidRPr="00DE117A">
        <w:t>Svītrot 2.4. apakšpunktā vārdus "nekustamā īpašuma".</w:t>
      </w:r>
    </w:p>
    <w:p w14:paraId="019C1333" w14:textId="77777777" w:rsidR="00B749DF" w:rsidRPr="00DE117A" w:rsidRDefault="00B749DF" w:rsidP="004D7882">
      <w:pPr>
        <w:pStyle w:val="Nosaukums"/>
        <w:ind w:firstLine="709"/>
        <w:jc w:val="both"/>
        <w:outlineLvl w:val="0"/>
        <w:rPr>
          <w:szCs w:val="28"/>
        </w:rPr>
      </w:pPr>
    </w:p>
    <w:p w14:paraId="6957349F" w14:textId="2BBA093F" w:rsidR="00583D6E" w:rsidRPr="004D7882" w:rsidRDefault="001E6942" w:rsidP="004D7882">
      <w:pPr>
        <w:pStyle w:val="Nosaukums"/>
        <w:ind w:firstLine="709"/>
        <w:jc w:val="both"/>
        <w:outlineLvl w:val="0"/>
        <w:rPr>
          <w:szCs w:val="28"/>
        </w:rPr>
      </w:pPr>
      <w:r>
        <w:rPr>
          <w:szCs w:val="28"/>
        </w:rPr>
        <w:t>5</w:t>
      </w:r>
      <w:r w:rsidR="00583D6E" w:rsidRPr="00DE117A">
        <w:rPr>
          <w:szCs w:val="28"/>
        </w:rPr>
        <w:t>. </w:t>
      </w:r>
      <w:r w:rsidR="004D7882" w:rsidRPr="00DE117A">
        <w:rPr>
          <w:szCs w:val="28"/>
        </w:rPr>
        <w:t xml:space="preserve">Svītrot </w:t>
      </w:r>
      <w:r w:rsidR="00583D6E" w:rsidRPr="00DE117A">
        <w:rPr>
          <w:szCs w:val="28"/>
        </w:rPr>
        <w:t>12. punkt</w:t>
      </w:r>
      <w:r w:rsidR="004D7882" w:rsidRPr="00DE117A">
        <w:rPr>
          <w:szCs w:val="28"/>
        </w:rPr>
        <w:t>ā</w:t>
      </w:r>
      <w:r w:rsidR="00583D6E" w:rsidRPr="004D7882">
        <w:rPr>
          <w:szCs w:val="28"/>
        </w:rPr>
        <w:t xml:space="preserve"> </w:t>
      </w:r>
      <w:r w:rsidR="004D7882" w:rsidRPr="004D7882">
        <w:rPr>
          <w:szCs w:val="28"/>
        </w:rPr>
        <w:t>vārdus "</w:t>
      </w:r>
      <w:r w:rsidR="004D7882" w:rsidRPr="004D7882">
        <w:t>nekustamā īpašuma".</w:t>
      </w:r>
    </w:p>
    <w:p w14:paraId="518A9C9D" w14:textId="77777777" w:rsidR="00583D6E" w:rsidRPr="000C58B3" w:rsidRDefault="00583D6E" w:rsidP="00583D6E">
      <w:pPr>
        <w:pStyle w:val="Nosaukums"/>
        <w:ind w:firstLine="709"/>
        <w:jc w:val="both"/>
        <w:outlineLvl w:val="0"/>
        <w:rPr>
          <w:szCs w:val="28"/>
        </w:rPr>
      </w:pPr>
    </w:p>
    <w:p w14:paraId="4DA71F9B" w14:textId="1B019101" w:rsidR="00583D6E" w:rsidRPr="000C58B3" w:rsidRDefault="001E6942" w:rsidP="00583D6E">
      <w:pPr>
        <w:pStyle w:val="Nosaukums"/>
        <w:ind w:firstLine="709"/>
        <w:jc w:val="both"/>
        <w:outlineLvl w:val="0"/>
      </w:pPr>
      <w:r>
        <w:t>6</w:t>
      </w:r>
      <w:r w:rsidR="00583D6E" w:rsidRPr="000C58B3">
        <w:t>. Izteikt 16. punktu šādā redakcijā:</w:t>
      </w:r>
    </w:p>
    <w:p w14:paraId="1F745EB8" w14:textId="77777777" w:rsidR="00583D6E" w:rsidRPr="000C58B3" w:rsidRDefault="00583D6E" w:rsidP="00583D6E">
      <w:pPr>
        <w:pStyle w:val="Nosaukums"/>
        <w:ind w:firstLine="709"/>
        <w:jc w:val="both"/>
        <w:outlineLvl w:val="0"/>
      </w:pPr>
      <w:r w:rsidRPr="000C58B3">
        <w:t xml:space="preserve">"16. Šo noteikumu 15.2. apakšpunktā minētajā kārtībā ziņas Izsoļu dalībnieku reģistrā iekļauj, ja reģistrē personu, par kuru ziņas netiek iekļautas un </w:t>
      </w:r>
      <w:r w:rsidRPr="000C58B3">
        <w:lastRenderedPageBreak/>
        <w:t xml:space="preserve">aktualizētas Fizisko personu reģistrā, kā arī personu, par kuru ziņas </w:t>
      </w:r>
      <w:hyperlink r:id="rId7" w:tgtFrame="_blank" w:history="1">
        <w:r w:rsidRPr="000C58B3">
          <w:t>Fizisko personu reģistra likumā</w:t>
        </w:r>
      </w:hyperlink>
      <w:r w:rsidRPr="000C58B3">
        <w:t xml:space="preserve"> noteiktajos gadījumos un kārtībā iekļauj un aktualizē Fizisko personu reģistrā, bet kurai nav pieejami šo noteikumu 15.1. apakšpunktā minētajā vienotajā valsts un pašvaldību pakalpojumu portālā </w:t>
      </w:r>
      <w:proofErr w:type="spellStart"/>
      <w:r w:rsidRPr="000C58B3">
        <w:t>www.latvija.lv</w:t>
      </w:r>
      <w:proofErr w:type="spellEnd"/>
      <w:r w:rsidRPr="000C58B3">
        <w:t xml:space="preserve"> piedāvātie identifikācijas līdzekļi."</w:t>
      </w:r>
    </w:p>
    <w:p w14:paraId="40F643D2" w14:textId="77777777" w:rsidR="00583D6E" w:rsidRDefault="00583D6E" w:rsidP="00C87213">
      <w:pPr>
        <w:pStyle w:val="Nosaukums"/>
        <w:jc w:val="both"/>
        <w:outlineLvl w:val="0"/>
      </w:pPr>
    </w:p>
    <w:p w14:paraId="4294B6FD" w14:textId="09E463B7" w:rsidR="00583D6E" w:rsidRPr="00F24EE5" w:rsidRDefault="00C87213" w:rsidP="00583D6E">
      <w:pPr>
        <w:pStyle w:val="Nosaukums"/>
        <w:ind w:firstLine="709"/>
        <w:jc w:val="both"/>
        <w:outlineLvl w:val="0"/>
      </w:pPr>
      <w:r>
        <w:t>7</w:t>
      </w:r>
      <w:r w:rsidR="00583D6E" w:rsidRPr="00F24EE5">
        <w:t xml:space="preserve">. Aizstāt 19. punktā vārdus "Iedzīvotāju reģistra" ar vārdiem "Fizisko personu reģistra". </w:t>
      </w:r>
    </w:p>
    <w:p w14:paraId="5E3CF0BC" w14:textId="77777777" w:rsidR="00583D6E" w:rsidRPr="00642502" w:rsidRDefault="00583D6E" w:rsidP="00583D6E">
      <w:pPr>
        <w:pStyle w:val="Nosaukums"/>
        <w:ind w:firstLine="709"/>
        <w:jc w:val="both"/>
        <w:outlineLvl w:val="0"/>
      </w:pPr>
    </w:p>
    <w:p w14:paraId="629A4CE7" w14:textId="2DF80D75" w:rsidR="00583D6E" w:rsidRPr="00F17E4D" w:rsidRDefault="00C87213" w:rsidP="00583D6E">
      <w:pPr>
        <w:pStyle w:val="Nosaukums"/>
        <w:ind w:firstLine="709"/>
        <w:jc w:val="both"/>
        <w:outlineLvl w:val="0"/>
      </w:pPr>
      <w:r>
        <w:t>8</w:t>
      </w:r>
      <w:r w:rsidR="00583D6E" w:rsidRPr="00F17E4D">
        <w:t>. Izteikt 25. punktu šādā redakcijā:</w:t>
      </w:r>
    </w:p>
    <w:p w14:paraId="54851E3F" w14:textId="77777777" w:rsidR="00583D6E" w:rsidRPr="00F17E4D" w:rsidRDefault="00583D6E" w:rsidP="00583D6E">
      <w:pPr>
        <w:pStyle w:val="Nosaukums"/>
        <w:ind w:firstLine="709"/>
        <w:jc w:val="both"/>
        <w:outlineLvl w:val="0"/>
      </w:pPr>
      <w:r>
        <w:t>"</w:t>
      </w:r>
      <w:r w:rsidRPr="00F17E4D">
        <w:t>25. </w:t>
      </w:r>
      <w:r>
        <w:t xml:space="preserve">Zvērināts tiesu izpildītājs vai maksātnespējas procesa administrators </w:t>
      </w:r>
      <w:r w:rsidRPr="00F17E4D">
        <w:t>elektronisko izsoļu vietnē ievieto sludinājumu par izsoli atbilstoši Civilprocesa likumā izsoles sludinājuma saturam noteiktajām prasībām.</w:t>
      </w:r>
      <w:r>
        <w:t xml:space="preserve"> </w:t>
      </w:r>
      <w:r w:rsidRPr="00F17E4D">
        <w:t>Pēc sludinājuma nosūtīšanas publicēšanai līdz brīdim, kad izziņotā izsole noslēgusies, sludinājumu par tā paša nekustamā īpašuma vai kustamas mantas izsoli citā izpildu lietā vai maksātnespējas procesa lietā nedrīkst publicēt.</w:t>
      </w:r>
      <w:r>
        <w:t xml:space="preserve">" </w:t>
      </w:r>
    </w:p>
    <w:p w14:paraId="11E6390C" w14:textId="77777777" w:rsidR="00583D6E" w:rsidRDefault="00583D6E" w:rsidP="00583D6E">
      <w:pPr>
        <w:pStyle w:val="Nosaukums"/>
        <w:ind w:firstLine="709"/>
        <w:jc w:val="both"/>
        <w:outlineLvl w:val="0"/>
      </w:pPr>
    </w:p>
    <w:p w14:paraId="3802ABD1" w14:textId="19B9ACAD" w:rsidR="00583D6E" w:rsidRDefault="00C87213" w:rsidP="004D7882">
      <w:pPr>
        <w:pStyle w:val="Nosaukums"/>
        <w:ind w:firstLine="709"/>
        <w:jc w:val="both"/>
        <w:outlineLvl w:val="0"/>
      </w:pPr>
      <w:r>
        <w:t>9</w:t>
      </w:r>
      <w:r w:rsidR="00583D6E">
        <w:t>. Svītrot 26. punktā vārdus "nekustamā īpašuma".</w:t>
      </w:r>
    </w:p>
    <w:p w14:paraId="4B8E366D" w14:textId="0FC288B3" w:rsidR="0091487A" w:rsidRDefault="0091487A" w:rsidP="004D7882">
      <w:pPr>
        <w:pStyle w:val="Nosaukums"/>
        <w:ind w:firstLine="709"/>
        <w:jc w:val="both"/>
        <w:outlineLvl w:val="0"/>
      </w:pPr>
    </w:p>
    <w:p w14:paraId="3502E80F" w14:textId="4E15B44A" w:rsidR="0091487A" w:rsidRPr="004D7882" w:rsidRDefault="0091487A" w:rsidP="004D7882">
      <w:pPr>
        <w:pStyle w:val="Nosaukums"/>
        <w:ind w:firstLine="709"/>
        <w:jc w:val="both"/>
        <w:outlineLvl w:val="0"/>
      </w:pPr>
      <w:r>
        <w:t>1</w:t>
      </w:r>
      <w:r w:rsidR="00C87213">
        <w:t>0</w:t>
      </w:r>
      <w:r>
        <w:t>. Svītrot 38. punktā vārdus "nekustamā īpašuma".</w:t>
      </w:r>
    </w:p>
    <w:p w14:paraId="6B75E617" w14:textId="77777777" w:rsidR="00583D6E" w:rsidRPr="00C60793" w:rsidRDefault="00583D6E" w:rsidP="00583D6E">
      <w:pPr>
        <w:pStyle w:val="Nosaukums"/>
        <w:ind w:firstLine="709"/>
        <w:jc w:val="both"/>
        <w:outlineLvl w:val="0"/>
      </w:pPr>
    </w:p>
    <w:p w14:paraId="2508F3E6" w14:textId="1E82BE42" w:rsidR="00583D6E" w:rsidRDefault="004D7882" w:rsidP="00583D6E">
      <w:pPr>
        <w:pStyle w:val="Nosaukums"/>
        <w:ind w:firstLine="709"/>
        <w:jc w:val="both"/>
        <w:outlineLvl w:val="0"/>
      </w:pPr>
      <w:r>
        <w:t>1</w:t>
      </w:r>
      <w:r w:rsidR="00C87213">
        <w:t>1</w:t>
      </w:r>
      <w:r w:rsidR="00583D6E">
        <w:t xml:space="preserve">. Papildināt </w:t>
      </w:r>
      <w:r w:rsidR="008B4883">
        <w:t xml:space="preserve">VII nodaļu </w:t>
      </w:r>
      <w:r w:rsidR="00583D6E">
        <w:t>ar 4</w:t>
      </w:r>
      <w:r w:rsidR="008B4883">
        <w:t>5</w:t>
      </w:r>
      <w:r w:rsidR="00583D6E">
        <w:t>.</w:t>
      </w:r>
      <w:r w:rsidR="008B4883">
        <w:rPr>
          <w:vertAlign w:val="superscript"/>
        </w:rPr>
        <w:t>2</w:t>
      </w:r>
      <w:r w:rsidR="00583D6E">
        <w:t xml:space="preserve"> un </w:t>
      </w:r>
      <w:r w:rsidR="001E6942">
        <w:t>4</w:t>
      </w:r>
      <w:r w:rsidR="008B4883">
        <w:t>5</w:t>
      </w:r>
      <w:r w:rsidR="00583D6E">
        <w:t>.</w:t>
      </w:r>
      <w:r w:rsidR="008B4883">
        <w:rPr>
          <w:vertAlign w:val="superscript"/>
        </w:rPr>
        <w:t>3</w:t>
      </w:r>
      <w:r w:rsidR="00583D6E">
        <w:t> punktu šādā redakcijā:</w:t>
      </w:r>
    </w:p>
    <w:p w14:paraId="7AD46DA8" w14:textId="77777777" w:rsidR="001E6942" w:rsidRDefault="001E6942" w:rsidP="00583D6E">
      <w:pPr>
        <w:pStyle w:val="Nosaukums"/>
        <w:ind w:firstLine="709"/>
        <w:jc w:val="both"/>
        <w:outlineLvl w:val="0"/>
        <w:rPr>
          <w:szCs w:val="28"/>
        </w:rPr>
      </w:pPr>
    </w:p>
    <w:p w14:paraId="70D2D7E7" w14:textId="5D193187" w:rsidR="00583D6E" w:rsidRPr="00774B40" w:rsidRDefault="00DB09D0" w:rsidP="00583D6E">
      <w:pPr>
        <w:pStyle w:val="Nosaukums"/>
        <w:ind w:firstLine="709"/>
        <w:jc w:val="both"/>
        <w:outlineLvl w:val="0"/>
        <w:rPr>
          <w:szCs w:val="28"/>
        </w:rPr>
      </w:pPr>
      <w:r>
        <w:rPr>
          <w:szCs w:val="28"/>
        </w:rPr>
        <w:t>"</w:t>
      </w:r>
      <w:r w:rsidR="001E6942" w:rsidRPr="00774B40">
        <w:rPr>
          <w:szCs w:val="28"/>
        </w:rPr>
        <w:t>4</w:t>
      </w:r>
      <w:r w:rsidR="008B4883">
        <w:rPr>
          <w:szCs w:val="28"/>
        </w:rPr>
        <w:t>5</w:t>
      </w:r>
      <w:r w:rsidR="00583D6E" w:rsidRPr="00774B40">
        <w:rPr>
          <w:szCs w:val="28"/>
        </w:rPr>
        <w:t>.</w:t>
      </w:r>
      <w:r w:rsidR="008B4883">
        <w:rPr>
          <w:szCs w:val="28"/>
          <w:vertAlign w:val="superscript"/>
        </w:rPr>
        <w:t>2</w:t>
      </w:r>
      <w:r w:rsidR="00583D6E" w:rsidRPr="00774B40">
        <w:rPr>
          <w:szCs w:val="28"/>
        </w:rPr>
        <w:t> </w:t>
      </w:r>
      <w:r w:rsidR="00816526">
        <w:rPr>
          <w:szCs w:val="28"/>
        </w:rPr>
        <w:t>Šajos n</w:t>
      </w:r>
      <w:r w:rsidR="00583D6E" w:rsidRPr="00774B40">
        <w:rPr>
          <w:szCs w:val="28"/>
        </w:rPr>
        <w:t>oteikumos noteikto kārtību</w:t>
      </w:r>
      <w:r w:rsidR="00583D6E">
        <w:rPr>
          <w:szCs w:val="28"/>
        </w:rPr>
        <w:t xml:space="preserve"> </w:t>
      </w:r>
      <w:r w:rsidR="00583D6E" w:rsidRPr="00774B40">
        <w:rPr>
          <w:szCs w:val="28"/>
        </w:rPr>
        <w:t xml:space="preserve">attiecībā uz kustamas mantas izsolēm piemēro no 2018. gada 1. jūlija. </w:t>
      </w:r>
    </w:p>
    <w:p w14:paraId="63B1BF90" w14:textId="77777777" w:rsidR="00583D6E" w:rsidRPr="009805BF" w:rsidRDefault="00583D6E" w:rsidP="00583D6E">
      <w:pPr>
        <w:pStyle w:val="Nosaukums"/>
        <w:ind w:firstLine="709"/>
        <w:jc w:val="both"/>
        <w:outlineLvl w:val="0"/>
        <w:rPr>
          <w:szCs w:val="28"/>
        </w:rPr>
      </w:pPr>
    </w:p>
    <w:p w14:paraId="350EE0E3" w14:textId="0277362B" w:rsidR="00583D6E" w:rsidRPr="009E5420" w:rsidRDefault="001E6942" w:rsidP="00583D6E">
      <w:pPr>
        <w:pStyle w:val="Nosaukums"/>
        <w:ind w:firstLine="709"/>
        <w:jc w:val="both"/>
        <w:outlineLvl w:val="0"/>
        <w:rPr>
          <w:szCs w:val="28"/>
        </w:rPr>
      </w:pPr>
      <w:r>
        <w:rPr>
          <w:szCs w:val="28"/>
        </w:rPr>
        <w:t>4</w:t>
      </w:r>
      <w:r w:rsidR="008B4883">
        <w:rPr>
          <w:szCs w:val="28"/>
        </w:rPr>
        <w:t>5</w:t>
      </w:r>
      <w:r w:rsidR="00583D6E" w:rsidRPr="009E5420">
        <w:rPr>
          <w:szCs w:val="28"/>
        </w:rPr>
        <w:t>.</w:t>
      </w:r>
      <w:r w:rsidR="008B4883" w:rsidRPr="008B4883">
        <w:rPr>
          <w:szCs w:val="28"/>
          <w:vertAlign w:val="superscript"/>
        </w:rPr>
        <w:t>3</w:t>
      </w:r>
      <w:r w:rsidR="00583D6E" w:rsidRPr="009E5420">
        <w:rPr>
          <w:szCs w:val="28"/>
        </w:rPr>
        <w:t> Grozījumi šo noteikumu 16. un 19. punktā</w:t>
      </w:r>
      <w:r w:rsidR="00CF5F43">
        <w:rPr>
          <w:szCs w:val="28"/>
        </w:rPr>
        <w:t>, kas paredz</w:t>
      </w:r>
      <w:r w:rsidR="00583D6E" w:rsidRPr="009E5420">
        <w:rPr>
          <w:szCs w:val="28"/>
        </w:rPr>
        <w:t xml:space="preserve"> </w:t>
      </w:r>
      <w:r w:rsidR="00DB09D0">
        <w:rPr>
          <w:szCs w:val="28"/>
        </w:rPr>
        <w:t>atsauc</w:t>
      </w:r>
      <w:r w:rsidR="00CF5F43">
        <w:rPr>
          <w:szCs w:val="28"/>
        </w:rPr>
        <w:t>i</w:t>
      </w:r>
      <w:r w:rsidR="00DB09D0">
        <w:rPr>
          <w:szCs w:val="28"/>
        </w:rPr>
        <w:t xml:space="preserve"> uz </w:t>
      </w:r>
      <w:r w:rsidR="00FD7628">
        <w:rPr>
          <w:szCs w:val="28"/>
        </w:rPr>
        <w:t>I</w:t>
      </w:r>
      <w:r w:rsidR="00DB09D0">
        <w:rPr>
          <w:szCs w:val="28"/>
        </w:rPr>
        <w:t>edzīvotāju reģistra likumu un Iedzīvotāju reģistru</w:t>
      </w:r>
      <w:r w:rsidR="00EF7DEF">
        <w:rPr>
          <w:szCs w:val="28"/>
        </w:rPr>
        <w:t xml:space="preserve"> </w:t>
      </w:r>
      <w:r w:rsidR="00CF5F43">
        <w:rPr>
          <w:szCs w:val="28"/>
        </w:rPr>
        <w:t xml:space="preserve">aizstāt </w:t>
      </w:r>
      <w:r w:rsidR="00695A28">
        <w:rPr>
          <w:szCs w:val="28"/>
        </w:rPr>
        <w:t xml:space="preserve">ar atsauci </w:t>
      </w:r>
      <w:r w:rsidR="00EF7DEF">
        <w:rPr>
          <w:szCs w:val="28"/>
        </w:rPr>
        <w:t xml:space="preserve">uz </w:t>
      </w:r>
      <w:r w:rsidR="00583D6E" w:rsidRPr="009E5420">
        <w:rPr>
          <w:szCs w:val="28"/>
        </w:rPr>
        <w:t>Fizisko personu reģistra likumu un Fizisko personu reģistru</w:t>
      </w:r>
      <w:r w:rsidR="00CF5F43">
        <w:rPr>
          <w:szCs w:val="28"/>
        </w:rPr>
        <w:t>,</w:t>
      </w:r>
      <w:r w:rsidR="00583D6E" w:rsidRPr="009E5420">
        <w:rPr>
          <w:szCs w:val="28"/>
        </w:rPr>
        <w:t xml:space="preserve"> stājas spēkā vienlaikus ar Fizisko personu reģistra likumu."</w:t>
      </w:r>
    </w:p>
    <w:p w14:paraId="16D63BAF" w14:textId="77777777" w:rsidR="00583D6E" w:rsidRDefault="00583D6E" w:rsidP="00583D6E">
      <w:pPr>
        <w:jc w:val="both"/>
        <w:rPr>
          <w:sz w:val="28"/>
          <w:szCs w:val="28"/>
        </w:rPr>
      </w:pPr>
    </w:p>
    <w:p w14:paraId="33BC6C89" w14:textId="77777777" w:rsidR="00583D6E" w:rsidRPr="00161600" w:rsidRDefault="00583D6E" w:rsidP="00583D6E">
      <w:pPr>
        <w:jc w:val="both"/>
        <w:rPr>
          <w:sz w:val="28"/>
          <w:szCs w:val="28"/>
        </w:rPr>
      </w:pPr>
    </w:p>
    <w:p w14:paraId="5E9C93F1" w14:textId="77777777" w:rsidR="00583D6E" w:rsidRPr="00646909" w:rsidRDefault="00583D6E" w:rsidP="00583D6E">
      <w:pPr>
        <w:jc w:val="both"/>
        <w:rPr>
          <w:sz w:val="28"/>
          <w:szCs w:val="28"/>
        </w:rPr>
      </w:pPr>
      <w:r w:rsidRPr="009A355D">
        <w:rPr>
          <w:sz w:val="28"/>
          <w:szCs w:val="28"/>
        </w:rPr>
        <w:t>Ministru prezidents</w:t>
      </w:r>
      <w:r w:rsidRPr="009A355D">
        <w:rPr>
          <w:sz w:val="28"/>
          <w:szCs w:val="28"/>
        </w:rPr>
        <w:tab/>
      </w:r>
      <w:r w:rsidRPr="009A355D">
        <w:rPr>
          <w:sz w:val="28"/>
          <w:szCs w:val="28"/>
        </w:rPr>
        <w:tab/>
      </w:r>
      <w:r w:rsidRPr="00646909">
        <w:rPr>
          <w:sz w:val="28"/>
          <w:szCs w:val="28"/>
        </w:rPr>
        <w:tab/>
      </w:r>
      <w:r w:rsidRPr="00646909">
        <w:rPr>
          <w:sz w:val="28"/>
          <w:szCs w:val="28"/>
        </w:rPr>
        <w:tab/>
      </w:r>
      <w:r w:rsidRPr="00646909">
        <w:rPr>
          <w:sz w:val="28"/>
          <w:szCs w:val="28"/>
        </w:rPr>
        <w:tab/>
      </w:r>
      <w:r w:rsidRPr="00646909">
        <w:rPr>
          <w:sz w:val="28"/>
          <w:szCs w:val="28"/>
        </w:rPr>
        <w:tab/>
        <w:t>Māris Kučinskis</w:t>
      </w:r>
    </w:p>
    <w:p w14:paraId="37E46C07" w14:textId="77777777" w:rsidR="00583D6E" w:rsidRPr="00646909" w:rsidRDefault="00583D6E" w:rsidP="00583D6E">
      <w:pPr>
        <w:jc w:val="both"/>
        <w:rPr>
          <w:sz w:val="28"/>
          <w:szCs w:val="28"/>
        </w:rPr>
      </w:pPr>
    </w:p>
    <w:p w14:paraId="51111C76" w14:textId="77777777" w:rsidR="00583D6E" w:rsidRPr="00646909" w:rsidRDefault="00583D6E" w:rsidP="00583D6E">
      <w:pPr>
        <w:jc w:val="both"/>
        <w:rPr>
          <w:sz w:val="28"/>
          <w:szCs w:val="28"/>
        </w:rPr>
      </w:pPr>
      <w:r w:rsidRPr="00646909">
        <w:rPr>
          <w:sz w:val="28"/>
          <w:szCs w:val="28"/>
        </w:rPr>
        <w:t>Tieslietu ministrs</w:t>
      </w:r>
      <w:r w:rsidRPr="00646909">
        <w:rPr>
          <w:sz w:val="28"/>
          <w:szCs w:val="28"/>
        </w:rPr>
        <w:tab/>
      </w:r>
      <w:r w:rsidRPr="00646909">
        <w:rPr>
          <w:sz w:val="28"/>
          <w:szCs w:val="28"/>
        </w:rPr>
        <w:tab/>
      </w:r>
      <w:r w:rsidRPr="00646909">
        <w:rPr>
          <w:sz w:val="28"/>
          <w:szCs w:val="28"/>
        </w:rPr>
        <w:tab/>
      </w:r>
      <w:r w:rsidRPr="00646909">
        <w:rPr>
          <w:sz w:val="28"/>
          <w:szCs w:val="28"/>
        </w:rPr>
        <w:tab/>
      </w:r>
      <w:r w:rsidRPr="00646909">
        <w:rPr>
          <w:sz w:val="28"/>
          <w:szCs w:val="28"/>
        </w:rPr>
        <w:tab/>
      </w:r>
      <w:r w:rsidRPr="00646909">
        <w:rPr>
          <w:sz w:val="28"/>
          <w:szCs w:val="28"/>
        </w:rPr>
        <w:tab/>
      </w:r>
      <w:r w:rsidRPr="00646909">
        <w:rPr>
          <w:sz w:val="28"/>
          <w:szCs w:val="28"/>
        </w:rPr>
        <w:tab/>
        <w:t>Dzintars Rasnačs</w:t>
      </w:r>
    </w:p>
    <w:p w14:paraId="187DC57E" w14:textId="77777777" w:rsidR="00583D6E" w:rsidRPr="00646909" w:rsidRDefault="00583D6E" w:rsidP="00583D6E">
      <w:pPr>
        <w:jc w:val="both"/>
        <w:rPr>
          <w:sz w:val="28"/>
          <w:szCs w:val="28"/>
        </w:rPr>
      </w:pPr>
    </w:p>
    <w:p w14:paraId="2C0E3875" w14:textId="77777777" w:rsidR="00583D6E" w:rsidRPr="00646909" w:rsidRDefault="00583D6E" w:rsidP="00583D6E">
      <w:pPr>
        <w:jc w:val="both"/>
        <w:rPr>
          <w:sz w:val="28"/>
          <w:szCs w:val="28"/>
        </w:rPr>
      </w:pPr>
      <w:r w:rsidRPr="00646909">
        <w:rPr>
          <w:sz w:val="28"/>
          <w:szCs w:val="28"/>
        </w:rPr>
        <w:t>Iesniedzējs:</w:t>
      </w:r>
    </w:p>
    <w:p w14:paraId="3898B77F" w14:textId="77777777" w:rsidR="00583D6E" w:rsidRDefault="00583D6E" w:rsidP="00583D6E">
      <w:pPr>
        <w:jc w:val="both"/>
        <w:rPr>
          <w:sz w:val="28"/>
          <w:szCs w:val="28"/>
        </w:rPr>
      </w:pPr>
      <w:r>
        <w:rPr>
          <w:sz w:val="28"/>
          <w:szCs w:val="28"/>
        </w:rPr>
        <w:t>Tieslietu ministrijas</w:t>
      </w:r>
    </w:p>
    <w:p w14:paraId="68861C1F" w14:textId="53ED20E2" w:rsidR="00111DCC" w:rsidRDefault="00583D6E" w:rsidP="001E6942">
      <w:pPr>
        <w:jc w:val="both"/>
      </w:pPr>
      <w:r w:rsidRPr="00646909">
        <w:rPr>
          <w:sz w:val="28"/>
          <w:szCs w:val="28"/>
        </w:rPr>
        <w:t>valsts sekretārs</w:t>
      </w:r>
      <w:r w:rsidRPr="00646909">
        <w:rPr>
          <w:sz w:val="28"/>
          <w:szCs w:val="28"/>
        </w:rPr>
        <w:tab/>
      </w:r>
      <w:r w:rsidRPr="00646909">
        <w:rPr>
          <w:sz w:val="28"/>
          <w:szCs w:val="28"/>
        </w:rPr>
        <w:tab/>
      </w:r>
      <w:r w:rsidRPr="00646909">
        <w:rPr>
          <w:sz w:val="28"/>
          <w:szCs w:val="28"/>
        </w:rPr>
        <w:tab/>
      </w:r>
      <w:r w:rsidRPr="00646909">
        <w:rPr>
          <w:sz w:val="28"/>
          <w:szCs w:val="28"/>
        </w:rPr>
        <w:tab/>
      </w:r>
      <w:r>
        <w:rPr>
          <w:sz w:val="28"/>
          <w:szCs w:val="28"/>
        </w:rPr>
        <w:tab/>
      </w:r>
      <w:r>
        <w:rPr>
          <w:sz w:val="28"/>
          <w:szCs w:val="28"/>
        </w:rPr>
        <w:tab/>
      </w:r>
      <w:r>
        <w:rPr>
          <w:sz w:val="28"/>
          <w:szCs w:val="28"/>
        </w:rPr>
        <w:tab/>
      </w:r>
      <w:r w:rsidRPr="00646909">
        <w:rPr>
          <w:sz w:val="28"/>
          <w:szCs w:val="28"/>
        </w:rPr>
        <w:t>Raivis Kronbergs</w:t>
      </w:r>
    </w:p>
    <w:sectPr w:rsidR="00111DCC" w:rsidSect="0097781C">
      <w:headerReference w:type="default" r:id="rId8"/>
      <w:footerReference w:type="default" r:id="rId9"/>
      <w:footerReference w:type="first" r:id="rId10"/>
      <w:pgSz w:w="11906" w:h="16838" w:code="9"/>
      <w:pgMar w:top="141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7C2BC" w14:textId="77777777" w:rsidR="00B54FF8" w:rsidRDefault="00115CEA">
      <w:r>
        <w:separator/>
      </w:r>
    </w:p>
  </w:endnote>
  <w:endnote w:type="continuationSeparator" w:id="0">
    <w:p w14:paraId="50658C2C" w14:textId="77777777" w:rsidR="00B54FF8" w:rsidRDefault="0011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01AFE" w14:textId="2A5421DC" w:rsidR="00E972EE" w:rsidRPr="009F3EFB" w:rsidRDefault="00246A0B" w:rsidP="006C0BDC">
    <w:pPr>
      <w:pStyle w:val="Kjene"/>
      <w:rPr>
        <w:sz w:val="20"/>
        <w:szCs w:val="20"/>
      </w:rPr>
    </w:pPr>
    <w:r>
      <w:rPr>
        <w:sz w:val="20"/>
        <w:szCs w:val="20"/>
      </w:rPr>
      <w:t>TMnot</w:t>
    </w:r>
    <w:r w:rsidR="00566A83">
      <w:rPr>
        <w:sz w:val="20"/>
        <w:szCs w:val="20"/>
      </w:rPr>
      <w:t>_</w:t>
    </w:r>
    <w:r w:rsidR="0045066F">
      <w:rPr>
        <w:sz w:val="20"/>
        <w:szCs w:val="20"/>
      </w:rPr>
      <w:t>1</w:t>
    </w:r>
    <w:r w:rsidR="00453E9C">
      <w:rPr>
        <w:sz w:val="20"/>
        <w:szCs w:val="20"/>
      </w:rPr>
      <w:t>6</w:t>
    </w:r>
    <w:r w:rsidR="008B4883">
      <w:rPr>
        <w:sz w:val="20"/>
        <w:szCs w:val="20"/>
      </w:rPr>
      <w:t>05</w:t>
    </w:r>
    <w:r>
      <w:rPr>
        <w:sz w:val="20"/>
        <w:szCs w:val="20"/>
      </w:rPr>
      <w:t>18</w:t>
    </w:r>
    <w:r w:rsidR="00566A83">
      <w:rPr>
        <w:sz w:val="20"/>
        <w:szCs w:val="20"/>
      </w:rPr>
      <w:t>_izsoles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C3CA" w14:textId="3E21340B" w:rsidR="00E972EE" w:rsidRPr="009F3EFB" w:rsidRDefault="00566A83">
    <w:pPr>
      <w:pStyle w:val="Kjene"/>
      <w:rPr>
        <w:sz w:val="20"/>
        <w:szCs w:val="20"/>
      </w:rPr>
    </w:pPr>
    <w:r>
      <w:rPr>
        <w:sz w:val="20"/>
        <w:szCs w:val="20"/>
      </w:rPr>
      <w:t>TMnot_</w:t>
    </w:r>
    <w:r w:rsidR="0045066F">
      <w:rPr>
        <w:sz w:val="20"/>
        <w:szCs w:val="20"/>
      </w:rPr>
      <w:t>1</w:t>
    </w:r>
    <w:r w:rsidR="00453E9C">
      <w:rPr>
        <w:sz w:val="20"/>
        <w:szCs w:val="20"/>
      </w:rPr>
      <w:t>6</w:t>
    </w:r>
    <w:r w:rsidR="008B4883">
      <w:rPr>
        <w:sz w:val="20"/>
        <w:szCs w:val="20"/>
      </w:rPr>
      <w:t>05</w:t>
    </w:r>
    <w:r w:rsidR="00246A0B">
      <w:rPr>
        <w:sz w:val="20"/>
        <w:szCs w:val="20"/>
      </w:rPr>
      <w:t>18</w:t>
    </w:r>
    <w:r>
      <w:rPr>
        <w:sz w:val="20"/>
        <w:szCs w:val="20"/>
      </w:rPr>
      <w:t>_izsoles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6481B" w14:textId="77777777" w:rsidR="00B54FF8" w:rsidRDefault="00115CEA">
      <w:r>
        <w:separator/>
      </w:r>
    </w:p>
  </w:footnote>
  <w:footnote w:type="continuationSeparator" w:id="0">
    <w:p w14:paraId="32447F37" w14:textId="77777777" w:rsidR="00B54FF8" w:rsidRDefault="00115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507135"/>
      <w:docPartObj>
        <w:docPartGallery w:val="Page Numbers (Top of Page)"/>
        <w:docPartUnique/>
      </w:docPartObj>
    </w:sdtPr>
    <w:sdtEndPr>
      <w:rPr>
        <w:noProof/>
      </w:rPr>
    </w:sdtEndPr>
    <w:sdtContent>
      <w:p w14:paraId="476E1C7B" w14:textId="6583E037" w:rsidR="00E972EE" w:rsidRDefault="00566A83">
        <w:pPr>
          <w:pStyle w:val="Galvene"/>
          <w:jc w:val="center"/>
        </w:pPr>
        <w:r>
          <w:fldChar w:fldCharType="begin"/>
        </w:r>
        <w:r>
          <w:instrText xml:space="preserve"> PAGE   \* MERGEFORMAT </w:instrText>
        </w:r>
        <w:r>
          <w:fldChar w:fldCharType="separate"/>
        </w:r>
        <w:r w:rsidR="00F85214">
          <w:rPr>
            <w:noProof/>
          </w:rPr>
          <w:t>2</w:t>
        </w:r>
        <w:r>
          <w:rPr>
            <w:noProof/>
          </w:rPr>
          <w:fldChar w:fldCharType="end"/>
        </w:r>
      </w:p>
    </w:sdtContent>
  </w:sdt>
  <w:p w14:paraId="66477545" w14:textId="77777777" w:rsidR="00E972EE" w:rsidRDefault="00453E9C" w:rsidP="00143392">
    <w:pPr>
      <w:pStyle w:val="Galve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F36CB"/>
    <w:multiLevelType w:val="hybridMultilevel"/>
    <w:tmpl w:val="1CFEB3A2"/>
    <w:lvl w:ilvl="0" w:tplc="7C58991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6E"/>
    <w:rsid w:val="00034FEE"/>
    <w:rsid w:val="00063829"/>
    <w:rsid w:val="00105BD2"/>
    <w:rsid w:val="00111DCC"/>
    <w:rsid w:val="00115CEA"/>
    <w:rsid w:val="00130A75"/>
    <w:rsid w:val="001E6942"/>
    <w:rsid w:val="001F071E"/>
    <w:rsid w:val="001F2CB5"/>
    <w:rsid w:val="001F7043"/>
    <w:rsid w:val="002247DA"/>
    <w:rsid w:val="00246A0B"/>
    <w:rsid w:val="0028535B"/>
    <w:rsid w:val="00354C94"/>
    <w:rsid w:val="00371F79"/>
    <w:rsid w:val="003D33FB"/>
    <w:rsid w:val="0045066F"/>
    <w:rsid w:val="00453E9C"/>
    <w:rsid w:val="004A2850"/>
    <w:rsid w:val="004D7882"/>
    <w:rsid w:val="00512EC5"/>
    <w:rsid w:val="0055694E"/>
    <w:rsid w:val="00566A83"/>
    <w:rsid w:val="00566AC0"/>
    <w:rsid w:val="00583D6E"/>
    <w:rsid w:val="00695A28"/>
    <w:rsid w:val="006E650B"/>
    <w:rsid w:val="007363A0"/>
    <w:rsid w:val="007368EB"/>
    <w:rsid w:val="007543CF"/>
    <w:rsid w:val="007638B7"/>
    <w:rsid w:val="00766F7D"/>
    <w:rsid w:val="00772FEE"/>
    <w:rsid w:val="00787D7E"/>
    <w:rsid w:val="007952AF"/>
    <w:rsid w:val="0079701D"/>
    <w:rsid w:val="007A1839"/>
    <w:rsid w:val="007F4EED"/>
    <w:rsid w:val="007F5843"/>
    <w:rsid w:val="00816526"/>
    <w:rsid w:val="00862CED"/>
    <w:rsid w:val="008708F8"/>
    <w:rsid w:val="008B4883"/>
    <w:rsid w:val="0091487A"/>
    <w:rsid w:val="00921E40"/>
    <w:rsid w:val="009374F0"/>
    <w:rsid w:val="00962EFF"/>
    <w:rsid w:val="009C1007"/>
    <w:rsid w:val="009C65A6"/>
    <w:rsid w:val="009F2B2C"/>
    <w:rsid w:val="00A259BC"/>
    <w:rsid w:val="00A576C0"/>
    <w:rsid w:val="00A67F33"/>
    <w:rsid w:val="00A75C83"/>
    <w:rsid w:val="00A849A2"/>
    <w:rsid w:val="00B1053C"/>
    <w:rsid w:val="00B2300B"/>
    <w:rsid w:val="00B26091"/>
    <w:rsid w:val="00B54FF8"/>
    <w:rsid w:val="00B749DF"/>
    <w:rsid w:val="00BE745B"/>
    <w:rsid w:val="00C87213"/>
    <w:rsid w:val="00CA7873"/>
    <w:rsid w:val="00CC0EE4"/>
    <w:rsid w:val="00CF5F43"/>
    <w:rsid w:val="00D32A7D"/>
    <w:rsid w:val="00D620F5"/>
    <w:rsid w:val="00D64027"/>
    <w:rsid w:val="00DB09D0"/>
    <w:rsid w:val="00DE117A"/>
    <w:rsid w:val="00E02AD7"/>
    <w:rsid w:val="00E50561"/>
    <w:rsid w:val="00E90EB4"/>
    <w:rsid w:val="00EB422C"/>
    <w:rsid w:val="00EB6C5F"/>
    <w:rsid w:val="00EF4ED5"/>
    <w:rsid w:val="00EF7DEF"/>
    <w:rsid w:val="00F50D8D"/>
    <w:rsid w:val="00F74559"/>
    <w:rsid w:val="00F85214"/>
    <w:rsid w:val="00FB1002"/>
    <w:rsid w:val="00FD7628"/>
    <w:rsid w:val="00FD7E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443EC4"/>
  <w15:chartTrackingRefBased/>
  <w15:docId w15:val="{725B3C38-3076-4451-BACC-042139B7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83D6E"/>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583D6E"/>
    <w:pPr>
      <w:jc w:val="center"/>
    </w:pPr>
    <w:rPr>
      <w:sz w:val="28"/>
      <w:szCs w:val="20"/>
      <w:lang w:eastAsia="en-US"/>
    </w:rPr>
  </w:style>
  <w:style w:type="character" w:customStyle="1" w:styleId="NosaukumsRakstz">
    <w:name w:val="Nosaukums Rakstz."/>
    <w:basedOn w:val="Noklusjumarindkopasfonts"/>
    <w:link w:val="Nosaukums"/>
    <w:rsid w:val="00583D6E"/>
    <w:rPr>
      <w:rFonts w:ascii="Times New Roman" w:eastAsia="Times New Roman" w:hAnsi="Times New Roman" w:cs="Times New Roman"/>
      <w:sz w:val="28"/>
      <w:szCs w:val="20"/>
    </w:rPr>
  </w:style>
  <w:style w:type="paragraph" w:styleId="Kjene">
    <w:name w:val="footer"/>
    <w:basedOn w:val="Parasts"/>
    <w:link w:val="KjeneRakstz"/>
    <w:uiPriority w:val="99"/>
    <w:rsid w:val="00583D6E"/>
    <w:pPr>
      <w:tabs>
        <w:tab w:val="center" w:pos="4153"/>
        <w:tab w:val="right" w:pos="8306"/>
      </w:tabs>
    </w:pPr>
  </w:style>
  <w:style w:type="character" w:customStyle="1" w:styleId="KjeneRakstz">
    <w:name w:val="Kājene Rakstz."/>
    <w:basedOn w:val="Noklusjumarindkopasfonts"/>
    <w:link w:val="Kjene"/>
    <w:uiPriority w:val="99"/>
    <w:rsid w:val="00583D6E"/>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83D6E"/>
    <w:pPr>
      <w:tabs>
        <w:tab w:val="center" w:pos="4153"/>
        <w:tab w:val="right" w:pos="8306"/>
      </w:tabs>
    </w:pPr>
  </w:style>
  <w:style w:type="character" w:customStyle="1" w:styleId="GalveneRakstz">
    <w:name w:val="Galvene Rakstz."/>
    <w:basedOn w:val="Noklusjumarindkopasfonts"/>
    <w:link w:val="Galvene"/>
    <w:uiPriority w:val="99"/>
    <w:rsid w:val="00583D6E"/>
    <w:rPr>
      <w:rFonts w:ascii="Times New Roman" w:eastAsia="Times New Roman" w:hAnsi="Times New Roman" w:cs="Times New Roman"/>
      <w:sz w:val="24"/>
      <w:szCs w:val="24"/>
      <w:lang w:eastAsia="lv-LV"/>
    </w:rPr>
  </w:style>
  <w:style w:type="character" w:styleId="Komentraatsauce">
    <w:name w:val="annotation reference"/>
    <w:basedOn w:val="Noklusjumarindkopasfonts"/>
    <w:unhideWhenUsed/>
    <w:rsid w:val="00583D6E"/>
    <w:rPr>
      <w:sz w:val="16"/>
      <w:szCs w:val="16"/>
    </w:rPr>
  </w:style>
  <w:style w:type="paragraph" w:styleId="Komentrateksts">
    <w:name w:val="annotation text"/>
    <w:basedOn w:val="Parasts"/>
    <w:link w:val="KomentratekstsRakstz"/>
    <w:unhideWhenUsed/>
    <w:rsid w:val="00583D6E"/>
    <w:rPr>
      <w:sz w:val="20"/>
      <w:szCs w:val="20"/>
    </w:rPr>
  </w:style>
  <w:style w:type="character" w:customStyle="1" w:styleId="KomentratekstsRakstz">
    <w:name w:val="Komentāra teksts Rakstz."/>
    <w:basedOn w:val="Noklusjumarindkopasfonts"/>
    <w:link w:val="Komentrateksts"/>
    <w:rsid w:val="00583D6E"/>
    <w:rPr>
      <w:rFonts w:ascii="Times New Roman" w:eastAsia="Times New Roman" w:hAnsi="Times New Roman" w:cs="Times New Roman"/>
      <w:sz w:val="20"/>
      <w:szCs w:val="20"/>
      <w:lang w:eastAsia="lv-LV"/>
    </w:rPr>
  </w:style>
  <w:style w:type="paragraph" w:styleId="Balonteksts">
    <w:name w:val="Balloon Text"/>
    <w:basedOn w:val="Parasts"/>
    <w:link w:val="BalontekstsRakstz"/>
    <w:uiPriority w:val="99"/>
    <w:semiHidden/>
    <w:unhideWhenUsed/>
    <w:rsid w:val="00583D6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83D6E"/>
    <w:rPr>
      <w:rFonts w:ascii="Segoe UI" w:eastAsia="Times New Roman" w:hAnsi="Segoe UI" w:cs="Segoe UI"/>
      <w:sz w:val="18"/>
      <w:szCs w:val="18"/>
      <w:lang w:eastAsia="lv-LV"/>
    </w:rPr>
  </w:style>
  <w:style w:type="paragraph" w:styleId="Komentratma">
    <w:name w:val="annotation subject"/>
    <w:basedOn w:val="Komentrateksts"/>
    <w:next w:val="Komentrateksts"/>
    <w:link w:val="KomentratmaRakstz"/>
    <w:uiPriority w:val="99"/>
    <w:semiHidden/>
    <w:unhideWhenUsed/>
    <w:rsid w:val="007363A0"/>
    <w:rPr>
      <w:b/>
      <w:bCs/>
    </w:rPr>
  </w:style>
  <w:style w:type="character" w:customStyle="1" w:styleId="KomentratmaRakstz">
    <w:name w:val="Komentāra tēma Rakstz."/>
    <w:basedOn w:val="KomentratekstsRakstz"/>
    <w:link w:val="Komentratma"/>
    <w:uiPriority w:val="99"/>
    <w:semiHidden/>
    <w:rsid w:val="007363A0"/>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EF4ED5"/>
    <w:rPr>
      <w:strike w:val="0"/>
      <w:dstrike w:val="0"/>
      <w:color w:val="0000FF"/>
      <w:u w:val="none"/>
      <w:effect w:val="none"/>
    </w:rPr>
  </w:style>
  <w:style w:type="character" w:styleId="Neatrisintapieminana">
    <w:name w:val="Unresolved Mention"/>
    <w:basedOn w:val="Noklusjumarindkopasfonts"/>
    <w:uiPriority w:val="99"/>
    <w:semiHidden/>
    <w:unhideWhenUsed/>
    <w:rsid w:val="00EF4ED5"/>
    <w:rPr>
      <w:color w:val="808080"/>
      <w:shd w:val="clear" w:color="auto" w:fill="E6E6E6"/>
    </w:rPr>
  </w:style>
  <w:style w:type="paragraph" w:customStyle="1" w:styleId="tv2132">
    <w:name w:val="tv2132"/>
    <w:basedOn w:val="Parasts"/>
    <w:rsid w:val="00862CED"/>
    <w:pPr>
      <w:spacing w:line="360" w:lineRule="auto"/>
      <w:ind w:firstLine="300"/>
    </w:pPr>
    <w:rPr>
      <w:color w:val="414142"/>
      <w:sz w:val="20"/>
      <w:szCs w:val="20"/>
    </w:rPr>
  </w:style>
  <w:style w:type="paragraph" w:styleId="Prskatjums">
    <w:name w:val="Revision"/>
    <w:hidden/>
    <w:uiPriority w:val="99"/>
    <w:semiHidden/>
    <w:rsid w:val="00CA7873"/>
    <w:pPr>
      <w:spacing w:after="0" w:line="240" w:lineRule="auto"/>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7A18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855089">
      <w:bodyDiv w:val="1"/>
      <w:marLeft w:val="0"/>
      <w:marRight w:val="0"/>
      <w:marTop w:val="0"/>
      <w:marBottom w:val="0"/>
      <w:divBdr>
        <w:top w:val="none" w:sz="0" w:space="0" w:color="auto"/>
        <w:left w:val="none" w:sz="0" w:space="0" w:color="auto"/>
        <w:bottom w:val="none" w:sz="0" w:space="0" w:color="auto"/>
        <w:right w:val="none" w:sz="0" w:space="0" w:color="auto"/>
      </w:divBdr>
      <w:divsChild>
        <w:div w:id="491793913">
          <w:marLeft w:val="0"/>
          <w:marRight w:val="0"/>
          <w:marTop w:val="0"/>
          <w:marBottom w:val="0"/>
          <w:divBdr>
            <w:top w:val="none" w:sz="0" w:space="0" w:color="auto"/>
            <w:left w:val="none" w:sz="0" w:space="0" w:color="auto"/>
            <w:bottom w:val="none" w:sz="0" w:space="0" w:color="auto"/>
            <w:right w:val="none" w:sz="0" w:space="0" w:color="auto"/>
          </w:divBdr>
          <w:divsChild>
            <w:div w:id="13786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4823">
      <w:bodyDiv w:val="1"/>
      <w:marLeft w:val="0"/>
      <w:marRight w:val="0"/>
      <w:marTop w:val="0"/>
      <w:marBottom w:val="0"/>
      <w:divBdr>
        <w:top w:val="none" w:sz="0" w:space="0" w:color="auto"/>
        <w:left w:val="none" w:sz="0" w:space="0" w:color="auto"/>
        <w:bottom w:val="none" w:sz="0" w:space="0" w:color="auto"/>
        <w:right w:val="none" w:sz="0" w:space="0" w:color="auto"/>
      </w:divBdr>
      <w:divsChild>
        <w:div w:id="2074816164">
          <w:marLeft w:val="0"/>
          <w:marRight w:val="0"/>
          <w:marTop w:val="0"/>
          <w:marBottom w:val="0"/>
          <w:divBdr>
            <w:top w:val="none" w:sz="0" w:space="0" w:color="auto"/>
            <w:left w:val="none" w:sz="0" w:space="0" w:color="auto"/>
            <w:bottom w:val="none" w:sz="0" w:space="0" w:color="auto"/>
            <w:right w:val="none" w:sz="0" w:space="0" w:color="auto"/>
          </w:divBdr>
          <w:divsChild>
            <w:div w:id="599067448">
              <w:marLeft w:val="0"/>
              <w:marRight w:val="0"/>
              <w:marTop w:val="0"/>
              <w:marBottom w:val="0"/>
              <w:divBdr>
                <w:top w:val="none" w:sz="0" w:space="0" w:color="auto"/>
                <w:left w:val="none" w:sz="0" w:space="0" w:color="auto"/>
                <w:bottom w:val="none" w:sz="0" w:space="0" w:color="auto"/>
                <w:right w:val="none" w:sz="0" w:space="0" w:color="auto"/>
              </w:divBdr>
              <w:divsChild>
                <w:div w:id="1195002746">
                  <w:marLeft w:val="0"/>
                  <w:marRight w:val="0"/>
                  <w:marTop w:val="0"/>
                  <w:marBottom w:val="0"/>
                  <w:divBdr>
                    <w:top w:val="none" w:sz="0" w:space="0" w:color="auto"/>
                    <w:left w:val="none" w:sz="0" w:space="0" w:color="auto"/>
                    <w:bottom w:val="none" w:sz="0" w:space="0" w:color="auto"/>
                    <w:right w:val="none" w:sz="0" w:space="0" w:color="auto"/>
                  </w:divBdr>
                  <w:divsChild>
                    <w:div w:id="1808619361">
                      <w:marLeft w:val="0"/>
                      <w:marRight w:val="0"/>
                      <w:marTop w:val="0"/>
                      <w:marBottom w:val="0"/>
                      <w:divBdr>
                        <w:top w:val="none" w:sz="0" w:space="0" w:color="auto"/>
                        <w:left w:val="none" w:sz="0" w:space="0" w:color="auto"/>
                        <w:bottom w:val="none" w:sz="0" w:space="0" w:color="auto"/>
                        <w:right w:val="none" w:sz="0" w:space="0" w:color="auto"/>
                      </w:divBdr>
                      <w:divsChild>
                        <w:div w:id="1692141913">
                          <w:marLeft w:val="0"/>
                          <w:marRight w:val="0"/>
                          <w:marTop w:val="0"/>
                          <w:marBottom w:val="0"/>
                          <w:divBdr>
                            <w:top w:val="none" w:sz="0" w:space="0" w:color="auto"/>
                            <w:left w:val="none" w:sz="0" w:space="0" w:color="auto"/>
                            <w:bottom w:val="none" w:sz="0" w:space="0" w:color="auto"/>
                            <w:right w:val="none" w:sz="0" w:space="0" w:color="auto"/>
                          </w:divBdr>
                          <w:divsChild>
                            <w:div w:id="932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251307">
      <w:bodyDiv w:val="1"/>
      <w:marLeft w:val="0"/>
      <w:marRight w:val="0"/>
      <w:marTop w:val="0"/>
      <w:marBottom w:val="0"/>
      <w:divBdr>
        <w:top w:val="none" w:sz="0" w:space="0" w:color="auto"/>
        <w:left w:val="none" w:sz="0" w:space="0" w:color="auto"/>
        <w:bottom w:val="none" w:sz="0" w:space="0" w:color="auto"/>
        <w:right w:val="none" w:sz="0" w:space="0" w:color="auto"/>
      </w:divBdr>
      <w:divsChild>
        <w:div w:id="786048316">
          <w:marLeft w:val="0"/>
          <w:marRight w:val="0"/>
          <w:marTop w:val="0"/>
          <w:marBottom w:val="0"/>
          <w:divBdr>
            <w:top w:val="none" w:sz="0" w:space="0" w:color="auto"/>
            <w:left w:val="none" w:sz="0" w:space="0" w:color="auto"/>
            <w:bottom w:val="none" w:sz="0" w:space="0" w:color="auto"/>
            <w:right w:val="none" w:sz="0" w:space="0" w:color="auto"/>
          </w:divBdr>
          <w:divsChild>
            <w:div w:id="1719664948">
              <w:marLeft w:val="0"/>
              <w:marRight w:val="0"/>
              <w:marTop w:val="0"/>
              <w:marBottom w:val="0"/>
              <w:divBdr>
                <w:top w:val="none" w:sz="0" w:space="0" w:color="auto"/>
                <w:left w:val="none" w:sz="0" w:space="0" w:color="auto"/>
                <w:bottom w:val="none" w:sz="0" w:space="0" w:color="auto"/>
                <w:right w:val="none" w:sz="0" w:space="0" w:color="auto"/>
              </w:divBdr>
              <w:divsChild>
                <w:div w:id="688259922">
                  <w:marLeft w:val="0"/>
                  <w:marRight w:val="0"/>
                  <w:marTop w:val="0"/>
                  <w:marBottom w:val="0"/>
                  <w:divBdr>
                    <w:top w:val="none" w:sz="0" w:space="0" w:color="auto"/>
                    <w:left w:val="none" w:sz="0" w:space="0" w:color="auto"/>
                    <w:bottom w:val="none" w:sz="0" w:space="0" w:color="auto"/>
                    <w:right w:val="none" w:sz="0" w:space="0" w:color="auto"/>
                  </w:divBdr>
                  <w:divsChild>
                    <w:div w:id="1369405259">
                      <w:marLeft w:val="0"/>
                      <w:marRight w:val="0"/>
                      <w:marTop w:val="0"/>
                      <w:marBottom w:val="0"/>
                      <w:divBdr>
                        <w:top w:val="none" w:sz="0" w:space="0" w:color="auto"/>
                        <w:left w:val="none" w:sz="0" w:space="0" w:color="auto"/>
                        <w:bottom w:val="none" w:sz="0" w:space="0" w:color="auto"/>
                        <w:right w:val="none" w:sz="0" w:space="0" w:color="auto"/>
                      </w:divBdr>
                      <w:divsChild>
                        <w:div w:id="522398522">
                          <w:marLeft w:val="0"/>
                          <w:marRight w:val="0"/>
                          <w:marTop w:val="0"/>
                          <w:marBottom w:val="0"/>
                          <w:divBdr>
                            <w:top w:val="none" w:sz="0" w:space="0" w:color="auto"/>
                            <w:left w:val="none" w:sz="0" w:space="0" w:color="auto"/>
                            <w:bottom w:val="none" w:sz="0" w:space="0" w:color="auto"/>
                            <w:right w:val="none" w:sz="0" w:space="0" w:color="auto"/>
                          </w:divBdr>
                          <w:divsChild>
                            <w:div w:id="2056928047">
                              <w:marLeft w:val="0"/>
                              <w:marRight w:val="0"/>
                              <w:marTop w:val="0"/>
                              <w:marBottom w:val="0"/>
                              <w:divBdr>
                                <w:top w:val="none" w:sz="0" w:space="0" w:color="auto"/>
                                <w:left w:val="none" w:sz="0" w:space="0" w:color="auto"/>
                                <w:bottom w:val="none" w:sz="0" w:space="0" w:color="auto"/>
                                <w:right w:val="none" w:sz="0" w:space="0" w:color="auto"/>
                              </w:divBdr>
                              <w:divsChild>
                                <w:div w:id="681123655">
                                  <w:marLeft w:val="0"/>
                                  <w:marRight w:val="0"/>
                                  <w:marTop w:val="0"/>
                                  <w:marBottom w:val="0"/>
                                  <w:divBdr>
                                    <w:top w:val="none" w:sz="0" w:space="0" w:color="auto"/>
                                    <w:left w:val="none" w:sz="0" w:space="0" w:color="auto"/>
                                    <w:bottom w:val="none" w:sz="0" w:space="0" w:color="auto"/>
                                    <w:right w:val="none" w:sz="0" w:space="0" w:color="auto"/>
                                  </w:divBdr>
                                </w:div>
                                <w:div w:id="3709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kumi.lv/ta/id/49641-iedzivotaju-registra-lik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2290</Words>
  <Characters>1306</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Grozījumi Ministru kabineta 2015.gada 16.jūnija noteikumos Nr.318 "Elektronisko izsoļu vietnes noteikumi"</vt:lpstr>
    </vt:vector>
  </TitlesOfParts>
  <Company>Tieslietu ministrija</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2015.gada 16.jūnija noteikumos Nr.318 "Elektronisko izsoļu vietnes noteikumi"</dc:title>
  <dc:subject>Ministru kabineta noteikumu projekts</dc:subject>
  <dc:creator>Evija Timpare</dc:creator>
  <cp:keywords/>
  <dc:description>evija.timpare@tm.gov.lv, 67036829</dc:description>
  <cp:lastModifiedBy>Evija Timpare</cp:lastModifiedBy>
  <cp:revision>3</cp:revision>
  <cp:lastPrinted>2018-05-07T07:09:00Z</cp:lastPrinted>
  <dcterms:created xsi:type="dcterms:W3CDTF">2018-05-10T13:42:00Z</dcterms:created>
  <dcterms:modified xsi:type="dcterms:W3CDTF">2018-05-16T08:42:00Z</dcterms:modified>
</cp:coreProperties>
</file>