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0A77" w14:textId="235B45AF" w:rsidR="0018118E" w:rsidRPr="0018118E" w:rsidRDefault="007724B7" w:rsidP="0018118E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lv-LV"/>
        </w:rPr>
      </w:pPr>
      <w:r>
        <w:rPr>
          <w:rFonts w:eastAsia="Times New Roman"/>
          <w:b/>
          <w:bCs/>
          <w:sz w:val="28"/>
          <w:szCs w:val="28"/>
          <w:lang w:eastAsia="lv-LV"/>
        </w:rPr>
        <w:t>Ministru kabineta noteikumu projekt</w:t>
      </w:r>
      <w:r w:rsidR="0018118E">
        <w:rPr>
          <w:rFonts w:eastAsia="Times New Roman"/>
          <w:b/>
          <w:bCs/>
          <w:sz w:val="28"/>
          <w:szCs w:val="28"/>
          <w:lang w:eastAsia="lv-LV"/>
        </w:rPr>
        <w:t>a</w:t>
      </w:r>
      <w:r>
        <w:rPr>
          <w:rFonts w:eastAsia="Times New Roman"/>
          <w:b/>
          <w:bCs/>
          <w:sz w:val="28"/>
          <w:szCs w:val="28"/>
          <w:lang w:eastAsia="lv-LV"/>
        </w:rPr>
        <w:t xml:space="preserve"> "</w:t>
      </w:r>
      <w:r w:rsidRPr="007724B7">
        <w:rPr>
          <w:rFonts w:eastAsia="Times New Roman"/>
          <w:b/>
          <w:bCs/>
          <w:sz w:val="28"/>
          <w:szCs w:val="28"/>
          <w:lang w:eastAsia="lv-LV"/>
        </w:rPr>
        <w:t>Grozījums Ministru kabineta 2013. gada 3. septembra noteikumos Nr. 737 "Noteikumi par zvērinātu notāru atlīdzības taksēm un to noteikšanas kārtību"</w:t>
      </w:r>
      <w:r>
        <w:rPr>
          <w:rFonts w:eastAsia="Times New Roman"/>
          <w:b/>
          <w:bCs/>
          <w:sz w:val="28"/>
          <w:szCs w:val="28"/>
          <w:lang w:eastAsia="lv-LV"/>
        </w:rPr>
        <w:t>"</w:t>
      </w:r>
      <w:r w:rsidR="0018118E" w:rsidRPr="0018118E">
        <w:rPr>
          <w:rFonts w:eastAsia="Times New Roman"/>
          <w:b/>
          <w:bCs/>
          <w:sz w:val="24"/>
          <w:szCs w:val="24"/>
          <w:lang w:eastAsia="lv-LV"/>
        </w:rPr>
        <w:t xml:space="preserve"> </w:t>
      </w:r>
      <w:r w:rsidR="0018118E" w:rsidRPr="0018118E">
        <w:rPr>
          <w:rFonts w:eastAsia="Times New Roman"/>
          <w:b/>
          <w:bCs/>
          <w:sz w:val="28"/>
          <w:szCs w:val="28"/>
          <w:lang w:eastAsia="lv-LV"/>
        </w:rPr>
        <w:t>sākotnējās ietekmes novērtējuma ziņojums (anotācija)</w:t>
      </w:r>
    </w:p>
    <w:p w14:paraId="1C76E832" w14:textId="0385E507" w:rsidR="00DA596D" w:rsidRDefault="00DA596D" w:rsidP="00A978F1">
      <w:pPr>
        <w:spacing w:after="0" w:line="240" w:lineRule="auto"/>
        <w:ind w:firstLine="300"/>
        <w:jc w:val="center"/>
        <w:rPr>
          <w:rFonts w:eastAsia="Times New Roman"/>
          <w:b/>
          <w:bCs/>
          <w:sz w:val="24"/>
          <w:szCs w:val="24"/>
          <w:lang w:eastAsia="lv-LV"/>
        </w:rPr>
      </w:pPr>
    </w:p>
    <w:p w14:paraId="42AFF49E" w14:textId="4DBF6201" w:rsidR="00A1552F" w:rsidRDefault="00A1552F" w:rsidP="00A978F1">
      <w:pPr>
        <w:spacing w:after="0" w:line="240" w:lineRule="auto"/>
        <w:ind w:firstLine="300"/>
        <w:jc w:val="center"/>
        <w:rPr>
          <w:rFonts w:eastAsia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6231"/>
      </w:tblGrid>
      <w:tr w:rsidR="00A1552F" w:rsidRPr="002D7166" w14:paraId="70BDCC6E" w14:textId="77777777" w:rsidTr="00A1552F">
        <w:trPr>
          <w:cantSplit/>
        </w:trPr>
        <w:tc>
          <w:tcPr>
            <w:tcW w:w="9061" w:type="dxa"/>
            <w:gridSpan w:val="2"/>
            <w:shd w:val="clear" w:color="auto" w:fill="FFFFFF"/>
            <w:vAlign w:val="center"/>
            <w:hideMark/>
          </w:tcPr>
          <w:p w14:paraId="2E3635E1" w14:textId="77777777" w:rsidR="00A1552F" w:rsidRPr="002D7166" w:rsidRDefault="00A1552F">
            <w:pPr>
              <w:spacing w:after="0" w:line="240" w:lineRule="auto"/>
              <w:ind w:firstLine="300"/>
              <w:jc w:val="center"/>
              <w:rPr>
                <w:rFonts w:ascii="Cambria" w:hAnsi="Cambria"/>
                <w:b/>
                <w:iCs/>
                <w:sz w:val="19"/>
                <w:szCs w:val="19"/>
              </w:rPr>
            </w:pPr>
            <w:r w:rsidRPr="00A1552F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A1552F" w:rsidRPr="002D7166" w14:paraId="47F047DD" w14:textId="77777777" w:rsidTr="00E9181C">
        <w:trPr>
          <w:cantSplit/>
        </w:trPr>
        <w:tc>
          <w:tcPr>
            <w:tcW w:w="2830" w:type="dxa"/>
            <w:shd w:val="clear" w:color="auto" w:fill="FFFFFF"/>
            <w:hideMark/>
          </w:tcPr>
          <w:p w14:paraId="3C58940B" w14:textId="77777777" w:rsidR="00A1552F" w:rsidRPr="00A1552F" w:rsidRDefault="00A1552F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A1552F">
              <w:rPr>
                <w:rFonts w:eastAsia="Times New Roman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6231" w:type="dxa"/>
            <w:shd w:val="clear" w:color="auto" w:fill="FFFFFF"/>
            <w:hideMark/>
          </w:tcPr>
          <w:p w14:paraId="2D343C0B" w14:textId="1DF243AA" w:rsidR="00A1552F" w:rsidRPr="00A1552F" w:rsidRDefault="00ED0888" w:rsidP="00A97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38674108" w14:textId="77777777" w:rsidR="00A1552F" w:rsidRPr="00BC2633" w:rsidRDefault="00A1552F" w:rsidP="00C26E8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lv-LV"/>
        </w:rPr>
      </w:pPr>
    </w:p>
    <w:tbl>
      <w:tblPr>
        <w:tblW w:w="5004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"/>
        <w:gridCol w:w="2902"/>
        <w:gridCol w:w="5798"/>
      </w:tblGrid>
      <w:tr w:rsidR="00BC2633" w:rsidRPr="00BC2633" w14:paraId="2C53EF84" w14:textId="77777777" w:rsidTr="0059057E">
        <w:trPr>
          <w:trHeight w:val="405"/>
        </w:trPr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B67FDD" w14:textId="77777777" w:rsidR="004D15A9" w:rsidRPr="00BC2633" w:rsidRDefault="004D15A9" w:rsidP="00C26E82">
            <w:pPr>
              <w:spacing w:after="0" w:line="240" w:lineRule="auto"/>
              <w:ind w:firstLine="300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DA326E" w:rsidRPr="00BC2633" w14:paraId="22687615" w14:textId="77777777" w:rsidTr="00DA326E">
        <w:trPr>
          <w:trHeight w:val="40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187791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AFBCA2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3EB312" w14:textId="009796BD" w:rsidR="004D15A9" w:rsidRPr="00BC2633" w:rsidRDefault="00D322EE" w:rsidP="00A97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D322EE">
              <w:rPr>
                <w:rFonts w:eastAsia="Times New Roman"/>
                <w:sz w:val="24"/>
                <w:szCs w:val="24"/>
                <w:lang w:eastAsia="lv-LV"/>
              </w:rPr>
              <w:t>Ministru kabineta noteikumu projekts "Grozījums Ministru kabineta 2013.</w:t>
            </w:r>
            <w:r w:rsidR="00BA3437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Pr="00D322EE">
              <w:rPr>
                <w:rFonts w:eastAsia="Times New Roman"/>
                <w:sz w:val="24"/>
                <w:szCs w:val="24"/>
                <w:lang w:eastAsia="lv-LV"/>
              </w:rPr>
              <w:t>gada 3.</w:t>
            </w:r>
            <w:r w:rsidR="00BA3437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Pr="00D322EE">
              <w:rPr>
                <w:rFonts w:eastAsia="Times New Roman"/>
                <w:sz w:val="24"/>
                <w:szCs w:val="24"/>
                <w:lang w:eastAsia="lv-LV"/>
              </w:rPr>
              <w:t>septembra noteikumos Nr.</w:t>
            </w:r>
            <w:r w:rsidR="00BA3437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Pr="00D322EE">
              <w:rPr>
                <w:rFonts w:eastAsia="Times New Roman"/>
                <w:sz w:val="24"/>
                <w:szCs w:val="24"/>
                <w:lang w:eastAsia="lv-LV"/>
              </w:rPr>
              <w:t>737 "Noteikumi par zvērinātu notāru atlīdzības taksēm un to noteikšanas kārtību""</w:t>
            </w:r>
            <w:r w:rsidR="00AA7184" w:rsidRPr="00AA7184">
              <w:rPr>
                <w:rFonts w:eastAsia="Times New Roman"/>
                <w:sz w:val="24"/>
                <w:szCs w:val="24"/>
                <w:lang w:eastAsia="lv-LV"/>
              </w:rPr>
              <w:t xml:space="preserve"> (turpmāk – </w:t>
            </w:r>
            <w:r w:rsidRPr="00D322EE">
              <w:rPr>
                <w:rFonts w:eastAsia="Times New Roman"/>
                <w:sz w:val="24"/>
                <w:szCs w:val="24"/>
                <w:lang w:eastAsia="lv-LV"/>
              </w:rPr>
              <w:t>noteikumu projekts</w:t>
            </w:r>
            <w:r w:rsidR="00AA7184" w:rsidRPr="00AA7184">
              <w:rPr>
                <w:rFonts w:eastAsia="Times New Roman"/>
                <w:sz w:val="24"/>
                <w:szCs w:val="24"/>
                <w:lang w:eastAsia="lv-LV"/>
              </w:rPr>
              <w:t>)</w:t>
            </w:r>
            <w:r w:rsidR="00AA7184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AA7184">
              <w:rPr>
                <w:rFonts w:eastAsia="Times New Roman"/>
                <w:sz w:val="24"/>
                <w:szCs w:val="24"/>
                <w:lang w:eastAsia="lv-LV"/>
              </w:rPr>
              <w:t xml:space="preserve">izstrādāts pēc Tieslietu ministrijas </w:t>
            </w:r>
            <w:r w:rsidR="00AA7184" w:rsidRPr="001E2556">
              <w:rPr>
                <w:sz w:val="24"/>
                <w:szCs w:val="24"/>
              </w:rPr>
              <w:t>iniciatīvas</w:t>
            </w:r>
            <w:r w:rsidR="00AA7184">
              <w:rPr>
                <w:sz w:val="24"/>
                <w:szCs w:val="24"/>
              </w:rPr>
              <w:t>.</w:t>
            </w:r>
          </w:p>
        </w:tc>
      </w:tr>
      <w:tr w:rsidR="00DA326E" w:rsidRPr="00BC2633" w14:paraId="5FF7B6AF" w14:textId="77777777" w:rsidTr="00DA326E">
        <w:trPr>
          <w:trHeight w:val="46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86D47B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EEA5B" w14:textId="77777777" w:rsidR="004D15A9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4FBFA045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59F05A3F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7A405C64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E730ED0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6BA15153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411AB880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5809CC67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A269C9E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715197C9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DBEFBA5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4BA01BEC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5D7DA6AF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4E2A2514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637EC7D0" w14:textId="77777777" w:rsidR="00EB051C" w:rsidRP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5331B3C" w14:textId="77777777" w:rsidR="00EB051C" w:rsidRPr="00EB051C" w:rsidRDefault="00EB051C" w:rsidP="00E00754">
            <w:pPr>
              <w:ind w:firstLine="720"/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541937E1" w14:textId="77777777" w:rsidR="00EB051C" w:rsidRDefault="00EB051C" w:rsidP="00EB051C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7B9225C8" w14:textId="04A8A045" w:rsidR="00EB051C" w:rsidRPr="00EB051C" w:rsidRDefault="00EB051C" w:rsidP="00EB051C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4D467E" w14:textId="1F4CBB5E" w:rsidR="00D00677" w:rsidRDefault="00AA6581" w:rsidP="002D5AA7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lastRenderedPageBreak/>
              <w:t>Noteikumu projekts saistīts ar grozījumiem Notariāta likumā, kas ir izstrādāti un ti</w:t>
            </w:r>
            <w:r w:rsidR="00400ADC">
              <w:rPr>
                <w:rFonts w:eastAsia="Times New Roman"/>
                <w:bCs/>
                <w:sz w:val="24"/>
                <w:szCs w:val="24"/>
                <w:lang w:eastAsia="lv-LV"/>
              </w:rPr>
              <w:t>ek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virzīti </w:t>
            </w: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>vienlai</w:t>
            </w:r>
            <w:r w:rsidR="00340C98">
              <w:rPr>
                <w:rFonts w:eastAsia="Times New Roman"/>
                <w:bCs/>
                <w:sz w:val="24"/>
                <w:szCs w:val="24"/>
                <w:lang w:eastAsia="lv-LV"/>
              </w:rPr>
              <w:t>kus</w:t>
            </w: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ar likumprojektu "Par valsts budžetu 2020. gadam"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un kas paredz </w:t>
            </w: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pārcelt Notariāta likuma </w:t>
            </w:r>
            <w:hyperlink r:id="rId8" w:anchor="p67.1" w:history="1">
              <w:r w:rsidRPr="00AA6581">
                <w:rPr>
                  <w:rStyle w:val="Hipersaite"/>
                  <w:rFonts w:eastAsia="Times New Roman"/>
                  <w:bCs/>
                  <w:color w:val="auto"/>
                  <w:sz w:val="24"/>
                  <w:szCs w:val="24"/>
                  <w:u w:val="none"/>
                  <w:lang w:eastAsia="lv-LV"/>
                </w:rPr>
                <w:t>67.</w:t>
              </w:r>
              <w:r w:rsidRPr="00AA6581">
                <w:rPr>
                  <w:rStyle w:val="Hipersaite"/>
                  <w:rFonts w:eastAsia="Times New Roman"/>
                  <w:bCs/>
                  <w:color w:val="auto"/>
                  <w:sz w:val="24"/>
                  <w:szCs w:val="24"/>
                  <w:u w:val="none"/>
                  <w:vertAlign w:val="superscript"/>
                  <w:lang w:eastAsia="lv-LV"/>
                </w:rPr>
                <w:t>1</w:t>
              </w:r>
            </w:hyperlink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> panta spēkā stāšanos uz 202</w:t>
            </w:r>
            <w:r w:rsidR="007C6421">
              <w:rPr>
                <w:rFonts w:eastAsia="Times New Roman"/>
                <w:bCs/>
                <w:sz w:val="24"/>
                <w:szCs w:val="24"/>
                <w:lang w:eastAsia="lv-LV"/>
              </w:rPr>
              <w:t>2</w:t>
            </w: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>. gada 1. janvāri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. Proti, </w:t>
            </w:r>
            <w:r w:rsidR="003D5534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ar grozījumiem </w:t>
            </w:r>
            <w:r w:rsidR="00B07603">
              <w:rPr>
                <w:rFonts w:eastAsia="Times New Roman"/>
                <w:bCs/>
                <w:sz w:val="24"/>
                <w:szCs w:val="24"/>
                <w:lang w:eastAsia="lv-LV"/>
              </w:rPr>
              <w:t>Notariāta likum</w:t>
            </w:r>
            <w:r w:rsidR="003D5534">
              <w:rPr>
                <w:rFonts w:eastAsia="Times New Roman"/>
                <w:bCs/>
                <w:sz w:val="24"/>
                <w:szCs w:val="24"/>
                <w:lang w:eastAsia="lv-LV"/>
              </w:rPr>
              <w:t>ā, kas tika pieņemti 2017.</w:t>
            </w:r>
            <w:r w:rsidR="00BA3437">
              <w:rPr>
                <w:rFonts w:eastAsia="Times New Roman"/>
                <w:bCs/>
                <w:sz w:val="24"/>
                <w:szCs w:val="24"/>
                <w:lang w:eastAsia="lv-LV"/>
              </w:rPr>
              <w:t> </w:t>
            </w:r>
            <w:r w:rsidR="003D5534">
              <w:rPr>
                <w:rFonts w:eastAsia="Times New Roman"/>
                <w:bCs/>
                <w:sz w:val="24"/>
                <w:szCs w:val="24"/>
                <w:lang w:eastAsia="lv-LV"/>
              </w:rPr>
              <w:t>gada 9. novembrī, tas</w:t>
            </w:r>
            <w:r w:rsidR="00B07603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tika papildināts ar </w:t>
            </w:r>
            <w:hyperlink r:id="rId9" w:anchor="p67.1" w:history="1">
              <w:r w:rsidR="00B07603" w:rsidRPr="002D5AA7">
                <w:rPr>
                  <w:rStyle w:val="Hipersaite"/>
                  <w:rFonts w:eastAsia="Times New Roman"/>
                  <w:color w:val="auto"/>
                  <w:sz w:val="24"/>
                  <w:szCs w:val="24"/>
                  <w:u w:val="none"/>
                  <w:lang w:eastAsia="lv-LV"/>
                </w:rPr>
                <w:t>67.</w:t>
              </w:r>
              <w:r w:rsidR="00B07603" w:rsidRPr="002D5AA7">
                <w:rPr>
                  <w:rStyle w:val="Hipersaite"/>
                  <w:rFonts w:eastAsia="Times New Roman"/>
                  <w:color w:val="auto"/>
                  <w:sz w:val="24"/>
                  <w:szCs w:val="24"/>
                  <w:u w:val="none"/>
                  <w:vertAlign w:val="superscript"/>
                  <w:lang w:eastAsia="lv-LV"/>
                </w:rPr>
                <w:t>1</w:t>
              </w:r>
            </w:hyperlink>
            <w:r w:rsidR="00B07603" w:rsidRPr="002D5AA7">
              <w:rPr>
                <w:rFonts w:eastAsia="Times New Roman"/>
                <w:sz w:val="24"/>
                <w:szCs w:val="24"/>
                <w:lang w:eastAsia="lv-LV"/>
              </w:rPr>
              <w:t> pant</w:t>
            </w:r>
            <w:r w:rsidR="00666EE4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="00B07603" w:rsidRPr="002D5AA7">
              <w:rPr>
                <w:rFonts w:eastAsia="Times New Roman"/>
                <w:sz w:val="24"/>
                <w:szCs w:val="24"/>
                <w:lang w:eastAsia="lv-LV"/>
              </w:rPr>
              <w:t>, kas noteic, ka amata darbību izpildei nepieciešamo informāciju valsts iestādes zvērinātam notāram sniedz bez maksas</w:t>
            </w:r>
            <w:r w:rsidR="00B07603">
              <w:rPr>
                <w:rFonts w:eastAsia="Times New Roman"/>
                <w:sz w:val="24"/>
                <w:szCs w:val="24"/>
                <w:lang w:eastAsia="lv-LV"/>
              </w:rPr>
              <w:t xml:space="preserve">. Vienlaikus </w:t>
            </w:r>
            <w:r w:rsidR="002D5AA7" w:rsidRPr="002D5AA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Notariāta likuma pārejas noteikumu </w:t>
            </w:r>
            <w:r w:rsidR="002D5AA7" w:rsidRPr="002D5AA7">
              <w:rPr>
                <w:rFonts w:eastAsia="Times New Roman"/>
                <w:sz w:val="24"/>
                <w:szCs w:val="24"/>
                <w:lang w:eastAsia="lv-LV"/>
              </w:rPr>
              <w:t>26. punkt</w:t>
            </w:r>
            <w:r w:rsidR="00B07603">
              <w:rPr>
                <w:rFonts w:eastAsia="Times New Roman"/>
                <w:sz w:val="24"/>
                <w:szCs w:val="24"/>
                <w:lang w:eastAsia="lv-LV"/>
              </w:rPr>
              <w:t xml:space="preserve">ā tika noteikts, ka šī norma </w:t>
            </w:r>
            <w:r w:rsidR="002D5AA7" w:rsidRPr="002D5AA7">
              <w:rPr>
                <w:rFonts w:eastAsia="Times New Roman"/>
                <w:sz w:val="24"/>
                <w:szCs w:val="24"/>
                <w:lang w:eastAsia="lv-LV"/>
              </w:rPr>
              <w:t>stājas spēkā 2020. gada 1. janvārī.</w:t>
            </w:r>
            <w:r w:rsidR="002D5AA7" w:rsidRPr="002D5AA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Ņemot vērā to, ka, vērtējot </w:t>
            </w:r>
            <w:r w:rsidR="00F70EBB" w:rsidRPr="00D0067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valsts finanšu līdzekļu dotācijas 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iespējas </w:t>
            </w:r>
            <w:r w:rsidR="00963169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Tieslietu ministrijas </w:t>
            </w:r>
            <w:r w:rsidR="00233568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un </w:t>
            </w:r>
            <w:proofErr w:type="spellStart"/>
            <w:r w:rsidR="00233568">
              <w:rPr>
                <w:rFonts w:eastAsia="Times New Roman"/>
                <w:bCs/>
                <w:sz w:val="24"/>
                <w:szCs w:val="24"/>
                <w:lang w:eastAsia="lv-LV"/>
              </w:rPr>
              <w:t>Iekšlietu</w:t>
            </w:r>
            <w:proofErr w:type="spellEnd"/>
            <w:r w:rsidR="00233568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ministrijas </w:t>
            </w:r>
            <w:r w:rsidR="00963169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padotībā esošo 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>valsts informācijas sistēmu un reģistru turētājiem</w:t>
            </w:r>
            <w:r w:rsidR="00D00677" w:rsidRPr="00D0067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, lai kompensētu attiecīgo sistēmu 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un reģistru </w:t>
            </w:r>
            <w:r w:rsidR="00D00677" w:rsidRPr="00D0067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uzturēšanai nepieciešamos izdevumus, kas saistīti ar </w:t>
            </w:r>
            <w:r w:rsidR="00C53DC7">
              <w:rPr>
                <w:rFonts w:eastAsia="Times New Roman"/>
                <w:bCs/>
                <w:sz w:val="24"/>
                <w:szCs w:val="24"/>
                <w:lang w:eastAsia="lv-LV"/>
              </w:rPr>
              <w:t>tajos</w:t>
            </w:r>
            <w:r w:rsidR="00D00677" w:rsidRPr="00D0067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esošās informācijas sniegšanu zvērinātiem notāriem bez maksas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, </w:t>
            </w:r>
            <w:r w:rsidR="00287B5E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netika rasta iespēja 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>2020.</w:t>
            </w:r>
            <w:r w:rsidR="00BA3437">
              <w:rPr>
                <w:rFonts w:eastAsia="Times New Roman"/>
                <w:bCs/>
                <w:sz w:val="24"/>
                <w:szCs w:val="24"/>
                <w:lang w:eastAsia="lv-LV"/>
              </w:rPr>
              <w:t> 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>gad</w:t>
            </w:r>
            <w:r w:rsidR="00287B5E">
              <w:rPr>
                <w:rFonts w:eastAsia="Times New Roman"/>
                <w:bCs/>
                <w:sz w:val="24"/>
                <w:szCs w:val="24"/>
                <w:lang w:eastAsia="lv-LV"/>
              </w:rPr>
              <w:t>ā piešķirt papildu finanšu līdzekļus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, izstrādāts likumprojekts, kas paredz pārcelt Notariāta likuma </w:t>
            </w:r>
            <w:hyperlink r:id="rId10" w:anchor="p67.1" w:history="1">
              <w:r w:rsidR="00F70EBB" w:rsidRPr="00D60140">
                <w:rPr>
                  <w:rStyle w:val="Hipersaite"/>
                  <w:rFonts w:eastAsia="Times New Roman"/>
                  <w:bCs/>
                  <w:color w:val="auto"/>
                  <w:sz w:val="24"/>
                  <w:szCs w:val="24"/>
                  <w:u w:val="none"/>
                  <w:lang w:eastAsia="lv-LV"/>
                </w:rPr>
                <w:t>67.</w:t>
              </w:r>
              <w:r w:rsidR="00F70EBB" w:rsidRPr="00D60140">
                <w:rPr>
                  <w:rStyle w:val="Hipersaite"/>
                  <w:rFonts w:eastAsia="Times New Roman"/>
                  <w:bCs/>
                  <w:color w:val="auto"/>
                  <w:sz w:val="24"/>
                  <w:szCs w:val="24"/>
                  <w:u w:val="none"/>
                  <w:vertAlign w:val="superscript"/>
                  <w:lang w:eastAsia="lv-LV"/>
                </w:rPr>
                <w:t>1</w:t>
              </w:r>
            </w:hyperlink>
            <w:r w:rsidR="00F70EBB" w:rsidRPr="00D60140">
              <w:rPr>
                <w:rFonts w:eastAsia="Times New Roman"/>
                <w:bCs/>
                <w:sz w:val="24"/>
                <w:szCs w:val="24"/>
                <w:lang w:eastAsia="lv-LV"/>
              </w:rPr>
              <w:t> </w:t>
            </w:r>
            <w:r w:rsidR="00F70EBB" w:rsidRPr="00F70EBB">
              <w:rPr>
                <w:rFonts w:eastAsia="Times New Roman"/>
                <w:bCs/>
                <w:sz w:val="24"/>
                <w:szCs w:val="24"/>
                <w:lang w:eastAsia="lv-LV"/>
              </w:rPr>
              <w:t>pant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>a spēkā stāšanos uz 202</w:t>
            </w:r>
            <w:r w:rsidR="005A3A2C">
              <w:rPr>
                <w:rFonts w:eastAsia="Times New Roman"/>
                <w:bCs/>
                <w:sz w:val="24"/>
                <w:szCs w:val="24"/>
                <w:lang w:eastAsia="lv-LV"/>
              </w:rPr>
              <w:t>2</w:t>
            </w:r>
            <w:r w:rsidR="00F70EBB">
              <w:rPr>
                <w:rFonts w:eastAsia="Times New Roman"/>
                <w:bCs/>
                <w:sz w:val="24"/>
                <w:szCs w:val="24"/>
                <w:lang w:eastAsia="lv-LV"/>
              </w:rPr>
              <w:t>. gada 1. janvāri</w:t>
            </w:r>
            <w:r w:rsidR="00400ADC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(likumprojekts izskatīts un atbalstīts Ministru kabineta 2019. gada 1. oktobra sēdē)</w:t>
            </w:r>
            <w:r w:rsidR="00D00677" w:rsidRPr="00D00677">
              <w:rPr>
                <w:rFonts w:eastAsia="Times New Roman"/>
                <w:bCs/>
                <w:sz w:val="24"/>
                <w:szCs w:val="24"/>
                <w:lang w:eastAsia="lv-LV"/>
              </w:rPr>
              <w:t>.</w:t>
            </w:r>
          </w:p>
          <w:p w14:paraId="4D24AF65" w14:textId="43600992" w:rsidR="00AA6581" w:rsidRPr="00BA3437" w:rsidRDefault="00AA6581" w:rsidP="00BA3437">
            <w:pPr>
              <w:spacing w:after="0" w:line="240" w:lineRule="auto"/>
              <w:jc w:val="both"/>
              <w:rPr>
                <w:rFonts w:eastAsia="Times New Roman"/>
                <w:bCs/>
                <w:vanish/>
                <w:sz w:val="24"/>
                <w:szCs w:val="24"/>
                <w:lang w:eastAsia="lv-LV"/>
              </w:rPr>
            </w:pP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>Ministru kabineta 2013.</w:t>
            </w:r>
            <w:r w:rsidR="00BA3437">
              <w:rPr>
                <w:rFonts w:eastAsia="Times New Roman"/>
                <w:bCs/>
                <w:sz w:val="24"/>
                <w:szCs w:val="24"/>
                <w:lang w:eastAsia="lv-LV"/>
              </w:rPr>
              <w:t> </w:t>
            </w: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>gada 3.</w:t>
            </w:r>
            <w:r w:rsidR="00BA3437">
              <w:rPr>
                <w:rFonts w:eastAsia="Times New Roman"/>
                <w:bCs/>
                <w:sz w:val="24"/>
                <w:szCs w:val="24"/>
                <w:lang w:eastAsia="lv-LV"/>
              </w:rPr>
              <w:t> </w:t>
            </w: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>septembra noteikum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u</w:t>
            </w: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Nr.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 </w:t>
            </w:r>
            <w:r w:rsidRPr="00AA6581">
              <w:rPr>
                <w:rFonts w:eastAsia="Times New Roman"/>
                <w:bCs/>
                <w:sz w:val="24"/>
                <w:szCs w:val="24"/>
                <w:lang w:eastAsia="lv-LV"/>
              </w:rPr>
              <w:t>737 "Noteikumi par zvērinātu notāru atlīdzības taksēm un to noteikšanas kārtību""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48. un 49. punkts paredz, ka </w:t>
            </w:r>
            <w:r w:rsidR="00FE0025">
              <w:rPr>
                <w:rFonts w:eastAsia="Times New Roman"/>
                <w:bCs/>
                <w:sz w:val="24"/>
                <w:szCs w:val="24"/>
                <w:lang w:eastAsia="lv-LV"/>
              </w:rPr>
              <w:t>zvērinātu notāru atlīdzības takse par a</w:t>
            </w:r>
            <w:r w:rsidR="00FE0025" w:rsidRPr="00FE0025">
              <w:rPr>
                <w:rFonts w:eastAsia="Times New Roman"/>
                <w:bCs/>
                <w:sz w:val="24"/>
                <w:szCs w:val="24"/>
                <w:lang w:eastAsia="lv-LV"/>
              </w:rPr>
              <w:t>mata darbību veikšanai nepieciešam</w:t>
            </w:r>
            <w:r w:rsidR="00FE0025">
              <w:rPr>
                <w:rFonts w:eastAsia="Times New Roman"/>
                <w:bCs/>
                <w:sz w:val="24"/>
                <w:szCs w:val="24"/>
                <w:lang w:eastAsia="lv-LV"/>
              </w:rPr>
              <w:t>o</w:t>
            </w:r>
            <w:r w:rsidR="00FE0025" w:rsidRPr="00FE0025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ieskatīšan</w:t>
            </w:r>
            <w:r w:rsidR="00FE0025">
              <w:rPr>
                <w:rFonts w:eastAsia="Times New Roman"/>
                <w:bCs/>
                <w:sz w:val="24"/>
                <w:szCs w:val="24"/>
                <w:lang w:eastAsia="lv-LV"/>
              </w:rPr>
              <w:t>o</w:t>
            </w:r>
            <w:r w:rsidR="00FE0025" w:rsidRPr="00FE0025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s valsts informācijas sistēmā, ja zvērinātam notāram šīs informācijas saņemšana ir par maksu, – 4,27 </w:t>
            </w:r>
            <w:proofErr w:type="spellStart"/>
            <w:r w:rsidR="00FE0025" w:rsidRPr="00FE0025">
              <w:rPr>
                <w:rFonts w:eastAsia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FE0025" w:rsidRPr="00FE0025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par katru personu vai īpašumu</w:t>
            </w:r>
            <w:r w:rsidR="00FE0025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, un, </w:t>
            </w:r>
            <w:bookmarkStart w:id="0" w:name="p-481102"/>
            <w:bookmarkStart w:id="1" w:name="p49"/>
            <w:bookmarkEnd w:id="0"/>
            <w:bookmarkEnd w:id="1"/>
            <w:r w:rsidR="00FE0025" w:rsidRPr="00BA343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, ja zvērinātam notāram šīs informācijas saņemšana ir bez maksas, – 1,42 </w:t>
            </w:r>
            <w:proofErr w:type="spellStart"/>
            <w:r w:rsidR="00FE0025" w:rsidRPr="00BA3437">
              <w:rPr>
                <w:rFonts w:eastAsia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FE0025" w:rsidRPr="00BA343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par katru personu vai īpašumu.</w:t>
            </w:r>
            <w:r w:rsidR="00C12A66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B43981D" w14:textId="36072942" w:rsidR="00AA6581" w:rsidRDefault="00AA1D8C" w:rsidP="002D5AA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Vienlaikus </w:t>
            </w:r>
            <w:r w:rsidR="00DE59F6" w:rsidRPr="00DE59F6">
              <w:rPr>
                <w:rFonts w:eastAsia="Calibri"/>
                <w:sz w:val="24"/>
                <w:szCs w:val="24"/>
              </w:rPr>
              <w:t>2019.</w:t>
            </w:r>
            <w:r w:rsidR="00BA3437">
              <w:rPr>
                <w:rFonts w:eastAsia="Calibri"/>
                <w:sz w:val="24"/>
                <w:szCs w:val="24"/>
              </w:rPr>
              <w:t> </w:t>
            </w:r>
            <w:r w:rsidR="00DE59F6" w:rsidRPr="00DE59F6">
              <w:rPr>
                <w:rFonts w:eastAsia="Calibri"/>
                <w:sz w:val="24"/>
                <w:szCs w:val="24"/>
              </w:rPr>
              <w:t>gada 18.</w:t>
            </w:r>
            <w:r w:rsidR="00BA3437">
              <w:rPr>
                <w:rFonts w:eastAsia="Calibri"/>
                <w:sz w:val="24"/>
                <w:szCs w:val="24"/>
              </w:rPr>
              <w:t> </w:t>
            </w:r>
            <w:r w:rsidR="00DE59F6" w:rsidRPr="00DE59F6">
              <w:rPr>
                <w:rFonts w:eastAsia="Calibri"/>
                <w:sz w:val="24"/>
                <w:szCs w:val="24"/>
              </w:rPr>
              <w:t xml:space="preserve">jūnijā Ministru kabinets pieņēma </w:t>
            </w:r>
            <w:r w:rsidR="00DE59F6" w:rsidRPr="00DE59F6">
              <w:rPr>
                <w:rFonts w:eastAsia="Calibri"/>
                <w:sz w:val="24"/>
                <w:szCs w:val="24"/>
              </w:rPr>
              <w:lastRenderedPageBreak/>
              <w:t xml:space="preserve">noteikumus Nr. 266 </w:t>
            </w:r>
            <w:r w:rsidR="00BA3437">
              <w:rPr>
                <w:rFonts w:eastAsia="Calibri"/>
                <w:sz w:val="24"/>
                <w:szCs w:val="24"/>
              </w:rPr>
              <w:t>"</w:t>
            </w:r>
            <w:r w:rsidR="00DE59F6" w:rsidRPr="00DE59F6">
              <w:rPr>
                <w:rFonts w:eastAsia="Calibri"/>
                <w:sz w:val="24"/>
                <w:szCs w:val="24"/>
              </w:rPr>
              <w:t>Grozījumi Ministru kabineta 2013.</w:t>
            </w:r>
            <w:r w:rsidR="00DE59F6">
              <w:rPr>
                <w:rFonts w:eastAsia="Calibri"/>
                <w:sz w:val="24"/>
                <w:szCs w:val="24"/>
              </w:rPr>
              <w:t> </w:t>
            </w:r>
            <w:r w:rsidR="00DE59F6" w:rsidRPr="00DE59F6">
              <w:rPr>
                <w:rFonts w:eastAsia="Calibri"/>
                <w:sz w:val="24"/>
                <w:szCs w:val="24"/>
              </w:rPr>
              <w:t>gada 3.</w:t>
            </w:r>
            <w:r w:rsidR="00DE59F6">
              <w:rPr>
                <w:rFonts w:eastAsia="Calibri"/>
                <w:sz w:val="24"/>
                <w:szCs w:val="24"/>
              </w:rPr>
              <w:t> </w:t>
            </w:r>
            <w:r w:rsidR="00DE59F6" w:rsidRPr="00DE59F6">
              <w:rPr>
                <w:rFonts w:eastAsia="Calibri"/>
                <w:sz w:val="24"/>
                <w:szCs w:val="24"/>
              </w:rPr>
              <w:t>septembra noteikumos Nr.</w:t>
            </w:r>
            <w:r w:rsidR="00DE59F6">
              <w:rPr>
                <w:rFonts w:eastAsia="Calibri"/>
                <w:sz w:val="24"/>
                <w:szCs w:val="24"/>
              </w:rPr>
              <w:t> </w:t>
            </w:r>
            <w:r w:rsidR="00DE59F6" w:rsidRPr="00DE59F6">
              <w:rPr>
                <w:rFonts w:eastAsia="Calibri"/>
                <w:sz w:val="24"/>
                <w:szCs w:val="24"/>
              </w:rPr>
              <w:t>737 "</w:t>
            </w:r>
            <w:hyperlink r:id="rId11" w:tgtFrame="_blank" w:history="1">
              <w:r w:rsidR="00DE59F6" w:rsidRPr="00DE59F6">
                <w:rPr>
                  <w:rFonts w:eastAsia="Calibri"/>
                  <w:sz w:val="24"/>
                  <w:szCs w:val="24"/>
                </w:rPr>
                <w:t>Noteikumi par zvērinātu notāru atlīdzības taksēm un to noteikšanas kārtību</w:t>
              </w:r>
            </w:hyperlink>
            <w:r w:rsidR="00DE59F6" w:rsidRPr="00DE59F6">
              <w:rPr>
                <w:rFonts w:eastAsia="Calibri"/>
                <w:sz w:val="24"/>
                <w:szCs w:val="24"/>
              </w:rPr>
              <w:t>"</w:t>
            </w:r>
            <w:r w:rsidR="00DE59F6">
              <w:rPr>
                <w:rFonts w:eastAsia="Calibri"/>
                <w:sz w:val="24"/>
                <w:szCs w:val="24"/>
              </w:rPr>
              <w:t>"</w:t>
            </w:r>
            <w:r w:rsidR="00DE59F6" w:rsidRPr="00DE59F6">
              <w:rPr>
                <w:rFonts w:eastAsia="Calibri"/>
                <w:sz w:val="24"/>
                <w:szCs w:val="24"/>
              </w:rPr>
              <w:t>, kuru 1.18.</w:t>
            </w:r>
            <w:r w:rsidR="00DE59F6">
              <w:rPr>
                <w:rFonts w:eastAsia="Calibri"/>
                <w:sz w:val="24"/>
                <w:szCs w:val="24"/>
              </w:rPr>
              <w:t> apakš</w:t>
            </w:r>
            <w:r w:rsidR="00DE59F6" w:rsidRPr="00DE59F6">
              <w:rPr>
                <w:rFonts w:eastAsia="Calibri"/>
                <w:sz w:val="24"/>
                <w:szCs w:val="24"/>
              </w:rPr>
              <w:t xml:space="preserve">punkts paredz </w:t>
            </w:r>
            <w:r w:rsidR="00DE59F6">
              <w:rPr>
                <w:rFonts w:eastAsia="Calibri"/>
                <w:sz w:val="24"/>
                <w:szCs w:val="24"/>
              </w:rPr>
              <w:t xml:space="preserve">ar </w:t>
            </w:r>
            <w:r w:rsidR="00DE59F6" w:rsidRPr="00DE59F6">
              <w:rPr>
                <w:rFonts w:eastAsia="Calibri"/>
                <w:sz w:val="24"/>
                <w:szCs w:val="24"/>
              </w:rPr>
              <w:t>2020.</w:t>
            </w:r>
            <w:r w:rsidR="00BA3437">
              <w:rPr>
                <w:rFonts w:eastAsia="Calibri"/>
                <w:sz w:val="24"/>
                <w:szCs w:val="24"/>
              </w:rPr>
              <w:t> </w:t>
            </w:r>
            <w:r w:rsidR="00DE59F6" w:rsidRPr="00DE59F6">
              <w:rPr>
                <w:rFonts w:eastAsia="Calibri"/>
                <w:sz w:val="24"/>
                <w:szCs w:val="24"/>
              </w:rPr>
              <w:t>gada 1.</w:t>
            </w:r>
            <w:r w:rsidR="00DE59F6">
              <w:rPr>
                <w:rFonts w:eastAsia="Calibri"/>
                <w:sz w:val="24"/>
                <w:szCs w:val="24"/>
              </w:rPr>
              <w:t> </w:t>
            </w:r>
            <w:r w:rsidR="00DE59F6" w:rsidRPr="00DE59F6">
              <w:rPr>
                <w:rFonts w:eastAsia="Calibri"/>
                <w:sz w:val="24"/>
                <w:szCs w:val="24"/>
              </w:rPr>
              <w:t>janvār</w:t>
            </w:r>
            <w:r w:rsidR="00DE59F6">
              <w:rPr>
                <w:rFonts w:eastAsia="Calibri"/>
                <w:sz w:val="24"/>
                <w:szCs w:val="24"/>
              </w:rPr>
              <w:t>i</w:t>
            </w:r>
            <w:r w:rsidR="00DE59F6" w:rsidRPr="00DE59F6">
              <w:rPr>
                <w:rFonts w:eastAsia="Calibri"/>
                <w:sz w:val="24"/>
                <w:szCs w:val="24"/>
              </w:rPr>
              <w:t xml:space="preserve"> svītrot </w:t>
            </w:r>
            <w:r w:rsidR="00DE59F6">
              <w:rPr>
                <w:rFonts w:eastAsia="Calibri"/>
                <w:sz w:val="24"/>
                <w:szCs w:val="24"/>
              </w:rPr>
              <w:t xml:space="preserve">noteikumu </w:t>
            </w:r>
            <w:r w:rsidR="00DE59F6" w:rsidRPr="00DE59F6">
              <w:rPr>
                <w:rFonts w:eastAsia="Calibri"/>
                <w:sz w:val="24"/>
                <w:szCs w:val="24"/>
              </w:rPr>
              <w:t>48. un 49.</w:t>
            </w:r>
            <w:r w:rsidR="00DE59F6">
              <w:rPr>
                <w:rFonts w:eastAsia="Calibri"/>
                <w:sz w:val="24"/>
                <w:szCs w:val="24"/>
              </w:rPr>
              <w:t> </w:t>
            </w:r>
            <w:r w:rsidR="00DE59F6" w:rsidRPr="00DE59F6">
              <w:rPr>
                <w:rFonts w:eastAsia="Calibri"/>
                <w:sz w:val="24"/>
                <w:szCs w:val="24"/>
              </w:rPr>
              <w:t>punktu.</w:t>
            </w:r>
            <w:r w:rsidR="00DE59F6">
              <w:rPr>
                <w:rFonts w:eastAsia="Calibri"/>
                <w:sz w:val="24"/>
                <w:szCs w:val="24"/>
              </w:rPr>
              <w:t xml:space="preserve"> Pamatojums šādu grozījumu izdarīšanai </w:t>
            </w:r>
            <w:r w:rsidR="00990EC3">
              <w:rPr>
                <w:rFonts w:eastAsia="Calibri"/>
                <w:sz w:val="24"/>
                <w:szCs w:val="24"/>
              </w:rPr>
              <w:t xml:space="preserve">bija </w:t>
            </w:r>
            <w:r w:rsidR="004879F4">
              <w:rPr>
                <w:rFonts w:eastAsia="Calibri"/>
                <w:sz w:val="24"/>
                <w:szCs w:val="24"/>
              </w:rPr>
              <w:t xml:space="preserve">Notariāta likuma papildināšana ar </w:t>
            </w:r>
            <w:hyperlink r:id="rId12" w:anchor="p67.1" w:history="1">
              <w:r w:rsidR="004879F4" w:rsidRPr="004879F4">
                <w:rPr>
                  <w:rStyle w:val="Hipersaite"/>
                  <w:rFonts w:eastAsia="Calibri"/>
                  <w:color w:val="auto"/>
                  <w:sz w:val="24"/>
                  <w:szCs w:val="24"/>
                  <w:u w:val="none"/>
                </w:rPr>
                <w:t>67.</w:t>
              </w:r>
              <w:r w:rsidR="004879F4" w:rsidRPr="004879F4">
                <w:rPr>
                  <w:rStyle w:val="Hipersaite"/>
                  <w:rFonts w:eastAsia="Calibri"/>
                  <w:color w:val="auto"/>
                  <w:sz w:val="24"/>
                  <w:szCs w:val="24"/>
                  <w:u w:val="none"/>
                  <w:vertAlign w:val="superscript"/>
                </w:rPr>
                <w:t>1</w:t>
              </w:r>
            </w:hyperlink>
            <w:r w:rsidR="004879F4" w:rsidRPr="004879F4">
              <w:rPr>
                <w:rFonts w:eastAsia="Calibri"/>
                <w:sz w:val="24"/>
                <w:szCs w:val="24"/>
              </w:rPr>
              <w:t> pantu</w:t>
            </w:r>
            <w:r w:rsidR="004879F4">
              <w:rPr>
                <w:rFonts w:eastAsia="Calibri"/>
                <w:sz w:val="24"/>
                <w:szCs w:val="24"/>
              </w:rPr>
              <w:t>.</w:t>
            </w:r>
          </w:p>
          <w:p w14:paraId="30C06537" w14:textId="22B089B2" w:rsidR="00B44750" w:rsidRPr="00957E1F" w:rsidRDefault="004802C3" w:rsidP="00BA343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Ņ</w:t>
            </w:r>
            <w:r w:rsidR="00487C6D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emot vērā to, ka 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likumprojekts "Grozījum</w:t>
            </w:r>
            <w:r w:rsidR="00C12A66">
              <w:rPr>
                <w:rFonts w:eastAsia="Times New Roman"/>
                <w:bCs/>
                <w:sz w:val="24"/>
                <w:szCs w:val="24"/>
                <w:lang w:eastAsia="lv-LV"/>
              </w:rPr>
              <w:t>s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Notariāta likumā" paredz pārcelt Notariāta likuma </w:t>
            </w:r>
            <w:hyperlink r:id="rId13" w:anchor="p67.1" w:history="1">
              <w:r w:rsidRPr="00D60140">
                <w:rPr>
                  <w:rStyle w:val="Hipersaite"/>
                  <w:rFonts w:eastAsia="Times New Roman"/>
                  <w:bCs/>
                  <w:color w:val="auto"/>
                  <w:sz w:val="24"/>
                  <w:szCs w:val="24"/>
                  <w:u w:val="none"/>
                  <w:lang w:eastAsia="lv-LV"/>
                </w:rPr>
                <w:t>67.</w:t>
              </w:r>
              <w:r w:rsidRPr="00D60140">
                <w:rPr>
                  <w:rStyle w:val="Hipersaite"/>
                  <w:rFonts w:eastAsia="Times New Roman"/>
                  <w:bCs/>
                  <w:color w:val="auto"/>
                  <w:sz w:val="24"/>
                  <w:szCs w:val="24"/>
                  <w:u w:val="none"/>
                  <w:vertAlign w:val="superscript"/>
                  <w:lang w:eastAsia="lv-LV"/>
                </w:rPr>
                <w:t>1</w:t>
              </w:r>
            </w:hyperlink>
            <w:r w:rsidRPr="00D60140">
              <w:rPr>
                <w:rFonts w:eastAsia="Times New Roman"/>
                <w:bCs/>
                <w:sz w:val="24"/>
                <w:szCs w:val="24"/>
                <w:lang w:eastAsia="lv-LV"/>
              </w:rPr>
              <w:t> </w:t>
            </w:r>
            <w:r w:rsidRPr="00F70EBB">
              <w:rPr>
                <w:rFonts w:eastAsia="Times New Roman"/>
                <w:bCs/>
                <w:sz w:val="24"/>
                <w:szCs w:val="24"/>
                <w:lang w:eastAsia="lv-LV"/>
              </w:rPr>
              <w:t>pant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a spēkā stāšanos, nepieciešams </w:t>
            </w:r>
            <w:r w:rsidR="008C1D9E">
              <w:rPr>
                <w:rFonts w:eastAsia="Times New Roman"/>
                <w:bCs/>
                <w:sz w:val="24"/>
                <w:szCs w:val="24"/>
                <w:lang w:eastAsia="lv-LV"/>
              </w:rPr>
              <w:t>noteikt, ka zvērinātu notāru atlīdzības takses, kuras sākotnēji bija plānots svītrot ar 2020. gada 1. janvāri, tiek saglabātas. Tādējādi noteikumu projekts paredz noteikt ar 2020.</w:t>
            </w:r>
            <w:r w:rsidR="00BA3437">
              <w:rPr>
                <w:rFonts w:eastAsia="Times New Roman"/>
                <w:bCs/>
                <w:sz w:val="24"/>
                <w:szCs w:val="24"/>
                <w:lang w:eastAsia="lv-LV"/>
              </w:rPr>
              <w:t> </w:t>
            </w:r>
            <w:r w:rsidR="008C1D9E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gada 1. janvāri zvērinātu notāru atlīdzības takses par ieskatīšanos valsts informācijas sistēmās, ņemot vērā spēkā esošajos noteikumos noteikto šo </w:t>
            </w:r>
            <w:proofErr w:type="spellStart"/>
            <w:r w:rsidR="008C1D9E">
              <w:rPr>
                <w:rFonts w:eastAsia="Times New Roman"/>
                <w:bCs/>
                <w:sz w:val="24"/>
                <w:szCs w:val="24"/>
                <w:lang w:eastAsia="lv-LV"/>
              </w:rPr>
              <w:t>taksu</w:t>
            </w:r>
            <w:proofErr w:type="spellEnd"/>
            <w:r w:rsidR="008C1D9E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definējumu un apmēru.</w:t>
            </w:r>
          </w:p>
        </w:tc>
      </w:tr>
      <w:tr w:rsidR="00DA326E" w:rsidRPr="00BC2633" w14:paraId="1AA028D9" w14:textId="77777777" w:rsidTr="00DA326E">
        <w:trPr>
          <w:trHeight w:val="46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285142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C22A37" w14:textId="51CE741F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Projekta izstrādē iesaistītās institūcijas</w:t>
            </w:r>
            <w:r w:rsidR="00A1552F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A1552F" w:rsidRPr="00A1552F">
              <w:rPr>
                <w:rFonts w:eastAsia="Times New Roman"/>
                <w:sz w:val="24"/>
                <w:szCs w:val="24"/>
                <w:lang w:eastAsia="lv-LV"/>
              </w:rPr>
              <w:t>un publiskas personas kapitālsabiedrības</w:t>
            </w: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DA66A3" w14:textId="6969E19E" w:rsidR="004D15A9" w:rsidRPr="00BC2633" w:rsidRDefault="00EE46B0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Tieslietu ministrija</w:t>
            </w:r>
            <w:r w:rsidRPr="00197F8F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00DA326E" w:rsidRPr="00BC2633" w14:paraId="4416C82A" w14:textId="77777777" w:rsidTr="00DA326E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4BD810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AC9F60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82056C" w14:textId="4E935B09" w:rsidR="004D15A9" w:rsidRPr="00BC2633" w:rsidRDefault="00EE46B0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Nav.</w:t>
            </w:r>
          </w:p>
        </w:tc>
      </w:tr>
      <w:tr w:rsidR="005D4E8A" w:rsidRPr="00BC2633" w14:paraId="4A35F0EC" w14:textId="77777777" w:rsidTr="0059057E">
        <w:trPr>
          <w:trHeight w:val="128"/>
        </w:trPr>
        <w:tc>
          <w:tcPr>
            <w:tcW w:w="5000" w:type="pct"/>
            <w:gridSpan w:val="3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3909DB7C" w14:textId="77777777" w:rsidR="00031256" w:rsidRPr="00BC2633" w:rsidRDefault="0081203F" w:rsidP="00C26E82">
            <w:pPr>
              <w:tabs>
                <w:tab w:val="left" w:pos="99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ab/>
            </w:r>
          </w:p>
        </w:tc>
      </w:tr>
      <w:tr w:rsidR="00BC2633" w:rsidRPr="00BC2633" w14:paraId="231B55F5" w14:textId="77777777" w:rsidTr="0059057E">
        <w:trPr>
          <w:trHeight w:val="555"/>
        </w:trPr>
        <w:tc>
          <w:tcPr>
            <w:tcW w:w="5000" w:type="pct"/>
            <w:gridSpan w:val="3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70EC05" w14:textId="77777777" w:rsidR="004D15A9" w:rsidRPr="00BC2633" w:rsidRDefault="004D15A9" w:rsidP="00C26E82">
            <w:pPr>
              <w:spacing w:after="0" w:line="240" w:lineRule="auto"/>
              <w:ind w:firstLine="300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DA326E" w:rsidRPr="00BC2633" w14:paraId="2C9F3255" w14:textId="77777777" w:rsidTr="00DA326E">
        <w:trPr>
          <w:trHeight w:val="46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BD5F2F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F97D57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BC2633">
              <w:rPr>
                <w:rFonts w:eastAsia="Times New Roman"/>
                <w:sz w:val="24"/>
                <w:szCs w:val="24"/>
                <w:lang w:eastAsia="lv-LV"/>
              </w:rPr>
              <w:t>mērķgrupas</w:t>
            </w:r>
            <w:proofErr w:type="spellEnd"/>
            <w:r w:rsidRPr="00BC2633">
              <w:rPr>
                <w:rFonts w:eastAsia="Times New Roman"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EC5A85" w14:textId="27354230" w:rsidR="008B14CE" w:rsidRPr="008B14CE" w:rsidRDefault="008B14CE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Z</w:t>
            </w:r>
            <w:r w:rsidRPr="008B14CE">
              <w:rPr>
                <w:rFonts w:eastAsia="Times New Roman"/>
                <w:sz w:val="24"/>
                <w:szCs w:val="24"/>
                <w:lang w:eastAsia="lv-LV"/>
              </w:rPr>
              <w:t>vērināti notāri</w:t>
            </w:r>
            <w:r w:rsidR="001379C1">
              <w:rPr>
                <w:rFonts w:eastAsia="Times New Roman"/>
                <w:sz w:val="24"/>
                <w:szCs w:val="24"/>
                <w:lang w:eastAsia="lv-LV"/>
              </w:rPr>
              <w:t xml:space="preserve"> un</w:t>
            </w:r>
            <w:r w:rsidR="005843FE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2D5AA7">
              <w:rPr>
                <w:rFonts w:eastAsia="Times New Roman"/>
                <w:sz w:val="24"/>
                <w:szCs w:val="24"/>
                <w:lang w:eastAsia="lv-LV"/>
              </w:rPr>
              <w:t>personas, k</w:t>
            </w:r>
            <w:r w:rsidR="00AF4363">
              <w:rPr>
                <w:rFonts w:eastAsia="Times New Roman"/>
                <w:sz w:val="24"/>
                <w:szCs w:val="24"/>
                <w:lang w:eastAsia="lv-LV"/>
              </w:rPr>
              <w:t>uras vēlēsies saņemt</w:t>
            </w:r>
            <w:r w:rsidR="002D5AA7">
              <w:rPr>
                <w:rFonts w:eastAsia="Times New Roman"/>
                <w:sz w:val="24"/>
                <w:szCs w:val="24"/>
                <w:lang w:eastAsia="lv-LV"/>
              </w:rPr>
              <w:t xml:space="preserve"> zvērināta notāra palīdzību.</w:t>
            </w:r>
          </w:p>
          <w:p w14:paraId="674A68B1" w14:textId="3103D5B5" w:rsidR="00FD1D37" w:rsidRPr="00BC2633" w:rsidRDefault="00FD1D37" w:rsidP="003333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DA326E" w:rsidRPr="00BC2633" w14:paraId="135FDA25" w14:textId="77777777" w:rsidTr="00DA326E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5AAD29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B1E646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DBBFF5" w14:textId="19442240" w:rsidR="00703120" w:rsidRPr="00BC2633" w:rsidRDefault="000C405C" w:rsidP="003333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0C405C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Noteikumu projekts nemaina minēto sabiedrības </w:t>
            </w:r>
            <w:proofErr w:type="spellStart"/>
            <w:r w:rsidRPr="000C405C">
              <w:rPr>
                <w:rFonts w:eastAsia="Times New Roman"/>
                <w:iCs/>
                <w:sz w:val="24"/>
                <w:szCs w:val="24"/>
                <w:lang w:eastAsia="lv-LV"/>
              </w:rPr>
              <w:t>mērķgrupu</w:t>
            </w:r>
            <w:proofErr w:type="spellEnd"/>
            <w:r w:rsidRPr="000C405C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tiesības, pienākumus un veicamās darbības.</w:t>
            </w:r>
          </w:p>
        </w:tc>
      </w:tr>
      <w:tr w:rsidR="00DA326E" w:rsidRPr="00BC2633" w14:paraId="5245BA7A" w14:textId="77777777" w:rsidTr="00DA326E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40837F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0198F8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564945" w14:textId="290B4F47" w:rsidR="00201B6E" w:rsidRPr="00BC2633" w:rsidRDefault="00B946ED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Noteikumu </w:t>
            </w:r>
            <w:r w:rsidR="00A957CD" w:rsidRPr="00A957CD">
              <w:rPr>
                <w:rFonts w:eastAsia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DA326E" w:rsidRPr="00BC2633" w14:paraId="2C02878A" w14:textId="77777777" w:rsidTr="00DA326E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45159C" w14:textId="017EBBC8" w:rsidR="00A1552F" w:rsidRPr="00604C73" w:rsidRDefault="00A1552F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604C73">
              <w:rPr>
                <w:rFonts w:eastAsia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5AF451" w14:textId="0BBD8082" w:rsidR="00A1552F" w:rsidRPr="00604C73" w:rsidRDefault="00A1552F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604C73">
              <w:rPr>
                <w:rFonts w:eastAsia="Times New Roman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5B7775" w14:textId="0541036D" w:rsidR="00201B6E" w:rsidRPr="00604C73" w:rsidRDefault="00B946ED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Noteikumu </w:t>
            </w:r>
            <w:r w:rsidR="00A957CD" w:rsidRPr="00A957CD">
              <w:rPr>
                <w:rFonts w:eastAsia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DA326E" w:rsidRPr="00BC2633" w14:paraId="058C8E07" w14:textId="77777777" w:rsidTr="00DA326E">
        <w:trPr>
          <w:trHeight w:val="34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80FAF10" w14:textId="4634BFC2" w:rsidR="004D15A9" w:rsidRPr="00BC2633" w:rsidRDefault="00A1552F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5</w:t>
            </w:r>
            <w:r w:rsidR="004D15A9" w:rsidRPr="00BC2633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01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6CBBE35C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99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CC17AB0" w14:textId="01101157" w:rsidR="004D15A9" w:rsidRPr="00BC2633" w:rsidRDefault="00201B6E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Nav.</w:t>
            </w:r>
          </w:p>
        </w:tc>
      </w:tr>
      <w:tr w:rsidR="0059057E" w:rsidRPr="00BC2633" w14:paraId="347A5AC7" w14:textId="77777777" w:rsidTr="0059057E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1E9657" w14:textId="77777777" w:rsidR="0059057E" w:rsidRDefault="0059057E" w:rsidP="00C26E82">
            <w:pPr>
              <w:spacing w:after="0" w:line="240" w:lineRule="auto"/>
              <w:ind w:firstLine="300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D4F0F" w:rsidRPr="00ED4F0F" w14:paraId="26E47A37" w14:textId="77777777" w:rsidTr="000D1CB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vAlign w:val="center"/>
            <w:hideMark/>
          </w:tcPr>
          <w:p w14:paraId="2E770416" w14:textId="77777777" w:rsidR="00ED4F0F" w:rsidRPr="00ED4F0F" w:rsidRDefault="00ED4F0F" w:rsidP="00ED4F0F">
            <w:pPr>
              <w:spacing w:after="0" w:line="240" w:lineRule="auto"/>
              <w:ind w:firstLine="300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ED4F0F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0D1CB9" w:rsidRPr="00ED4F0F" w14:paraId="429F1812" w14:textId="77777777" w:rsidTr="005F356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9948AD7" w14:textId="73B93B83" w:rsidR="000D1CB9" w:rsidRPr="000D1CB9" w:rsidRDefault="000D1CB9" w:rsidP="00ED4F0F">
            <w:pPr>
              <w:spacing w:after="0" w:line="240" w:lineRule="auto"/>
              <w:ind w:firstLine="300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0D1CB9">
              <w:rPr>
                <w:rFonts w:eastAsia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</w:tbl>
    <w:p w14:paraId="0C666C5B" w14:textId="77777777" w:rsidR="00ED4F0F" w:rsidRDefault="00ED4F0F" w:rsidP="00C26E82">
      <w:pPr>
        <w:spacing w:after="0" w:line="240" w:lineRule="auto"/>
        <w:rPr>
          <w:rFonts w:eastAsia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2389"/>
        <w:gridCol w:w="6214"/>
      </w:tblGrid>
      <w:tr w:rsidR="00F1085E" w:rsidRPr="00F1085E" w14:paraId="117514EC" w14:textId="77777777" w:rsidTr="00F255DD">
        <w:trPr>
          <w:trHeight w:val="45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FEC269" w14:textId="77777777" w:rsidR="00F1085E" w:rsidRPr="00F1085E" w:rsidRDefault="00F1085E" w:rsidP="00F108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F1085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F1085E" w:rsidRPr="00F1085E" w14:paraId="2D5E4239" w14:textId="77777777" w:rsidTr="00F255DD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B063AC" w14:textId="77777777" w:rsidR="00F1085E" w:rsidRPr="00F1085E" w:rsidRDefault="00F1085E" w:rsidP="00F1085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F1085E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EC9155" w14:textId="77777777" w:rsidR="00F1085E" w:rsidRPr="00F1085E" w:rsidRDefault="00F1085E" w:rsidP="00F1085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F1085E">
              <w:rPr>
                <w:rFonts w:eastAsia="Times New Roman"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34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9251F0" w14:textId="29E29F34" w:rsidR="00F1085E" w:rsidRPr="00F1085E" w:rsidRDefault="00B64371" w:rsidP="00D5202F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Calibri"/>
                <w:sz w:val="24"/>
                <w:szCs w:val="24"/>
              </w:rPr>
              <w:t xml:space="preserve">Noteikumu projekts </w:t>
            </w:r>
            <w:r w:rsidR="00406909">
              <w:rPr>
                <w:rFonts w:eastAsia="Calibri"/>
                <w:sz w:val="24"/>
                <w:szCs w:val="24"/>
              </w:rPr>
              <w:t>saistīts</w:t>
            </w:r>
            <w:r w:rsidR="00D5202F">
              <w:rPr>
                <w:rFonts w:eastAsia="Calibri"/>
                <w:sz w:val="24"/>
                <w:szCs w:val="24"/>
              </w:rPr>
              <w:t xml:space="preserve"> ar</w:t>
            </w:r>
            <w:r w:rsidR="00D5202F" w:rsidRPr="00D5202F">
              <w:rPr>
                <w:rFonts w:eastAsia="Calibri"/>
                <w:sz w:val="24"/>
                <w:szCs w:val="24"/>
              </w:rPr>
              <w:t xml:space="preserve"> likumprojekt</w:t>
            </w:r>
            <w:r>
              <w:rPr>
                <w:rFonts w:eastAsia="Calibri"/>
                <w:sz w:val="24"/>
                <w:szCs w:val="24"/>
              </w:rPr>
              <w:t>u "Grozījum</w:t>
            </w:r>
            <w:r w:rsidR="00345CC1">
              <w:rPr>
                <w:rFonts w:eastAsia="Calibri"/>
                <w:sz w:val="24"/>
                <w:szCs w:val="24"/>
              </w:rPr>
              <w:t>s</w:t>
            </w:r>
            <w:r>
              <w:rPr>
                <w:rFonts w:eastAsia="Calibri"/>
                <w:sz w:val="24"/>
                <w:szCs w:val="24"/>
              </w:rPr>
              <w:t xml:space="preserve"> Notariāta likumā", kas paredz</w:t>
            </w:r>
            <w:r w:rsidR="00D5202F" w:rsidRPr="00D5202F">
              <w:rPr>
                <w:rFonts w:eastAsia="Calibri"/>
                <w:sz w:val="24"/>
                <w:szCs w:val="24"/>
              </w:rPr>
              <w:t xml:space="preserve"> </w:t>
            </w:r>
            <w:r w:rsidRPr="00B64371">
              <w:rPr>
                <w:rFonts w:eastAsia="Calibri"/>
                <w:bCs/>
                <w:sz w:val="24"/>
                <w:szCs w:val="24"/>
              </w:rPr>
              <w:t xml:space="preserve">pārcelt Notariāta likuma </w:t>
            </w:r>
            <w:hyperlink r:id="rId14" w:anchor="p67.1" w:history="1">
              <w:r w:rsidRPr="00B64371">
                <w:rPr>
                  <w:rStyle w:val="Hipersaite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>67.</w:t>
              </w:r>
              <w:r w:rsidRPr="00B64371">
                <w:rPr>
                  <w:rStyle w:val="Hipersaite"/>
                  <w:rFonts w:eastAsia="Calibri"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1</w:t>
              </w:r>
            </w:hyperlink>
            <w:r w:rsidRPr="00B64371">
              <w:rPr>
                <w:rFonts w:eastAsia="Calibri"/>
                <w:bCs/>
                <w:sz w:val="24"/>
                <w:szCs w:val="24"/>
              </w:rPr>
              <w:t> panta spēkā stāšanos uz 202</w:t>
            </w:r>
            <w:r w:rsidR="00D36F7E">
              <w:rPr>
                <w:rFonts w:eastAsia="Calibri"/>
                <w:bCs/>
                <w:sz w:val="24"/>
                <w:szCs w:val="24"/>
              </w:rPr>
              <w:t>2</w:t>
            </w:r>
            <w:r w:rsidRPr="00B64371">
              <w:rPr>
                <w:rFonts w:eastAsia="Calibri"/>
                <w:bCs/>
                <w:sz w:val="24"/>
                <w:szCs w:val="24"/>
              </w:rPr>
              <w:t>. gada 1. janvāri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  <w:r w:rsidR="00A16F36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F1085E" w:rsidRPr="00F1085E" w14:paraId="066A625D" w14:textId="77777777" w:rsidTr="00F255DD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BC8CC4" w14:textId="47B92CA5" w:rsidR="00F1085E" w:rsidRPr="00F1085E" w:rsidRDefault="00F1085E" w:rsidP="00F1085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711CAF" w14:textId="668AA524" w:rsidR="00F1085E" w:rsidRPr="00F1085E" w:rsidRDefault="006F0856" w:rsidP="00F1085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6F0856">
              <w:rPr>
                <w:rFonts w:eastAsia="Times New Roman"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34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664B7B" w14:textId="14689B0B" w:rsidR="00F1085E" w:rsidRPr="00BD494E" w:rsidRDefault="00BD494E" w:rsidP="00BD494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BD494E">
              <w:rPr>
                <w:rFonts w:eastAsia="Times New Roman"/>
                <w:bCs/>
                <w:sz w:val="24"/>
                <w:szCs w:val="24"/>
                <w:lang w:eastAsia="lv-LV"/>
              </w:rPr>
              <w:t>Tieslietu ministrija.</w:t>
            </w:r>
          </w:p>
        </w:tc>
      </w:tr>
      <w:tr w:rsidR="00F1085E" w:rsidRPr="00F1085E" w14:paraId="1F148358" w14:textId="77777777" w:rsidTr="00F255DD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F0CBF5" w14:textId="66743276" w:rsidR="00F1085E" w:rsidRPr="00F1085E" w:rsidRDefault="00F1085E" w:rsidP="00F1085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CD6B58" w14:textId="7DA8FE66" w:rsidR="00F1085E" w:rsidRPr="00F1085E" w:rsidRDefault="00BD494E" w:rsidP="00F1085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4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9BD3AE" w14:textId="7C8A899F" w:rsidR="00F1085E" w:rsidRPr="00BD494E" w:rsidRDefault="00BD494E" w:rsidP="00BD494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BD494E">
              <w:rPr>
                <w:rFonts w:eastAsia="Times New Roman"/>
                <w:bCs/>
                <w:sz w:val="24"/>
                <w:szCs w:val="24"/>
                <w:lang w:eastAsia="lv-LV"/>
              </w:rPr>
              <w:t>Nav.</w:t>
            </w:r>
          </w:p>
        </w:tc>
      </w:tr>
    </w:tbl>
    <w:p w14:paraId="21033F54" w14:textId="77777777" w:rsidR="00F1085E" w:rsidRPr="00BC2633" w:rsidRDefault="00F1085E" w:rsidP="00C26E82">
      <w:pPr>
        <w:spacing w:after="0" w:line="240" w:lineRule="auto"/>
        <w:rPr>
          <w:rFonts w:eastAsia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BC2633" w:rsidRPr="00BC2633" w14:paraId="5DED1206" w14:textId="77777777" w:rsidTr="00225405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233676" w14:textId="77777777" w:rsidR="004D15A9" w:rsidRPr="00BC2633" w:rsidRDefault="004D15A9" w:rsidP="00C26E82">
            <w:pPr>
              <w:spacing w:after="0" w:line="240" w:lineRule="auto"/>
              <w:ind w:firstLine="300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lastRenderedPageBreak/>
              <w:t>V. Tiesību akta projekta atbilstība Latvijas Republikas starptautiskajām saistībām</w:t>
            </w:r>
          </w:p>
        </w:tc>
      </w:tr>
      <w:tr w:rsidR="00225405" w:rsidRPr="00225405" w14:paraId="3E811E86" w14:textId="77777777" w:rsidTr="00D6629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A70BEB" w14:textId="5653DA18" w:rsidR="00225405" w:rsidRPr="00225405" w:rsidRDefault="00B64371" w:rsidP="00C26E82">
            <w:pPr>
              <w:spacing w:after="0" w:line="240" w:lineRule="auto"/>
              <w:ind w:firstLine="300"/>
              <w:jc w:val="center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B64371">
              <w:rPr>
                <w:rFonts w:eastAsia="Times New Roman"/>
                <w:bCs/>
                <w:sz w:val="24"/>
                <w:szCs w:val="24"/>
                <w:lang w:eastAsia="lv-LV"/>
              </w:rPr>
              <w:t>Noteikumu projekts šo jomu neskar.</w:t>
            </w:r>
            <w:r w:rsidR="00225405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63E4FCA9" w14:textId="77777777" w:rsidR="004D15A9" w:rsidRPr="00BC2633" w:rsidRDefault="004D15A9" w:rsidP="00C26E82">
      <w:pPr>
        <w:spacing w:after="0" w:line="240" w:lineRule="auto"/>
        <w:rPr>
          <w:rFonts w:eastAsia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"/>
        <w:gridCol w:w="2515"/>
        <w:gridCol w:w="6087"/>
      </w:tblGrid>
      <w:tr w:rsidR="00BC2633" w:rsidRPr="00BC2633" w14:paraId="28BF07B0" w14:textId="77777777" w:rsidTr="004D15A9">
        <w:trPr>
          <w:trHeight w:val="42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BDDC73" w14:textId="77777777" w:rsidR="004D15A9" w:rsidRPr="00BC2633" w:rsidRDefault="004D15A9" w:rsidP="00C26E82">
            <w:pPr>
              <w:spacing w:after="0" w:line="240" w:lineRule="auto"/>
              <w:ind w:firstLine="300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BC2633" w:rsidRPr="00BC2633" w14:paraId="7B1FA7B2" w14:textId="77777777" w:rsidTr="004C3B12">
        <w:trPr>
          <w:trHeight w:val="54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96B198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27F913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8F5795" w14:textId="4DC1B84E" w:rsidR="001C5969" w:rsidRPr="00562BAE" w:rsidRDefault="007D789E" w:rsidP="00D933F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7D789E">
              <w:rPr>
                <w:rFonts w:eastAsia="Calibri"/>
                <w:bCs/>
                <w:color w:val="000000"/>
                <w:sz w:val="24"/>
                <w:szCs w:val="24"/>
              </w:rPr>
              <w:t>Lai informētu sabiedrību par noteikumu projektu un dotu iespēju izteikt viedokli, noteikumu projekts atbilstoši Ministru kabineta 2009. gada 25. augusta noteikumiem Nr. 970 "Sabiedrības līdzdalības kārtība attīstības</w:t>
            </w:r>
            <w:r w:rsidRPr="007D789E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7D789E">
              <w:rPr>
                <w:rFonts w:eastAsia="Calibri"/>
                <w:bCs/>
                <w:color w:val="000000"/>
                <w:sz w:val="24"/>
                <w:szCs w:val="24"/>
              </w:rPr>
              <w:t xml:space="preserve">plānošanas procesā" pirms tā iesniegšanas Valsts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kancelejā</w:t>
            </w:r>
            <w:r w:rsidRPr="007D789E">
              <w:rPr>
                <w:rFonts w:eastAsia="Calibri"/>
                <w:bCs/>
                <w:color w:val="000000"/>
                <w:sz w:val="24"/>
                <w:szCs w:val="24"/>
              </w:rPr>
              <w:t xml:space="preserve"> ievietots Tieslietu ministrijas un Valsts kancelejas tīmekļvietnē.</w:t>
            </w:r>
          </w:p>
        </w:tc>
      </w:tr>
      <w:tr w:rsidR="00BC2633" w:rsidRPr="00BC2633" w14:paraId="27BA751E" w14:textId="77777777" w:rsidTr="004C3B12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715D31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10C84B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E08E29" w14:textId="42818BFA" w:rsidR="004D15A9" w:rsidRPr="00D933F5" w:rsidRDefault="00695EF7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695EF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Tieslietu ministrija </w:t>
            </w:r>
            <w:r w:rsidR="00FB0FDE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2019. gada 2. oktobrī </w:t>
            </w:r>
            <w:r w:rsidRPr="00695EF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noteikumu projektu ievietoja savā tīmekļvietnē sadaļā "Sabiedrības līdzdalība" (pieejams: </w:t>
            </w:r>
            <w:hyperlink r:id="rId15" w:history="1">
              <w:r w:rsidRPr="00695EF7">
                <w:rPr>
                  <w:rStyle w:val="Hipersaite"/>
                  <w:rFonts w:eastAsia="Times New Roman"/>
                  <w:bCs/>
                  <w:sz w:val="24"/>
                  <w:szCs w:val="24"/>
                  <w:lang w:eastAsia="lv-LV"/>
                </w:rPr>
                <w:t>https://www.tm.gov.lv/lv/sabiedribas-lidzdaliba/diskusiju-dokumenti/tiesibu-akti</w:t>
              </w:r>
            </w:hyperlink>
            <w:r w:rsidRPr="00695EF7">
              <w:rPr>
                <w:rFonts w:eastAsia="Times New Roman"/>
                <w:bCs/>
                <w:sz w:val="24"/>
                <w:szCs w:val="24"/>
                <w:u w:val="single"/>
                <w:lang w:eastAsia="lv-LV"/>
              </w:rPr>
              <w:t>)</w:t>
            </w:r>
            <w:r w:rsidRPr="00695EF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, kā arī noteikumu projekts tika ievietots Valsts kancelejas tīmekļvietnē sadaļā "Ministru kabineta diskusiju dokumenti" (pieejams: </w:t>
            </w:r>
            <w:hyperlink r:id="rId16" w:history="1">
              <w:r w:rsidRPr="00695EF7">
                <w:rPr>
                  <w:rStyle w:val="Hipersaite"/>
                  <w:rFonts w:eastAsia="Times New Roman"/>
                  <w:bCs/>
                  <w:sz w:val="24"/>
                  <w:szCs w:val="24"/>
                  <w:lang w:eastAsia="lv-LV"/>
                </w:rPr>
                <w:t>https://mk.gov.lv/content/ministru-kabineta-diskusiju-dokumenti</w:t>
              </w:r>
            </w:hyperlink>
            <w:r w:rsidRPr="00695EF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),  tādējādi dodot iespēju sabiedrībai līdzdarboties tiesību akta izstrādes procesā. Sabiedrībai bija iespēja līdz 2019. gada </w:t>
            </w:r>
            <w:r w:rsidR="00FB0FDE">
              <w:rPr>
                <w:rFonts w:eastAsia="Times New Roman"/>
                <w:bCs/>
                <w:sz w:val="24"/>
                <w:szCs w:val="24"/>
                <w:lang w:eastAsia="lv-LV"/>
              </w:rPr>
              <w:t>16. oktobrim</w:t>
            </w:r>
            <w:r w:rsidRPr="00695EF7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sniegt rakstisku viedokli Tieslietu ministrijai par izstrādāto noteikumu projektu.</w:t>
            </w:r>
          </w:p>
        </w:tc>
      </w:tr>
      <w:tr w:rsidR="00BC2633" w:rsidRPr="00BC2633" w14:paraId="221D5F5F" w14:textId="77777777" w:rsidTr="002D5AA7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2BC62F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5EBB17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3C15CE" w14:textId="0FC8BC67" w:rsidR="004D15A9" w:rsidRPr="00D933F5" w:rsidRDefault="00CB5563" w:rsidP="003333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CB5563">
              <w:rPr>
                <w:rFonts w:eastAsia="Times New Roman"/>
                <w:sz w:val="24"/>
                <w:szCs w:val="24"/>
                <w:lang w:eastAsia="lv-LV"/>
              </w:rPr>
              <w:t>Pēc noteikumu projekta ievietošanas Tieslietu ministrijas un Valsts kancelejas tīmekļvietnē viedokļi par noteikumu projektu no sabiedrības pārstāvju puses nav saņemti.</w:t>
            </w:r>
          </w:p>
        </w:tc>
      </w:tr>
      <w:tr w:rsidR="004D15A9" w:rsidRPr="00BC2633" w14:paraId="5F54E321" w14:textId="77777777" w:rsidTr="004C3B1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E089B0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F1E65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3F0FFC" w14:textId="36A7DD79" w:rsidR="004D15A9" w:rsidRPr="00BC2633" w:rsidRDefault="00F32495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569A45C0" w14:textId="77777777" w:rsidR="004D15A9" w:rsidRPr="00BC2633" w:rsidRDefault="004D15A9" w:rsidP="00C26E82">
      <w:pPr>
        <w:spacing w:after="0" w:line="240" w:lineRule="auto"/>
        <w:rPr>
          <w:rFonts w:eastAsia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2659"/>
        <w:gridCol w:w="5944"/>
      </w:tblGrid>
      <w:tr w:rsidR="00BC2633" w:rsidRPr="00BC2633" w14:paraId="052FAB11" w14:textId="77777777" w:rsidTr="004D15A9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72ABA4" w14:textId="77777777" w:rsidR="004D15A9" w:rsidRPr="00BC2633" w:rsidRDefault="004D15A9" w:rsidP="00C26E82">
            <w:pPr>
              <w:spacing w:after="0" w:line="240" w:lineRule="auto"/>
              <w:ind w:firstLine="300"/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BC2633" w:rsidRPr="00BC2633" w14:paraId="5F7D14F9" w14:textId="77777777" w:rsidTr="003803BC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C261A7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28F92C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EBB4A0" w14:textId="666B6710" w:rsidR="000C3E92" w:rsidRPr="00DB49BA" w:rsidRDefault="000C3E92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lv-LV"/>
              </w:rPr>
            </w:pPr>
            <w:r w:rsidRPr="0026052B">
              <w:rPr>
                <w:rFonts w:eastAsia="Times New Roman"/>
                <w:sz w:val="24"/>
                <w:szCs w:val="24"/>
                <w:lang w:eastAsia="lv-LV"/>
              </w:rPr>
              <w:t>Tieslietu ministrija.</w:t>
            </w:r>
          </w:p>
        </w:tc>
      </w:tr>
      <w:tr w:rsidR="00BC2633" w:rsidRPr="00BC2633" w14:paraId="67B81B5D" w14:textId="77777777" w:rsidTr="003803BC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9A6CCC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4CADDF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 xml:space="preserve">Projekta izpildes ietekme uz pārvaldes funkcijām un institucionālo struktūru. </w:t>
            </w:r>
          </w:p>
          <w:p w14:paraId="37B6FCBC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0A7F09" w14:textId="134833E6" w:rsidR="004D15A9" w:rsidRPr="00BC2633" w:rsidRDefault="00B64371" w:rsidP="004162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B64371">
              <w:rPr>
                <w:rFonts w:eastAsia="Times New Roman"/>
                <w:bCs/>
                <w:sz w:val="24"/>
                <w:szCs w:val="24"/>
                <w:lang w:eastAsia="lv-LV"/>
              </w:rPr>
              <w:t>Noteikumu projekt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a</w:t>
            </w:r>
            <w:r w:rsidR="00F51892">
              <w:rPr>
                <w:rFonts w:eastAsia="Times New Roman"/>
                <w:sz w:val="24"/>
                <w:szCs w:val="24"/>
                <w:lang w:eastAsia="lv-LV"/>
              </w:rPr>
              <w:t xml:space="preserve"> izpilde nerada ietekmi uz pārvaldes funkcijām un institucionālo struktūru. </w:t>
            </w:r>
            <w:r w:rsidR="00DB49BA">
              <w:rPr>
                <w:rFonts w:eastAsia="Times New Roman"/>
                <w:sz w:val="24"/>
                <w:szCs w:val="24"/>
                <w:lang w:eastAsia="lv-LV"/>
              </w:rPr>
              <w:t>Nav nepieciešama j</w:t>
            </w:r>
            <w:r w:rsidR="00F51892">
              <w:rPr>
                <w:rFonts w:eastAsia="Times New Roman"/>
                <w:sz w:val="24"/>
                <w:szCs w:val="24"/>
                <w:lang w:eastAsia="lv-LV"/>
              </w:rPr>
              <w:t>aunu institūciju izveide, e</w:t>
            </w:r>
            <w:r w:rsidR="00DB49BA">
              <w:rPr>
                <w:rFonts w:eastAsia="Times New Roman"/>
                <w:sz w:val="24"/>
                <w:szCs w:val="24"/>
                <w:lang w:eastAsia="lv-LV"/>
              </w:rPr>
              <w:t xml:space="preserve">sošu institūciju likvidācija vai reorganizācija. </w:t>
            </w:r>
          </w:p>
        </w:tc>
      </w:tr>
      <w:tr w:rsidR="004D15A9" w:rsidRPr="00BC2633" w14:paraId="20A26466" w14:textId="77777777" w:rsidTr="003803BC">
        <w:trPr>
          <w:trHeight w:val="39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FEA73D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62A194" w14:textId="77777777" w:rsidR="004D15A9" w:rsidRPr="00BC2633" w:rsidRDefault="004D15A9" w:rsidP="00C26E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00BC2633">
              <w:rPr>
                <w:rFonts w:eastAsia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D54AC6" w14:textId="6CE7E31A" w:rsidR="004D15A9" w:rsidRPr="00BC2633" w:rsidRDefault="000C3E92" w:rsidP="00C26E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10F26810" w14:textId="77777777" w:rsidR="00BB1F46" w:rsidRPr="00BC2633" w:rsidRDefault="00BB1F46" w:rsidP="00C26E82">
      <w:pPr>
        <w:spacing w:after="0" w:line="240" w:lineRule="auto"/>
        <w:rPr>
          <w:sz w:val="24"/>
          <w:szCs w:val="24"/>
        </w:rPr>
      </w:pPr>
    </w:p>
    <w:p w14:paraId="09601154" w14:textId="77777777" w:rsidR="004D15A9" w:rsidRPr="00BC2633" w:rsidRDefault="004D15A9" w:rsidP="00C26E82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BC2633">
        <w:rPr>
          <w:sz w:val="24"/>
          <w:szCs w:val="24"/>
        </w:rPr>
        <w:t>Iesniedzējs:</w:t>
      </w:r>
    </w:p>
    <w:p w14:paraId="4D8DF971" w14:textId="77777777" w:rsidR="003A07B9" w:rsidRDefault="003A07B9" w:rsidP="003A07B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3A07B9">
        <w:rPr>
          <w:sz w:val="24"/>
          <w:szCs w:val="24"/>
        </w:rPr>
        <w:t>Ministru prezidenta biedrs,</w:t>
      </w:r>
    </w:p>
    <w:p w14:paraId="0A7A7E0D" w14:textId="07A12ED3" w:rsidR="003A07B9" w:rsidRPr="003A07B9" w:rsidRDefault="003A07B9" w:rsidP="003A07B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3A07B9">
        <w:rPr>
          <w:sz w:val="24"/>
          <w:szCs w:val="24"/>
        </w:rPr>
        <w:t>tieslietu ministrs </w:t>
      </w:r>
      <w:r w:rsidRPr="003A07B9">
        <w:rPr>
          <w:sz w:val="24"/>
          <w:szCs w:val="24"/>
        </w:rPr>
        <w:tab/>
      </w:r>
      <w:r w:rsidRPr="003A07B9">
        <w:rPr>
          <w:sz w:val="24"/>
          <w:szCs w:val="24"/>
        </w:rPr>
        <w:tab/>
      </w:r>
      <w:r w:rsidRPr="003A07B9">
        <w:rPr>
          <w:sz w:val="24"/>
          <w:szCs w:val="24"/>
        </w:rPr>
        <w:tab/>
      </w:r>
      <w:r w:rsidRPr="003A07B9">
        <w:rPr>
          <w:sz w:val="24"/>
          <w:szCs w:val="24"/>
        </w:rPr>
        <w:tab/>
      </w:r>
      <w:r w:rsidRPr="003A07B9">
        <w:rPr>
          <w:sz w:val="24"/>
          <w:szCs w:val="24"/>
        </w:rPr>
        <w:tab/>
      </w:r>
      <w:r w:rsidRPr="003A07B9">
        <w:rPr>
          <w:sz w:val="24"/>
          <w:szCs w:val="24"/>
        </w:rPr>
        <w:tab/>
      </w:r>
      <w:r w:rsidRPr="003A07B9">
        <w:rPr>
          <w:sz w:val="24"/>
          <w:szCs w:val="24"/>
        </w:rPr>
        <w:tab/>
      </w:r>
      <w:r w:rsidRPr="003A07B9">
        <w:rPr>
          <w:sz w:val="24"/>
          <w:szCs w:val="24"/>
        </w:rPr>
        <w:tab/>
        <w:t>J. </w:t>
      </w:r>
      <w:proofErr w:type="spellStart"/>
      <w:r w:rsidRPr="003A07B9">
        <w:rPr>
          <w:sz w:val="24"/>
          <w:szCs w:val="24"/>
        </w:rPr>
        <w:t>Bordāns</w:t>
      </w:r>
      <w:proofErr w:type="spellEnd"/>
    </w:p>
    <w:p w14:paraId="2AD6EF98" w14:textId="3D0AD788" w:rsidR="004D15A9" w:rsidRDefault="004D15A9" w:rsidP="003333C4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058DDE9A" w14:textId="77777777" w:rsidR="006D1CD9" w:rsidRPr="006D1CD9" w:rsidRDefault="006D1CD9" w:rsidP="006D1CD9">
      <w:pPr>
        <w:spacing w:after="0" w:line="240" w:lineRule="auto"/>
        <w:rPr>
          <w:szCs w:val="22"/>
        </w:rPr>
      </w:pPr>
      <w:r w:rsidRPr="006D1CD9">
        <w:rPr>
          <w:szCs w:val="22"/>
        </w:rPr>
        <w:t>Alberinga 67036835</w:t>
      </w:r>
    </w:p>
    <w:p w14:paraId="02451915" w14:textId="39C015DD" w:rsidR="00C34576" w:rsidRPr="006A1C25" w:rsidRDefault="00CF1639" w:rsidP="006D1CD9">
      <w:pPr>
        <w:spacing w:after="0" w:line="240" w:lineRule="auto"/>
        <w:rPr>
          <w:i/>
        </w:rPr>
      </w:pPr>
      <w:hyperlink r:id="rId17" w:history="1">
        <w:r w:rsidR="006D1CD9" w:rsidRPr="006D1CD9">
          <w:rPr>
            <w:color w:val="0000FF" w:themeColor="hyperlink"/>
            <w:szCs w:val="22"/>
            <w:u w:val="single"/>
          </w:rPr>
          <w:t>Kristine.Alberinga@tm.gov.lv</w:t>
        </w:r>
      </w:hyperlink>
      <w:r w:rsidR="006D1CD9" w:rsidRPr="006D1CD9">
        <w:rPr>
          <w:szCs w:val="22"/>
        </w:rPr>
        <w:t xml:space="preserve"> </w:t>
      </w:r>
      <w:bookmarkStart w:id="2" w:name="_GoBack"/>
      <w:bookmarkEnd w:id="2"/>
    </w:p>
    <w:sectPr w:rsidR="00C34576" w:rsidRPr="006A1C25" w:rsidSect="004D15A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121B" w14:textId="77777777" w:rsidR="00F744F5" w:rsidRDefault="00F744F5" w:rsidP="004D15A9">
      <w:pPr>
        <w:spacing w:after="0" w:line="240" w:lineRule="auto"/>
      </w:pPr>
      <w:r>
        <w:separator/>
      </w:r>
    </w:p>
  </w:endnote>
  <w:endnote w:type="continuationSeparator" w:id="0">
    <w:p w14:paraId="179A3492" w14:textId="77777777" w:rsidR="00F744F5" w:rsidRDefault="00F744F5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E8AD" w14:textId="77777777" w:rsidR="00454B1A" w:rsidRDefault="00454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45DF" w14:textId="77777777" w:rsidR="00C65605" w:rsidRPr="00C65605" w:rsidRDefault="00C65605" w:rsidP="00C65605">
    <w:pPr>
      <w:pStyle w:val="Kjene"/>
      <w:jc w:val="center"/>
      <w:rPr>
        <w:i/>
      </w:rPr>
    </w:pPr>
  </w:p>
  <w:p w14:paraId="6A190106" w14:textId="41D3A4F9" w:rsidR="004D15A9" w:rsidRPr="0042645D" w:rsidRDefault="00CF1639" w:rsidP="0042645D">
    <w:pPr>
      <w:pStyle w:val="Kjene"/>
    </w:pPr>
    <w:r>
      <w:fldChar w:fldCharType="begin"/>
    </w:r>
    <w:r>
      <w:instrText xml:space="preserve"> FILENAME   \* MERGEFORMAT </w:instrText>
    </w:r>
    <w:r>
      <w:fldChar w:fldCharType="separate"/>
    </w:r>
    <w:r w:rsidR="00C26E82">
      <w:rPr>
        <w:noProof/>
      </w:rPr>
      <w:t>TMAnot_</w:t>
    </w:r>
    <w:r w:rsidR="00230251">
      <w:rPr>
        <w:noProof/>
      </w:rPr>
      <w:t>0210</w:t>
    </w:r>
    <w:r w:rsidR="00C26E82">
      <w:rPr>
        <w:noProof/>
      </w:rPr>
      <w:t>19_</w:t>
    </w:r>
    <w:r w:rsidR="00454B1A">
      <w:rPr>
        <w:noProof/>
      </w:rPr>
      <w:t>vis_</w:t>
    </w:r>
    <w:r w:rsidR="00EB051C">
      <w:rPr>
        <w:noProof/>
      </w:rPr>
      <w:t>takses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E123" w14:textId="77777777" w:rsidR="00C65605" w:rsidRPr="00C65605" w:rsidRDefault="00C65605" w:rsidP="00C65605">
    <w:pP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i/>
      </w:rPr>
    </w:pPr>
  </w:p>
  <w:p w14:paraId="0854F658" w14:textId="2FC83ADE" w:rsidR="004D15A9" w:rsidRPr="0042645D" w:rsidRDefault="00CF1639" w:rsidP="0042645D">
    <w:pPr>
      <w:pStyle w:val="Kjene"/>
    </w:pPr>
    <w:r>
      <w:fldChar w:fldCharType="begin"/>
    </w:r>
    <w:r>
      <w:instrText xml:space="preserve"> FILENAME   \* MERGEFORMAT </w:instrText>
    </w:r>
    <w:r>
      <w:fldChar w:fldCharType="separate"/>
    </w:r>
    <w:r w:rsidR="00C26E82">
      <w:rPr>
        <w:noProof/>
      </w:rPr>
      <w:t>TMAnot_</w:t>
    </w:r>
    <w:r w:rsidR="00230251">
      <w:rPr>
        <w:noProof/>
      </w:rPr>
      <w:t>0210</w:t>
    </w:r>
    <w:r w:rsidR="00C26E82">
      <w:rPr>
        <w:noProof/>
      </w:rPr>
      <w:t>19_</w:t>
    </w:r>
    <w:r w:rsidR="00454B1A">
      <w:rPr>
        <w:noProof/>
      </w:rPr>
      <w:t>vis_</w:t>
    </w:r>
    <w:r w:rsidR="00EB051C">
      <w:rPr>
        <w:noProof/>
      </w:rPr>
      <w:t>takses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FCD8" w14:textId="77777777" w:rsidR="00F744F5" w:rsidRDefault="00F744F5" w:rsidP="004D15A9">
      <w:pPr>
        <w:spacing w:after="0" w:line="240" w:lineRule="auto"/>
      </w:pPr>
      <w:r>
        <w:separator/>
      </w:r>
    </w:p>
  </w:footnote>
  <w:footnote w:type="continuationSeparator" w:id="0">
    <w:p w14:paraId="6C8D2B1D" w14:textId="77777777" w:rsidR="00F744F5" w:rsidRDefault="00F744F5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8E1B" w14:textId="77777777" w:rsidR="00454B1A" w:rsidRDefault="00454B1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230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D63889F" w14:textId="7964063A" w:rsidR="004D15A9" w:rsidRPr="004D15A9" w:rsidRDefault="004D15A9">
        <w:pPr>
          <w:pStyle w:val="Galvene"/>
          <w:jc w:val="center"/>
          <w:rPr>
            <w:sz w:val="24"/>
            <w:szCs w:val="24"/>
          </w:rPr>
        </w:pPr>
        <w:r w:rsidRPr="004D15A9">
          <w:rPr>
            <w:sz w:val="24"/>
            <w:szCs w:val="24"/>
          </w:rPr>
          <w:fldChar w:fldCharType="begin"/>
        </w:r>
        <w:r w:rsidRPr="004D15A9">
          <w:rPr>
            <w:sz w:val="24"/>
            <w:szCs w:val="24"/>
          </w:rPr>
          <w:instrText>PAGE   \* MERGEFORMAT</w:instrText>
        </w:r>
        <w:r w:rsidRPr="004D15A9">
          <w:rPr>
            <w:sz w:val="24"/>
            <w:szCs w:val="24"/>
          </w:rPr>
          <w:fldChar w:fldCharType="separate"/>
        </w:r>
        <w:r w:rsidR="00B83C87">
          <w:rPr>
            <w:noProof/>
            <w:sz w:val="24"/>
            <w:szCs w:val="24"/>
          </w:rPr>
          <w:t>7</w:t>
        </w:r>
        <w:r w:rsidRPr="004D15A9">
          <w:rPr>
            <w:sz w:val="24"/>
            <w:szCs w:val="24"/>
          </w:rPr>
          <w:fldChar w:fldCharType="end"/>
        </w:r>
      </w:p>
    </w:sdtContent>
  </w:sdt>
  <w:p w14:paraId="2E7D154D" w14:textId="77777777" w:rsidR="004D15A9" w:rsidRDefault="004D15A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0776" w14:textId="77777777" w:rsidR="00454B1A" w:rsidRDefault="00454B1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5F9"/>
    <w:multiLevelType w:val="hybridMultilevel"/>
    <w:tmpl w:val="5D6ECD88"/>
    <w:lvl w:ilvl="0" w:tplc="5A084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E80"/>
    <w:multiLevelType w:val="hybridMultilevel"/>
    <w:tmpl w:val="B5C837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EA3"/>
    <w:multiLevelType w:val="hybridMultilevel"/>
    <w:tmpl w:val="CCD6BA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17F5"/>
    <w:multiLevelType w:val="hybridMultilevel"/>
    <w:tmpl w:val="8EB41B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5077"/>
    <w:multiLevelType w:val="hybridMultilevel"/>
    <w:tmpl w:val="1280091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B6BF1"/>
    <w:multiLevelType w:val="multilevel"/>
    <w:tmpl w:val="B16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A7372"/>
    <w:multiLevelType w:val="hybridMultilevel"/>
    <w:tmpl w:val="603433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63B6C"/>
    <w:multiLevelType w:val="hybridMultilevel"/>
    <w:tmpl w:val="2DF0C1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75FAF"/>
    <w:multiLevelType w:val="hybridMultilevel"/>
    <w:tmpl w:val="F68AA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34554"/>
    <w:multiLevelType w:val="hybridMultilevel"/>
    <w:tmpl w:val="B238B2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2030C"/>
    <w:multiLevelType w:val="hybridMultilevel"/>
    <w:tmpl w:val="281AD7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A9"/>
    <w:rsid w:val="00001421"/>
    <w:rsid w:val="000035B6"/>
    <w:rsid w:val="00005C22"/>
    <w:rsid w:val="000151F4"/>
    <w:rsid w:val="00015E7B"/>
    <w:rsid w:val="000210B3"/>
    <w:rsid w:val="00025A34"/>
    <w:rsid w:val="000272B2"/>
    <w:rsid w:val="00031256"/>
    <w:rsid w:val="0003254B"/>
    <w:rsid w:val="0004110C"/>
    <w:rsid w:val="00042D3A"/>
    <w:rsid w:val="000440D8"/>
    <w:rsid w:val="000501E8"/>
    <w:rsid w:val="0005188D"/>
    <w:rsid w:val="000572D2"/>
    <w:rsid w:val="00060A95"/>
    <w:rsid w:val="000665EF"/>
    <w:rsid w:val="0007062D"/>
    <w:rsid w:val="00072DF8"/>
    <w:rsid w:val="00080A74"/>
    <w:rsid w:val="00084207"/>
    <w:rsid w:val="00084E75"/>
    <w:rsid w:val="0009277A"/>
    <w:rsid w:val="00097BB0"/>
    <w:rsid w:val="000A33B6"/>
    <w:rsid w:val="000A55E6"/>
    <w:rsid w:val="000A7A76"/>
    <w:rsid w:val="000B0238"/>
    <w:rsid w:val="000B115C"/>
    <w:rsid w:val="000B2630"/>
    <w:rsid w:val="000B31E1"/>
    <w:rsid w:val="000B576E"/>
    <w:rsid w:val="000B5A3E"/>
    <w:rsid w:val="000B6B03"/>
    <w:rsid w:val="000C19CF"/>
    <w:rsid w:val="000C3E92"/>
    <w:rsid w:val="000C405C"/>
    <w:rsid w:val="000C494C"/>
    <w:rsid w:val="000C63DF"/>
    <w:rsid w:val="000C6B53"/>
    <w:rsid w:val="000D0C5C"/>
    <w:rsid w:val="000D1CB9"/>
    <w:rsid w:val="000D28B1"/>
    <w:rsid w:val="000D303B"/>
    <w:rsid w:val="000D3242"/>
    <w:rsid w:val="000E3461"/>
    <w:rsid w:val="000E42FD"/>
    <w:rsid w:val="000E4390"/>
    <w:rsid w:val="000E4D50"/>
    <w:rsid w:val="000E67EB"/>
    <w:rsid w:val="000E7B1E"/>
    <w:rsid w:val="000F35A2"/>
    <w:rsid w:val="00101CD5"/>
    <w:rsid w:val="00107FC6"/>
    <w:rsid w:val="00116C74"/>
    <w:rsid w:val="00117B39"/>
    <w:rsid w:val="00120F7B"/>
    <w:rsid w:val="00127330"/>
    <w:rsid w:val="001379C1"/>
    <w:rsid w:val="00144C01"/>
    <w:rsid w:val="001507F5"/>
    <w:rsid w:val="00151371"/>
    <w:rsid w:val="001605E3"/>
    <w:rsid w:val="00161A44"/>
    <w:rsid w:val="00173B4D"/>
    <w:rsid w:val="001751D0"/>
    <w:rsid w:val="0018118E"/>
    <w:rsid w:val="00184A60"/>
    <w:rsid w:val="00197F8F"/>
    <w:rsid w:val="001A7149"/>
    <w:rsid w:val="001B7B1B"/>
    <w:rsid w:val="001B7D38"/>
    <w:rsid w:val="001C0553"/>
    <w:rsid w:val="001C5969"/>
    <w:rsid w:val="001C7839"/>
    <w:rsid w:val="001D0AE7"/>
    <w:rsid w:val="001D50C6"/>
    <w:rsid w:val="001D50D8"/>
    <w:rsid w:val="001E4903"/>
    <w:rsid w:val="001F68D7"/>
    <w:rsid w:val="001F7D46"/>
    <w:rsid w:val="00200468"/>
    <w:rsid w:val="00201B6E"/>
    <w:rsid w:val="00203E87"/>
    <w:rsid w:val="00217349"/>
    <w:rsid w:val="00217F09"/>
    <w:rsid w:val="00220682"/>
    <w:rsid w:val="002219FE"/>
    <w:rsid w:val="00221D78"/>
    <w:rsid w:val="0022314A"/>
    <w:rsid w:val="00224FC8"/>
    <w:rsid w:val="00225405"/>
    <w:rsid w:val="00225A65"/>
    <w:rsid w:val="0022661D"/>
    <w:rsid w:val="00230251"/>
    <w:rsid w:val="00233568"/>
    <w:rsid w:val="002352E3"/>
    <w:rsid w:val="0025108C"/>
    <w:rsid w:val="0025379E"/>
    <w:rsid w:val="00256715"/>
    <w:rsid w:val="0026052B"/>
    <w:rsid w:val="002677F9"/>
    <w:rsid w:val="00270BD8"/>
    <w:rsid w:val="00277D1C"/>
    <w:rsid w:val="00280C10"/>
    <w:rsid w:val="002851A9"/>
    <w:rsid w:val="00285791"/>
    <w:rsid w:val="00286C5F"/>
    <w:rsid w:val="00287B5E"/>
    <w:rsid w:val="002A3A8A"/>
    <w:rsid w:val="002C43AF"/>
    <w:rsid w:val="002C50B4"/>
    <w:rsid w:val="002C544B"/>
    <w:rsid w:val="002C570A"/>
    <w:rsid w:val="002C6AE9"/>
    <w:rsid w:val="002D1E43"/>
    <w:rsid w:val="002D4D7E"/>
    <w:rsid w:val="002D5AA7"/>
    <w:rsid w:val="002D74F8"/>
    <w:rsid w:val="002E36BC"/>
    <w:rsid w:val="002E602A"/>
    <w:rsid w:val="002E6E03"/>
    <w:rsid w:val="002F3CE4"/>
    <w:rsid w:val="002F4F22"/>
    <w:rsid w:val="002F54F0"/>
    <w:rsid w:val="00310C24"/>
    <w:rsid w:val="00312A70"/>
    <w:rsid w:val="00321E43"/>
    <w:rsid w:val="0032356B"/>
    <w:rsid w:val="0032459B"/>
    <w:rsid w:val="003333C4"/>
    <w:rsid w:val="00340C98"/>
    <w:rsid w:val="0034391E"/>
    <w:rsid w:val="00345CC1"/>
    <w:rsid w:val="00347C74"/>
    <w:rsid w:val="00347D11"/>
    <w:rsid w:val="00352445"/>
    <w:rsid w:val="00354948"/>
    <w:rsid w:val="003615CF"/>
    <w:rsid w:val="00370500"/>
    <w:rsid w:val="00375343"/>
    <w:rsid w:val="003803BC"/>
    <w:rsid w:val="00381011"/>
    <w:rsid w:val="00383658"/>
    <w:rsid w:val="0038378D"/>
    <w:rsid w:val="003922B0"/>
    <w:rsid w:val="0039577E"/>
    <w:rsid w:val="00397D36"/>
    <w:rsid w:val="003A003C"/>
    <w:rsid w:val="003A07B9"/>
    <w:rsid w:val="003A2A0B"/>
    <w:rsid w:val="003A6668"/>
    <w:rsid w:val="003B2BDA"/>
    <w:rsid w:val="003B4242"/>
    <w:rsid w:val="003B5F87"/>
    <w:rsid w:val="003B68AF"/>
    <w:rsid w:val="003B6C2A"/>
    <w:rsid w:val="003B74D3"/>
    <w:rsid w:val="003C25C0"/>
    <w:rsid w:val="003C649D"/>
    <w:rsid w:val="003C6D41"/>
    <w:rsid w:val="003C6EE7"/>
    <w:rsid w:val="003D0A44"/>
    <w:rsid w:val="003D17BF"/>
    <w:rsid w:val="003D1C22"/>
    <w:rsid w:val="003D2599"/>
    <w:rsid w:val="003D3693"/>
    <w:rsid w:val="003D5534"/>
    <w:rsid w:val="003D5E88"/>
    <w:rsid w:val="003D64AA"/>
    <w:rsid w:val="003D692D"/>
    <w:rsid w:val="003E7CDD"/>
    <w:rsid w:val="003F4C55"/>
    <w:rsid w:val="003F538C"/>
    <w:rsid w:val="003F5AA5"/>
    <w:rsid w:val="00400ADC"/>
    <w:rsid w:val="00400EDB"/>
    <w:rsid w:val="00404142"/>
    <w:rsid w:val="00406909"/>
    <w:rsid w:val="00407580"/>
    <w:rsid w:val="0041023D"/>
    <w:rsid w:val="00411C30"/>
    <w:rsid w:val="004142F1"/>
    <w:rsid w:val="00416236"/>
    <w:rsid w:val="00417AFC"/>
    <w:rsid w:val="0042645D"/>
    <w:rsid w:val="00430411"/>
    <w:rsid w:val="0043541A"/>
    <w:rsid w:val="00436343"/>
    <w:rsid w:val="00440546"/>
    <w:rsid w:val="00446E73"/>
    <w:rsid w:val="00454B1A"/>
    <w:rsid w:val="00461275"/>
    <w:rsid w:val="004615D7"/>
    <w:rsid w:val="00462CC7"/>
    <w:rsid w:val="00467EE6"/>
    <w:rsid w:val="004802C3"/>
    <w:rsid w:val="00481EF5"/>
    <w:rsid w:val="00484136"/>
    <w:rsid w:val="004879F4"/>
    <w:rsid w:val="00487C6D"/>
    <w:rsid w:val="00490B0E"/>
    <w:rsid w:val="00496636"/>
    <w:rsid w:val="004A345D"/>
    <w:rsid w:val="004B18E3"/>
    <w:rsid w:val="004B4378"/>
    <w:rsid w:val="004B4E92"/>
    <w:rsid w:val="004B7263"/>
    <w:rsid w:val="004C262C"/>
    <w:rsid w:val="004C3B12"/>
    <w:rsid w:val="004C3C6E"/>
    <w:rsid w:val="004C3FD0"/>
    <w:rsid w:val="004C443E"/>
    <w:rsid w:val="004C52CB"/>
    <w:rsid w:val="004C59EA"/>
    <w:rsid w:val="004D15A9"/>
    <w:rsid w:val="004D26B1"/>
    <w:rsid w:val="004D444D"/>
    <w:rsid w:val="004D5B3D"/>
    <w:rsid w:val="004E4E5F"/>
    <w:rsid w:val="004E7B46"/>
    <w:rsid w:val="004F2959"/>
    <w:rsid w:val="004F4554"/>
    <w:rsid w:val="005024B3"/>
    <w:rsid w:val="00506459"/>
    <w:rsid w:val="005079D1"/>
    <w:rsid w:val="00515CEE"/>
    <w:rsid w:val="005200C8"/>
    <w:rsid w:val="00523A3E"/>
    <w:rsid w:val="00534060"/>
    <w:rsid w:val="00534244"/>
    <w:rsid w:val="00544A6A"/>
    <w:rsid w:val="00544F52"/>
    <w:rsid w:val="0054510F"/>
    <w:rsid w:val="00552FBE"/>
    <w:rsid w:val="00555D57"/>
    <w:rsid w:val="00562BAE"/>
    <w:rsid w:val="005635CD"/>
    <w:rsid w:val="0056459F"/>
    <w:rsid w:val="0056778E"/>
    <w:rsid w:val="00573F9E"/>
    <w:rsid w:val="005760B3"/>
    <w:rsid w:val="005843F3"/>
    <w:rsid w:val="005843FE"/>
    <w:rsid w:val="0059057E"/>
    <w:rsid w:val="00594904"/>
    <w:rsid w:val="005953B6"/>
    <w:rsid w:val="005A1E89"/>
    <w:rsid w:val="005A3A2C"/>
    <w:rsid w:val="005B5216"/>
    <w:rsid w:val="005C0266"/>
    <w:rsid w:val="005C1BAA"/>
    <w:rsid w:val="005C7D9F"/>
    <w:rsid w:val="005D0DC8"/>
    <w:rsid w:val="005D409E"/>
    <w:rsid w:val="005D4E8A"/>
    <w:rsid w:val="005E4D38"/>
    <w:rsid w:val="005F0CB1"/>
    <w:rsid w:val="005F3FF0"/>
    <w:rsid w:val="005F6598"/>
    <w:rsid w:val="00600BC2"/>
    <w:rsid w:val="00604140"/>
    <w:rsid w:val="00604A72"/>
    <w:rsid w:val="00604C73"/>
    <w:rsid w:val="006058D6"/>
    <w:rsid w:val="00612A92"/>
    <w:rsid w:val="00630EB3"/>
    <w:rsid w:val="00641814"/>
    <w:rsid w:val="0064197D"/>
    <w:rsid w:val="00642A12"/>
    <w:rsid w:val="0064321F"/>
    <w:rsid w:val="00644AAB"/>
    <w:rsid w:val="00644E2D"/>
    <w:rsid w:val="006475B3"/>
    <w:rsid w:val="00654407"/>
    <w:rsid w:val="00656456"/>
    <w:rsid w:val="006564BC"/>
    <w:rsid w:val="00657682"/>
    <w:rsid w:val="0066241B"/>
    <w:rsid w:val="006641E1"/>
    <w:rsid w:val="00666315"/>
    <w:rsid w:val="00666EE4"/>
    <w:rsid w:val="00682AE7"/>
    <w:rsid w:val="0068318A"/>
    <w:rsid w:val="006836C7"/>
    <w:rsid w:val="00685434"/>
    <w:rsid w:val="00692227"/>
    <w:rsid w:val="00695EF7"/>
    <w:rsid w:val="006A1C25"/>
    <w:rsid w:val="006A5092"/>
    <w:rsid w:val="006A5352"/>
    <w:rsid w:val="006A79D8"/>
    <w:rsid w:val="006B1470"/>
    <w:rsid w:val="006B55C0"/>
    <w:rsid w:val="006B627C"/>
    <w:rsid w:val="006B770F"/>
    <w:rsid w:val="006D066C"/>
    <w:rsid w:val="006D1CD9"/>
    <w:rsid w:val="006D24C1"/>
    <w:rsid w:val="006D3DD0"/>
    <w:rsid w:val="006D4B44"/>
    <w:rsid w:val="006D4F28"/>
    <w:rsid w:val="006D7913"/>
    <w:rsid w:val="006E3411"/>
    <w:rsid w:val="006E4AAE"/>
    <w:rsid w:val="006E75F6"/>
    <w:rsid w:val="006F0856"/>
    <w:rsid w:val="006F3CD6"/>
    <w:rsid w:val="0070223D"/>
    <w:rsid w:val="00703120"/>
    <w:rsid w:val="007047F3"/>
    <w:rsid w:val="007102E3"/>
    <w:rsid w:val="00710817"/>
    <w:rsid w:val="007136A0"/>
    <w:rsid w:val="00714FA3"/>
    <w:rsid w:val="007334B5"/>
    <w:rsid w:val="00734566"/>
    <w:rsid w:val="00736BAB"/>
    <w:rsid w:val="0073730D"/>
    <w:rsid w:val="00752426"/>
    <w:rsid w:val="00752A4E"/>
    <w:rsid w:val="007608F8"/>
    <w:rsid w:val="00762FF5"/>
    <w:rsid w:val="00763CCD"/>
    <w:rsid w:val="007720A6"/>
    <w:rsid w:val="007724B7"/>
    <w:rsid w:val="00773ACF"/>
    <w:rsid w:val="007740AF"/>
    <w:rsid w:val="00774A53"/>
    <w:rsid w:val="0077763B"/>
    <w:rsid w:val="0078241F"/>
    <w:rsid w:val="00785724"/>
    <w:rsid w:val="007907E1"/>
    <w:rsid w:val="00795710"/>
    <w:rsid w:val="007965B5"/>
    <w:rsid w:val="007A0E67"/>
    <w:rsid w:val="007A1836"/>
    <w:rsid w:val="007A7E12"/>
    <w:rsid w:val="007B37E0"/>
    <w:rsid w:val="007B52E5"/>
    <w:rsid w:val="007C3CEC"/>
    <w:rsid w:val="007C6421"/>
    <w:rsid w:val="007C66CC"/>
    <w:rsid w:val="007C76FD"/>
    <w:rsid w:val="007C7FA3"/>
    <w:rsid w:val="007D1066"/>
    <w:rsid w:val="007D29A7"/>
    <w:rsid w:val="007D3045"/>
    <w:rsid w:val="007D789E"/>
    <w:rsid w:val="007E667A"/>
    <w:rsid w:val="007E7599"/>
    <w:rsid w:val="007F35CE"/>
    <w:rsid w:val="007F38CD"/>
    <w:rsid w:val="00803B13"/>
    <w:rsid w:val="0081203F"/>
    <w:rsid w:val="00813DD7"/>
    <w:rsid w:val="008158D3"/>
    <w:rsid w:val="00820797"/>
    <w:rsid w:val="008208A7"/>
    <w:rsid w:val="00836373"/>
    <w:rsid w:val="0084036F"/>
    <w:rsid w:val="00841836"/>
    <w:rsid w:val="00842FDC"/>
    <w:rsid w:val="00843242"/>
    <w:rsid w:val="00874714"/>
    <w:rsid w:val="00874CBA"/>
    <w:rsid w:val="00877A5C"/>
    <w:rsid w:val="008826E9"/>
    <w:rsid w:val="00882BAD"/>
    <w:rsid w:val="00890331"/>
    <w:rsid w:val="0089183D"/>
    <w:rsid w:val="00892F60"/>
    <w:rsid w:val="008934E5"/>
    <w:rsid w:val="008957E2"/>
    <w:rsid w:val="00895EED"/>
    <w:rsid w:val="008963C1"/>
    <w:rsid w:val="008A6806"/>
    <w:rsid w:val="008A7964"/>
    <w:rsid w:val="008B14CE"/>
    <w:rsid w:val="008B271B"/>
    <w:rsid w:val="008B3CFE"/>
    <w:rsid w:val="008B4D14"/>
    <w:rsid w:val="008C1D9E"/>
    <w:rsid w:val="008C3084"/>
    <w:rsid w:val="008C339C"/>
    <w:rsid w:val="008C55B4"/>
    <w:rsid w:val="008C5C84"/>
    <w:rsid w:val="008C66F7"/>
    <w:rsid w:val="008D2DB6"/>
    <w:rsid w:val="008D3982"/>
    <w:rsid w:val="008D6632"/>
    <w:rsid w:val="008E0C5B"/>
    <w:rsid w:val="008E4E93"/>
    <w:rsid w:val="008E5994"/>
    <w:rsid w:val="008E78B2"/>
    <w:rsid w:val="008F3349"/>
    <w:rsid w:val="008F58C5"/>
    <w:rsid w:val="008F7461"/>
    <w:rsid w:val="008F7801"/>
    <w:rsid w:val="00900FA8"/>
    <w:rsid w:val="00902750"/>
    <w:rsid w:val="00906E89"/>
    <w:rsid w:val="00913717"/>
    <w:rsid w:val="00921F6A"/>
    <w:rsid w:val="009249EA"/>
    <w:rsid w:val="00927BE1"/>
    <w:rsid w:val="00936471"/>
    <w:rsid w:val="00940816"/>
    <w:rsid w:val="00942D8C"/>
    <w:rsid w:val="009528FD"/>
    <w:rsid w:val="00955135"/>
    <w:rsid w:val="00955CA6"/>
    <w:rsid w:val="009565B2"/>
    <w:rsid w:val="0095668A"/>
    <w:rsid w:val="009572C2"/>
    <w:rsid w:val="00957E1F"/>
    <w:rsid w:val="0096139B"/>
    <w:rsid w:val="00962440"/>
    <w:rsid w:val="009625A5"/>
    <w:rsid w:val="00963169"/>
    <w:rsid w:val="00964EA7"/>
    <w:rsid w:val="00967A9C"/>
    <w:rsid w:val="00973243"/>
    <w:rsid w:val="00973695"/>
    <w:rsid w:val="0097613E"/>
    <w:rsid w:val="0097690A"/>
    <w:rsid w:val="009816B8"/>
    <w:rsid w:val="00990EC3"/>
    <w:rsid w:val="0099131E"/>
    <w:rsid w:val="00992F3A"/>
    <w:rsid w:val="00994A7D"/>
    <w:rsid w:val="009963FD"/>
    <w:rsid w:val="00997954"/>
    <w:rsid w:val="009A2848"/>
    <w:rsid w:val="009B312B"/>
    <w:rsid w:val="009B5593"/>
    <w:rsid w:val="009B7777"/>
    <w:rsid w:val="009C0183"/>
    <w:rsid w:val="009C15D4"/>
    <w:rsid w:val="009C7352"/>
    <w:rsid w:val="009D3A25"/>
    <w:rsid w:val="009E7F0F"/>
    <w:rsid w:val="009F277F"/>
    <w:rsid w:val="00A06851"/>
    <w:rsid w:val="00A148E0"/>
    <w:rsid w:val="00A14DC6"/>
    <w:rsid w:val="00A1552F"/>
    <w:rsid w:val="00A15F94"/>
    <w:rsid w:val="00A16F36"/>
    <w:rsid w:val="00A20CA3"/>
    <w:rsid w:val="00A22B78"/>
    <w:rsid w:val="00A23984"/>
    <w:rsid w:val="00A24459"/>
    <w:rsid w:val="00A25A10"/>
    <w:rsid w:val="00A27901"/>
    <w:rsid w:val="00A32BC9"/>
    <w:rsid w:val="00A32FB1"/>
    <w:rsid w:val="00A41D2C"/>
    <w:rsid w:val="00A455F9"/>
    <w:rsid w:val="00A526AB"/>
    <w:rsid w:val="00A52E16"/>
    <w:rsid w:val="00A53820"/>
    <w:rsid w:val="00A55065"/>
    <w:rsid w:val="00A61AA9"/>
    <w:rsid w:val="00A63068"/>
    <w:rsid w:val="00A66831"/>
    <w:rsid w:val="00A716E1"/>
    <w:rsid w:val="00A756EA"/>
    <w:rsid w:val="00A7614E"/>
    <w:rsid w:val="00A857DD"/>
    <w:rsid w:val="00A907F2"/>
    <w:rsid w:val="00A9257A"/>
    <w:rsid w:val="00A94AF8"/>
    <w:rsid w:val="00A957CD"/>
    <w:rsid w:val="00A959D2"/>
    <w:rsid w:val="00A978F1"/>
    <w:rsid w:val="00AA14A2"/>
    <w:rsid w:val="00AA1D8C"/>
    <w:rsid w:val="00AA2C39"/>
    <w:rsid w:val="00AA3932"/>
    <w:rsid w:val="00AA5DFB"/>
    <w:rsid w:val="00AA6581"/>
    <w:rsid w:val="00AA7184"/>
    <w:rsid w:val="00AA79B0"/>
    <w:rsid w:val="00AB6562"/>
    <w:rsid w:val="00AB6C07"/>
    <w:rsid w:val="00AB7F03"/>
    <w:rsid w:val="00AC0032"/>
    <w:rsid w:val="00AC62D5"/>
    <w:rsid w:val="00AC6B25"/>
    <w:rsid w:val="00AD215D"/>
    <w:rsid w:val="00AD31D7"/>
    <w:rsid w:val="00AD324B"/>
    <w:rsid w:val="00AE6E9C"/>
    <w:rsid w:val="00AF4363"/>
    <w:rsid w:val="00AF6C9E"/>
    <w:rsid w:val="00AF7AEA"/>
    <w:rsid w:val="00B003C9"/>
    <w:rsid w:val="00B07603"/>
    <w:rsid w:val="00B11522"/>
    <w:rsid w:val="00B11C92"/>
    <w:rsid w:val="00B206A7"/>
    <w:rsid w:val="00B21488"/>
    <w:rsid w:val="00B21C77"/>
    <w:rsid w:val="00B21F64"/>
    <w:rsid w:val="00B250AF"/>
    <w:rsid w:val="00B3089E"/>
    <w:rsid w:val="00B31948"/>
    <w:rsid w:val="00B338CA"/>
    <w:rsid w:val="00B34803"/>
    <w:rsid w:val="00B44750"/>
    <w:rsid w:val="00B448D0"/>
    <w:rsid w:val="00B457ED"/>
    <w:rsid w:val="00B50488"/>
    <w:rsid w:val="00B5611F"/>
    <w:rsid w:val="00B605C3"/>
    <w:rsid w:val="00B62D3C"/>
    <w:rsid w:val="00B64371"/>
    <w:rsid w:val="00B80CED"/>
    <w:rsid w:val="00B81C6E"/>
    <w:rsid w:val="00B831ED"/>
    <w:rsid w:val="00B83C87"/>
    <w:rsid w:val="00B92C25"/>
    <w:rsid w:val="00B946ED"/>
    <w:rsid w:val="00BA1591"/>
    <w:rsid w:val="00BA2466"/>
    <w:rsid w:val="00BA3437"/>
    <w:rsid w:val="00BA3E50"/>
    <w:rsid w:val="00BA6B3C"/>
    <w:rsid w:val="00BA75AC"/>
    <w:rsid w:val="00BB1F46"/>
    <w:rsid w:val="00BC2633"/>
    <w:rsid w:val="00BC5551"/>
    <w:rsid w:val="00BC623C"/>
    <w:rsid w:val="00BC6C2F"/>
    <w:rsid w:val="00BD419D"/>
    <w:rsid w:val="00BD494E"/>
    <w:rsid w:val="00BD5746"/>
    <w:rsid w:val="00BE058E"/>
    <w:rsid w:val="00BE357A"/>
    <w:rsid w:val="00BE624F"/>
    <w:rsid w:val="00BE6584"/>
    <w:rsid w:val="00BF0442"/>
    <w:rsid w:val="00BF0D20"/>
    <w:rsid w:val="00BF327D"/>
    <w:rsid w:val="00BF3A34"/>
    <w:rsid w:val="00C00759"/>
    <w:rsid w:val="00C02448"/>
    <w:rsid w:val="00C056E0"/>
    <w:rsid w:val="00C12A66"/>
    <w:rsid w:val="00C13559"/>
    <w:rsid w:val="00C238FC"/>
    <w:rsid w:val="00C260D2"/>
    <w:rsid w:val="00C26E82"/>
    <w:rsid w:val="00C312D0"/>
    <w:rsid w:val="00C3213A"/>
    <w:rsid w:val="00C32D29"/>
    <w:rsid w:val="00C33F11"/>
    <w:rsid w:val="00C34576"/>
    <w:rsid w:val="00C408D9"/>
    <w:rsid w:val="00C441B2"/>
    <w:rsid w:val="00C52EAD"/>
    <w:rsid w:val="00C53DC7"/>
    <w:rsid w:val="00C53ECA"/>
    <w:rsid w:val="00C578F1"/>
    <w:rsid w:val="00C65605"/>
    <w:rsid w:val="00C65B41"/>
    <w:rsid w:val="00C75E1E"/>
    <w:rsid w:val="00C7678F"/>
    <w:rsid w:val="00C86B12"/>
    <w:rsid w:val="00C920BF"/>
    <w:rsid w:val="00C9294D"/>
    <w:rsid w:val="00CA4E95"/>
    <w:rsid w:val="00CA5164"/>
    <w:rsid w:val="00CA6F65"/>
    <w:rsid w:val="00CA720D"/>
    <w:rsid w:val="00CB5563"/>
    <w:rsid w:val="00CB6292"/>
    <w:rsid w:val="00CB739B"/>
    <w:rsid w:val="00CC2358"/>
    <w:rsid w:val="00CC3FA4"/>
    <w:rsid w:val="00CD1F86"/>
    <w:rsid w:val="00CD37C5"/>
    <w:rsid w:val="00CD6BA0"/>
    <w:rsid w:val="00CD6BC8"/>
    <w:rsid w:val="00CE0917"/>
    <w:rsid w:val="00CE2E8B"/>
    <w:rsid w:val="00CE4D88"/>
    <w:rsid w:val="00CE694B"/>
    <w:rsid w:val="00CF1639"/>
    <w:rsid w:val="00CF1EAB"/>
    <w:rsid w:val="00CF2E0F"/>
    <w:rsid w:val="00CF4541"/>
    <w:rsid w:val="00CF4ECA"/>
    <w:rsid w:val="00D00677"/>
    <w:rsid w:val="00D012FF"/>
    <w:rsid w:val="00D03BF3"/>
    <w:rsid w:val="00D07093"/>
    <w:rsid w:val="00D07F87"/>
    <w:rsid w:val="00D109E3"/>
    <w:rsid w:val="00D1107A"/>
    <w:rsid w:val="00D23195"/>
    <w:rsid w:val="00D25E02"/>
    <w:rsid w:val="00D313D5"/>
    <w:rsid w:val="00D322EE"/>
    <w:rsid w:val="00D34782"/>
    <w:rsid w:val="00D36F7E"/>
    <w:rsid w:val="00D376BD"/>
    <w:rsid w:val="00D404F0"/>
    <w:rsid w:val="00D473C5"/>
    <w:rsid w:val="00D513DF"/>
    <w:rsid w:val="00D5176A"/>
    <w:rsid w:val="00D5202F"/>
    <w:rsid w:val="00D529D6"/>
    <w:rsid w:val="00D60140"/>
    <w:rsid w:val="00D64E41"/>
    <w:rsid w:val="00D747EC"/>
    <w:rsid w:val="00D75DAF"/>
    <w:rsid w:val="00D81F81"/>
    <w:rsid w:val="00D83C24"/>
    <w:rsid w:val="00D86010"/>
    <w:rsid w:val="00D86CD6"/>
    <w:rsid w:val="00D933F5"/>
    <w:rsid w:val="00D97BF1"/>
    <w:rsid w:val="00DA326E"/>
    <w:rsid w:val="00DA3AE4"/>
    <w:rsid w:val="00DA52AC"/>
    <w:rsid w:val="00DA596D"/>
    <w:rsid w:val="00DA764F"/>
    <w:rsid w:val="00DB01BA"/>
    <w:rsid w:val="00DB27AF"/>
    <w:rsid w:val="00DB3352"/>
    <w:rsid w:val="00DB49BA"/>
    <w:rsid w:val="00DC3241"/>
    <w:rsid w:val="00DC59ED"/>
    <w:rsid w:val="00DC5E64"/>
    <w:rsid w:val="00DC6AD4"/>
    <w:rsid w:val="00DD4217"/>
    <w:rsid w:val="00DD5173"/>
    <w:rsid w:val="00DE09DF"/>
    <w:rsid w:val="00DE32A0"/>
    <w:rsid w:val="00DE59F6"/>
    <w:rsid w:val="00DE78C6"/>
    <w:rsid w:val="00E00754"/>
    <w:rsid w:val="00E01AE3"/>
    <w:rsid w:val="00E032A2"/>
    <w:rsid w:val="00E04A78"/>
    <w:rsid w:val="00E075A8"/>
    <w:rsid w:val="00E11644"/>
    <w:rsid w:val="00E14C65"/>
    <w:rsid w:val="00E1614F"/>
    <w:rsid w:val="00E214EF"/>
    <w:rsid w:val="00E21A6E"/>
    <w:rsid w:val="00E2357E"/>
    <w:rsid w:val="00E252A2"/>
    <w:rsid w:val="00E31FAE"/>
    <w:rsid w:val="00E3340A"/>
    <w:rsid w:val="00E339E9"/>
    <w:rsid w:val="00E37A6F"/>
    <w:rsid w:val="00E44C94"/>
    <w:rsid w:val="00E47A2B"/>
    <w:rsid w:val="00E520A7"/>
    <w:rsid w:val="00E557CC"/>
    <w:rsid w:val="00E5586E"/>
    <w:rsid w:val="00E56F68"/>
    <w:rsid w:val="00E61B49"/>
    <w:rsid w:val="00E6521E"/>
    <w:rsid w:val="00E701A3"/>
    <w:rsid w:val="00E776DA"/>
    <w:rsid w:val="00E86641"/>
    <w:rsid w:val="00E86EBB"/>
    <w:rsid w:val="00E87BC2"/>
    <w:rsid w:val="00E90901"/>
    <w:rsid w:val="00E90EFC"/>
    <w:rsid w:val="00E9181C"/>
    <w:rsid w:val="00E91F6C"/>
    <w:rsid w:val="00E93B0E"/>
    <w:rsid w:val="00E95BFC"/>
    <w:rsid w:val="00EA1254"/>
    <w:rsid w:val="00EA3095"/>
    <w:rsid w:val="00EA6B1F"/>
    <w:rsid w:val="00EA7DF9"/>
    <w:rsid w:val="00EB051C"/>
    <w:rsid w:val="00EB2904"/>
    <w:rsid w:val="00EB3EC8"/>
    <w:rsid w:val="00EB4463"/>
    <w:rsid w:val="00EC12F9"/>
    <w:rsid w:val="00EC57A0"/>
    <w:rsid w:val="00ED0888"/>
    <w:rsid w:val="00ED1416"/>
    <w:rsid w:val="00ED4F0F"/>
    <w:rsid w:val="00ED573E"/>
    <w:rsid w:val="00ED5FF9"/>
    <w:rsid w:val="00EE3F2D"/>
    <w:rsid w:val="00EE46B0"/>
    <w:rsid w:val="00EE5C88"/>
    <w:rsid w:val="00EF5F54"/>
    <w:rsid w:val="00F00A72"/>
    <w:rsid w:val="00F00B7C"/>
    <w:rsid w:val="00F0343F"/>
    <w:rsid w:val="00F03A1C"/>
    <w:rsid w:val="00F1085E"/>
    <w:rsid w:val="00F12586"/>
    <w:rsid w:val="00F13224"/>
    <w:rsid w:val="00F137B1"/>
    <w:rsid w:val="00F13E43"/>
    <w:rsid w:val="00F13EAD"/>
    <w:rsid w:val="00F17A6D"/>
    <w:rsid w:val="00F210B6"/>
    <w:rsid w:val="00F213C9"/>
    <w:rsid w:val="00F22D94"/>
    <w:rsid w:val="00F2465D"/>
    <w:rsid w:val="00F31F43"/>
    <w:rsid w:val="00F32495"/>
    <w:rsid w:val="00F33C9F"/>
    <w:rsid w:val="00F35A42"/>
    <w:rsid w:val="00F431A8"/>
    <w:rsid w:val="00F4331C"/>
    <w:rsid w:val="00F46BD6"/>
    <w:rsid w:val="00F509FE"/>
    <w:rsid w:val="00F51892"/>
    <w:rsid w:val="00F56BFC"/>
    <w:rsid w:val="00F70EBB"/>
    <w:rsid w:val="00F71551"/>
    <w:rsid w:val="00F72D70"/>
    <w:rsid w:val="00F73A52"/>
    <w:rsid w:val="00F744F5"/>
    <w:rsid w:val="00F80DFF"/>
    <w:rsid w:val="00F829A2"/>
    <w:rsid w:val="00F86E5C"/>
    <w:rsid w:val="00F91583"/>
    <w:rsid w:val="00F92923"/>
    <w:rsid w:val="00FA4DD0"/>
    <w:rsid w:val="00FB0FDE"/>
    <w:rsid w:val="00FB1AA0"/>
    <w:rsid w:val="00FB2959"/>
    <w:rsid w:val="00FB7B51"/>
    <w:rsid w:val="00FC0CC3"/>
    <w:rsid w:val="00FC2D84"/>
    <w:rsid w:val="00FC32BA"/>
    <w:rsid w:val="00FC5BD1"/>
    <w:rsid w:val="00FC662F"/>
    <w:rsid w:val="00FC7C1B"/>
    <w:rsid w:val="00FD0991"/>
    <w:rsid w:val="00FD1D37"/>
    <w:rsid w:val="00FD7578"/>
    <w:rsid w:val="00FE0025"/>
    <w:rsid w:val="00FE40F8"/>
    <w:rsid w:val="00FE6577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042E54"/>
  <w15:docId w15:val="{6AD91CD8-A681-4F46-A661-4A1A3AD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eastAsia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customStyle="1" w:styleId="labojumupamats1">
    <w:name w:val="labojumu_pamats1"/>
    <w:basedOn w:val="Parasts"/>
    <w:rsid w:val="00515CEE"/>
    <w:pPr>
      <w:spacing w:before="45" w:after="0" w:line="312" w:lineRule="auto"/>
      <w:ind w:firstLine="300"/>
    </w:pPr>
    <w:rPr>
      <w:rFonts w:eastAsia="Times New Roman"/>
      <w:i/>
      <w:iCs/>
      <w:color w:val="414142"/>
      <w:lang w:eastAsia="lv-LV"/>
    </w:rPr>
  </w:style>
  <w:style w:type="paragraph" w:customStyle="1" w:styleId="tvhtml1">
    <w:name w:val="tv_html1"/>
    <w:basedOn w:val="Parasts"/>
    <w:rsid w:val="00515CEE"/>
    <w:pPr>
      <w:spacing w:after="0" w:line="312" w:lineRule="auto"/>
      <w:ind w:firstLine="300"/>
    </w:pPr>
    <w:rPr>
      <w:rFonts w:eastAsia="Times New Roman"/>
      <w:color w:val="414142"/>
      <w:lang w:eastAsia="lv-LV"/>
    </w:rPr>
  </w:style>
  <w:style w:type="paragraph" w:styleId="Sarakstarindkopa">
    <w:name w:val="List Paragraph"/>
    <w:basedOn w:val="Parasts"/>
    <w:uiPriority w:val="34"/>
    <w:qFormat/>
    <w:rsid w:val="00AB656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E4E93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F3A34"/>
    <w:rPr>
      <w:color w:val="800080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E78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E78B2"/>
    <w:pPr>
      <w:spacing w:line="240" w:lineRule="auto"/>
    </w:p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E78B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E78B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E78B2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34576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47EC"/>
    <w:pPr>
      <w:spacing w:after="0" w:line="240" w:lineRule="auto"/>
    </w:p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47E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D747EC"/>
    <w:rPr>
      <w:vertAlign w:val="superscript"/>
    </w:rPr>
  </w:style>
  <w:style w:type="paragraph" w:customStyle="1" w:styleId="tv2132">
    <w:name w:val="tv2132"/>
    <w:basedOn w:val="Parasts"/>
    <w:rsid w:val="0066241B"/>
    <w:pPr>
      <w:spacing w:after="0" w:line="360" w:lineRule="auto"/>
      <w:ind w:firstLine="300"/>
    </w:pPr>
    <w:rPr>
      <w:rFonts w:eastAsia="Times New Roman"/>
      <w:color w:val="41414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0905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8771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36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8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512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1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249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46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9982" TargetMode="External"/><Relationship Id="rId13" Type="http://schemas.openxmlformats.org/officeDocument/2006/relationships/hyperlink" Target="https://likumi.lv/ta/id/5998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9982" TargetMode="External"/><Relationship Id="rId17" Type="http://schemas.openxmlformats.org/officeDocument/2006/relationships/hyperlink" Target="mailto:Kristine.Alberinga@tm.gov.l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k.gov.lv/content/ministru-kabineta-diskusiju-dokument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59604-noteikumi-par-zverinatu-notaru-atlidzibas-taksem-un-to-noteiksanas-kartib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m.gov.lv/lv/sabiedribas-lidzdaliba/diskusiju-dokumenti/tiesibu-akti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ikumi.lv/ta/id/5998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9982" TargetMode="External"/><Relationship Id="rId14" Type="http://schemas.openxmlformats.org/officeDocument/2006/relationships/hyperlink" Target="https://likumi.lv/ta/id/5998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1688-C148-4C50-9979-72AFF285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4866</Words>
  <Characters>2774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"Grozījums Ministru kabineta 2013. gada 3. septembra noteikumos Nr. 737 "Noteikumi par zvērinātu notāru atlīdzības taksēm un to noteikšanas kārtību"" sākotnējās ietekmes novērtējuma ziņojums (anotācija)</vt:lpstr>
      <vt:lpstr>Likumprojekta "Grozījumi Notariāta likumā" sākotnējās ietekmes novērtējuma ziņojums (anotācija)</vt:lpstr>
    </vt:vector>
  </TitlesOfParts>
  <Manager/>
  <Company>Tieslietu ministrija</Company>
  <LinksUpToDate>false</LinksUpToDate>
  <CharactersWithSpaces>7625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"Grozījums Ministru kabineta 2013. gada 3. septembra noteikumos Nr. 737 "Noteikumi par zvērinātu notāru atlīdzības taksēm un to noteikšanas kārtību"" sākotnējās ietekmes novērtējuma ziņojums (anotācija)</dc:title>
  <dc:subject>Anotācija</dc:subject>
  <dc:creator>Kristīne Alberinga</dc:creator>
  <cp:keywords/>
  <dc:description>Kristīne Alberinga, 67036835, Kristine.Alberinga@tm.gov.lv</dc:description>
  <cp:lastModifiedBy>Kristīne Alberinga</cp:lastModifiedBy>
  <cp:revision>44</cp:revision>
  <cp:lastPrinted>2019-08-09T05:19:00Z</cp:lastPrinted>
  <dcterms:created xsi:type="dcterms:W3CDTF">2019-08-21T10:00:00Z</dcterms:created>
  <dcterms:modified xsi:type="dcterms:W3CDTF">2019-10-02T06:30:00Z</dcterms:modified>
  <cp:category/>
</cp:coreProperties>
</file>